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20" w:firstLineChars="50"/>
        <w:jc w:val="center"/>
        <w:outlineLvl w:val="0"/>
        <w:rPr>
          <w:rFonts w:hint="eastAsia" w:ascii="隶书" w:hAnsi="Arial" w:eastAsia="隶书" w:cs="Arial"/>
          <w:b/>
          <w:sz w:val="44"/>
          <w:szCs w:val="44"/>
          <w:lang w:eastAsia="zh-CN"/>
        </w:rPr>
      </w:pPr>
      <w:r>
        <w:rPr>
          <w:rFonts w:hint="eastAsia" w:ascii="隶书" w:hAnsi="Arial" w:eastAsia="隶书" w:cs="Arial"/>
          <w:b/>
          <w:sz w:val="44"/>
          <w:szCs w:val="44"/>
          <w:lang w:eastAsia="zh-CN"/>
        </w:rPr>
        <w:t>绍兴市九里强制隔离戒毒所探访中心建筑改造工程</w:t>
      </w:r>
    </w:p>
    <w:p>
      <w:pPr>
        <w:spacing w:line="312" w:lineRule="auto"/>
        <w:jc w:val="center"/>
        <w:outlineLvl w:val="0"/>
        <w:rPr>
          <w:rFonts w:ascii="隶书" w:hAnsi="Arial" w:eastAsia="隶书" w:cs="Arial"/>
          <w:b/>
          <w:sz w:val="32"/>
          <w:szCs w:val="32"/>
        </w:rPr>
      </w:pPr>
    </w:p>
    <w:p>
      <w:pPr>
        <w:spacing w:line="312" w:lineRule="auto"/>
        <w:outlineLvl w:val="0"/>
        <w:rPr>
          <w:rFonts w:ascii="隶书" w:hAnsi="Arial" w:eastAsia="隶书" w:cs="Arial"/>
          <w:b/>
          <w:sz w:val="32"/>
          <w:szCs w:val="32"/>
        </w:rPr>
      </w:pPr>
    </w:p>
    <w:p>
      <w:pPr>
        <w:spacing w:line="312" w:lineRule="auto"/>
        <w:jc w:val="center"/>
        <w:outlineLvl w:val="0"/>
        <w:rPr>
          <w:rFonts w:ascii="隶书" w:hAnsi="Arial" w:eastAsia="隶书" w:cs="Arial"/>
          <w:b/>
          <w:sz w:val="52"/>
          <w:szCs w:val="52"/>
        </w:rPr>
      </w:pPr>
      <w:r>
        <w:rPr>
          <w:rFonts w:hint="eastAsia" w:ascii="隶书" w:hAnsi="Arial" w:eastAsia="隶书" w:cs="Arial"/>
          <w:b/>
          <w:sz w:val="52"/>
          <w:szCs w:val="52"/>
        </w:rPr>
        <w:t>公</w:t>
      </w:r>
    </w:p>
    <w:p>
      <w:pPr>
        <w:spacing w:line="312" w:lineRule="auto"/>
        <w:jc w:val="center"/>
        <w:outlineLvl w:val="0"/>
        <w:rPr>
          <w:rFonts w:ascii="隶书" w:hAnsi="Arial" w:eastAsia="隶书" w:cs="Arial"/>
          <w:b/>
          <w:sz w:val="52"/>
          <w:szCs w:val="52"/>
        </w:rPr>
      </w:pPr>
      <w:r>
        <w:rPr>
          <w:rFonts w:hint="eastAsia" w:ascii="隶书" w:hAnsi="Arial" w:eastAsia="隶书" w:cs="Arial"/>
          <w:b/>
          <w:sz w:val="52"/>
          <w:szCs w:val="52"/>
        </w:rPr>
        <w:t>开</w:t>
      </w:r>
    </w:p>
    <w:p>
      <w:pPr>
        <w:spacing w:line="312" w:lineRule="auto"/>
        <w:jc w:val="center"/>
        <w:outlineLvl w:val="0"/>
        <w:rPr>
          <w:rFonts w:ascii="隶书" w:hAnsi="Arial" w:eastAsia="隶书" w:cs="Arial"/>
          <w:b/>
          <w:sz w:val="52"/>
          <w:szCs w:val="52"/>
        </w:rPr>
      </w:pPr>
      <w:r>
        <w:rPr>
          <w:rFonts w:hint="eastAsia" w:ascii="隶书" w:hAnsi="Arial" w:eastAsia="隶书" w:cs="Arial"/>
          <w:b/>
          <w:sz w:val="52"/>
          <w:szCs w:val="52"/>
        </w:rPr>
        <w:t>招</w:t>
      </w:r>
    </w:p>
    <w:p>
      <w:pPr>
        <w:spacing w:line="312" w:lineRule="auto"/>
        <w:jc w:val="center"/>
        <w:outlineLvl w:val="0"/>
        <w:rPr>
          <w:rFonts w:ascii="隶书" w:hAnsi="Arial" w:eastAsia="隶书" w:cs="Arial"/>
          <w:b/>
          <w:sz w:val="52"/>
          <w:szCs w:val="52"/>
        </w:rPr>
      </w:pPr>
      <w:r>
        <w:rPr>
          <w:rFonts w:hint="eastAsia" w:ascii="隶书" w:hAnsi="Arial" w:eastAsia="隶书" w:cs="Arial"/>
          <w:b/>
          <w:sz w:val="52"/>
          <w:szCs w:val="52"/>
        </w:rPr>
        <w:t>标</w:t>
      </w:r>
    </w:p>
    <w:p>
      <w:pPr>
        <w:spacing w:line="312" w:lineRule="auto"/>
        <w:jc w:val="center"/>
        <w:outlineLvl w:val="0"/>
        <w:rPr>
          <w:rFonts w:ascii="隶书" w:eastAsia="隶书"/>
          <w:b/>
          <w:sz w:val="52"/>
          <w:szCs w:val="52"/>
        </w:rPr>
      </w:pPr>
      <w:r>
        <w:rPr>
          <w:rFonts w:hint="eastAsia" w:ascii="隶书" w:eastAsia="隶书"/>
          <w:b/>
          <w:sz w:val="52"/>
          <w:szCs w:val="52"/>
        </w:rPr>
        <w:t>文</w:t>
      </w:r>
    </w:p>
    <w:p>
      <w:pPr>
        <w:spacing w:line="312" w:lineRule="auto"/>
        <w:jc w:val="center"/>
        <w:outlineLvl w:val="0"/>
        <w:rPr>
          <w:rFonts w:ascii="隶书" w:eastAsia="隶书"/>
          <w:b/>
          <w:sz w:val="28"/>
          <w:szCs w:val="28"/>
        </w:rPr>
      </w:pPr>
      <w:r>
        <w:rPr>
          <w:rFonts w:hint="eastAsia" w:ascii="隶书" w:eastAsia="隶书"/>
          <w:b/>
          <w:sz w:val="52"/>
          <w:szCs w:val="52"/>
        </w:rPr>
        <w:t>件</w:t>
      </w:r>
    </w:p>
    <w:p>
      <w:pPr>
        <w:spacing w:line="312" w:lineRule="auto"/>
        <w:jc w:val="center"/>
        <w:rPr>
          <w:rFonts w:ascii="隶书" w:eastAsia="隶书"/>
          <w:b/>
          <w:sz w:val="28"/>
          <w:szCs w:val="28"/>
        </w:rPr>
      </w:pPr>
    </w:p>
    <w:p>
      <w:pPr>
        <w:spacing w:line="312" w:lineRule="auto"/>
        <w:jc w:val="center"/>
        <w:rPr>
          <w:rFonts w:ascii="隶书" w:eastAsia="隶书"/>
          <w:b/>
          <w:sz w:val="28"/>
          <w:szCs w:val="28"/>
        </w:rPr>
      </w:pPr>
    </w:p>
    <w:p>
      <w:pPr>
        <w:spacing w:line="312" w:lineRule="auto"/>
        <w:jc w:val="center"/>
        <w:rPr>
          <w:rFonts w:hint="default" w:ascii="隶书" w:eastAsia="隶书"/>
          <w:b/>
          <w:sz w:val="28"/>
          <w:szCs w:val="28"/>
          <w:highlight w:val="none"/>
          <w:lang w:val="en-US" w:eastAsia="zh-CN"/>
        </w:rPr>
      </w:pPr>
      <w:r>
        <w:rPr>
          <w:rFonts w:hint="eastAsia" w:ascii="隶书" w:eastAsia="隶书"/>
          <w:b/>
          <w:sz w:val="28"/>
          <w:szCs w:val="28"/>
          <w:highlight w:val="none"/>
        </w:rPr>
        <w:t>招标编号:</w:t>
      </w:r>
      <w:r>
        <w:rPr>
          <w:rFonts w:hint="eastAsia" w:ascii="隶书" w:eastAsia="隶书"/>
          <w:b/>
          <w:sz w:val="28"/>
          <w:szCs w:val="28"/>
          <w:highlight w:val="none"/>
          <w:lang w:val="en-US" w:eastAsia="zh-CN"/>
        </w:rPr>
        <w:t>YH2022-06082</w:t>
      </w:r>
    </w:p>
    <w:tbl>
      <w:tblPr>
        <w:tblStyle w:val="28"/>
        <w:tblW w:w="7800" w:type="dxa"/>
        <w:jc w:val="center"/>
        <w:tblLayout w:type="fixed"/>
        <w:tblCellMar>
          <w:top w:w="0" w:type="dxa"/>
          <w:left w:w="108" w:type="dxa"/>
          <w:bottom w:w="0" w:type="dxa"/>
          <w:right w:w="108" w:type="dxa"/>
        </w:tblCellMar>
      </w:tblPr>
      <w:tblGrid>
        <w:gridCol w:w="2356"/>
        <w:gridCol w:w="5444"/>
      </w:tblGrid>
      <w:tr>
        <w:trPr>
          <w:trHeight w:val="399" w:hRule="atLeast"/>
          <w:jc w:val="center"/>
        </w:trPr>
        <w:tc>
          <w:tcPr>
            <w:tcW w:w="2356" w:type="dxa"/>
            <w:vAlign w:val="center"/>
          </w:tcPr>
          <w:p>
            <w:pPr>
              <w:spacing w:after="100" w:afterAutospacing="1"/>
              <w:rPr>
                <w:rFonts w:ascii="隶书" w:hAnsi="宋体" w:eastAsia="隶书"/>
                <w:sz w:val="28"/>
                <w:szCs w:val="28"/>
                <w:highlight w:val="none"/>
              </w:rPr>
            </w:pPr>
            <w:r>
              <w:rPr>
                <w:rFonts w:hint="eastAsia" w:ascii="隶书" w:hAnsi="宋体" w:eastAsia="隶书"/>
                <w:spacing w:val="93"/>
                <w:kern w:val="0"/>
                <w:sz w:val="28"/>
                <w:szCs w:val="28"/>
                <w:highlight w:val="none"/>
              </w:rPr>
              <w:t>采购单</w:t>
            </w:r>
            <w:r>
              <w:rPr>
                <w:rFonts w:hint="eastAsia" w:ascii="隶书" w:hAnsi="宋体" w:eastAsia="隶书"/>
                <w:spacing w:val="1"/>
                <w:kern w:val="0"/>
                <w:sz w:val="28"/>
                <w:szCs w:val="28"/>
                <w:highlight w:val="none"/>
              </w:rPr>
              <w:t>位</w:t>
            </w:r>
            <w:r>
              <w:rPr>
                <w:rFonts w:hint="eastAsia" w:ascii="隶书" w:hAnsi="宋体" w:eastAsia="隶书"/>
                <w:sz w:val="28"/>
                <w:szCs w:val="28"/>
                <w:highlight w:val="none"/>
              </w:rPr>
              <w:t>：</w:t>
            </w:r>
          </w:p>
        </w:tc>
        <w:tc>
          <w:tcPr>
            <w:tcW w:w="5444" w:type="dxa"/>
            <w:vAlign w:val="center"/>
          </w:tcPr>
          <w:p>
            <w:pPr>
              <w:spacing w:after="100" w:afterAutospacing="1"/>
              <w:rPr>
                <w:rFonts w:hint="eastAsia" w:ascii="隶书" w:hAnsi="宋体" w:eastAsia="隶书" w:cs="Times New Roman"/>
                <w:sz w:val="28"/>
                <w:szCs w:val="28"/>
                <w:highlight w:val="none"/>
                <w:lang w:eastAsia="zh-CN"/>
              </w:rPr>
            </w:pPr>
            <w:r>
              <w:rPr>
                <w:rFonts w:hint="eastAsia" w:ascii="隶书" w:hAnsi="宋体" w:eastAsia="隶书" w:cs="Times New Roman"/>
                <w:sz w:val="28"/>
                <w:szCs w:val="28"/>
                <w:highlight w:val="none"/>
                <w:lang w:eastAsia="zh-CN"/>
              </w:rPr>
              <w:t>绍兴市九里强制隔离戒毒所</w:t>
            </w:r>
          </w:p>
        </w:tc>
      </w:tr>
      <w:tr>
        <w:trPr>
          <w:trHeight w:val="399" w:hRule="atLeast"/>
          <w:jc w:val="center"/>
        </w:trPr>
        <w:tc>
          <w:tcPr>
            <w:tcW w:w="2356" w:type="dxa"/>
            <w:vAlign w:val="center"/>
          </w:tcPr>
          <w:p>
            <w:pPr>
              <w:spacing w:after="100" w:afterAutospacing="1"/>
              <w:rPr>
                <w:rFonts w:ascii="隶书" w:hAnsi="宋体" w:eastAsia="隶书"/>
                <w:sz w:val="28"/>
                <w:szCs w:val="28"/>
                <w:highlight w:val="none"/>
              </w:rPr>
            </w:pPr>
            <w:r>
              <w:rPr>
                <w:rFonts w:hint="eastAsia" w:ascii="隶书" w:hAnsi="宋体" w:eastAsia="隶书"/>
                <w:kern w:val="0"/>
                <w:sz w:val="28"/>
                <w:szCs w:val="28"/>
                <w:highlight w:val="none"/>
              </w:rPr>
              <w:t>采购代理机构</w:t>
            </w:r>
            <w:r>
              <w:rPr>
                <w:rFonts w:hint="eastAsia" w:ascii="隶书" w:hAnsi="宋体" w:eastAsia="隶书"/>
                <w:sz w:val="28"/>
                <w:szCs w:val="28"/>
                <w:highlight w:val="none"/>
              </w:rPr>
              <w:t>：</w:t>
            </w:r>
          </w:p>
        </w:tc>
        <w:tc>
          <w:tcPr>
            <w:tcW w:w="5444" w:type="dxa"/>
          </w:tcPr>
          <w:p>
            <w:pPr>
              <w:spacing w:after="100" w:afterAutospacing="1"/>
              <w:rPr>
                <w:rFonts w:hint="eastAsia" w:ascii="隶书" w:hAnsi="宋体" w:eastAsia="隶书" w:cs="Times New Roman"/>
                <w:sz w:val="28"/>
                <w:szCs w:val="28"/>
                <w:highlight w:val="none"/>
                <w:lang w:eastAsia="zh-CN"/>
              </w:rPr>
            </w:pPr>
            <w:r>
              <w:rPr>
                <w:rFonts w:hint="eastAsia" w:ascii="隶书" w:hAnsi="宋体" w:eastAsia="隶书" w:cs="Times New Roman"/>
                <w:sz w:val="28"/>
                <w:szCs w:val="28"/>
                <w:highlight w:val="none"/>
                <w:lang w:eastAsia="zh-CN"/>
              </w:rPr>
              <w:t>耀华建设管理有限公司</w:t>
            </w:r>
          </w:p>
        </w:tc>
      </w:tr>
      <w:tr>
        <w:trPr>
          <w:trHeight w:val="399" w:hRule="atLeast"/>
          <w:jc w:val="center"/>
        </w:trPr>
        <w:tc>
          <w:tcPr>
            <w:tcW w:w="2356" w:type="dxa"/>
            <w:vAlign w:val="center"/>
          </w:tcPr>
          <w:p>
            <w:pPr>
              <w:spacing w:after="100" w:afterAutospacing="1"/>
              <w:rPr>
                <w:rFonts w:ascii="隶书" w:hAnsi="宋体" w:eastAsia="隶书"/>
                <w:sz w:val="28"/>
                <w:szCs w:val="28"/>
                <w:highlight w:val="none"/>
              </w:rPr>
            </w:pPr>
            <w:r>
              <w:rPr>
                <w:rFonts w:hint="eastAsia" w:ascii="隶书" w:hAnsi="宋体" w:eastAsia="隶书"/>
                <w:spacing w:val="93"/>
                <w:kern w:val="0"/>
                <w:sz w:val="28"/>
                <w:szCs w:val="28"/>
                <w:highlight w:val="none"/>
              </w:rPr>
              <w:t>监督单</w:t>
            </w:r>
            <w:r>
              <w:rPr>
                <w:rFonts w:hint="eastAsia" w:ascii="隶书" w:hAnsi="宋体" w:eastAsia="隶书"/>
                <w:spacing w:val="1"/>
                <w:kern w:val="0"/>
                <w:sz w:val="28"/>
                <w:szCs w:val="28"/>
                <w:highlight w:val="none"/>
              </w:rPr>
              <w:t>位</w:t>
            </w:r>
            <w:r>
              <w:rPr>
                <w:rFonts w:hint="eastAsia" w:ascii="隶书" w:hAnsi="宋体" w:eastAsia="隶书"/>
                <w:sz w:val="28"/>
                <w:szCs w:val="28"/>
                <w:highlight w:val="none"/>
              </w:rPr>
              <w:t>：</w:t>
            </w:r>
          </w:p>
        </w:tc>
        <w:tc>
          <w:tcPr>
            <w:tcW w:w="5444" w:type="dxa"/>
          </w:tcPr>
          <w:p>
            <w:pPr>
              <w:spacing w:after="100" w:afterAutospacing="1"/>
              <w:rPr>
                <w:rFonts w:hint="eastAsia" w:ascii="隶书" w:hAnsi="宋体" w:eastAsia="隶书" w:cs="Times New Roman"/>
                <w:sz w:val="28"/>
                <w:szCs w:val="28"/>
                <w:highlight w:val="none"/>
                <w:lang w:eastAsia="zh-CN"/>
              </w:rPr>
            </w:pPr>
            <w:r>
              <w:rPr>
                <w:rFonts w:hint="eastAsia" w:ascii="隶书" w:hAnsi="宋体" w:eastAsia="隶书" w:cs="Times New Roman"/>
                <w:sz w:val="28"/>
                <w:szCs w:val="28"/>
                <w:highlight w:val="none"/>
                <w:lang w:eastAsia="zh-CN"/>
              </w:rPr>
              <w:t>绍兴市财政局</w:t>
            </w:r>
          </w:p>
        </w:tc>
      </w:tr>
      <w:tr>
        <w:tblPrEx>
          <w:tblCellMar>
            <w:top w:w="0" w:type="dxa"/>
            <w:left w:w="108" w:type="dxa"/>
            <w:bottom w:w="0" w:type="dxa"/>
            <w:right w:w="108" w:type="dxa"/>
          </w:tblCellMar>
        </w:tblPrEx>
        <w:trPr>
          <w:trHeight w:val="399" w:hRule="atLeast"/>
          <w:jc w:val="center"/>
        </w:trPr>
        <w:tc>
          <w:tcPr>
            <w:tcW w:w="7800" w:type="dxa"/>
            <w:gridSpan w:val="2"/>
          </w:tcPr>
          <w:p>
            <w:pPr>
              <w:spacing w:after="100" w:afterAutospacing="1"/>
              <w:jc w:val="center"/>
              <w:rPr>
                <w:rFonts w:ascii="隶书" w:hAnsi="宋体" w:eastAsia="隶书"/>
                <w:sz w:val="28"/>
                <w:szCs w:val="28"/>
                <w:highlight w:val="none"/>
              </w:rPr>
            </w:pPr>
            <w:r>
              <w:rPr>
                <w:rFonts w:hint="eastAsia" w:ascii="隶书" w:eastAsia="隶书"/>
                <w:b/>
                <w:sz w:val="28"/>
                <w:szCs w:val="28"/>
                <w:highlight w:val="none"/>
              </w:rPr>
              <w:t>二</w:t>
            </w:r>
            <w:r>
              <w:rPr>
                <w:rFonts w:ascii="隶书" w:eastAsia="隶书"/>
                <w:b/>
                <w:sz w:val="28"/>
                <w:szCs w:val="28"/>
                <w:highlight w:val="none"/>
              </w:rPr>
              <w:t>0</w:t>
            </w:r>
            <w:r>
              <w:rPr>
                <w:rFonts w:hint="eastAsia" w:ascii="隶书" w:eastAsia="隶书"/>
                <w:b/>
                <w:sz w:val="28"/>
                <w:szCs w:val="28"/>
                <w:highlight w:val="none"/>
              </w:rPr>
              <w:t>二</w:t>
            </w:r>
            <w:r>
              <w:rPr>
                <w:rFonts w:hint="eastAsia" w:ascii="隶书" w:eastAsia="隶书"/>
                <w:b/>
                <w:sz w:val="28"/>
                <w:szCs w:val="28"/>
                <w:highlight w:val="none"/>
                <w:lang w:eastAsia="zh-CN"/>
              </w:rPr>
              <w:t>二</w:t>
            </w:r>
            <w:r>
              <w:rPr>
                <w:rFonts w:hint="eastAsia" w:ascii="隶书" w:eastAsia="隶书"/>
                <w:b/>
                <w:sz w:val="28"/>
                <w:szCs w:val="28"/>
                <w:highlight w:val="none"/>
              </w:rPr>
              <w:t>年</w:t>
            </w:r>
            <w:r>
              <w:rPr>
                <w:rFonts w:hint="eastAsia" w:ascii="隶书" w:eastAsia="隶书"/>
                <w:b/>
                <w:sz w:val="28"/>
                <w:szCs w:val="28"/>
                <w:highlight w:val="none"/>
                <w:lang w:val="en-US" w:eastAsia="zh-CN"/>
              </w:rPr>
              <w:t>八</w:t>
            </w:r>
            <w:r>
              <w:rPr>
                <w:rFonts w:hint="eastAsia" w:ascii="隶书" w:eastAsia="隶书"/>
                <w:b/>
                <w:sz w:val="28"/>
                <w:szCs w:val="28"/>
                <w:highlight w:val="none"/>
              </w:rPr>
              <w:t>月</w:t>
            </w:r>
          </w:p>
        </w:tc>
      </w:tr>
    </w:tbl>
    <w:p>
      <w:pPr>
        <w:jc w:val="both"/>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rFonts w:ascii="仿宋" w:hAnsi="仿宋" w:eastAsia="仿宋" w:cs="仿宋"/>
          <w:b/>
          <w:sz w:val="44"/>
          <w:szCs w:val="44"/>
          <w:highlight w:val="none"/>
        </w:rPr>
      </w:pPr>
      <w:r>
        <w:rPr>
          <w:rFonts w:hint="eastAsia" w:ascii="仿宋" w:hAnsi="仿宋" w:eastAsia="仿宋" w:cs="仿宋"/>
          <w:b/>
          <w:sz w:val="44"/>
          <w:szCs w:val="44"/>
          <w:highlight w:val="none"/>
        </w:rPr>
        <w:t>目录</w:t>
      </w:r>
    </w:p>
    <w:p>
      <w:pPr>
        <w:jc w:val="center"/>
        <w:rPr>
          <w:rFonts w:ascii="仿宋" w:hAnsi="仿宋" w:eastAsia="仿宋" w:cs="仿宋"/>
          <w:b/>
          <w:sz w:val="44"/>
          <w:szCs w:val="44"/>
          <w:highlight w:val="none"/>
        </w:rPr>
      </w:pPr>
    </w:p>
    <w:p>
      <w:pPr>
        <w:jc w:val="center"/>
        <w:rPr>
          <w:rFonts w:ascii="仿宋" w:hAnsi="仿宋" w:eastAsia="仿宋" w:cs="仿宋"/>
          <w:highlight w:val="none"/>
        </w:rPr>
      </w:pPr>
    </w:p>
    <w:p>
      <w:pPr>
        <w:snapToGrid w:val="0"/>
        <w:spacing w:line="480" w:lineRule="auto"/>
        <w:ind w:firstLine="1807" w:firstLineChars="500"/>
        <w:jc w:val="left"/>
        <w:rPr>
          <w:rFonts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p>
      <w:pPr>
        <w:snapToGrid w:val="0"/>
        <w:spacing w:line="480" w:lineRule="auto"/>
        <w:ind w:firstLine="1807" w:firstLineChars="500"/>
        <w:jc w:val="left"/>
        <w:rPr>
          <w:rFonts w:ascii="仿宋" w:hAnsi="仿宋" w:eastAsia="仿宋" w:cs="仿宋"/>
          <w:b/>
          <w:sz w:val="36"/>
          <w:szCs w:val="36"/>
          <w:highlight w:val="none"/>
        </w:rPr>
      </w:pPr>
      <w:r>
        <w:rPr>
          <w:rFonts w:hint="eastAsia" w:ascii="仿宋" w:hAnsi="仿宋" w:eastAsia="仿宋" w:cs="仿宋"/>
          <w:b/>
          <w:sz w:val="36"/>
          <w:szCs w:val="36"/>
          <w:highlight w:val="none"/>
        </w:rPr>
        <w:t>第二部分 投标须知</w:t>
      </w:r>
    </w:p>
    <w:p>
      <w:pPr>
        <w:snapToGrid w:val="0"/>
        <w:spacing w:line="480" w:lineRule="auto"/>
        <w:ind w:firstLine="1807" w:firstLineChars="500"/>
        <w:jc w:val="left"/>
        <w:rPr>
          <w:rFonts w:ascii="仿宋" w:hAnsi="仿宋" w:eastAsia="仿宋" w:cs="仿宋"/>
          <w:b/>
          <w:sz w:val="36"/>
          <w:szCs w:val="36"/>
          <w:highlight w:val="none"/>
        </w:rPr>
      </w:pPr>
      <w:r>
        <w:rPr>
          <w:rFonts w:hint="eastAsia" w:ascii="仿宋" w:hAnsi="仿宋" w:eastAsia="仿宋" w:cs="仿宋"/>
          <w:b/>
          <w:sz w:val="36"/>
          <w:szCs w:val="36"/>
          <w:highlight w:val="none"/>
        </w:rPr>
        <w:t>第三部分 招标项目范围及要求</w:t>
      </w:r>
    </w:p>
    <w:p>
      <w:pPr>
        <w:snapToGrid w:val="0"/>
        <w:spacing w:line="480" w:lineRule="auto"/>
        <w:ind w:firstLine="1807" w:firstLineChars="500"/>
        <w:jc w:val="left"/>
        <w:rPr>
          <w:rFonts w:ascii="仿宋" w:hAnsi="仿宋" w:eastAsia="仿宋" w:cs="仿宋"/>
          <w:b/>
          <w:sz w:val="36"/>
          <w:szCs w:val="36"/>
          <w:highlight w:val="none"/>
        </w:rPr>
      </w:pPr>
      <w:r>
        <w:rPr>
          <w:rFonts w:hint="eastAsia" w:ascii="仿宋" w:hAnsi="仿宋" w:eastAsia="仿宋" w:cs="仿宋"/>
          <w:b/>
          <w:sz w:val="36"/>
          <w:szCs w:val="36"/>
          <w:highlight w:val="none"/>
        </w:rPr>
        <w:t>第四部分  投标文件及其附件格式</w:t>
      </w:r>
    </w:p>
    <w:p>
      <w:pPr>
        <w:snapToGrid w:val="0"/>
        <w:spacing w:line="480" w:lineRule="auto"/>
        <w:jc w:val="left"/>
        <w:rPr>
          <w:rFonts w:ascii="仿宋" w:hAnsi="仿宋" w:eastAsia="仿宋" w:cs="仿宋"/>
          <w:sz w:val="36"/>
          <w:szCs w:val="36"/>
          <w:highlight w:val="none"/>
        </w:rPr>
      </w:pPr>
    </w:p>
    <w:p>
      <w:pPr>
        <w:snapToGrid w:val="0"/>
        <w:spacing w:line="480" w:lineRule="auto"/>
        <w:jc w:val="left"/>
        <w:rPr>
          <w:rFonts w:ascii="仿宋" w:hAnsi="仿宋" w:eastAsia="仿宋" w:cs="仿宋"/>
          <w:sz w:val="36"/>
          <w:szCs w:val="36"/>
          <w:highlight w:val="none"/>
        </w:rPr>
      </w:pPr>
    </w:p>
    <w:p>
      <w:pPr>
        <w:snapToGrid w:val="0"/>
        <w:spacing w:line="480" w:lineRule="auto"/>
        <w:jc w:val="left"/>
        <w:rPr>
          <w:rFonts w:ascii="仿宋" w:hAnsi="仿宋" w:eastAsia="仿宋" w:cs="仿宋"/>
          <w:sz w:val="36"/>
          <w:szCs w:val="36"/>
          <w:highlight w:val="none"/>
        </w:rPr>
      </w:pPr>
    </w:p>
    <w:p>
      <w:pPr>
        <w:snapToGrid w:val="0"/>
        <w:spacing w:line="480" w:lineRule="auto"/>
        <w:jc w:val="left"/>
        <w:rPr>
          <w:rFonts w:ascii="仿宋" w:hAnsi="仿宋" w:eastAsia="仿宋" w:cs="仿宋"/>
          <w:sz w:val="36"/>
          <w:szCs w:val="36"/>
          <w:highlight w:val="none"/>
        </w:rPr>
      </w:pPr>
    </w:p>
    <w:p>
      <w:pPr>
        <w:snapToGrid w:val="0"/>
        <w:spacing w:line="480" w:lineRule="auto"/>
        <w:jc w:val="left"/>
        <w:rPr>
          <w:rFonts w:ascii="仿宋" w:hAnsi="仿宋" w:eastAsia="仿宋" w:cs="仿宋"/>
          <w:sz w:val="36"/>
          <w:szCs w:val="36"/>
          <w:highlight w:val="none"/>
        </w:rPr>
      </w:pPr>
    </w:p>
    <w:p>
      <w:pPr>
        <w:snapToGrid w:val="0"/>
        <w:spacing w:line="288" w:lineRule="auto"/>
        <w:rPr>
          <w:rFonts w:ascii="仿宋" w:hAnsi="仿宋" w:eastAsia="仿宋" w:cs="仿宋"/>
          <w:b/>
          <w:sz w:val="36"/>
          <w:szCs w:val="36"/>
          <w:highlight w:val="none"/>
        </w:rPr>
      </w:pPr>
    </w:p>
    <w:p>
      <w:pPr>
        <w:pageBreakBefore/>
        <w:snapToGrid w:val="0"/>
        <w:spacing w:line="60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tbl>
      <w:tblPr>
        <w:tblStyle w:val="28"/>
        <w:tblW w:w="5000" w:type="pct"/>
        <w:tblInd w:w="0" w:type="dxa"/>
        <w:tblLayout w:type="autofit"/>
        <w:tblCellMar>
          <w:top w:w="0" w:type="dxa"/>
          <w:left w:w="0" w:type="dxa"/>
          <w:bottom w:w="0" w:type="dxa"/>
          <w:right w:w="0" w:type="dxa"/>
        </w:tblCellMar>
      </w:tblPr>
      <w:tblGrid>
        <w:gridCol w:w="9026"/>
      </w:tblGrid>
      <w:tr>
        <w:tc>
          <w:tcPr>
            <w:tcW w:w="5000" w:type="pct"/>
            <w:vAlign w:val="center"/>
          </w:tcPr>
          <w:p>
            <w:pPr>
              <w:spacing w:line="288" w:lineRule="auto"/>
              <w:rPr>
                <w:rFonts w:ascii="仿宋" w:hAnsi="仿宋" w:eastAsia="仿宋" w:cs="仿宋"/>
                <w:sz w:val="24"/>
                <w:highlight w:val="none"/>
              </w:rPr>
            </w:pPr>
            <w:r>
              <w:rPr>
                <w:rFonts w:hint="eastAsia" w:ascii="仿宋" w:hAnsi="仿宋" w:eastAsia="仿宋" w:cs="仿宋"/>
                <w:sz w:val="24"/>
                <w:highlight w:val="none"/>
              </w:rPr>
              <w:br w:type="page"/>
            </w:r>
          </w:p>
          <w:tbl>
            <w:tblPr>
              <w:tblStyle w:val="28"/>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0" w:hRule="atLeast"/>
              </w:trPr>
              <w:tc>
                <w:tcPr>
                  <w:tcW w:w="8612" w:type="dxa"/>
                </w:tcPr>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项目概况：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eastAsia="zh-CN"/>
                    </w:rPr>
                    <w:t>绍兴市九里强制隔离戒毒所探访中心建筑改造工程</w:t>
                  </w:r>
                  <w:r>
                    <w:rPr>
                      <w:rFonts w:hint="eastAsia" w:ascii="仿宋" w:hAnsi="仿宋" w:eastAsia="仿宋" w:cs="仿宋"/>
                      <w:kern w:val="0"/>
                      <w:sz w:val="24"/>
                      <w:highlight w:val="none"/>
                    </w:rPr>
                    <w:t>的潜在供应商应在http://www.zcygov.cn/ 获取（下载）采购文件，并于</w:t>
                  </w:r>
                  <w:r>
                    <w:rPr>
                      <w:rFonts w:hint="eastAsia" w:ascii="仿宋" w:hAnsi="仿宋" w:eastAsia="仿宋" w:cs="仿宋"/>
                      <w:kern w:val="0"/>
                      <w:sz w:val="24"/>
                      <w:highlight w:val="none"/>
                      <w:lang w:eastAsia="zh-CN"/>
                    </w:rPr>
                    <w:t>202</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22</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0（北京时间）前递交（上传）投标文件。</w:t>
                  </w:r>
                </w:p>
              </w:tc>
            </w:tr>
          </w:tbl>
          <w:p>
            <w:pPr>
              <w:widowControl/>
              <w:snapToGrid w:val="0"/>
              <w:spacing w:line="288"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一、项目基本情况 </w:t>
            </w:r>
          </w:p>
          <w:p>
            <w:pPr>
              <w:widowControl/>
              <w:snapToGrid w:val="0"/>
              <w:spacing w:line="288" w:lineRule="auto"/>
              <w:ind w:firstLine="480" w:firstLineChars="200"/>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项目编号：</w:t>
            </w:r>
            <w:r>
              <w:rPr>
                <w:rFonts w:hint="eastAsia" w:ascii="仿宋" w:hAnsi="仿宋" w:eastAsia="仿宋" w:cs="仿宋"/>
                <w:kern w:val="0"/>
                <w:sz w:val="24"/>
                <w:highlight w:val="none"/>
                <w:lang w:val="en-US" w:eastAsia="zh-CN"/>
              </w:rPr>
              <w:t>YH2022-06082</w:t>
            </w:r>
          </w:p>
          <w:p>
            <w:pPr>
              <w:widowControl/>
              <w:snapToGrid w:val="0"/>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项目名称：</w:t>
            </w:r>
            <w:r>
              <w:rPr>
                <w:rFonts w:hint="eastAsia" w:ascii="仿宋" w:hAnsi="仿宋" w:eastAsia="仿宋" w:cs="仿宋"/>
                <w:kern w:val="0"/>
                <w:sz w:val="24"/>
                <w:highlight w:val="none"/>
                <w:lang w:eastAsia="zh-CN"/>
              </w:rPr>
              <w:t>绍兴市九里强制隔离戒毒所探访中心建筑改造工程</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采购方式：公开招标</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预算金额（元）：</w:t>
            </w:r>
            <w:r>
              <w:rPr>
                <w:rFonts w:hint="eastAsia" w:ascii="仿宋" w:hAnsi="仿宋" w:eastAsia="仿宋" w:cs="仿宋"/>
                <w:kern w:val="0"/>
                <w:sz w:val="24"/>
                <w:highlight w:val="none"/>
                <w:lang w:val="en-US" w:eastAsia="zh-CN"/>
              </w:rPr>
              <w:t>885324</w:t>
            </w:r>
            <w:r>
              <w:rPr>
                <w:rFonts w:hint="eastAsia" w:ascii="仿宋" w:hAnsi="仿宋" w:eastAsia="仿宋" w:cs="仿宋"/>
                <w:kern w:val="0"/>
                <w:sz w:val="24"/>
                <w:highlight w:val="none"/>
              </w:rPr>
              <w:t>  </w:t>
            </w:r>
          </w:p>
          <w:p>
            <w:pPr>
              <w:widowControl/>
              <w:snapToGrid w:val="0"/>
              <w:spacing w:line="288" w:lineRule="auto"/>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最高限价（元）：</w:t>
            </w:r>
            <w:r>
              <w:rPr>
                <w:rFonts w:hint="eastAsia" w:ascii="仿宋" w:hAnsi="仿宋" w:eastAsia="仿宋" w:cs="仿宋"/>
                <w:kern w:val="0"/>
                <w:sz w:val="24"/>
                <w:highlight w:val="none"/>
                <w:lang w:val="en-US" w:eastAsia="zh-CN"/>
              </w:rPr>
              <w:t>885324</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采购需求：详见采购文件</w:t>
            </w:r>
          </w:p>
          <w:p>
            <w:pPr>
              <w:widowControl/>
              <w:snapToGrid w:val="0"/>
              <w:spacing w:line="288" w:lineRule="auto"/>
              <w:ind w:firstLine="480" w:firstLineChars="200"/>
              <w:rPr>
                <w:rFonts w:ascii="仿宋" w:hAnsi="仿宋" w:eastAsia="仿宋" w:cs="仿宋"/>
                <w:color w:val="auto"/>
                <w:kern w:val="0"/>
                <w:sz w:val="24"/>
                <w:highlight w:val="none"/>
              </w:rPr>
            </w:pPr>
            <w:r>
              <w:rPr>
                <w:rFonts w:hint="eastAsia" w:ascii="仿宋" w:hAnsi="仿宋" w:eastAsia="仿宋" w:cs="仿宋"/>
                <w:kern w:val="0"/>
                <w:sz w:val="24"/>
                <w:highlight w:val="none"/>
              </w:rPr>
              <w:t>标项一:</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标项名称:</w:t>
            </w:r>
            <w:r>
              <w:rPr>
                <w:rFonts w:hint="eastAsia" w:ascii="仿宋" w:hAnsi="仿宋" w:eastAsia="仿宋" w:cs="仿宋"/>
                <w:kern w:val="0"/>
                <w:sz w:val="24"/>
                <w:highlight w:val="none"/>
                <w:lang w:eastAsia="zh-CN"/>
              </w:rPr>
              <w:t>绍兴市九里强制隔离戒毒所探访中心建筑改造工程</w:t>
            </w:r>
            <w:r>
              <w:rPr>
                <w:rFonts w:hint="eastAsia" w:ascii="仿宋" w:hAnsi="仿宋" w:eastAsia="仿宋" w:cs="仿宋"/>
                <w:kern w:val="0"/>
                <w:sz w:val="24"/>
                <w:highlight w:val="none"/>
              </w:rPr>
              <w:t> </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数量:不限</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预算金额（元）:</w:t>
            </w:r>
            <w:r>
              <w:rPr>
                <w:rFonts w:hint="eastAsia" w:ascii="仿宋" w:hAnsi="仿宋" w:eastAsia="仿宋" w:cs="仿宋"/>
                <w:kern w:val="0"/>
                <w:sz w:val="24"/>
                <w:highlight w:val="none"/>
                <w:lang w:val="en-US" w:eastAsia="zh-CN"/>
              </w:rPr>
              <w:t>885324</w:t>
            </w:r>
            <w:r>
              <w:rPr>
                <w:rFonts w:hint="eastAsia" w:ascii="仿宋" w:hAnsi="仿宋" w:eastAsia="仿宋" w:cs="仿宋"/>
                <w:kern w:val="0"/>
                <w:sz w:val="24"/>
                <w:highlight w:val="none"/>
              </w:rPr>
              <w:br w:type="textWrapping"/>
            </w:r>
            <w:r>
              <w:rPr>
                <w:rFonts w:hint="eastAsia" w:ascii="仿宋" w:hAnsi="仿宋" w:eastAsia="仿宋" w:cs="仿宋"/>
                <w:color w:val="auto"/>
                <w:kern w:val="0"/>
                <w:sz w:val="24"/>
                <w:highlight w:val="none"/>
              </w:rPr>
              <w:t>     简要规格描述或项目基本概况介绍、用途：详见采购文件。 </w:t>
            </w:r>
          </w:p>
          <w:p>
            <w:pPr>
              <w:pStyle w:val="65"/>
              <w:spacing w:afterLines="0" w:line="288" w:lineRule="auto"/>
              <w:ind w:left="479" w:leftChars="228"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备注：无。</w:t>
            </w:r>
          </w:p>
          <w:p>
            <w:pPr>
              <w:pStyle w:val="65"/>
              <w:spacing w:afterLines="0" w:line="288"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合同履约期限：按双方合同约定条款执行。</w:t>
            </w:r>
          </w:p>
          <w:p>
            <w:pPr>
              <w:widowControl/>
              <w:snapToGrid w:val="0"/>
              <w:spacing w:line="288"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lang w:val="en-US" w:eastAsia="zh-CN"/>
              </w:rPr>
              <w:t>是</w:t>
            </w:r>
            <w:r>
              <w:rPr>
                <w:rFonts w:hint="eastAsia" w:ascii="仿宋" w:hAnsi="仿宋" w:eastAsia="仿宋" w:cs="仿宋"/>
                <w:color w:val="auto"/>
                <w:kern w:val="0"/>
                <w:sz w:val="24"/>
                <w:highlight w:val="none"/>
              </w:rPr>
              <w:t>）接受联合体投标。</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二、申请人的资格要求：</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2.落实政府采购政策需满足的资格要求：</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无；</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专门面向中小企业</w:t>
            </w:r>
          </w:p>
          <w:p>
            <w:pPr>
              <w:widowControl/>
              <w:snapToGrid w:val="0"/>
              <w:spacing w:line="288"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val="en-US" w:eastAsia="zh-CN"/>
              </w:rPr>
              <w:t>工程</w:t>
            </w:r>
            <w:r>
              <w:rPr>
                <w:rFonts w:hint="eastAsia" w:ascii="仿宋" w:hAnsi="仿宋" w:eastAsia="仿宋" w:cs="仿宋"/>
                <w:color w:val="auto"/>
                <w:kern w:val="0"/>
                <w:sz w:val="24"/>
                <w:highlight w:val="none"/>
              </w:rPr>
              <w:t>全部由符合政策要求的中小企业承接，提供中小企业声明函；</w:t>
            </w:r>
          </w:p>
          <w:p>
            <w:pPr>
              <w:widowControl/>
              <w:snapToGrid w:val="0"/>
              <w:spacing w:line="288"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lang w:val="en-US" w:eastAsia="zh-CN"/>
              </w:rPr>
              <w:t>工程</w:t>
            </w:r>
            <w:r>
              <w:rPr>
                <w:rFonts w:hint="eastAsia" w:ascii="仿宋" w:hAnsi="仿宋" w:eastAsia="仿宋" w:cs="仿宋"/>
                <w:color w:val="auto"/>
                <w:kern w:val="0"/>
                <w:sz w:val="24"/>
                <w:highlight w:val="none"/>
              </w:rPr>
              <w:t>全部由符合政策要求的小微企业承接，提供中小企业声明函；</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要求以联合体形式参加，提供联合协议和中小企业声明函，联合协议中中小企业合同金额应当达到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%，小微企业合同金额应当达到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%;如果供应商本身提供所有标的均由中小企业制造、承建或承接，视同符合了资格条件，无需再与其他中小企业组成联合体参加政府采购活动，无需提供联合协议；</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要求合同分包，提供分包意向协议和中小企业声明函，分包意向协议中中小企业合同金额应当达到达到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，小微企业合同金额应当达到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;如果供应商本身提供所有标的均由中小企业制造、承建或承接，视同符合了资格条件，无需再向中小企业分包，无需提供分包意向协议。</w:t>
            </w:r>
          </w:p>
          <w:p>
            <w:pPr>
              <w:pStyle w:val="24"/>
              <w:adjustRightInd/>
              <w:spacing w:before="0" w:beforeAutospacing="0" w:after="0" w:afterAutospacing="0" w:line="276" w:lineRule="auto"/>
              <w:ind w:firstLine="480" w:firstLineChars="20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3.本项目的特定资格要求：</w:t>
            </w:r>
          </w:p>
          <w:p>
            <w:pPr>
              <w:pStyle w:val="24"/>
              <w:adjustRightInd/>
              <w:spacing w:before="0" w:beforeAutospacing="0" w:after="0" w:afterAutospacing="0" w:line="276" w:lineRule="auto"/>
              <w:ind w:firstLine="480" w:firstLineChars="200"/>
              <w:jc w:val="both"/>
              <w:rPr>
                <w:rFonts w:hint="eastAsia" w:ascii="仿宋" w:hAnsi="仿宋" w:eastAsia="仿宋" w:cs="仿宋"/>
                <w:highlight w:val="none"/>
              </w:rPr>
            </w:pPr>
            <w:r>
              <w:rPr>
                <w:rFonts w:hint="eastAsia" w:ascii="仿宋" w:hAnsi="仿宋" w:eastAsia="仿宋" w:cs="仿宋"/>
                <w:highlight w:val="none"/>
              </w:rPr>
              <w:t>①投标人</w:t>
            </w:r>
            <w:r>
              <w:rPr>
                <w:rFonts w:hint="eastAsia" w:ascii="仿宋" w:hAnsi="仿宋" w:eastAsia="仿宋" w:cs="仿宋"/>
                <w:highlight w:val="none"/>
                <w:lang w:eastAsia="zh-CN"/>
              </w:rPr>
              <w:t>具有</w:t>
            </w:r>
            <w:r>
              <w:rPr>
                <w:rFonts w:hint="eastAsia" w:ascii="仿宋" w:hAnsi="仿宋" w:eastAsia="仿宋" w:cs="仿宋"/>
                <w:color w:val="333333"/>
                <w:highlight w:val="none"/>
                <w:shd w:val="clear" w:color="auto" w:fill="FFFFFF"/>
              </w:rPr>
              <w:t>建设行政主管部门核发的</w:t>
            </w:r>
            <w:r>
              <w:rPr>
                <w:rFonts w:hint="eastAsia" w:ascii="仿宋" w:hAnsi="仿宋" w:eastAsia="仿宋" w:cs="仿宋"/>
                <w:bCs/>
                <w:sz w:val="24"/>
                <w:highlight w:val="none"/>
              </w:rPr>
              <w:t>建筑工程施工总承包</w:t>
            </w:r>
            <w:r>
              <w:rPr>
                <w:rFonts w:hint="eastAsia" w:ascii="仿宋" w:hAnsi="仿宋" w:eastAsia="仿宋" w:cs="仿宋"/>
                <w:bCs/>
                <w:sz w:val="24"/>
                <w:highlight w:val="none"/>
                <w:lang w:val="en-US" w:eastAsia="zh-CN"/>
              </w:rPr>
              <w:t>叁</w:t>
            </w:r>
            <w:r>
              <w:rPr>
                <w:rFonts w:hint="eastAsia" w:ascii="仿宋" w:hAnsi="仿宋" w:eastAsia="仿宋" w:cs="仿宋"/>
                <w:bCs/>
                <w:sz w:val="24"/>
                <w:highlight w:val="none"/>
              </w:rPr>
              <w:t>级（</w:t>
            </w:r>
            <w:r>
              <w:rPr>
                <w:rFonts w:hint="eastAsia" w:ascii="仿宋" w:hAnsi="仿宋" w:eastAsia="仿宋" w:cs="仿宋"/>
                <w:color w:val="333333"/>
                <w:highlight w:val="none"/>
                <w:shd w:val="clear" w:color="auto" w:fill="FFFFFF"/>
              </w:rPr>
              <w:t>含）</w:t>
            </w:r>
            <w:r>
              <w:rPr>
                <w:rFonts w:hint="eastAsia" w:ascii="仿宋" w:hAnsi="仿宋" w:eastAsia="仿宋" w:cs="仿宋"/>
                <w:highlight w:val="none"/>
              </w:rPr>
              <w:t>以上资质，具备安全生产许可证；</w:t>
            </w:r>
          </w:p>
          <w:p>
            <w:pPr>
              <w:pStyle w:val="24"/>
              <w:adjustRightInd/>
              <w:spacing w:before="0" w:beforeAutospacing="0" w:after="0" w:afterAutospacing="0" w:line="276" w:lineRule="auto"/>
              <w:ind w:firstLine="480" w:firstLineChars="200"/>
              <w:jc w:val="both"/>
              <w:rPr>
                <w:rFonts w:hint="eastAsia" w:ascii="仿宋" w:hAnsi="仿宋" w:eastAsia="仿宋" w:cs="仿宋"/>
                <w:highlight w:val="none"/>
              </w:rPr>
            </w:pPr>
            <w:r>
              <w:rPr>
                <w:rFonts w:hint="eastAsia" w:ascii="仿宋" w:hAnsi="仿宋" w:eastAsia="仿宋" w:cs="仿宋"/>
                <w:highlight w:val="none"/>
              </w:rPr>
              <w:t>②拟派项目负责人具有建筑工程</w:t>
            </w:r>
            <w:r>
              <w:rPr>
                <w:rFonts w:hint="eastAsia" w:ascii="仿宋" w:hAnsi="仿宋" w:eastAsia="仿宋" w:cs="仿宋"/>
                <w:highlight w:val="none"/>
                <w:lang w:eastAsia="zh-CN"/>
              </w:rPr>
              <w:t>注册建造师</w:t>
            </w:r>
            <w:r>
              <w:rPr>
                <w:rFonts w:hint="eastAsia" w:ascii="仿宋" w:hAnsi="仿宋" w:eastAsia="仿宋" w:cs="仿宋"/>
                <w:highlight w:val="none"/>
              </w:rPr>
              <w:t>证书</w:t>
            </w:r>
            <w:r>
              <w:rPr>
                <w:rFonts w:hint="eastAsia" w:ascii="仿宋" w:hAnsi="仿宋" w:eastAsia="仿宋" w:cs="仿宋"/>
                <w:highlight w:val="none"/>
                <w:lang w:eastAsia="zh-CN"/>
              </w:rPr>
              <w:t>二级及以上资质</w:t>
            </w:r>
            <w:r>
              <w:rPr>
                <w:rFonts w:hint="eastAsia" w:ascii="仿宋" w:hAnsi="仿宋" w:eastAsia="仿宋" w:cs="仿宋"/>
                <w:highlight w:val="none"/>
              </w:rPr>
              <w:t>，具有安全生产考核证书（B证）</w:t>
            </w:r>
            <w:r>
              <w:rPr>
                <w:rFonts w:hint="eastAsia" w:ascii="仿宋" w:hAnsi="仿宋" w:eastAsia="仿宋" w:cs="仿宋"/>
                <w:highlight w:val="none"/>
                <w:lang w:eastAsia="zh-CN"/>
              </w:rPr>
              <w:t>，</w:t>
            </w:r>
            <w:r>
              <w:rPr>
                <w:rFonts w:hint="eastAsia" w:ascii="仿宋" w:hAnsi="仿宋" w:eastAsia="仿宋" w:cs="仿宋"/>
                <w:highlight w:val="none"/>
              </w:rPr>
              <w:t>且无在建工程。拟派项目负责人为投标企业在职职工的（在职职工不包括离、退休返聘人员），须提供缴费期限包含</w:t>
            </w:r>
            <w:r>
              <w:rPr>
                <w:rFonts w:hint="eastAsia" w:ascii="仿宋" w:hAnsi="仿宋" w:eastAsia="仿宋" w:cs="仿宋"/>
                <w:highlight w:val="none"/>
                <w:lang w:eastAsia="zh-CN"/>
              </w:rPr>
              <w:t>2022年</w:t>
            </w:r>
            <w:r>
              <w:rPr>
                <w:rFonts w:hint="eastAsia" w:ascii="仿宋" w:hAnsi="仿宋" w:eastAsia="仿宋" w:cs="仿宋"/>
                <w:highlight w:val="none"/>
                <w:lang w:val="en-US" w:eastAsia="zh-CN"/>
              </w:rPr>
              <w:t>4</w:t>
            </w:r>
            <w:r>
              <w:rPr>
                <w:rFonts w:hint="eastAsia" w:ascii="仿宋" w:hAnsi="仿宋" w:eastAsia="仿宋" w:cs="仿宋"/>
                <w:highlight w:val="none"/>
                <w:lang w:eastAsia="zh-CN"/>
              </w:rPr>
              <w:t>月至2022年</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月</w:t>
            </w:r>
            <w:r>
              <w:rPr>
                <w:rFonts w:hint="eastAsia" w:ascii="仿宋" w:hAnsi="仿宋" w:eastAsia="仿宋" w:cs="仿宋"/>
                <w:highlight w:val="none"/>
              </w:rPr>
              <w:t>的投标人所属社保机构养老保险交纳清单或证明（缴费单位和投标人名称必须一致，并加盖社保缴费证明专用章）；</w:t>
            </w:r>
          </w:p>
          <w:p>
            <w:pPr>
              <w:pStyle w:val="24"/>
              <w:adjustRightInd/>
              <w:spacing w:before="0" w:beforeAutospacing="0" w:after="0" w:afterAutospacing="0" w:line="276" w:lineRule="auto"/>
              <w:ind w:firstLine="480" w:firstLineChars="200"/>
              <w:jc w:val="both"/>
              <w:rPr>
                <w:rFonts w:hint="eastAsia" w:ascii="仿宋" w:hAnsi="仿宋" w:eastAsia="仿宋" w:cs="仿宋"/>
                <w:highlight w:val="none"/>
              </w:rPr>
            </w:pPr>
            <w:r>
              <w:rPr>
                <w:rFonts w:hint="eastAsia" w:ascii="仿宋" w:hAnsi="仿宋" w:eastAsia="仿宋" w:cs="仿宋"/>
                <w:highlight w:val="none"/>
              </w:rPr>
              <w:t>③浙江省外企业须提供浙江省住建厅核发的有效期内备案证明(浙江省内企业不作要求)。 </w:t>
            </w:r>
          </w:p>
          <w:p>
            <w:pPr>
              <w:pStyle w:val="24"/>
              <w:adjustRightInd/>
              <w:spacing w:before="0" w:beforeAutospacing="0" w:after="0" w:afterAutospacing="0" w:line="276" w:lineRule="auto"/>
              <w:ind w:firstLine="480" w:firstLineChars="200"/>
              <w:jc w:val="both"/>
              <w:rPr>
                <w:rFonts w:hint="eastAsia" w:ascii="仿宋" w:hAnsi="仿宋" w:eastAsia="仿宋" w:cs="仿宋"/>
                <w:color w:val="auto"/>
                <w:kern w:val="0"/>
                <w:sz w:val="24"/>
                <w:highlight w:val="none"/>
              </w:rPr>
            </w:pPr>
            <w:r>
              <w:rPr>
                <w:rFonts w:hint="eastAsia" w:ascii="仿宋" w:hAnsi="仿宋" w:eastAsia="仿宋" w:cs="仿宋"/>
                <w:highlight w:val="none"/>
              </w:rPr>
              <w:t>④企业和项目负责人近五年无行贿犯罪记录（投标人提供承诺书）。</w:t>
            </w:r>
          </w:p>
          <w:p>
            <w:pPr>
              <w:pStyle w:val="24"/>
              <w:adjustRightInd/>
              <w:spacing w:before="0" w:beforeAutospacing="0" w:after="0" w:afterAutospacing="0" w:line="276" w:lineRule="auto"/>
              <w:ind w:firstLine="480" w:firstLineChars="200"/>
              <w:jc w:val="both"/>
              <w:rPr>
                <w:rFonts w:hint="eastAsia" w:ascii="仿宋" w:hAnsi="仿宋" w:eastAsia="仿宋" w:cs="仿宋"/>
                <w:highlight w:val="none"/>
              </w:rPr>
            </w:pPr>
            <w:r>
              <w:rPr>
                <w:rFonts w:hint="eastAsia" w:ascii="仿宋" w:hAnsi="仿宋" w:eastAsia="仿宋" w:cs="仿宋"/>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三、获取招标文件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时间：</w:t>
            </w:r>
            <w:r>
              <w:rPr>
                <w:rFonts w:hint="eastAsia" w:ascii="仿宋" w:hAnsi="仿宋" w:eastAsia="仿宋" w:cs="仿宋"/>
                <w:bCs/>
                <w:kern w:val="0"/>
                <w:sz w:val="24"/>
                <w:highlight w:val="none"/>
              </w:rPr>
              <w:t>/</w:t>
            </w:r>
            <w:r>
              <w:rPr>
                <w:rFonts w:hint="eastAsia" w:ascii="仿宋" w:hAnsi="仿宋" w:eastAsia="仿宋" w:cs="仿宋"/>
                <w:kern w:val="0"/>
                <w:sz w:val="24"/>
                <w:highlight w:val="none"/>
              </w:rPr>
              <w:t>至</w:t>
            </w:r>
            <w:r>
              <w:rPr>
                <w:rFonts w:hint="eastAsia" w:ascii="仿宋" w:hAnsi="仿宋" w:eastAsia="仿宋" w:cs="仿宋"/>
                <w:kern w:val="0"/>
                <w:sz w:val="24"/>
                <w:highlight w:val="none"/>
                <w:lang w:eastAsia="zh-CN"/>
              </w:rPr>
              <w:t>202</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22</w:t>
            </w:r>
            <w:r>
              <w:rPr>
                <w:rFonts w:hint="eastAsia" w:ascii="仿宋" w:hAnsi="仿宋" w:eastAsia="仿宋" w:cs="仿宋"/>
                <w:kern w:val="0"/>
                <w:sz w:val="24"/>
                <w:highlight w:val="none"/>
              </w:rPr>
              <w:t>日，每天上午00:00至12:00，下午12:00至23:59（北京时间，线上获取法定节假日均可，线下获取文件法定节假日除外）</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地点（网址）：</w:t>
            </w:r>
            <w:r>
              <w:rPr>
                <w:rFonts w:hint="eastAsia" w:ascii="仿宋" w:hAnsi="仿宋" w:eastAsia="仿宋" w:cs="仿宋"/>
                <w:bCs/>
                <w:kern w:val="0"/>
                <w:sz w:val="24"/>
                <w:highlight w:val="none"/>
              </w:rPr>
              <w:t>http://www.zcygov.cn/</w:t>
            </w:r>
            <w:r>
              <w:rPr>
                <w:rFonts w:hint="eastAsia" w:ascii="仿宋" w:hAnsi="仿宋" w:eastAsia="仿宋" w:cs="仿宋"/>
                <w:kern w:val="0"/>
                <w:sz w:val="24"/>
                <w:highlight w:val="none"/>
              </w:rPr>
              <w:t>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方式：</w:t>
            </w:r>
            <w:r>
              <w:rPr>
                <w:rFonts w:hint="eastAsia" w:ascii="仿宋" w:hAnsi="仿宋" w:eastAsia="仿宋" w:cs="仿宋"/>
                <w:bCs/>
                <w:kern w:val="0"/>
                <w:sz w:val="24"/>
                <w:highlight w:val="none"/>
              </w:rPr>
              <w:t>供应商登陆政采云平台http://www.zcygov.cn/，在线申请获取采购文件（进入“项目采购”应用，在获取采购文件菜单中选择项目，申请获取采购文件）。</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售价（元）：0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四、提交投标文件截止时间、开标时间和地点</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提交投标文件截止时间：</w:t>
            </w:r>
            <w:r>
              <w:rPr>
                <w:rFonts w:hint="eastAsia" w:ascii="仿宋" w:hAnsi="仿宋" w:eastAsia="仿宋" w:cs="仿宋"/>
                <w:kern w:val="0"/>
                <w:sz w:val="24"/>
                <w:highlight w:val="none"/>
                <w:lang w:eastAsia="zh-CN"/>
              </w:rPr>
              <w:t>202</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22</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0（北京时间）</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投标地点（网址）：</w:t>
            </w:r>
            <w:r>
              <w:rPr>
                <w:rFonts w:hint="eastAsia" w:ascii="仿宋" w:hAnsi="仿宋" w:eastAsia="仿宋" w:cs="仿宋"/>
                <w:bCs/>
                <w:kern w:val="0"/>
                <w:sz w:val="24"/>
                <w:highlight w:val="none"/>
              </w:rPr>
              <w:t>http://www.zcygov.cn/</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开标时间：</w:t>
            </w:r>
            <w:r>
              <w:rPr>
                <w:rFonts w:hint="eastAsia" w:ascii="仿宋" w:hAnsi="仿宋" w:eastAsia="仿宋" w:cs="仿宋"/>
                <w:kern w:val="0"/>
                <w:sz w:val="24"/>
                <w:highlight w:val="none"/>
                <w:lang w:eastAsia="zh-CN"/>
              </w:rPr>
              <w:t>202</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22</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0</w:t>
            </w:r>
            <w:r>
              <w:rPr>
                <w:rFonts w:hint="eastAsia" w:ascii="仿宋" w:hAnsi="仿宋" w:eastAsia="仿宋" w:cs="仿宋"/>
                <w:color w:val="FF0000"/>
                <w:kern w:val="0"/>
                <w:sz w:val="24"/>
                <w:highlight w:val="none"/>
              </w:rPr>
              <w:t>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开标地点（网址）：</w:t>
            </w:r>
            <w:r>
              <w:rPr>
                <w:rFonts w:hint="eastAsia" w:ascii="仿宋" w:eastAsia="仿宋"/>
                <w:b w:val="0"/>
                <w:bCs w:val="0"/>
                <w:i w:val="0"/>
                <w:iCs w:val="0"/>
                <w:caps w:val="0"/>
                <w:smallCaps w:val="0"/>
                <w:color w:val="3F3F3F"/>
                <w:spacing w:val="0"/>
                <w:sz w:val="24"/>
                <w:szCs w:val="24"/>
                <w:highlight w:val="none"/>
              </w:rPr>
              <w:t>政采云平台http://www.zcygov.cn/</w:t>
            </w:r>
            <w:r>
              <w:rPr>
                <w:rFonts w:ascii="仿宋" w:eastAsia="仿宋"/>
                <w:b w:val="0"/>
                <w:bCs w:val="0"/>
                <w:i w:val="0"/>
                <w:iCs w:val="0"/>
                <w:caps w:val="0"/>
                <w:smallCaps w:val="0"/>
                <w:color w:val="3F3F3F"/>
                <w:spacing w:val="0"/>
                <w:sz w:val="24"/>
                <w:szCs w:val="24"/>
                <w:highlight w:val="none"/>
              </w:rPr>
              <w:t>；现场开标</w:t>
            </w:r>
            <w:r>
              <w:rPr>
                <w:rFonts w:ascii="仿宋" w:hAnsi="Times New Roman" w:eastAsia="仿宋" w:cs="Times New Roman"/>
                <w:b w:val="0"/>
                <w:bCs w:val="0"/>
                <w:i w:val="0"/>
                <w:iCs w:val="0"/>
                <w:caps w:val="0"/>
                <w:smallCaps w:val="0"/>
                <w:color w:val="3F3F3F"/>
                <w:spacing w:val="0"/>
                <w:sz w:val="24"/>
                <w:szCs w:val="24"/>
                <w:highlight w:val="none"/>
              </w:rPr>
              <w:t>地点：</w:t>
            </w:r>
            <w:r>
              <w:rPr>
                <w:rFonts w:hint="eastAsia" w:ascii="仿宋" w:hAnsi="Times New Roman" w:eastAsia="仿宋" w:cs="Times New Roman"/>
                <w:b w:val="0"/>
                <w:bCs w:val="0"/>
                <w:i w:val="0"/>
                <w:iCs w:val="0"/>
                <w:caps w:val="0"/>
                <w:smallCaps w:val="0"/>
                <w:color w:val="3F3F3F"/>
                <w:spacing w:val="0"/>
                <w:sz w:val="24"/>
                <w:szCs w:val="24"/>
                <w:highlight w:val="none"/>
              </w:rPr>
              <w:t>耀华建设管理有限公司绍兴迪荡分公司（绍兴市越城区阳明北路80号滨江大厦C楼3楼</w:t>
            </w:r>
            <w:r>
              <w:rPr>
                <w:rFonts w:hint="eastAsia" w:ascii="仿宋" w:hAnsi="Times New Roman" w:eastAsia="仿宋" w:cs="Times New Roman"/>
                <w:b w:val="0"/>
                <w:bCs w:val="0"/>
                <w:i w:val="0"/>
                <w:iCs w:val="0"/>
                <w:caps w:val="0"/>
                <w:smallCaps w:val="0"/>
                <w:color w:val="3F3F3F"/>
                <w:spacing w:val="0"/>
                <w:sz w:val="24"/>
                <w:szCs w:val="24"/>
                <w:highlight w:val="none"/>
                <w:lang w:val="en-US" w:eastAsia="zh-CN"/>
              </w:rPr>
              <w:t>309</w:t>
            </w:r>
            <w:r>
              <w:rPr>
                <w:rFonts w:hint="eastAsia" w:ascii="仿宋" w:hAnsi="Times New Roman" w:eastAsia="仿宋" w:cs="Times New Roman"/>
                <w:b w:val="0"/>
                <w:bCs w:val="0"/>
                <w:i w:val="0"/>
                <w:iCs w:val="0"/>
                <w:caps w:val="0"/>
                <w:smallCaps w:val="0"/>
                <w:color w:val="3F3F3F"/>
                <w:spacing w:val="0"/>
                <w:sz w:val="24"/>
                <w:szCs w:val="24"/>
                <w:highlight w:val="none"/>
              </w:rPr>
              <w:t>号）开标室。</w:t>
            </w:r>
            <w:r>
              <w:rPr>
                <w:rFonts w:hint="eastAsia" w:ascii="仿宋" w:hAnsi="仿宋" w:eastAsia="仿宋" w:cs="仿宋"/>
                <w:kern w:val="0"/>
                <w:sz w:val="24"/>
                <w:highlight w:val="none"/>
              </w:rPr>
              <w:t>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五、公告期限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自本公告发布之日起5个工作日。</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六、其他补充事宜</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视为投标文件撤回；⑩具体操作指南：详见政采云平台“服务中心-帮助文档-项目采购-操作流程-电子招投标-政府采购项目电子交易管理操作指南-供应商”。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七、对本次采购提出询问、质疑、投诉，请按以下方式联系</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1.采购人信息</w:t>
            </w:r>
          </w:p>
          <w:p>
            <w:pPr>
              <w:widowControl/>
              <w:snapToGrid w:val="0"/>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名称：绍兴市九里强制隔离戒毒所</w:t>
            </w:r>
          </w:p>
          <w:p>
            <w:pPr>
              <w:widowControl/>
              <w:snapToGrid w:val="0"/>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 xml:space="preserve">地址：绍兴市城南街道九里村 </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传真：/  </w:t>
            </w:r>
          </w:p>
          <w:p>
            <w:pPr>
              <w:widowControl/>
              <w:snapToGrid w:val="0"/>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项目联系人（询问）：吴警官</w:t>
            </w:r>
          </w:p>
          <w:p>
            <w:pPr>
              <w:widowControl/>
              <w:snapToGrid w:val="0"/>
              <w:spacing w:line="288" w:lineRule="auto"/>
              <w:ind w:firstLine="480" w:firstLineChars="200"/>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eastAsia="zh-CN"/>
              </w:rPr>
              <w:t>项目联系方式（询问）：0575-89109529</w:t>
            </w:r>
          </w:p>
          <w:p>
            <w:pPr>
              <w:widowControl/>
              <w:snapToGrid w:val="0"/>
              <w:spacing w:line="288" w:lineRule="auto"/>
              <w:ind w:firstLine="480" w:firstLineChars="200"/>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eastAsia="zh-CN"/>
              </w:rPr>
              <w:t>质疑联系人：</w:t>
            </w:r>
            <w:r>
              <w:rPr>
                <w:rFonts w:hint="eastAsia" w:ascii="仿宋" w:hAnsi="仿宋" w:eastAsia="仿宋" w:cs="仿宋"/>
                <w:kern w:val="0"/>
                <w:sz w:val="24"/>
                <w:highlight w:val="none"/>
                <w:lang w:val="en-US" w:eastAsia="zh-CN"/>
              </w:rPr>
              <w:t>何警官</w:t>
            </w:r>
          </w:p>
          <w:p>
            <w:pPr>
              <w:widowControl/>
              <w:snapToGrid w:val="0"/>
              <w:spacing w:line="288" w:lineRule="auto"/>
              <w:ind w:firstLine="480" w:firstLineChars="200"/>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eastAsia="zh-CN"/>
              </w:rPr>
              <w:t>质疑联系方式：</w:t>
            </w:r>
            <w:r>
              <w:rPr>
                <w:rFonts w:hint="eastAsia" w:ascii="仿宋" w:hAnsi="仿宋" w:eastAsia="仿宋" w:cs="仿宋"/>
                <w:kern w:val="0"/>
                <w:sz w:val="24"/>
                <w:highlight w:val="none"/>
                <w:lang w:val="en-US" w:eastAsia="zh-CN"/>
              </w:rPr>
              <w:t>0575-89109511</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2.采购代理机构信息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名称：耀华建设管理有限公司       </w:t>
            </w:r>
          </w:p>
          <w:p>
            <w:pPr>
              <w:widowControl/>
              <w:snapToGrid w:val="0"/>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地址：绍兴市越城区阳明北路80号滨江大厦C楼3楼</w:t>
            </w:r>
            <w:r>
              <w:rPr>
                <w:rFonts w:hint="eastAsia" w:ascii="仿宋" w:hAnsi="仿宋" w:eastAsia="仿宋" w:cs="仿宋"/>
                <w:kern w:val="0"/>
                <w:sz w:val="24"/>
                <w:highlight w:val="none"/>
                <w:lang w:val="en-US" w:eastAsia="zh-CN"/>
              </w:rPr>
              <w:t>309</w:t>
            </w:r>
            <w:r>
              <w:rPr>
                <w:rFonts w:hint="eastAsia" w:ascii="仿宋" w:hAnsi="仿宋" w:eastAsia="仿宋" w:cs="仿宋"/>
                <w:kern w:val="0"/>
                <w:sz w:val="24"/>
                <w:highlight w:val="none"/>
                <w:lang w:eastAsia="zh-CN"/>
              </w:rPr>
              <w:t>号</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传真：/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项目联系人（询问）：</w:t>
            </w:r>
            <w:r>
              <w:rPr>
                <w:rFonts w:hint="eastAsia" w:ascii="仿宋" w:hAnsi="仿宋" w:eastAsia="仿宋" w:cs="仿宋"/>
                <w:kern w:val="0"/>
                <w:sz w:val="24"/>
                <w:highlight w:val="none"/>
                <w:lang w:eastAsia="zh-CN"/>
              </w:rPr>
              <w:t>栾雪明</w:t>
            </w:r>
            <w:r>
              <w:rPr>
                <w:rFonts w:hint="eastAsia" w:ascii="仿宋" w:hAnsi="仿宋" w:eastAsia="仿宋" w:cs="仿宋"/>
                <w:kern w:val="0"/>
                <w:sz w:val="24"/>
                <w:highlight w:val="none"/>
              </w:rPr>
              <w:t xml:space="preserve">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项目联系方式（询问）：0575-</w:t>
            </w:r>
            <w:r>
              <w:rPr>
                <w:rFonts w:hint="eastAsia" w:ascii="仿宋" w:hAnsi="仿宋" w:eastAsia="仿宋" w:cs="仿宋"/>
                <w:kern w:val="0"/>
                <w:sz w:val="24"/>
                <w:highlight w:val="none"/>
                <w:lang w:val="en-US" w:eastAsia="zh-CN"/>
              </w:rPr>
              <w:t>88776697</w:t>
            </w:r>
            <w:r>
              <w:rPr>
                <w:rFonts w:hint="eastAsia" w:ascii="仿宋" w:hAnsi="仿宋" w:eastAsia="仿宋" w:cs="仿宋"/>
                <w:kern w:val="0"/>
                <w:sz w:val="24"/>
                <w:highlight w:val="none"/>
              </w:rPr>
              <w:t xml:space="preserve">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质疑联系人：单成燕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质疑联系方式：0575-88</w:t>
            </w:r>
            <w:r>
              <w:rPr>
                <w:rFonts w:hint="eastAsia" w:ascii="仿宋" w:hAnsi="仿宋" w:eastAsia="仿宋" w:cs="仿宋"/>
                <w:kern w:val="0"/>
                <w:sz w:val="24"/>
                <w:highlight w:val="none"/>
                <w:lang w:val="en-US" w:eastAsia="zh-CN"/>
              </w:rPr>
              <w:t>336881</w:t>
            </w:r>
            <w:r>
              <w:rPr>
                <w:rFonts w:hint="eastAsia" w:ascii="仿宋" w:hAnsi="仿宋" w:eastAsia="仿宋" w:cs="仿宋"/>
                <w:kern w:val="0"/>
                <w:sz w:val="24"/>
                <w:highlight w:val="none"/>
              </w:rPr>
              <w:t xml:space="preserve"> 　　　　　　   </w:t>
            </w:r>
          </w:p>
          <w:p>
            <w:pPr>
              <w:widowControl/>
              <w:snapToGrid w:val="0"/>
              <w:spacing w:line="288"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3.同级政府采购监督管理部门       </w:t>
            </w:r>
          </w:p>
          <w:p>
            <w:pPr>
              <w:widowControl/>
              <w:snapToGrid w:val="0"/>
              <w:spacing w:line="288"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名称：绍兴市财政局       </w:t>
            </w:r>
          </w:p>
          <w:p>
            <w:pPr>
              <w:widowControl/>
              <w:snapToGrid w:val="0"/>
              <w:spacing w:line="288"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地址：绍兴市越城区凤林西路151号       </w:t>
            </w:r>
          </w:p>
          <w:p>
            <w:pPr>
              <w:widowControl/>
              <w:snapToGrid w:val="0"/>
              <w:spacing w:line="288"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传真：/        </w:t>
            </w:r>
          </w:p>
          <w:p>
            <w:pPr>
              <w:widowControl/>
              <w:snapToGrid w:val="0"/>
              <w:spacing w:line="288" w:lineRule="auto"/>
              <w:ind w:firstLine="480" w:firstLineChars="200"/>
              <w:rPr>
                <w:rFonts w:hint="eastAsia" w:ascii="仿宋" w:hAnsi="仿宋" w:eastAsia="仿宋"/>
                <w:kern w:val="0"/>
                <w:sz w:val="24"/>
                <w:highlight w:val="none"/>
              </w:rPr>
            </w:pPr>
            <w:r>
              <w:rPr>
                <w:rFonts w:hint="eastAsia" w:ascii="仿宋" w:hAnsi="仿宋" w:eastAsia="仿宋"/>
                <w:kern w:val="0"/>
                <w:sz w:val="24"/>
                <w:highlight w:val="none"/>
              </w:rPr>
              <w:t xml:space="preserve">联系人：宋晓林       </w:t>
            </w:r>
          </w:p>
          <w:p>
            <w:pPr>
              <w:widowControl/>
              <w:snapToGrid w:val="0"/>
              <w:spacing w:line="288" w:lineRule="auto"/>
              <w:ind w:firstLine="480" w:firstLineChars="200"/>
              <w:rPr>
                <w:rFonts w:hint="eastAsia" w:ascii="仿宋" w:hAnsi="仿宋" w:eastAsia="仿宋"/>
                <w:kern w:val="0"/>
                <w:sz w:val="24"/>
                <w:highlight w:val="none"/>
              </w:rPr>
            </w:pPr>
            <w:r>
              <w:rPr>
                <w:rFonts w:hint="eastAsia" w:ascii="仿宋" w:hAnsi="仿宋" w:eastAsia="仿宋"/>
                <w:kern w:val="0"/>
                <w:sz w:val="24"/>
                <w:highlight w:val="none"/>
              </w:rPr>
              <w:t xml:space="preserve">监督投诉电话：0575-85209697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kern w:val="0"/>
                <w:sz w:val="24"/>
                <w:highlight w:val="none"/>
              </w:rPr>
              <w:t>若对项目采购电子交易系统操作有疑问，可登录政采云（https://www.zcygov.cn/），点击右侧咨询小采，获取采小蜜智能服务管家帮助，或拨打政采云服务热线400-881-7190获取热线服务帮助。</w:t>
            </w:r>
            <w:r>
              <w:rPr>
                <w:rFonts w:hint="eastAsia" w:ascii="仿宋" w:hAnsi="仿宋" w:eastAsia="仿宋" w:cs="仿宋"/>
                <w:kern w:val="0"/>
                <w:sz w:val="24"/>
                <w:highlight w:val="none"/>
              </w:rPr>
              <w:t>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CA问题联系电话（人工）：汇信CA 400-888-4636；天谷CA 400-087-8198。</w:t>
            </w:r>
          </w:p>
        </w:tc>
      </w:tr>
    </w:tbl>
    <w:p>
      <w:pPr>
        <w:widowControl/>
        <w:spacing w:line="288" w:lineRule="auto"/>
        <w:jc w:val="left"/>
        <w:rPr>
          <w:rFonts w:ascii="仿宋" w:hAnsi="仿宋" w:eastAsia="仿宋" w:cs="仿宋"/>
          <w:kern w:val="0"/>
          <w:sz w:val="24"/>
          <w:highlight w:val="none"/>
        </w:rPr>
      </w:pPr>
    </w:p>
    <w:p>
      <w:pPr>
        <w:widowControl/>
        <w:spacing w:line="288" w:lineRule="auto"/>
        <w:jc w:val="left"/>
        <w:rPr>
          <w:rFonts w:ascii="仿宋" w:hAnsi="仿宋" w:eastAsia="仿宋" w:cs="仿宋"/>
          <w:kern w:val="0"/>
          <w:sz w:val="24"/>
          <w:highlight w:val="none"/>
        </w:rPr>
      </w:pPr>
      <w:r>
        <w:rPr>
          <w:rFonts w:hint="eastAsia" w:ascii="仿宋" w:hAnsi="仿宋" w:eastAsia="仿宋" w:cs="仿宋"/>
          <w:sz w:val="24"/>
          <w:highlight w:val="none"/>
        </w:rPr>
        <w:br w:type="page"/>
      </w:r>
    </w:p>
    <w:p>
      <w:pPr>
        <w:pageBreakBefore/>
        <w:snapToGrid w:val="0"/>
        <w:spacing w:line="60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第二部分 投标须知</w:t>
      </w:r>
    </w:p>
    <w:p>
      <w:pPr>
        <w:spacing w:line="288" w:lineRule="auto"/>
        <w:ind w:left="238"/>
        <w:jc w:val="center"/>
        <w:rPr>
          <w:rFonts w:ascii="仿宋" w:hAnsi="仿宋" w:eastAsia="仿宋" w:cs="仿宋"/>
          <w:b/>
          <w:sz w:val="24"/>
          <w:highlight w:val="none"/>
        </w:rPr>
      </w:pPr>
      <w:r>
        <w:rPr>
          <w:rFonts w:hint="eastAsia" w:ascii="仿宋" w:hAnsi="仿宋" w:eastAsia="仿宋" w:cs="仿宋"/>
          <w:b/>
          <w:sz w:val="24"/>
          <w:highlight w:val="none"/>
        </w:rPr>
        <w:t>前附表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910"/>
        <w:gridCol w:w="6106"/>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38" w:type="dxa"/>
            <w:noWrap/>
            <w:vAlign w:val="center"/>
          </w:tcPr>
          <w:p>
            <w:pPr>
              <w:tabs>
                <w:tab w:val="left" w:pos="540"/>
              </w:tabs>
              <w:spacing w:line="288" w:lineRule="auto"/>
              <w:jc w:val="center"/>
              <w:rPr>
                <w:rFonts w:ascii="仿宋" w:hAnsi="仿宋" w:eastAsia="仿宋" w:cs="仿宋"/>
                <w:b/>
                <w:i/>
                <w:iCs/>
                <w:spacing w:val="60"/>
                <w:sz w:val="24"/>
                <w:highlight w:val="none"/>
              </w:rPr>
            </w:pPr>
            <w:r>
              <w:rPr>
                <w:rFonts w:hint="eastAsia" w:ascii="仿宋" w:hAnsi="仿宋" w:eastAsia="仿宋" w:cs="仿宋"/>
                <w:b/>
                <w:kern w:val="16"/>
                <w:sz w:val="24"/>
                <w:highlight w:val="none"/>
              </w:rPr>
              <w:t>序号</w:t>
            </w:r>
          </w:p>
        </w:tc>
        <w:tc>
          <w:tcPr>
            <w:tcW w:w="1910" w:type="dxa"/>
            <w:noWrap/>
            <w:vAlign w:val="center"/>
          </w:tcPr>
          <w:p>
            <w:pPr>
              <w:tabs>
                <w:tab w:val="left" w:pos="540"/>
              </w:tabs>
              <w:spacing w:line="288" w:lineRule="auto"/>
              <w:jc w:val="center"/>
              <w:rPr>
                <w:rFonts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131" w:type="dxa"/>
            <w:gridSpan w:val="2"/>
            <w:noWrap/>
            <w:vAlign w:val="center"/>
          </w:tcPr>
          <w:p>
            <w:pPr>
              <w:tabs>
                <w:tab w:val="left" w:pos="540"/>
              </w:tabs>
              <w:spacing w:line="288" w:lineRule="auto"/>
              <w:jc w:val="center"/>
              <w:rPr>
                <w:rFonts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131" w:type="dxa"/>
            <w:gridSpan w:val="2"/>
            <w:noWrap/>
            <w:vAlign w:val="center"/>
          </w:tcPr>
          <w:p>
            <w:pPr>
              <w:tabs>
                <w:tab w:val="left" w:pos="540"/>
              </w:tabs>
              <w:spacing w:line="288" w:lineRule="auto"/>
              <w:rPr>
                <w:rFonts w:hint="eastAsia" w:ascii="仿宋" w:hAnsi="仿宋" w:eastAsia="仿宋" w:cs="仿宋"/>
                <w:kern w:val="16"/>
                <w:position w:val="6"/>
                <w:sz w:val="24"/>
                <w:highlight w:val="none"/>
                <w:lang w:eastAsia="zh-CN"/>
              </w:rPr>
            </w:pPr>
            <w:r>
              <w:rPr>
                <w:rFonts w:hint="eastAsia" w:ascii="仿宋" w:hAnsi="仿宋" w:eastAsia="仿宋" w:cs="仿宋"/>
                <w:kern w:val="0"/>
                <w:sz w:val="24"/>
                <w:highlight w:val="none"/>
                <w:lang w:eastAsia="zh-CN"/>
              </w:rPr>
              <w:t>绍兴市九里强制隔离戒毒所探访中心建筑改造工程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131" w:type="dxa"/>
            <w:gridSpan w:val="2"/>
            <w:noWrap/>
            <w:vAlign w:val="center"/>
          </w:tcPr>
          <w:p>
            <w:pPr>
              <w:tabs>
                <w:tab w:val="left" w:pos="540"/>
              </w:tabs>
              <w:spacing w:line="288" w:lineRule="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绍兴市九里强制隔离戒毒所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131" w:type="dxa"/>
            <w:gridSpan w:val="2"/>
            <w:noWrap/>
            <w:vAlign w:val="center"/>
          </w:tcPr>
          <w:p>
            <w:pPr>
              <w:tabs>
                <w:tab w:val="left" w:pos="540"/>
              </w:tabs>
              <w:spacing w:line="288" w:lineRule="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工程招标控制价：</w:t>
            </w:r>
            <w:r>
              <w:rPr>
                <w:rFonts w:hint="eastAsia" w:ascii="仿宋" w:hAnsi="仿宋" w:eastAsia="仿宋" w:cs="仿宋"/>
                <w:kern w:val="0"/>
                <w:sz w:val="24"/>
                <w:highlight w:val="none"/>
                <w:lang w:val="en-US" w:eastAsia="zh-CN"/>
              </w:rPr>
              <w:t>885324</w:t>
            </w:r>
            <w:r>
              <w:rPr>
                <w:rFonts w:hint="eastAsia" w:ascii="仿宋" w:hAnsi="仿宋" w:eastAsia="仿宋" w:cs="仿宋"/>
                <w:kern w:val="0"/>
                <w:sz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131" w:type="dxa"/>
            <w:gridSpan w:val="2"/>
            <w:noWrap/>
            <w:vAlign w:val="center"/>
          </w:tcPr>
          <w:p>
            <w:pPr>
              <w:pStyle w:val="103"/>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highlight w:val="none"/>
              </w:rPr>
            </w:pPr>
            <w:r>
              <w:rPr>
                <w:rFonts w:ascii="仿宋" w:hAnsi="仿宋" w:eastAsia="仿宋" w:cs="仿宋"/>
                <w:color w:val="auto"/>
                <w:kern w:val="16"/>
                <w:position w:val="6"/>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131" w:type="dxa"/>
            <w:gridSpan w:val="2"/>
            <w:noWrap/>
            <w:vAlign w:val="center"/>
          </w:tcPr>
          <w:p>
            <w:pPr>
              <w:pStyle w:val="103"/>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highlight w:val="none"/>
              </w:rPr>
            </w:pPr>
            <w:r>
              <w:rPr>
                <w:rFonts w:ascii="仿宋" w:hAnsi="仿宋" w:eastAsia="仿宋" w:cs="仿宋"/>
                <w:bCs/>
                <w:color w:val="auto"/>
                <w:spacing w:val="1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131" w:type="dxa"/>
            <w:gridSpan w:val="2"/>
            <w:noWrap/>
            <w:vAlign w:val="center"/>
          </w:tcPr>
          <w:p>
            <w:pPr>
              <w:pStyle w:val="103"/>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position w:val="6"/>
                <w:highlight w:val="none"/>
              </w:rPr>
            </w:pPr>
            <w:r>
              <w:rPr>
                <w:rFonts w:ascii="仿宋" w:hAnsi="仿宋" w:eastAsia="仿宋" w:cs="仿宋"/>
                <w:color w:val="auto"/>
                <w:kern w:val="16"/>
                <w:position w:val="6"/>
                <w:highlight w:val="none"/>
              </w:rPr>
              <w:t>见预算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工期要求</w:t>
            </w:r>
          </w:p>
        </w:tc>
        <w:tc>
          <w:tcPr>
            <w:tcW w:w="6131" w:type="dxa"/>
            <w:gridSpan w:val="2"/>
            <w:noWrap/>
            <w:vAlign w:val="center"/>
          </w:tcPr>
          <w:p>
            <w:pPr>
              <w:pStyle w:val="103"/>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auto"/>
                <w:kern w:val="16"/>
                <w:position w:val="6"/>
                <w:highlight w:val="none"/>
                <w:lang w:eastAsia="zh-CN"/>
              </w:rPr>
            </w:pPr>
            <w:r>
              <w:rPr>
                <w:rFonts w:hint="eastAsia" w:ascii="仿宋" w:hAnsi="仿宋" w:eastAsia="仿宋" w:cs="仿宋"/>
                <w:color w:val="auto"/>
                <w:kern w:val="16"/>
                <w:highlight w:val="none"/>
                <w:u w:val="single"/>
                <w:lang w:val="en-US" w:eastAsia="zh-CN"/>
              </w:rPr>
              <w:t>60日历天</w:t>
            </w:r>
            <w:r>
              <w:rPr>
                <w:rFonts w:hint="eastAsia" w:ascii="仿宋" w:hAnsi="仿宋" w:eastAsia="仿宋" w:cs="仿宋"/>
                <w:color w:val="auto"/>
                <w:kern w:val="16"/>
                <w:highlight w:val="none"/>
                <w:lang w:eastAsia="zh-CN"/>
              </w:rPr>
              <w:t>（具体开工时间以开工报告为准）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建设资金来源</w:t>
            </w:r>
          </w:p>
        </w:tc>
        <w:tc>
          <w:tcPr>
            <w:tcW w:w="6131" w:type="dxa"/>
            <w:gridSpan w:val="2"/>
            <w:noWrap/>
            <w:vAlign w:val="center"/>
          </w:tcPr>
          <w:p>
            <w:pPr>
              <w:pStyle w:val="103"/>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position w:val="6"/>
                <w:highlight w:val="none"/>
              </w:rPr>
            </w:pPr>
            <w:r>
              <w:rPr>
                <w:rFonts w:ascii="仿宋" w:hAnsi="仿宋" w:eastAsia="仿宋" w:cs="仿宋"/>
                <w:color w:val="auto"/>
                <w:kern w:val="16"/>
                <w:position w:val="6"/>
                <w:highlight w:val="none"/>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是否接受联合体</w:t>
            </w:r>
          </w:p>
        </w:tc>
        <w:tc>
          <w:tcPr>
            <w:tcW w:w="6131" w:type="dxa"/>
            <w:gridSpan w:val="2"/>
            <w:noWrap/>
            <w:vAlign w:val="center"/>
          </w:tcPr>
          <w:p>
            <w:pPr>
              <w:pStyle w:val="103"/>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position w:val="6"/>
                <w:highlight w:val="none"/>
              </w:rPr>
            </w:pPr>
            <w:r>
              <w:rPr>
                <w:rFonts w:ascii="仿宋" w:hAnsi="仿宋" w:eastAsia="仿宋" w:cs="仿宋"/>
                <w:color w:val="auto"/>
                <w:kern w:val="16"/>
                <w:position w:val="6"/>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131" w:type="dxa"/>
            <w:gridSpan w:val="2"/>
            <w:noWrap/>
            <w:vAlign w:val="center"/>
          </w:tcPr>
          <w:p>
            <w:pPr>
              <w:pStyle w:val="103"/>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position w:val="6"/>
                <w:highlight w:val="none"/>
              </w:rPr>
            </w:pPr>
            <w:r>
              <w:rPr>
                <w:rFonts w:ascii="仿宋" w:hAnsi="仿宋" w:eastAsia="仿宋" w:cs="仿宋"/>
                <w:color w:val="auto"/>
                <w:kern w:val="16"/>
                <w:position w:val="6"/>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1910"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评标入围方法</w:t>
            </w:r>
          </w:p>
        </w:tc>
        <w:tc>
          <w:tcPr>
            <w:tcW w:w="6131" w:type="dxa"/>
            <w:gridSpan w:val="2"/>
            <w:noWrap/>
            <w:vAlign w:val="center"/>
          </w:tcPr>
          <w:p>
            <w:pPr>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全部入围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1910" w:type="dxa"/>
            <w:noWrap/>
            <w:vAlign w:val="center"/>
          </w:tcPr>
          <w:p>
            <w:pPr>
              <w:tabs>
                <w:tab w:val="left" w:pos="540"/>
              </w:tabs>
              <w:spacing w:line="288" w:lineRule="auto"/>
              <w:jc w:val="center"/>
              <w:rPr>
                <w:rFonts w:ascii="仿宋" w:hAnsi="仿宋" w:eastAsia="仿宋" w:cs="仿宋"/>
                <w:kern w:val="16"/>
                <w:sz w:val="24"/>
                <w:highlight w:val="none"/>
              </w:rPr>
            </w:pPr>
            <w:r>
              <w:rPr>
                <w:rFonts w:hint="eastAsia" w:ascii="仿宋" w:hAnsi="仿宋" w:eastAsia="仿宋" w:cs="仿宋"/>
                <w:kern w:val="16"/>
                <w:sz w:val="24"/>
                <w:highlight w:val="none"/>
              </w:rPr>
              <w:t>投标有效期</w:t>
            </w:r>
          </w:p>
        </w:tc>
        <w:tc>
          <w:tcPr>
            <w:tcW w:w="6106" w:type="dxa"/>
            <w:noWrap/>
            <w:vAlign w:val="center"/>
          </w:tcPr>
          <w:p>
            <w:pPr>
              <w:tabs>
                <w:tab w:val="left" w:pos="540"/>
              </w:tabs>
              <w:spacing w:line="288" w:lineRule="auto"/>
              <w:rPr>
                <w:rFonts w:ascii="仿宋" w:hAnsi="仿宋" w:eastAsia="仿宋" w:cs="仿宋"/>
                <w:color w:val="auto"/>
                <w:kern w:val="16"/>
                <w:sz w:val="24"/>
                <w:highlight w:val="none"/>
              </w:rPr>
            </w:pPr>
            <w:r>
              <w:rPr>
                <w:rFonts w:hint="eastAsia" w:ascii="仿宋" w:hAnsi="仿宋" w:eastAsia="仿宋" w:cs="仿宋"/>
                <w:color w:val="auto"/>
                <w:kern w:val="16"/>
                <w:sz w:val="24"/>
                <w:highlight w:val="none"/>
                <w:lang w:val="en-US" w:eastAsia="zh-CN"/>
              </w:rPr>
              <w:t>60</w:t>
            </w:r>
            <w:r>
              <w:rPr>
                <w:rFonts w:hint="eastAsia" w:ascii="仿宋" w:hAnsi="仿宋" w:eastAsia="仿宋" w:cs="仿宋"/>
                <w:color w:val="auto"/>
                <w:kern w:val="16"/>
                <w:sz w:val="24"/>
                <w:highlight w:val="none"/>
                <w:lang w:eastAsia="zh-CN"/>
              </w:rPr>
              <w:t>日历天</w:t>
            </w:r>
            <w:r>
              <w:rPr>
                <w:rFonts w:hint="eastAsia" w:ascii="仿宋" w:hAnsi="仿宋" w:eastAsia="仿宋" w:cs="仿宋"/>
                <w:color w:val="auto"/>
                <w:kern w:val="16"/>
                <w:sz w:val="24"/>
                <w:highlight w:val="none"/>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851"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13</w:t>
            </w:r>
          </w:p>
        </w:tc>
        <w:tc>
          <w:tcPr>
            <w:tcW w:w="1910" w:type="dxa"/>
            <w:noWrap/>
            <w:vAlign w:val="center"/>
          </w:tcPr>
          <w:p>
            <w:pPr>
              <w:tabs>
                <w:tab w:val="left" w:pos="540"/>
              </w:tabs>
              <w:spacing w:line="288" w:lineRule="auto"/>
              <w:jc w:val="center"/>
              <w:rPr>
                <w:rFonts w:ascii="仿宋" w:hAnsi="仿宋" w:eastAsia="仿宋" w:cs="仿宋"/>
                <w:kern w:val="16"/>
                <w:sz w:val="24"/>
                <w:highlight w:val="none"/>
              </w:rPr>
            </w:pPr>
            <w:r>
              <w:rPr>
                <w:rFonts w:hint="eastAsia" w:ascii="仿宋" w:hAnsi="仿宋" w:eastAsia="仿宋" w:cs="仿宋"/>
                <w:kern w:val="16"/>
                <w:sz w:val="24"/>
                <w:highlight w:val="none"/>
              </w:rPr>
              <w:t>投标保证金</w:t>
            </w:r>
          </w:p>
        </w:tc>
        <w:tc>
          <w:tcPr>
            <w:tcW w:w="6106" w:type="dxa"/>
            <w:noWrap/>
            <w:vAlign w:val="center"/>
          </w:tcPr>
          <w:p>
            <w:pPr>
              <w:tabs>
                <w:tab w:val="left" w:pos="540"/>
              </w:tabs>
              <w:spacing w:line="288" w:lineRule="auto"/>
              <w:rPr>
                <w:rFonts w:ascii="仿宋" w:hAnsi="仿宋" w:eastAsia="仿宋" w:cs="仿宋"/>
                <w:color w:val="auto"/>
                <w:kern w:val="24"/>
                <w:sz w:val="24"/>
                <w:highlight w:val="none"/>
              </w:rPr>
            </w:pPr>
            <w:r>
              <w:rPr>
                <w:rFonts w:hint="eastAsia" w:ascii="仿宋" w:hAnsi="仿宋" w:eastAsia="仿宋" w:cs="仿宋"/>
                <w:color w:val="auto"/>
                <w:sz w:val="24"/>
                <w:highlight w:val="none"/>
              </w:rPr>
              <w:t>投标保证金：</w:t>
            </w:r>
            <w:r>
              <w:rPr>
                <w:rFonts w:hint="eastAsia" w:ascii="仿宋" w:hAnsi="仿宋" w:eastAsia="仿宋" w:cs="仿宋"/>
                <w:color w:val="auto"/>
                <w:sz w:val="24"/>
                <w:highlight w:val="none"/>
                <w:u w:val="single"/>
              </w:rPr>
              <w:t>本项目不缴纳</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0"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14</w:t>
            </w:r>
          </w:p>
        </w:tc>
        <w:tc>
          <w:tcPr>
            <w:tcW w:w="1910" w:type="dxa"/>
            <w:noWrap/>
            <w:vAlign w:val="center"/>
          </w:tcPr>
          <w:p>
            <w:pPr>
              <w:tabs>
                <w:tab w:val="left" w:pos="540"/>
              </w:tabs>
              <w:spacing w:line="288" w:lineRule="auto"/>
              <w:jc w:val="center"/>
              <w:rPr>
                <w:rFonts w:ascii="仿宋" w:hAnsi="仿宋" w:eastAsia="仿宋" w:cs="仿宋"/>
                <w:kern w:val="16"/>
                <w:sz w:val="24"/>
                <w:highlight w:val="none"/>
              </w:rPr>
            </w:pPr>
            <w:r>
              <w:rPr>
                <w:rFonts w:hint="eastAsia" w:ascii="仿宋" w:hAnsi="仿宋" w:eastAsia="仿宋" w:cs="仿宋"/>
                <w:kern w:val="16"/>
                <w:sz w:val="24"/>
                <w:highlight w:val="none"/>
              </w:rPr>
              <w:t>投标文件份数</w:t>
            </w:r>
          </w:p>
        </w:tc>
        <w:tc>
          <w:tcPr>
            <w:tcW w:w="6106" w:type="dxa"/>
            <w:noWrap/>
            <w:vAlign w:val="center"/>
          </w:tcPr>
          <w:p>
            <w:pPr>
              <w:tabs>
                <w:tab w:val="left" w:pos="540"/>
              </w:tabs>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15</w:t>
            </w:r>
          </w:p>
        </w:tc>
        <w:tc>
          <w:tcPr>
            <w:tcW w:w="1910" w:type="dxa"/>
            <w:noWrap/>
            <w:vAlign w:val="center"/>
          </w:tcPr>
          <w:p>
            <w:pPr>
              <w:tabs>
                <w:tab w:val="left" w:pos="540"/>
              </w:tabs>
              <w:spacing w:line="288" w:lineRule="auto"/>
              <w:jc w:val="center"/>
              <w:rPr>
                <w:rFonts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106" w:type="dxa"/>
            <w:noWrap/>
            <w:vAlign w:val="center"/>
          </w:tcPr>
          <w:p>
            <w:pPr>
              <w:widowControl/>
              <w:spacing w:line="288" w:lineRule="auto"/>
              <w:rPr>
                <w:rFonts w:ascii="仿宋" w:hAnsi="仿宋" w:eastAsia="仿宋" w:cs="仿宋"/>
                <w:color w:val="auto"/>
                <w:kern w:val="16"/>
                <w:sz w:val="24"/>
                <w:highlight w:val="none"/>
              </w:rPr>
            </w:pPr>
            <w:r>
              <w:rPr>
                <w:rFonts w:hint="eastAsia" w:ascii="仿宋" w:hAnsi="仿宋" w:eastAsia="仿宋" w:cs="仿宋"/>
                <w:color w:val="auto"/>
                <w:sz w:val="24"/>
                <w:highlight w:val="none"/>
                <w:lang w:val="en-US" w:eastAsia="zh-CN"/>
              </w:rPr>
              <w:t>综合评估法</w:t>
            </w:r>
            <w:r>
              <w:rPr>
                <w:rFonts w:hint="eastAsia" w:ascii="仿宋" w:hAnsi="仿宋" w:eastAsia="仿宋" w:cs="仿宋"/>
                <w:color w:val="auto"/>
                <w:kern w:val="16"/>
                <w:sz w:val="24"/>
                <w:highlight w:val="none"/>
              </w:rPr>
              <w:t>（下浮范围为</w:t>
            </w:r>
            <w:r>
              <w:rPr>
                <w:rFonts w:hint="eastAsia" w:ascii="仿宋" w:hAnsi="仿宋" w:eastAsia="仿宋" w:cs="仿宋"/>
                <w:color w:val="auto"/>
                <w:kern w:val="16"/>
                <w:sz w:val="24"/>
                <w:highlight w:val="none"/>
                <w:lang w:eastAsia="zh-CN"/>
              </w:rPr>
              <w:t>5%-1</w:t>
            </w:r>
            <w:r>
              <w:rPr>
                <w:rFonts w:hint="eastAsia" w:ascii="仿宋" w:hAnsi="仿宋" w:eastAsia="仿宋" w:cs="仿宋"/>
                <w:color w:val="auto"/>
                <w:kern w:val="16"/>
                <w:sz w:val="24"/>
                <w:highlight w:val="none"/>
                <w:lang w:val="en-US" w:eastAsia="zh-CN"/>
              </w:rPr>
              <w:t>0</w:t>
            </w:r>
            <w:r>
              <w:rPr>
                <w:rFonts w:hint="eastAsia" w:ascii="仿宋" w:hAnsi="仿宋" w:eastAsia="仿宋" w:cs="仿宋"/>
                <w:color w:val="auto"/>
                <w:kern w:val="16"/>
                <w:sz w:val="24"/>
                <w:highlight w:val="none"/>
                <w:lang w:eastAsia="zh-CN"/>
              </w:rPr>
              <w:t>%</w:t>
            </w:r>
            <w:r>
              <w:rPr>
                <w:rFonts w:hint="eastAsia" w:ascii="仿宋" w:hAnsi="仿宋" w:eastAsia="仿宋" w:cs="仿宋"/>
                <w:color w:val="auto"/>
                <w:kern w:val="16"/>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16</w:t>
            </w:r>
          </w:p>
        </w:tc>
        <w:tc>
          <w:tcPr>
            <w:tcW w:w="1910" w:type="dxa"/>
            <w:noWrap/>
            <w:vAlign w:val="center"/>
          </w:tcPr>
          <w:p>
            <w:pPr>
              <w:tabs>
                <w:tab w:val="left" w:pos="540"/>
              </w:tabs>
              <w:spacing w:line="288" w:lineRule="auto"/>
              <w:jc w:val="center"/>
              <w:rPr>
                <w:rFonts w:ascii="仿宋" w:hAnsi="仿宋" w:eastAsia="仿宋" w:cs="仿宋"/>
                <w:kern w:val="16"/>
                <w:sz w:val="24"/>
                <w:highlight w:val="none"/>
              </w:rPr>
            </w:pPr>
            <w:r>
              <w:rPr>
                <w:rFonts w:hint="eastAsia" w:ascii="仿宋" w:hAnsi="仿宋" w:eastAsia="仿宋" w:cs="仿宋"/>
                <w:kern w:val="16"/>
                <w:sz w:val="24"/>
                <w:highlight w:val="none"/>
              </w:rPr>
              <w:t>履约保证金</w:t>
            </w:r>
          </w:p>
        </w:tc>
        <w:tc>
          <w:tcPr>
            <w:tcW w:w="6106" w:type="dxa"/>
            <w:noWrap/>
            <w:vAlign w:val="center"/>
          </w:tcPr>
          <w:p>
            <w:pPr>
              <w:pStyle w:val="103"/>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auto"/>
                <w:kern w:val="24"/>
                <w:highlight w:val="none"/>
                <w:lang w:eastAsia="zh-CN"/>
              </w:rPr>
            </w:pPr>
            <w:r>
              <w:rPr>
                <w:rFonts w:ascii="仿宋" w:hAnsi="仿宋" w:eastAsia="仿宋" w:cs="仿宋"/>
                <w:color w:val="auto"/>
                <w:kern w:val="24"/>
                <w:highlight w:val="none"/>
              </w:rPr>
              <w:t>中标额的</w:t>
            </w:r>
            <w:r>
              <w:rPr>
                <w:rFonts w:hint="eastAsia" w:ascii="仿宋" w:hAnsi="仿宋" w:eastAsia="仿宋" w:cs="仿宋"/>
                <w:color w:val="auto"/>
                <w:kern w:val="24"/>
                <w:highlight w:val="none"/>
                <w:lang w:val="en-US" w:eastAsia="zh-CN"/>
              </w:rPr>
              <w:t>1</w:t>
            </w:r>
            <w:r>
              <w:rPr>
                <w:rFonts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17</w:t>
            </w:r>
          </w:p>
        </w:tc>
        <w:tc>
          <w:tcPr>
            <w:tcW w:w="1910" w:type="dxa"/>
            <w:noWrap/>
            <w:vAlign w:val="center"/>
          </w:tcPr>
          <w:p>
            <w:pPr>
              <w:tabs>
                <w:tab w:val="left" w:pos="540"/>
              </w:tabs>
              <w:spacing w:line="288" w:lineRule="auto"/>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投标报价</w:t>
            </w:r>
          </w:p>
        </w:tc>
        <w:tc>
          <w:tcPr>
            <w:tcW w:w="6106" w:type="dxa"/>
            <w:noWrap/>
            <w:vAlign w:val="center"/>
          </w:tcPr>
          <w:p>
            <w:pPr>
              <w:tabs>
                <w:tab w:val="left" w:pos="540"/>
              </w:tabs>
              <w:spacing w:line="288" w:lineRule="auto"/>
              <w:jc w:val="left"/>
              <w:rPr>
                <w:rFonts w:hint="default" w:ascii="仿宋" w:hAnsi="仿宋" w:eastAsia="仿宋" w:cs="仿宋"/>
                <w:kern w:val="16"/>
                <w:sz w:val="24"/>
                <w:highlight w:val="none"/>
              </w:rPr>
            </w:pPr>
            <w:r>
              <w:rPr>
                <w:rFonts w:hint="eastAsia" w:ascii="仿宋" w:hAnsi="仿宋" w:eastAsia="仿宋" w:cs="仿宋"/>
                <w:kern w:val="16"/>
                <w:sz w:val="24"/>
                <w:highlight w:val="none"/>
              </w:rPr>
              <w:t>投标人按采购人提供的招标控制价为基数，以下浮率形式报价。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18</w:t>
            </w:r>
          </w:p>
        </w:tc>
        <w:tc>
          <w:tcPr>
            <w:tcW w:w="1910" w:type="dxa"/>
            <w:noWrap/>
            <w:vAlign w:val="center"/>
          </w:tcPr>
          <w:p>
            <w:pPr>
              <w:tabs>
                <w:tab w:val="left" w:pos="540"/>
              </w:tabs>
              <w:spacing w:line="288" w:lineRule="auto"/>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106" w:type="dxa"/>
            <w:noWrap/>
            <w:vAlign w:val="center"/>
          </w:tcPr>
          <w:p>
            <w:pPr>
              <w:tabs>
                <w:tab w:val="left" w:pos="540"/>
              </w:tabs>
              <w:spacing w:line="288" w:lineRule="auto"/>
              <w:jc w:val="left"/>
              <w:rPr>
                <w:rFonts w:hint="default" w:ascii="仿宋" w:hAnsi="仿宋" w:eastAsia="仿宋" w:cs="仿宋"/>
                <w:kern w:val="16"/>
                <w:sz w:val="24"/>
                <w:highlight w:val="none"/>
              </w:rPr>
            </w:pPr>
            <w:r>
              <w:rPr>
                <w:rFonts w:hint="eastAsia" w:ascii="仿宋" w:hAnsi="仿宋" w:eastAsia="仿宋" w:cs="仿宋"/>
                <w:kern w:val="16"/>
                <w:sz w:val="24"/>
                <w:highlight w:val="none"/>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noWrap/>
            <w:vAlign w:val="center"/>
          </w:tcPr>
          <w:p>
            <w:pPr>
              <w:spacing w:line="288" w:lineRule="auto"/>
              <w:jc w:val="center"/>
              <w:rPr>
                <w:rFonts w:hint="default" w:ascii="仿宋" w:hAnsi="仿宋" w:eastAsia="仿宋" w:cs="仿宋"/>
                <w:sz w:val="24"/>
                <w:highlight w:val="none"/>
                <w:lang w:val="en-US" w:eastAsia="zh-CN"/>
              </w:rPr>
            </w:pPr>
            <w:r>
              <w:rPr>
                <w:rFonts w:hint="eastAsia" w:ascii="仿宋" w:hAnsi="仿宋" w:eastAsia="仿宋" w:cs="仿宋"/>
                <w:color w:val="000000"/>
                <w:sz w:val="24"/>
                <w:szCs w:val="24"/>
                <w:highlight w:val="none"/>
                <w:lang w:val="en-US" w:eastAsia="zh-CN"/>
              </w:rPr>
              <w:t>19</w:t>
            </w:r>
          </w:p>
        </w:tc>
        <w:tc>
          <w:tcPr>
            <w:tcW w:w="1910" w:type="dxa"/>
            <w:noWrap/>
            <w:vAlign w:val="center"/>
          </w:tcPr>
          <w:p>
            <w:pPr>
              <w:tabs>
                <w:tab w:val="left" w:pos="540"/>
              </w:tabs>
              <w:spacing w:line="288" w:lineRule="auto"/>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采购标的对应的中小企业划分标准所属行业</w:t>
            </w:r>
          </w:p>
        </w:tc>
        <w:tc>
          <w:tcPr>
            <w:tcW w:w="6106" w:type="dxa"/>
            <w:noWrap/>
            <w:vAlign w:val="top"/>
          </w:tcPr>
          <w:p>
            <w:pPr>
              <w:tabs>
                <w:tab w:val="left" w:pos="540"/>
              </w:tabs>
              <w:spacing w:line="288" w:lineRule="auto"/>
              <w:jc w:val="left"/>
              <w:rPr>
                <w:rFonts w:hint="eastAsia" w:ascii="仿宋" w:hAnsi="仿宋" w:eastAsia="仿宋" w:cs="仿宋"/>
                <w:kern w:val="16"/>
                <w:sz w:val="24"/>
                <w:highlight w:val="none"/>
              </w:rPr>
            </w:pPr>
            <w:r>
              <w:rPr>
                <w:rFonts w:hint="eastAsia" w:ascii="仿宋" w:hAnsi="仿宋" w:eastAsia="仿宋" w:cs="仿宋"/>
                <w:kern w:val="16"/>
                <w:sz w:val="24"/>
                <w:highlight w:val="none"/>
              </w:rPr>
              <w:t>（1）标的： 01标 ，属于</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u w:val="single"/>
                <w:lang w:val="en-US" w:eastAsia="zh-CN"/>
              </w:rPr>
              <w:t>建筑业</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vMerge w:val="restart"/>
            <w:noWrap/>
            <w:vAlign w:val="center"/>
          </w:tcPr>
          <w:p>
            <w:pPr>
              <w:spacing w:line="288" w:lineRule="auto"/>
              <w:jc w:val="center"/>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20</w:t>
            </w:r>
          </w:p>
        </w:tc>
        <w:tc>
          <w:tcPr>
            <w:tcW w:w="1910" w:type="dxa"/>
            <w:vMerge w:val="restart"/>
            <w:noWrap/>
            <w:vAlign w:val="center"/>
          </w:tcPr>
          <w:p>
            <w:pPr>
              <w:tabs>
                <w:tab w:val="left" w:pos="540"/>
              </w:tabs>
              <w:spacing w:line="288" w:lineRule="auto"/>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投标人信用信息事项</w:t>
            </w:r>
          </w:p>
        </w:tc>
        <w:tc>
          <w:tcPr>
            <w:tcW w:w="6106" w:type="dxa"/>
            <w:noWrap/>
            <w:vAlign w:val="center"/>
          </w:tcPr>
          <w:p>
            <w:pPr>
              <w:tabs>
                <w:tab w:val="left" w:pos="540"/>
              </w:tabs>
              <w:spacing w:line="288" w:lineRule="auto"/>
              <w:jc w:val="left"/>
              <w:rPr>
                <w:rFonts w:hint="eastAsia" w:ascii="仿宋" w:hAnsi="仿宋" w:eastAsia="仿宋" w:cs="仿宋"/>
                <w:kern w:val="16"/>
                <w:sz w:val="24"/>
                <w:highlight w:val="none"/>
              </w:rPr>
            </w:pPr>
            <w:r>
              <w:rPr>
                <w:rFonts w:hint="eastAsia" w:ascii="仿宋" w:hAnsi="仿宋" w:eastAsia="仿宋" w:cs="仿宋"/>
                <w:kern w:val="16"/>
                <w:sz w:val="24"/>
                <w:highlight w:val="none"/>
              </w:rPr>
              <w:t>信用信息查询渠道及截止时间：采购人或采购人委托的评审小组或采购代理机构将通过“信用中国”网站(www.creditchina.gov.cn)、中国政府采购网(www.ccgp.gov.cn)渠道查询投标人投标截止时间前的信用记录。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vMerge w:val="continue"/>
            <w:noWrap/>
            <w:vAlign w:val="center"/>
          </w:tcPr>
          <w:p>
            <w:pPr>
              <w:spacing w:line="288" w:lineRule="auto"/>
              <w:jc w:val="center"/>
              <w:rPr>
                <w:rFonts w:hint="eastAsia" w:ascii="仿宋" w:hAnsi="仿宋" w:eastAsia="仿宋" w:cs="仿宋"/>
                <w:sz w:val="24"/>
                <w:highlight w:val="none"/>
              </w:rPr>
            </w:pPr>
          </w:p>
        </w:tc>
        <w:tc>
          <w:tcPr>
            <w:tcW w:w="1910" w:type="dxa"/>
            <w:vMerge w:val="continue"/>
            <w:noWrap/>
            <w:vAlign w:val="center"/>
          </w:tcPr>
          <w:p>
            <w:pPr>
              <w:tabs>
                <w:tab w:val="left" w:pos="540"/>
              </w:tabs>
              <w:spacing w:line="288" w:lineRule="auto"/>
              <w:jc w:val="center"/>
              <w:rPr>
                <w:rFonts w:hint="eastAsia" w:ascii="仿宋" w:hAnsi="仿宋" w:eastAsia="仿宋" w:cs="仿宋"/>
                <w:kern w:val="16"/>
                <w:sz w:val="24"/>
                <w:highlight w:val="none"/>
              </w:rPr>
            </w:pPr>
          </w:p>
        </w:tc>
        <w:tc>
          <w:tcPr>
            <w:tcW w:w="6106" w:type="dxa"/>
            <w:noWrap/>
            <w:vAlign w:val="center"/>
          </w:tcPr>
          <w:p>
            <w:pPr>
              <w:tabs>
                <w:tab w:val="left" w:pos="540"/>
              </w:tabs>
              <w:spacing w:line="288" w:lineRule="auto"/>
              <w:jc w:val="left"/>
              <w:rPr>
                <w:rFonts w:hint="eastAsia" w:ascii="仿宋" w:hAnsi="仿宋" w:eastAsia="仿宋" w:cs="仿宋"/>
                <w:kern w:val="16"/>
                <w:sz w:val="24"/>
                <w:highlight w:val="none"/>
              </w:rPr>
            </w:pPr>
            <w:r>
              <w:rPr>
                <w:rFonts w:hint="eastAsia" w:ascii="仿宋" w:hAnsi="仿宋" w:eastAsia="仿宋" w:cs="仿宋"/>
                <w:kern w:val="16"/>
                <w:sz w:val="24"/>
                <w:highlight w:val="none"/>
              </w:rPr>
              <w:t>信用信息查询记录和证据留存的具体方式：采购人或采购人委托的评审小组或采购代理机构现场查询投标人的信用记录，查询结果经确认后与采购文件一起存档。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vMerge w:val="continue"/>
            <w:noWrap/>
            <w:vAlign w:val="center"/>
          </w:tcPr>
          <w:p>
            <w:pPr>
              <w:spacing w:line="288" w:lineRule="auto"/>
              <w:jc w:val="center"/>
              <w:rPr>
                <w:rFonts w:hint="eastAsia" w:ascii="仿宋" w:hAnsi="仿宋" w:eastAsia="仿宋" w:cs="仿宋"/>
                <w:sz w:val="24"/>
                <w:highlight w:val="none"/>
              </w:rPr>
            </w:pPr>
          </w:p>
        </w:tc>
        <w:tc>
          <w:tcPr>
            <w:tcW w:w="1910" w:type="dxa"/>
            <w:vMerge w:val="continue"/>
            <w:noWrap/>
            <w:vAlign w:val="center"/>
          </w:tcPr>
          <w:p>
            <w:pPr>
              <w:spacing w:line="288" w:lineRule="auto"/>
              <w:rPr>
                <w:rFonts w:hint="eastAsia" w:ascii="仿宋" w:hAnsi="仿宋" w:eastAsia="仿宋" w:cs="仿宋"/>
                <w:kern w:val="16"/>
                <w:sz w:val="24"/>
                <w:highlight w:val="none"/>
              </w:rPr>
            </w:pPr>
          </w:p>
        </w:tc>
        <w:tc>
          <w:tcPr>
            <w:tcW w:w="6106" w:type="dxa"/>
            <w:noWrap/>
            <w:vAlign w:val="center"/>
          </w:tcPr>
          <w:p>
            <w:pPr>
              <w:spacing w:line="288" w:lineRule="auto"/>
              <w:jc w:val="left"/>
              <w:rPr>
                <w:rFonts w:ascii="仿宋" w:hAnsi="仿宋" w:eastAsia="仿宋" w:cs="仿宋"/>
                <w:bCs/>
                <w:highlight w:val="none"/>
              </w:rPr>
            </w:pPr>
            <w:r>
              <w:rPr>
                <w:rFonts w:hint="eastAsia" w:ascii="仿宋" w:hAnsi="仿宋" w:eastAsia="仿宋" w:cs="仿宋"/>
                <w:b/>
                <w:sz w:val="24"/>
                <w:szCs w:val="24"/>
                <w:highlight w:val="none"/>
              </w:rPr>
              <w:t>信用信息的使用规则：</w:t>
            </w:r>
            <w:r>
              <w:rPr>
                <w:rFonts w:hint="eastAsia" w:ascii="仿宋" w:hAnsi="仿宋" w:eastAsia="仿宋" w:cs="仿宋"/>
                <w:sz w:val="24"/>
                <w:szCs w:val="24"/>
                <w:highlight w:val="none"/>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noWrap/>
            <w:vAlign w:val="center"/>
          </w:tcPr>
          <w:p>
            <w:pPr>
              <w:tabs>
                <w:tab w:val="left" w:pos="360"/>
                <w:tab w:val="left" w:pos="720"/>
                <w:tab w:val="left" w:pos="900"/>
              </w:tabs>
              <w:spacing w:line="288"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016" w:type="dxa"/>
            <w:gridSpan w:val="2"/>
            <w:noWrap/>
            <w:vAlign w:val="center"/>
          </w:tcPr>
          <w:p>
            <w:pPr>
              <w:snapToGrid w:val="0"/>
              <w:spacing w:line="288" w:lineRule="auto"/>
              <w:rPr>
                <w:rFonts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288" w:lineRule="auto"/>
              <w:rPr>
                <w:rFonts w:ascii="仿宋" w:hAnsi="仿宋" w:eastAsia="仿宋" w:cs="仿宋"/>
                <w:bCs/>
                <w:sz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noWrap/>
            <w:vAlign w:val="center"/>
          </w:tcPr>
          <w:p>
            <w:pPr>
              <w:tabs>
                <w:tab w:val="left" w:pos="360"/>
                <w:tab w:val="left" w:pos="720"/>
                <w:tab w:val="left" w:pos="900"/>
              </w:tabs>
              <w:spacing w:line="288"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2</w:t>
            </w:r>
          </w:p>
        </w:tc>
        <w:tc>
          <w:tcPr>
            <w:tcW w:w="8016" w:type="dxa"/>
            <w:gridSpan w:val="2"/>
            <w:noWrap/>
            <w:vAlign w:val="center"/>
          </w:tcPr>
          <w:p>
            <w:pPr>
              <w:snapToGrid w:val="0"/>
              <w:spacing w:line="288" w:lineRule="auto"/>
              <w:rPr>
                <w:rFonts w:ascii="仿宋" w:hAnsi="仿宋" w:eastAsia="仿宋" w:cs="仿宋"/>
                <w:bCs/>
                <w:sz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noWrap/>
            <w:vAlign w:val="center"/>
          </w:tcPr>
          <w:p>
            <w:pPr>
              <w:tabs>
                <w:tab w:val="left" w:pos="360"/>
                <w:tab w:val="left" w:pos="720"/>
                <w:tab w:val="left" w:pos="900"/>
              </w:tabs>
              <w:spacing w:line="288"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3</w:t>
            </w:r>
          </w:p>
        </w:tc>
        <w:tc>
          <w:tcPr>
            <w:tcW w:w="8016" w:type="dxa"/>
            <w:gridSpan w:val="2"/>
            <w:noWrap/>
            <w:vAlign w:val="center"/>
          </w:tcPr>
          <w:p>
            <w:pPr>
              <w:snapToGrid w:val="0"/>
              <w:spacing w:line="288" w:lineRule="auto"/>
              <w:rPr>
                <w:rFonts w:ascii="仿宋" w:hAnsi="仿宋" w:eastAsia="仿宋" w:cs="仿宋"/>
                <w:bCs/>
                <w:sz w:val="24"/>
                <w:highlight w:val="none"/>
              </w:rPr>
            </w:pPr>
            <w:r>
              <w:rPr>
                <w:rFonts w:hint="eastAsia" w:ascii="仿宋" w:hAnsi="仿宋" w:eastAsia="仿宋" w:cs="仿宋"/>
                <w:sz w:val="24"/>
                <w:highlight w:val="none"/>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noWrap/>
            <w:vAlign w:val="center"/>
          </w:tcPr>
          <w:p>
            <w:pPr>
              <w:tabs>
                <w:tab w:val="left" w:pos="360"/>
                <w:tab w:val="left" w:pos="720"/>
                <w:tab w:val="left" w:pos="900"/>
              </w:tabs>
              <w:spacing w:line="288"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p>
        </w:tc>
        <w:tc>
          <w:tcPr>
            <w:tcW w:w="8016" w:type="dxa"/>
            <w:gridSpan w:val="2"/>
            <w:noWrap/>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2.标前准备：各供应商应在开标前应确保成为浙江省政府采购网正式注册入库供应商，并完成CA数字证书办理。因未注册入库、未办理CA数字证书等原因造成无法投标或投标失败等后果由供应商自行承担。</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供应商将政采云电子交易客户端下载、安装完成后，可通过账号密码或CA登录客户端进行投标文件制作。在使用政采云投标客户端时，建议使用WIN7及以上操作系统。</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napToGrid w:val="0"/>
              <w:spacing w:line="288"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《CA申领操作指南》：https://help.zcygov.cn/web/site_2/2018/11-29/2452.html</w:t>
            </w:r>
          </w:p>
          <w:p>
            <w:pPr>
              <w:snapToGrid w:val="0"/>
              <w:spacing w:line="288"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《CA管理操作指南》：https://help.zcygov.cn/web/site_2/2019/08-20/3405.html</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《CA驱动和申领流程》:</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http://zfcg.czt.zj.gov.cn//bidClientTemplate/2019-05-27/12945.html</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288"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Style w:val="34"/>
                <w:rFonts w:hint="eastAsia" w:ascii="仿宋" w:hAnsi="仿宋" w:eastAsia="仿宋" w:cs="仿宋"/>
                <w:color w:val="auto"/>
                <w:sz w:val="24"/>
                <w:highlight w:val="none"/>
              </w:rPr>
              <w:t>https://help.zcygov.cn/web/site_2/2018/12-28/2573.html</w:t>
            </w:r>
            <w:r>
              <w:rPr>
                <w:rStyle w:val="34"/>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pPr>
              <w:snapToGrid w:val="0"/>
              <w:spacing w:line="288" w:lineRule="auto"/>
              <w:rPr>
                <w:rFonts w:ascii="仿宋" w:hAnsi="仿宋" w:eastAsia="仿宋" w:cs="仿宋"/>
                <w:bCs/>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938" w:type="dxa"/>
            <w:noWrap/>
            <w:vAlign w:val="center"/>
          </w:tcPr>
          <w:p>
            <w:pPr>
              <w:tabs>
                <w:tab w:val="left" w:pos="360"/>
                <w:tab w:val="left" w:pos="720"/>
                <w:tab w:val="left" w:pos="900"/>
              </w:tabs>
              <w:spacing w:line="288"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p>
        </w:tc>
        <w:tc>
          <w:tcPr>
            <w:tcW w:w="8016" w:type="dxa"/>
            <w:gridSpan w:val="2"/>
            <w:noWrap/>
            <w:vAlign w:val="center"/>
          </w:tcPr>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其他：代理服务费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中标人须向招标代理机构交纳代理服务费：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（1）以中标通知中确定的中标总金额作为服务费的计算基数，收费标准参照《国家计委关于印发&lt;招标代理服务收费管理暂行办法&gt;的通知》（计价格[2002]1980号）。收费标准：中标金额在100万以下部分为1.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潜在投标人因充分考虑此部分费用，参与投标活动时综合考虑。</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公司名称：耀华建设管理有限公司绍兴迪荡分公司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号：336006190018819003083</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 户 行：交通银行股份有限公司绍兴迪荡支行</w:t>
            </w:r>
          </w:p>
          <w:p>
            <w:pPr>
              <w:spacing w:line="340" w:lineRule="exact"/>
              <w:rPr>
                <w:rFonts w:ascii="仿宋" w:hAnsi="仿宋" w:eastAsia="仿宋" w:cs="仿宋"/>
                <w:b/>
                <w:color w:val="auto"/>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8954" w:type="dxa"/>
            <w:gridSpan w:val="3"/>
            <w:noWrap/>
            <w:vAlign w:val="center"/>
          </w:tcPr>
          <w:p>
            <w:pPr>
              <w:spacing w:line="288" w:lineRule="auto"/>
              <w:rPr>
                <w:rFonts w:ascii="仿宋" w:hAnsi="仿宋" w:eastAsia="仿宋" w:cs="仿宋"/>
                <w:sz w:val="24"/>
                <w:highlight w:val="none"/>
              </w:rPr>
            </w:pPr>
            <w:r>
              <w:rPr>
                <w:rFonts w:hint="eastAsia" w:ascii="仿宋" w:hAnsi="仿宋" w:eastAsia="仿宋" w:cs="仿宋"/>
                <w:sz w:val="24"/>
                <w:highlight w:val="none"/>
              </w:rPr>
              <w:t>解释：凡涉及本招标文件的解释权属于采购人和本公司。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86" w:hRule="atLeast"/>
          <w:jc w:val="center"/>
        </w:trPr>
        <w:tc>
          <w:tcPr>
            <w:tcW w:w="8954" w:type="dxa"/>
            <w:gridSpan w:val="3"/>
            <w:noWrap/>
            <w:vAlign w:val="center"/>
          </w:tcPr>
          <w:p>
            <w:pPr>
              <w:spacing w:line="288" w:lineRule="auto"/>
              <w:rPr>
                <w:rFonts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spacing w:line="288" w:lineRule="auto"/>
        <w:rPr>
          <w:rFonts w:ascii="仿宋" w:hAnsi="仿宋" w:eastAsia="仿宋" w:cs="仿宋"/>
          <w:b/>
          <w:sz w:val="24"/>
          <w:highlight w:val="none"/>
        </w:rPr>
      </w:pPr>
    </w:p>
    <w:p>
      <w:pPr>
        <w:snapToGrid w:val="0"/>
        <w:spacing w:line="288" w:lineRule="auto"/>
        <w:jc w:val="center"/>
        <w:rPr>
          <w:rFonts w:ascii="仿宋" w:hAnsi="仿宋" w:eastAsia="仿宋" w:cs="仿宋"/>
          <w:b/>
          <w:sz w:val="36"/>
          <w:szCs w:val="36"/>
          <w:highlight w:val="none"/>
        </w:rPr>
      </w:pPr>
    </w:p>
    <w:p>
      <w:pPr>
        <w:snapToGrid w:val="0"/>
        <w:spacing w:line="288" w:lineRule="auto"/>
        <w:jc w:val="both"/>
        <w:rPr>
          <w:rFonts w:hint="eastAsia" w:ascii="仿宋" w:hAnsi="仿宋" w:eastAsia="仿宋" w:cs="仿宋"/>
          <w:b/>
          <w:sz w:val="36"/>
          <w:szCs w:val="36"/>
          <w:highlight w:val="none"/>
        </w:rPr>
      </w:pPr>
    </w:p>
    <w:p>
      <w:pPr>
        <w:snapToGrid w:val="0"/>
        <w:spacing w:line="288" w:lineRule="auto"/>
        <w:jc w:val="center"/>
        <w:rPr>
          <w:rFonts w:hint="eastAsia" w:ascii="仿宋" w:hAnsi="仿宋" w:eastAsia="仿宋" w:cs="仿宋"/>
          <w:b/>
          <w:sz w:val="36"/>
          <w:szCs w:val="36"/>
          <w:highlight w:val="none"/>
        </w:rPr>
      </w:pPr>
    </w:p>
    <w:p>
      <w:pPr>
        <w:snapToGrid w:val="0"/>
        <w:spacing w:line="288" w:lineRule="auto"/>
        <w:jc w:val="center"/>
        <w:rPr>
          <w:rFonts w:hint="eastAsia" w:ascii="仿宋" w:hAnsi="仿宋" w:eastAsia="仿宋" w:cs="仿宋"/>
          <w:b/>
          <w:sz w:val="36"/>
          <w:szCs w:val="36"/>
          <w:highlight w:val="none"/>
        </w:rPr>
      </w:pPr>
    </w:p>
    <w:p>
      <w:pPr>
        <w:snapToGrid w:val="0"/>
        <w:spacing w:line="288" w:lineRule="auto"/>
        <w:jc w:val="center"/>
        <w:rPr>
          <w:rFonts w:hint="eastAsia" w:ascii="仿宋" w:hAnsi="仿宋" w:eastAsia="仿宋" w:cs="仿宋"/>
          <w:b/>
          <w:sz w:val="36"/>
          <w:szCs w:val="36"/>
          <w:highlight w:val="none"/>
        </w:rPr>
      </w:pPr>
    </w:p>
    <w:p>
      <w:pPr>
        <w:snapToGrid w:val="0"/>
        <w:spacing w:line="288" w:lineRule="auto"/>
        <w:jc w:val="center"/>
        <w:rPr>
          <w:rFonts w:hint="eastAsia" w:ascii="仿宋" w:hAnsi="仿宋" w:eastAsia="仿宋" w:cs="仿宋"/>
          <w:b/>
          <w:sz w:val="36"/>
          <w:szCs w:val="36"/>
          <w:highlight w:val="none"/>
        </w:rPr>
      </w:pPr>
    </w:p>
    <w:p>
      <w:pPr>
        <w:snapToGrid w:val="0"/>
        <w:spacing w:line="288" w:lineRule="auto"/>
        <w:jc w:val="center"/>
        <w:rPr>
          <w:rFonts w:hint="eastAsia" w:ascii="仿宋" w:hAnsi="仿宋" w:eastAsia="仿宋" w:cs="仿宋"/>
          <w:b/>
          <w:sz w:val="36"/>
          <w:szCs w:val="36"/>
          <w:highlight w:val="none"/>
        </w:rPr>
      </w:pPr>
    </w:p>
    <w:p>
      <w:pPr>
        <w:snapToGrid w:val="0"/>
        <w:spacing w:line="288" w:lineRule="auto"/>
        <w:jc w:val="center"/>
        <w:rPr>
          <w:rFonts w:hint="eastAsia" w:ascii="仿宋" w:hAnsi="仿宋" w:eastAsia="仿宋" w:cs="仿宋"/>
          <w:b/>
          <w:sz w:val="36"/>
          <w:szCs w:val="36"/>
          <w:highlight w:val="none"/>
        </w:rPr>
      </w:pPr>
    </w:p>
    <w:p>
      <w:pPr>
        <w:snapToGrid w:val="0"/>
        <w:spacing w:line="288" w:lineRule="auto"/>
        <w:jc w:val="center"/>
        <w:rPr>
          <w:rFonts w:hint="eastAsia" w:ascii="仿宋" w:hAnsi="仿宋" w:eastAsia="仿宋" w:cs="仿宋"/>
          <w:b/>
          <w:sz w:val="36"/>
          <w:szCs w:val="36"/>
          <w:highlight w:val="none"/>
        </w:rPr>
      </w:pPr>
    </w:p>
    <w:p>
      <w:pPr>
        <w:snapToGrid w:val="0"/>
        <w:spacing w:line="288"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一、总 则</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1.工程说明</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详见前附表。</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2.招标范围</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详见前附表。</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3.招标方式</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本工程采用</w:t>
      </w:r>
      <w:r>
        <w:rPr>
          <w:rFonts w:hint="eastAsia" w:ascii="仿宋" w:hAnsi="仿宋" w:eastAsia="仿宋" w:cs="仿宋"/>
          <w:color w:val="auto"/>
          <w:sz w:val="24"/>
          <w:highlight w:val="none"/>
          <w:lang w:val="en-US" w:eastAsia="zh-CN"/>
        </w:rPr>
        <w:t>综合评估法</w:t>
      </w:r>
      <w:r>
        <w:rPr>
          <w:rFonts w:hint="eastAsia" w:ascii="仿宋" w:hAnsi="仿宋" w:eastAsia="仿宋" w:cs="仿宋"/>
          <w:color w:val="auto"/>
          <w:sz w:val="24"/>
          <w:highlight w:val="none"/>
        </w:rPr>
        <w:t>，资格审查采用资格后审方法。</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4.资金来源</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详见前附表。</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5.投标费用</w:t>
      </w:r>
    </w:p>
    <w:p>
      <w:pPr>
        <w:spacing w:line="288"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5.1投标人应自行承担编制投标文件与递交投标文件所涉及的一切费用。不论投标结果如何，采购人对上述费用不负任何责任。</w:t>
      </w:r>
      <w:r>
        <w:rPr>
          <w:rFonts w:hint="eastAsia" w:ascii="仿宋" w:hAnsi="仿宋" w:eastAsia="仿宋" w:cs="仿宋"/>
          <w:b/>
          <w:bCs/>
          <w:color w:val="auto"/>
          <w:sz w:val="24"/>
          <w:highlight w:val="none"/>
        </w:rPr>
        <w:t>中标人须向采购代理机构交纳代理服务费，具体详见投标人须知前附表。</w:t>
      </w:r>
    </w:p>
    <w:p>
      <w:pPr>
        <w:spacing w:line="288"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6</w:t>
      </w:r>
      <w:r>
        <w:rPr>
          <w:rFonts w:hint="eastAsia" w:ascii="仿宋" w:hAnsi="仿宋" w:eastAsia="仿宋" w:cs="仿宋"/>
          <w:b/>
          <w:color w:val="000000"/>
          <w:sz w:val="24"/>
          <w:highlight w:val="none"/>
        </w:rPr>
        <w:t>.采购项目需要落实的政府采购政策</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 支持绿色发展</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88" w:lineRule="auto"/>
        <w:ind w:firstLine="480" w:firstLineChars="200"/>
        <w:rPr>
          <w:rFonts w:hint="eastAsia" w:ascii="仿宋" w:hAnsi="仿宋" w:eastAsia="仿宋" w:cs="仿宋"/>
          <w:b/>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.2.2</w:t>
      </w:r>
      <w:r>
        <w:rPr>
          <w:rFonts w:hint="eastAsia" w:ascii="仿宋" w:hAnsi="仿宋" w:eastAsia="仿宋" w:cs="仿宋"/>
          <w:b/>
          <w:color w:val="000000"/>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.2.3 修缮、装修类项目采购建材的，采购人应将绿色建筑和绿色建材性能、指标等作为实质性条件纳入招标文件和合同。</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w:t>
      </w:r>
      <w:r>
        <w:rPr>
          <w:rFonts w:hint="eastAsia" w:ascii="仿宋" w:hAnsi="仿宋" w:eastAsia="仿宋" w:cs="仿宋"/>
          <w:bCs/>
          <w:color w:val="000000"/>
          <w:sz w:val="24"/>
          <w:highlight w:val="none"/>
        </w:rPr>
        <w:t>小微</w:t>
      </w:r>
      <w:r>
        <w:rPr>
          <w:rFonts w:hint="eastAsia" w:ascii="仿宋" w:hAnsi="仿宋" w:eastAsia="仿宋" w:cs="仿宋"/>
          <w:color w:val="000000"/>
          <w:sz w:val="24"/>
          <w:highlight w:val="none"/>
        </w:rPr>
        <w:t>企业价格扣除。</w:t>
      </w:r>
    </w:p>
    <w:p>
      <w:pPr>
        <w:spacing w:line="288" w:lineRule="auto"/>
        <w:ind w:firstLine="480" w:firstLineChars="200"/>
        <w:rPr>
          <w:rFonts w:hint="eastAsia" w:ascii="仿宋" w:hAnsi="仿宋" w:eastAsia="仿宋" w:cs="仿宋"/>
          <w:bCs/>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.3.1小微企业是指</w:t>
      </w:r>
      <w:r>
        <w:rPr>
          <w:rFonts w:hint="eastAsia" w:ascii="仿宋" w:hAnsi="仿宋" w:eastAsia="仿宋" w:cs="仿宋"/>
          <w:bCs/>
          <w:color w:val="000000"/>
          <w:sz w:val="24"/>
          <w:highlight w:val="none"/>
        </w:rPr>
        <w:t>在中华人民共和国境内依法设立，依据国务院批准的中小企业划分标准确定的小型企业和微型企业，但与大企业的负责人为同一人，或者与大企业存在直接控股、管理关系的除外。</w:t>
      </w:r>
    </w:p>
    <w:p>
      <w:pPr>
        <w:spacing w:line="288"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符合中小企业划分标准的个体工商户，在政府采购活动中视同中小企业。</w:t>
      </w:r>
    </w:p>
    <w:p>
      <w:pPr>
        <w:spacing w:line="288"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.3.2在货物采购项目中，货物由小微企业制造，即货物由小微企业生产且使用该小微企业商号或者注册商标。</w:t>
      </w:r>
      <w:r>
        <w:rPr>
          <w:rFonts w:hint="eastAsia" w:ascii="仿宋" w:hAnsi="仿宋" w:eastAsia="仿宋" w:cs="仿宋"/>
          <w:b/>
          <w:bCs/>
          <w:color w:val="000000"/>
          <w:sz w:val="24"/>
          <w:highlight w:val="none"/>
        </w:rPr>
        <w:t>供应商提供的货物既有中小企业制造货物，也有大型企业制造货物的，不享受中小企业扶持政策。</w:t>
      </w:r>
    </w:p>
    <w:p>
      <w:pPr>
        <w:spacing w:line="288"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.3.3在服务采购项目中，服务由小微企业承接，即提供服务的人员为小微企业依照《中华人民共和国劳动合同法》订立劳动合同的从业人员。</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.3.4小微企业应按照招标文件格式要求提供《中小企业声明函》。</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0%的扣除，用扣除后的价格参加评审。</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%的扣除，用扣除后的价格参加评审。组成联合体或者接受分包的小微企业与联合体内其他企业、分包企业之间存在直接控股、管理关系的，不享受价格扣除优惠政策。</w:t>
      </w:r>
    </w:p>
    <w:p>
      <w:pPr>
        <w:spacing w:line="288"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以联合体形式参加政府采购活动， 联合体各方均为中小企业的，联合体视同中小企业。其中，联合体各方均为小微企业的，联合体视同小微企业。</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.3.7符合《关于促进残疾人就业政府采购政策的通知》（财库〔2017〕141号）规定的条件并提供《残疾人福利性单位声明函》（附件1）的残疾人福利性单位视同小微企业；</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.4支持科技创新创新发展</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对省级以上主管部门认定的首台套产品，自纳入《省推广应用指导目录》起三年内参加政府采购活动，视同已具备相应销售业绩，业绩分为满分。</w:t>
      </w:r>
    </w:p>
    <w:p>
      <w:pPr>
        <w:spacing w:line="288" w:lineRule="auto"/>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en-US" w:eastAsia="zh-CN"/>
        </w:rPr>
        <w:t>7</w:t>
      </w:r>
      <w:r>
        <w:rPr>
          <w:rFonts w:hint="eastAsia" w:ascii="仿宋" w:hAnsi="仿宋" w:eastAsia="仿宋" w:cs="仿宋"/>
          <w:b/>
          <w:bCs/>
          <w:color w:val="000000"/>
          <w:sz w:val="24"/>
          <w:highlight w:val="none"/>
        </w:rPr>
        <w:t>.特别说明：</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.1供应商投标所使用的资格、信誉、荣誉、业绩与企业认证必须为投标单位所拥有。供应商投标所使用的采购项目实施人员必须为投标单位正式员工。</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.2供应商应仔细阅读招标文件的所有内容，按照招标文件的要求提交投标文件，并对所提供的全部资料的真实性承担法律责任。</w:t>
      </w:r>
    </w:p>
    <w:p>
      <w:pPr>
        <w:spacing w:line="288" w:lineRule="auto"/>
        <w:ind w:firstLine="480" w:firstLineChars="200"/>
        <w:rPr>
          <w:rFonts w:hint="eastAsia" w:ascii="仿宋" w:hAnsi="仿宋" w:eastAsia="仿宋"/>
          <w:color w:val="000000"/>
          <w:sz w:val="24"/>
          <w:highlight w:val="none"/>
          <w:lang w:val="en-US" w:eastAsia="zh-CN"/>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二、招标文件</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1.招标文件的组成</w:t>
      </w:r>
    </w:p>
    <w:p>
      <w:pPr>
        <w:spacing w:line="288" w:lineRule="auto"/>
        <w:ind w:firstLine="480" w:firstLineChars="200"/>
        <w:jc w:val="left"/>
        <w:rPr>
          <w:rFonts w:ascii="仿宋" w:hAnsi="仿宋" w:eastAsia="仿宋" w:cs="仿宋"/>
          <w:color w:val="auto"/>
          <w:spacing w:val="-4"/>
          <w:sz w:val="24"/>
          <w:highlight w:val="none"/>
        </w:rPr>
      </w:pPr>
      <w:r>
        <w:rPr>
          <w:rFonts w:hint="eastAsia" w:ascii="仿宋" w:hAnsi="仿宋" w:eastAsia="仿宋" w:cs="仿宋"/>
          <w:color w:val="auto"/>
          <w:sz w:val="24"/>
          <w:highlight w:val="none"/>
        </w:rPr>
        <w:t>1.1招标文件</w:t>
      </w:r>
      <w:r>
        <w:rPr>
          <w:rFonts w:hint="eastAsia" w:ascii="仿宋" w:hAnsi="仿宋" w:eastAsia="仿宋" w:cs="仿宋"/>
          <w:color w:val="auto"/>
          <w:spacing w:val="-4"/>
          <w:sz w:val="24"/>
          <w:highlight w:val="none"/>
        </w:rPr>
        <w:t>由前附表、招标须知、主要合同协议条款、技术规范、施工图纸等组成。</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1.2投标人应认真阅读招标文件中所有内容。如果投标人编制的投标文件实质上不响应招标文件要求，其投标文件将在评标时被采购人拒绝。</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2.招标文件的解释</w:t>
      </w:r>
    </w:p>
    <w:p>
      <w:pPr>
        <w:spacing w:line="288"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投标人在获取招标文件后，若有问题需要澄清，应前附表规定书面形式（包括书面文字、传真等）向采购人提出，采购人汇总后予以解答，同时答疑纪要或补充通知将送给所有获得招标文件的投标人。</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3.招标文件的修改</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3.1在投标截止日2日前，采购人可以用答疑纪要或补充通知的方式修改招标文件。</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3.2答疑纪要或补充通知将以书面方式发给所有获得招标文件的投标人，答疑纪要或补充通知作为招标文件的组成部分，对投标人起约束作用。</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3.3为使投标人在编制投标文件时把答疑纪要或补充通知内容考虑进去，采购人将按规定延长递交投标文件的截止日期和开标会议时间。</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4.答疑及现场勘察</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4.1投标人需要对工程施工现场和周围环境进行勘察，以获取编制投标文件和签署合同所需的资料。可事先和采购人联系，自行踏勘现场，勘察现场所发生的费用由投标人自己承担。</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4.2投标人将招标文件和施工图中存在的疑问，在规定的时间内书面送达或传真给采购人，由采购人汇总后，统一书面答复。</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4.3采购人向投标人提供的有关施工现场的资料和数据，是采购人现有的能使投标人利用的资料。</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4.4答疑纪要或补充通知均以书面形式为准。</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 工程造价编制</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5.1工程参考造价由采购人根据国家现行规定的工程量计算规则及招标文件规定的计价方法和要求组织编制，并接受财政部门组织审定。</w:t>
      </w:r>
    </w:p>
    <w:p>
      <w:pPr>
        <w:spacing w:line="288" w:lineRule="auto"/>
        <w:ind w:firstLine="480" w:firstLineChars="200"/>
        <w:jc w:val="left"/>
        <w:rPr>
          <w:rFonts w:ascii="仿宋" w:hAnsi="仿宋" w:eastAsia="仿宋" w:cs="仿宋"/>
          <w:b/>
          <w:color w:val="auto"/>
          <w:sz w:val="36"/>
          <w:szCs w:val="36"/>
          <w:highlight w:val="none"/>
        </w:rPr>
      </w:pPr>
      <w:r>
        <w:rPr>
          <w:rFonts w:hint="eastAsia" w:ascii="仿宋" w:hAnsi="仿宋" w:eastAsia="仿宋" w:cs="仿宋"/>
          <w:color w:val="auto"/>
          <w:sz w:val="24"/>
          <w:highlight w:val="none"/>
        </w:rPr>
        <w:t>5.2本工程参考造价编制依据：详见标底编制说明。</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三、投标文件的编制</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1.投标文件的语言及计量单位</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1.2投标文件以及投标方与招标方就有关投标事宜的所有来往函电，均应以中文书写（技术术语除外）。</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1.3投标计量单位，除招标文件中有特殊要求外，应采用中华人民共和国法定计量单位。</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pPr>
        <w:spacing w:line="288"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1.5投标文件的形式和效力</w:t>
      </w:r>
    </w:p>
    <w:p>
      <w:pPr>
        <w:spacing w:line="288"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1.5.1投标文件为电子投标文件，电子投标文件按“政采云供应商项目采购-电子招投标操作指南”及本招标文件要求制作、加密传输。</w:t>
      </w:r>
    </w:p>
    <w:p>
      <w:pPr>
        <w:spacing w:line="288"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1.5.2投标文件的效力：</w:t>
      </w:r>
    </w:p>
    <w:p>
      <w:pPr>
        <w:spacing w:line="288"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投标文件未在投标截止时间前完成传输的，视为投标文件撤回；投标文件未按时解密，亦视为投标文件撤回。</w:t>
      </w:r>
    </w:p>
    <w:p>
      <w:pPr>
        <w:spacing w:line="288"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2.投标文件的组成（注：电子投标文件中所须加盖公章部分均应采用电子签章。）</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2.1法定代表人身份证明（格式见附件一）；</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2.2授权委托书（格式见附件二）；</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2.3代理人身份证复印件（格式见附件三）；</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2.4社保机构出具的本工程授权代表距投标截止时间一个月以内的社保证明（缴费单位和投标单位名称必须一致，并加盖社保缴费证明专用章）复印件；</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2.5投标人营业执照、资质证书、安全生产许可证、省住建厅核发的进浙企业备案证明（外省企业需提供，省内企业无需提供）复印件；</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2.6投标人拟派项目负责人建造师注册证书、安全生产考核合格证（B证）、项目负责人的包含</w:t>
      </w:r>
      <w:r>
        <w:rPr>
          <w:rFonts w:hint="eastAsia" w:ascii="仿宋" w:hAnsi="仿宋" w:eastAsia="仿宋" w:cs="仿宋"/>
          <w:color w:val="auto"/>
          <w:sz w:val="24"/>
          <w:highlight w:val="none"/>
          <w:lang w:eastAsia="zh-CN"/>
        </w:rPr>
        <w:t>2022年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月至2022年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rPr>
        <w:t>的投标人所属社保机构养老保险交纳清单或证明（缴费单位和投标单位名称必须一致，并加盖社保缴费证明专用章）复印件；</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2.7投标承诺书（格式见附件四）；</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2.8招标控制价认可函（格式见附件五）；</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2.9投标函（格式见附件六）；</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2.10总报价书（格式见附件七）；</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2.11项目负责人在开标前无在建工程及</w:t>
      </w:r>
      <w:r>
        <w:rPr>
          <w:rFonts w:hint="eastAsia" w:ascii="仿宋" w:hAnsi="仿宋" w:eastAsia="仿宋" w:cs="仿宋"/>
          <w:bCs/>
          <w:color w:val="auto"/>
          <w:sz w:val="24"/>
          <w:highlight w:val="none"/>
        </w:rPr>
        <w:t>企业和项目负责人近五年无行贿犯罪记录承诺书</w:t>
      </w:r>
      <w:r>
        <w:rPr>
          <w:rFonts w:hint="eastAsia" w:ascii="仿宋" w:hAnsi="仿宋" w:eastAsia="仿宋" w:cs="仿宋"/>
          <w:color w:val="auto"/>
          <w:sz w:val="24"/>
          <w:highlight w:val="none"/>
        </w:rPr>
        <w:t>(格式见附件八)。</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u w:val="wave"/>
        </w:rPr>
        <w:t>2.1</w:t>
      </w:r>
      <w:r>
        <w:rPr>
          <w:rFonts w:hint="eastAsia" w:ascii="仿宋" w:hAnsi="仿宋" w:eastAsia="仿宋" w:cs="仿宋"/>
          <w:color w:val="auto"/>
          <w:sz w:val="24"/>
          <w:highlight w:val="none"/>
          <w:u w:val="wave"/>
          <w:lang w:val="en-US" w:eastAsia="zh-CN"/>
        </w:rPr>
        <w:t>2</w:t>
      </w:r>
      <w:r>
        <w:rPr>
          <w:rFonts w:hint="eastAsia" w:ascii="仿宋" w:hAnsi="仿宋" w:eastAsia="仿宋" w:cs="仿宋"/>
          <w:color w:val="auto"/>
          <w:sz w:val="24"/>
          <w:highlight w:val="none"/>
          <w:u w:val="wave"/>
        </w:rPr>
        <w:t>未尽事宜请各投标单位按评分细则和相对应标项相关要求制作</w:t>
      </w:r>
      <w:r>
        <w:rPr>
          <w:rFonts w:hint="eastAsia" w:ascii="仿宋" w:hAnsi="仿宋" w:eastAsia="仿宋" w:cs="仿宋"/>
          <w:b/>
          <w:bCs/>
          <w:color w:val="auto"/>
          <w:sz w:val="24"/>
          <w:highlight w:val="none"/>
          <w:u w:val="wave"/>
        </w:rPr>
        <w:t>(重要)</w:t>
      </w:r>
      <w:r>
        <w:rPr>
          <w:rFonts w:hint="eastAsia" w:ascii="仿宋" w:hAnsi="仿宋" w:eastAsia="仿宋" w:cs="仿宋"/>
          <w:color w:val="auto"/>
          <w:sz w:val="24"/>
          <w:highlight w:val="none"/>
        </w:rPr>
        <w:t>。</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文件组成投标文件。投标人在投标文件中应对招标文件作出实质性响应，该项内容将作为评标重要指标。投标人不按招标文件的要求提供的投标文件和资料将视为没有对招标文件作出实质性响应，可能导致该投标文件被拒绝，其风险应由投标人自行承担。</w:t>
      </w:r>
    </w:p>
    <w:p>
      <w:pPr>
        <w:spacing w:line="288" w:lineRule="auto"/>
        <w:ind w:firstLine="482" w:firstLineChars="200"/>
        <w:jc w:val="left"/>
        <w:rPr>
          <w:rFonts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（企业资质证书、企业安全生产许可证、项目负责人建造师证、安全生产考核合格证（B证）允许使用电子证书打印件（需加盖单位公章），二维码扫描不能获取信息的，则资审查不通过。）</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2.投标文件格式要求</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投标人应按照招标文件要求的内容和附件格式，编制投标文件。</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3.投标保证金：/</w:t>
      </w:r>
    </w:p>
    <w:p>
      <w:pPr>
        <w:spacing w:line="288"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4.电子投标文件部分：投标人应根据“政采云供应商项目采购-电子招投标操作指南”及本招标文件规定的格式和顺序编制电子投标文件并进行关联定位。</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四、投标文件的递交</w:t>
      </w:r>
    </w:p>
    <w:p>
      <w:pPr>
        <w:spacing w:line="288"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投标人应按“招标公告”规定的时间，在“政采云”上提供电子投标文件</w:t>
      </w:r>
      <w:r>
        <w:rPr>
          <w:rFonts w:hint="eastAsia" w:ascii="仿宋" w:hAnsi="仿宋" w:eastAsia="仿宋" w:cs="仿宋"/>
          <w:b/>
          <w:bCs/>
          <w:color w:val="auto"/>
          <w:sz w:val="24"/>
          <w:highlight w:val="none"/>
        </w:rPr>
        <w:t>。</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五、开标会议</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1.开标会议程序</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1.1投标截止时间后，主持人宣布开标会开始。</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1.2投标人登录政采云平台，用“项目采购-开标评标”功能对电子投标文件进行在线解密。在线解密电子投标文件时间为开标时间起30分钟内。</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1.3评标委员会对所有投标人资格和投标文件进行符合性评审。</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1.4宣布通过符合性评审投标人的报价，未通过符合性评审投标人的投标文件不予宣布报价。</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1.5根据评标办法规定确定中标单位。</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1.6主持人公布评标结果。</w:t>
      </w:r>
    </w:p>
    <w:p>
      <w:pPr>
        <w:snapToGrid w:val="0"/>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pPr>
        <w:snapToGrid w:val="0"/>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pPr>
        <w:snapToGrid w:val="0"/>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pPr>
        <w:snapToGrid w:val="0"/>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pPr>
        <w:snapToGrid w:val="0"/>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pPr>
        <w:snapToGrid w:val="0"/>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pPr>
        <w:snapToGrid w:val="0"/>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pPr>
        <w:spacing w:line="288" w:lineRule="auto"/>
        <w:ind w:firstLine="480" w:firstLineChars="200"/>
        <w:rPr>
          <w:rFonts w:ascii="仿宋" w:hAnsi="仿宋" w:eastAsia="仿宋" w:cs="仿宋"/>
          <w:b/>
          <w:color w:val="auto"/>
          <w:kern w:val="24"/>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3.投标行为无效情形</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投标人有下列情形之一的，其投标行为无效，作无效投标处理：</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3.1未在规定时间内对投标文件进行解密的；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3.2投标人不符合招标文件载明的资格条件要求的；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3.3投标文件不符合招标文件载明的要求的；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3.4投标下浮率与招标文件载明的下浮率范围不一致的；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3.5不符合招标文件明确的实质性响应条件的；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3.6未能出具相关证件或证件无效的；</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4.投标文件鉴定和公布</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当众宣传核查结果，并宣读有效投标的投标人名称以及投标主要内容。</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5.唱标</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唱标内容将做好记录。</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6.开标会议记录</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开标会议全过程由采购人代表或其委托的采购代理机构代表记录，并存档备查。</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六、评 标</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1.评标组织</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1.1评标委员会由招标采购单位依法组建，负责评标活动。评标委员会遵循公开、公平、公正、科学合理、竞争择优的原则。</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1.2评标委员会由</w:t>
      </w:r>
      <w:r>
        <w:rPr>
          <w:rFonts w:hint="eastAsia" w:ascii="仿宋" w:hAnsi="仿宋" w:eastAsia="仿宋" w:cs="仿宋"/>
          <w:color w:val="auto"/>
          <w:sz w:val="24"/>
          <w:highlight w:val="none"/>
          <w:lang w:eastAsia="zh-CN"/>
        </w:rPr>
        <w:t>采购人代表和</w:t>
      </w:r>
      <w:r>
        <w:rPr>
          <w:rFonts w:hint="eastAsia" w:ascii="仿宋" w:hAnsi="仿宋" w:eastAsia="仿宋" w:cs="仿宋"/>
          <w:color w:val="auto"/>
          <w:sz w:val="24"/>
          <w:highlight w:val="none"/>
        </w:rPr>
        <w:t>相关方面的专家组成，成员人数为五人</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以上单数。</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1.3评标委员会负责对投标人资格的最终审定。</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1.4评标委员会可以要求投标人对其投标文件中含义不明确的内容作必要的澄清或者说明，但澄清或者说明不得超过投标文件的范围或者改变投标文件的实质性内容。</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供应商通过政采云平台交换的数据电文必须进行电子签章。</w:t>
      </w:r>
    </w:p>
    <w:p>
      <w:pPr>
        <w:widowControl/>
        <w:snapToGrid w:val="0"/>
        <w:spacing w:line="288"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对投标文件的判定，只依据投标文件和招标文件内容本身，不依据任何外来证明。</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1.6评标委员会不向落标方解释落标的原因。</w:t>
      </w:r>
    </w:p>
    <w:p>
      <w:pPr>
        <w:spacing w:line="288"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2.评标办法</w:t>
      </w:r>
    </w:p>
    <w:p>
      <w:pPr>
        <w:spacing w:line="288" w:lineRule="auto"/>
        <w:ind w:firstLine="480" w:firstLineChars="200"/>
        <w:jc w:val="left"/>
        <w:rPr>
          <w:rFonts w:ascii="仿宋" w:hAnsi="仿宋" w:eastAsia="仿宋" w:cs="仿宋"/>
          <w:color w:val="auto"/>
          <w:sz w:val="24"/>
          <w:highlight w:val="none"/>
          <w:lang w:val="zh-TW"/>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zh-TW"/>
        </w:rPr>
        <w:t>评标入围：全部入围。</w:t>
      </w:r>
    </w:p>
    <w:p>
      <w:pPr>
        <w:spacing w:line="288"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2.2本次评标采用综合评估法，评标委员会在</w:t>
      </w:r>
      <w:r>
        <w:rPr>
          <w:rFonts w:hint="eastAsia" w:ascii="仿宋" w:hAnsi="仿宋" w:eastAsia="仿宋" w:cs="仿宋"/>
          <w:color w:val="auto"/>
          <w:sz w:val="24"/>
          <w:highlight w:val="none"/>
          <w:lang w:val="zh-TW"/>
        </w:rPr>
        <w:t>投标单位中</w:t>
      </w:r>
      <w:r>
        <w:rPr>
          <w:rFonts w:hint="eastAsia" w:ascii="仿宋" w:hAnsi="仿宋" w:eastAsia="仿宋" w:cs="仿宋"/>
          <w:color w:val="auto"/>
          <w:sz w:val="24"/>
          <w:highlight w:val="none"/>
        </w:rPr>
        <w:t>对满足招标文件实质性要求的投标文件，按照本规定的评分标准进行打分，并按综合得分由高到低顺序推荐中标候选人。得分相同时，由采购人现场抽签确定。</w:t>
      </w:r>
    </w:p>
    <w:p>
      <w:pPr>
        <w:spacing w:line="288"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2.3评分标准：共100分，其中商务技术30分，价格70分。评分依下述所列为评标打分依据，分值如下（计算分值时，按其算术平均值保留小数2位）。</w:t>
      </w:r>
    </w:p>
    <w:p>
      <w:pPr>
        <w:spacing w:line="288"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2.4商务技术评分标准（30分）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ind w:firstLine="540" w:firstLineChars="224"/>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评审内容</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ind w:firstLine="540" w:firstLineChars="224"/>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业绩</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投标人自</w:t>
            </w:r>
            <w:r>
              <w:rPr>
                <w:rFonts w:hint="eastAsia" w:ascii="仿宋" w:hAnsi="仿宋" w:eastAsia="仿宋" w:cs="仿宋"/>
                <w:color w:val="auto"/>
                <w:sz w:val="24"/>
                <w:szCs w:val="24"/>
                <w:highlight w:val="none"/>
                <w:lang w:val="en-US" w:eastAsia="zh-CN"/>
              </w:rPr>
              <w:t>2019年1月1日</w:t>
            </w:r>
            <w:r>
              <w:rPr>
                <w:rFonts w:hint="eastAsia" w:ascii="仿宋" w:hAnsi="仿宋" w:eastAsia="仿宋" w:cs="仿宋"/>
                <w:color w:val="auto"/>
                <w:sz w:val="24"/>
                <w:szCs w:val="24"/>
                <w:highlight w:val="none"/>
              </w:rPr>
              <w:t>（竣工验收时间）至今承接过同类施工</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每提供一个业绩得1分，最高得3分。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同时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合同及竣工验收报告</w:t>
            </w:r>
            <w:r>
              <w:rPr>
                <w:rFonts w:hint="eastAsia" w:ascii="仿宋" w:hAnsi="仿宋" w:eastAsia="仿宋" w:cs="仿宋"/>
                <w:color w:val="auto"/>
                <w:sz w:val="24"/>
                <w:szCs w:val="24"/>
                <w:highlight w:val="none"/>
              </w:rPr>
              <w:t>复印件加盖</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缺一</w:t>
            </w:r>
            <w:r>
              <w:rPr>
                <w:rFonts w:hint="eastAsia" w:ascii="仿宋" w:hAnsi="仿宋" w:eastAsia="仿宋" w:cs="仿宋"/>
                <w:color w:val="auto"/>
                <w:sz w:val="24"/>
                <w:szCs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施工方案</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评标委员会对投标人就本项目的施工组织方案情况酌情打分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优秀的得</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分；良的得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，未提供不得分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施工措施</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评标委员会对投标人就本项目的施工措施情况酌情打分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优秀的得</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分；良的得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，未提供不得分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施工人员配备情况</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评标委员会对投标人就本项目的施工人员配备情况酌情打分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优秀的得</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分；良的得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，未提供不得分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施工安全措施</w:t>
            </w:r>
            <w:r>
              <w:rPr>
                <w:rFonts w:hint="eastAsia" w:ascii="仿宋" w:hAnsi="仿宋" w:eastAsia="仿宋" w:cs="仿宋"/>
                <w:color w:val="auto"/>
                <w:sz w:val="24"/>
                <w:szCs w:val="24"/>
                <w:highlight w:val="none"/>
                <w:lang w:eastAsia="zh-CN"/>
              </w:rPr>
              <w:t>承诺</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评标委员会对投标人就本项目作出的施工安全措施</w:t>
            </w:r>
            <w:r>
              <w:rPr>
                <w:rFonts w:hint="eastAsia" w:ascii="仿宋" w:hAnsi="仿宋" w:eastAsia="仿宋" w:cs="仿宋"/>
                <w:color w:val="auto"/>
                <w:sz w:val="24"/>
                <w:szCs w:val="24"/>
                <w:highlight w:val="none"/>
                <w:lang w:eastAsia="zh-CN"/>
              </w:rPr>
              <w:t>承诺</w:t>
            </w:r>
            <w:r>
              <w:rPr>
                <w:rFonts w:hint="eastAsia" w:ascii="仿宋" w:hAnsi="仿宋" w:eastAsia="仿宋" w:cs="仿宋"/>
                <w:color w:val="auto"/>
                <w:sz w:val="24"/>
                <w:szCs w:val="24"/>
                <w:highlight w:val="none"/>
              </w:rPr>
              <w:t>情况酌情打分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优秀的得</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分；良的得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，未提供不得分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施工质量</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承诺</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评标委员会对投标人就本项目作出的施工质量等承诺情况酌情打分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优秀的得</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分；良的得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，未提供不得分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施工进度安排</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评标委员会对投标人就本项目作出的</w:t>
            </w:r>
            <w:r>
              <w:rPr>
                <w:rFonts w:hint="eastAsia" w:ascii="仿宋" w:hAnsi="仿宋" w:eastAsia="仿宋" w:cs="仿宋"/>
                <w:color w:val="auto"/>
                <w:sz w:val="24"/>
                <w:highlight w:val="none"/>
              </w:rPr>
              <w:t>施工进度安排</w:t>
            </w:r>
            <w:r>
              <w:rPr>
                <w:rFonts w:hint="eastAsia" w:ascii="仿宋" w:hAnsi="仿宋" w:eastAsia="仿宋" w:cs="仿宋"/>
                <w:color w:val="auto"/>
                <w:sz w:val="24"/>
                <w:szCs w:val="24"/>
                <w:highlight w:val="none"/>
              </w:rPr>
              <w:t>情况酌情打分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优秀的得</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分；良的得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，未提供不得分</w:t>
            </w:r>
            <w:r>
              <w:rPr>
                <w:rFonts w:hint="eastAsia" w:ascii="仿宋" w:hAnsi="仿宋" w:eastAsia="仿宋" w:cs="仿宋"/>
                <w:color w:val="auto"/>
                <w:sz w:val="24"/>
                <w:szCs w:val="24"/>
                <w:highlight w:val="none"/>
              </w:rPr>
              <w:t>。</w:t>
            </w:r>
          </w:p>
        </w:tc>
      </w:tr>
    </w:tbl>
    <w:p>
      <w:pPr>
        <w:spacing w:line="288"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2.5价格评分标准（70分）</w:t>
      </w:r>
    </w:p>
    <w:p>
      <w:pPr>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投标人以采购人提供的招标控制价为基数，在</w:t>
      </w:r>
      <w:r>
        <w:rPr>
          <w:rFonts w:hint="eastAsia" w:ascii="仿宋" w:hAnsi="仿宋" w:eastAsia="仿宋" w:cs="仿宋"/>
          <w:color w:val="auto"/>
          <w:sz w:val="24"/>
          <w:highlight w:val="none"/>
          <w:lang w:val="en-US" w:eastAsia="zh-CN"/>
        </w:rPr>
        <w:t>5%-10%</w:t>
      </w:r>
      <w:r>
        <w:rPr>
          <w:rFonts w:hint="eastAsia" w:ascii="仿宋" w:hAnsi="仿宋" w:eastAsia="仿宋" w:cs="仿宋"/>
          <w:color w:val="auto"/>
          <w:sz w:val="24"/>
          <w:highlight w:val="none"/>
        </w:rPr>
        <w:t>（含上、下限，下同）有效范围内确定下浮率（百分比小数点后</w:t>
      </w:r>
      <w:r>
        <w:rPr>
          <w:rFonts w:hint="eastAsia" w:ascii="仿宋" w:hAnsi="仿宋" w:eastAsia="仿宋" w:cs="仿宋"/>
          <w:color w:val="auto"/>
          <w:sz w:val="24"/>
          <w:highlight w:val="none"/>
          <w:lang w:eastAsia="zh-CN"/>
        </w:rPr>
        <w:t>最多</w:t>
      </w:r>
      <w:r>
        <w:rPr>
          <w:rFonts w:hint="eastAsia" w:ascii="仿宋" w:hAnsi="仿宋" w:eastAsia="仿宋" w:cs="仿宋"/>
          <w:color w:val="auto"/>
          <w:sz w:val="24"/>
          <w:highlight w:val="none"/>
        </w:rPr>
        <w:t>保留两位，即**.**%，小数点后第三位四舍五入），设为Xi；</w:t>
      </w:r>
    </w:p>
    <w:p>
      <w:pPr>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由采购人代表在</w:t>
      </w:r>
      <w:r>
        <w:rPr>
          <w:rFonts w:hint="eastAsia" w:ascii="仿宋" w:hAnsi="仿宋" w:eastAsia="仿宋" w:cs="仿宋"/>
          <w:color w:val="auto"/>
          <w:sz w:val="24"/>
          <w:highlight w:val="none"/>
          <w:lang w:val="en-US" w:eastAsia="zh-CN"/>
        </w:rPr>
        <w:t>5%-10%</w:t>
      </w:r>
      <w:r>
        <w:rPr>
          <w:rFonts w:hint="eastAsia" w:ascii="仿宋" w:hAnsi="仿宋" w:eastAsia="仿宋" w:cs="仿宋"/>
          <w:color w:val="auto"/>
          <w:sz w:val="24"/>
          <w:highlight w:val="none"/>
        </w:rPr>
        <w:t>有效范围内（各档之间的步长为0.5%）随机抽取2个下浮率，算术平均值作为评估下浮率，设为Y。各投标人报价分值评估计算如下：</w:t>
      </w:r>
    </w:p>
    <w:p>
      <w:pPr>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当Xi＝Y时，得分＝</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w:t>
      </w:r>
    </w:p>
    <w:p>
      <w:pPr>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当Xi＞Y时，得分＝</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0-（Xi-Y）×100×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p>
      <w:pPr>
        <w:spacing w:line="288"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当Xi＜Y时，得分＝</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0-（Y-Xi）×100×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pPr>
        <w:spacing w:line="288"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CN"/>
        </w:rPr>
        <w:t>计算结果精确到小数点后两位，小数点后第三位四舍五入。</w:t>
      </w:r>
    </w:p>
    <w:p>
      <w:pPr>
        <w:spacing w:line="288" w:lineRule="auto"/>
        <w:ind w:firstLine="480" w:firstLineChars="200"/>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eastAsia="zh-CN"/>
        </w:rPr>
        <w:t>中标价</w:t>
      </w:r>
      <w:r>
        <w:rPr>
          <w:rFonts w:hint="eastAsia" w:ascii="仿宋" w:hAnsi="仿宋" w:eastAsia="仿宋" w:cs="仿宋"/>
          <w:color w:val="auto"/>
          <w:sz w:val="24"/>
          <w:highlight w:val="none"/>
          <w:lang w:val="en-US" w:eastAsia="zh-CN"/>
        </w:rPr>
        <w:t>=本次招标预算价</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（1-中标下浮率）</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3.重新开标情形</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有下列情形之一的，采购人应重新招标：</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开标会议确认有效投标人少于3家的；</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 开标会议确定的中标人放弃中标资格或者经查实无中标资格的。</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4.重大偏差情形</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4.1下列情形之一的，视作重大偏差：</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4.1.1无法定代表人身份证明（格式见附件一）或法定代表人身份证明未加盖单位电子签章的；</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4.1.2无授权委托书（格式见附件二）或授权委托书未加盖单位电子签章和法定代表人未</w:t>
      </w:r>
      <w:r>
        <w:rPr>
          <w:rFonts w:hint="eastAsia" w:ascii="仿宋" w:hAnsi="仿宋" w:eastAsia="仿宋" w:cs="仿宋"/>
          <w:color w:val="auto"/>
          <w:kern w:val="0"/>
          <w:sz w:val="24"/>
          <w:highlight w:val="none"/>
        </w:rPr>
        <w:t>签字或盖章</w:t>
      </w:r>
      <w:r>
        <w:rPr>
          <w:rFonts w:hint="eastAsia" w:ascii="仿宋" w:hAnsi="仿宋" w:eastAsia="仿宋" w:cs="仿宋"/>
          <w:color w:val="auto"/>
          <w:sz w:val="24"/>
          <w:highlight w:val="none"/>
        </w:rPr>
        <w:t>的（</w:t>
      </w:r>
      <w:r>
        <w:rPr>
          <w:rFonts w:hint="eastAsia" w:ascii="仿宋" w:hAnsi="仿宋" w:eastAsia="仿宋" w:cs="仿宋"/>
          <w:color w:val="auto"/>
          <w:kern w:val="24"/>
          <w:sz w:val="24"/>
          <w:highlight w:val="none"/>
        </w:rPr>
        <w:t>授权委托人</w:t>
      </w:r>
      <w:r>
        <w:rPr>
          <w:rFonts w:hint="eastAsia" w:ascii="仿宋" w:hAnsi="仿宋" w:eastAsia="仿宋" w:cs="仿宋"/>
          <w:color w:val="auto"/>
          <w:sz w:val="24"/>
          <w:highlight w:val="none"/>
        </w:rPr>
        <w:t>是法定代表人本人的除外）；</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4.1.3无投标承诺书（格式见附件四）或投标承诺书未加盖单位电子签章和法定代表人未</w:t>
      </w:r>
      <w:r>
        <w:rPr>
          <w:rFonts w:hint="eastAsia" w:ascii="仿宋" w:hAnsi="仿宋" w:eastAsia="仿宋" w:cs="仿宋"/>
          <w:color w:val="auto"/>
          <w:kern w:val="0"/>
          <w:sz w:val="24"/>
          <w:highlight w:val="none"/>
        </w:rPr>
        <w:t>签字或盖章</w:t>
      </w:r>
      <w:r>
        <w:rPr>
          <w:rFonts w:hint="eastAsia" w:ascii="仿宋" w:hAnsi="仿宋" w:eastAsia="仿宋" w:cs="仿宋"/>
          <w:color w:val="auto"/>
          <w:sz w:val="24"/>
          <w:highlight w:val="none"/>
        </w:rPr>
        <w:t>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4.1.4无</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（格式见附件五）或</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未加盖单位电子签章和法定代表人未</w:t>
      </w:r>
      <w:r>
        <w:rPr>
          <w:rFonts w:hint="eastAsia" w:ascii="仿宋" w:hAnsi="仿宋" w:eastAsia="仿宋" w:cs="仿宋"/>
          <w:color w:val="auto"/>
          <w:kern w:val="0"/>
          <w:sz w:val="24"/>
          <w:highlight w:val="none"/>
        </w:rPr>
        <w:t>签字或盖章</w:t>
      </w:r>
      <w:r>
        <w:rPr>
          <w:rFonts w:hint="eastAsia" w:ascii="仿宋" w:hAnsi="仿宋" w:eastAsia="仿宋" w:cs="仿宋"/>
          <w:color w:val="auto"/>
          <w:sz w:val="24"/>
          <w:highlight w:val="none"/>
        </w:rPr>
        <w:t>的</w:t>
      </w:r>
      <w:r>
        <w:rPr>
          <w:rFonts w:hint="eastAsia" w:ascii="仿宋" w:hAnsi="仿宋" w:eastAsia="仿宋" w:cs="仿宋"/>
          <w:bCs/>
          <w:color w:val="auto"/>
          <w:sz w:val="24"/>
          <w:highlight w:val="none"/>
        </w:rPr>
        <w:t>；</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4.1.5无投标函、总报价书（格式见附件六、附件七）或投标函总报价书未加盖单位电子签章和法定代表人未</w:t>
      </w:r>
      <w:r>
        <w:rPr>
          <w:rFonts w:hint="eastAsia" w:ascii="仿宋" w:hAnsi="仿宋" w:eastAsia="仿宋" w:cs="仿宋"/>
          <w:color w:val="auto"/>
          <w:kern w:val="0"/>
          <w:sz w:val="24"/>
          <w:highlight w:val="none"/>
        </w:rPr>
        <w:t>签字或盖章</w:t>
      </w:r>
      <w:r>
        <w:rPr>
          <w:rFonts w:hint="eastAsia" w:ascii="仿宋" w:hAnsi="仿宋" w:eastAsia="仿宋" w:cs="仿宋"/>
          <w:color w:val="auto"/>
          <w:sz w:val="24"/>
          <w:highlight w:val="none"/>
        </w:rPr>
        <w:t>的</w:t>
      </w:r>
      <w:r>
        <w:rPr>
          <w:rFonts w:hint="eastAsia" w:ascii="仿宋" w:hAnsi="仿宋" w:eastAsia="仿宋" w:cs="仿宋"/>
          <w:bCs/>
          <w:color w:val="auto"/>
          <w:sz w:val="24"/>
          <w:highlight w:val="none"/>
        </w:rPr>
        <w:t>；</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4.1.6投标文件未按规定的格式填写，内容不全或关键字迹模糊、无法辨认的；</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4.1.7投标人在一份投标文件中对同一招标项目报有两个或多个报价的；</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4.1.8不符合招标文件中规定的其他实质性要求。</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4.2因重大偏差未能对招标文件作出实质性响应的，作无效投标处理。</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七、定 标</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1.采购代理机构对中标结果在指定媒体（浙江政府采购网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、绍兴公共资源交易网http://ggb.sx.gov.cn）发布中标公告，中标公告期限为</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个工作日。采购代理机构向中标供应商签发中标通知书。在采购代理机构发出中标通知书前，中标供应商如有违反有关法律法规和本项目要求行为的，则取消该投标人的中标资格。</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2.中标通知书对采购人和中标人具有法律效力。中标通知书发出后，采购人改变中标结果的，或者中标人放弃中标项目的，应当依法承担法律责任。</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3.采购人无正当理由不与中标人签订合同的，并赔偿由此给中标人造成的损失。</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4.发生下列情形之一的为中标无效：</w:t>
      </w:r>
    </w:p>
    <w:p>
      <w:pPr>
        <w:spacing w:line="288" w:lineRule="auto"/>
        <w:ind w:firstLine="480" w:firstLineChars="200"/>
        <w:rPr>
          <w:rFonts w:ascii="仿宋" w:hAnsi="仿宋" w:eastAsia="仿宋" w:cs="仿宋"/>
          <w:spacing w:val="-4"/>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pacing w:val="-4"/>
          <w:sz w:val="24"/>
          <w:highlight w:val="none"/>
        </w:rPr>
        <w:t>采购代理机构因泄露</w:t>
      </w:r>
      <w:r>
        <w:rPr>
          <w:rFonts w:hint="eastAsia" w:ascii="仿宋" w:hAnsi="仿宋" w:eastAsia="仿宋" w:cs="仿宋"/>
          <w:spacing w:val="-4"/>
          <w:sz w:val="24"/>
          <w:highlight w:val="none"/>
        </w:rPr>
        <w:t xml:space="preserve">应当保密的与招标投标活动有关的情况和资料的，或者与采购人、投标人串通损害国家利益、社会公共利益或者他人合法权益，影响中标结果的； </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4.2采购人向他人透露已获取招标文件的投标人可能影响公平竞争的有关招标投标的相关情况，影响中标结果的；</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4.3投标人以他人名义投标或者以其他方式弄虚作假，骗取中标的；　</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4.4中标人或中标人拟派项目负责人经有关部门查实有行贿犯罪记录的；</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4.5采购人在开标会议中确定的标人以外确定中标人的；</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4.6在公示期间，根据本招标文件规定，经有关部门查实中标人有投标无效或作无效投标处理的。</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5.确定中标人中标无效后，采购人将重新组织招标。</w:t>
      </w:r>
    </w:p>
    <w:p>
      <w:pPr>
        <w:snapToGrid w:val="0"/>
        <w:spacing w:line="288"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八、授予合同</w:t>
      </w:r>
    </w:p>
    <w:p>
      <w:pPr>
        <w:spacing w:line="288"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1.中标通知书</w:t>
      </w:r>
    </w:p>
    <w:p>
      <w:pPr>
        <w:spacing w:line="288"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采购代理机构向中标人发出中标通知书，中标通知书将成为合同的主要附件。</w:t>
      </w:r>
    </w:p>
    <w:p>
      <w:pPr>
        <w:spacing w:line="288"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2.履约保证金</w:t>
      </w:r>
    </w:p>
    <w:p>
      <w:pPr>
        <w:spacing w:line="288"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1采购人在签订合同时，按规定可向中标人收取不高于中标额的2％的履约保证金，采购人不得以供应商事先提交履约保证金作为签订合同的条件。鼓励采购人根据项目特点、供应商诚信等情况免收履约保证金或降低缴纳比例。</w:t>
      </w:r>
    </w:p>
    <w:p>
      <w:pPr>
        <w:spacing w:line="288"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.2项目验收结束后，采购人应及时退还履约保证金。</w:t>
      </w:r>
    </w:p>
    <w:p>
      <w:pPr>
        <w:spacing w:line="288" w:lineRule="auto"/>
        <w:ind w:firstLine="480" w:firstLineChars="200"/>
        <w:jc w:val="left"/>
        <w:rPr>
          <w:rFonts w:ascii="仿宋" w:hAnsi="仿宋" w:eastAsia="仿宋" w:cs="仿宋"/>
          <w:b/>
          <w:sz w:val="24"/>
          <w:highlight w:val="none"/>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.3供应商以银行、保险公司出具保函形式提交履约保证金的，采购人不得拒收。</w:t>
      </w:r>
    </w:p>
    <w:p>
      <w:pPr>
        <w:spacing w:line="288"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3.合同签订</w:t>
      </w:r>
    </w:p>
    <w:p>
      <w:pPr>
        <w:spacing w:line="288"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采购人将根据《</w:t>
      </w:r>
      <w:r>
        <w:rPr>
          <w:rFonts w:hint="eastAsia" w:ascii="仿宋" w:hAnsi="仿宋" w:eastAsia="仿宋" w:cs="仿宋"/>
          <w:sz w:val="24"/>
          <w:highlight w:val="none"/>
          <w:lang w:eastAsia="zh-CN"/>
        </w:rPr>
        <w:t>民法典</w:t>
      </w:r>
      <w:r>
        <w:rPr>
          <w:rFonts w:hint="eastAsia" w:ascii="仿宋" w:hAnsi="仿宋" w:eastAsia="仿宋" w:cs="仿宋"/>
          <w:sz w:val="24"/>
          <w:highlight w:val="none"/>
        </w:rPr>
        <w:t>》、《建设工程施工合同管理办法》的规定，采购人和中标人在中标通知书发出之日起五日内，按照招标文件和中标人的投标文件签订书面合同。采购人与中标人不得另行签订背离合同实质性内容的其他协议。签订书面合同后7个工作日内，中标人应当将合同副本等材料向有关部门备案。</w:t>
      </w:r>
    </w:p>
    <w:p>
      <w:pPr>
        <w:spacing w:line="288"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4.合同双方确认</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w:t>
      </w:r>
      <w:r>
        <w:rPr>
          <w:rFonts w:hint="eastAsia" w:ascii="仿宋" w:hAnsi="仿宋" w:eastAsia="仿宋" w:cs="仿宋"/>
          <w:spacing w:val="-2"/>
          <w:sz w:val="24"/>
          <w:highlight w:val="none"/>
        </w:rPr>
        <w:t>合同及本合同约定的其它文件组成部分中的各项约定都是通过法定招标过程形成的合</w:t>
      </w:r>
      <w:r>
        <w:rPr>
          <w:rFonts w:hint="eastAsia" w:ascii="仿宋" w:hAnsi="仿宋" w:eastAsia="仿宋" w:cs="仿宋"/>
          <w:sz w:val="24"/>
          <w:highlight w:val="none"/>
        </w:rPr>
        <w:t>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288" w:lineRule="auto"/>
        <w:ind w:firstLine="480" w:firstLineChars="200"/>
        <w:rPr>
          <w:rFonts w:ascii="仿宋" w:hAnsi="仿宋" w:eastAsia="仿宋" w:cs="仿宋"/>
          <w:sz w:val="24"/>
          <w:highlight w:val="none"/>
        </w:rPr>
      </w:pPr>
    </w:p>
    <w:p>
      <w:pPr>
        <w:pStyle w:val="14"/>
        <w:adjustRightInd/>
        <w:spacing w:line="288" w:lineRule="auto"/>
        <w:jc w:val="center"/>
        <w:rPr>
          <w:rFonts w:ascii="仿宋" w:hAnsi="仿宋" w:eastAsia="仿宋" w:cs="仿宋"/>
          <w:b/>
          <w:sz w:val="36"/>
          <w:szCs w:val="36"/>
          <w:highlight w:val="none"/>
        </w:rPr>
      </w:pPr>
    </w:p>
    <w:p>
      <w:pPr>
        <w:pStyle w:val="14"/>
        <w:adjustRightInd/>
        <w:spacing w:line="288" w:lineRule="auto"/>
        <w:jc w:val="center"/>
        <w:rPr>
          <w:rFonts w:ascii="仿宋" w:hAnsi="仿宋" w:eastAsia="仿宋" w:cs="仿宋"/>
          <w:b/>
          <w:sz w:val="36"/>
          <w:szCs w:val="36"/>
          <w:highlight w:val="none"/>
        </w:rPr>
      </w:pPr>
    </w:p>
    <w:p>
      <w:pPr>
        <w:pStyle w:val="14"/>
        <w:adjustRightInd/>
        <w:spacing w:line="288" w:lineRule="auto"/>
        <w:jc w:val="both"/>
        <w:rPr>
          <w:rFonts w:hint="eastAsia" w:ascii="仿宋" w:hAnsi="仿宋" w:eastAsia="仿宋" w:cs="仿宋"/>
          <w:b/>
          <w:sz w:val="36"/>
          <w:szCs w:val="36"/>
          <w:highlight w:val="none"/>
        </w:rPr>
      </w:pPr>
    </w:p>
    <w:p>
      <w:pPr>
        <w:pStyle w:val="14"/>
        <w:adjustRightInd/>
        <w:spacing w:line="288" w:lineRule="auto"/>
        <w:jc w:val="center"/>
        <w:rPr>
          <w:rFonts w:hint="eastAsia" w:ascii="仿宋" w:hAnsi="仿宋" w:eastAsia="仿宋" w:cs="仿宋"/>
          <w:b/>
          <w:sz w:val="36"/>
          <w:szCs w:val="36"/>
          <w:highlight w:val="none"/>
        </w:rPr>
      </w:pPr>
    </w:p>
    <w:p>
      <w:pPr>
        <w:pStyle w:val="14"/>
        <w:adjustRightInd/>
        <w:spacing w:line="288" w:lineRule="auto"/>
        <w:jc w:val="center"/>
        <w:rPr>
          <w:rFonts w:hint="eastAsia" w:ascii="仿宋" w:hAnsi="仿宋" w:eastAsia="仿宋" w:cs="仿宋"/>
          <w:b/>
          <w:sz w:val="36"/>
          <w:szCs w:val="36"/>
          <w:highlight w:val="none"/>
        </w:rPr>
      </w:pPr>
    </w:p>
    <w:p>
      <w:pPr>
        <w:pStyle w:val="14"/>
        <w:adjustRightInd/>
        <w:spacing w:line="288" w:lineRule="auto"/>
        <w:jc w:val="center"/>
        <w:rPr>
          <w:rFonts w:hint="eastAsia" w:ascii="仿宋" w:hAnsi="仿宋" w:eastAsia="仿宋" w:cs="仿宋"/>
          <w:b/>
          <w:sz w:val="36"/>
          <w:szCs w:val="36"/>
          <w:highlight w:val="none"/>
        </w:rPr>
      </w:pPr>
    </w:p>
    <w:p>
      <w:pPr>
        <w:pStyle w:val="14"/>
        <w:adjustRightInd/>
        <w:spacing w:line="288" w:lineRule="auto"/>
        <w:jc w:val="both"/>
        <w:rPr>
          <w:rFonts w:hint="eastAsia" w:ascii="仿宋" w:hAnsi="仿宋" w:eastAsia="仿宋" w:cs="仿宋"/>
          <w:b/>
          <w:sz w:val="36"/>
          <w:szCs w:val="36"/>
          <w:highlight w:val="none"/>
        </w:rPr>
      </w:pPr>
    </w:p>
    <w:p>
      <w:pPr>
        <w:pStyle w:val="14"/>
        <w:adjustRightInd/>
        <w:spacing w:line="288" w:lineRule="auto"/>
        <w:jc w:val="center"/>
        <w:rPr>
          <w:rFonts w:hint="eastAsia" w:ascii="仿宋" w:hAnsi="仿宋" w:eastAsia="仿宋" w:cs="仿宋"/>
          <w:b/>
          <w:sz w:val="36"/>
          <w:szCs w:val="36"/>
          <w:highlight w:val="none"/>
        </w:rPr>
      </w:pPr>
    </w:p>
    <w:p>
      <w:pPr>
        <w:pStyle w:val="14"/>
        <w:adjustRightInd/>
        <w:spacing w:line="288" w:lineRule="auto"/>
        <w:jc w:val="center"/>
        <w:rPr>
          <w:rFonts w:hint="eastAsia" w:ascii="仿宋" w:hAnsi="仿宋" w:eastAsia="仿宋" w:cs="仿宋"/>
          <w:b/>
          <w:sz w:val="36"/>
          <w:szCs w:val="36"/>
          <w:highlight w:val="none"/>
        </w:rPr>
      </w:pPr>
    </w:p>
    <w:p>
      <w:pPr>
        <w:pStyle w:val="14"/>
        <w:adjustRightInd/>
        <w:spacing w:line="288" w:lineRule="auto"/>
        <w:jc w:val="center"/>
        <w:rPr>
          <w:rFonts w:hint="eastAsia" w:ascii="仿宋" w:hAnsi="仿宋" w:eastAsia="仿宋" w:cs="仿宋"/>
          <w:b/>
          <w:sz w:val="36"/>
          <w:szCs w:val="36"/>
          <w:highlight w:val="none"/>
        </w:rPr>
      </w:pPr>
    </w:p>
    <w:p>
      <w:pPr>
        <w:pStyle w:val="14"/>
        <w:adjustRightInd/>
        <w:spacing w:line="288" w:lineRule="auto"/>
        <w:jc w:val="center"/>
        <w:rPr>
          <w:rFonts w:hint="eastAsia" w:ascii="仿宋" w:hAnsi="仿宋" w:eastAsia="仿宋" w:cs="仿宋"/>
          <w:b/>
          <w:sz w:val="36"/>
          <w:szCs w:val="36"/>
          <w:highlight w:val="none"/>
        </w:rPr>
      </w:pPr>
    </w:p>
    <w:p>
      <w:pPr>
        <w:pStyle w:val="14"/>
        <w:adjustRightInd/>
        <w:spacing w:line="288" w:lineRule="auto"/>
        <w:jc w:val="center"/>
        <w:rPr>
          <w:rFonts w:hint="eastAsia" w:ascii="仿宋" w:hAnsi="仿宋" w:eastAsia="仿宋" w:cs="仿宋"/>
          <w:b/>
          <w:sz w:val="36"/>
          <w:szCs w:val="36"/>
          <w:highlight w:val="none"/>
        </w:rPr>
      </w:pPr>
    </w:p>
    <w:p>
      <w:pPr>
        <w:pStyle w:val="14"/>
        <w:adjustRightInd/>
        <w:spacing w:line="288" w:lineRule="auto"/>
        <w:jc w:val="center"/>
        <w:rPr>
          <w:rFonts w:hint="eastAsia" w:ascii="仿宋" w:hAnsi="仿宋" w:eastAsia="仿宋" w:cs="仿宋"/>
          <w:b/>
          <w:sz w:val="36"/>
          <w:szCs w:val="36"/>
          <w:highlight w:val="none"/>
        </w:rPr>
      </w:pPr>
    </w:p>
    <w:p>
      <w:pPr>
        <w:pStyle w:val="12"/>
        <w:spacing w:after="0" w:line="288" w:lineRule="auto"/>
        <w:ind w:left="0" w:leftChars="0"/>
        <w:jc w:val="both"/>
        <w:rPr>
          <w:rFonts w:hint="eastAsia" w:ascii="仿宋" w:hAnsi="仿宋" w:eastAsia="仿宋" w:cs="仿宋"/>
          <w:b/>
          <w:color w:val="auto"/>
          <w:sz w:val="36"/>
          <w:szCs w:val="36"/>
          <w:highlight w:val="none"/>
        </w:rPr>
      </w:pPr>
    </w:p>
    <w:p>
      <w:pPr>
        <w:pStyle w:val="14"/>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ascii="仿宋" w:hAnsi="仿宋" w:eastAsia="仿宋" w:cs="仿宋"/>
          <w:b/>
          <w:sz w:val="36"/>
          <w:szCs w:val="36"/>
          <w:highlight w:val="none"/>
        </w:rPr>
      </w:pPr>
      <w:r>
        <w:rPr>
          <w:rFonts w:hint="eastAsia" w:ascii="仿宋" w:hAnsi="仿宋" w:eastAsia="仿宋" w:cs="仿宋"/>
          <w:b/>
          <w:sz w:val="36"/>
          <w:szCs w:val="36"/>
          <w:highlight w:val="none"/>
        </w:rPr>
        <w:t>第三部分 项目技术规范和服务要求</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合同条件采用现行的建设工程施工合同示范文本的《合同条件》。</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合同协议条款将由招标人〈甲方〉与中标人〈乙方〉结合本工程具体情况协商后签订。以下为招标人提出涉及投标人的主要条款，投标人在投标文件中进行承诺。</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4"/>
          <w:szCs w:val="24"/>
          <w:highlight w:val="none"/>
        </w:rPr>
      </w:pPr>
      <w:r>
        <w:rPr>
          <w:rFonts w:hint="eastAsia" w:ascii="仿宋" w:hAnsi="仿宋" w:eastAsia="仿宋" w:cs="仿宋"/>
          <w:b/>
          <w:bCs/>
          <w:color w:val="auto"/>
          <w:kern w:val="16"/>
          <w:sz w:val="24"/>
          <w:szCs w:val="24"/>
          <w:highlight w:val="none"/>
        </w:rPr>
        <w:t>一、施工组织设计和工期</w:t>
      </w:r>
    </w:p>
    <w:p>
      <w:pPr>
        <w:pStyle w:val="21"/>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（一）进度计划</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如</w:t>
      </w:r>
      <w:r>
        <w:rPr>
          <w:rFonts w:hint="eastAsia" w:ascii="仿宋" w:hAnsi="仿宋" w:eastAsia="仿宋" w:cs="仿宋"/>
          <w:color w:val="auto"/>
          <w:sz w:val="24"/>
          <w:szCs w:val="24"/>
          <w:highlight w:val="none"/>
        </w:rPr>
        <w:t>对进度计划提出合理修正时，乙方应</w:t>
      </w:r>
      <w:r>
        <w:rPr>
          <w:rFonts w:hint="eastAsia" w:ascii="仿宋" w:hAnsi="仿宋" w:eastAsia="仿宋" w:cs="仿宋"/>
          <w:color w:val="auto"/>
          <w:sz w:val="24"/>
          <w:szCs w:val="24"/>
          <w:highlight w:val="none"/>
          <w:lang w:eastAsia="zh-CN"/>
        </w:rPr>
        <w:t>予以配合</w:t>
      </w:r>
      <w:r>
        <w:rPr>
          <w:rFonts w:hint="eastAsia" w:ascii="仿宋" w:hAnsi="仿宋" w:eastAsia="仿宋" w:cs="仿宋"/>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（二）工程开工</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按施工合同约定的时间开工</w:t>
      </w:r>
      <w:r>
        <w:rPr>
          <w:rFonts w:hint="eastAsia" w:ascii="仿宋" w:hAnsi="仿宋" w:eastAsia="仿宋" w:cs="仿宋"/>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（三）工程工期</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60日历天</w:t>
      </w:r>
      <w:r>
        <w:rPr>
          <w:rFonts w:hint="eastAsia" w:ascii="仿宋" w:hAnsi="仿宋" w:eastAsia="仿宋" w:cs="仿宋"/>
          <w:color w:val="auto"/>
          <w:sz w:val="24"/>
          <w:szCs w:val="24"/>
          <w:highlight w:val="none"/>
          <w:lang w:val="en-US" w:eastAsia="zh-CN"/>
        </w:rPr>
        <w:t>（具体开工时间以开工报告为准）。</w:t>
      </w:r>
    </w:p>
    <w:p>
      <w:pPr>
        <w:pStyle w:val="21"/>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（四）工期延误</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中标人在接到中标通知书后</w:t>
      </w: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个日历日内 由法定代表人或项目经理到招标单位签订施工合同。</w:t>
      </w:r>
      <w:r>
        <w:rPr>
          <w:rFonts w:hint="eastAsia" w:ascii="仿宋" w:hAnsi="仿宋" w:eastAsia="仿宋" w:cs="仿宋"/>
          <w:color w:val="auto"/>
          <w:sz w:val="24"/>
          <w:szCs w:val="24"/>
          <w:highlight w:val="none"/>
          <w:lang w:eastAsia="zh-CN"/>
        </w:rPr>
        <w:t>按施工合同约定的时间开工后，在工期（按前附表的工期要求）内完成所有施工任务，并清扫现场，做到地面洁净。若有延期，每超过一天，罚中标价的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‰，依次类推。</w:t>
      </w:r>
    </w:p>
    <w:p>
      <w:pPr>
        <w:pStyle w:val="21"/>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对以下原因造成竣工日期推迟的延误，经甲方代表确认后，合同工期相应顺延：</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由甲方造成的延误、障碍阻止；</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不可抗力；</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非乙方的过失或造成的。</w:t>
      </w:r>
    </w:p>
    <w:p>
      <w:pPr>
        <w:pStyle w:val="21"/>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（五）工期提前</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合同工期提前不奖，提前竣工费不计</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4"/>
          <w:szCs w:val="24"/>
          <w:highlight w:val="none"/>
        </w:rPr>
      </w:pPr>
      <w:r>
        <w:rPr>
          <w:rFonts w:hint="eastAsia" w:ascii="仿宋" w:hAnsi="仿宋" w:eastAsia="仿宋" w:cs="仿宋"/>
          <w:b/>
          <w:bCs/>
          <w:color w:val="auto"/>
          <w:kern w:val="16"/>
          <w:sz w:val="24"/>
          <w:szCs w:val="24"/>
          <w:highlight w:val="none"/>
        </w:rPr>
        <w:t>二、质量与验收</w:t>
      </w:r>
    </w:p>
    <w:p>
      <w:pPr>
        <w:keepNext w:val="0"/>
        <w:keepLines w:val="0"/>
        <w:pageBreakBefore w:val="0"/>
        <w:widowControl w:val="0"/>
        <w:kinsoku/>
        <w:wordWrap/>
        <w:overflowPunct/>
        <w:topLinePunct w:val="0"/>
        <w:autoSpaceDE/>
        <w:autoSpaceDN/>
        <w:bidi w:val="0"/>
        <w:adjustRightInd w:val="0"/>
        <w:snapToGrid/>
        <w:spacing w:line="276" w:lineRule="auto"/>
        <w:ind w:left="483" w:leftChars="230" w:firstLine="27" w:firstLineChars="11"/>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（一）质量标准</w:t>
      </w:r>
    </w:p>
    <w:p>
      <w:pPr>
        <w:keepNext w:val="0"/>
        <w:keepLines w:val="0"/>
        <w:pageBreakBefore w:val="0"/>
        <w:widowControl w:val="0"/>
        <w:kinsoku/>
        <w:wordWrap/>
        <w:overflowPunct/>
        <w:topLinePunct w:val="0"/>
        <w:autoSpaceDE/>
        <w:autoSpaceDN/>
        <w:bidi w:val="0"/>
        <w:adjustRightInd w:val="0"/>
        <w:snapToGrid/>
        <w:spacing w:line="276" w:lineRule="auto"/>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乙方应按现行的国家施工验收规范和质量评定标准进行施工。</w:t>
      </w:r>
    </w:p>
    <w:p>
      <w:pPr>
        <w:keepNext w:val="0"/>
        <w:keepLines w:val="0"/>
        <w:pageBreakBefore w:val="0"/>
        <w:widowControl w:val="0"/>
        <w:kinsoku/>
        <w:wordWrap/>
        <w:overflowPunct/>
        <w:topLinePunct w:val="0"/>
        <w:autoSpaceDE/>
        <w:autoSpaceDN/>
        <w:bidi w:val="0"/>
        <w:adjustRightInd w:val="0"/>
        <w:snapToGrid/>
        <w:spacing w:line="276" w:lineRule="auto"/>
        <w:ind w:firstLine="51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甲方对本工程质量的特殊要求：</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276"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（二）工程质量等级</w:t>
      </w:r>
    </w:p>
    <w:p>
      <w:pPr>
        <w:keepNext w:val="0"/>
        <w:keepLines w:val="0"/>
        <w:pageBreakBefore w:val="0"/>
        <w:widowControl w:val="0"/>
        <w:kinsoku/>
        <w:wordWrap/>
        <w:overflowPunct/>
        <w:topLinePunct w:val="0"/>
        <w:autoSpaceDE/>
        <w:autoSpaceDN/>
        <w:bidi w:val="0"/>
        <w:adjustRightInd w:val="0"/>
        <w:snapToGrid/>
        <w:spacing w:line="276" w:lineRule="auto"/>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乙方中标的质量等级标准为本工程的合同约定条件。工程质量由招标人组织验收合格。</w:t>
      </w:r>
    </w:p>
    <w:p>
      <w:pPr>
        <w:keepNext w:val="0"/>
        <w:keepLines w:val="0"/>
        <w:pageBreakBefore w:val="0"/>
        <w:widowControl w:val="0"/>
        <w:kinsoku/>
        <w:wordWrap/>
        <w:overflowPunct/>
        <w:topLinePunct w:val="0"/>
        <w:autoSpaceDE/>
        <w:autoSpaceDN/>
        <w:bidi w:val="0"/>
        <w:adjustRightInd w:val="0"/>
        <w:snapToGrid/>
        <w:spacing w:line="276" w:lineRule="auto"/>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质量一次验收达不到合格标准罚中标价的10%，并无条件返工至合格要求，工期不延。</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4"/>
          <w:szCs w:val="24"/>
          <w:highlight w:val="none"/>
        </w:rPr>
      </w:pPr>
      <w:r>
        <w:rPr>
          <w:rFonts w:hint="eastAsia" w:ascii="仿宋" w:hAnsi="仿宋" w:eastAsia="仿宋" w:cs="仿宋"/>
          <w:b/>
          <w:bCs/>
          <w:color w:val="auto"/>
          <w:kern w:val="16"/>
          <w:sz w:val="24"/>
          <w:szCs w:val="24"/>
          <w:highlight w:val="none"/>
        </w:rPr>
        <w:t>三、合同价款与支付</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（一）合同价款的确定</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本工程的合同价根据乙方中标价确定，采用</w:t>
      </w:r>
      <w:r>
        <w:rPr>
          <w:rFonts w:hint="eastAsia" w:ascii="仿宋" w:hAnsi="仿宋" w:eastAsia="仿宋" w:cs="仿宋"/>
          <w:color w:val="auto"/>
          <w:sz w:val="24"/>
          <w:szCs w:val="24"/>
          <w:highlight w:val="none"/>
          <w:u w:val="single"/>
        </w:rPr>
        <w:t xml:space="preserve">  固定总价 </w:t>
      </w:r>
      <w:r>
        <w:rPr>
          <w:rFonts w:hint="eastAsia" w:ascii="仿宋" w:hAnsi="仿宋" w:eastAsia="仿宋" w:cs="仿宋"/>
          <w:color w:val="auto"/>
          <w:sz w:val="24"/>
          <w:szCs w:val="24"/>
          <w:highlight w:val="none"/>
        </w:rPr>
        <w:t>的方式承包，工程量不作调整。</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（二）合同价款的调整</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本工程的合同价采用固定总价合同、合同价款不作调整。</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履约保证金</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乙方在合同签订后7个工作日内缴纳合同金额1%的履约保证金</w:t>
      </w:r>
      <w:r>
        <w:rPr>
          <w:rFonts w:hint="eastAsia" w:ascii="仿宋" w:hAnsi="仿宋" w:eastAsia="仿宋" w:cs="仿宋"/>
          <w:b w:val="0"/>
          <w:bCs/>
          <w:color w:val="auto"/>
          <w:sz w:val="24"/>
          <w:szCs w:val="24"/>
          <w:highlight w:val="none"/>
          <w:lang w:val="en-US" w:eastAsia="zh-CN"/>
        </w:rPr>
        <w:t>给甲方，履约保证金在工程结束竣工验收合格后退还（不计息）。</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工程款支付</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b/>
          <w:bCs/>
          <w:color w:val="auto"/>
          <w:kern w:val="16"/>
          <w:sz w:val="24"/>
          <w:szCs w:val="24"/>
          <w:highlight w:val="none"/>
        </w:rPr>
      </w:pPr>
      <w:r>
        <w:rPr>
          <w:rFonts w:hint="eastAsia" w:ascii="仿宋" w:hAnsi="仿宋" w:eastAsia="仿宋" w:cs="仿宋"/>
          <w:b w:val="0"/>
          <w:bCs/>
          <w:color w:val="auto"/>
          <w:sz w:val="24"/>
          <w:szCs w:val="24"/>
          <w:highlight w:val="none"/>
          <w:lang w:val="en-US" w:eastAsia="zh-CN"/>
        </w:rPr>
        <w:t>工程款的支付方式：甲方在合同生效以及具备实施条件后7个工作日内支付合同金额的30%作为工程预付款，工程结束竣工验收合格后7个工作日内支付至合同金额100%的工程款。</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4"/>
          <w:szCs w:val="24"/>
          <w:highlight w:val="none"/>
        </w:rPr>
      </w:pPr>
      <w:r>
        <w:rPr>
          <w:rFonts w:hint="eastAsia" w:ascii="仿宋" w:hAnsi="仿宋" w:eastAsia="仿宋" w:cs="仿宋"/>
          <w:b/>
          <w:bCs/>
          <w:color w:val="auto"/>
          <w:kern w:val="16"/>
          <w:sz w:val="24"/>
          <w:szCs w:val="24"/>
          <w:highlight w:val="none"/>
        </w:rPr>
        <w:t>四、材料和设备供应</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（一）甲方供应材料、设备</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甲方供应材料、设备：</w:t>
      </w:r>
      <w:r>
        <w:rPr>
          <w:rFonts w:hint="eastAsia" w:ascii="仿宋" w:hAnsi="仿宋" w:eastAsia="仿宋" w:cs="仿宋"/>
          <w:color w:val="auto"/>
          <w:sz w:val="24"/>
          <w:szCs w:val="24"/>
          <w:highlight w:val="none"/>
          <w:u w:val="single"/>
        </w:rPr>
        <w:t xml:space="preserve"> 无，但对特殊材料的单价及供货商需经甲方及有关部门认可。</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甲方未按照条款约定的材料及设备的规格、数量、质量等级和提供时间、地点供应材料设备，所应承担的责任是：</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（二）乙方采购材料、设备</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乙方采购材料、设备：</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bCs/>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主要材料品牌要求：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应承担的违约责任：</w:t>
      </w:r>
      <w:r>
        <w:rPr>
          <w:rFonts w:hint="eastAsia" w:ascii="仿宋" w:hAnsi="仿宋" w:eastAsia="仿宋" w:cs="仿宋"/>
          <w:color w:val="auto"/>
          <w:sz w:val="24"/>
          <w:szCs w:val="24"/>
          <w:highlight w:val="none"/>
          <w:u w:val="single"/>
        </w:rPr>
        <w:t xml:space="preserve"> 返工，并承担相应工期、质量的违约责任</w:t>
      </w:r>
      <w:r>
        <w:rPr>
          <w:rFonts w:hint="eastAsia" w:ascii="仿宋" w:hAnsi="仿宋" w:eastAsia="仿宋" w:cs="仿宋"/>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kern w:val="16"/>
          <w:sz w:val="24"/>
          <w:szCs w:val="24"/>
          <w:highlight w:val="none"/>
        </w:rPr>
      </w:pPr>
      <w:r>
        <w:rPr>
          <w:rFonts w:hint="eastAsia" w:ascii="仿宋" w:hAnsi="仿宋" w:eastAsia="仿宋" w:cs="仿宋"/>
          <w:color w:val="auto"/>
          <w:sz w:val="24"/>
          <w:szCs w:val="24"/>
          <w:highlight w:val="none"/>
        </w:rPr>
        <w:t>所有材料必须有质保书和合格证，经认证许可，并且符合施工图纸和规范要求。</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4"/>
          <w:szCs w:val="24"/>
          <w:highlight w:val="none"/>
        </w:rPr>
      </w:pPr>
      <w:r>
        <w:rPr>
          <w:rFonts w:hint="eastAsia" w:ascii="仿宋" w:hAnsi="仿宋" w:eastAsia="仿宋" w:cs="仿宋"/>
          <w:b/>
          <w:bCs/>
          <w:color w:val="auto"/>
          <w:kern w:val="16"/>
          <w:sz w:val="24"/>
          <w:szCs w:val="24"/>
          <w:highlight w:val="none"/>
        </w:rPr>
        <w:t>五、设计变更</w:t>
      </w:r>
    </w:p>
    <w:p>
      <w:pPr>
        <w:pStyle w:val="21"/>
        <w:keepNext w:val="0"/>
        <w:keepLines w:val="0"/>
        <w:pageBreakBefore w:val="0"/>
        <w:widowControl w:val="0"/>
        <w:numPr>
          <w:ilvl w:val="0"/>
          <w:numId w:val="6"/>
        </w:numPr>
        <w:tabs>
          <w:tab w:val="left" w:pos="1050"/>
          <w:tab w:val="clear" w:pos="1305"/>
        </w:tabs>
        <w:kinsoku/>
        <w:wordWrap/>
        <w:overflowPunct/>
        <w:topLinePunct w:val="0"/>
        <w:autoSpaceDE/>
        <w:autoSpaceDN/>
        <w:bidi w:val="0"/>
        <w:adjustRightInd w:val="0"/>
        <w:snapToGrid/>
        <w:spacing w:after="0" w:line="276" w:lineRule="auto"/>
        <w:ind w:left="1155" w:leftChars="0" w:hanging="675"/>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设计变更</w:t>
      </w:r>
    </w:p>
    <w:p>
      <w:pPr>
        <w:pStyle w:val="21"/>
        <w:keepNext w:val="0"/>
        <w:keepLines w:val="0"/>
        <w:pageBreakBefore w:val="0"/>
        <w:widowControl w:val="0"/>
        <w:kinsoku/>
        <w:wordWrap/>
        <w:overflowPunct/>
        <w:topLinePunct w:val="0"/>
        <w:autoSpaceDE/>
        <w:autoSpaceDN/>
        <w:bidi w:val="0"/>
        <w:adjustRightInd w:val="0"/>
        <w:snapToGrid/>
        <w:spacing w:line="276" w:lineRule="auto"/>
        <w:ind w:firstLine="475" w:firstLineChars="198"/>
        <w:textAlignment w:val="auto"/>
        <w:rPr>
          <w:rFonts w:hint="eastAsia" w:ascii="仿宋" w:hAnsi="仿宋" w:eastAsia="仿宋" w:cs="仿宋"/>
          <w:color w:val="auto"/>
          <w:kern w:val="16"/>
          <w:sz w:val="24"/>
          <w:szCs w:val="24"/>
          <w:highlight w:val="none"/>
        </w:rPr>
      </w:pPr>
      <w:r>
        <w:rPr>
          <w:rFonts w:hint="eastAsia" w:ascii="仿宋" w:hAnsi="仿宋" w:eastAsia="仿宋" w:cs="仿宋"/>
          <w:color w:val="auto"/>
          <w:sz w:val="24"/>
          <w:szCs w:val="24"/>
          <w:highlight w:val="none"/>
        </w:rPr>
        <w:t>本工程不作变更调整。</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4"/>
          <w:szCs w:val="24"/>
          <w:highlight w:val="none"/>
        </w:rPr>
      </w:pPr>
      <w:r>
        <w:rPr>
          <w:rFonts w:hint="eastAsia" w:ascii="仿宋" w:hAnsi="仿宋" w:eastAsia="仿宋" w:cs="仿宋"/>
          <w:b/>
          <w:bCs/>
          <w:color w:val="auto"/>
          <w:kern w:val="16"/>
          <w:sz w:val="24"/>
          <w:szCs w:val="24"/>
          <w:highlight w:val="none"/>
          <w:lang w:val="en-US" w:eastAsia="zh-CN"/>
        </w:rPr>
        <w:t>六</w:t>
      </w:r>
      <w:r>
        <w:rPr>
          <w:rFonts w:hint="eastAsia" w:ascii="仿宋" w:hAnsi="仿宋" w:eastAsia="仿宋" w:cs="仿宋"/>
          <w:b/>
          <w:bCs/>
          <w:color w:val="auto"/>
          <w:kern w:val="16"/>
          <w:sz w:val="24"/>
          <w:szCs w:val="24"/>
          <w:highlight w:val="none"/>
        </w:rPr>
        <w:t>、保    修</w:t>
      </w:r>
    </w:p>
    <w:p>
      <w:pPr>
        <w:pStyle w:val="21"/>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（一）保修期限</w:t>
      </w:r>
    </w:p>
    <w:p>
      <w:pPr>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kern w:val="16"/>
          <w:sz w:val="24"/>
          <w:szCs w:val="24"/>
          <w:highlight w:val="none"/>
        </w:rPr>
      </w:pPr>
      <w:r>
        <w:rPr>
          <w:rFonts w:hint="eastAsia" w:ascii="仿宋" w:hAnsi="仿宋" w:eastAsia="仿宋" w:cs="仿宋"/>
          <w:color w:val="auto"/>
          <w:sz w:val="24"/>
          <w:szCs w:val="24"/>
          <w:highlight w:val="none"/>
        </w:rPr>
        <w:t>本工程保修期为</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保修期从甲方批准的竣工之日起计算。</w:t>
      </w:r>
      <w:r>
        <w:rPr>
          <w:rFonts w:hint="eastAsia" w:ascii="仿宋" w:hAnsi="仿宋" w:eastAsia="仿宋" w:cs="仿宋"/>
          <w:color w:val="auto"/>
          <w:sz w:val="24"/>
          <w:szCs w:val="24"/>
          <w:highlight w:val="none"/>
          <w:lang w:eastAsia="zh-CN"/>
        </w:rPr>
        <w:t>如涉及</w:t>
      </w:r>
      <w:r>
        <w:rPr>
          <w:rFonts w:hint="eastAsia" w:ascii="仿宋" w:hAnsi="仿宋" w:eastAsia="仿宋" w:cs="仿宋"/>
          <w:color w:val="auto"/>
          <w:sz w:val="24"/>
          <w:szCs w:val="24"/>
          <w:highlight w:val="none"/>
        </w:rPr>
        <w:t>国家规定保修期限</w:t>
      </w:r>
      <w:r>
        <w:rPr>
          <w:rFonts w:hint="eastAsia" w:ascii="仿宋" w:hAnsi="仿宋" w:eastAsia="仿宋" w:cs="仿宋"/>
          <w:color w:val="auto"/>
          <w:sz w:val="24"/>
          <w:szCs w:val="24"/>
          <w:highlight w:val="none"/>
          <w:lang w:eastAsia="zh-CN"/>
        </w:rPr>
        <w:t>超</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的工程类型则</w:t>
      </w:r>
      <w:r>
        <w:rPr>
          <w:rFonts w:hint="eastAsia" w:ascii="仿宋" w:hAnsi="仿宋" w:eastAsia="仿宋" w:cs="仿宋"/>
          <w:color w:val="auto"/>
          <w:sz w:val="24"/>
          <w:szCs w:val="24"/>
          <w:highlight w:val="none"/>
        </w:rPr>
        <w:t>按国家规定保修期限</w:t>
      </w:r>
      <w:r>
        <w:rPr>
          <w:rFonts w:hint="eastAsia" w:ascii="仿宋" w:hAnsi="仿宋" w:eastAsia="仿宋" w:cs="仿宋"/>
          <w:color w:val="auto"/>
          <w:sz w:val="24"/>
          <w:szCs w:val="24"/>
          <w:highlight w:val="none"/>
          <w:lang w:eastAsia="zh-CN"/>
        </w:rPr>
        <w:t>执行。</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4"/>
          <w:szCs w:val="24"/>
          <w:highlight w:val="none"/>
        </w:rPr>
      </w:pPr>
      <w:r>
        <w:rPr>
          <w:rFonts w:hint="eastAsia" w:ascii="仿宋" w:hAnsi="仿宋" w:eastAsia="仿宋" w:cs="仿宋"/>
          <w:b/>
          <w:bCs/>
          <w:color w:val="auto"/>
          <w:kern w:val="16"/>
          <w:sz w:val="24"/>
          <w:szCs w:val="24"/>
          <w:highlight w:val="none"/>
          <w:lang w:val="en-US" w:eastAsia="zh-CN"/>
        </w:rPr>
        <w:t>七</w:t>
      </w:r>
      <w:r>
        <w:rPr>
          <w:rFonts w:hint="eastAsia" w:ascii="仿宋" w:hAnsi="仿宋" w:eastAsia="仿宋" w:cs="仿宋"/>
          <w:b/>
          <w:bCs/>
          <w:color w:val="auto"/>
          <w:kern w:val="16"/>
          <w:sz w:val="24"/>
          <w:szCs w:val="24"/>
          <w:highlight w:val="none"/>
          <w:lang w:eastAsia="zh-CN"/>
        </w:rPr>
        <w:t>、</w:t>
      </w:r>
      <w:r>
        <w:rPr>
          <w:rFonts w:hint="eastAsia" w:ascii="仿宋" w:hAnsi="仿宋" w:eastAsia="仿宋" w:cs="仿宋"/>
          <w:b/>
          <w:bCs/>
          <w:color w:val="auto"/>
          <w:kern w:val="16"/>
          <w:sz w:val="24"/>
          <w:szCs w:val="24"/>
          <w:highlight w:val="none"/>
        </w:rPr>
        <w:t>其    它</w:t>
      </w:r>
    </w:p>
    <w:p>
      <w:pPr>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的施工人员进场后，必须严格按</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确定的施工图及工作内容和施工规范施工。遵守建设单位的规章制度，不得损坏建设单位的公共设施。做好“四防” 工作，生产和生活垃圾分别堆放，统一处理，做到文明施工，注意施工安全，施工安全生产人员的保险及费用由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负责，发生安全事故、治安及</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单位安全由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完全负责，保证施工进度。</w:t>
      </w:r>
    </w:p>
    <w:p>
      <w:pPr>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.在施工过程中若出现工程质量、进度等问题，经甲方三次书面通知后仍未采取有效措施的，甲方有权单方终止合同，并保留索赔的权利。</w:t>
      </w:r>
    </w:p>
    <w:p>
      <w:pPr>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.服务要求：①按有关保修要求和相关期限，如出现质量问题，施工单位在接到单位通知后24小时内答复，72小时内免费修复。②不签订合同，给</w:t>
      </w:r>
      <w:r>
        <w:rPr>
          <w:rFonts w:hint="eastAsia" w:ascii="仿宋" w:hAnsi="仿宋" w:eastAsia="仿宋" w:cs="仿宋"/>
          <w:color w:val="auto"/>
          <w:sz w:val="24"/>
          <w:szCs w:val="24"/>
          <w:highlight w:val="none"/>
          <w:lang w:val="en-US" w:eastAsia="zh-CN"/>
        </w:rPr>
        <w:t>建设</w:t>
      </w:r>
      <w:r>
        <w:rPr>
          <w:rFonts w:hint="eastAsia" w:ascii="仿宋" w:hAnsi="仿宋" w:eastAsia="仿宋" w:cs="仿宋"/>
          <w:color w:val="auto"/>
          <w:sz w:val="24"/>
          <w:szCs w:val="24"/>
          <w:highlight w:val="none"/>
        </w:rPr>
        <w:t>单位造成损失的，由中标单位承担。③</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在施工完毕后，应</w:t>
      </w:r>
      <w:r>
        <w:rPr>
          <w:rFonts w:hint="eastAsia" w:ascii="仿宋" w:hAnsi="仿宋" w:eastAsia="仿宋" w:cs="仿宋"/>
          <w:color w:val="auto"/>
          <w:sz w:val="24"/>
          <w:szCs w:val="24"/>
          <w:highlight w:val="none"/>
          <w:lang w:eastAsia="zh-CN"/>
        </w:rPr>
        <w:t>通知及配合</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组织验收。</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.保证邻近建筑物的安全，若有损坏或者引起质量问题，</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需无条件按</w:t>
      </w:r>
      <w:r>
        <w:rPr>
          <w:rFonts w:hint="eastAsia" w:ascii="仿宋" w:hAnsi="仿宋" w:eastAsia="仿宋" w:cs="仿宋"/>
          <w:b/>
          <w:bCs/>
          <w:color w:val="auto"/>
          <w:sz w:val="24"/>
          <w:szCs w:val="24"/>
          <w:highlight w:val="none"/>
          <w:lang w:val="en-US" w:eastAsia="zh-CN"/>
        </w:rPr>
        <w:t>甲方</w:t>
      </w:r>
      <w:r>
        <w:rPr>
          <w:rFonts w:hint="eastAsia" w:ascii="仿宋" w:hAnsi="仿宋" w:eastAsia="仿宋" w:cs="仿宋"/>
          <w:b/>
          <w:bCs/>
          <w:color w:val="auto"/>
          <w:sz w:val="24"/>
          <w:szCs w:val="24"/>
          <w:highlight w:val="none"/>
        </w:rPr>
        <w:t>要求进行修复。</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.不能影响</w:t>
      </w:r>
      <w:r>
        <w:rPr>
          <w:rFonts w:hint="eastAsia" w:ascii="仿宋" w:hAnsi="仿宋" w:eastAsia="仿宋" w:cs="仿宋"/>
          <w:b/>
          <w:bCs/>
          <w:color w:val="auto"/>
          <w:sz w:val="24"/>
          <w:szCs w:val="24"/>
          <w:highlight w:val="none"/>
          <w:lang w:val="en-US" w:eastAsia="zh-CN"/>
        </w:rPr>
        <w:t>甲方单位</w:t>
      </w:r>
      <w:r>
        <w:rPr>
          <w:rFonts w:hint="eastAsia" w:ascii="仿宋" w:hAnsi="仿宋" w:eastAsia="仿宋" w:cs="仿宋"/>
          <w:b/>
          <w:bCs/>
          <w:color w:val="auto"/>
          <w:sz w:val="24"/>
          <w:szCs w:val="24"/>
          <w:highlight w:val="none"/>
        </w:rPr>
        <w:t>正常的</w:t>
      </w:r>
      <w:r>
        <w:rPr>
          <w:rFonts w:hint="eastAsia" w:ascii="仿宋" w:hAnsi="仿宋" w:eastAsia="仿宋" w:cs="仿宋"/>
          <w:b/>
          <w:bCs/>
          <w:color w:val="auto"/>
          <w:sz w:val="24"/>
          <w:szCs w:val="24"/>
          <w:highlight w:val="none"/>
          <w:lang w:val="en-US" w:eastAsia="zh-CN"/>
        </w:rPr>
        <w:t>工作</w:t>
      </w:r>
      <w:r>
        <w:rPr>
          <w:rFonts w:hint="eastAsia" w:ascii="仿宋" w:hAnsi="仿宋" w:eastAsia="仿宋" w:cs="仿宋"/>
          <w:b/>
          <w:bCs/>
          <w:color w:val="auto"/>
          <w:sz w:val="24"/>
          <w:szCs w:val="24"/>
          <w:highlight w:val="none"/>
        </w:rPr>
        <w:t>秩序，并要保证</w:t>
      </w:r>
      <w:r>
        <w:rPr>
          <w:rFonts w:hint="eastAsia" w:ascii="仿宋" w:hAnsi="仿宋" w:eastAsia="仿宋" w:cs="仿宋"/>
          <w:b/>
          <w:bCs/>
          <w:color w:val="auto"/>
          <w:sz w:val="24"/>
          <w:szCs w:val="24"/>
          <w:highlight w:val="none"/>
          <w:lang w:val="en-US" w:eastAsia="zh-CN"/>
        </w:rPr>
        <w:t>甲方人员</w:t>
      </w:r>
      <w:r>
        <w:rPr>
          <w:rFonts w:hint="eastAsia" w:ascii="仿宋" w:hAnsi="仿宋" w:eastAsia="仿宋" w:cs="仿宋"/>
          <w:b/>
          <w:bCs/>
          <w:color w:val="auto"/>
          <w:sz w:val="24"/>
          <w:szCs w:val="24"/>
          <w:highlight w:val="none"/>
        </w:rPr>
        <w:t>的安全。</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应按市政府规定办理农民工保险，相关费用</w:t>
      </w:r>
      <w:r>
        <w:rPr>
          <w:rFonts w:hint="eastAsia" w:ascii="仿宋" w:hAnsi="仿宋" w:eastAsia="仿宋" w:cs="仿宋"/>
          <w:b/>
          <w:bCs/>
          <w:color w:val="auto"/>
          <w:sz w:val="24"/>
          <w:szCs w:val="24"/>
          <w:highlight w:val="none"/>
          <w:lang w:val="en-US" w:eastAsia="zh-CN"/>
        </w:rPr>
        <w:t>由</w:t>
      </w:r>
      <w:r>
        <w:rPr>
          <w:rFonts w:hint="eastAsia" w:ascii="仿宋" w:hAnsi="仿宋" w:eastAsia="仿宋" w:cs="仿宋"/>
          <w:b/>
          <w:bCs/>
          <w:color w:val="auto"/>
          <w:sz w:val="24"/>
          <w:szCs w:val="24"/>
          <w:highlight w:val="none"/>
        </w:rPr>
        <w:t>中标单位</w:t>
      </w:r>
      <w:r>
        <w:rPr>
          <w:rFonts w:hint="eastAsia" w:ascii="仿宋" w:hAnsi="仿宋" w:eastAsia="仿宋" w:cs="仿宋"/>
          <w:b/>
          <w:bCs/>
          <w:color w:val="auto"/>
          <w:sz w:val="24"/>
          <w:szCs w:val="24"/>
          <w:highlight w:val="none"/>
          <w:lang w:val="en-US" w:eastAsia="zh-CN"/>
        </w:rPr>
        <w:t>承担，材料运输、保管和施工中的一切安全由中标单位负责</w:t>
      </w:r>
      <w:r>
        <w:rPr>
          <w:rFonts w:hint="eastAsia" w:ascii="仿宋" w:hAnsi="仿宋" w:eastAsia="仿宋" w:cs="仿宋"/>
          <w:b/>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.本工程标底预算中甲方所指定或推荐的材料品牌，</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必须按照要求施工，施工前所需材料必须经过甲方</w:t>
      </w:r>
      <w:r>
        <w:rPr>
          <w:rFonts w:hint="eastAsia" w:ascii="仿宋" w:hAnsi="仿宋" w:eastAsia="仿宋" w:cs="仿宋"/>
          <w:b/>
          <w:bCs/>
          <w:color w:val="auto"/>
          <w:sz w:val="24"/>
          <w:szCs w:val="24"/>
          <w:highlight w:val="none"/>
          <w:lang w:val="en-US" w:eastAsia="zh-CN"/>
        </w:rPr>
        <w:t>认可</w:t>
      </w:r>
      <w:r>
        <w:rPr>
          <w:rFonts w:hint="eastAsia" w:ascii="仿宋" w:hAnsi="仿宋" w:eastAsia="仿宋" w:cs="仿宋"/>
          <w:b/>
          <w:bCs/>
          <w:color w:val="auto"/>
          <w:sz w:val="24"/>
          <w:szCs w:val="24"/>
          <w:highlight w:val="none"/>
        </w:rPr>
        <w:t>后方可施工，如擅自施工，甲方有权让</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整改，施工过程中产生的所有费用均由</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承担。</w:t>
      </w:r>
    </w:p>
    <w:p>
      <w:pPr>
        <w:pStyle w:val="12"/>
        <w:spacing w:after="0" w:line="288" w:lineRule="auto"/>
        <w:ind w:left="0" w:leftChars="0" w:firstLine="482" w:firstLineChars="200"/>
        <w:jc w:val="both"/>
        <w:rPr>
          <w:rFonts w:hint="eastAsia" w:ascii="仿宋" w:hAnsi="仿宋" w:eastAsia="仿宋" w:cs="仿宋"/>
          <w:b/>
          <w:color w:val="auto"/>
          <w:sz w:val="36"/>
          <w:szCs w:val="36"/>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各投标单位必须在投标前详细审核全部招标文件（包括图纸及标底预算）、包括修改文件（如果有的话）及有关附件，并根据自身实力合理报价。</w:t>
      </w:r>
    </w:p>
    <w:p>
      <w:pPr>
        <w:pStyle w:val="12"/>
        <w:spacing w:after="0" w:line="288" w:lineRule="auto"/>
        <w:ind w:left="0" w:leftChars="0"/>
        <w:jc w:val="both"/>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投标文件及其附件格式</w:t>
      </w:r>
    </w:p>
    <w:p>
      <w:pPr>
        <w:spacing w:line="288" w:lineRule="auto"/>
        <w:rPr>
          <w:rFonts w:ascii="仿宋" w:hAnsi="仿宋" w:eastAsia="仿宋" w:cs="仿宋"/>
          <w:b/>
          <w:color w:val="auto"/>
          <w:sz w:val="24"/>
          <w:highlight w:val="none"/>
        </w:rPr>
      </w:pPr>
    </w:p>
    <w:p>
      <w:pPr>
        <w:spacing w:line="288" w:lineRule="auto"/>
        <w:jc w:val="center"/>
        <w:rPr>
          <w:rFonts w:ascii="仿宋" w:hAnsi="仿宋" w:eastAsia="仿宋" w:cs="仿宋"/>
          <w:b/>
          <w:bCs/>
          <w:color w:val="auto"/>
          <w:kern w:val="44"/>
          <w:sz w:val="36"/>
          <w:szCs w:val="36"/>
          <w:highlight w:val="none"/>
        </w:rPr>
      </w:pPr>
      <w:r>
        <w:rPr>
          <w:rFonts w:hint="eastAsia" w:ascii="仿宋" w:hAnsi="仿宋" w:eastAsia="仿宋" w:cs="仿宋"/>
          <w:b/>
          <w:color w:val="auto"/>
          <w:sz w:val="36"/>
          <w:szCs w:val="36"/>
          <w:highlight w:val="none"/>
        </w:rPr>
        <w:t>（必须按以下格式填写并加盖公章、法人章）</w:t>
      </w:r>
    </w:p>
    <w:p>
      <w:pPr>
        <w:pStyle w:val="21"/>
        <w:spacing w:line="288" w:lineRule="auto"/>
        <w:rPr>
          <w:rFonts w:ascii="仿宋" w:hAnsi="仿宋" w:eastAsia="仿宋" w:cs="仿宋"/>
          <w:b/>
          <w:bCs/>
          <w:color w:val="auto"/>
          <w:szCs w:val="24"/>
          <w:highlight w:val="none"/>
        </w:rPr>
      </w:pPr>
    </w:p>
    <w:p>
      <w:pPr>
        <w:pStyle w:val="21"/>
        <w:spacing w:line="288" w:lineRule="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投标文件主要内容：</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1、法定代表人身份证明书                        （附件一）</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2、授权委托书                                  （附件二）</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3、代理人身份证复印件（正反两面）              （附件三）</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4、投标承诺书                                  （附件四）</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5、招标控制价认可函                            （附件五）</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6、投标函                                      （附件六）</w:t>
      </w:r>
    </w:p>
    <w:p>
      <w:pPr>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7、总报价书                                    （附件七）</w:t>
      </w:r>
    </w:p>
    <w:p>
      <w:pPr>
        <w:spacing w:line="288"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重大违法记录的声明</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（附件八）</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、无在建工程及无行贿犯罪记录承诺书</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、其余按招标文件要求提供资料（格式自拟）</w:t>
      </w:r>
    </w:p>
    <w:p>
      <w:pPr>
        <w:pStyle w:val="21"/>
        <w:spacing w:line="288" w:lineRule="auto"/>
        <w:rPr>
          <w:rFonts w:ascii="仿宋" w:hAnsi="仿宋" w:eastAsia="仿宋" w:cs="仿宋"/>
          <w:b/>
          <w:bCs/>
          <w:szCs w:val="24"/>
          <w:highlight w:val="none"/>
        </w:rPr>
      </w:pPr>
    </w:p>
    <w:p>
      <w:pPr>
        <w:pStyle w:val="21"/>
        <w:spacing w:line="288" w:lineRule="auto"/>
        <w:rPr>
          <w:rFonts w:ascii="仿宋" w:hAnsi="仿宋" w:eastAsia="仿宋" w:cs="仿宋"/>
          <w:b/>
          <w:bCs/>
          <w:szCs w:val="24"/>
          <w:highlight w:val="none"/>
        </w:rPr>
      </w:pPr>
    </w:p>
    <w:p>
      <w:pPr>
        <w:pStyle w:val="21"/>
        <w:spacing w:line="288" w:lineRule="auto"/>
        <w:rPr>
          <w:rFonts w:ascii="仿宋" w:hAnsi="仿宋" w:eastAsia="仿宋" w:cs="仿宋"/>
          <w:b/>
          <w:bCs/>
          <w:szCs w:val="24"/>
          <w:highlight w:val="none"/>
        </w:rPr>
      </w:pPr>
    </w:p>
    <w:p>
      <w:pPr>
        <w:pStyle w:val="21"/>
        <w:spacing w:line="288" w:lineRule="auto"/>
        <w:rPr>
          <w:rFonts w:ascii="仿宋" w:hAnsi="仿宋" w:eastAsia="仿宋" w:cs="仿宋"/>
          <w:b/>
          <w:bCs/>
          <w:szCs w:val="24"/>
          <w:highlight w:val="none"/>
        </w:rPr>
      </w:pPr>
      <w:r>
        <w:rPr>
          <w:rFonts w:hint="eastAsia" w:ascii="仿宋" w:hAnsi="仿宋" w:eastAsia="仿宋" w:cs="仿宋"/>
          <w:b/>
          <w:bCs/>
          <w:sz w:val="28"/>
          <w:szCs w:val="28"/>
          <w:highlight w:val="yellow"/>
          <w:lang w:eastAsia="zh-CN"/>
        </w:rPr>
        <w:t>注：因电子投标系统设</w:t>
      </w:r>
      <w:bookmarkStart w:id="0" w:name="_GoBack"/>
      <w:bookmarkEnd w:id="0"/>
      <w:r>
        <w:rPr>
          <w:rFonts w:hint="eastAsia" w:ascii="仿宋" w:hAnsi="仿宋" w:eastAsia="仿宋" w:cs="仿宋"/>
          <w:b/>
          <w:bCs/>
          <w:sz w:val="28"/>
          <w:szCs w:val="28"/>
          <w:highlight w:val="yellow"/>
          <w:lang w:eastAsia="zh-CN"/>
        </w:rPr>
        <w:t>置原因，投标函、总报价书上传（价格）一栏，其余内容均上传（商务技术）栏。本备注仅作为指导性条款，如出现系统分类误传，不影响正常开评标。</w:t>
      </w:r>
    </w:p>
    <w:p>
      <w:pPr>
        <w:pStyle w:val="21"/>
        <w:spacing w:line="288" w:lineRule="auto"/>
        <w:rPr>
          <w:rFonts w:ascii="仿宋" w:hAnsi="仿宋" w:eastAsia="仿宋" w:cs="仿宋"/>
          <w:b/>
          <w:bCs/>
          <w:szCs w:val="24"/>
          <w:highlight w:val="none"/>
        </w:rPr>
      </w:pPr>
    </w:p>
    <w:p>
      <w:pPr>
        <w:pStyle w:val="21"/>
        <w:spacing w:line="288" w:lineRule="auto"/>
        <w:rPr>
          <w:rFonts w:ascii="仿宋" w:hAnsi="仿宋" w:eastAsia="仿宋" w:cs="仿宋"/>
          <w:b/>
          <w:bCs/>
          <w:szCs w:val="24"/>
          <w:highlight w:val="none"/>
        </w:rPr>
      </w:pPr>
    </w:p>
    <w:p>
      <w:pPr>
        <w:pStyle w:val="21"/>
        <w:spacing w:line="288" w:lineRule="auto"/>
        <w:rPr>
          <w:rFonts w:ascii="仿宋" w:hAnsi="仿宋" w:eastAsia="仿宋" w:cs="仿宋"/>
          <w:b/>
          <w:bCs/>
          <w:szCs w:val="24"/>
          <w:highlight w:val="none"/>
        </w:rPr>
      </w:pPr>
    </w:p>
    <w:p>
      <w:pPr>
        <w:pStyle w:val="21"/>
        <w:spacing w:line="288" w:lineRule="auto"/>
        <w:rPr>
          <w:rFonts w:ascii="仿宋" w:hAnsi="仿宋" w:eastAsia="仿宋" w:cs="仿宋"/>
          <w:b/>
          <w:bCs/>
          <w:sz w:val="24"/>
          <w:szCs w:val="24"/>
          <w:highlight w:val="none"/>
        </w:rPr>
      </w:pPr>
    </w:p>
    <w:p>
      <w:pPr>
        <w:pStyle w:val="21"/>
        <w:spacing w:line="288" w:lineRule="auto"/>
        <w:rPr>
          <w:rFonts w:ascii="仿宋" w:hAnsi="仿宋" w:eastAsia="仿宋" w:cs="仿宋"/>
          <w:b/>
          <w:bCs/>
          <w:sz w:val="24"/>
          <w:szCs w:val="24"/>
          <w:highlight w:val="none"/>
        </w:rPr>
      </w:pPr>
    </w:p>
    <w:p>
      <w:pPr>
        <w:pStyle w:val="21"/>
        <w:spacing w:line="288" w:lineRule="auto"/>
        <w:rPr>
          <w:rFonts w:ascii="仿宋" w:hAnsi="仿宋" w:eastAsia="仿宋" w:cs="仿宋"/>
          <w:b/>
          <w:bCs/>
          <w:sz w:val="24"/>
          <w:szCs w:val="24"/>
          <w:highlight w:val="none"/>
        </w:rPr>
      </w:pPr>
    </w:p>
    <w:p>
      <w:pPr>
        <w:pStyle w:val="21"/>
        <w:spacing w:line="288" w:lineRule="auto"/>
        <w:rPr>
          <w:rFonts w:ascii="仿宋" w:hAnsi="仿宋" w:eastAsia="仿宋" w:cs="仿宋"/>
          <w:b/>
          <w:bCs/>
          <w:sz w:val="24"/>
          <w:szCs w:val="24"/>
          <w:highlight w:val="none"/>
        </w:rPr>
      </w:pPr>
    </w:p>
    <w:p>
      <w:pPr>
        <w:pStyle w:val="21"/>
        <w:spacing w:line="288" w:lineRule="auto"/>
        <w:rPr>
          <w:rFonts w:ascii="仿宋" w:hAnsi="仿宋" w:eastAsia="仿宋" w:cs="仿宋"/>
          <w:b/>
          <w:bCs/>
          <w:sz w:val="24"/>
          <w:szCs w:val="24"/>
          <w:highlight w:val="none"/>
        </w:rPr>
      </w:pPr>
    </w:p>
    <w:p>
      <w:pPr>
        <w:pStyle w:val="21"/>
        <w:spacing w:line="360" w:lineRule="auto"/>
        <w:ind w:left="0" w:leftChars="0"/>
        <w:rPr>
          <w:rFonts w:ascii="仿宋" w:hAnsi="仿宋" w:eastAsia="仿宋" w:cs="仿宋"/>
          <w:b/>
          <w:sz w:val="24"/>
          <w:szCs w:val="24"/>
          <w:highlight w:val="none"/>
        </w:rPr>
      </w:pPr>
      <w:r>
        <w:rPr>
          <w:rFonts w:hint="eastAsia" w:ascii="仿宋" w:hAnsi="仿宋" w:eastAsia="仿宋" w:cs="仿宋"/>
          <w:b/>
          <w:bCs/>
          <w:sz w:val="24"/>
          <w:szCs w:val="24"/>
          <w:highlight w:val="none"/>
        </w:rPr>
        <w:t>附件一：</w:t>
      </w:r>
      <w:r>
        <w:rPr>
          <w:rFonts w:hint="eastAsia" w:ascii="仿宋" w:hAnsi="仿宋" w:eastAsia="仿宋" w:cs="仿宋"/>
          <w:b/>
          <w:sz w:val="24"/>
          <w:szCs w:val="24"/>
          <w:highlight w:val="none"/>
        </w:rPr>
        <w:t>法定代表人身份证明</w:t>
      </w:r>
    </w:p>
    <w:p>
      <w:pPr>
        <w:pStyle w:val="21"/>
        <w:spacing w:line="360" w:lineRule="auto"/>
        <w:rPr>
          <w:rFonts w:ascii="仿宋" w:hAnsi="仿宋" w:eastAsia="仿宋" w:cs="仿宋"/>
          <w:sz w:val="24"/>
          <w:szCs w:val="24"/>
          <w:highlight w:val="none"/>
        </w:rPr>
      </w:pPr>
    </w:p>
    <w:p>
      <w:pPr>
        <w:pStyle w:val="2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cr/>
      </w: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u w:val="single"/>
        </w:rPr>
        <w:cr/>
      </w: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cr/>
      </w:r>
      <w:r>
        <w:rPr>
          <w:rFonts w:hint="eastAsia" w:ascii="仿宋" w:hAnsi="仿宋" w:eastAsia="仿宋" w:cs="仿宋"/>
          <w:sz w:val="24"/>
          <w:szCs w:val="24"/>
          <w:highlight w:val="none"/>
        </w:rPr>
        <w:t>成立时间：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rPr>
        <w:cr/>
      </w: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rPr>
        <w:cr/>
      </w:r>
      <w:r>
        <w:rPr>
          <w:rFonts w:hint="eastAsia" w:ascii="仿宋" w:hAnsi="仿宋" w:eastAsia="仿宋" w:cs="仿宋"/>
          <w:sz w:val="24"/>
          <w:szCs w:val="24"/>
          <w:highlight w:val="none"/>
        </w:rPr>
        <w:t xml:space="preserve">姓名：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性别：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年龄：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职务：</w:t>
      </w:r>
    </w:p>
    <w:p>
      <w:pPr>
        <w:pStyle w:val="21"/>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系（投标人名称）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的法定代表人。 </w:t>
      </w:r>
      <w:r>
        <w:rPr>
          <w:rFonts w:hint="eastAsia" w:ascii="仿宋" w:hAnsi="仿宋" w:eastAsia="仿宋" w:cs="仿宋"/>
          <w:sz w:val="24"/>
          <w:szCs w:val="24"/>
          <w:highlight w:val="none"/>
        </w:rPr>
        <w:cr/>
      </w:r>
      <w:r>
        <w:rPr>
          <w:rFonts w:hint="eastAsia" w:ascii="仿宋" w:hAnsi="仿宋" w:eastAsia="仿宋" w:cs="仿宋"/>
          <w:sz w:val="24"/>
          <w:szCs w:val="24"/>
          <w:highlight w:val="none"/>
        </w:rPr>
        <w:t xml:space="preserve">    特此证明。</w:t>
      </w: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pStyle w:val="21"/>
        <w:spacing w:line="360" w:lineRule="auto"/>
        <w:ind w:left="0" w:leftChars="0"/>
        <w:rPr>
          <w:rFonts w:ascii="仿宋" w:hAnsi="仿宋" w:eastAsia="仿宋" w:cs="仿宋"/>
          <w:sz w:val="24"/>
          <w:szCs w:val="24"/>
          <w:highlight w:val="none"/>
        </w:rPr>
      </w:pPr>
    </w:p>
    <w:p>
      <w:pPr>
        <w:pStyle w:val="21"/>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highlight w:val="none"/>
        </w:rPr>
        <w:t>电子签章</w:t>
      </w:r>
      <w:r>
        <w:rPr>
          <w:rFonts w:hint="eastAsia" w:ascii="仿宋" w:hAnsi="仿宋" w:eastAsia="仿宋" w:cs="仿宋"/>
          <w:sz w:val="24"/>
          <w:szCs w:val="24"/>
          <w:highlight w:val="none"/>
        </w:rPr>
        <w:t>）</w:t>
      </w:r>
    </w:p>
    <w:p>
      <w:pPr>
        <w:pStyle w:val="21"/>
        <w:spacing w:line="360" w:lineRule="auto"/>
        <w:jc w:val="right"/>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pPr>
        <w:pStyle w:val="21"/>
        <w:spacing w:line="360" w:lineRule="auto"/>
        <w:rPr>
          <w:rFonts w:ascii="仿宋" w:hAnsi="仿宋" w:eastAsia="仿宋" w:cs="仿宋"/>
          <w:szCs w:val="24"/>
          <w:highlight w:val="none"/>
        </w:rPr>
      </w:pPr>
    </w:p>
    <w:p>
      <w:pPr>
        <w:pStyle w:val="21"/>
        <w:spacing w:line="360" w:lineRule="auto"/>
        <w:rPr>
          <w:rFonts w:ascii="仿宋" w:hAnsi="仿宋" w:eastAsia="仿宋" w:cs="仿宋"/>
          <w:szCs w:val="24"/>
          <w:highlight w:val="none"/>
        </w:rPr>
      </w:pPr>
    </w:p>
    <w:p>
      <w:pPr>
        <w:pStyle w:val="21"/>
        <w:spacing w:line="360" w:lineRule="auto"/>
        <w:rPr>
          <w:rFonts w:ascii="仿宋" w:hAnsi="仿宋" w:eastAsia="仿宋" w:cs="仿宋"/>
          <w:szCs w:val="24"/>
          <w:highlight w:val="none"/>
        </w:rPr>
      </w:pPr>
    </w:p>
    <w:p>
      <w:pPr>
        <w:pStyle w:val="21"/>
        <w:spacing w:line="360" w:lineRule="auto"/>
        <w:rPr>
          <w:rFonts w:ascii="仿宋" w:hAnsi="仿宋" w:eastAsia="仿宋" w:cs="仿宋"/>
          <w:szCs w:val="24"/>
          <w:highlight w:val="none"/>
        </w:rPr>
      </w:pPr>
    </w:p>
    <w:p>
      <w:pPr>
        <w:pStyle w:val="21"/>
        <w:spacing w:line="360" w:lineRule="auto"/>
        <w:rPr>
          <w:rFonts w:ascii="仿宋" w:hAnsi="仿宋" w:eastAsia="仿宋" w:cs="仿宋"/>
          <w:szCs w:val="24"/>
          <w:highlight w:val="none"/>
        </w:rPr>
      </w:pPr>
    </w:p>
    <w:p>
      <w:pPr>
        <w:pStyle w:val="21"/>
        <w:spacing w:line="360" w:lineRule="auto"/>
        <w:rPr>
          <w:rFonts w:ascii="仿宋" w:hAnsi="仿宋" w:eastAsia="仿宋" w:cs="仿宋"/>
          <w:b/>
          <w:bCs/>
          <w:sz w:val="24"/>
          <w:szCs w:val="24"/>
          <w:highlight w:val="none"/>
        </w:rPr>
      </w:pPr>
    </w:p>
    <w:p>
      <w:pPr>
        <w:pStyle w:val="21"/>
        <w:spacing w:line="360" w:lineRule="auto"/>
        <w:rPr>
          <w:rFonts w:ascii="仿宋" w:hAnsi="仿宋" w:eastAsia="仿宋" w:cs="仿宋"/>
          <w:b/>
          <w:bCs/>
          <w:sz w:val="24"/>
          <w:szCs w:val="24"/>
          <w:highlight w:val="none"/>
        </w:rPr>
      </w:pPr>
    </w:p>
    <w:p>
      <w:pPr>
        <w:pStyle w:val="21"/>
        <w:spacing w:line="360" w:lineRule="auto"/>
        <w:rPr>
          <w:rFonts w:ascii="仿宋" w:hAnsi="仿宋" w:eastAsia="仿宋" w:cs="仿宋"/>
          <w:b/>
          <w:bCs/>
          <w:sz w:val="24"/>
          <w:szCs w:val="24"/>
          <w:highlight w:val="none"/>
        </w:rPr>
      </w:pPr>
    </w:p>
    <w:p>
      <w:pPr>
        <w:pStyle w:val="21"/>
        <w:spacing w:line="360" w:lineRule="auto"/>
        <w:rPr>
          <w:rFonts w:ascii="仿宋" w:hAnsi="仿宋" w:eastAsia="仿宋" w:cs="仿宋"/>
          <w:b/>
          <w:bCs/>
          <w:sz w:val="24"/>
          <w:szCs w:val="24"/>
          <w:highlight w:val="none"/>
        </w:rPr>
      </w:pPr>
    </w:p>
    <w:p>
      <w:pPr>
        <w:pStyle w:val="21"/>
        <w:spacing w:line="360" w:lineRule="auto"/>
        <w:rPr>
          <w:rFonts w:ascii="仿宋" w:hAnsi="仿宋" w:eastAsia="仿宋" w:cs="仿宋"/>
          <w:b/>
          <w:bCs/>
          <w:sz w:val="24"/>
          <w:szCs w:val="24"/>
          <w:highlight w:val="none"/>
        </w:rPr>
      </w:pPr>
    </w:p>
    <w:p>
      <w:pPr>
        <w:pStyle w:val="21"/>
        <w:spacing w:line="360" w:lineRule="auto"/>
        <w:ind w:left="0" w:leftChars="0"/>
        <w:rPr>
          <w:rFonts w:ascii="仿宋" w:hAnsi="仿宋" w:eastAsia="仿宋" w:cs="仿宋"/>
          <w:b/>
          <w:bCs/>
          <w:sz w:val="24"/>
          <w:szCs w:val="24"/>
          <w:highlight w:val="none"/>
        </w:rPr>
      </w:pPr>
      <w:r>
        <w:rPr>
          <w:rFonts w:hint="eastAsia" w:ascii="仿宋" w:hAnsi="仿宋" w:eastAsia="仿宋" w:cs="仿宋"/>
          <w:b/>
          <w:bCs/>
          <w:sz w:val="24"/>
          <w:szCs w:val="24"/>
          <w:highlight w:val="none"/>
        </w:rPr>
        <w:t>附件二：授权委托书</w:t>
      </w:r>
    </w:p>
    <w:p>
      <w:pPr>
        <w:spacing w:line="360" w:lineRule="auto"/>
        <w:rPr>
          <w:rFonts w:ascii="仿宋" w:hAnsi="仿宋" w:eastAsia="仿宋" w:cs="仿宋"/>
          <w:sz w:val="24"/>
          <w:highlight w:val="none"/>
        </w:rPr>
      </w:pP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本人（姓名）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系（投标人名称）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的法定代表人，现委托（单位名称）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的（姓名）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为我</w:t>
      </w:r>
      <w:r>
        <w:rPr>
          <w:rFonts w:hint="eastAsia" w:ascii="仿宋" w:hAnsi="仿宋" w:eastAsia="仿宋" w:cs="仿宋"/>
          <w:kern w:val="0"/>
          <w:sz w:val="24"/>
          <w:highlight w:val="none"/>
          <w:lang w:val="zh-CN"/>
        </w:rPr>
        <w:t>授权代表</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授权代表</w:t>
      </w:r>
      <w:r>
        <w:rPr>
          <w:rFonts w:hint="eastAsia" w:ascii="仿宋" w:hAnsi="仿宋" w:eastAsia="仿宋" w:cs="仿宋"/>
          <w:sz w:val="24"/>
          <w:highlight w:val="none"/>
        </w:rPr>
        <w:t>根据授权，以我方名义签署、澄清、说明、补正、递交、撤回、修改（招标项目名称）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投标文件、签订合同和处理有关事宜， 其法律后果由我方承担。</w:t>
      </w:r>
      <w:r>
        <w:rPr>
          <w:rFonts w:hint="eastAsia" w:ascii="仿宋" w:hAnsi="仿宋" w:eastAsia="仿宋" w:cs="仿宋"/>
          <w:sz w:val="24"/>
          <w:highlight w:val="none"/>
        </w:rPr>
        <w:cr/>
      </w:r>
      <w:r>
        <w:rPr>
          <w:rFonts w:hint="eastAsia" w:ascii="仿宋" w:hAnsi="仿宋" w:eastAsia="仿宋" w:cs="仿宋"/>
          <w:sz w:val="24"/>
          <w:highlight w:val="none"/>
        </w:rPr>
        <w:cr/>
      </w: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授权代表</w:t>
      </w:r>
      <w:r>
        <w:rPr>
          <w:rFonts w:hint="eastAsia" w:ascii="仿宋" w:hAnsi="仿宋" w:eastAsia="仿宋" w:cs="仿宋"/>
          <w:sz w:val="24"/>
          <w:highlight w:val="none"/>
        </w:rPr>
        <w:t>无转委托权。</w:t>
      </w:r>
      <w:r>
        <w:rPr>
          <w:rFonts w:hint="eastAsia" w:ascii="仿宋" w:hAnsi="仿宋" w:eastAsia="仿宋" w:cs="仿宋"/>
          <w:sz w:val="24"/>
          <w:highlight w:val="none"/>
        </w:rPr>
        <w:cr/>
      </w:r>
    </w:p>
    <w:p>
      <w:pPr>
        <w:spacing w:line="360" w:lineRule="auto"/>
        <w:jc w:val="left"/>
        <w:rPr>
          <w:rFonts w:ascii="仿宋" w:hAnsi="仿宋" w:eastAsia="仿宋" w:cs="仿宋"/>
          <w:sz w:val="24"/>
          <w:highlight w:val="none"/>
        </w:rPr>
      </w:pPr>
    </w:p>
    <w:p>
      <w:pPr>
        <w:pStyle w:val="21"/>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highlight w:val="none"/>
        </w:rPr>
        <w:t>电子签章</w:t>
      </w:r>
      <w:r>
        <w:rPr>
          <w:rFonts w:hint="eastAsia" w:ascii="仿宋" w:hAnsi="仿宋" w:eastAsia="仿宋" w:cs="仿宋"/>
          <w:sz w:val="24"/>
          <w:szCs w:val="24"/>
          <w:highlight w:val="none"/>
        </w:rPr>
        <w:t>）</w:t>
      </w:r>
      <w:r>
        <w:rPr>
          <w:rFonts w:hint="eastAsia" w:ascii="仿宋" w:hAnsi="仿宋" w:eastAsia="仿宋" w:cs="仿宋"/>
          <w:sz w:val="24"/>
          <w:szCs w:val="24"/>
          <w:highlight w:val="none"/>
        </w:rPr>
        <w:cr/>
      </w:r>
      <w:r>
        <w:rPr>
          <w:rFonts w:hint="eastAsia" w:ascii="仿宋" w:hAnsi="仿宋" w:eastAsia="仿宋" w:cs="仿宋"/>
          <w:sz w:val="24"/>
          <w:szCs w:val="24"/>
          <w:highlight w:val="none"/>
        </w:rPr>
        <w:t>法定代表人：（</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rPr>
        <w:cr/>
      </w:r>
      <w:r>
        <w:rPr>
          <w:rFonts w:hint="eastAsia" w:ascii="仿宋" w:hAnsi="仿宋" w:eastAsia="仿宋" w:cs="仿宋"/>
          <w:sz w:val="24"/>
          <w:szCs w:val="24"/>
          <w:highlight w:val="none"/>
        </w:rPr>
        <w:t xml:space="preserve">身份证号码：                              </w:t>
      </w:r>
      <w:r>
        <w:rPr>
          <w:rFonts w:hint="eastAsia" w:ascii="仿宋" w:hAnsi="仿宋" w:eastAsia="仿宋" w:cs="仿宋"/>
          <w:sz w:val="24"/>
          <w:szCs w:val="24"/>
          <w:highlight w:val="none"/>
        </w:rPr>
        <w:cr/>
      </w:r>
      <w:r>
        <w:rPr>
          <w:rFonts w:hint="eastAsia" w:ascii="仿宋" w:hAnsi="仿宋" w:eastAsia="仿宋" w:cs="仿宋"/>
          <w:sz w:val="24"/>
          <w:szCs w:val="24"/>
          <w:highlight w:val="none"/>
        </w:rPr>
        <w:t xml:space="preserve">                                                日期：    年   月   日</w:t>
      </w:r>
    </w:p>
    <w:p>
      <w:pPr>
        <w:pStyle w:val="21"/>
        <w:spacing w:line="360" w:lineRule="auto"/>
        <w:rPr>
          <w:rFonts w:ascii="仿宋" w:hAnsi="仿宋" w:eastAsia="仿宋" w:cs="仿宋"/>
          <w:sz w:val="24"/>
          <w:szCs w:val="24"/>
          <w:highlight w:val="none"/>
        </w:rPr>
      </w:pPr>
    </w:p>
    <w:p>
      <w:pPr>
        <w:pStyle w:val="21"/>
        <w:spacing w:line="360" w:lineRule="auto"/>
        <w:rPr>
          <w:rFonts w:ascii="仿宋" w:hAnsi="仿宋" w:eastAsia="仿宋" w:cs="仿宋"/>
          <w:sz w:val="24"/>
          <w:szCs w:val="24"/>
          <w:highlight w:val="none"/>
        </w:rPr>
      </w:pPr>
      <w:r>
        <w:rPr>
          <w:rFonts w:hint="eastAsia" w:ascii="仿宋" w:hAnsi="仿宋" w:eastAsia="仿宋" w:cs="仿宋"/>
          <w:kern w:val="0"/>
          <w:sz w:val="24"/>
          <w:highlight w:val="none"/>
          <w:lang w:val="zh-CN"/>
        </w:rPr>
        <w:t>授权代表</w:t>
      </w:r>
      <w:r>
        <w:rPr>
          <w:rFonts w:hint="eastAsia" w:ascii="仿宋" w:hAnsi="仿宋" w:eastAsia="仿宋" w:cs="仿宋"/>
          <w:sz w:val="24"/>
          <w:szCs w:val="24"/>
          <w:highlight w:val="none"/>
        </w:rPr>
        <w:t xml:space="preserve">：（签字或盖章） </w:t>
      </w:r>
    </w:p>
    <w:p>
      <w:pPr>
        <w:pStyle w:val="21"/>
        <w:spacing w:line="360" w:lineRule="auto"/>
        <w:ind w:left="6420" w:hanging="6000" w:hangingChars="2500"/>
        <w:rPr>
          <w:rFonts w:ascii="仿宋" w:hAnsi="仿宋" w:eastAsia="仿宋" w:cs="仿宋"/>
          <w:sz w:val="24"/>
          <w:szCs w:val="24"/>
          <w:highlight w:val="none"/>
        </w:rPr>
      </w:pPr>
      <w:r>
        <w:rPr>
          <w:rFonts w:hint="eastAsia" w:ascii="仿宋" w:hAnsi="仿宋" w:eastAsia="仿宋" w:cs="仿宋"/>
          <w:sz w:val="24"/>
          <w:szCs w:val="24"/>
          <w:highlight w:val="none"/>
        </w:rPr>
        <w:t xml:space="preserve">身份证号码：                                </w:t>
      </w:r>
    </w:p>
    <w:p>
      <w:pPr>
        <w:pStyle w:val="21"/>
        <w:spacing w:line="360" w:lineRule="auto"/>
        <w:ind w:left="6406" w:leftChars="2936"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pPr>
        <w:pStyle w:val="21"/>
        <w:spacing w:line="360" w:lineRule="auto"/>
        <w:rPr>
          <w:rFonts w:ascii="仿宋" w:hAnsi="仿宋" w:eastAsia="仿宋" w:cs="仿宋"/>
          <w:sz w:val="24"/>
          <w:szCs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r>
        <w:rPr>
          <w:rFonts w:hint="eastAsia" w:ascii="仿宋" w:hAnsi="仿宋" w:eastAsia="仿宋" w:cs="仿宋"/>
          <w:b/>
          <w:sz w:val="24"/>
          <w:highlight w:val="none"/>
        </w:rPr>
        <w:t xml:space="preserve">附件三：                                              </w:t>
      </w:r>
    </w:p>
    <w:p>
      <w:pPr>
        <w:spacing w:line="360" w:lineRule="auto"/>
        <w:ind w:firstLine="956" w:firstLineChars="340"/>
        <w:rPr>
          <w:rFonts w:ascii="仿宋" w:hAnsi="仿宋" w:eastAsia="仿宋" w:cs="仿宋"/>
          <w:b/>
          <w:bCs/>
          <w:sz w:val="28"/>
          <w:szCs w:val="28"/>
          <w:highlight w:val="none"/>
        </w:rPr>
      </w:pPr>
    </w:p>
    <w:p>
      <w:pPr>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lang w:val="zh-CN"/>
        </w:rPr>
        <w:t>授权代表</w:t>
      </w:r>
      <w:r>
        <w:rPr>
          <w:rFonts w:hint="eastAsia" w:ascii="仿宋" w:hAnsi="仿宋" w:eastAsia="仿宋" w:cs="仿宋"/>
          <w:b/>
          <w:bCs/>
          <w:sz w:val="28"/>
          <w:szCs w:val="28"/>
          <w:highlight w:val="none"/>
        </w:rPr>
        <w:t>身份证复印件（正反两面）</w:t>
      </w:r>
    </w:p>
    <w:p>
      <w:pPr>
        <w:spacing w:line="360" w:lineRule="auto"/>
        <w:jc w:val="center"/>
        <w:rPr>
          <w:rFonts w:ascii="仿宋" w:hAnsi="仿宋" w:eastAsia="仿宋" w:cs="仿宋"/>
          <w:b/>
          <w:bCs/>
          <w:sz w:val="28"/>
          <w:szCs w:val="28"/>
          <w:highlight w:val="none"/>
        </w:rPr>
      </w:pPr>
    </w:p>
    <w:p>
      <w:pPr>
        <w:spacing w:line="360" w:lineRule="auto"/>
        <w:jc w:val="center"/>
        <w:rPr>
          <w:rFonts w:ascii="仿宋" w:hAnsi="仿宋" w:eastAsia="仿宋" w:cs="仿宋"/>
          <w:b/>
          <w:bCs/>
          <w:sz w:val="28"/>
          <w:szCs w:val="28"/>
          <w:highlight w:val="none"/>
        </w:rPr>
      </w:pPr>
    </w:p>
    <w:p>
      <w:pPr>
        <w:spacing w:line="360" w:lineRule="auto"/>
        <w:jc w:val="center"/>
        <w:rPr>
          <w:rFonts w:ascii="仿宋" w:hAnsi="仿宋" w:eastAsia="仿宋" w:cs="仿宋"/>
          <w:b/>
          <w:bCs/>
          <w:sz w:val="28"/>
          <w:szCs w:val="28"/>
          <w:highlight w:val="none"/>
        </w:rPr>
      </w:pPr>
    </w:p>
    <w:p>
      <w:pPr>
        <w:spacing w:line="360" w:lineRule="auto"/>
        <w:jc w:val="center"/>
        <w:rPr>
          <w:rFonts w:ascii="仿宋" w:hAnsi="仿宋" w:eastAsia="仿宋" w:cs="仿宋"/>
          <w:b/>
          <w:bCs/>
          <w:sz w:val="28"/>
          <w:szCs w:val="28"/>
          <w:highlight w:val="none"/>
        </w:rPr>
      </w:pPr>
    </w:p>
    <w:p>
      <w:pPr>
        <w:spacing w:line="360" w:lineRule="auto"/>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投标人</w:t>
      </w:r>
      <w:r>
        <w:rPr>
          <w:rFonts w:hint="eastAsia" w:ascii="仿宋" w:hAnsi="仿宋" w:eastAsia="仿宋" w:cs="仿宋"/>
          <w:kern w:val="0"/>
          <w:sz w:val="24"/>
          <w:highlight w:val="none"/>
          <w:lang w:val="en-US" w:eastAsia="zh-CN"/>
        </w:rPr>
        <w:t>名称</w:t>
      </w:r>
      <w:r>
        <w:rPr>
          <w:rFonts w:hint="eastAsia" w:ascii="仿宋" w:hAnsi="仿宋" w:eastAsia="仿宋" w:cs="仿宋"/>
          <w:kern w:val="0"/>
          <w:sz w:val="24"/>
          <w:highlight w:val="none"/>
        </w:rPr>
        <w:t>：（</w:t>
      </w:r>
      <w:r>
        <w:rPr>
          <w:rFonts w:hint="eastAsia" w:ascii="仿宋" w:hAnsi="仿宋" w:eastAsia="仿宋" w:cs="仿宋"/>
          <w:sz w:val="24"/>
          <w:highlight w:val="none"/>
        </w:rPr>
        <w:t>电子签章</w:t>
      </w:r>
      <w:r>
        <w:rPr>
          <w:rFonts w:hint="eastAsia" w:ascii="仿宋" w:hAnsi="仿宋" w:eastAsia="仿宋" w:cs="仿宋"/>
          <w:kern w:val="0"/>
          <w:sz w:val="24"/>
          <w:highlight w:val="none"/>
        </w:rPr>
        <w:t>）</w:t>
      </w:r>
    </w:p>
    <w:p>
      <w:pPr>
        <w:spacing w:line="360" w:lineRule="auto"/>
        <w:ind w:firstLine="480" w:firstLineChars="200"/>
        <w:rPr>
          <w:rFonts w:ascii="仿宋" w:hAnsi="仿宋" w:eastAsia="仿宋" w:cs="仿宋"/>
          <w:kern w:val="0"/>
          <w:sz w:val="24"/>
          <w:highlight w:val="none"/>
        </w:rPr>
      </w:pP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spacing w:line="360" w:lineRule="auto"/>
        <w:jc w:val="right"/>
        <w:rPr>
          <w:rFonts w:ascii="仿宋" w:hAnsi="仿宋" w:eastAsia="仿宋" w:cs="仿宋"/>
          <w:kern w:val="0"/>
          <w:sz w:val="24"/>
          <w:highlight w:val="none"/>
        </w:rPr>
      </w:pPr>
      <w:r>
        <w:rPr>
          <w:rFonts w:hint="eastAsia" w:ascii="仿宋" w:hAnsi="仿宋" w:eastAsia="仿宋" w:cs="仿宋"/>
          <w:kern w:val="0"/>
          <w:sz w:val="24"/>
          <w:highlight w:val="none"/>
        </w:rPr>
        <w:t>日期：   年   月   日</w:t>
      </w: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kern w:val="0"/>
          <w:sz w:val="24"/>
          <w:highlight w:val="none"/>
        </w:rPr>
      </w:pPr>
      <w:r>
        <w:rPr>
          <w:rFonts w:hint="eastAsia" w:ascii="仿宋" w:hAnsi="仿宋" w:eastAsia="仿宋" w:cs="仿宋"/>
          <w:b/>
          <w:sz w:val="24"/>
          <w:highlight w:val="none"/>
        </w:rPr>
        <w:t>附件四：投标</w:t>
      </w:r>
      <w:r>
        <w:rPr>
          <w:rFonts w:hint="eastAsia" w:ascii="仿宋" w:hAnsi="仿宋" w:eastAsia="仿宋" w:cs="仿宋"/>
          <w:b/>
          <w:kern w:val="0"/>
          <w:sz w:val="24"/>
          <w:highlight w:val="none"/>
        </w:rPr>
        <w:t>承诺书</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sz w:val="24"/>
          <w:highlight w:val="none"/>
        </w:rPr>
        <w:t>采购人名称）</w:t>
      </w:r>
    </w:p>
    <w:p>
      <w:pPr>
        <w:spacing w:line="360" w:lineRule="auto"/>
        <w:ind w:firstLine="570"/>
        <w:rPr>
          <w:rFonts w:ascii="仿宋" w:hAnsi="仿宋" w:eastAsia="仿宋" w:cs="仿宋"/>
          <w:kern w:val="0"/>
          <w:sz w:val="24"/>
          <w:highlight w:val="none"/>
        </w:rPr>
      </w:pPr>
      <w:r>
        <w:rPr>
          <w:rFonts w:hint="eastAsia" w:ascii="仿宋" w:hAnsi="仿宋" w:eastAsia="仿宋" w:cs="仿宋"/>
          <w:kern w:val="0"/>
          <w:sz w:val="24"/>
          <w:highlight w:val="none"/>
        </w:rPr>
        <w:t>根据贵公司年月日发布的</w:t>
      </w:r>
      <w:r>
        <w:rPr>
          <w:rFonts w:hint="eastAsia" w:ascii="仿宋" w:hAnsi="仿宋" w:eastAsia="仿宋" w:cs="仿宋"/>
          <w:sz w:val="24"/>
          <w:highlight w:val="none"/>
        </w:rPr>
        <w:t>（招标项目名称）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highlight w:val="none"/>
        </w:rPr>
        <w:t>的投标活动</w:t>
      </w:r>
      <w:r>
        <w:rPr>
          <w:rFonts w:hint="eastAsia" w:ascii="仿宋" w:hAnsi="仿宋" w:eastAsia="仿宋" w:cs="仿宋"/>
          <w:kern w:val="0"/>
          <w:sz w:val="24"/>
          <w:highlight w:val="none"/>
        </w:rPr>
        <w:t>，并在此作如下法律承诺：</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5、同意向采购人提供任何与该项投标有关的资料。</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pPr>
        <w:spacing w:line="360" w:lineRule="auto"/>
        <w:ind w:firstLine="480" w:firstLineChars="200"/>
        <w:rPr>
          <w:rFonts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sz w:val="24"/>
          <w:highlight w:val="none"/>
        </w:rPr>
        <w:t>（招标项目名称）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16"/>
          <w:sz w:val="24"/>
          <w:highlight w:val="none"/>
        </w:rPr>
        <w:t>工程投标报名的项目负责人（姓名）</w:t>
      </w:r>
      <w:r>
        <w:rPr>
          <w:rFonts w:hint="eastAsia" w:ascii="仿宋" w:hAnsi="仿宋" w:eastAsia="仿宋" w:cs="仿宋"/>
          <w:kern w:val="16"/>
          <w:sz w:val="24"/>
          <w:highlight w:val="none"/>
          <w:u w:val="single"/>
          <w:lang w:val="en-US" w:eastAsia="zh-CN"/>
        </w:rPr>
        <w:t xml:space="preserve">             </w:t>
      </w:r>
      <w:r>
        <w:rPr>
          <w:rFonts w:hint="eastAsia" w:ascii="仿宋" w:hAnsi="仿宋" w:eastAsia="仿宋" w:cs="仿宋"/>
          <w:kern w:val="16"/>
          <w:sz w:val="24"/>
          <w:highlight w:val="none"/>
        </w:rPr>
        <w:t>，一旦我方中标，我方保证不更换项目负责人，并保证项目负责人到位率在</w:t>
      </w:r>
      <w:r>
        <w:rPr>
          <w:rFonts w:hint="eastAsia" w:ascii="仿宋" w:hAnsi="仿宋" w:eastAsia="仿宋" w:cs="仿宋"/>
          <w:kern w:val="16"/>
          <w:sz w:val="24"/>
          <w:highlight w:val="none"/>
          <w:u w:val="single"/>
        </w:rPr>
        <w:t xml:space="preserve"> 90 </w:t>
      </w:r>
      <w:r>
        <w:rPr>
          <w:rFonts w:hint="eastAsia" w:ascii="仿宋" w:hAnsi="仿宋" w:eastAsia="仿宋" w:cs="仿宋"/>
          <w:kern w:val="16"/>
          <w:sz w:val="24"/>
          <w:highlight w:val="none"/>
        </w:rPr>
        <w:t>％以上。</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pStyle w:val="21"/>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highlight w:val="none"/>
        </w:rPr>
        <w:t>电子签章</w:t>
      </w:r>
      <w:r>
        <w:rPr>
          <w:rFonts w:hint="eastAsia" w:ascii="仿宋" w:hAnsi="仿宋" w:eastAsia="仿宋" w:cs="仿宋"/>
          <w:sz w:val="24"/>
          <w:szCs w:val="24"/>
          <w:highlight w:val="none"/>
        </w:rPr>
        <w:t>）</w:t>
      </w:r>
    </w:p>
    <w:p>
      <w:pPr>
        <w:pStyle w:val="21"/>
        <w:spacing w:line="360" w:lineRule="auto"/>
        <w:rPr>
          <w:rFonts w:ascii="仿宋" w:hAnsi="仿宋" w:eastAsia="仿宋" w:cs="仿宋"/>
          <w:sz w:val="24"/>
          <w:szCs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pStyle w:val="21"/>
        <w:spacing w:line="360" w:lineRule="auto"/>
        <w:jc w:val="right"/>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pPr>
        <w:spacing w:line="360" w:lineRule="auto"/>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p>
    <w:p>
      <w:pPr>
        <w:pStyle w:val="21"/>
        <w:spacing w:line="360" w:lineRule="auto"/>
        <w:ind w:left="0" w:leftChars="0"/>
        <w:rPr>
          <w:rFonts w:ascii="仿宋" w:hAnsi="仿宋" w:eastAsia="仿宋" w:cs="仿宋"/>
          <w:b/>
          <w:bCs/>
          <w:sz w:val="24"/>
          <w:szCs w:val="24"/>
          <w:highlight w:val="none"/>
        </w:rPr>
      </w:pPr>
    </w:p>
    <w:p>
      <w:pPr>
        <w:pStyle w:val="21"/>
        <w:spacing w:line="360" w:lineRule="auto"/>
        <w:ind w:left="0" w:leftChars="0"/>
        <w:rPr>
          <w:rFonts w:ascii="仿宋" w:hAnsi="仿宋" w:eastAsia="仿宋" w:cs="仿宋"/>
          <w:b/>
          <w:bCs/>
          <w:sz w:val="24"/>
          <w:szCs w:val="24"/>
          <w:highlight w:val="none"/>
        </w:rPr>
      </w:pPr>
    </w:p>
    <w:p>
      <w:pPr>
        <w:pStyle w:val="21"/>
        <w:spacing w:line="360" w:lineRule="auto"/>
        <w:ind w:left="0" w:leftChars="0"/>
        <w:rPr>
          <w:rFonts w:ascii="仿宋" w:hAnsi="仿宋" w:eastAsia="仿宋" w:cs="仿宋"/>
          <w:b/>
          <w:bCs/>
          <w:sz w:val="24"/>
          <w:szCs w:val="24"/>
          <w:highlight w:val="none"/>
        </w:rPr>
      </w:pPr>
    </w:p>
    <w:p>
      <w:pPr>
        <w:pStyle w:val="21"/>
        <w:spacing w:line="360" w:lineRule="auto"/>
        <w:ind w:left="0" w:leftChars="0"/>
        <w:rPr>
          <w:rFonts w:ascii="仿宋" w:hAnsi="仿宋" w:eastAsia="仿宋" w:cs="仿宋"/>
          <w:b/>
          <w:kern w:val="0"/>
          <w:sz w:val="24"/>
          <w:szCs w:val="24"/>
          <w:highlight w:val="none"/>
        </w:rPr>
      </w:pPr>
      <w:r>
        <w:rPr>
          <w:rFonts w:hint="eastAsia" w:ascii="仿宋" w:hAnsi="仿宋" w:eastAsia="仿宋" w:cs="仿宋"/>
          <w:b/>
          <w:bCs/>
          <w:sz w:val="24"/>
          <w:szCs w:val="24"/>
          <w:highlight w:val="none"/>
        </w:rPr>
        <w:t>附件五：</w:t>
      </w:r>
      <w:r>
        <w:rPr>
          <w:rFonts w:hint="eastAsia" w:ascii="仿宋" w:hAnsi="仿宋" w:eastAsia="仿宋" w:cs="仿宋"/>
          <w:b/>
          <w:kern w:val="0"/>
          <w:sz w:val="24"/>
          <w:szCs w:val="24"/>
          <w:highlight w:val="none"/>
        </w:rPr>
        <w:t>招标控制价认可函</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名称）</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rPr>
        <w:t>（招标项目名称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）的投标活动</w:t>
      </w:r>
      <w:r>
        <w:rPr>
          <w:rFonts w:hint="eastAsia" w:ascii="仿宋" w:hAnsi="仿宋" w:eastAsia="仿宋" w:cs="仿宋"/>
          <w:kern w:val="0"/>
          <w:sz w:val="24"/>
          <w:highlight w:val="none"/>
        </w:rPr>
        <w:t>，并在此作如下法律承诺：对采购人提供的招标控制价表示认可，无任何异议。</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pStyle w:val="21"/>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highlight w:val="none"/>
        </w:rPr>
        <w:t>电子签章</w:t>
      </w:r>
      <w:r>
        <w:rPr>
          <w:rFonts w:hint="eastAsia" w:ascii="仿宋" w:hAnsi="仿宋" w:eastAsia="仿宋" w:cs="仿宋"/>
          <w:sz w:val="24"/>
          <w:szCs w:val="24"/>
          <w:highlight w:val="none"/>
        </w:rPr>
        <w:t>）</w:t>
      </w:r>
    </w:p>
    <w:p>
      <w:pPr>
        <w:pStyle w:val="21"/>
        <w:spacing w:line="360" w:lineRule="auto"/>
        <w:rPr>
          <w:rFonts w:ascii="仿宋" w:hAnsi="仿宋" w:eastAsia="仿宋" w:cs="仿宋"/>
          <w:sz w:val="24"/>
          <w:szCs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spacing w:line="360" w:lineRule="auto"/>
        <w:jc w:val="right"/>
        <w:rPr>
          <w:rFonts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ascii="仿宋" w:hAnsi="仿宋" w:eastAsia="仿宋" w:cs="仿宋"/>
          <w:b/>
          <w:sz w:val="24"/>
          <w:highlight w:val="none"/>
        </w:rPr>
      </w:pPr>
      <w:r>
        <w:rPr>
          <w:rFonts w:hint="eastAsia" w:ascii="仿宋" w:hAnsi="仿宋" w:eastAsia="仿宋" w:cs="仿宋"/>
          <w:b/>
          <w:sz w:val="24"/>
          <w:highlight w:val="none"/>
        </w:rPr>
        <w:t>附件六：投标函</w:t>
      </w: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投 标 函</w:t>
      </w: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采购人：</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1、根据已收到工程的招标文件，我方经现场考察和研究，我方愿以</w:t>
      </w:r>
      <w:r>
        <w:rPr>
          <w:rFonts w:hint="eastAsia" w:ascii="仿宋" w:hAnsi="仿宋" w:eastAsia="仿宋" w:cs="仿宋"/>
          <w:kern w:val="0"/>
          <w:sz w:val="24"/>
          <w:highlight w:val="none"/>
          <w:lang w:eastAsia="zh-CN"/>
        </w:rPr>
        <w:t>采购人</w:t>
      </w:r>
      <w:r>
        <w:rPr>
          <w:rFonts w:hint="eastAsia" w:ascii="仿宋" w:hAnsi="仿宋" w:eastAsia="仿宋" w:cs="仿宋"/>
          <w:kern w:val="0"/>
          <w:sz w:val="24"/>
          <w:highlight w:val="none"/>
        </w:rPr>
        <w:t>提供的招标控制价为基数下浮</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%（小写）的价格承包上述工程施工。</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2、一旦我方中标，我方保证在</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天（日历日）内竣工并移交整个工程。</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3、如果我方中标，我方将按招标文件约定提交履约担保。</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4、我方同意所递交的投标文件在规定的投标有效期内有效，在此期间内我方的投标有可能中标，我方将受此约束。</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5、你方的中标通知书和本投标文件将构成约束我们双方的合同。</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6、我方承诺安全文明施工费按审定后的费用金额计取。</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投标人</w:t>
      </w:r>
      <w:r>
        <w:rPr>
          <w:rFonts w:hint="eastAsia" w:ascii="仿宋" w:hAnsi="仿宋" w:eastAsia="仿宋" w:cs="仿宋"/>
          <w:kern w:val="0"/>
          <w:sz w:val="24"/>
          <w:highlight w:val="none"/>
          <w:lang w:val="en-US" w:eastAsia="zh-CN"/>
        </w:rPr>
        <w:t>名称</w:t>
      </w:r>
      <w:r>
        <w:rPr>
          <w:rFonts w:hint="eastAsia" w:ascii="仿宋" w:hAnsi="仿宋" w:eastAsia="仿宋" w:cs="仿宋"/>
          <w:kern w:val="0"/>
          <w:sz w:val="24"/>
          <w:highlight w:val="none"/>
        </w:rPr>
        <w:t>：（</w:t>
      </w:r>
      <w:r>
        <w:rPr>
          <w:rFonts w:hint="eastAsia" w:ascii="仿宋" w:hAnsi="仿宋" w:eastAsia="仿宋" w:cs="仿宋"/>
          <w:sz w:val="24"/>
          <w:highlight w:val="none"/>
        </w:rPr>
        <w:t>电子签章</w:t>
      </w:r>
      <w:r>
        <w:rPr>
          <w:rFonts w:hint="eastAsia" w:ascii="仿宋" w:hAnsi="仿宋" w:eastAsia="仿宋" w:cs="仿宋"/>
          <w:kern w:val="0"/>
          <w:sz w:val="24"/>
          <w:highlight w:val="none"/>
        </w:rPr>
        <w:t>）</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单位地址：</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邮政编码：</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电    话：</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传    真：</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开户银行名称：</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银行帐号：</w:t>
      </w:r>
    </w:p>
    <w:p>
      <w:pPr>
        <w:tabs>
          <w:tab w:val="left" w:pos="5040"/>
        </w:tabs>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电    话：                                   日期：    年    月    日</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tabs>
          <w:tab w:val="center" w:pos="4153"/>
        </w:tabs>
        <w:spacing w:line="360" w:lineRule="auto"/>
        <w:rPr>
          <w:rFonts w:ascii="仿宋" w:hAnsi="仿宋" w:eastAsia="仿宋" w:cs="仿宋"/>
          <w:b/>
          <w:sz w:val="24"/>
          <w:highlight w:val="none"/>
        </w:rPr>
      </w:pPr>
    </w:p>
    <w:p>
      <w:pPr>
        <w:tabs>
          <w:tab w:val="center" w:pos="4153"/>
        </w:tabs>
        <w:spacing w:line="360" w:lineRule="auto"/>
        <w:rPr>
          <w:rFonts w:ascii="仿宋" w:hAnsi="仿宋" w:eastAsia="仿宋" w:cs="仿宋"/>
          <w:b/>
          <w:sz w:val="24"/>
          <w:highlight w:val="none"/>
        </w:rPr>
      </w:pPr>
    </w:p>
    <w:p>
      <w:pPr>
        <w:tabs>
          <w:tab w:val="center" w:pos="4153"/>
        </w:tabs>
        <w:spacing w:line="360" w:lineRule="auto"/>
        <w:rPr>
          <w:rFonts w:ascii="仿宋" w:hAnsi="仿宋" w:eastAsia="仿宋" w:cs="仿宋"/>
          <w:b/>
          <w:bCs/>
          <w:sz w:val="28"/>
          <w:szCs w:val="28"/>
          <w:highlight w:val="none"/>
        </w:rPr>
      </w:pPr>
      <w:r>
        <w:rPr>
          <w:rFonts w:hint="eastAsia" w:ascii="仿宋" w:hAnsi="仿宋" w:eastAsia="仿宋" w:cs="仿宋"/>
          <w:b/>
          <w:sz w:val="24"/>
          <w:highlight w:val="none"/>
        </w:rPr>
        <w:t>附件七</w:t>
      </w:r>
      <w:r>
        <w:rPr>
          <w:rFonts w:hint="eastAsia" w:ascii="仿宋" w:hAnsi="仿宋" w:eastAsia="仿宋" w:cs="仿宋"/>
          <w:b/>
          <w:bCs/>
          <w:sz w:val="28"/>
          <w:szCs w:val="28"/>
          <w:highlight w:val="none"/>
        </w:rPr>
        <w:t>：</w:t>
      </w:r>
      <w:r>
        <w:rPr>
          <w:rFonts w:hint="eastAsia" w:ascii="仿宋" w:hAnsi="仿宋" w:eastAsia="仿宋" w:cs="仿宋"/>
          <w:b/>
          <w:sz w:val="24"/>
          <w:highlight w:val="none"/>
        </w:rPr>
        <w:t>总报价书</w:t>
      </w:r>
    </w:p>
    <w:p>
      <w:pPr>
        <w:tabs>
          <w:tab w:val="left" w:pos="1620"/>
          <w:tab w:val="left" w:pos="1800"/>
          <w:tab w:val="left" w:pos="3780"/>
        </w:tabs>
        <w:spacing w:line="360" w:lineRule="auto"/>
        <w:rPr>
          <w:rFonts w:ascii="仿宋" w:hAnsi="仿宋" w:eastAsia="仿宋" w:cs="仿宋"/>
          <w:szCs w:val="21"/>
          <w:highlight w:val="none"/>
          <w:u w:val="single"/>
        </w:rPr>
      </w:pPr>
    </w:p>
    <w:p>
      <w:pPr>
        <w:tabs>
          <w:tab w:val="left" w:pos="1620"/>
          <w:tab w:val="left" w:pos="1800"/>
          <w:tab w:val="left" w:pos="3780"/>
        </w:tabs>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工程                总报价书</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exact"/>
        </w:trPr>
        <w:tc>
          <w:tcPr>
            <w:tcW w:w="8580" w:type="dxa"/>
            <w:gridSpan w:val="2"/>
            <w:noWrap/>
            <w:vAlign w:val="center"/>
          </w:tcPr>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2323" w:type="dxa"/>
            <w:noWrap/>
            <w:vAlign w:val="center"/>
          </w:tcPr>
          <w:p>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工程类别</w:t>
            </w:r>
          </w:p>
        </w:tc>
        <w:tc>
          <w:tcPr>
            <w:tcW w:w="6257" w:type="dxa"/>
            <w:noWrap/>
            <w:vAlign w:val="center"/>
          </w:tcPr>
          <w:p>
            <w:pPr>
              <w:spacing w:line="360" w:lineRule="auto"/>
              <w:jc w:val="both"/>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民用三类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2323" w:type="dxa"/>
            <w:noWrap/>
            <w:vAlign w:val="center"/>
          </w:tcPr>
          <w:p>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质量等级</w:t>
            </w:r>
          </w:p>
        </w:tc>
        <w:tc>
          <w:tcPr>
            <w:tcW w:w="6257" w:type="dxa"/>
            <w:noWrap/>
            <w:vAlign w:val="center"/>
          </w:tcPr>
          <w:p>
            <w:pPr>
              <w:spacing w:line="360" w:lineRule="auto"/>
              <w:jc w:val="both"/>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2323" w:type="dxa"/>
            <w:noWrap/>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投标工期</w:t>
            </w:r>
          </w:p>
        </w:tc>
        <w:tc>
          <w:tcPr>
            <w:tcW w:w="6257" w:type="dxa"/>
            <w:noWrap/>
            <w:vAlign w:val="center"/>
          </w:tcPr>
          <w:p>
            <w:pPr>
              <w:spacing w:line="360" w:lineRule="auto"/>
              <w:jc w:val="both"/>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szCs w:val="24"/>
                <w:highlight w:val="none"/>
                <w:lang w:val="en-US" w:eastAsia="zh-CN"/>
              </w:rPr>
              <w:t>60日历天</w:t>
            </w:r>
            <w:r>
              <w:rPr>
                <w:rFonts w:hint="eastAsia" w:ascii="仿宋" w:hAnsi="仿宋" w:eastAsia="仿宋" w:cs="仿宋"/>
                <w:color w:val="auto"/>
                <w:sz w:val="24"/>
                <w:szCs w:val="24"/>
                <w:highlight w:val="none"/>
                <w:lang w:val="en-US" w:eastAsia="zh-CN"/>
              </w:rPr>
              <w:t>（具体开工时间以开工报告为准）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trPr>
        <w:tc>
          <w:tcPr>
            <w:tcW w:w="8580" w:type="dxa"/>
            <w:gridSpan w:val="2"/>
            <w:noWrap/>
            <w:vAlign w:val="center"/>
          </w:tcPr>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造价下浮率（小写）：</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w:t>
            </w:r>
          </w:p>
        </w:tc>
      </w:tr>
    </w:tbl>
    <w:p>
      <w:pPr>
        <w:spacing w:line="360" w:lineRule="auto"/>
        <w:rPr>
          <w:rFonts w:ascii="仿宋" w:hAnsi="仿宋" w:eastAsia="仿宋" w:cs="仿宋"/>
          <w:kern w:val="0"/>
          <w:sz w:val="24"/>
          <w:highlight w:val="none"/>
        </w:rPr>
      </w:pPr>
    </w:p>
    <w:p>
      <w:pPr>
        <w:spacing w:line="360" w:lineRule="auto"/>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备注：以上报价为最终报价，评标过程中不再考虑相关优惠、扣除等因素。</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投标人：（</w:t>
      </w:r>
      <w:r>
        <w:rPr>
          <w:rFonts w:hint="eastAsia" w:ascii="仿宋" w:hAnsi="仿宋" w:eastAsia="仿宋" w:cs="仿宋"/>
          <w:sz w:val="24"/>
          <w:highlight w:val="none"/>
        </w:rPr>
        <w:t>电子签章</w:t>
      </w:r>
      <w:r>
        <w:rPr>
          <w:rFonts w:hint="eastAsia" w:ascii="仿宋" w:hAnsi="仿宋" w:eastAsia="仿宋" w:cs="仿宋"/>
          <w:kern w:val="0"/>
          <w:sz w:val="24"/>
          <w:highlight w:val="none"/>
        </w:rPr>
        <w:t>）</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 xml:space="preserve">                                            日期：   年   月   日</w:t>
      </w:r>
    </w:p>
    <w:p>
      <w:pPr>
        <w:spacing w:line="360" w:lineRule="auto"/>
        <w:rPr>
          <w:rFonts w:ascii="仿宋" w:hAnsi="仿宋" w:eastAsia="仿宋" w:cs="仿宋"/>
          <w:kern w:val="0"/>
          <w:sz w:val="24"/>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rPr>
          <w:rFonts w:hint="eastAsia" w:ascii="仿宋" w:hAnsi="仿宋" w:eastAsia="仿宋" w:cs="仿宋"/>
          <w:b/>
          <w:sz w:val="24"/>
          <w:highlight w:val="none"/>
          <w:lang w:eastAsia="zh-CN"/>
        </w:rPr>
      </w:pPr>
      <w:r>
        <w:rPr>
          <w:rFonts w:hint="eastAsia" w:ascii="仿宋" w:hAnsi="仿宋" w:eastAsia="仿宋" w:cs="仿宋"/>
          <w:b/>
          <w:sz w:val="24"/>
          <w:highlight w:val="none"/>
        </w:rPr>
        <w:t>附件八</w:t>
      </w:r>
      <w:r>
        <w:rPr>
          <w:rFonts w:hint="eastAsia" w:ascii="仿宋" w:hAnsi="仿宋" w:eastAsia="仿宋" w:cs="仿宋"/>
          <w:b/>
          <w:sz w:val="24"/>
          <w:highlight w:val="none"/>
          <w:lang w:eastAsia="zh-CN"/>
        </w:rPr>
        <w:t>：</w:t>
      </w:r>
    </w:p>
    <w:p>
      <w:pPr>
        <w:spacing w:line="500" w:lineRule="exact"/>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rPr>
        <w:t>重大违法记录的声明</w:t>
      </w:r>
    </w:p>
    <w:p>
      <w:pPr>
        <w:snapToGrid w:val="0"/>
        <w:spacing w:line="360" w:lineRule="auto"/>
        <w:rPr>
          <w:rFonts w:hint="eastAsia" w:ascii="仿宋" w:hAnsi="仿宋" w:eastAsia="仿宋" w:cs="仿宋"/>
          <w:sz w:val="24"/>
          <w:highlight w:val="none"/>
          <w:lang w:eastAsia="zh-CN"/>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lang w:val="en-US" w:eastAsia="zh-CN"/>
        </w:rPr>
        <w:t>绍兴市九里强制隔离戒毒所</w:t>
      </w:r>
      <w:r>
        <w:rPr>
          <w:rFonts w:hint="eastAsia" w:ascii="仿宋" w:hAnsi="仿宋" w:eastAsia="仿宋" w:cs="仿宋"/>
          <w:sz w:val="24"/>
          <w:highlight w:val="none"/>
        </w:rPr>
        <w:t>、耀华建设管理有限公司</w:t>
      </w:r>
      <w:r>
        <w:rPr>
          <w:rFonts w:hint="eastAsia" w:ascii="仿宋" w:hAnsi="仿宋" w:eastAsia="仿宋" w:cs="仿宋"/>
          <w:kern w:val="0"/>
          <w:sz w:val="24"/>
          <w:highlight w:val="none"/>
          <w:lang w:val="zh-CN"/>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我公司</w:t>
      </w:r>
      <w:r>
        <w:rPr>
          <w:rFonts w:hint="eastAsia" w:ascii="仿宋" w:hAnsi="仿宋" w:eastAsia="仿宋" w:cs="仿宋"/>
          <w:sz w:val="24"/>
          <w:highlight w:val="none"/>
        </w:rPr>
        <w:t>声明参加本次政府采购活动前三年内未被列入“黑名单”，在</w:t>
      </w:r>
      <w:r>
        <w:rPr>
          <w:rFonts w:hint="eastAsia" w:ascii="仿宋" w:hAnsi="仿宋" w:eastAsia="仿宋" w:cs="仿宋"/>
          <w:kern w:val="0"/>
          <w:sz w:val="24"/>
          <w:highlight w:val="none"/>
        </w:rPr>
        <w:t>经营活动中</w:t>
      </w:r>
      <w:r>
        <w:rPr>
          <w:rFonts w:hint="eastAsia" w:ascii="仿宋" w:hAnsi="仿宋" w:eastAsia="仿宋" w:cs="仿宋"/>
          <w:sz w:val="24"/>
          <w:highlight w:val="none"/>
        </w:rPr>
        <w:t>没有重大违法记录。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 (电子签章)：</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法定代表人或其授权代表(签字或盖章)：</w:t>
      </w:r>
    </w:p>
    <w:p>
      <w:pPr>
        <w:ind w:firstLine="5280" w:firstLineChars="2200"/>
        <w:rPr>
          <w:rFonts w:hint="eastAsia" w:ascii="仿宋" w:hAnsi="仿宋" w:eastAsia="仿宋" w:cs="仿宋"/>
          <w:b/>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ascii="仿宋" w:hAnsi="仿宋" w:eastAsia="仿宋" w:cs="仿宋"/>
          <w:b/>
          <w:sz w:val="24"/>
          <w:highlight w:val="none"/>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九</w:t>
      </w:r>
      <w:r>
        <w:rPr>
          <w:rFonts w:hint="eastAsia" w:ascii="仿宋" w:hAnsi="仿宋" w:eastAsia="仿宋" w:cs="仿宋"/>
          <w:b/>
          <w:sz w:val="24"/>
          <w:highlight w:val="none"/>
        </w:rPr>
        <w:t>：</w:t>
      </w:r>
    </w:p>
    <w:p>
      <w:pPr>
        <w:spacing w:line="500" w:lineRule="exact"/>
        <w:jc w:val="center"/>
        <w:rPr>
          <w:rFonts w:ascii="仿宋" w:hAnsi="仿宋" w:eastAsia="仿宋" w:cs="仿宋"/>
          <w:b/>
          <w:kern w:val="0"/>
          <w:sz w:val="24"/>
          <w:highlight w:val="none"/>
        </w:rPr>
      </w:pPr>
      <w:r>
        <w:rPr>
          <w:rFonts w:hint="eastAsia" w:ascii="仿宋" w:hAnsi="仿宋" w:eastAsia="仿宋" w:cs="仿宋"/>
          <w:b/>
          <w:kern w:val="0"/>
          <w:sz w:val="24"/>
          <w:highlight w:val="none"/>
        </w:rPr>
        <w:t xml:space="preserve"> 无在建工程及无行贿犯罪记录承诺书</w:t>
      </w:r>
    </w:p>
    <w:p>
      <w:pPr>
        <w:spacing w:line="500" w:lineRule="exact"/>
        <w:jc w:val="center"/>
        <w:rPr>
          <w:rFonts w:ascii="仿宋" w:hAnsi="仿宋" w:eastAsia="仿宋" w:cs="仿宋"/>
          <w:b/>
          <w:sz w:val="24"/>
          <w:highlight w:val="none"/>
        </w:rPr>
      </w:pPr>
    </w:p>
    <w:p>
      <w:pPr>
        <w:spacing w:line="480" w:lineRule="auto"/>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 xml:space="preserve">名称）： </w:t>
      </w:r>
    </w:p>
    <w:p>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我方在此声明，我方拟派往</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（项目名称）（以下简称“本工程”）的项目负责人（项目负责人姓名）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现阶段没有担任任何在施工建设的工程项目。企业和项目负责人近</w:t>
      </w:r>
      <w:r>
        <w:rPr>
          <w:rFonts w:hint="eastAsia" w:ascii="仿宋" w:hAnsi="仿宋" w:eastAsia="仿宋" w:cs="仿宋"/>
          <w:sz w:val="24"/>
          <w:highlight w:val="none"/>
          <w:u w:val="single"/>
        </w:rPr>
        <w:t>五</w:t>
      </w:r>
      <w:r>
        <w:rPr>
          <w:rFonts w:hint="eastAsia" w:ascii="仿宋" w:hAnsi="仿宋" w:eastAsia="仿宋" w:cs="仿宋"/>
          <w:sz w:val="24"/>
          <w:highlight w:val="none"/>
        </w:rPr>
        <w:t>年无行贿犯罪记录。</w:t>
      </w:r>
    </w:p>
    <w:p>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我方保证上述信息的真实和准确，并愿意承担因我方就此弄虚作假所引起的一切法律后果。</w:t>
      </w:r>
    </w:p>
    <w:p>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特此承诺。</w:t>
      </w:r>
    </w:p>
    <w:p>
      <w:pPr>
        <w:spacing w:line="480" w:lineRule="auto"/>
        <w:rPr>
          <w:rFonts w:ascii="仿宋" w:hAnsi="仿宋" w:eastAsia="仿宋" w:cs="仿宋"/>
          <w:sz w:val="24"/>
          <w:highlight w:val="none"/>
        </w:rPr>
      </w:pPr>
    </w:p>
    <w:p>
      <w:pPr>
        <w:spacing w:line="480" w:lineRule="auto"/>
        <w:jc w:val="right"/>
        <w:rPr>
          <w:rFonts w:ascii="仿宋" w:hAnsi="仿宋" w:eastAsia="仿宋" w:cs="仿宋"/>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投标人：（</w:t>
      </w:r>
      <w:r>
        <w:rPr>
          <w:rFonts w:hint="eastAsia" w:ascii="仿宋" w:hAnsi="仿宋" w:eastAsia="仿宋" w:cs="仿宋"/>
          <w:sz w:val="24"/>
          <w:highlight w:val="none"/>
        </w:rPr>
        <w:t>电子签章</w:t>
      </w:r>
      <w:r>
        <w:rPr>
          <w:rFonts w:hint="eastAsia" w:ascii="仿宋" w:hAnsi="仿宋" w:eastAsia="仿宋" w:cs="仿宋"/>
          <w:kern w:val="0"/>
          <w:sz w:val="24"/>
          <w:highlight w:val="none"/>
        </w:rPr>
        <w:t>）</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spacing w:line="360" w:lineRule="auto"/>
        <w:rPr>
          <w:rFonts w:ascii="仿宋" w:hAnsi="仿宋" w:eastAsia="仿宋" w:cs="仿宋"/>
          <w:kern w:val="0"/>
          <w:sz w:val="24"/>
          <w:highlight w:val="none"/>
        </w:rPr>
      </w:pPr>
    </w:p>
    <w:p>
      <w:pPr>
        <w:spacing w:line="360" w:lineRule="auto"/>
        <w:jc w:val="right"/>
        <w:rPr>
          <w:rFonts w:ascii="仿宋" w:hAnsi="仿宋" w:eastAsia="仿宋" w:cs="仿宋"/>
          <w:b/>
          <w:bCs/>
          <w:sz w:val="32"/>
          <w:szCs w:val="32"/>
          <w:highlight w:val="none"/>
        </w:rPr>
      </w:pPr>
      <w:r>
        <w:rPr>
          <w:rFonts w:hint="eastAsia" w:ascii="仿宋" w:hAnsi="仿宋" w:eastAsia="仿宋" w:cs="仿宋"/>
          <w:kern w:val="0"/>
          <w:sz w:val="24"/>
          <w:highlight w:val="none"/>
        </w:rPr>
        <w:t>日期：   年   月   日</w:t>
      </w: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10</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其余按招标文件要求提供资料</w:t>
      </w:r>
    </w:p>
    <w:p>
      <w:pPr>
        <w:jc w:val="left"/>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（由投标人根据招标文件要求和评分细则要求自行编制）</w:t>
      </w:r>
    </w:p>
    <w:p>
      <w:pPr>
        <w:spacing w:line="288" w:lineRule="auto"/>
        <w:rPr>
          <w:rFonts w:ascii="仿宋" w:hAnsi="仿宋" w:eastAsia="仿宋" w:cs="仿宋"/>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pageBreakBefore/>
        <w:spacing w:line="360" w:lineRule="auto"/>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11</w:t>
      </w:r>
      <w:r>
        <w:rPr>
          <w:rFonts w:hint="eastAsia" w:ascii="仿宋" w:hAnsi="仿宋" w:eastAsia="仿宋" w:cs="仿宋"/>
          <w:b/>
          <w:kern w:val="0"/>
          <w:sz w:val="32"/>
          <w:szCs w:val="32"/>
          <w:highlight w:val="none"/>
          <w:lang w:val="zh-CN"/>
        </w:rPr>
        <w:t>、落实政府采购政策需满足的资格要求</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（根据招标公告落实政府采购政策需满足的资格要求选择提供相应的材料；未要求的，无需提供）</w:t>
      </w:r>
    </w:p>
    <w:p>
      <w:pPr>
        <w:snapToGrid w:val="0"/>
        <w:spacing w:line="440" w:lineRule="exact"/>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.专门面向中小企业，货物全部由符合政策要求的中小企业（或小微企业）制造或者服务全部由符合政策要求的中小企业（或小微企业）承接的，提供相应的</w:t>
      </w:r>
      <w:r>
        <w:rPr>
          <w:rFonts w:hint="eastAsia" w:ascii="仿宋" w:hAnsi="仿宋" w:eastAsia="仿宋" w:cs="仿宋"/>
          <w:b/>
          <w:sz w:val="24"/>
          <w:highlight w:val="none"/>
        </w:rPr>
        <w:t>中小企业声明函</w:t>
      </w:r>
      <w:r>
        <w:rPr>
          <w:rFonts w:hint="eastAsia" w:ascii="仿宋" w:hAnsi="仿宋" w:eastAsia="仿宋" w:cs="仿宋"/>
          <w:sz w:val="24"/>
          <w:highlight w:val="none"/>
        </w:rPr>
        <w:t xml:space="preserve">（附件）。 </w:t>
      </w:r>
    </w:p>
    <w:p>
      <w:pPr>
        <w:widowControl/>
        <w:spacing w:line="440" w:lineRule="exact"/>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要求以联合体形式参加的，提供联合协议和</w:t>
      </w:r>
      <w:r>
        <w:rPr>
          <w:rFonts w:hint="eastAsia" w:ascii="仿宋" w:hAnsi="仿宋" w:eastAsia="仿宋" w:cs="仿宋"/>
          <w:b/>
          <w:sz w:val="24"/>
          <w:highlight w:val="none"/>
        </w:rPr>
        <w:t>中小企业声明函</w:t>
      </w:r>
      <w:r>
        <w:rPr>
          <w:rFonts w:hint="eastAsia" w:ascii="仿宋" w:hAnsi="仿宋" w:eastAsia="仿宋" w:cs="仿宋"/>
          <w:sz w:val="24"/>
          <w:highlight w:val="none"/>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highlight w:val="none"/>
          <w:lang w:val="zh-CN"/>
        </w:rPr>
      </w:pPr>
    </w:p>
    <w:p>
      <w:pPr>
        <w:snapToGrid w:val="0"/>
        <w:spacing w:before="50" w:after="50"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jc w:val="center"/>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b/>
          <w:sz w:val="24"/>
        </w:rPr>
      </w:pPr>
    </w:p>
    <w:p>
      <w:pPr>
        <w:spacing w:line="360" w:lineRule="auto"/>
        <w:ind w:firstLine="482" w:firstLineChars="200"/>
        <w:rPr>
          <w:rFonts w:hint="eastAsia" w:ascii="仿宋" w:hAnsi="仿宋" w:eastAsia="仿宋" w:cs="仿宋"/>
          <w:b/>
          <w:sz w:val="24"/>
        </w:rPr>
      </w:pPr>
    </w:p>
    <w:p>
      <w:pPr>
        <w:spacing w:line="360" w:lineRule="auto"/>
        <w:ind w:firstLine="482" w:firstLineChars="200"/>
        <w:rPr>
          <w:rFonts w:hint="eastAsia" w:ascii="仿宋" w:hAnsi="仿宋" w:eastAsia="仿宋" w:cs="仿宋"/>
          <w:b/>
          <w:sz w:val="24"/>
        </w:rPr>
      </w:pPr>
    </w:p>
    <w:p>
      <w:pPr>
        <w:pageBreakBefore/>
        <w:spacing w:line="360" w:lineRule="auto"/>
        <w:ind w:firstLine="482" w:firstLineChars="200"/>
        <w:rPr>
          <w:rFonts w:hint="eastAsia" w:ascii="仿宋" w:hAnsi="仿宋" w:eastAsia="仿宋" w:cs="仿宋"/>
          <w:b/>
          <w:kern w:val="0"/>
          <w:sz w:val="32"/>
          <w:szCs w:val="32"/>
        </w:rPr>
      </w:pPr>
      <w:r>
        <w:rPr>
          <w:rFonts w:hint="eastAsia" w:ascii="仿宋" w:hAnsi="仿宋" w:eastAsia="仿宋" w:cs="仿宋"/>
          <w:b/>
          <w:sz w:val="24"/>
        </w:rPr>
        <w:t>C、</w:t>
      </w:r>
      <w:r>
        <w:rPr>
          <w:rFonts w:hint="eastAsia" w:ascii="仿宋" w:hAnsi="仿宋" w:eastAsia="仿宋" w:cs="仿宋"/>
          <w:sz w:val="24"/>
        </w:rPr>
        <w:t>要求合同分包的，提供分包意向协议和</w:t>
      </w:r>
      <w:r>
        <w:rPr>
          <w:rFonts w:hint="eastAsia" w:ascii="仿宋" w:hAnsi="仿宋" w:eastAsia="仿宋" w:cs="仿宋"/>
          <w:b/>
          <w:sz w:val="24"/>
        </w:rPr>
        <w:t>中小企业声明函（附件）</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0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w:t>
      </w:r>
      <w:r>
        <w:rPr>
          <w:rFonts w:hint="eastAsia" w:ascii="仿宋" w:hAnsi="仿宋" w:eastAsia="仿宋" w:cs="仿宋"/>
          <w:kern w:val="0"/>
          <w:sz w:val="24"/>
          <w:lang w:val="zh-CN"/>
        </w:rPr>
        <w:t>应商名称），具备承担XX工作内容相应资质条件且不得再次分包；</w:t>
      </w:r>
    </w:p>
    <w:p>
      <w:pPr>
        <w:snapToGrid w:val="0"/>
        <w:spacing w:line="300" w:lineRule="auto"/>
        <w:ind w:firstLine="964" w:firstLineChars="400"/>
        <w:jc w:val="left"/>
        <w:rPr>
          <w:rFonts w:hint="eastAsia" w:ascii="仿宋" w:hAnsi="仿宋" w:eastAsia="仿宋" w:cs="仿宋"/>
          <w:b/>
          <w:kern w:val="0"/>
          <w:sz w:val="24"/>
          <w:lang w:val="zh-CN"/>
        </w:rPr>
      </w:pPr>
      <w:r>
        <w:rPr>
          <w:rFonts w:hint="eastAsia" w:ascii="仿宋" w:hAnsi="仿宋" w:eastAsia="仿宋" w:cs="仿宋"/>
          <w:b/>
          <w:kern w:val="0"/>
          <w:sz w:val="24"/>
          <w:lang w:val="zh-CN"/>
        </w:rPr>
        <w:t>……</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0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0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0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0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00" w:lineRule="auto"/>
        <w:ind w:firstLine="5880" w:firstLineChars="24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00" w:lineRule="auto"/>
        <w:ind w:firstLine="6000" w:firstLineChars="2500"/>
        <w:rPr>
          <w:rFonts w:hint="eastAsia" w:ascii="仿宋" w:hAnsi="仿宋" w:eastAsia="仿宋" w:cs="仿宋"/>
        </w:rPr>
      </w:pPr>
      <w:r>
        <w:rPr>
          <w:rFonts w:hint="eastAsia" w:ascii="仿宋" w:hAnsi="仿宋" w:eastAsia="仿宋" w:cs="仿宋"/>
          <w:kern w:val="0"/>
          <w:sz w:val="24"/>
          <w:lang w:val="zh-CN"/>
        </w:rPr>
        <w:t>……</w:t>
      </w:r>
    </w:p>
    <w:p>
      <w:pPr>
        <w:spacing w:line="30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pageBreakBefore/>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b/>
          <w:sz w:val="24"/>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jc w:val="center"/>
        <w:rPr>
          <w:rFonts w:hint="eastAsia" w:ascii="仿宋" w:hAnsi="仿宋" w:eastAsia="仿宋" w:cs="仿宋"/>
          <w:b/>
          <w:sz w:val="32"/>
        </w:rPr>
      </w:pPr>
    </w:p>
    <w:p>
      <w:pPr>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1.95pt;width:390.05pt;" o:ole="t" filled="f" o:preferrelative="t" stroked="f" coordsize="21600,21600">
            <v:path/>
            <v:fill on="f" focussize="0,0"/>
            <v:stroke on="f"/>
            <v:imagedata r:id="rId10" o:title=""/>
            <o:lock v:ext="edit" aspectratio="t"/>
            <w10:wrap type="none"/>
            <w10:anchorlock/>
          </v:shape>
          <o:OLEObject Type="Embed" ProgID="Package" ShapeID="_x0000_i1025" DrawAspect="Content" ObjectID="_1468075725" r:id="rId9">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jc w:val="center"/>
        <w:rPr>
          <w:rFonts w:ascii="仿宋" w:hAnsi="仿宋" w:eastAsia="仿宋" w:cs="仿宋"/>
          <w:b/>
          <w:bCs/>
          <w:sz w:val="44"/>
          <w:szCs w:val="44"/>
        </w:rPr>
      </w:pPr>
    </w:p>
    <w:p>
      <w:pPr>
        <w:pageBreakBefore/>
        <w:jc w:val="center"/>
        <w:rPr>
          <w:rFonts w:ascii="仿宋" w:hAnsi="仿宋" w:eastAsia="仿宋" w:cs="仿宋"/>
          <w:b/>
          <w:bCs/>
          <w:sz w:val="44"/>
          <w:szCs w:val="44"/>
        </w:rPr>
      </w:pPr>
      <w:r>
        <w:rPr>
          <w:rFonts w:hint="eastAsia" w:ascii="仿宋" w:hAnsi="仿宋" w:eastAsia="仿宋" w:cs="仿宋"/>
          <w:b/>
          <w:bCs/>
          <w:sz w:val="44"/>
          <w:szCs w:val="44"/>
        </w:rPr>
        <w:t>质疑函范本</w:t>
      </w:r>
    </w:p>
    <w:p>
      <w:pPr>
        <w:snapToGrid w:val="0"/>
        <w:spacing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snapToGrid w:val="0"/>
        <w:spacing w:line="360" w:lineRule="auto"/>
        <w:rPr>
          <w:rFonts w:ascii="仿宋" w:hAnsi="仿宋" w:eastAsia="仿宋" w:cs="仿宋"/>
          <w:sz w:val="32"/>
          <w:szCs w:val="32"/>
        </w:rPr>
      </w:pPr>
    </w:p>
    <w:p>
      <w:pPr>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pageBreakBefore/>
        <w:shd w:val="clear" w:color="auto" w:fill="FFFFFF"/>
        <w:spacing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国家统计局关于印发《统计上大中小微型企业划分办法（2017）》的通知</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宋体" w:hAnsi="宋体" w:cs="宋体"/>
          <w:kern w:val="0"/>
          <w:szCs w:val="21"/>
        </w:rPr>
      </w:pPr>
      <w:r>
        <w:rPr>
          <w:rFonts w:ascii="宋体" w:hAnsi="宋体" w:cs="宋体"/>
          <w:kern w:val="0"/>
          <w:szCs w:val="21"/>
        </w:rPr>
        <w:t>附件：《统计上大中小微型企业划分办法（2017）》修订说明</w:t>
      </w:r>
    </w:p>
    <w:p>
      <w:pPr>
        <w:widowControl/>
        <w:shd w:val="clear" w:color="auto" w:fill="FFFFFF"/>
        <w:spacing w:before="150" w:line="420" w:lineRule="atLeast"/>
        <w:ind w:right="825"/>
        <w:jc w:val="right"/>
        <w:textAlignment w:val="baseline"/>
        <w:rPr>
          <w:rFonts w:hint="eastAsia" w:ascii="宋体" w:hAnsi="宋体" w:cs="宋体"/>
          <w:kern w:val="0"/>
          <w:szCs w:val="21"/>
        </w:rPr>
      </w:pPr>
      <w:r>
        <w:rPr>
          <w:rFonts w:ascii="宋体" w:hAnsi="宋体" w:cs="宋体"/>
          <w:kern w:val="0"/>
          <w:szCs w:val="21"/>
        </w:rPr>
        <w:t>国家统计局  </w:t>
      </w:r>
    </w:p>
    <w:p>
      <w:pPr>
        <w:widowControl/>
        <w:shd w:val="clear" w:color="auto" w:fill="FFFFFF"/>
        <w:spacing w:before="150" w:line="420" w:lineRule="atLeast"/>
        <w:ind w:right="825"/>
        <w:jc w:val="right"/>
        <w:textAlignment w:val="baseline"/>
        <w:rPr>
          <w:rFonts w:hint="eastAsia" w:ascii="宋体" w:hAnsi="宋体" w:cs="宋体"/>
          <w:kern w:val="0"/>
          <w:szCs w:val="21"/>
        </w:rPr>
      </w:pPr>
      <w:r>
        <w:rPr>
          <w:rFonts w:ascii="宋体" w:hAnsi="宋体" w:cs="宋体"/>
          <w:kern w:val="0"/>
          <w:szCs w:val="21"/>
        </w:rPr>
        <w:t>2017年12月28日</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 </w:t>
      </w:r>
    </w:p>
    <w:p>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统计上大中小微型企业划分办法（2017）</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lang w:eastAsia="zh-CN"/>
        </w:rPr>
      </w:pPr>
      <w:r>
        <w:rPr>
          <w:rFonts w:ascii="宋体" w:hAnsi="宋体" w:cs="宋体"/>
          <w:kern w:val="0"/>
          <w:szCs w:val="21"/>
        </w:rPr>
        <w:t>附表：统计上大中小微型企业划分标准</w:t>
      </w:r>
    </w:p>
    <w:p>
      <w:pPr>
        <w:widowControl/>
        <w:shd w:val="clear" w:color="auto" w:fill="FFFFFF"/>
        <w:spacing w:before="150" w:line="600" w:lineRule="atLeast"/>
        <w:jc w:val="center"/>
        <w:textAlignment w:val="baseline"/>
        <w:rPr>
          <w:rFonts w:ascii="宋体" w:hAnsi="宋体" w:cs="宋体"/>
          <w:b/>
          <w:bCs/>
          <w:kern w:val="0"/>
          <w:sz w:val="36"/>
          <w:szCs w:val="36"/>
        </w:rPr>
      </w:pPr>
    </w:p>
    <w:p>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统计上大中小微型企业划分标准</w:t>
      </w:r>
    </w:p>
    <w:tbl>
      <w:tblPr>
        <w:tblStyle w:val="28"/>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行业名称</w:t>
            </w:r>
          </w:p>
        </w:tc>
        <w:tc>
          <w:tcPr>
            <w:tcW w:w="1560"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指标名称</w:t>
            </w:r>
          </w:p>
        </w:tc>
        <w:tc>
          <w:tcPr>
            <w:tcW w:w="671"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计量单位</w:t>
            </w:r>
          </w:p>
        </w:tc>
        <w:tc>
          <w:tcPr>
            <w:tcW w:w="1231"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大型</w:t>
            </w:r>
          </w:p>
        </w:tc>
        <w:tc>
          <w:tcPr>
            <w:tcW w:w="1891"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中型</w:t>
            </w:r>
          </w:p>
        </w:tc>
        <w:tc>
          <w:tcPr>
            <w:tcW w:w="1730"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小型</w:t>
            </w:r>
          </w:p>
        </w:tc>
        <w:tc>
          <w:tcPr>
            <w:tcW w:w="1203"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pPr>
              <w:widowControl/>
              <w:jc w:val="left"/>
              <w:rPr>
                <w:rFonts w:ascii="宋体" w:hAnsi="宋体" w:cs="宋体"/>
                <w:kern w:val="0"/>
                <w:sz w:val="24"/>
              </w:rPr>
            </w:pPr>
            <w:r>
              <w:rPr>
                <w:rFonts w:ascii="宋体" w:hAnsi="宋体" w:cs="宋体"/>
                <w:kern w:val="0"/>
                <w:sz w:val="24"/>
              </w:rPr>
              <w:t>农、林、牧、渔业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Y≥20000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500≤Y＜20000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50≤Y＜500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工业 *</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X≥1000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300≤X＜1000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20≤X＜300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Y≥40000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2000≤Y＜40000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300≤Y＜2000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建筑业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Y≥80000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6000≤Y＜80000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300≤Y＜6000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Z≥80000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5000≤Z＜80000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300≤Z＜5000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批发业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X≥200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20≤X＜200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5≤X＜20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Y≥40000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5000≤Y＜40000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1000≤Y＜5000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零售业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10≤X＜50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Y≥20000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500≤Y＜20000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100≤Y＜500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交通运输业 *</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X≥1000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300≤X＜1000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20≤X＜300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Y≥30000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3000≤Y＜30000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200≤Y＜3000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仓储业*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X≥200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100≤X＜200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Y≥30000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1000≤Y＜30000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100≤Y＜1000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邮政业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X≥1000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300≤X＜1000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20≤X＜300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Y≥30000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2000≤Y＜30000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100≤Y＜2000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住宿业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Y≥10000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2000≤Y＜10000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100≤Y＜2000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餐饮业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Y≥10000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2000≤Y＜10000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100≤Y＜2000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信息传输业 *</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X≥2000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100≤X＜2000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Y≥100000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1000≤Y＜100000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100≤Y＜1000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软件和信息技术服务业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Y≥10000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1000≤Y＜10000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50≤Y＜1000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房地产开发经营</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Y≥200000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1000≤Y＜200000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100≤Y＜1000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Z≥10000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5000≤Z＜10000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2000≤Z＜5000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物业管理</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X≥1000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300≤X＜1000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Y≥5000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1000≤Y＜5000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500≤Y＜1000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租赁和商务服务业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Z≥120000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8000≤Z＜120000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100≤Z＜8000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pPr>
              <w:widowControl/>
              <w:jc w:val="left"/>
              <w:rPr>
                <w:rFonts w:ascii="宋体" w:hAnsi="宋体" w:cs="宋体"/>
                <w:kern w:val="0"/>
                <w:sz w:val="24"/>
              </w:rPr>
            </w:pPr>
            <w:r>
              <w:rPr>
                <w:rFonts w:ascii="宋体" w:hAnsi="宋体" w:cs="宋体"/>
                <w:kern w:val="0"/>
                <w:sz w:val="24"/>
              </w:rPr>
              <w:t>其他未列明行业 *</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bl>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说明： 　　</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3.企业划分指标以现行统计制度为准。</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lang w:eastAsia="zh-CN"/>
        </w:rPr>
      </w:pPr>
      <w:r>
        <w:rPr>
          <w:rFonts w:ascii="宋体" w:hAnsi="宋体" w:cs="宋体"/>
          <w:kern w:val="0"/>
          <w:szCs w:val="21"/>
        </w:rPr>
        <w:t>    （3）资产总额，采用资产总计代替。</w:t>
      </w:r>
    </w:p>
    <w:p>
      <w:pPr>
        <w:widowControl/>
        <w:shd w:val="clear" w:color="auto" w:fill="FFFFFF"/>
        <w:spacing w:before="150" w:line="600" w:lineRule="atLeast"/>
        <w:jc w:val="center"/>
        <w:textAlignment w:val="baseline"/>
        <w:rPr>
          <w:rFonts w:ascii="宋体" w:hAnsi="宋体" w:cs="宋体"/>
          <w:b/>
          <w:bCs/>
          <w:kern w:val="0"/>
          <w:sz w:val="36"/>
          <w:szCs w:val="36"/>
        </w:rPr>
      </w:pPr>
    </w:p>
    <w:p>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《统计上大中小微型企业划分办法（2017）》修订说明</w:t>
      </w:r>
    </w:p>
    <w:p>
      <w:pPr>
        <w:widowControl/>
        <w:shd w:val="clear" w:color="auto" w:fill="FFFFFF"/>
        <w:spacing w:before="150" w:line="540" w:lineRule="atLeast"/>
        <w:jc w:val="left"/>
        <w:textAlignment w:val="baseline"/>
        <w:rPr>
          <w:rFonts w:hint="eastAsia" w:ascii="宋体" w:hAnsi="宋体" w:cs="宋体"/>
          <w:b/>
          <w:bCs/>
          <w:kern w:val="0"/>
          <w:sz w:val="27"/>
          <w:szCs w:val="27"/>
        </w:rPr>
      </w:pPr>
      <w:r>
        <w:rPr>
          <w:rFonts w:ascii="宋体" w:hAnsi="宋体" w:cs="宋体"/>
          <w:b/>
          <w:bCs/>
          <w:kern w:val="0"/>
          <w:sz w:val="27"/>
          <w:szCs w:val="27"/>
        </w:rPr>
        <w:t>一、修订背景</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宋体" w:hAnsi="宋体" w:cs="宋体"/>
          <w:b/>
          <w:bCs/>
          <w:kern w:val="0"/>
          <w:sz w:val="27"/>
          <w:szCs w:val="27"/>
        </w:rPr>
      </w:pPr>
      <w:r>
        <w:rPr>
          <w:rFonts w:ascii="宋体" w:hAnsi="宋体" w:cs="宋体"/>
          <w:b/>
          <w:bCs/>
          <w:kern w:val="0"/>
          <w:sz w:val="27"/>
          <w:szCs w:val="27"/>
        </w:rPr>
        <w:t>二、修订主要内容</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ascii="宋体" w:hAnsi="宋体" w:cs="宋体"/>
          <w:b/>
          <w:bCs/>
          <w:kern w:val="0"/>
          <w:sz w:val="36"/>
          <w:szCs w:val="36"/>
        </w:rPr>
      </w:pPr>
      <w:r>
        <w:rPr>
          <w:rFonts w:ascii="宋体" w:hAnsi="宋体" w:cs="宋体"/>
          <w:kern w:val="0"/>
          <w:szCs w:val="21"/>
        </w:rPr>
        <w:t>    仓储业所包括的行业中类，根据《国民经济行业分类》（GB/T4754—2017）调整为“通用仓储，低温仓储，危险品仓储，谷物、棉花等农产品仓储，中药材仓储和其他仓储业”。</w:t>
      </w:r>
    </w:p>
    <w:p>
      <w:pPr>
        <w:widowControl/>
        <w:shd w:val="clear" w:color="auto" w:fill="FFFFFF"/>
        <w:spacing w:line="600" w:lineRule="atLeast"/>
        <w:jc w:val="center"/>
        <w:textAlignment w:val="baseline"/>
        <w:rPr>
          <w:rFonts w:ascii="宋体" w:hAnsi="宋体" w:cs="宋体"/>
          <w:b/>
          <w:bCs/>
          <w:kern w:val="0"/>
          <w:sz w:val="36"/>
          <w:szCs w:val="36"/>
        </w:rPr>
      </w:pPr>
    </w:p>
    <w:p>
      <w:pPr>
        <w:widowControl/>
        <w:shd w:val="clear" w:color="auto" w:fill="FFFFFF"/>
        <w:spacing w:line="600" w:lineRule="atLeast"/>
        <w:jc w:val="center"/>
        <w:textAlignment w:val="baseline"/>
        <w:rPr>
          <w:rFonts w:hint="eastAsia" w:ascii="宋体" w:hAnsi="宋体" w:eastAsia="宋体" w:cs="宋体"/>
          <w:b/>
          <w:bCs/>
          <w:kern w:val="0"/>
          <w:sz w:val="36"/>
          <w:szCs w:val="36"/>
          <w:lang w:eastAsia="zh-CN"/>
        </w:rPr>
      </w:pPr>
      <w:r>
        <w:rPr>
          <w:rFonts w:ascii="宋体" w:hAnsi="宋体" w:cs="宋体"/>
          <w:b/>
          <w:bCs/>
          <w:kern w:val="0"/>
          <w:sz w:val="36"/>
          <w:szCs w:val="36"/>
        </w:rPr>
        <w:t>中国人民银行中国银行业监督管理委员会</w:t>
      </w:r>
    </w:p>
    <w:p>
      <w:pPr>
        <w:widowControl/>
        <w:shd w:val="clear" w:color="auto" w:fill="FFFFFF"/>
        <w:spacing w:line="600" w:lineRule="atLeast"/>
        <w:jc w:val="center"/>
        <w:textAlignment w:val="baseline"/>
        <w:rPr>
          <w:rFonts w:hint="eastAsia" w:ascii="宋体" w:hAnsi="宋体" w:eastAsia="宋体" w:cs="宋体"/>
          <w:b/>
          <w:bCs/>
          <w:kern w:val="0"/>
          <w:sz w:val="36"/>
          <w:szCs w:val="36"/>
          <w:lang w:eastAsia="zh-CN"/>
        </w:rPr>
      </w:pPr>
      <w:r>
        <w:rPr>
          <w:rFonts w:ascii="宋体" w:hAnsi="宋体" w:cs="宋体"/>
          <w:b/>
          <w:bCs/>
          <w:kern w:val="0"/>
          <w:sz w:val="36"/>
          <w:szCs w:val="36"/>
        </w:rPr>
        <w:t>中国证券监督管理委员会中国保险监督管理委员会</w:t>
      </w:r>
    </w:p>
    <w:p>
      <w:pPr>
        <w:widowControl/>
        <w:shd w:val="clear" w:color="auto" w:fill="FFFFFF"/>
        <w:spacing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国家统计局关于印发《金融业企业划型标准规定》的通知</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宋体" w:hAnsi="宋体" w:cs="宋体"/>
          <w:kern w:val="0"/>
          <w:szCs w:val="21"/>
        </w:rPr>
      </w:pPr>
      <w:r>
        <w:rPr>
          <w:rFonts w:ascii="宋体" w:hAnsi="宋体" w:cs="宋体"/>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附件：金融业企业划型标准规定</w:t>
      </w:r>
    </w:p>
    <w:p>
      <w:pPr>
        <w:widowControl/>
        <w:shd w:val="clear" w:color="auto" w:fill="FFFFFF"/>
        <w:spacing w:before="150" w:line="600" w:lineRule="atLeast"/>
        <w:jc w:val="center"/>
        <w:textAlignment w:val="baseline"/>
        <w:rPr>
          <w:rFonts w:ascii="宋体" w:hAnsi="宋体" w:cs="宋体"/>
          <w:b/>
          <w:bCs/>
          <w:kern w:val="0"/>
          <w:sz w:val="36"/>
          <w:szCs w:val="36"/>
        </w:rPr>
      </w:pPr>
    </w:p>
    <w:p>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金融业企业划型标准规定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十、本规定由人民银行会同银监会，证监会、保监会和统计局负责解释。</w:t>
      </w:r>
    </w:p>
    <w:p>
      <w:pPr>
        <w:widowControl/>
        <w:shd w:val="clear" w:color="auto" w:fill="FFFFFF"/>
        <w:spacing w:line="420" w:lineRule="atLeast"/>
        <w:jc w:val="left"/>
        <w:textAlignment w:val="baseline"/>
        <w:rPr>
          <w:rFonts w:hint="eastAsia" w:ascii="宋体" w:hAnsi="宋体" w:cs="宋体"/>
          <w:kern w:val="0"/>
          <w:szCs w:val="21"/>
        </w:rPr>
      </w:pPr>
      <w:r>
        <w:rPr>
          <w:rFonts w:ascii="宋体" w:hAnsi="宋体" w:cs="宋体"/>
          <w:kern w:val="0"/>
          <w:szCs w:val="21"/>
        </w:rPr>
        <w:t>    十一、本规定自发布之日起实施。</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附：金融业企业划型标准</w:t>
      </w:r>
    </w:p>
    <w:p>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金融业企业划型标准</w:t>
      </w:r>
    </w:p>
    <w:tbl>
      <w:tblPr>
        <w:tblStyle w:val="28"/>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行业</w:t>
            </w:r>
          </w:p>
        </w:tc>
        <w:tc>
          <w:tcPr>
            <w:tcW w:w="2836"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类别</w:t>
            </w:r>
          </w:p>
        </w:tc>
        <w:tc>
          <w:tcPr>
            <w:tcW w:w="606"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类型</w:t>
            </w:r>
          </w:p>
        </w:tc>
        <w:tc>
          <w:tcPr>
            <w:tcW w:w="3326"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noWrap w:val="0"/>
            <w:vAlign w:val="center"/>
          </w:tcPr>
          <w:p>
            <w:pPr>
              <w:widowControl/>
              <w:jc w:val="left"/>
              <w:rPr>
                <w:rFonts w:ascii="宋体" w:hAnsi="宋体" w:cs="宋体"/>
                <w:kern w:val="0"/>
                <w:sz w:val="24"/>
              </w:rPr>
            </w:pPr>
            <w:r>
              <w:rPr>
                <w:rFonts w:ascii="宋体" w:hAnsi="宋体" w:cs="宋体"/>
                <w:kern w:val="0"/>
                <w:sz w:val="24"/>
              </w:rPr>
              <w:t>货币金融服务</w:t>
            </w:r>
          </w:p>
        </w:tc>
        <w:tc>
          <w:tcPr>
            <w:tcW w:w="1025" w:type="dxa"/>
            <w:vMerge w:val="restart"/>
            <w:noWrap w:val="0"/>
            <w:vAlign w:val="center"/>
          </w:tcPr>
          <w:p>
            <w:pPr>
              <w:widowControl/>
              <w:jc w:val="left"/>
              <w:rPr>
                <w:rFonts w:ascii="宋体" w:hAnsi="宋体" w:cs="宋体"/>
                <w:kern w:val="0"/>
                <w:sz w:val="24"/>
              </w:rPr>
            </w:pPr>
            <w:r>
              <w:rPr>
                <w:rFonts w:ascii="宋体" w:hAnsi="宋体" w:cs="宋体"/>
                <w:kern w:val="0"/>
                <w:sz w:val="24"/>
              </w:rPr>
              <w:t>货币银行服务</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银行业存款类金融机构</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restart"/>
            <w:noWrap w:val="0"/>
            <w:vAlign w:val="center"/>
          </w:tcPr>
          <w:p>
            <w:pPr>
              <w:widowControl/>
              <w:jc w:val="left"/>
              <w:rPr>
                <w:rFonts w:ascii="宋体" w:hAnsi="宋体" w:cs="宋体"/>
                <w:kern w:val="0"/>
                <w:sz w:val="24"/>
              </w:rPr>
            </w:pPr>
            <w:r>
              <w:rPr>
                <w:rFonts w:ascii="宋体" w:hAnsi="宋体" w:cs="宋体"/>
                <w:kern w:val="0"/>
                <w:sz w:val="24"/>
              </w:rPr>
              <w:t>非货币银行服务</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银行业非存款类金融机构</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贷款公司、小额贷款公司及典当行</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noWrap w:val="0"/>
            <w:vAlign w:val="center"/>
          </w:tcPr>
          <w:p>
            <w:pPr>
              <w:widowControl/>
              <w:jc w:val="left"/>
              <w:rPr>
                <w:rFonts w:ascii="宋体" w:hAnsi="宋体" w:cs="宋体"/>
                <w:kern w:val="0"/>
                <w:sz w:val="24"/>
              </w:rPr>
            </w:pPr>
            <w:r>
              <w:rPr>
                <w:rFonts w:ascii="宋体" w:hAnsi="宋体" w:cs="宋体"/>
                <w:kern w:val="0"/>
                <w:sz w:val="24"/>
              </w:rPr>
              <w:t>资本市场服务</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证券业金融机构</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noWrap w:val="0"/>
            <w:vAlign w:val="center"/>
          </w:tcPr>
          <w:p>
            <w:pPr>
              <w:widowControl/>
              <w:jc w:val="left"/>
              <w:rPr>
                <w:rFonts w:ascii="宋体" w:hAnsi="宋体" w:cs="宋体"/>
                <w:kern w:val="0"/>
                <w:sz w:val="24"/>
              </w:rPr>
            </w:pPr>
            <w:r>
              <w:rPr>
                <w:rFonts w:ascii="宋体" w:hAnsi="宋体" w:cs="宋体"/>
                <w:kern w:val="0"/>
                <w:sz w:val="24"/>
              </w:rPr>
              <w:t>保险业</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保险业金融机构</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noWrap w:val="0"/>
            <w:vAlign w:val="center"/>
          </w:tcPr>
          <w:p>
            <w:pPr>
              <w:widowControl/>
              <w:jc w:val="left"/>
              <w:rPr>
                <w:rFonts w:ascii="宋体" w:hAnsi="宋体" w:cs="宋体"/>
                <w:kern w:val="0"/>
                <w:sz w:val="24"/>
              </w:rPr>
            </w:pPr>
            <w:r>
              <w:rPr>
                <w:rFonts w:ascii="宋体" w:hAnsi="宋体" w:cs="宋体"/>
                <w:kern w:val="0"/>
                <w:sz w:val="24"/>
              </w:rPr>
              <w:t>其他金融业</w:t>
            </w:r>
          </w:p>
        </w:tc>
        <w:tc>
          <w:tcPr>
            <w:tcW w:w="1025" w:type="dxa"/>
            <w:vMerge w:val="restart"/>
            <w:noWrap w:val="0"/>
            <w:vAlign w:val="center"/>
          </w:tcPr>
          <w:p>
            <w:pPr>
              <w:widowControl/>
              <w:jc w:val="left"/>
              <w:rPr>
                <w:rFonts w:ascii="宋体" w:hAnsi="宋体" w:cs="宋体"/>
                <w:kern w:val="0"/>
                <w:sz w:val="24"/>
              </w:rPr>
            </w:pPr>
            <w:r>
              <w:rPr>
                <w:rFonts w:ascii="宋体" w:hAnsi="宋体" w:cs="宋体"/>
                <w:kern w:val="0"/>
                <w:sz w:val="24"/>
              </w:rPr>
              <w:t>金融信托与管理服务</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信托公司</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restart"/>
            <w:noWrap w:val="0"/>
            <w:vAlign w:val="center"/>
          </w:tcPr>
          <w:p>
            <w:pPr>
              <w:widowControl/>
              <w:jc w:val="left"/>
              <w:rPr>
                <w:rFonts w:ascii="宋体" w:hAnsi="宋体" w:cs="宋体"/>
                <w:kern w:val="0"/>
                <w:sz w:val="24"/>
              </w:rPr>
            </w:pPr>
            <w:r>
              <w:rPr>
                <w:rFonts w:ascii="宋体" w:hAnsi="宋体" w:cs="宋体"/>
                <w:kern w:val="0"/>
                <w:sz w:val="24"/>
              </w:rPr>
              <w:t>控股公司服务</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金融控股公司</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restart"/>
            <w:noWrap w:val="0"/>
            <w:vAlign w:val="center"/>
          </w:tcPr>
          <w:p>
            <w:pPr>
              <w:widowControl/>
              <w:jc w:val="left"/>
              <w:rPr>
                <w:rFonts w:ascii="宋体" w:hAnsi="宋体" w:cs="宋体"/>
                <w:kern w:val="0"/>
                <w:sz w:val="24"/>
              </w:rPr>
            </w:pPr>
            <w:r>
              <w:rPr>
                <w:rFonts w:ascii="宋体" w:hAnsi="宋体" w:cs="宋体"/>
                <w:kern w:val="0"/>
                <w:sz w:val="24"/>
              </w:rPr>
              <w:t>其他未包括的金融业</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除贷款公司、小额贷款公司及典当行以外的其他金融机构</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50亿元以下</w:t>
            </w:r>
          </w:p>
        </w:tc>
      </w:tr>
    </w:tbl>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t>附：</w:t>
      </w:r>
    </w:p>
    <w:p>
      <w:pPr>
        <w:jc w:val="left"/>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投标报价书写规范说明</w:t>
      </w:r>
    </w:p>
    <w:p>
      <w:pPr>
        <w:rPr>
          <w:rFonts w:ascii="宋体" w:hAnsi="宋体"/>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投标文件中报价（包括下浮率，下同）填写要求为大写的，应用中文（中文大、小写均可）书写，数值表述清晰即可，但不得出现阿拉伯数字、标点符号或者中文以外的其他文字；填写要求为小写的或者不作要求的，均应采用阿拉伯数字和数学符号（如“.”、“％”等）书写，不得出现中文或其他文字。不满足以上书写规范要求或者未填写的，相应的投标文件作废标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二、投标文件中对同一内容有多处报价的，出现报价不一致时，按以下办法处理：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（1）大写与小写不一致的，以大写为准（大写或者小写书写不规范的，或未填写的按第“一”条处理）；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（2）有二个及以上大写报价且数值大小有不一致的，按废标处理；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（3）无大写报价的，但有二个以上小写报价且数值大小有不一致的，按废标处理。</w:t>
      </w:r>
    </w:p>
    <w:p>
      <w:pPr>
        <w:rPr>
          <w:rFonts w:ascii="仿宋" w:hAnsi="仿宋" w:eastAsia="仿宋" w:cs="仿宋"/>
        </w:rPr>
      </w:pPr>
    </w:p>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T Xihei">
    <w:altName w:val="宋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pict>
        <v:shape id="Text Box 1025" o:spid="_x0000_s4097"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UOo8tEAAAADAQAADwAAAAAA&#10;AAABACAAAAAiAAAAZHJzL2Rvd25yZXYueG1sUEsBAhQAFAAAAAgAh07iQKUO8LfhAQAAtgMAAA4A&#10;AAAAAAAAAQAgAAAAIAEAAGRycy9lMm9Eb2MueG1sUEsFBgAAAAAGAAYAWQEAAHMFAAAAAA==&#10;">
          <v:path/>
          <v:fill on="f" focussize="0,0"/>
          <v:stroke on="f" joinstyle="miter"/>
          <v:imagedata o:title=""/>
          <o:lock v:ext="edit"/>
          <v:textbox inset="0mm,0mm,0mm,0mm" style="mso-fit-shape-to-text:t;">
            <w:txbxContent>
              <w:p>
                <w:pPr>
                  <w:pStyle w:val="18"/>
                </w:pPr>
                <w:r>
                  <w:rPr>
                    <w:rFonts w:hint="eastAsia"/>
                  </w:rPr>
                  <w:t>第</w:t>
                </w:r>
                <w:r>
                  <w:fldChar w:fldCharType="begin"/>
                </w:r>
                <w:r>
                  <w:instrText xml:space="preserve"> PAGE  \* MERGEFORMAT </w:instrText>
                </w:r>
                <w:r>
                  <w:fldChar w:fldCharType="separate"/>
                </w:r>
                <w:r>
                  <w:t>6</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2"/>
        <w:rFonts w:cs="Arial"/>
        <w:sz w:val="18"/>
        <w:szCs w:val="21"/>
      </w:rPr>
    </w:pPr>
    <w:r>
      <w:rPr>
        <w:rStyle w:val="32"/>
        <w:rFonts w:cs="Arial"/>
        <w:sz w:val="18"/>
        <w:szCs w:val="21"/>
      </w:rPr>
      <w:fldChar w:fldCharType="begin"/>
    </w:r>
    <w:r>
      <w:rPr>
        <w:rStyle w:val="32"/>
        <w:rFonts w:cs="Arial"/>
        <w:sz w:val="18"/>
        <w:szCs w:val="21"/>
      </w:rPr>
      <w:instrText xml:space="preserve">PAGE  </w:instrText>
    </w:r>
    <w:r>
      <w:rPr>
        <w:rStyle w:val="32"/>
        <w:rFonts w:cs="Arial"/>
        <w:sz w:val="18"/>
        <w:szCs w:val="21"/>
      </w:rP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rPr>
        <w:rFonts w:ascii="??_GB2312" w:eastAsia="Times New Roman"/>
      </w:rPr>
      <w:t>第</w:t>
    </w:r>
    <w:r>
      <w:rPr>
        <w:rFonts w:ascii="??_GB2312" w:eastAsia="Times New Roman"/>
      </w:rPr>
      <w:fldChar w:fldCharType="begin"/>
    </w:r>
    <w:r>
      <w:rPr>
        <w:rFonts w:ascii="??_GB2312" w:eastAsia="Times New Roman"/>
      </w:rPr>
      <w:instrText xml:space="preserve"> PAGE </w:instrText>
    </w:r>
    <w:r>
      <w:rPr>
        <w:rFonts w:ascii="??_GB2312" w:eastAsia="Times New Roman"/>
      </w:rPr>
      <w:fldChar w:fldCharType="separate"/>
    </w:r>
    <w:r>
      <w:rPr>
        <w:rFonts w:ascii="??_GB2312" w:eastAsia="Times New Roman"/>
      </w:rPr>
      <w:t>1</w:t>
    </w:r>
    <w:r>
      <w:rPr>
        <w:rFonts w:ascii="??_GB2312" w:eastAsia="Times New Roman"/>
      </w:rPr>
      <w:fldChar w:fldCharType="end"/>
    </w:r>
    <w:r>
      <w:rPr>
        <w:rFonts w:ascii="??_GB2312" w:eastAsia="Times New Roman"/>
      </w:rPr>
      <w:t>页共</w:t>
    </w:r>
    <w:r>
      <w:rPr>
        <w:rFonts w:ascii="??_GB2312" w:eastAsia="Times New Roman"/>
      </w:rPr>
      <w:fldChar w:fldCharType="begin"/>
    </w:r>
    <w:r>
      <w:rPr>
        <w:rFonts w:ascii="??_GB2312" w:eastAsia="Times New Roman"/>
      </w:rPr>
      <w:instrText xml:space="preserve"> NUMPAGES </w:instrText>
    </w:r>
    <w:r>
      <w:rPr>
        <w:rFonts w:ascii="??_GB2312" w:eastAsia="Times New Roman"/>
      </w:rPr>
      <w:fldChar w:fldCharType="separate"/>
    </w:r>
    <w:r>
      <w:rPr>
        <w:rFonts w:ascii="??_GB2312" w:eastAsia="Times New Roman"/>
      </w:rPr>
      <w:t>49</w:t>
    </w:r>
    <w:r>
      <w:rPr>
        <w:rFonts w:ascii="??_GB2312" w:eastAsia="Times New Roman"/>
      </w:rPr>
      <w:fldChar w:fldCharType="end"/>
    </w:r>
    <w:r>
      <w:rPr>
        <w:rFonts w:ascii="??_GB2312" w:eastAsia="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jc w:val="both"/>
      <w:rPr>
        <w:rFonts w:ascii="??_GB2312" w:eastAsia="Times New Roman"/>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ascii="宋体" w:hAnsi="宋体" w:cs="宋体"/>
        <w:i/>
      </w:rPr>
      <w:t>绍兴市政府采购公开招标文件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91"/>
      <w:lvlText w:val="%1."/>
      <w:lvlJc w:val="left"/>
      <w:pPr>
        <w:tabs>
          <w:tab w:val="left" w:pos="1200"/>
        </w:tabs>
        <w:ind w:left="1200" w:leftChars="400" w:hanging="360" w:hangingChars="200"/>
      </w:pPr>
    </w:lvl>
  </w:abstractNum>
  <w:abstractNum w:abstractNumId="1">
    <w:nsid w:val="09511553"/>
    <w:multiLevelType w:val="singleLevel"/>
    <w:tmpl w:val="09511553"/>
    <w:lvl w:ilvl="0" w:tentative="0">
      <w:start w:val="1"/>
      <w:numFmt w:val="japaneseCounting"/>
      <w:lvlText w:val="（%1）"/>
      <w:lvlJc w:val="left"/>
      <w:pPr>
        <w:tabs>
          <w:tab w:val="left" w:pos="1305"/>
        </w:tabs>
        <w:ind w:left="1305" w:hanging="825"/>
      </w:pPr>
      <w:rPr>
        <w:rFonts w:hint="eastAsia"/>
      </w:rPr>
    </w:lvl>
  </w:abstractNum>
  <w:abstractNum w:abstractNumId="2">
    <w:nsid w:val="5A02C129"/>
    <w:multiLevelType w:val="singleLevel"/>
    <w:tmpl w:val="5A02C129"/>
    <w:lvl w:ilvl="0" w:tentative="0">
      <w:start w:val="1"/>
      <w:numFmt w:val="decimal"/>
      <w:pStyle w:val="7"/>
      <w:lvlText w:val="%1."/>
      <w:lvlJc w:val="left"/>
      <w:pPr>
        <w:tabs>
          <w:tab w:val="left" w:pos="780"/>
        </w:tabs>
        <w:ind w:left="780" w:hanging="360"/>
      </w:pPr>
      <w:rPr>
        <w:rFonts w:cs="Times New Roman"/>
      </w:rPr>
    </w:lvl>
  </w:abstractNum>
  <w:abstractNum w:abstractNumId="3">
    <w:nsid w:val="5A02C13F"/>
    <w:multiLevelType w:val="singleLevel"/>
    <w:tmpl w:val="5A02C13F"/>
    <w:lvl w:ilvl="0" w:tentative="0">
      <w:start w:val="1"/>
      <w:numFmt w:val="decimal"/>
      <w:pStyle w:val="8"/>
      <w:lvlText w:val="%1."/>
      <w:lvlJc w:val="left"/>
      <w:pPr>
        <w:tabs>
          <w:tab w:val="left" w:pos="360"/>
        </w:tabs>
        <w:ind w:left="360" w:hanging="360"/>
      </w:pPr>
      <w:rPr>
        <w:rFonts w:cs="Times New Roman"/>
      </w:rPr>
    </w:lvl>
  </w:abstractNum>
  <w:abstractNum w:abstractNumId="4">
    <w:nsid w:val="5A02C160"/>
    <w:multiLevelType w:val="singleLevel"/>
    <w:tmpl w:val="5A02C160"/>
    <w:lvl w:ilvl="0" w:tentative="0">
      <w:start w:val="1"/>
      <w:numFmt w:val="decimal"/>
      <w:pStyle w:val="13"/>
      <w:lvlText w:val="%1."/>
      <w:lvlJc w:val="left"/>
      <w:pPr>
        <w:tabs>
          <w:tab w:val="left" w:pos="1200"/>
        </w:tabs>
        <w:ind w:left="1200" w:hanging="360"/>
      </w:pPr>
      <w:rPr>
        <w:rFonts w:cs="Times New Roman"/>
      </w:rPr>
    </w:lvl>
  </w:abstractNum>
  <w:abstractNum w:abstractNumId="5">
    <w:nsid w:val="5CB017FC"/>
    <w:multiLevelType w:val="multilevel"/>
    <w:tmpl w:val="5CB017FC"/>
    <w:lvl w:ilvl="0" w:tentative="0">
      <w:start w:val="1"/>
      <w:numFmt w:val="decimal"/>
      <w:pStyle w:val="3"/>
      <w:suff w:val="space"/>
      <w:lvlText w:val="第 %1 章"/>
      <w:lvlJc w:val="left"/>
      <w:pPr>
        <w:ind w:left="425" w:hanging="425"/>
      </w:pPr>
      <w:rPr>
        <w:rFonts w:hint="eastAsia" w:cs="Times New Roman"/>
      </w:rPr>
    </w:lvl>
    <w:lvl w:ilvl="1" w:tentative="0">
      <w:start w:val="1"/>
      <w:numFmt w:val="decimal"/>
      <w:lvlText w:val="%1.%2 "/>
      <w:lvlJc w:val="left"/>
      <w:pPr>
        <w:tabs>
          <w:tab w:val="left" w:pos="1145"/>
        </w:tabs>
        <w:ind w:left="992" w:hanging="567"/>
      </w:pPr>
      <w:rPr>
        <w:rFonts w:hint="eastAsia" w:cs="Times New Roman"/>
      </w:rPr>
    </w:lvl>
    <w:lvl w:ilvl="2" w:tentative="0">
      <w:start w:val="1"/>
      <w:numFmt w:val="decimal"/>
      <w:lvlText w:val="〔%3〕、"/>
      <w:lvlJc w:val="left"/>
      <w:pPr>
        <w:tabs>
          <w:tab w:val="left" w:pos="2651"/>
        </w:tabs>
        <w:ind w:left="1418" w:hanging="567"/>
      </w:pPr>
      <w:rPr>
        <w:rFonts w:hint="eastAsia" w:cs="Times New Roman"/>
      </w:rPr>
    </w:lvl>
    <w:lvl w:ilvl="3" w:tentative="0">
      <w:start w:val="1"/>
      <w:numFmt w:val="none"/>
      <w:lvlText w:val=""/>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I5NTMwZGFjNDczMjJiMDRlZTE4MWZlNzMwNGYxMjcifQ=="/>
  </w:docVars>
  <w:rsids>
    <w:rsidRoot w:val="00AD18FF"/>
    <w:rsid w:val="000040C1"/>
    <w:rsid w:val="0002017B"/>
    <w:rsid w:val="0002428C"/>
    <w:rsid w:val="00030F1E"/>
    <w:rsid w:val="00040259"/>
    <w:rsid w:val="00051731"/>
    <w:rsid w:val="00055CDF"/>
    <w:rsid w:val="0006767A"/>
    <w:rsid w:val="00067735"/>
    <w:rsid w:val="00080F79"/>
    <w:rsid w:val="000813EC"/>
    <w:rsid w:val="00093879"/>
    <w:rsid w:val="000A1955"/>
    <w:rsid w:val="000C2576"/>
    <w:rsid w:val="000C38DF"/>
    <w:rsid w:val="000D7240"/>
    <w:rsid w:val="000E3B50"/>
    <w:rsid w:val="000F70F7"/>
    <w:rsid w:val="00114135"/>
    <w:rsid w:val="0012034D"/>
    <w:rsid w:val="001311E4"/>
    <w:rsid w:val="00142376"/>
    <w:rsid w:val="0014517B"/>
    <w:rsid w:val="001559EF"/>
    <w:rsid w:val="00171C91"/>
    <w:rsid w:val="0017463C"/>
    <w:rsid w:val="001814F1"/>
    <w:rsid w:val="0018495F"/>
    <w:rsid w:val="001A1325"/>
    <w:rsid w:val="001A687C"/>
    <w:rsid w:val="001A7144"/>
    <w:rsid w:val="001B3B8E"/>
    <w:rsid w:val="001D1DA3"/>
    <w:rsid w:val="001E5FDC"/>
    <w:rsid w:val="001E78A2"/>
    <w:rsid w:val="001F02A1"/>
    <w:rsid w:val="00217753"/>
    <w:rsid w:val="00220DF0"/>
    <w:rsid w:val="002322BF"/>
    <w:rsid w:val="0023264D"/>
    <w:rsid w:val="002476B8"/>
    <w:rsid w:val="00262448"/>
    <w:rsid w:val="002643C8"/>
    <w:rsid w:val="00273B10"/>
    <w:rsid w:val="00275656"/>
    <w:rsid w:val="00294D3C"/>
    <w:rsid w:val="002A2838"/>
    <w:rsid w:val="002A2E37"/>
    <w:rsid w:val="002B54E5"/>
    <w:rsid w:val="002B67ED"/>
    <w:rsid w:val="002B6E84"/>
    <w:rsid w:val="002B77DD"/>
    <w:rsid w:val="002C0AB1"/>
    <w:rsid w:val="002F25A8"/>
    <w:rsid w:val="0031163B"/>
    <w:rsid w:val="00330C22"/>
    <w:rsid w:val="003403EB"/>
    <w:rsid w:val="003411E7"/>
    <w:rsid w:val="00345DE3"/>
    <w:rsid w:val="003542AC"/>
    <w:rsid w:val="00387522"/>
    <w:rsid w:val="003A2766"/>
    <w:rsid w:val="003A5C0F"/>
    <w:rsid w:val="003B2510"/>
    <w:rsid w:val="003B25FB"/>
    <w:rsid w:val="003B5CB4"/>
    <w:rsid w:val="003C5DF7"/>
    <w:rsid w:val="003D237E"/>
    <w:rsid w:val="003D2443"/>
    <w:rsid w:val="003F0B46"/>
    <w:rsid w:val="003F5CF0"/>
    <w:rsid w:val="00412A3B"/>
    <w:rsid w:val="0043244B"/>
    <w:rsid w:val="00440162"/>
    <w:rsid w:val="00455DAB"/>
    <w:rsid w:val="00460585"/>
    <w:rsid w:val="00465752"/>
    <w:rsid w:val="00467496"/>
    <w:rsid w:val="00467DC5"/>
    <w:rsid w:val="004706A2"/>
    <w:rsid w:val="00481099"/>
    <w:rsid w:val="0048467F"/>
    <w:rsid w:val="0048770F"/>
    <w:rsid w:val="004B065D"/>
    <w:rsid w:val="004C0A50"/>
    <w:rsid w:val="004C27D1"/>
    <w:rsid w:val="004D122A"/>
    <w:rsid w:val="004D6606"/>
    <w:rsid w:val="004E47C3"/>
    <w:rsid w:val="004F2C71"/>
    <w:rsid w:val="004F3245"/>
    <w:rsid w:val="0050684D"/>
    <w:rsid w:val="005117F3"/>
    <w:rsid w:val="005213B8"/>
    <w:rsid w:val="0052572A"/>
    <w:rsid w:val="00545306"/>
    <w:rsid w:val="00547532"/>
    <w:rsid w:val="00566429"/>
    <w:rsid w:val="00583589"/>
    <w:rsid w:val="00590683"/>
    <w:rsid w:val="005A4AFA"/>
    <w:rsid w:val="005A64B3"/>
    <w:rsid w:val="005C0BB4"/>
    <w:rsid w:val="00602260"/>
    <w:rsid w:val="006313C5"/>
    <w:rsid w:val="00636FED"/>
    <w:rsid w:val="00637621"/>
    <w:rsid w:val="006418DD"/>
    <w:rsid w:val="006451AB"/>
    <w:rsid w:val="006543AB"/>
    <w:rsid w:val="00663D9D"/>
    <w:rsid w:val="006843A0"/>
    <w:rsid w:val="00691C45"/>
    <w:rsid w:val="006940CC"/>
    <w:rsid w:val="006A4D37"/>
    <w:rsid w:val="006B047E"/>
    <w:rsid w:val="006D2193"/>
    <w:rsid w:val="006E080D"/>
    <w:rsid w:val="006F5A9E"/>
    <w:rsid w:val="007030D1"/>
    <w:rsid w:val="00706826"/>
    <w:rsid w:val="00723CE8"/>
    <w:rsid w:val="00741A2B"/>
    <w:rsid w:val="00762D7F"/>
    <w:rsid w:val="00766BFA"/>
    <w:rsid w:val="0078125A"/>
    <w:rsid w:val="00786629"/>
    <w:rsid w:val="007A150E"/>
    <w:rsid w:val="007B3644"/>
    <w:rsid w:val="007C085E"/>
    <w:rsid w:val="007C3048"/>
    <w:rsid w:val="007D3ADA"/>
    <w:rsid w:val="007E192A"/>
    <w:rsid w:val="007E3668"/>
    <w:rsid w:val="007E571E"/>
    <w:rsid w:val="007F3B1E"/>
    <w:rsid w:val="00801A53"/>
    <w:rsid w:val="0082182E"/>
    <w:rsid w:val="00825E11"/>
    <w:rsid w:val="00851A0E"/>
    <w:rsid w:val="00851D0E"/>
    <w:rsid w:val="00851E94"/>
    <w:rsid w:val="008702F4"/>
    <w:rsid w:val="00872AA9"/>
    <w:rsid w:val="00884208"/>
    <w:rsid w:val="0089216A"/>
    <w:rsid w:val="008A197E"/>
    <w:rsid w:val="008A7E46"/>
    <w:rsid w:val="008D1D22"/>
    <w:rsid w:val="008D38D9"/>
    <w:rsid w:val="008D6072"/>
    <w:rsid w:val="008D6DA2"/>
    <w:rsid w:val="00923FCF"/>
    <w:rsid w:val="00937337"/>
    <w:rsid w:val="00945D15"/>
    <w:rsid w:val="00950791"/>
    <w:rsid w:val="00955273"/>
    <w:rsid w:val="00957F9C"/>
    <w:rsid w:val="00962E86"/>
    <w:rsid w:val="009660EE"/>
    <w:rsid w:val="00987603"/>
    <w:rsid w:val="009A4CEF"/>
    <w:rsid w:val="009C76A2"/>
    <w:rsid w:val="009D2FED"/>
    <w:rsid w:val="009E0533"/>
    <w:rsid w:val="00A1598B"/>
    <w:rsid w:val="00A16944"/>
    <w:rsid w:val="00A17F42"/>
    <w:rsid w:val="00A27EBF"/>
    <w:rsid w:val="00A30EAA"/>
    <w:rsid w:val="00A41BE4"/>
    <w:rsid w:val="00A56A1E"/>
    <w:rsid w:val="00A63825"/>
    <w:rsid w:val="00A63FBA"/>
    <w:rsid w:val="00A67091"/>
    <w:rsid w:val="00A831F9"/>
    <w:rsid w:val="00A86515"/>
    <w:rsid w:val="00A929F0"/>
    <w:rsid w:val="00A95926"/>
    <w:rsid w:val="00AA527A"/>
    <w:rsid w:val="00AB3AF5"/>
    <w:rsid w:val="00AD0587"/>
    <w:rsid w:val="00AD18FF"/>
    <w:rsid w:val="00AD270F"/>
    <w:rsid w:val="00AE1493"/>
    <w:rsid w:val="00AE58F9"/>
    <w:rsid w:val="00AE6A3D"/>
    <w:rsid w:val="00B01CF7"/>
    <w:rsid w:val="00B1333D"/>
    <w:rsid w:val="00B22626"/>
    <w:rsid w:val="00B251FC"/>
    <w:rsid w:val="00B63DE9"/>
    <w:rsid w:val="00B71876"/>
    <w:rsid w:val="00B76EC0"/>
    <w:rsid w:val="00BA30DB"/>
    <w:rsid w:val="00BD1888"/>
    <w:rsid w:val="00C030AC"/>
    <w:rsid w:val="00C207BF"/>
    <w:rsid w:val="00C249E6"/>
    <w:rsid w:val="00C5693F"/>
    <w:rsid w:val="00C60D63"/>
    <w:rsid w:val="00C7051D"/>
    <w:rsid w:val="00C750A5"/>
    <w:rsid w:val="00C85041"/>
    <w:rsid w:val="00C90C86"/>
    <w:rsid w:val="00C94F88"/>
    <w:rsid w:val="00CB14BF"/>
    <w:rsid w:val="00CB3AAD"/>
    <w:rsid w:val="00CB4467"/>
    <w:rsid w:val="00CC5263"/>
    <w:rsid w:val="00CE39C0"/>
    <w:rsid w:val="00D036B1"/>
    <w:rsid w:val="00D23DF7"/>
    <w:rsid w:val="00D5768B"/>
    <w:rsid w:val="00D95393"/>
    <w:rsid w:val="00D9689D"/>
    <w:rsid w:val="00D96BD9"/>
    <w:rsid w:val="00DA2B91"/>
    <w:rsid w:val="00DA5951"/>
    <w:rsid w:val="00DA73D0"/>
    <w:rsid w:val="00DC556F"/>
    <w:rsid w:val="00DD1F2E"/>
    <w:rsid w:val="00E00997"/>
    <w:rsid w:val="00E02CE4"/>
    <w:rsid w:val="00E4050A"/>
    <w:rsid w:val="00E60A3E"/>
    <w:rsid w:val="00E62AFA"/>
    <w:rsid w:val="00E710CD"/>
    <w:rsid w:val="00E76BEC"/>
    <w:rsid w:val="00E81842"/>
    <w:rsid w:val="00EA43CE"/>
    <w:rsid w:val="00EB2D90"/>
    <w:rsid w:val="00ED3842"/>
    <w:rsid w:val="00EE1E41"/>
    <w:rsid w:val="00EF2119"/>
    <w:rsid w:val="00F56126"/>
    <w:rsid w:val="00F63769"/>
    <w:rsid w:val="00F854BD"/>
    <w:rsid w:val="00F962A2"/>
    <w:rsid w:val="00FA3C13"/>
    <w:rsid w:val="00FA6E82"/>
    <w:rsid w:val="00FB06C5"/>
    <w:rsid w:val="00FB28A6"/>
    <w:rsid w:val="00FB744B"/>
    <w:rsid w:val="00FC0CF4"/>
    <w:rsid w:val="00FC1A98"/>
    <w:rsid w:val="00FC3D34"/>
    <w:rsid w:val="00FD25D7"/>
    <w:rsid w:val="00FD729F"/>
    <w:rsid w:val="00FE7019"/>
    <w:rsid w:val="00FF20E1"/>
    <w:rsid w:val="01073442"/>
    <w:rsid w:val="0135256E"/>
    <w:rsid w:val="017F0419"/>
    <w:rsid w:val="01BF0B00"/>
    <w:rsid w:val="01F614C5"/>
    <w:rsid w:val="02014D7C"/>
    <w:rsid w:val="0202557A"/>
    <w:rsid w:val="02455361"/>
    <w:rsid w:val="025D66F4"/>
    <w:rsid w:val="026B7D9D"/>
    <w:rsid w:val="02B0326C"/>
    <w:rsid w:val="02E03D80"/>
    <w:rsid w:val="02FF6323"/>
    <w:rsid w:val="03166C95"/>
    <w:rsid w:val="03297D3C"/>
    <w:rsid w:val="032C551E"/>
    <w:rsid w:val="033742BA"/>
    <w:rsid w:val="0352039E"/>
    <w:rsid w:val="0432047D"/>
    <w:rsid w:val="044736CF"/>
    <w:rsid w:val="04A37EB2"/>
    <w:rsid w:val="04AB653B"/>
    <w:rsid w:val="04BB2CB1"/>
    <w:rsid w:val="04CE269C"/>
    <w:rsid w:val="052D2EBC"/>
    <w:rsid w:val="05306016"/>
    <w:rsid w:val="05B40EB1"/>
    <w:rsid w:val="05B75E5D"/>
    <w:rsid w:val="06E4135A"/>
    <w:rsid w:val="07DA186C"/>
    <w:rsid w:val="07E6572B"/>
    <w:rsid w:val="084E3C8A"/>
    <w:rsid w:val="08540933"/>
    <w:rsid w:val="08C922E5"/>
    <w:rsid w:val="08DC6D2E"/>
    <w:rsid w:val="08E27460"/>
    <w:rsid w:val="08FA3C1C"/>
    <w:rsid w:val="096E60D4"/>
    <w:rsid w:val="097A3B63"/>
    <w:rsid w:val="09E609C7"/>
    <w:rsid w:val="0A0A25D7"/>
    <w:rsid w:val="0A87091C"/>
    <w:rsid w:val="0AE4224C"/>
    <w:rsid w:val="0B3869A1"/>
    <w:rsid w:val="0B637A3A"/>
    <w:rsid w:val="0B9713AA"/>
    <w:rsid w:val="0BF4331C"/>
    <w:rsid w:val="0CA576D5"/>
    <w:rsid w:val="0D8B1A36"/>
    <w:rsid w:val="0D917941"/>
    <w:rsid w:val="0DD1638B"/>
    <w:rsid w:val="0DD31BAC"/>
    <w:rsid w:val="0E03402C"/>
    <w:rsid w:val="0E45263B"/>
    <w:rsid w:val="0EBE7853"/>
    <w:rsid w:val="0ED21131"/>
    <w:rsid w:val="0EE1261E"/>
    <w:rsid w:val="0F6303AF"/>
    <w:rsid w:val="104D6387"/>
    <w:rsid w:val="109C1626"/>
    <w:rsid w:val="10B51F0B"/>
    <w:rsid w:val="10C92ED0"/>
    <w:rsid w:val="10F654D7"/>
    <w:rsid w:val="114664CC"/>
    <w:rsid w:val="11564EC4"/>
    <w:rsid w:val="11B07BD6"/>
    <w:rsid w:val="11CB3B70"/>
    <w:rsid w:val="11D91565"/>
    <w:rsid w:val="12512DB5"/>
    <w:rsid w:val="125750F6"/>
    <w:rsid w:val="127542AA"/>
    <w:rsid w:val="127C00DF"/>
    <w:rsid w:val="12F15FC0"/>
    <w:rsid w:val="13882F60"/>
    <w:rsid w:val="13AD3C35"/>
    <w:rsid w:val="14685E9F"/>
    <w:rsid w:val="149C53ED"/>
    <w:rsid w:val="14A17E3B"/>
    <w:rsid w:val="15284EC5"/>
    <w:rsid w:val="1557079B"/>
    <w:rsid w:val="15661BF2"/>
    <w:rsid w:val="15C63B07"/>
    <w:rsid w:val="169F1555"/>
    <w:rsid w:val="16C339B4"/>
    <w:rsid w:val="17E0367B"/>
    <w:rsid w:val="181052C0"/>
    <w:rsid w:val="181C3543"/>
    <w:rsid w:val="183550AA"/>
    <w:rsid w:val="1887170A"/>
    <w:rsid w:val="18BE625E"/>
    <w:rsid w:val="18F64FE1"/>
    <w:rsid w:val="193E2714"/>
    <w:rsid w:val="196677BD"/>
    <w:rsid w:val="197531C2"/>
    <w:rsid w:val="197D38E8"/>
    <w:rsid w:val="198960E3"/>
    <w:rsid w:val="199F0C8D"/>
    <w:rsid w:val="19A857C8"/>
    <w:rsid w:val="19CE48C9"/>
    <w:rsid w:val="19D9355D"/>
    <w:rsid w:val="1A0C3B58"/>
    <w:rsid w:val="1A761D5D"/>
    <w:rsid w:val="1A8B44E3"/>
    <w:rsid w:val="1B1C0F2A"/>
    <w:rsid w:val="1B1F3315"/>
    <w:rsid w:val="1B5003E0"/>
    <w:rsid w:val="1B632526"/>
    <w:rsid w:val="1B765B82"/>
    <w:rsid w:val="1B850914"/>
    <w:rsid w:val="1B965EA6"/>
    <w:rsid w:val="1BAF3A8D"/>
    <w:rsid w:val="1BE62BE0"/>
    <w:rsid w:val="1C423A21"/>
    <w:rsid w:val="1D155786"/>
    <w:rsid w:val="1D2A7989"/>
    <w:rsid w:val="1DDC590A"/>
    <w:rsid w:val="1E335181"/>
    <w:rsid w:val="1E4A0365"/>
    <w:rsid w:val="1E6472D8"/>
    <w:rsid w:val="1EE4458C"/>
    <w:rsid w:val="1F374FCD"/>
    <w:rsid w:val="1F3A2255"/>
    <w:rsid w:val="1F730AFF"/>
    <w:rsid w:val="1F7362DF"/>
    <w:rsid w:val="1FB74E43"/>
    <w:rsid w:val="1FC70F79"/>
    <w:rsid w:val="1FD44083"/>
    <w:rsid w:val="1FDB4036"/>
    <w:rsid w:val="1FEA51B4"/>
    <w:rsid w:val="209A7B6A"/>
    <w:rsid w:val="20BE6021"/>
    <w:rsid w:val="214A627F"/>
    <w:rsid w:val="216D4A99"/>
    <w:rsid w:val="2173797E"/>
    <w:rsid w:val="218642C5"/>
    <w:rsid w:val="218B4CE9"/>
    <w:rsid w:val="22293AB1"/>
    <w:rsid w:val="22817789"/>
    <w:rsid w:val="22C65437"/>
    <w:rsid w:val="22F6541B"/>
    <w:rsid w:val="2304797C"/>
    <w:rsid w:val="231942C4"/>
    <w:rsid w:val="238A7522"/>
    <w:rsid w:val="23BE0F28"/>
    <w:rsid w:val="23CB6CF7"/>
    <w:rsid w:val="23E17F6F"/>
    <w:rsid w:val="24097FEF"/>
    <w:rsid w:val="242F6C37"/>
    <w:rsid w:val="249D31FD"/>
    <w:rsid w:val="24CA6AC2"/>
    <w:rsid w:val="24D972C4"/>
    <w:rsid w:val="24E92B02"/>
    <w:rsid w:val="252565D6"/>
    <w:rsid w:val="253216FD"/>
    <w:rsid w:val="256D4AB4"/>
    <w:rsid w:val="25A13331"/>
    <w:rsid w:val="25A57D1C"/>
    <w:rsid w:val="25F83321"/>
    <w:rsid w:val="26294A1D"/>
    <w:rsid w:val="26CC410D"/>
    <w:rsid w:val="277319EC"/>
    <w:rsid w:val="27903546"/>
    <w:rsid w:val="27E947C1"/>
    <w:rsid w:val="284D434A"/>
    <w:rsid w:val="287D0691"/>
    <w:rsid w:val="28C204EB"/>
    <w:rsid w:val="291E1DAE"/>
    <w:rsid w:val="292C3247"/>
    <w:rsid w:val="29DA29ED"/>
    <w:rsid w:val="2A523300"/>
    <w:rsid w:val="2AFA300F"/>
    <w:rsid w:val="2BAE3154"/>
    <w:rsid w:val="2BB712A2"/>
    <w:rsid w:val="2BD668A3"/>
    <w:rsid w:val="2C446861"/>
    <w:rsid w:val="2C805D67"/>
    <w:rsid w:val="2CA13E42"/>
    <w:rsid w:val="2CCB6EA3"/>
    <w:rsid w:val="2CD53511"/>
    <w:rsid w:val="2D2A61CE"/>
    <w:rsid w:val="2D80707D"/>
    <w:rsid w:val="2DE2488D"/>
    <w:rsid w:val="2E083145"/>
    <w:rsid w:val="2ED5521A"/>
    <w:rsid w:val="2ED619F5"/>
    <w:rsid w:val="2F642E82"/>
    <w:rsid w:val="2F9F3A1B"/>
    <w:rsid w:val="303B0264"/>
    <w:rsid w:val="304B5E64"/>
    <w:rsid w:val="30730BA2"/>
    <w:rsid w:val="30782F4C"/>
    <w:rsid w:val="3091213D"/>
    <w:rsid w:val="30ED1CE2"/>
    <w:rsid w:val="31AF70A8"/>
    <w:rsid w:val="31C6513D"/>
    <w:rsid w:val="32221E3A"/>
    <w:rsid w:val="325D75C6"/>
    <w:rsid w:val="32B05C3D"/>
    <w:rsid w:val="32B65903"/>
    <w:rsid w:val="32C97243"/>
    <w:rsid w:val="32D758ED"/>
    <w:rsid w:val="33012007"/>
    <w:rsid w:val="336B222A"/>
    <w:rsid w:val="33AD15F4"/>
    <w:rsid w:val="33F65183"/>
    <w:rsid w:val="34171ECD"/>
    <w:rsid w:val="343922BE"/>
    <w:rsid w:val="34842703"/>
    <w:rsid w:val="34A065F2"/>
    <w:rsid w:val="34C1184D"/>
    <w:rsid w:val="35653C58"/>
    <w:rsid w:val="359C1A91"/>
    <w:rsid w:val="36763EFF"/>
    <w:rsid w:val="37186BCB"/>
    <w:rsid w:val="37251CAF"/>
    <w:rsid w:val="37604E39"/>
    <w:rsid w:val="378D5403"/>
    <w:rsid w:val="37C02DA1"/>
    <w:rsid w:val="37D43997"/>
    <w:rsid w:val="37D43A15"/>
    <w:rsid w:val="38042CE6"/>
    <w:rsid w:val="38285B2C"/>
    <w:rsid w:val="383308E8"/>
    <w:rsid w:val="38387BC2"/>
    <w:rsid w:val="38A11738"/>
    <w:rsid w:val="38CF2698"/>
    <w:rsid w:val="38D4603A"/>
    <w:rsid w:val="38F76EE1"/>
    <w:rsid w:val="392E3D2B"/>
    <w:rsid w:val="3A4719E4"/>
    <w:rsid w:val="3A5F0E06"/>
    <w:rsid w:val="3B813EB2"/>
    <w:rsid w:val="3B9F74A8"/>
    <w:rsid w:val="3B9F7E10"/>
    <w:rsid w:val="3BA40ED7"/>
    <w:rsid w:val="3BE67851"/>
    <w:rsid w:val="3C025073"/>
    <w:rsid w:val="3C0D4D62"/>
    <w:rsid w:val="3C1842BA"/>
    <w:rsid w:val="3D0E3394"/>
    <w:rsid w:val="3D630415"/>
    <w:rsid w:val="3D8E407F"/>
    <w:rsid w:val="3E076F84"/>
    <w:rsid w:val="3E253FC4"/>
    <w:rsid w:val="3E66686E"/>
    <w:rsid w:val="3E781CBE"/>
    <w:rsid w:val="3ED367CA"/>
    <w:rsid w:val="3ED753CD"/>
    <w:rsid w:val="3EF13B78"/>
    <w:rsid w:val="3F184BE9"/>
    <w:rsid w:val="3F7E63D8"/>
    <w:rsid w:val="3F96657B"/>
    <w:rsid w:val="3FF45C27"/>
    <w:rsid w:val="404118C7"/>
    <w:rsid w:val="40574A41"/>
    <w:rsid w:val="40712EC2"/>
    <w:rsid w:val="40D9690C"/>
    <w:rsid w:val="411C237F"/>
    <w:rsid w:val="41364205"/>
    <w:rsid w:val="4175100A"/>
    <w:rsid w:val="41A3573D"/>
    <w:rsid w:val="41B4707C"/>
    <w:rsid w:val="41FE5A76"/>
    <w:rsid w:val="42111C5F"/>
    <w:rsid w:val="422A0C37"/>
    <w:rsid w:val="425B70E5"/>
    <w:rsid w:val="439462D0"/>
    <w:rsid w:val="43DD0189"/>
    <w:rsid w:val="43E828F9"/>
    <w:rsid w:val="43F07929"/>
    <w:rsid w:val="441559CB"/>
    <w:rsid w:val="44A620DD"/>
    <w:rsid w:val="44E52F1C"/>
    <w:rsid w:val="454753F6"/>
    <w:rsid w:val="45A339CF"/>
    <w:rsid w:val="45BB538B"/>
    <w:rsid w:val="4616050C"/>
    <w:rsid w:val="4624734D"/>
    <w:rsid w:val="47663221"/>
    <w:rsid w:val="48163222"/>
    <w:rsid w:val="48BF50A6"/>
    <w:rsid w:val="48C46876"/>
    <w:rsid w:val="48E66DBF"/>
    <w:rsid w:val="49246CEA"/>
    <w:rsid w:val="4964544D"/>
    <w:rsid w:val="498378F3"/>
    <w:rsid w:val="49E360AC"/>
    <w:rsid w:val="4A04095E"/>
    <w:rsid w:val="4A2E44F7"/>
    <w:rsid w:val="4A2F13CE"/>
    <w:rsid w:val="4A373AFF"/>
    <w:rsid w:val="4B3C70F3"/>
    <w:rsid w:val="4B923C7B"/>
    <w:rsid w:val="4BBE0F07"/>
    <w:rsid w:val="4BCD25AC"/>
    <w:rsid w:val="4BF23C29"/>
    <w:rsid w:val="4C66027B"/>
    <w:rsid w:val="4D000BB8"/>
    <w:rsid w:val="4D2764E4"/>
    <w:rsid w:val="4D4F434C"/>
    <w:rsid w:val="4D553076"/>
    <w:rsid w:val="4DA44E69"/>
    <w:rsid w:val="4DC16712"/>
    <w:rsid w:val="4DEB5E0D"/>
    <w:rsid w:val="4DED4C94"/>
    <w:rsid w:val="4E083898"/>
    <w:rsid w:val="4E26397C"/>
    <w:rsid w:val="4E34451F"/>
    <w:rsid w:val="4E363927"/>
    <w:rsid w:val="4E6E6100"/>
    <w:rsid w:val="4EA76E32"/>
    <w:rsid w:val="4EA90E17"/>
    <w:rsid w:val="4EF418A3"/>
    <w:rsid w:val="4F401E22"/>
    <w:rsid w:val="4F9153B3"/>
    <w:rsid w:val="4FB56A2C"/>
    <w:rsid w:val="4FF50BC0"/>
    <w:rsid w:val="504B2A65"/>
    <w:rsid w:val="50BB6A75"/>
    <w:rsid w:val="52521883"/>
    <w:rsid w:val="52C0259A"/>
    <w:rsid w:val="52CF0E54"/>
    <w:rsid w:val="52E96B17"/>
    <w:rsid w:val="52FE221E"/>
    <w:rsid w:val="53A129B1"/>
    <w:rsid w:val="53ED7088"/>
    <w:rsid w:val="54637050"/>
    <w:rsid w:val="55266A6A"/>
    <w:rsid w:val="55902CE3"/>
    <w:rsid w:val="55A42927"/>
    <w:rsid w:val="55CA2A66"/>
    <w:rsid w:val="55F527C9"/>
    <w:rsid w:val="56311879"/>
    <w:rsid w:val="564F4EBC"/>
    <w:rsid w:val="56B87238"/>
    <w:rsid w:val="571E2C5F"/>
    <w:rsid w:val="57351512"/>
    <w:rsid w:val="57CE1172"/>
    <w:rsid w:val="57EB5029"/>
    <w:rsid w:val="57F303AA"/>
    <w:rsid w:val="582710F0"/>
    <w:rsid w:val="584B359D"/>
    <w:rsid w:val="5863246B"/>
    <w:rsid w:val="588A53A7"/>
    <w:rsid w:val="58FE5995"/>
    <w:rsid w:val="595C082B"/>
    <w:rsid w:val="596D77D4"/>
    <w:rsid w:val="596E3097"/>
    <w:rsid w:val="59D720E7"/>
    <w:rsid w:val="59F56D5F"/>
    <w:rsid w:val="59FE758C"/>
    <w:rsid w:val="5A912606"/>
    <w:rsid w:val="5B14063F"/>
    <w:rsid w:val="5B217791"/>
    <w:rsid w:val="5B301B1F"/>
    <w:rsid w:val="5B7103BB"/>
    <w:rsid w:val="5BCD07FC"/>
    <w:rsid w:val="5BFF536B"/>
    <w:rsid w:val="5CEC747F"/>
    <w:rsid w:val="5D0A11E9"/>
    <w:rsid w:val="5D9A2ED9"/>
    <w:rsid w:val="5DC236EC"/>
    <w:rsid w:val="5DEB5E64"/>
    <w:rsid w:val="5EA2001B"/>
    <w:rsid w:val="5EBC322E"/>
    <w:rsid w:val="5F0266A3"/>
    <w:rsid w:val="5F232D5B"/>
    <w:rsid w:val="5F744292"/>
    <w:rsid w:val="5F93368A"/>
    <w:rsid w:val="5F952C60"/>
    <w:rsid w:val="5F98531B"/>
    <w:rsid w:val="5FD51C0C"/>
    <w:rsid w:val="602904FA"/>
    <w:rsid w:val="606129E7"/>
    <w:rsid w:val="60662262"/>
    <w:rsid w:val="60834DD2"/>
    <w:rsid w:val="60F431B9"/>
    <w:rsid w:val="60F8796B"/>
    <w:rsid w:val="610B35BB"/>
    <w:rsid w:val="61655791"/>
    <w:rsid w:val="618F11E9"/>
    <w:rsid w:val="61CD1945"/>
    <w:rsid w:val="620E2B02"/>
    <w:rsid w:val="624A22BB"/>
    <w:rsid w:val="62B65C75"/>
    <w:rsid w:val="633D3608"/>
    <w:rsid w:val="63487EAC"/>
    <w:rsid w:val="635349E5"/>
    <w:rsid w:val="63575F25"/>
    <w:rsid w:val="637F68CB"/>
    <w:rsid w:val="6399317B"/>
    <w:rsid w:val="63FE2657"/>
    <w:rsid w:val="64013D86"/>
    <w:rsid w:val="64031C4A"/>
    <w:rsid w:val="643A6EA0"/>
    <w:rsid w:val="64A17E2B"/>
    <w:rsid w:val="64A849CD"/>
    <w:rsid w:val="64A92738"/>
    <w:rsid w:val="64CF1F8E"/>
    <w:rsid w:val="64EC5A6B"/>
    <w:rsid w:val="650D77AD"/>
    <w:rsid w:val="653543EF"/>
    <w:rsid w:val="653666D1"/>
    <w:rsid w:val="65917E54"/>
    <w:rsid w:val="6597576B"/>
    <w:rsid w:val="65EA34A3"/>
    <w:rsid w:val="66090E80"/>
    <w:rsid w:val="6611701E"/>
    <w:rsid w:val="662E3989"/>
    <w:rsid w:val="664E5DEE"/>
    <w:rsid w:val="66BD3708"/>
    <w:rsid w:val="66E30B4F"/>
    <w:rsid w:val="6723482A"/>
    <w:rsid w:val="674B5A6F"/>
    <w:rsid w:val="67B72F92"/>
    <w:rsid w:val="67FD2A7B"/>
    <w:rsid w:val="68210070"/>
    <w:rsid w:val="68BB3495"/>
    <w:rsid w:val="68D71849"/>
    <w:rsid w:val="68DB190B"/>
    <w:rsid w:val="68FB53DD"/>
    <w:rsid w:val="69634496"/>
    <w:rsid w:val="698538B8"/>
    <w:rsid w:val="69B03442"/>
    <w:rsid w:val="69E90B77"/>
    <w:rsid w:val="69F1162A"/>
    <w:rsid w:val="6A1331D9"/>
    <w:rsid w:val="6A315029"/>
    <w:rsid w:val="6AB1009A"/>
    <w:rsid w:val="6B8860DC"/>
    <w:rsid w:val="6BAE7000"/>
    <w:rsid w:val="6BB05959"/>
    <w:rsid w:val="6BD67C2C"/>
    <w:rsid w:val="6BF91AB9"/>
    <w:rsid w:val="6C5C04D5"/>
    <w:rsid w:val="6C874ED8"/>
    <w:rsid w:val="6C92010A"/>
    <w:rsid w:val="6CB13F20"/>
    <w:rsid w:val="6CCA6527"/>
    <w:rsid w:val="6D1E181B"/>
    <w:rsid w:val="6D496890"/>
    <w:rsid w:val="6D9B2320"/>
    <w:rsid w:val="6F572D08"/>
    <w:rsid w:val="6FB83CDB"/>
    <w:rsid w:val="6FD5142D"/>
    <w:rsid w:val="6FD548BE"/>
    <w:rsid w:val="6FD849FE"/>
    <w:rsid w:val="70853498"/>
    <w:rsid w:val="70B74C51"/>
    <w:rsid w:val="70FC7A0D"/>
    <w:rsid w:val="712F4D7E"/>
    <w:rsid w:val="713A67EE"/>
    <w:rsid w:val="71B96A44"/>
    <w:rsid w:val="71D613DB"/>
    <w:rsid w:val="720400C9"/>
    <w:rsid w:val="72074872"/>
    <w:rsid w:val="726562A7"/>
    <w:rsid w:val="7280707D"/>
    <w:rsid w:val="72BB4D4E"/>
    <w:rsid w:val="72BE4B83"/>
    <w:rsid w:val="73094A27"/>
    <w:rsid w:val="73200F6B"/>
    <w:rsid w:val="7366739F"/>
    <w:rsid w:val="741A5FF2"/>
    <w:rsid w:val="746A71CC"/>
    <w:rsid w:val="74715CA6"/>
    <w:rsid w:val="74BB1904"/>
    <w:rsid w:val="74D249BF"/>
    <w:rsid w:val="754358D4"/>
    <w:rsid w:val="75613FD7"/>
    <w:rsid w:val="75D626E8"/>
    <w:rsid w:val="75FF0A2F"/>
    <w:rsid w:val="761731E3"/>
    <w:rsid w:val="767F7FDC"/>
    <w:rsid w:val="76C837BC"/>
    <w:rsid w:val="76F66D3B"/>
    <w:rsid w:val="770563B7"/>
    <w:rsid w:val="77447E58"/>
    <w:rsid w:val="77DE40CB"/>
    <w:rsid w:val="781135E0"/>
    <w:rsid w:val="78305FF2"/>
    <w:rsid w:val="78694157"/>
    <w:rsid w:val="78BD3627"/>
    <w:rsid w:val="78FF382D"/>
    <w:rsid w:val="792E66F3"/>
    <w:rsid w:val="796203CB"/>
    <w:rsid w:val="79B44386"/>
    <w:rsid w:val="79EE6A68"/>
    <w:rsid w:val="7A3E7618"/>
    <w:rsid w:val="7A5717B0"/>
    <w:rsid w:val="7A704DEB"/>
    <w:rsid w:val="7AC245E7"/>
    <w:rsid w:val="7AE5282F"/>
    <w:rsid w:val="7AF6530B"/>
    <w:rsid w:val="7AF956FC"/>
    <w:rsid w:val="7B290DF5"/>
    <w:rsid w:val="7BFC6E88"/>
    <w:rsid w:val="7C003A54"/>
    <w:rsid w:val="7C373DB7"/>
    <w:rsid w:val="7C4228B4"/>
    <w:rsid w:val="7C5D47C4"/>
    <w:rsid w:val="7C6B5BDD"/>
    <w:rsid w:val="7CF851FF"/>
    <w:rsid w:val="7D6E0D92"/>
    <w:rsid w:val="7D842440"/>
    <w:rsid w:val="7DA94ABE"/>
    <w:rsid w:val="7E073573"/>
    <w:rsid w:val="7E3B60DE"/>
    <w:rsid w:val="7E7271F8"/>
    <w:rsid w:val="7E731FFB"/>
    <w:rsid w:val="7EDC6139"/>
    <w:rsid w:val="7EEE135D"/>
    <w:rsid w:val="7F290C8A"/>
    <w:rsid w:val="7F3C32C9"/>
    <w:rsid w:val="7F57487B"/>
    <w:rsid w:val="7FA239C6"/>
    <w:rsid w:val="7FB7288D"/>
    <w:rsid w:val="7FB73A06"/>
    <w:rsid w:val="7FC24B9F"/>
    <w:rsid w:val="7FC56966"/>
    <w:rsid w:val="7FDA4D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nhideWhenUsed="0" w:uiPriority="0"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name="Body Text Indent 2" w:locked="1"/>
    <w:lsdException w:qFormat="1" w:unhideWhenUsed="0" w:uiPriority="0" w:semiHidden="0"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ocked="1"/>
    <w:lsdException w:qFormat="1" w:unhideWhenUsed="0" w:uiPriority="99" w:semiHidden="0" w:name="Table Grid"/>
    <w:lsdException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locked/>
    <w:uiPriority w:val="99"/>
    <w:pPr>
      <w:keepNext/>
      <w:keepLines/>
      <w:numPr>
        <w:ilvl w:val="0"/>
        <w:numId w:val="1"/>
      </w:numPr>
      <w:spacing w:before="340" w:after="330" w:line="578" w:lineRule="auto"/>
      <w:outlineLvl w:val="0"/>
    </w:pPr>
    <w:rPr>
      <w:rFonts w:eastAsia="仿宋_GB2312"/>
      <w:b/>
      <w:kern w:val="44"/>
      <w:sz w:val="44"/>
      <w:szCs w:val="20"/>
    </w:rPr>
  </w:style>
  <w:style w:type="paragraph" w:styleId="4">
    <w:name w:val="heading 2"/>
    <w:basedOn w:val="1"/>
    <w:next w:val="1"/>
    <w:link w:val="38"/>
    <w:qFormat/>
    <w:uiPriority w:val="99"/>
    <w:pPr>
      <w:keepNext/>
      <w:keepLines/>
      <w:spacing w:before="260" w:after="260" w:line="416" w:lineRule="auto"/>
      <w:outlineLvl w:val="1"/>
    </w:pPr>
    <w:rPr>
      <w:rFonts w:ascii="Calibri Light" w:hAnsi="Calibri Light"/>
      <w:b/>
      <w:bCs/>
      <w:kern w:val="0"/>
      <w:sz w:val="32"/>
      <w:szCs w:val="32"/>
    </w:rPr>
  </w:style>
  <w:style w:type="paragraph" w:styleId="5">
    <w:name w:val="heading 3"/>
    <w:basedOn w:val="1"/>
    <w:next w:val="1"/>
    <w:link w:val="39"/>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40"/>
    <w:qFormat/>
    <w:uiPriority w:val="99"/>
    <w:pPr>
      <w:keepNext/>
      <w:keepLines/>
      <w:spacing w:before="280" w:after="290" w:line="376" w:lineRule="auto"/>
      <w:outlineLvl w:val="3"/>
    </w:pPr>
    <w:rPr>
      <w:rFonts w:ascii="Calibri Light" w:hAnsi="Calibri Light"/>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4"/>
    <w:qFormat/>
    <w:uiPriority w:val="99"/>
    <w:pPr>
      <w:widowControl/>
      <w:snapToGrid w:val="0"/>
      <w:spacing w:line="480" w:lineRule="exact"/>
      <w:ind w:firstLine="567"/>
    </w:pPr>
    <w:rPr>
      <w:rFonts w:ascii="宋体"/>
      <w:snapToGrid w:val="0"/>
      <w:color w:val="000000"/>
      <w:kern w:val="28"/>
      <w:sz w:val="28"/>
      <w:szCs w:val="20"/>
    </w:rPr>
  </w:style>
  <w:style w:type="paragraph" w:styleId="7">
    <w:name w:val="List Number 2"/>
    <w:basedOn w:val="1"/>
    <w:qFormat/>
    <w:uiPriority w:val="99"/>
    <w:pPr>
      <w:numPr>
        <w:ilvl w:val="0"/>
        <w:numId w:val="2"/>
      </w:numPr>
    </w:pPr>
  </w:style>
  <w:style w:type="paragraph" w:styleId="8">
    <w:name w:val="List Number"/>
    <w:basedOn w:val="1"/>
    <w:qFormat/>
    <w:uiPriority w:val="99"/>
    <w:pPr>
      <w:numPr>
        <w:ilvl w:val="0"/>
        <w:numId w:val="3"/>
      </w:numPr>
    </w:pPr>
  </w:style>
  <w:style w:type="paragraph" w:styleId="9">
    <w:name w:val="Document Map"/>
    <w:basedOn w:val="1"/>
    <w:link w:val="41"/>
    <w:semiHidden/>
    <w:qFormat/>
    <w:locked/>
    <w:uiPriority w:val="99"/>
    <w:pPr>
      <w:shd w:val="clear" w:color="auto" w:fill="000080"/>
      <w:adjustRightInd/>
    </w:pPr>
    <w:rPr>
      <w:rFonts w:ascii="宋体"/>
      <w:sz w:val="18"/>
      <w:szCs w:val="18"/>
    </w:rPr>
  </w:style>
  <w:style w:type="paragraph" w:styleId="10">
    <w:name w:val="annotation text"/>
    <w:basedOn w:val="1"/>
    <w:link w:val="42"/>
    <w:qFormat/>
    <w:uiPriority w:val="99"/>
    <w:pPr>
      <w:adjustRightInd/>
      <w:jc w:val="left"/>
    </w:pPr>
    <w:rPr>
      <w:kern w:val="0"/>
      <w:sz w:val="24"/>
      <w:lang w:val="zh-CN"/>
    </w:rPr>
  </w:style>
  <w:style w:type="paragraph" w:styleId="11">
    <w:name w:val="Body Text"/>
    <w:basedOn w:val="1"/>
    <w:link w:val="43"/>
    <w:qFormat/>
    <w:locked/>
    <w:uiPriority w:val="99"/>
    <w:pPr>
      <w:spacing w:line="360" w:lineRule="auto"/>
    </w:pPr>
    <w:rPr>
      <w:rFonts w:eastAsia="仿宋_GB2312"/>
      <w:sz w:val="28"/>
    </w:rPr>
  </w:style>
  <w:style w:type="paragraph" w:styleId="12">
    <w:name w:val="Body Text Indent"/>
    <w:basedOn w:val="1"/>
    <w:next w:val="1"/>
    <w:link w:val="44"/>
    <w:qFormat/>
    <w:uiPriority w:val="99"/>
    <w:pPr>
      <w:spacing w:after="120"/>
      <w:ind w:left="420" w:leftChars="200"/>
    </w:pPr>
    <w:rPr>
      <w:kern w:val="0"/>
      <w:sz w:val="24"/>
    </w:rPr>
  </w:style>
  <w:style w:type="paragraph" w:styleId="13">
    <w:name w:val="List Number 3"/>
    <w:basedOn w:val="1"/>
    <w:qFormat/>
    <w:uiPriority w:val="99"/>
    <w:pPr>
      <w:numPr>
        <w:ilvl w:val="0"/>
        <w:numId w:val="4"/>
      </w:numPr>
    </w:pPr>
  </w:style>
  <w:style w:type="paragraph" w:styleId="14">
    <w:name w:val="Plain Text"/>
    <w:basedOn w:val="1"/>
    <w:link w:val="45"/>
    <w:qFormat/>
    <w:uiPriority w:val="99"/>
    <w:rPr>
      <w:rFonts w:ascii="宋体" w:hAnsi="Courier New"/>
      <w:kern w:val="0"/>
      <w:szCs w:val="20"/>
    </w:rPr>
  </w:style>
  <w:style w:type="paragraph" w:styleId="15">
    <w:name w:val="Date"/>
    <w:basedOn w:val="1"/>
    <w:next w:val="1"/>
    <w:link w:val="46"/>
    <w:qFormat/>
    <w:uiPriority w:val="99"/>
    <w:pPr>
      <w:ind w:left="100" w:leftChars="2500"/>
    </w:pPr>
    <w:rPr>
      <w:rFonts w:ascii="宋体"/>
      <w:kern w:val="0"/>
      <w:szCs w:val="20"/>
      <w:lang w:val="zh-CN"/>
    </w:rPr>
  </w:style>
  <w:style w:type="paragraph" w:styleId="16">
    <w:name w:val="Body Text Indent 2"/>
    <w:basedOn w:val="1"/>
    <w:link w:val="47"/>
    <w:semiHidden/>
    <w:qFormat/>
    <w:locked/>
    <w:uiPriority w:val="99"/>
    <w:pPr>
      <w:spacing w:after="120" w:line="480" w:lineRule="auto"/>
      <w:ind w:left="420" w:leftChars="200"/>
    </w:pPr>
  </w:style>
  <w:style w:type="paragraph" w:styleId="17">
    <w:name w:val="Balloon Text"/>
    <w:basedOn w:val="1"/>
    <w:link w:val="81"/>
    <w:semiHidden/>
    <w:qFormat/>
    <w:locked/>
    <w:uiPriority w:val="99"/>
    <w:rPr>
      <w:sz w:val="18"/>
      <w:szCs w:val="18"/>
    </w:rPr>
  </w:style>
  <w:style w:type="paragraph" w:styleId="18">
    <w:name w:val="footer"/>
    <w:basedOn w:val="1"/>
    <w:link w:val="48"/>
    <w:qFormat/>
    <w:uiPriority w:val="99"/>
    <w:pPr>
      <w:tabs>
        <w:tab w:val="center" w:pos="4153"/>
        <w:tab w:val="right" w:pos="8306"/>
      </w:tabs>
      <w:snapToGrid w:val="0"/>
      <w:jc w:val="left"/>
    </w:pPr>
    <w:rPr>
      <w:kern w:val="0"/>
      <w:sz w:val="18"/>
      <w:szCs w:val="18"/>
    </w:rPr>
  </w:style>
  <w:style w:type="paragraph" w:styleId="19">
    <w:name w:val="header"/>
    <w:basedOn w:val="1"/>
    <w:link w:val="53"/>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footnote text"/>
    <w:basedOn w:val="1"/>
    <w:qFormat/>
    <w:locked/>
    <w:uiPriority w:val="0"/>
    <w:pPr>
      <w:snapToGrid w:val="0"/>
      <w:jc w:val="left"/>
    </w:pPr>
    <w:rPr>
      <w:sz w:val="18"/>
    </w:rPr>
  </w:style>
  <w:style w:type="paragraph" w:styleId="21">
    <w:name w:val="Body Text Indent 3"/>
    <w:basedOn w:val="1"/>
    <w:qFormat/>
    <w:locked/>
    <w:uiPriority w:val="0"/>
    <w:pPr>
      <w:spacing w:after="120"/>
      <w:ind w:left="420" w:leftChars="200"/>
    </w:pPr>
    <w:rPr>
      <w:sz w:val="16"/>
      <w:szCs w:val="16"/>
    </w:rPr>
  </w:style>
  <w:style w:type="paragraph" w:styleId="22">
    <w:name w:val="Body Text 2"/>
    <w:basedOn w:val="1"/>
    <w:link w:val="50"/>
    <w:qFormat/>
    <w:uiPriority w:val="99"/>
    <w:pPr>
      <w:widowControl/>
      <w:spacing w:afterLines="50" w:line="216" w:lineRule="auto"/>
      <w:jc w:val="center"/>
    </w:pPr>
    <w:rPr>
      <w:kern w:val="0"/>
      <w:sz w:val="24"/>
    </w:rPr>
  </w:style>
  <w:style w:type="paragraph" w:styleId="23">
    <w:name w:val="HTML Preformatted"/>
    <w:basedOn w:val="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4">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link w:val="51"/>
    <w:qFormat/>
    <w:uiPriority w:val="99"/>
    <w:pPr>
      <w:spacing w:before="240" w:after="60"/>
      <w:jc w:val="center"/>
      <w:outlineLvl w:val="0"/>
    </w:pPr>
    <w:rPr>
      <w:rFonts w:ascii="Calibri Light" w:hAnsi="Calibri Light"/>
      <w:b/>
      <w:bCs/>
      <w:kern w:val="0"/>
      <w:sz w:val="32"/>
      <w:szCs w:val="32"/>
    </w:rPr>
  </w:style>
  <w:style w:type="paragraph" w:styleId="26">
    <w:name w:val="annotation subject"/>
    <w:basedOn w:val="10"/>
    <w:next w:val="10"/>
    <w:link w:val="52"/>
    <w:qFormat/>
    <w:uiPriority w:val="99"/>
    <w:pPr>
      <w:widowControl/>
      <w:spacing w:afterLines="50"/>
    </w:pPr>
    <w:rPr>
      <w:b/>
      <w:bCs/>
    </w:rPr>
  </w:style>
  <w:style w:type="paragraph" w:styleId="27">
    <w:name w:val="Body Text First Indent 2"/>
    <w:basedOn w:val="12"/>
    <w:semiHidden/>
    <w:unhideWhenUsed/>
    <w:qFormat/>
    <w:locked/>
    <w:uiPriority w:val="99"/>
    <w:pPr>
      <w:spacing w:after="120" w:line="240" w:lineRule="auto"/>
      <w:ind w:left="420" w:leftChars="200" w:firstLine="420" w:firstLineChars="200"/>
    </w:pPr>
    <w:rPr>
      <w:rFonts w:hint="default" w:ascii="Times New Roman" w:eastAsia="宋体"/>
      <w:sz w:val="21"/>
      <w:szCs w:val="24"/>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99"/>
    <w:rPr>
      <w:rFonts w:ascii="Arial" w:hAnsi="Arial" w:eastAsia="黑体" w:cs="Times New Roman"/>
      <w:snapToGrid w:val="0"/>
      <w:kern w:val="0"/>
      <w:sz w:val="21"/>
    </w:rPr>
  </w:style>
  <w:style w:type="character" w:styleId="33">
    <w:name w:val="FollowedHyperlink"/>
    <w:basedOn w:val="30"/>
    <w:qFormat/>
    <w:locked/>
    <w:uiPriority w:val="99"/>
    <w:rPr>
      <w:rFonts w:cs="Times New Roman"/>
      <w:color w:val="800080"/>
      <w:u w:val="none"/>
    </w:rPr>
  </w:style>
  <w:style w:type="character" w:styleId="34">
    <w:name w:val="Hyperlink"/>
    <w:basedOn w:val="30"/>
    <w:qFormat/>
    <w:uiPriority w:val="99"/>
    <w:rPr>
      <w:rFonts w:cs="Times New Roman"/>
      <w:color w:val="0000FF"/>
      <w:u w:val="single"/>
    </w:rPr>
  </w:style>
  <w:style w:type="character" w:styleId="35">
    <w:name w:val="annotation reference"/>
    <w:basedOn w:val="30"/>
    <w:semiHidden/>
    <w:qFormat/>
    <w:locked/>
    <w:uiPriority w:val="99"/>
    <w:rPr>
      <w:rFonts w:cs="Times New Roman"/>
      <w:sz w:val="21"/>
      <w:szCs w:val="21"/>
    </w:rPr>
  </w:style>
  <w:style w:type="paragraph" w:customStyle="1" w:styleId="36">
    <w:name w:val="首行缩进"/>
    <w:basedOn w:val="1"/>
    <w:qFormat/>
    <w:uiPriority w:val="99"/>
    <w:pPr>
      <w:spacing w:line="360" w:lineRule="auto"/>
      <w:ind w:firstLine="480" w:firstLineChars="200"/>
    </w:pPr>
    <w:rPr>
      <w:sz w:val="24"/>
      <w:szCs w:val="22"/>
      <w:lang w:val="zh-CN"/>
    </w:rPr>
  </w:style>
  <w:style w:type="character" w:customStyle="1" w:styleId="37">
    <w:name w:val="标题 1 Char"/>
    <w:basedOn w:val="30"/>
    <w:link w:val="3"/>
    <w:qFormat/>
    <w:locked/>
    <w:uiPriority w:val="99"/>
    <w:rPr>
      <w:rFonts w:eastAsia="仿宋_GB2312"/>
      <w:b/>
      <w:kern w:val="44"/>
      <w:sz w:val="44"/>
      <w:szCs w:val="20"/>
    </w:rPr>
  </w:style>
  <w:style w:type="character" w:customStyle="1" w:styleId="38">
    <w:name w:val="标题 2 Char"/>
    <w:basedOn w:val="30"/>
    <w:link w:val="4"/>
    <w:semiHidden/>
    <w:qFormat/>
    <w:locked/>
    <w:uiPriority w:val="99"/>
    <w:rPr>
      <w:rFonts w:ascii="Calibri Light" w:hAnsi="Calibri Light" w:eastAsia="宋体" w:cs="Times New Roman"/>
      <w:b/>
      <w:sz w:val="32"/>
    </w:rPr>
  </w:style>
  <w:style w:type="character" w:customStyle="1" w:styleId="39">
    <w:name w:val="标题 3 Char"/>
    <w:basedOn w:val="30"/>
    <w:link w:val="5"/>
    <w:semiHidden/>
    <w:qFormat/>
    <w:locked/>
    <w:uiPriority w:val="99"/>
    <w:rPr>
      <w:rFonts w:ascii="Times New Roman" w:hAnsi="Times New Roman" w:eastAsia="宋体" w:cs="Times New Roman"/>
      <w:b/>
      <w:sz w:val="32"/>
    </w:rPr>
  </w:style>
  <w:style w:type="character" w:customStyle="1" w:styleId="40">
    <w:name w:val="标题 4 Char"/>
    <w:basedOn w:val="30"/>
    <w:link w:val="6"/>
    <w:semiHidden/>
    <w:qFormat/>
    <w:locked/>
    <w:uiPriority w:val="99"/>
    <w:rPr>
      <w:rFonts w:ascii="Calibri Light" w:hAnsi="Calibri Light" w:eastAsia="宋体" w:cs="Times New Roman"/>
      <w:b/>
      <w:sz w:val="28"/>
    </w:rPr>
  </w:style>
  <w:style w:type="character" w:customStyle="1" w:styleId="41">
    <w:name w:val="文档结构图 Char1"/>
    <w:basedOn w:val="30"/>
    <w:link w:val="9"/>
    <w:semiHidden/>
    <w:qFormat/>
    <w:locked/>
    <w:uiPriority w:val="99"/>
    <w:rPr>
      <w:rFonts w:ascii="宋体" w:hAnsi="Times New Roman" w:cs="Times New Roman"/>
      <w:kern w:val="2"/>
      <w:sz w:val="18"/>
    </w:rPr>
  </w:style>
  <w:style w:type="character" w:customStyle="1" w:styleId="42">
    <w:name w:val="批注文字 Char"/>
    <w:basedOn w:val="30"/>
    <w:link w:val="10"/>
    <w:qFormat/>
    <w:locked/>
    <w:uiPriority w:val="99"/>
    <w:rPr>
      <w:rFonts w:ascii="Times New Roman" w:hAnsi="Times New Roman" w:eastAsia="宋体" w:cs="Times New Roman"/>
      <w:kern w:val="0"/>
      <w:sz w:val="24"/>
      <w:lang w:val="zh-CN" w:eastAsia="zh-CN"/>
    </w:rPr>
  </w:style>
  <w:style w:type="character" w:customStyle="1" w:styleId="43">
    <w:name w:val="正文文本 Char"/>
    <w:basedOn w:val="30"/>
    <w:link w:val="11"/>
    <w:semiHidden/>
    <w:qFormat/>
    <w:locked/>
    <w:uiPriority w:val="99"/>
    <w:rPr>
      <w:rFonts w:cs="Times New Roman"/>
      <w:sz w:val="24"/>
      <w:szCs w:val="24"/>
    </w:rPr>
  </w:style>
  <w:style w:type="character" w:customStyle="1" w:styleId="44">
    <w:name w:val="正文文本缩进 Char"/>
    <w:basedOn w:val="30"/>
    <w:link w:val="12"/>
    <w:semiHidden/>
    <w:qFormat/>
    <w:locked/>
    <w:uiPriority w:val="99"/>
    <w:rPr>
      <w:rFonts w:ascii="Times New Roman" w:hAnsi="Times New Roman" w:cs="Times New Roman"/>
      <w:sz w:val="24"/>
    </w:rPr>
  </w:style>
  <w:style w:type="character" w:customStyle="1" w:styleId="45">
    <w:name w:val="纯文本 Char"/>
    <w:basedOn w:val="30"/>
    <w:link w:val="14"/>
    <w:qFormat/>
    <w:locked/>
    <w:uiPriority w:val="99"/>
    <w:rPr>
      <w:rFonts w:ascii="宋体" w:hAnsi="Courier New" w:eastAsia="宋体" w:cs="Times New Roman"/>
      <w:snapToGrid w:val="0"/>
      <w:sz w:val="21"/>
    </w:rPr>
  </w:style>
  <w:style w:type="character" w:customStyle="1" w:styleId="46">
    <w:name w:val="日期 Char"/>
    <w:basedOn w:val="30"/>
    <w:link w:val="15"/>
    <w:qFormat/>
    <w:locked/>
    <w:uiPriority w:val="99"/>
    <w:rPr>
      <w:rFonts w:ascii="宋体" w:cs="Times New Roman"/>
      <w:sz w:val="21"/>
      <w:lang w:val="zh-CN"/>
    </w:rPr>
  </w:style>
  <w:style w:type="character" w:customStyle="1" w:styleId="47">
    <w:name w:val="正文文本缩进 2 Char"/>
    <w:basedOn w:val="30"/>
    <w:link w:val="16"/>
    <w:semiHidden/>
    <w:qFormat/>
    <w:locked/>
    <w:uiPriority w:val="99"/>
    <w:rPr>
      <w:rFonts w:cs="Times New Roman"/>
      <w:sz w:val="24"/>
      <w:szCs w:val="24"/>
    </w:rPr>
  </w:style>
  <w:style w:type="character" w:customStyle="1" w:styleId="48">
    <w:name w:val="页脚 Char"/>
    <w:basedOn w:val="30"/>
    <w:link w:val="18"/>
    <w:qFormat/>
    <w:locked/>
    <w:uiPriority w:val="99"/>
    <w:rPr>
      <w:rFonts w:ascii="Times New Roman" w:hAnsi="Times New Roman" w:eastAsia="宋体" w:cs="Times New Roman"/>
      <w:sz w:val="18"/>
    </w:rPr>
  </w:style>
  <w:style w:type="character" w:customStyle="1" w:styleId="49">
    <w:name w:val="Header Char"/>
    <w:basedOn w:val="30"/>
    <w:qFormat/>
    <w:locked/>
    <w:uiPriority w:val="99"/>
    <w:rPr>
      <w:rFonts w:ascii="Times New Roman" w:hAnsi="Times New Roman" w:eastAsia="宋体" w:cs="Times New Roman"/>
      <w:sz w:val="18"/>
    </w:rPr>
  </w:style>
  <w:style w:type="character" w:customStyle="1" w:styleId="50">
    <w:name w:val="正文文本 2 Char"/>
    <w:basedOn w:val="30"/>
    <w:link w:val="22"/>
    <w:semiHidden/>
    <w:qFormat/>
    <w:locked/>
    <w:uiPriority w:val="99"/>
    <w:rPr>
      <w:rFonts w:ascii="Times New Roman" w:hAnsi="Times New Roman" w:cs="Times New Roman"/>
      <w:sz w:val="24"/>
    </w:rPr>
  </w:style>
  <w:style w:type="character" w:customStyle="1" w:styleId="51">
    <w:name w:val="标题 Char"/>
    <w:basedOn w:val="30"/>
    <w:link w:val="25"/>
    <w:qFormat/>
    <w:locked/>
    <w:uiPriority w:val="99"/>
    <w:rPr>
      <w:rFonts w:ascii="Calibri Light" w:hAnsi="Calibri Light" w:eastAsia="宋体" w:cs="Times New Roman"/>
      <w:b/>
      <w:sz w:val="32"/>
    </w:rPr>
  </w:style>
  <w:style w:type="character" w:customStyle="1" w:styleId="52">
    <w:name w:val="批注主题 Char"/>
    <w:basedOn w:val="42"/>
    <w:link w:val="26"/>
    <w:semiHidden/>
    <w:qFormat/>
    <w:locked/>
    <w:uiPriority w:val="99"/>
    <w:rPr>
      <w:rFonts w:ascii="Times New Roman" w:hAnsi="Times New Roman" w:eastAsia="宋体" w:cs="Times New Roman"/>
      <w:b/>
      <w:kern w:val="0"/>
      <w:sz w:val="24"/>
      <w:lang w:val="zh-CN" w:eastAsia="zh-CN"/>
    </w:rPr>
  </w:style>
  <w:style w:type="character" w:customStyle="1" w:styleId="53">
    <w:name w:val="页眉 Char"/>
    <w:link w:val="19"/>
    <w:qFormat/>
    <w:locked/>
    <w:uiPriority w:val="99"/>
    <w:rPr>
      <w:rFonts w:ascii="Times New Roman" w:hAnsi="Times New Roman" w:eastAsia="宋体"/>
      <w:sz w:val="18"/>
    </w:rPr>
  </w:style>
  <w:style w:type="character" w:customStyle="1" w:styleId="54">
    <w:name w:val="正文缩进 Char"/>
    <w:link w:val="2"/>
    <w:qFormat/>
    <w:locked/>
    <w:uiPriority w:val="99"/>
    <w:rPr>
      <w:rFonts w:ascii="宋体" w:eastAsia="宋体"/>
      <w:snapToGrid w:val="0"/>
      <w:color w:val="000000"/>
      <w:kern w:val="28"/>
      <w:sz w:val="28"/>
    </w:rPr>
  </w:style>
  <w:style w:type="character" w:customStyle="1" w:styleId="55">
    <w:name w:val="日期 Char1"/>
    <w:semiHidden/>
    <w:qFormat/>
    <w:uiPriority w:val="99"/>
    <w:rPr>
      <w:rFonts w:ascii="Times New Roman" w:hAnsi="Times New Roman" w:eastAsia="宋体"/>
      <w:sz w:val="24"/>
    </w:rPr>
  </w:style>
  <w:style w:type="character" w:customStyle="1" w:styleId="56">
    <w:name w:val="纯文本 Char1"/>
    <w:semiHidden/>
    <w:qFormat/>
    <w:uiPriority w:val="99"/>
    <w:rPr>
      <w:rFonts w:ascii="宋体" w:hAnsi="Courier New" w:eastAsia="宋体"/>
      <w:sz w:val="21"/>
    </w:rPr>
  </w:style>
  <w:style w:type="paragraph" w:customStyle="1" w:styleId="57">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
    <w:name w:val="列出段落1"/>
    <w:basedOn w:val="1"/>
    <w:qFormat/>
    <w:uiPriority w:val="99"/>
    <w:pPr>
      <w:spacing w:line="360" w:lineRule="auto"/>
      <w:ind w:firstLine="200" w:firstLineChars="200"/>
    </w:pPr>
    <w:rPr>
      <w:rFonts w:eastAsia="楷体_GB2312" w:cs="Lucida Sans"/>
      <w:sz w:val="24"/>
    </w:rPr>
  </w:style>
  <w:style w:type="paragraph" w:customStyle="1" w:styleId="59">
    <w:name w:val="标题2def"/>
    <w:basedOn w:val="25"/>
    <w:qFormat/>
    <w:uiPriority w:val="99"/>
    <w:pPr>
      <w:widowControl/>
      <w:overflowPunct w:val="0"/>
      <w:autoSpaceDE w:val="0"/>
      <w:autoSpaceDN w:val="0"/>
      <w:snapToGrid w:val="0"/>
      <w:spacing w:before="160" w:after="200" w:line="360" w:lineRule="auto"/>
      <w:textAlignment w:val="baseline"/>
    </w:pPr>
    <w:rPr>
      <w:rFonts w:ascii="Times New Roman" w:hAnsi="宋体" w:eastAsia="Times New Roman"/>
      <w:bCs w:val="0"/>
      <w:szCs w:val="20"/>
      <w:lang w:val="en-GB"/>
    </w:rPr>
  </w:style>
  <w:style w:type="paragraph" w:customStyle="1" w:styleId="60">
    <w:name w:val="标题3def"/>
    <w:basedOn w:val="5"/>
    <w:next w:val="1"/>
    <w:qFormat/>
    <w:uiPriority w:val="99"/>
    <w:pPr>
      <w:snapToGrid w:val="0"/>
      <w:spacing w:before="80" w:after="160" w:line="400" w:lineRule="exact"/>
    </w:pPr>
    <w:rPr>
      <w:rFonts w:ascii="??_GB2312" w:hAnsi="宋体" w:eastAsia="Times New Roman"/>
      <w:bCs w:val="0"/>
      <w:sz w:val="24"/>
      <w:szCs w:val="20"/>
    </w:rPr>
  </w:style>
  <w:style w:type="paragraph" w:customStyle="1" w:styleId="6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2">
    <w:name w:val="Char Char2 Char Char"/>
    <w:basedOn w:val="1"/>
    <w:qFormat/>
    <w:uiPriority w:val="99"/>
    <w:pPr>
      <w:widowControl/>
      <w:adjustRightInd/>
      <w:spacing w:line="400" w:lineRule="exact"/>
      <w:jc w:val="center"/>
    </w:pPr>
    <w:rPr>
      <w:rFonts w:ascii="Verdana" w:hAnsi="Verdana"/>
      <w:kern w:val="0"/>
      <w:szCs w:val="20"/>
      <w:lang w:eastAsia="en-US"/>
    </w:rPr>
  </w:style>
  <w:style w:type="paragraph" w:customStyle="1" w:styleId="63">
    <w:name w:val="Char Char Char Char1"/>
    <w:basedOn w:val="1"/>
    <w:qFormat/>
    <w:uiPriority w:val="99"/>
    <w:pPr>
      <w:adjustRightInd/>
    </w:pPr>
    <w:rPr>
      <w:rFonts w:ascii="Tahoma" w:hAnsi="Tahoma"/>
      <w:sz w:val="24"/>
      <w:szCs w:val="20"/>
    </w:rPr>
  </w:style>
  <w:style w:type="paragraph" w:customStyle="1" w:styleId="64">
    <w:name w:val="正文文本缩进 21"/>
    <w:basedOn w:val="1"/>
    <w:qFormat/>
    <w:uiPriority w:val="99"/>
    <w:pPr>
      <w:adjustRightInd/>
      <w:spacing w:line="520" w:lineRule="exact"/>
      <w:ind w:firstLine="848" w:firstLineChars="303"/>
    </w:pPr>
    <w:rPr>
      <w:rFonts w:ascii="黑体" w:hAnsi="Calibri" w:eastAsia="黑体" w:cs="黑体"/>
      <w:sz w:val="28"/>
      <w:szCs w:val="22"/>
    </w:rPr>
  </w:style>
  <w:style w:type="paragraph" w:customStyle="1" w:styleId="65">
    <w:name w:val="正文段"/>
    <w:basedOn w:val="1"/>
    <w:link w:val="71"/>
    <w:qFormat/>
    <w:uiPriority w:val="99"/>
    <w:pPr>
      <w:widowControl/>
      <w:snapToGrid w:val="0"/>
      <w:spacing w:afterLines="50"/>
      <w:ind w:firstLine="200" w:firstLineChars="200"/>
    </w:pPr>
    <w:rPr>
      <w:kern w:val="0"/>
      <w:sz w:val="24"/>
      <w:szCs w:val="20"/>
    </w:rPr>
  </w:style>
  <w:style w:type="paragraph" w:customStyle="1" w:styleId="66">
    <w:name w:val="正文2"/>
    <w:basedOn w:val="1"/>
    <w:link w:val="70"/>
    <w:qFormat/>
    <w:uiPriority w:val="99"/>
    <w:pPr>
      <w:spacing w:before="156" w:line="360" w:lineRule="auto"/>
      <w:ind w:firstLine="510" w:firstLineChars="200"/>
    </w:pPr>
    <w:rPr>
      <w:sz w:val="24"/>
      <w:szCs w:val="20"/>
    </w:rPr>
  </w:style>
  <w:style w:type="paragraph" w:customStyle="1" w:styleId="67">
    <w:name w:val="表正文"/>
    <w:basedOn w:val="1"/>
    <w:next w:val="14"/>
    <w:qFormat/>
    <w:uiPriority w:val="99"/>
    <w:rPr>
      <w:rFonts w:ascii="宋体" w:hAnsi="Courier New"/>
      <w:szCs w:val="20"/>
    </w:rPr>
  </w:style>
  <w:style w:type="character" w:customStyle="1" w:styleId="68">
    <w:name w:val="文档结构图 Char"/>
    <w:semiHidden/>
    <w:qFormat/>
    <w:uiPriority w:val="99"/>
    <w:rPr>
      <w:kern w:val="2"/>
      <w:sz w:val="24"/>
      <w:shd w:val="clear" w:color="auto" w:fill="000080"/>
    </w:rPr>
  </w:style>
  <w:style w:type="character" w:customStyle="1" w:styleId="69">
    <w:name w:val="日期 Char2"/>
    <w:qFormat/>
    <w:uiPriority w:val="99"/>
    <w:rPr>
      <w:rFonts w:ascii="楷体_GB2312" w:eastAsia="楷体_GB2312"/>
      <w:b/>
      <w:kern w:val="2"/>
      <w:sz w:val="28"/>
      <w:lang w:val="en-US" w:eastAsia="zh-CN"/>
    </w:rPr>
  </w:style>
  <w:style w:type="character" w:customStyle="1" w:styleId="70">
    <w:name w:val="正文2 Char"/>
    <w:link w:val="66"/>
    <w:qFormat/>
    <w:locked/>
    <w:uiPriority w:val="99"/>
    <w:rPr>
      <w:rFonts w:ascii="Times New Roman" w:hAnsi="Times New Roman"/>
      <w:kern w:val="2"/>
      <w:sz w:val="24"/>
    </w:rPr>
  </w:style>
  <w:style w:type="character" w:customStyle="1" w:styleId="71">
    <w:name w:val="正文段 Char"/>
    <w:link w:val="65"/>
    <w:qFormat/>
    <w:locked/>
    <w:uiPriority w:val="99"/>
    <w:rPr>
      <w:rFonts w:ascii="Times New Roman" w:hAnsi="Times New Roman"/>
      <w:sz w:val="24"/>
    </w:rPr>
  </w:style>
  <w:style w:type="paragraph" w:styleId="72">
    <w:name w:val="List Paragraph"/>
    <w:basedOn w:val="1"/>
    <w:qFormat/>
    <w:uiPriority w:val="99"/>
    <w:pPr>
      <w:ind w:left="720"/>
      <w:contextualSpacing/>
    </w:pPr>
  </w:style>
  <w:style w:type="paragraph" w:customStyle="1" w:styleId="73">
    <w:name w:val="正文 A"/>
    <w:qFormat/>
    <w:uiPriority w:val="99"/>
    <w:pPr>
      <w:widowControl w:val="0"/>
      <w:spacing w:line="360" w:lineRule="atLeast"/>
    </w:pPr>
    <w:rPr>
      <w:rFonts w:ascii="Times New Roman" w:hAnsi="Times New Roman" w:eastAsia="宋体" w:cs="Times New Roman"/>
      <w:color w:val="000000"/>
      <w:sz w:val="24"/>
      <w:szCs w:val="24"/>
      <w:lang w:val="en-US" w:eastAsia="zh-CN" w:bidi="ar-SA"/>
    </w:rPr>
  </w:style>
  <w:style w:type="character" w:customStyle="1" w:styleId="74">
    <w:name w:val="px_10"/>
    <w:qFormat/>
    <w:uiPriority w:val="99"/>
    <w:rPr>
      <w:lang w:val="zh-TW" w:eastAsia="zh-TW"/>
    </w:rPr>
  </w:style>
  <w:style w:type="paragraph" w:customStyle="1" w:styleId="75">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6">
    <w:name w:val="reader-word-layer reader-word-s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77">
    <w:name w:val="列出段落11"/>
    <w:basedOn w:val="1"/>
    <w:qFormat/>
    <w:uiPriority w:val="99"/>
    <w:pPr>
      <w:spacing w:line="360" w:lineRule="auto"/>
      <w:ind w:firstLine="200" w:firstLineChars="200"/>
    </w:pPr>
    <w:rPr>
      <w:rFonts w:eastAsia="楷体_GB2312" w:cs="Lucida Sans"/>
      <w:sz w:val="24"/>
    </w:rPr>
  </w:style>
  <w:style w:type="paragraph" w:customStyle="1" w:styleId="78">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79">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80">
    <w:name w:val="正文 New New New New"/>
    <w:qFormat/>
    <w:uiPriority w:val="99"/>
    <w:pPr>
      <w:widowControl w:val="0"/>
      <w:jc w:val="both"/>
    </w:pPr>
    <w:rPr>
      <w:rFonts w:ascii="Calibri" w:hAnsi="Calibri" w:eastAsia="宋体" w:cs="Times New Roman"/>
      <w:sz w:val="21"/>
      <w:szCs w:val="24"/>
      <w:lang w:val="en-US" w:eastAsia="zh-CN" w:bidi="ar-SA"/>
    </w:rPr>
  </w:style>
  <w:style w:type="character" w:customStyle="1" w:styleId="81">
    <w:name w:val="批注框文本 Char"/>
    <w:basedOn w:val="30"/>
    <w:link w:val="17"/>
    <w:semiHidden/>
    <w:qFormat/>
    <w:locked/>
    <w:uiPriority w:val="99"/>
    <w:rPr>
      <w:rFonts w:cs="Times New Roman"/>
      <w:sz w:val="2"/>
    </w:rPr>
  </w:style>
  <w:style w:type="paragraph" w:customStyle="1" w:styleId="82">
    <w:name w:val="列出段落5"/>
    <w:basedOn w:val="1"/>
    <w:qFormat/>
    <w:uiPriority w:val="34"/>
    <w:pPr>
      <w:ind w:firstLine="420" w:firstLineChars="200"/>
    </w:pPr>
    <w:rPr>
      <w:rFonts w:ascii="Calibri" w:hAnsi="Calibri"/>
      <w:sz w:val="24"/>
    </w:rPr>
  </w:style>
  <w:style w:type="paragraph" w:customStyle="1" w:styleId="83">
    <w:name w:val="unnamed1"/>
    <w:basedOn w:val="1"/>
    <w:qFormat/>
    <w:uiPriority w:val="0"/>
    <w:pPr>
      <w:widowControl/>
      <w:spacing w:before="100" w:beforeAutospacing="1" w:after="100" w:afterAutospacing="1" w:line="288" w:lineRule="auto"/>
      <w:jc w:val="left"/>
    </w:pPr>
    <w:rPr>
      <w:rFonts w:hint="eastAsia" w:ascii="宋体" w:hAnsi="宋体"/>
      <w:kern w:val="0"/>
      <w:szCs w:val="21"/>
    </w:rPr>
  </w:style>
  <w:style w:type="character" w:customStyle="1" w:styleId="84">
    <w:name w:val="unnamed11"/>
    <w:basedOn w:val="30"/>
    <w:qFormat/>
    <w:uiPriority w:val="0"/>
    <w:rPr>
      <w:rFonts w:hint="eastAsia" w:ascii="宋体" w:hAnsi="宋体" w:eastAsia="宋体"/>
      <w:sz w:val="21"/>
      <w:szCs w:val="21"/>
    </w:rPr>
  </w:style>
  <w:style w:type="paragraph" w:customStyle="1" w:styleId="85">
    <w:name w:val="样式2 Char Char Char"/>
    <w:basedOn w:val="1"/>
    <w:qFormat/>
    <w:uiPriority w:val="0"/>
    <w:pPr>
      <w:widowControl/>
      <w:spacing w:line="360" w:lineRule="auto"/>
      <w:ind w:firstLine="480" w:firstLineChars="200"/>
      <w:jc w:val="left"/>
    </w:pPr>
    <w:rPr>
      <w:rFonts w:ascii="宋体" w:hAnsi="宋体"/>
      <w:bCs/>
      <w:kern w:val="0"/>
      <w:sz w:val="24"/>
      <w:lang w:eastAsia="en-US"/>
    </w:rPr>
  </w:style>
  <w:style w:type="character" w:customStyle="1" w:styleId="86">
    <w:name w:val="font11"/>
    <w:basedOn w:val="30"/>
    <w:qFormat/>
    <w:uiPriority w:val="0"/>
    <w:rPr>
      <w:rFonts w:hint="default" w:ascii="微软雅黑" w:hAnsi="微软雅黑" w:eastAsia="微软雅黑" w:cs="微软雅黑"/>
      <w:color w:val="000000"/>
      <w:sz w:val="20"/>
      <w:szCs w:val="20"/>
      <w:u w:val="none"/>
    </w:rPr>
  </w:style>
  <w:style w:type="paragraph" w:customStyle="1" w:styleId="87">
    <w:name w:val="样式 首行缩进:  0.74 厘米"/>
    <w:basedOn w:val="1"/>
    <w:qFormat/>
    <w:uiPriority w:val="0"/>
    <w:pPr>
      <w:ind w:firstLine="420"/>
    </w:pPr>
    <w:rPr>
      <w:rFonts w:ascii="Arial" w:hAnsi="Arial" w:eastAsia="仿宋_GB2312" w:cs="Arial"/>
      <w:bCs/>
      <w:sz w:val="28"/>
      <w:szCs w:val="28"/>
    </w:rPr>
  </w:style>
  <w:style w:type="paragraph" w:customStyle="1" w:styleId="88">
    <w:name w:val="正文格式（小四）"/>
    <w:basedOn w:val="1"/>
    <w:qFormat/>
    <w:uiPriority w:val="0"/>
    <w:pPr>
      <w:widowControl/>
      <w:snapToGrid w:val="0"/>
      <w:spacing w:line="360" w:lineRule="auto"/>
      <w:ind w:firstLine="482"/>
      <w:jc w:val="left"/>
      <w:textAlignment w:val="baseline"/>
    </w:pPr>
    <w:rPr>
      <w:kern w:val="24"/>
      <w:sz w:val="24"/>
    </w:rPr>
  </w:style>
  <w:style w:type="paragraph" w:customStyle="1" w:styleId="89">
    <w:name w:val="_Style 1"/>
    <w:basedOn w:val="1"/>
    <w:qFormat/>
    <w:uiPriority w:val="99"/>
    <w:pPr>
      <w:ind w:firstLine="420" w:firstLineChars="200"/>
    </w:pPr>
  </w:style>
  <w:style w:type="paragraph" w:customStyle="1" w:styleId="90">
    <w:name w:val="_Style 2"/>
    <w:basedOn w:val="1"/>
    <w:qFormat/>
    <w:uiPriority w:val="99"/>
    <w:pPr>
      <w:ind w:firstLine="420" w:firstLineChars="200"/>
    </w:pPr>
  </w:style>
  <w:style w:type="paragraph" w:customStyle="1" w:styleId="91">
    <w:name w:val="（1）"/>
    <w:basedOn w:val="1"/>
    <w:qFormat/>
    <w:uiPriority w:val="0"/>
    <w:pPr>
      <w:numPr>
        <w:ilvl w:val="0"/>
        <w:numId w:val="5"/>
      </w:numPr>
      <w:tabs>
        <w:tab w:val="left" w:pos="961"/>
      </w:tabs>
      <w:spacing w:line="360" w:lineRule="auto"/>
    </w:pPr>
    <w:rPr>
      <w:sz w:val="24"/>
    </w:rPr>
  </w:style>
  <w:style w:type="paragraph" w:customStyle="1" w:styleId="9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3">
    <w:name w:val="CM18"/>
    <w:basedOn w:val="92"/>
    <w:next w:val="92"/>
    <w:qFormat/>
    <w:uiPriority w:val="99"/>
    <w:rPr>
      <w:rFonts w:ascii="ST Xihei" w:hAnsi="Calibri" w:eastAsia="ST Xihei"/>
      <w:color w:val="auto"/>
    </w:rPr>
  </w:style>
  <w:style w:type="character" w:customStyle="1" w:styleId="94">
    <w:name w:val="qxdate"/>
    <w:basedOn w:val="30"/>
    <w:qFormat/>
    <w:uiPriority w:val="0"/>
    <w:rPr>
      <w:color w:val="333333"/>
      <w:sz w:val="18"/>
      <w:szCs w:val="18"/>
    </w:rPr>
  </w:style>
  <w:style w:type="character" w:customStyle="1" w:styleId="95">
    <w:name w:val="cfdate"/>
    <w:basedOn w:val="30"/>
    <w:qFormat/>
    <w:uiPriority w:val="0"/>
    <w:rPr>
      <w:color w:val="333333"/>
      <w:sz w:val="18"/>
      <w:szCs w:val="18"/>
    </w:rPr>
  </w:style>
  <w:style w:type="character" w:customStyle="1" w:styleId="96">
    <w:name w:val="redfilefwwh"/>
    <w:basedOn w:val="30"/>
    <w:qFormat/>
    <w:uiPriority w:val="0"/>
    <w:rPr>
      <w:color w:val="BA2636"/>
      <w:sz w:val="18"/>
      <w:szCs w:val="18"/>
    </w:rPr>
  </w:style>
  <w:style w:type="character" w:customStyle="1" w:styleId="97">
    <w:name w:val="displayarti"/>
    <w:basedOn w:val="30"/>
    <w:qFormat/>
    <w:uiPriority w:val="0"/>
    <w:rPr>
      <w:color w:val="FFFFFF"/>
      <w:shd w:val="clear" w:color="auto" w:fill="A00000"/>
    </w:rPr>
  </w:style>
  <w:style w:type="character" w:customStyle="1" w:styleId="98">
    <w:name w:val="gjfg"/>
    <w:basedOn w:val="30"/>
    <w:qFormat/>
    <w:uiPriority w:val="0"/>
  </w:style>
  <w:style w:type="character" w:customStyle="1" w:styleId="99">
    <w:name w:val="redfilenumber"/>
    <w:basedOn w:val="30"/>
    <w:qFormat/>
    <w:uiPriority w:val="0"/>
    <w:rPr>
      <w:color w:val="BA2636"/>
      <w:sz w:val="18"/>
      <w:szCs w:val="18"/>
    </w:rPr>
  </w:style>
  <w:style w:type="character" w:customStyle="1" w:styleId="100">
    <w:name w:val="15"/>
    <w:qFormat/>
    <w:uiPriority w:val="0"/>
    <w:rPr>
      <w:rFonts w:hint="eastAsia" w:ascii="宋体" w:hAnsi="宋体" w:eastAsia="宋体" w:cs="宋体"/>
      <w:color w:val="000000"/>
      <w:sz w:val="24"/>
      <w:szCs w:val="24"/>
    </w:rPr>
  </w:style>
  <w:style w:type="paragraph" w:customStyle="1" w:styleId="10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msonormalcxspmidd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104">
    <w:name w:val="Body text|1"/>
    <w:basedOn w:val="1"/>
    <w:qFormat/>
    <w:uiPriority w:val="0"/>
    <w:pPr>
      <w:spacing w:line="437" w:lineRule="auto"/>
      <w:ind w:firstLine="400"/>
    </w:pPr>
    <w:rPr>
      <w:rFonts w:ascii="宋体" w:hAnsi="宋体" w:eastAsia="Times New Roman"/>
      <w:color w:val="auto"/>
      <w:sz w:val="20"/>
      <w:szCs w:val="20"/>
      <w:lang w:val="zh-TW" w:eastAsia="zh-TW"/>
    </w:rPr>
  </w:style>
  <w:style w:type="paragraph" w:customStyle="1" w:styleId="105">
    <w:name w:val="Title"/>
    <w:basedOn w:val="1"/>
    <w:next w:val="1"/>
    <w:qFormat/>
    <w:uiPriority w:val="0"/>
    <w:pPr>
      <w:spacing w:before="240" w:beforeLines="0" w:beforeAutospacing="0" w:after="60" w:afterLines="0" w:afterAutospacing="0"/>
      <w:jc w:val="center"/>
      <w:outlineLvl w:val="0"/>
    </w:pPr>
    <w:rPr>
      <w:rFonts w:ascii="Calibri Light" w:hAnsi="Calibri Light" w:eastAsia="宋体"/>
      <w:b/>
      <w:sz w:val="32"/>
    </w:rPr>
  </w:style>
  <w:style w:type="paragraph" w:customStyle="1" w:styleId="10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rPr>
  </w:style>
  <w:style w:type="paragraph" w:customStyle="1" w:styleId="107">
    <w:name w:val="footer"/>
    <w:basedOn w:val="1"/>
    <w:qFormat/>
    <w:uiPriority w:val="0"/>
    <w:pPr>
      <w:tabs>
        <w:tab w:val="center" w:pos="4153"/>
        <w:tab w:val="right" w:pos="8306"/>
      </w:tabs>
      <w:snapToGrid w:val="0"/>
      <w:jc w:val="left"/>
    </w:pPr>
    <w:rPr>
      <w:rFonts w:ascii="Times New Roman" w:hAnsi="Times New Roman" w:eastAsia="宋体"/>
      <w:sz w:val="18"/>
    </w:rPr>
  </w:style>
  <w:style w:type="character" w:customStyle="1" w:styleId="108">
    <w:name w:val="page number"/>
    <w:qFormat/>
    <w:uiPriority w:val="0"/>
    <w:rPr>
      <w:rFonts w:ascii="Arial" w:hAnsi="Arial" w:eastAsia="黑体"/>
      <w:snapToGrid w:val="0"/>
      <w:kern w:val="0"/>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24294</Words>
  <Characters>26390</Characters>
  <Lines>29</Lines>
  <Paragraphs>39</Paragraphs>
  <TotalTime>6</TotalTime>
  <ScaleCrop>false</ScaleCrop>
  <LinksUpToDate>false</LinksUpToDate>
  <CharactersWithSpaces>29385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2020-09-07T06:56:00Z</dcterms:created>
  <dc:creator>Ting</dc:creator>
  <cp:lastModifiedBy>囍多多</cp:lastModifiedBy>
  <cp:lastPrinted>2021-08-25T06:03:00Z</cp:lastPrinted>
  <dcterms:modified xsi:type="dcterms:W3CDTF">2022-08-01T00:31:50Z</dcterms:modified>
  <dc:title>绍兴市公安局交通警察支队交警互联网支付及罚缴平台二期项目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3AC52FEC4E574F60BDB037E1ED116640</vt:lpwstr>
  </property>
</Properties>
</file>