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41" w:firstLineChars="50"/>
        <w:jc w:val="center"/>
        <w:outlineLvl w:val="0"/>
        <w:rPr>
          <w:rFonts w:hint="eastAsia" w:ascii="隶书" w:hAnsi="Arial" w:eastAsia="隶书" w:cs="Arial"/>
          <w:b/>
          <w:sz w:val="48"/>
          <w:szCs w:val="48"/>
          <w:lang w:eastAsia="zh-CN"/>
        </w:rPr>
      </w:pPr>
      <w:r>
        <w:rPr>
          <w:rFonts w:hint="eastAsia" w:ascii="隶书" w:hAnsi="Arial" w:eastAsia="隶书" w:cs="Arial"/>
          <w:b/>
          <w:sz w:val="48"/>
          <w:szCs w:val="48"/>
        </w:rPr>
        <w:t>绍兴市公安局交通管理局</w:t>
      </w:r>
      <w:r>
        <w:rPr>
          <w:rFonts w:hint="eastAsia" w:ascii="隶书" w:hAnsi="Arial" w:eastAsia="隶书" w:cs="Arial"/>
          <w:b/>
          <w:sz w:val="48"/>
          <w:szCs w:val="48"/>
          <w:lang w:eastAsia="zh-CN"/>
        </w:rPr>
        <w:t>2021年智能交通设施维保服务项目</w:t>
      </w:r>
    </w:p>
    <w:p>
      <w:pPr>
        <w:spacing w:line="312" w:lineRule="auto"/>
        <w:jc w:val="center"/>
        <w:outlineLvl w:val="0"/>
        <w:rPr>
          <w:rFonts w:hint="eastAsia" w:ascii="隶书" w:hAnsi="Arial" w:eastAsia="隶书" w:cs="Arial"/>
          <w:b/>
          <w:sz w:val="72"/>
          <w:szCs w:val="72"/>
        </w:rPr>
      </w:pPr>
    </w:p>
    <w:p>
      <w:pPr>
        <w:spacing w:line="312" w:lineRule="auto"/>
        <w:jc w:val="center"/>
        <w:outlineLvl w:val="0"/>
        <w:rPr>
          <w:rFonts w:hint="eastAsia"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jc w:val="center"/>
        <w:rPr>
          <w:rFonts w:ascii="隶书" w:eastAsia="隶书"/>
          <w:b/>
          <w:sz w:val="28"/>
          <w:szCs w:val="28"/>
        </w:rPr>
      </w:pPr>
    </w:p>
    <w:p>
      <w:pPr>
        <w:spacing w:line="312" w:lineRule="auto"/>
        <w:jc w:val="center"/>
        <w:rPr>
          <w:rFonts w:hint="eastAsia" w:ascii="隶书" w:eastAsia="隶书"/>
          <w:b/>
          <w:sz w:val="28"/>
          <w:szCs w:val="28"/>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w:t>
      </w:r>
      <w:r>
        <w:rPr>
          <w:rFonts w:hint="eastAsia" w:ascii="隶书" w:eastAsia="隶书"/>
          <w:b/>
          <w:sz w:val="28"/>
          <w:szCs w:val="28"/>
          <w:lang w:val="en-US" w:eastAsia="zh-CN"/>
        </w:rPr>
        <w:t>YH2021-07043</w:t>
      </w:r>
    </w:p>
    <w:tbl>
      <w:tblPr>
        <w:tblStyle w:val="26"/>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rPr>
              <w:t>绍兴市公安局交通管理局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color w:val="auto"/>
                <w:sz w:val="28"/>
                <w:szCs w:val="28"/>
              </w:rPr>
              <w:t>二</w:t>
            </w:r>
            <w:r>
              <w:rPr>
                <w:rFonts w:ascii="隶书" w:eastAsia="隶书"/>
                <w:b/>
                <w:color w:val="auto"/>
                <w:sz w:val="28"/>
                <w:szCs w:val="28"/>
              </w:rPr>
              <w:t>0</w:t>
            </w:r>
            <w:r>
              <w:rPr>
                <w:rFonts w:hint="eastAsia" w:ascii="隶书" w:eastAsia="隶书"/>
                <w:b/>
                <w:color w:val="auto"/>
                <w:sz w:val="28"/>
                <w:szCs w:val="28"/>
              </w:rPr>
              <w:t>二</w:t>
            </w:r>
            <w:r>
              <w:rPr>
                <w:rFonts w:hint="eastAsia" w:ascii="隶书" w:eastAsia="隶书"/>
                <w:b/>
                <w:color w:val="auto"/>
                <w:sz w:val="28"/>
                <w:szCs w:val="28"/>
                <w:lang w:eastAsia="zh-CN"/>
              </w:rPr>
              <w:t>一</w:t>
            </w:r>
            <w:r>
              <w:rPr>
                <w:rFonts w:hint="eastAsia" w:ascii="隶书" w:eastAsia="隶书"/>
                <w:b/>
                <w:color w:val="auto"/>
                <w:sz w:val="28"/>
                <w:szCs w:val="28"/>
              </w:rPr>
              <w:t>年</w:t>
            </w:r>
            <w:r>
              <w:rPr>
                <w:rFonts w:hint="eastAsia" w:ascii="隶书" w:eastAsia="隶书"/>
                <w:b/>
                <w:color w:val="auto"/>
                <w:sz w:val="28"/>
                <w:szCs w:val="28"/>
                <w:lang w:val="en-US" w:eastAsia="zh-CN"/>
              </w:rPr>
              <w:t>七</w:t>
            </w:r>
            <w:r>
              <w:rPr>
                <w:rFonts w:hint="eastAsia" w:ascii="隶书" w:eastAsia="隶书"/>
                <w:b/>
                <w:color w:val="auto"/>
                <w:sz w:val="28"/>
                <w:szCs w:val="28"/>
              </w:rPr>
              <w:t>月</w:t>
            </w:r>
          </w:p>
        </w:tc>
      </w:tr>
    </w:tbl>
    <w:p>
      <w:pPr>
        <w:jc w:val="center"/>
        <w:rPr>
          <w:rFonts w:ascii="仿宋" w:hAnsi="仿宋" w:eastAsia="仿宋" w:cs="仿宋"/>
          <w:b/>
          <w:sz w:val="44"/>
          <w:szCs w:val="44"/>
        </w:rPr>
      </w:pPr>
    </w:p>
    <w:p>
      <w:pPr>
        <w:jc w:val="center"/>
        <w:rPr>
          <w:rFonts w:hint="eastAsia"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6"/>
        <w:tblW w:w="5000" w:type="pct"/>
        <w:tblInd w:w="0" w:type="dxa"/>
        <w:tblLayout w:type="autofit"/>
        <w:tblCellMar>
          <w:top w:w="0" w:type="dxa"/>
          <w:left w:w="0" w:type="dxa"/>
          <w:bottom w:w="0" w:type="dxa"/>
          <w:right w:w="0" w:type="dxa"/>
        </w:tblCellMar>
      </w:tblPr>
      <w:tblGrid>
        <w:gridCol w:w="9026"/>
      </w:tblGrid>
      <w:tr>
        <w:tblPrEx>
          <w:tblCellMar>
            <w:top w:w="0" w:type="dxa"/>
            <w:left w:w="0" w:type="dxa"/>
            <w:bottom w:w="0" w:type="dxa"/>
            <w:right w:w="0" w:type="dxa"/>
          </w:tblCellMar>
        </w:tblPrEx>
        <w:tc>
          <w:tcPr>
            <w:tcW w:w="5000" w:type="pct"/>
            <w:vAlign w:val="center"/>
          </w:tcPr>
          <w:p>
            <w:pPr>
              <w:spacing w:line="288" w:lineRule="auto"/>
              <w:rPr>
                <w:rFonts w:ascii="仿宋" w:hAnsi="仿宋" w:eastAsia="仿宋" w:cs="仿宋"/>
                <w:sz w:val="24"/>
              </w:rPr>
            </w:pPr>
            <w:r>
              <w:rPr>
                <w:rFonts w:hint="eastAsia" w:ascii="仿宋" w:hAnsi="仿宋" w:eastAsia="仿宋" w:cs="仿宋"/>
                <w:sz w:val="24"/>
              </w:rPr>
              <w:br w:type="page"/>
            </w:r>
          </w:p>
          <w:tbl>
            <w:tblPr>
              <w:tblStyle w:val="26"/>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绍兴市公安局交通管理局</w:t>
                  </w:r>
                  <w:r>
                    <w:rPr>
                      <w:rFonts w:hint="eastAsia" w:ascii="仿宋" w:hAnsi="仿宋" w:eastAsia="仿宋" w:cs="仿宋"/>
                      <w:kern w:val="0"/>
                      <w:sz w:val="24"/>
                      <w:lang w:eastAsia="zh-CN"/>
                    </w:rPr>
                    <w:t>2021年智能交通设施维保服务项目</w:t>
                  </w:r>
                  <w:r>
                    <w:rPr>
                      <w:rFonts w:hint="eastAsia" w:ascii="仿宋" w:hAnsi="仿宋" w:eastAsia="仿宋" w:cs="仿宋"/>
                      <w:kern w:val="0"/>
                      <w:sz w:val="24"/>
                      <w:szCs w:val="24"/>
                      <w:lang w:eastAsia="zh-CN"/>
                    </w:rPr>
                    <w:t>的潜在供应商应在http://www.zcygov.cn/ 获取（下载）采购文件，</w:t>
                  </w:r>
                  <w:r>
                    <w:rPr>
                      <w:rFonts w:hint="eastAsia" w:ascii="仿宋" w:hAnsi="仿宋" w:eastAsia="仿宋" w:cs="仿宋"/>
                      <w:kern w:val="0"/>
                      <w:sz w:val="24"/>
                    </w:rPr>
                    <w:t>并于202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8</w:t>
                  </w:r>
                  <w:r>
                    <w:rPr>
                      <w:rFonts w:hint="eastAsia" w:ascii="仿宋" w:hAnsi="仿宋" w:eastAsia="仿宋" w:cs="仿宋"/>
                      <w:kern w:val="0"/>
                      <w:sz w:val="24"/>
                    </w:rPr>
                    <w:t>月</w:t>
                  </w:r>
                  <w:r>
                    <w:rPr>
                      <w:rFonts w:hint="eastAsia" w:ascii="仿宋" w:hAnsi="仿宋" w:eastAsia="仿宋" w:cs="仿宋"/>
                      <w:kern w:val="0"/>
                      <w:sz w:val="24"/>
                      <w:lang w:val="en-US" w:eastAsia="zh-CN"/>
                    </w:rPr>
                    <w:t>12</w:t>
                  </w:r>
                  <w:r>
                    <w:rPr>
                      <w:rFonts w:hint="eastAsia" w:ascii="仿宋" w:hAnsi="仿宋" w:eastAsia="仿宋" w:cs="仿宋"/>
                      <w:kern w:val="0"/>
                      <w:sz w:val="24"/>
                    </w:rPr>
                    <w:t>日</w:t>
                  </w:r>
                  <w:r>
                    <w:rPr>
                      <w:rFonts w:hint="eastAsia" w:ascii="仿宋" w:hAnsi="仿宋" w:eastAsia="仿宋" w:cs="仿宋"/>
                      <w:kern w:val="0"/>
                      <w:sz w:val="24"/>
                      <w:lang w:val="en-US" w:eastAsia="zh-CN"/>
                    </w:rPr>
                    <w:t>9</w:t>
                  </w:r>
                  <w:r>
                    <w:rPr>
                      <w:rFonts w:hint="eastAsia" w:ascii="仿宋" w:hAnsi="仿宋" w:eastAsia="仿宋" w:cs="仿宋"/>
                      <w:kern w:val="0"/>
                      <w:sz w:val="24"/>
                    </w:rPr>
                    <w:t>:00（北京时间）前递交（上传）投标文件。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 </w:t>
            </w:r>
          </w:p>
          <w:p>
            <w:pPr>
              <w:widowControl/>
              <w:snapToGrid w:val="0"/>
              <w:spacing w:line="288" w:lineRule="auto"/>
              <w:ind w:firstLine="480" w:firstLineChars="200"/>
              <w:rPr>
                <w:rFonts w:hint="default" w:ascii="仿宋" w:hAnsi="仿宋" w:eastAsia="仿宋" w:cs="仿宋"/>
                <w:kern w:val="0"/>
                <w:sz w:val="24"/>
                <w:lang w:val="en-US" w:eastAsia="zh-CN"/>
              </w:rPr>
            </w:pPr>
            <w:r>
              <w:rPr>
                <w:rFonts w:hint="eastAsia" w:ascii="仿宋" w:hAnsi="仿宋" w:eastAsia="仿宋" w:cs="仿宋"/>
                <w:kern w:val="0"/>
                <w:sz w:val="24"/>
              </w:rPr>
              <w:t>项目编号：</w:t>
            </w:r>
            <w:r>
              <w:rPr>
                <w:rFonts w:hint="eastAsia" w:ascii="仿宋" w:hAnsi="仿宋" w:eastAsia="仿宋" w:cs="仿宋"/>
                <w:kern w:val="0"/>
                <w:sz w:val="24"/>
                <w:lang w:val="en-US" w:eastAsia="zh-CN"/>
              </w:rPr>
              <w:t>YH2021-07043</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rPr>
              <w:t>项目名称：绍兴市公安局交通管理局</w:t>
            </w:r>
            <w:r>
              <w:rPr>
                <w:rFonts w:hint="eastAsia" w:ascii="仿宋" w:hAnsi="仿宋" w:eastAsia="仿宋" w:cs="仿宋"/>
                <w:kern w:val="0"/>
                <w:sz w:val="24"/>
                <w:lang w:eastAsia="zh-CN"/>
              </w:rPr>
              <w:t>2021年智能交通设施维保服务项目</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采购方式：公开招标</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预算金额（元）：194828</w:t>
            </w:r>
            <w:r>
              <w:rPr>
                <w:rFonts w:hint="eastAsia" w:ascii="仿宋" w:hAnsi="仿宋" w:eastAsia="仿宋" w:cs="仿宋"/>
                <w:kern w:val="0"/>
                <w:sz w:val="24"/>
                <w:lang w:val="en-US" w:eastAsia="zh-CN"/>
              </w:rPr>
              <w:t>0</w:t>
            </w:r>
            <w:r>
              <w:rPr>
                <w:rFonts w:hint="eastAsia" w:ascii="仿宋" w:hAnsi="仿宋" w:eastAsia="仿宋" w:cs="仿宋"/>
                <w:kern w:val="0"/>
                <w:sz w:val="24"/>
              </w:rPr>
              <w:t>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最高限价（元）：194828</w:t>
            </w:r>
            <w:r>
              <w:rPr>
                <w:rFonts w:hint="eastAsia" w:ascii="仿宋" w:hAnsi="仿宋" w:eastAsia="仿宋" w:cs="仿宋"/>
                <w:kern w:val="0"/>
                <w:sz w:val="24"/>
                <w:lang w:val="en-US" w:eastAsia="zh-CN"/>
              </w:rPr>
              <w:t>0</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采购需求：详见采购文件</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标项一:</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标项名称:绍兴市公安局交通管理局</w:t>
            </w:r>
            <w:r>
              <w:rPr>
                <w:rFonts w:hint="eastAsia" w:ascii="仿宋" w:hAnsi="仿宋" w:eastAsia="仿宋" w:cs="仿宋"/>
                <w:kern w:val="0"/>
                <w:sz w:val="24"/>
                <w:lang w:eastAsia="zh-CN"/>
              </w:rPr>
              <w:t>2021年智能交通设施维保服务项目</w:t>
            </w:r>
            <w:r>
              <w:rPr>
                <w:rFonts w:hint="eastAsia" w:ascii="仿宋" w:hAnsi="仿宋" w:eastAsia="仿宋" w:cs="仿宋"/>
                <w:kern w:val="0"/>
                <w:sz w:val="24"/>
              </w:rPr>
              <w:t>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数量:不限</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预算金额（元）：194828</w:t>
            </w:r>
            <w:r>
              <w:rPr>
                <w:rFonts w:hint="eastAsia" w:ascii="仿宋" w:hAnsi="仿宋" w:eastAsia="仿宋" w:cs="仿宋"/>
                <w:kern w:val="0"/>
                <w:sz w:val="24"/>
                <w:lang w:val="en-US" w:eastAsia="zh-CN"/>
              </w:rPr>
              <w:t>0</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简要规格描述或项目基本概况介绍、用途：详见采购文件。 </w:t>
            </w:r>
          </w:p>
          <w:p>
            <w:pPr>
              <w:pStyle w:val="64"/>
              <w:spacing w:afterLines="0" w:line="288" w:lineRule="auto"/>
              <w:ind w:left="479" w:leftChars="228"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备注：无。</w:t>
            </w:r>
          </w:p>
          <w:p>
            <w:pPr>
              <w:pStyle w:val="64"/>
              <w:spacing w:afterLines="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w:t>
            </w:r>
            <w:r>
              <w:rPr>
                <w:rFonts w:hint="eastAsia" w:ascii="仿宋" w:hAnsi="仿宋" w:eastAsia="仿宋" w:cs="仿宋"/>
                <w:color w:val="auto"/>
                <w:kern w:val="0"/>
                <w:sz w:val="24"/>
                <w:highlight w:val="none"/>
                <w:lang w:eastAsia="zh-CN"/>
              </w:rPr>
              <w:t>否</w:t>
            </w:r>
            <w:r>
              <w:rPr>
                <w:rFonts w:hint="eastAsia" w:ascii="仿宋" w:hAnsi="仿宋" w:eastAsia="仿宋" w:cs="仿宋"/>
                <w:color w:val="auto"/>
                <w:kern w:val="0"/>
                <w:sz w:val="24"/>
                <w:highlight w:val="none"/>
              </w:rPr>
              <w:t>）接受联合体投标。</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二、申请人的资格要求：</w:t>
            </w:r>
          </w:p>
          <w:p>
            <w:pPr>
              <w:widowControl/>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2.落实政府采购政策需满足的资格要求：无。 </w:t>
            </w:r>
          </w:p>
          <w:p>
            <w:pPr>
              <w:widowControl/>
              <w:snapToGrid w:val="0"/>
              <w:spacing w:line="288"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3.本项目的特定资格要求：具备光纤覆盖及固定网运营能力的通信运营商或有线电视网络运营商或者具有安防二级（含二级）以上资质。</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时间：/至202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8</w:t>
            </w:r>
            <w:r>
              <w:rPr>
                <w:rFonts w:hint="eastAsia" w:ascii="仿宋" w:hAnsi="仿宋" w:eastAsia="仿宋" w:cs="仿宋"/>
                <w:kern w:val="0"/>
                <w:sz w:val="24"/>
              </w:rPr>
              <w:t>月</w:t>
            </w:r>
            <w:r>
              <w:rPr>
                <w:rFonts w:hint="eastAsia" w:ascii="仿宋" w:hAnsi="仿宋" w:eastAsia="仿宋" w:cs="仿宋"/>
                <w:kern w:val="0"/>
                <w:sz w:val="24"/>
                <w:lang w:val="en-US" w:eastAsia="zh-CN"/>
              </w:rPr>
              <w:t>12</w:t>
            </w:r>
            <w:r>
              <w:rPr>
                <w:rFonts w:hint="eastAsia" w:ascii="仿宋" w:hAnsi="仿宋" w:eastAsia="仿宋" w:cs="仿宋"/>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提交投标文件截止时间：202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8</w:t>
            </w:r>
            <w:r>
              <w:rPr>
                <w:rFonts w:hint="eastAsia" w:ascii="仿宋" w:hAnsi="仿宋" w:eastAsia="仿宋" w:cs="仿宋"/>
                <w:kern w:val="0"/>
                <w:sz w:val="24"/>
              </w:rPr>
              <w:t>月</w:t>
            </w:r>
            <w:r>
              <w:rPr>
                <w:rFonts w:hint="eastAsia" w:ascii="仿宋" w:hAnsi="仿宋" w:eastAsia="仿宋" w:cs="仿宋"/>
                <w:kern w:val="0"/>
                <w:sz w:val="24"/>
                <w:lang w:val="en-US" w:eastAsia="zh-CN"/>
              </w:rPr>
              <w:t>12</w:t>
            </w:r>
            <w:r>
              <w:rPr>
                <w:rFonts w:hint="eastAsia" w:ascii="仿宋" w:hAnsi="仿宋" w:eastAsia="仿宋" w:cs="仿宋"/>
                <w:kern w:val="0"/>
                <w:sz w:val="24"/>
              </w:rPr>
              <w:t>日</w:t>
            </w:r>
            <w:r>
              <w:rPr>
                <w:rFonts w:hint="eastAsia" w:ascii="仿宋" w:hAnsi="仿宋" w:eastAsia="仿宋" w:cs="仿宋"/>
                <w:kern w:val="0"/>
                <w:sz w:val="24"/>
                <w:lang w:val="en-US" w:eastAsia="zh-CN"/>
              </w:rPr>
              <w:t>9</w:t>
            </w:r>
            <w:r>
              <w:rPr>
                <w:rFonts w:hint="eastAsia" w:ascii="仿宋" w:hAnsi="仿宋" w:eastAsia="仿宋" w:cs="仿宋"/>
                <w:kern w:val="0"/>
                <w:sz w:val="24"/>
              </w:rPr>
              <w:t>:00（北京时间）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hint="eastAsia"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开标时间：202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8</w:t>
            </w:r>
            <w:r>
              <w:rPr>
                <w:rFonts w:hint="eastAsia" w:ascii="仿宋" w:hAnsi="仿宋" w:eastAsia="仿宋" w:cs="仿宋"/>
                <w:kern w:val="0"/>
                <w:sz w:val="24"/>
              </w:rPr>
              <w:t>月</w:t>
            </w:r>
            <w:r>
              <w:rPr>
                <w:rFonts w:hint="eastAsia" w:ascii="仿宋" w:hAnsi="仿宋" w:eastAsia="仿宋" w:cs="仿宋"/>
                <w:kern w:val="0"/>
                <w:sz w:val="24"/>
                <w:lang w:val="en-US" w:eastAsia="zh-CN"/>
              </w:rPr>
              <w:t>12</w:t>
            </w:r>
            <w:r>
              <w:rPr>
                <w:rFonts w:hint="eastAsia" w:ascii="仿宋" w:hAnsi="仿宋" w:eastAsia="仿宋" w:cs="仿宋"/>
                <w:kern w:val="0"/>
                <w:sz w:val="24"/>
              </w:rPr>
              <w:t>日</w:t>
            </w:r>
            <w:r>
              <w:rPr>
                <w:rFonts w:hint="eastAsia" w:ascii="仿宋" w:hAnsi="仿宋" w:eastAsia="仿宋" w:cs="仿宋"/>
                <w:kern w:val="0"/>
                <w:sz w:val="24"/>
                <w:lang w:val="en-US" w:eastAsia="zh-CN"/>
              </w:rPr>
              <w:t>9</w:t>
            </w:r>
            <w:r>
              <w:rPr>
                <w:rFonts w:hint="eastAsia" w:ascii="仿宋" w:hAnsi="仿宋" w:eastAsia="仿宋" w:cs="仿宋"/>
                <w:kern w:val="0"/>
                <w:sz w:val="24"/>
              </w:rPr>
              <w:t>:00（北京时间）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w:t>
            </w:r>
            <w:r>
              <w:rPr>
                <w:rFonts w:hint="eastAsia" w:ascii="仿宋" w:hAnsi="仿宋" w:eastAsia="仿宋" w:cs="仿宋"/>
                <w:bCs/>
                <w:color w:val="auto"/>
                <w:sz w:val="24"/>
              </w:rPr>
              <w:t>耀华建设管理有限公司绍兴迪荡分公司（</w:t>
            </w:r>
            <w:r>
              <w:rPr>
                <w:rFonts w:hint="eastAsia" w:ascii="仿宋" w:hAnsi="仿宋" w:eastAsia="仿宋" w:cs="仿宋"/>
                <w:color w:val="auto"/>
                <w:kern w:val="0"/>
                <w:sz w:val="24"/>
              </w:rPr>
              <w:t>绍兴市越城区阳明北路80号滨江大厦C楼3楼9/10号</w:t>
            </w:r>
            <w:r>
              <w:rPr>
                <w:rFonts w:hint="eastAsia" w:ascii="仿宋" w:hAnsi="仿宋" w:eastAsia="仿宋" w:cs="仿宋"/>
                <w:bCs/>
                <w:color w:val="auto"/>
                <w:sz w:val="24"/>
              </w:rPr>
              <w:t>）开标室</w:t>
            </w:r>
            <w:r>
              <w:rPr>
                <w:rFonts w:hint="eastAsia" w:ascii="仿宋" w:hAnsi="仿宋" w:eastAsia="仿宋" w:cs="仿宋"/>
                <w:color w:val="auto"/>
                <w:kern w:val="0"/>
                <w:sz w:val="24"/>
                <w:szCs w:val="24"/>
                <w:lang w:eastAsia="zh-CN"/>
              </w:rPr>
              <w:t>。</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名称：绍兴市公安局交通管理局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地址：绍兴市越城区越西路1号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eastAsia="zh-CN"/>
              </w:rPr>
              <w:t xml:space="preserve">项目联系人（询问）：马良海  </w:t>
            </w:r>
          </w:p>
          <w:p>
            <w:pPr>
              <w:widowControl/>
              <w:snapToGrid w:val="0"/>
              <w:spacing w:line="288" w:lineRule="auto"/>
              <w:ind w:firstLine="480" w:firstLineChars="200"/>
              <w:rPr>
                <w:rFonts w:hint="default" w:ascii="仿宋" w:hAnsi="仿宋" w:eastAsia="仿宋" w:cs="仿宋"/>
                <w:kern w:val="0"/>
                <w:sz w:val="24"/>
                <w:lang w:val="en-US" w:eastAsia="zh-CN"/>
              </w:rPr>
            </w:pPr>
            <w:r>
              <w:rPr>
                <w:rFonts w:hint="eastAsia" w:ascii="仿宋" w:hAnsi="仿宋" w:eastAsia="仿宋" w:cs="仿宋"/>
                <w:kern w:val="0"/>
                <w:sz w:val="24"/>
                <w:lang w:eastAsia="zh-CN"/>
              </w:rPr>
              <w:t>项目联系方式（询问）：</w:t>
            </w:r>
            <w:r>
              <w:rPr>
                <w:rFonts w:hint="eastAsia" w:ascii="仿宋" w:hAnsi="仿宋" w:eastAsia="仿宋" w:cs="仿宋"/>
                <w:kern w:val="0"/>
                <w:sz w:val="24"/>
                <w:lang w:val="en-US" w:eastAsia="zh-CN"/>
              </w:rPr>
              <w:t>0575-81500051</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eastAsia="zh-CN"/>
              </w:rPr>
              <w:t xml:space="preserve">质疑联系人：马良海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eastAsia="zh-CN"/>
              </w:rPr>
              <w:t>质疑联系方式：</w:t>
            </w:r>
            <w:r>
              <w:rPr>
                <w:rFonts w:hint="eastAsia" w:ascii="仿宋" w:hAnsi="仿宋" w:eastAsia="仿宋" w:cs="仿宋"/>
                <w:kern w:val="0"/>
                <w:sz w:val="24"/>
                <w:lang w:val="en-US" w:eastAsia="zh-CN"/>
              </w:rPr>
              <w:t>0575-81500051</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2.采购代理机构信息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名称：耀华建设管理有限公司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项目联系人（询问）：</w:t>
            </w:r>
            <w:r>
              <w:rPr>
                <w:rFonts w:hint="eastAsia" w:ascii="仿宋" w:hAnsi="仿宋" w:eastAsia="仿宋" w:cs="仿宋"/>
                <w:kern w:val="0"/>
                <w:sz w:val="24"/>
                <w:lang w:eastAsia="zh-CN"/>
              </w:rPr>
              <w:t>叶梦雯</w:t>
            </w:r>
            <w:bookmarkStart w:id="21" w:name="_GoBack"/>
            <w:bookmarkEnd w:id="21"/>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项目联系方式（询问）：0575-</w:t>
            </w:r>
            <w:r>
              <w:rPr>
                <w:rFonts w:hint="eastAsia" w:ascii="仿宋" w:hAnsi="仿宋" w:eastAsia="仿宋" w:cs="仿宋"/>
                <w:kern w:val="0"/>
                <w:sz w:val="24"/>
                <w:lang w:val="en-US" w:eastAsia="zh-CN"/>
              </w:rPr>
              <w:t>88776697</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质疑联系方式：0575-88</w:t>
            </w:r>
            <w:r>
              <w:rPr>
                <w:rFonts w:hint="eastAsia" w:ascii="仿宋" w:hAnsi="仿宋" w:eastAsia="仿宋" w:cs="仿宋"/>
                <w:kern w:val="0"/>
                <w:sz w:val="24"/>
                <w:lang w:val="en-US" w:eastAsia="zh-CN"/>
              </w:rPr>
              <w:t>336881</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地址：绍兴市越城区凤林西路151号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联系人 ：应春兴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监督投诉电话：0575-85209806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jc w:val="left"/>
        <w:rPr>
          <w:rFonts w:ascii="仿宋" w:hAnsi="仿宋" w:eastAsia="仿宋" w:cs="仿宋"/>
          <w:kern w:val="0"/>
          <w:sz w:val="24"/>
        </w:rPr>
      </w:pPr>
    </w:p>
    <w:p>
      <w:pPr>
        <w:widowControl/>
        <w:spacing w:line="288" w:lineRule="auto"/>
        <w:jc w:val="left"/>
        <w:rPr>
          <w:rFonts w:ascii="仿宋" w:hAnsi="仿宋" w:eastAsia="仿宋" w:cs="仿宋"/>
          <w:kern w:val="0"/>
          <w:sz w:val="24"/>
        </w:rPr>
      </w:pPr>
      <w:r>
        <w:rPr>
          <w:rFonts w:hint="eastAsia" w:ascii="仿宋" w:hAnsi="仿宋" w:eastAsia="仿宋" w:cs="仿宋"/>
          <w:sz w:val="24"/>
        </w:rPr>
        <w:br w:type="page"/>
      </w: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2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营业执照(或事业法人登记证或其他工商等登记证明材料)复印件、</w:t>
            </w:r>
            <w:r>
              <w:rPr>
                <w:rFonts w:hint="eastAsia" w:ascii="仿宋" w:hAnsi="仿宋" w:eastAsia="仿宋" w:cs="仿宋"/>
                <w:sz w:val="24"/>
                <w:lang w:eastAsia="zh-CN"/>
              </w:rPr>
              <w:t>2020年度</w:t>
            </w:r>
            <w:r>
              <w:rPr>
                <w:rFonts w:hint="eastAsia" w:ascii="仿宋" w:hAnsi="仿宋" w:eastAsia="仿宋" w:cs="仿宋"/>
                <w:sz w:val="24"/>
              </w:rPr>
              <w:t>资产负债表等财务报表资料文件(新成立的公司提供情况说明)、参加本次政府采购活动前三年内，在经营活动中没有重大违法记录的声明（详见格式范例）。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55"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《CA驱动和申领流程》:</w:t>
            </w:r>
          </w:p>
          <w:p>
            <w:pPr>
              <w:snapToGrid w:val="0"/>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32"/>
                <w:rFonts w:hint="eastAsia" w:ascii="仿宋" w:hAnsi="仿宋" w:eastAsia="仿宋" w:cs="仿宋"/>
                <w:color w:val="auto"/>
                <w:sz w:val="24"/>
              </w:rPr>
              <w:t>https://help.zcygov.cn/web/site_2/2018/12-28/2573.html</w:t>
            </w:r>
            <w:r>
              <w:rPr>
                <w:rStyle w:val="32"/>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pPr>
              <w:spacing w:line="340" w:lineRule="exact"/>
              <w:rPr>
                <w:rFonts w:ascii="仿宋" w:hAnsi="仿宋" w:eastAsia="仿宋" w:cs="仿宋"/>
                <w:b/>
                <w:bCs/>
                <w:sz w:val="24"/>
              </w:rPr>
            </w:pPr>
            <w:r>
              <w:rPr>
                <w:rFonts w:hint="eastAsia" w:ascii="仿宋" w:hAnsi="仿宋" w:eastAsia="仿宋" w:cs="仿宋"/>
                <w:b/>
                <w:bCs/>
                <w:sz w:val="24"/>
              </w:rPr>
              <w:t>其他：代理服务费</w:t>
            </w:r>
          </w:p>
          <w:p>
            <w:pPr>
              <w:spacing w:line="340" w:lineRule="exact"/>
              <w:rPr>
                <w:rFonts w:ascii="仿宋" w:hAnsi="仿宋" w:eastAsia="仿宋" w:cs="仿宋"/>
                <w:sz w:val="24"/>
              </w:rPr>
            </w:pPr>
            <w:r>
              <w:rPr>
                <w:rFonts w:hint="eastAsia" w:ascii="仿宋" w:hAnsi="仿宋" w:eastAsia="仿宋" w:cs="仿宋"/>
                <w:sz w:val="24"/>
              </w:rPr>
              <w:t>中标人须向招标代理机构交纳代理服务费：</w:t>
            </w:r>
          </w:p>
          <w:p>
            <w:pPr>
              <w:spacing w:line="340" w:lineRule="exact"/>
              <w:rPr>
                <w:rFonts w:ascii="仿宋" w:hAnsi="仿宋" w:eastAsia="仿宋" w:cs="仿宋"/>
                <w:sz w:val="24"/>
              </w:rPr>
            </w:pPr>
            <w:r>
              <w:rPr>
                <w:rFonts w:hint="eastAsia" w:ascii="仿宋" w:hAnsi="仿宋" w:eastAsia="仿宋" w:cs="仿宋"/>
                <w:sz w:val="24"/>
              </w:rPr>
              <w:t>（1）以中标通知中确定的中标总金额作为服务费的计算基数，收费标准参照《国家计委关于印发&lt;招标代理服务收费管理暂行办法&gt;的通知》（计价格[2002]1980号）。收费标准：中标金额在100万以下部分为1.5%，100万-500万部分为0.8%</w:t>
            </w:r>
            <w:r>
              <w:rPr>
                <w:rFonts w:hint="eastAsia" w:ascii="仿宋" w:hAnsi="仿宋" w:eastAsia="仿宋" w:cs="仿宋"/>
                <w:color w:val="000000" w:themeColor="text1"/>
                <w:sz w:val="24"/>
              </w:rPr>
              <w:t>。</w:t>
            </w:r>
          </w:p>
          <w:p>
            <w:pPr>
              <w:spacing w:line="340" w:lineRule="exact"/>
              <w:rPr>
                <w:rFonts w:ascii="仿宋" w:hAnsi="仿宋" w:eastAsia="仿宋" w:cs="仿宋"/>
                <w:sz w:val="24"/>
              </w:rPr>
            </w:pPr>
            <w:r>
              <w:rPr>
                <w:rFonts w:hint="eastAsia" w:ascii="仿宋" w:hAnsi="仿宋" w:eastAsia="仿宋" w:cs="仿宋"/>
                <w:sz w:val="24"/>
              </w:rPr>
              <w:t>（2）代理服务费的交纳方式：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340" w:lineRule="exact"/>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340" w:lineRule="exact"/>
              <w:rPr>
                <w:rFonts w:ascii="仿宋" w:hAnsi="仿宋" w:eastAsia="仿宋" w:cs="仿宋"/>
                <w:sz w:val="24"/>
              </w:rPr>
            </w:pPr>
            <w:r>
              <w:rPr>
                <w:rFonts w:hint="eastAsia" w:ascii="仿宋" w:hAnsi="仿宋" w:eastAsia="仿宋" w:cs="仿宋"/>
                <w:sz w:val="24"/>
              </w:rPr>
              <w:t>账    号：336006190018819003083</w:t>
            </w:r>
          </w:p>
          <w:p>
            <w:pPr>
              <w:spacing w:line="340" w:lineRule="exact"/>
              <w:rPr>
                <w:rFonts w:ascii="仿宋" w:hAnsi="仿宋" w:eastAsia="仿宋" w:cs="仿宋"/>
                <w:sz w:val="24"/>
              </w:rPr>
            </w:pPr>
            <w:r>
              <w:rPr>
                <w:rFonts w:hint="eastAsia" w:ascii="仿宋" w:hAnsi="仿宋" w:eastAsia="仿宋" w:cs="仿宋"/>
                <w:sz w:val="24"/>
              </w:rPr>
              <w:t>开 户 行：交通银行股份有限公司绍兴迪荡支行</w:t>
            </w:r>
          </w:p>
          <w:p>
            <w:pPr>
              <w:spacing w:line="340" w:lineRule="exact"/>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）领取中标通知书前交纳。</w:t>
            </w:r>
          </w:p>
          <w:p>
            <w:pPr>
              <w:snapToGrid w:val="0"/>
              <w:spacing w:line="288" w:lineRule="auto"/>
              <w:rPr>
                <w:rFonts w:ascii="仿宋" w:hAnsi="仿宋" w:eastAsia="仿宋" w:cs="仿宋"/>
                <w:sz w:val="24"/>
              </w:rPr>
            </w:pPr>
            <w:r>
              <w:rPr>
                <w:rFonts w:hint="eastAsia" w:ascii="仿宋" w:hAnsi="仿宋" w:eastAsia="仿宋" w:cs="仿宋"/>
                <w:b/>
                <w:bCs/>
                <w:sz w:val="24"/>
              </w:rPr>
              <w:t>（</w:t>
            </w:r>
            <w:r>
              <w:rPr>
                <w:rFonts w:hint="eastAsia" w:ascii="仿宋" w:hAnsi="仿宋" w:eastAsia="仿宋" w:cs="仿宋"/>
                <w:b/>
                <w:bCs/>
                <w:sz w:val="24"/>
                <w:lang w:val="en-US" w:eastAsia="zh-CN"/>
              </w:rPr>
              <w:t>4</w:t>
            </w:r>
            <w:r>
              <w:rPr>
                <w:rFonts w:hint="eastAsia" w:ascii="仿宋" w:hAnsi="仿宋" w:eastAsia="仿宋" w:cs="仿宋"/>
                <w:b/>
                <w:bCs/>
                <w:sz w:val="24"/>
              </w:rPr>
              <w:t>）潜在</w:t>
            </w:r>
            <w:r>
              <w:rPr>
                <w:rFonts w:hint="eastAsia" w:ascii="仿宋" w:hAnsi="仿宋" w:eastAsia="仿宋" w:cs="仿宋"/>
                <w:b/>
                <w:bCs/>
                <w:sz w:val="24"/>
                <w:lang w:eastAsia="zh-CN"/>
              </w:rPr>
              <w:t>供应商</w:t>
            </w:r>
            <w:r>
              <w:rPr>
                <w:rFonts w:hint="eastAsia" w:ascii="仿宋" w:hAnsi="仿宋" w:eastAsia="仿宋" w:cs="仿宋"/>
                <w:b/>
                <w:bCs/>
                <w:sz w:val="24"/>
              </w:rPr>
              <w:t>因充分考虑此部分费用，参与投标活动时综合考虑</w:t>
            </w:r>
            <w:r>
              <w:rPr>
                <w:rFonts w:hint="eastAsia" w:ascii="仿宋" w:hAnsi="仿宋" w:eastAsia="仿宋" w:cs="仿宋"/>
                <w:b/>
                <w:bCs/>
                <w:sz w:val="24"/>
                <w:lang w:eastAsia="zh-CN"/>
              </w:rPr>
              <w:t>在报价中</w:t>
            </w:r>
            <w:r>
              <w:rPr>
                <w:rFonts w:hint="eastAsia" w:ascii="仿宋" w:hAnsi="仿宋" w:eastAsia="仿宋" w:cs="仿宋"/>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pStyle w:val="2"/>
        <w:numPr>
          <w:ilvl w:val="0"/>
          <w:numId w:val="0"/>
        </w:numPr>
        <w:ind w:leftChars="0"/>
      </w:pP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一、总则</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b/>
          <w:bCs/>
          <w:sz w:val="24"/>
        </w:rPr>
        <w:t>1. 项目说明</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2.1政府采购当事人及监管部门：绍兴市公安局交通管理局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2.2“产品”系指供方按招标文件规定，经合法途径取得的，须向采购人提供的一切产品、保险、税金、安装、施工、调试、备品备件、工具、手册及其它有关技术资料和材料。</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2.3“服务”系指招标文件规定投标人须承担的安装、调试、技术协助、校准、培训、技术指导以及其他类似的义务。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2.4“项目”系指投标人按招标文件规定向采购人提供的产品和服务。</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2.5“授权代表”系指法定代表人的被授权委托人。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 节能环保要求</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★4.特别说明：</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8"/>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4.1 招标文件包括本招标文件及所有的招标答疑记录（澄清、修改）和发出的补充通知。</w:t>
      </w:r>
    </w:p>
    <w:p>
      <w:pPr>
        <w:snapToGrid w:val="0"/>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snapToGrid w:val="0"/>
        <w:spacing w:line="284" w:lineRule="auto"/>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rPr>
      </w:pPr>
      <w:r>
        <w:rPr>
          <w:rFonts w:hint="eastAsia" w:ascii="仿宋" w:hAnsi="仿宋" w:eastAsia="仿宋" w:cs="仿宋"/>
          <w:sz w:val="24"/>
        </w:rPr>
        <w:t>4.3招标文件的修改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ind w:firstLine="480" w:firstLineChars="200"/>
        <w:jc w:val="left"/>
        <w:rPr>
          <w:rFonts w:ascii="仿宋" w:hAnsi="仿宋" w:eastAsia="仿宋" w:cs="仿宋"/>
          <w:b/>
          <w:sz w:val="36"/>
          <w:szCs w:val="36"/>
        </w:rPr>
      </w:pPr>
      <w:r>
        <w:rPr>
          <w:rFonts w:hint="eastAsia" w:ascii="仿宋" w:hAnsi="仿宋" w:eastAsia="仿宋" w:cs="仿宋"/>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三、投标文件</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1.投标文件的语言、计量单位、形式及效力</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288" w:lineRule="auto"/>
        <w:ind w:firstLine="472" w:firstLineChars="196"/>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2.投标文件的组成</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投标文件由“报价文件资料”、“商务技术（资信）文件资料”两部分组成，其中</w:t>
      </w:r>
      <w:r>
        <w:rPr>
          <w:rFonts w:hint="eastAsia" w:ascii="仿宋" w:hAnsi="仿宋" w:eastAsia="仿宋" w:cs="仿宋"/>
          <w:b/>
          <w:color w:val="000000" w:themeColor="text1"/>
          <w:sz w:val="24"/>
        </w:rPr>
        <w:t>电子投标文件中所须加盖公章部分均应采用电子签章。</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 “报价文件资料”应包含以下内容：</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2.1.1投标响应函（格式见第六部分附件）；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2.1.2开标一览表（格式见第六部分附件）；</w:t>
      </w:r>
    </w:p>
    <w:p>
      <w:pPr>
        <w:pStyle w:val="15"/>
        <w:spacing w:line="288" w:lineRule="auto"/>
        <w:ind w:left="0" w:leftChars="0"/>
        <w:jc w:val="left"/>
        <w:rPr>
          <w:rFonts w:ascii="仿宋" w:hAnsi="仿宋" w:eastAsia="仿宋" w:cs="仿宋"/>
          <w:color w:val="000000" w:themeColor="text1"/>
          <w:sz w:val="24"/>
        </w:rPr>
      </w:pPr>
      <w:r>
        <w:rPr>
          <w:rFonts w:hint="eastAsia" w:ascii="仿宋" w:hAnsi="仿宋" w:eastAsia="仿宋" w:cs="仿宋"/>
          <w:color w:val="000000" w:themeColor="text1"/>
          <w:sz w:val="24"/>
        </w:rPr>
        <w:t>2.1.3小微企业声明函及证明资料（如有，格式见第六部分附件）；</w:t>
      </w:r>
    </w:p>
    <w:p>
      <w:pPr>
        <w:pStyle w:val="15"/>
        <w:spacing w:line="288" w:lineRule="auto"/>
        <w:ind w:left="0" w:leftChars="0"/>
        <w:jc w:val="left"/>
        <w:rPr>
          <w:rFonts w:ascii="仿宋" w:hAnsi="仿宋" w:eastAsia="仿宋" w:cs="仿宋"/>
          <w:color w:val="000000" w:themeColor="text1"/>
          <w:sz w:val="24"/>
        </w:rPr>
      </w:pPr>
      <w:r>
        <w:rPr>
          <w:rFonts w:hint="eastAsia" w:ascii="仿宋" w:hAnsi="仿宋" w:eastAsia="仿宋" w:cs="仿宋"/>
          <w:color w:val="000000" w:themeColor="text1"/>
          <w:sz w:val="24"/>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 “商务技术（资信）文件资料”应包括以下内容（正本用原件）：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2.2.1法定代表人授权委托书(格式见第六部分附件)；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2.2.2授权代表社保证明（格式见第六部分附件）；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2.2.3法定代表人身份证明书（格式见第六部分附件）；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2.2.4 企业法人营业执照副本复印件（加盖单位公章）；</w:t>
      </w:r>
    </w:p>
    <w:p>
      <w:pPr>
        <w:snapToGrid w:val="0"/>
        <w:spacing w:line="288" w:lineRule="auto"/>
        <w:jc w:val="left"/>
        <w:rPr>
          <w:rFonts w:ascii="仿宋" w:hAnsi="仿宋" w:eastAsia="仿宋" w:cs="仿宋"/>
          <w:color w:val="000000" w:themeColor="text1"/>
          <w:kern w:val="0"/>
          <w:sz w:val="24"/>
        </w:rPr>
      </w:pPr>
      <w:r>
        <w:rPr>
          <w:rFonts w:hint="eastAsia" w:ascii="仿宋" w:hAnsi="仿宋" w:eastAsia="仿宋" w:cs="仿宋"/>
          <w:color w:val="000000" w:themeColor="text1"/>
          <w:sz w:val="24"/>
        </w:rPr>
        <w:t>2.2.5相关资质证明或文件复印件（加盖单位公章）；（均需加盖公章）：</w:t>
      </w:r>
      <w:r>
        <w:rPr>
          <w:rFonts w:hint="eastAsia" w:ascii="仿宋" w:hAnsi="仿宋" w:eastAsia="仿宋" w:cs="仿宋"/>
          <w:color w:val="000000" w:themeColor="text1"/>
          <w:kern w:val="0"/>
          <w:sz w:val="24"/>
        </w:rPr>
        <w:t>证明其符合《中华人民共和国政府采购法》规定的供应商基本条件和采购项目对供应商的特定要求</w:t>
      </w:r>
      <w:r>
        <w:rPr>
          <w:rFonts w:hint="eastAsia" w:ascii="仿宋" w:hAnsi="仿宋" w:eastAsia="仿宋" w:cs="仿宋"/>
          <w:color w:val="000000" w:themeColor="text1"/>
          <w:sz w:val="24"/>
        </w:rPr>
        <w:t>（如果项目要求）</w:t>
      </w:r>
      <w:r>
        <w:rPr>
          <w:rFonts w:hint="eastAsia" w:ascii="仿宋" w:hAnsi="仿宋" w:eastAsia="仿宋" w:cs="仿宋"/>
          <w:color w:val="000000" w:themeColor="text1"/>
          <w:kern w:val="0"/>
          <w:sz w:val="24"/>
        </w:rPr>
        <w:t>的有关资格证明文件。</w:t>
      </w:r>
    </w:p>
    <w:p>
      <w:pPr>
        <w:pStyle w:val="14"/>
        <w:spacing w:line="288" w:lineRule="auto"/>
        <w:ind w:firstLine="480" w:firstLineChars="200"/>
        <w:jc w:val="left"/>
        <w:rPr>
          <w:rFonts w:ascii="仿宋" w:hAnsi="仿宋" w:eastAsia="仿宋" w:cs="仿宋"/>
          <w:color w:val="000000" w:themeColor="text1"/>
          <w:sz w:val="24"/>
        </w:rPr>
      </w:pPr>
      <w:bookmarkStart w:id="0" w:name="_Hlt68072998"/>
      <w:bookmarkEnd w:id="0"/>
      <w:bookmarkStart w:id="1" w:name="_Hlt68073093"/>
      <w:bookmarkEnd w:id="1"/>
      <w:bookmarkStart w:id="2" w:name="_Hlt68403820"/>
      <w:bookmarkEnd w:id="2"/>
      <w:r>
        <w:rPr>
          <w:rFonts w:hint="eastAsia" w:ascii="仿宋" w:hAnsi="仿宋" w:eastAsia="仿宋" w:cs="仿宋"/>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4"/>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sz w:val="24"/>
        </w:rPr>
        <w:t>（2）</w:t>
      </w:r>
      <w:r>
        <w:rPr>
          <w:rFonts w:hint="eastAsia" w:ascii="仿宋" w:hAnsi="仿宋" w:eastAsia="仿宋" w:cs="仿宋"/>
          <w:sz w:val="24"/>
          <w:lang w:eastAsia="zh-CN"/>
        </w:rPr>
        <w:t>2020年度</w:t>
      </w:r>
      <w:r>
        <w:rPr>
          <w:rFonts w:hint="eastAsia" w:ascii="仿宋" w:hAnsi="仿宋" w:eastAsia="仿宋" w:cs="仿宋"/>
          <w:sz w:val="24"/>
        </w:rPr>
        <w:t>资产负债表等财</w:t>
      </w:r>
      <w:r>
        <w:rPr>
          <w:rFonts w:hint="eastAsia" w:ascii="仿宋" w:hAnsi="仿宋" w:eastAsia="仿宋" w:cs="仿宋"/>
          <w:color w:val="000000" w:themeColor="text1"/>
          <w:sz w:val="24"/>
        </w:rPr>
        <w:t>务报表资料文件(新成立的公司提供情况证明)；</w:t>
      </w:r>
    </w:p>
    <w:p>
      <w:pPr>
        <w:pStyle w:val="14"/>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（3）具有履行合同所必需的设备和专业技术能力的承诺函；</w:t>
      </w:r>
    </w:p>
    <w:p>
      <w:pPr>
        <w:spacing w:line="288" w:lineRule="auto"/>
        <w:ind w:firstLine="480" w:firstLineChars="200"/>
        <w:jc w:val="left"/>
        <w:rPr>
          <w:rFonts w:ascii="仿宋" w:hAnsi="仿宋" w:eastAsia="仿宋" w:cs="仿宋"/>
          <w:color w:val="000000" w:themeColor="text1"/>
          <w:sz w:val="24"/>
          <w:szCs w:val="20"/>
        </w:rPr>
      </w:pPr>
      <w:r>
        <w:rPr>
          <w:rFonts w:hint="eastAsia" w:ascii="仿宋" w:hAnsi="仿宋" w:eastAsia="仿宋" w:cs="仿宋"/>
          <w:color w:val="000000" w:themeColor="text1"/>
          <w:sz w:val="24"/>
        </w:rPr>
        <w:t>（4）参加本次政府采购活动前三年内，在经营活动中没有重大违法记录的声明（</w:t>
      </w:r>
      <w:r>
        <w:rPr>
          <w:rFonts w:hint="eastAsia" w:ascii="仿宋" w:hAnsi="仿宋" w:eastAsia="仿宋" w:cs="仿宋"/>
          <w:color w:val="000000" w:themeColor="text1"/>
          <w:sz w:val="24"/>
          <w:szCs w:val="20"/>
        </w:rPr>
        <w:t>需要特别声明“没有因违反《浙江省政府采购供应商注册及诚信管理暂行办法》被列入‘黑名单’，在处罚有效期”）；</w:t>
      </w:r>
    </w:p>
    <w:p>
      <w:pPr>
        <w:spacing w:line="288" w:lineRule="auto"/>
        <w:ind w:firstLine="480" w:firstLineChars="200"/>
        <w:jc w:val="left"/>
        <w:rPr>
          <w:rFonts w:ascii="仿宋" w:hAnsi="仿宋" w:eastAsia="仿宋" w:cs="仿宋"/>
          <w:color w:val="000000" w:themeColor="text1"/>
          <w:sz w:val="24"/>
          <w:szCs w:val="20"/>
        </w:rPr>
      </w:pPr>
      <w:r>
        <w:rPr>
          <w:rFonts w:hint="eastAsia" w:ascii="仿宋" w:hAnsi="仿宋" w:eastAsia="仿宋" w:cs="仿宋"/>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jc w:val="left"/>
        <w:rPr>
          <w:rFonts w:ascii="仿宋" w:hAnsi="仿宋" w:eastAsia="仿宋" w:cs="仿宋"/>
          <w:color w:val="000000" w:themeColor="text1"/>
          <w:sz w:val="24"/>
          <w:szCs w:val="20"/>
        </w:rPr>
      </w:pPr>
      <w:r>
        <w:rPr>
          <w:rFonts w:hint="eastAsia" w:ascii="仿宋" w:hAnsi="仿宋" w:eastAsia="仿宋" w:cs="仿宋"/>
          <w:color w:val="000000" w:themeColor="text1"/>
          <w:kern w:val="0"/>
          <w:sz w:val="24"/>
        </w:rPr>
        <w:t>(6</w:t>
      </w:r>
      <w:r>
        <w:rPr>
          <w:rFonts w:hint="eastAsia" w:ascii="仿宋" w:hAnsi="仿宋" w:eastAsia="仿宋" w:cs="仿宋"/>
          <w:color w:val="000000" w:themeColor="text1"/>
          <w:sz w:val="24"/>
        </w:rPr>
        <w:t>)</w:t>
      </w:r>
      <w:r>
        <w:rPr>
          <w:rFonts w:hint="eastAsia" w:ascii="仿宋" w:hAnsi="仿宋" w:eastAsia="仿宋" w:cs="仿宋"/>
          <w:color w:val="000000" w:themeColor="text1"/>
          <w:sz w:val="24"/>
          <w:szCs w:val="20"/>
        </w:rPr>
        <w:t>提供依法缴纳税收和社会保障资金的良好记录证明，税收和社保证明打印时间不得早于投标截止时间前1个月；</w:t>
      </w:r>
    </w:p>
    <w:p>
      <w:pPr>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kern w:val="0"/>
          <w:sz w:val="24"/>
        </w:rPr>
        <w:t>(7</w:t>
      </w:r>
      <w:r>
        <w:rPr>
          <w:rFonts w:hint="eastAsia" w:ascii="仿宋" w:hAnsi="仿宋" w:eastAsia="仿宋" w:cs="仿宋"/>
          <w:color w:val="000000" w:themeColor="text1"/>
          <w:sz w:val="24"/>
        </w:rPr>
        <w:t>)符合特定资格条件的有关证明材料（复印件加盖单位公章）；</w:t>
      </w:r>
    </w:p>
    <w:p>
      <w:pPr>
        <w:pStyle w:val="14"/>
        <w:snapToGrid w:val="0"/>
        <w:spacing w:line="288" w:lineRule="auto"/>
        <w:jc w:val="left"/>
        <w:rPr>
          <w:rFonts w:ascii="仿宋" w:hAnsi="仿宋" w:eastAsia="仿宋" w:cs="仿宋"/>
          <w:color w:val="000000" w:themeColor="text1"/>
          <w:sz w:val="24"/>
          <w:lang w:val="zh-CN"/>
        </w:rPr>
      </w:pPr>
      <w:r>
        <w:rPr>
          <w:rFonts w:hint="eastAsia" w:ascii="仿宋" w:hAnsi="仿宋" w:eastAsia="仿宋" w:cs="仿宋"/>
          <w:color w:val="000000" w:themeColor="text1"/>
          <w:sz w:val="24"/>
        </w:rPr>
        <w:t>2.2.6</w:t>
      </w:r>
      <w:r>
        <w:rPr>
          <w:rFonts w:hint="eastAsia" w:ascii="仿宋" w:hAnsi="仿宋" w:eastAsia="仿宋" w:cs="仿宋"/>
          <w:color w:val="000000" w:themeColor="text1"/>
          <w:sz w:val="24"/>
          <w:lang w:val="zh-CN"/>
        </w:rPr>
        <w:t>投标人应提供针对项目的完整技术解决方案：</w:t>
      </w:r>
    </w:p>
    <w:p>
      <w:pPr>
        <w:snapToGrid w:val="0"/>
        <w:spacing w:line="288" w:lineRule="auto"/>
        <w:ind w:firstLine="480" w:firstLineChars="200"/>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color w:val="000000" w:themeColor="text1"/>
          <w:sz w:val="24"/>
        </w:rPr>
      </w:pPr>
      <w:r>
        <w:rPr>
          <w:rFonts w:hint="eastAsia" w:ascii="仿宋" w:hAnsi="仿宋" w:eastAsia="仿宋" w:cs="仿宋"/>
          <w:b/>
          <w:color w:val="000000" w:themeColor="text1"/>
          <w:sz w:val="24"/>
        </w:rPr>
        <w:t>如果本项目涉及硬件设备采购，还需提供相关设备完整配置方案（设备名称、品牌、规格型号、数量、主要技术参数等）</w:t>
      </w: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提供主要投标产品的技术参数证明材料（如原厂技术说明、官网截图、产品彩页等），</w:t>
      </w:r>
      <w:r>
        <w:rPr>
          <w:rFonts w:hint="eastAsia" w:ascii="仿宋" w:hAnsi="仿宋" w:eastAsia="仿宋" w:cs="仿宋"/>
          <w:color w:val="000000" w:themeColor="text1"/>
          <w:sz w:val="24"/>
        </w:rPr>
        <w:t>明确表示该项指标所涉及的软硬件是标准配置还是选择配置</w:t>
      </w:r>
      <w:r>
        <w:rPr>
          <w:rFonts w:hint="eastAsia" w:ascii="仿宋" w:hAnsi="仿宋" w:eastAsia="仿宋" w:cs="仿宋"/>
          <w:b/>
          <w:color w:val="000000" w:themeColor="text1"/>
          <w:sz w:val="24"/>
        </w:rPr>
        <w:t>（所有技术指标表述均应采用中文，如当前公布的技术指标只有英文表述的，必须由投标人作出中文注释，否则</w:t>
      </w:r>
      <w:r>
        <w:rPr>
          <w:rFonts w:hint="eastAsia" w:ascii="仿宋" w:hAnsi="仿宋" w:eastAsia="仿宋" w:cs="仿宋"/>
          <w:b/>
          <w:color w:val="000000" w:themeColor="text1"/>
          <w:kern w:val="0"/>
          <w:sz w:val="24"/>
          <w:lang w:val="zh-CN"/>
        </w:rPr>
        <w:t>任何含糊不清的</w:t>
      </w:r>
      <w:r>
        <w:rPr>
          <w:rFonts w:hint="eastAsia" w:ascii="仿宋" w:hAnsi="仿宋" w:eastAsia="仿宋" w:cs="仿宋"/>
          <w:b/>
          <w:color w:val="000000" w:themeColor="text1"/>
          <w:sz w:val="24"/>
        </w:rPr>
        <w:t>表述导致</w:t>
      </w:r>
      <w:r>
        <w:rPr>
          <w:rFonts w:hint="eastAsia" w:ascii="仿宋" w:hAnsi="仿宋" w:eastAsia="仿宋" w:cs="仿宋"/>
          <w:b/>
          <w:color w:val="000000" w:themeColor="text1"/>
          <w:kern w:val="0"/>
          <w:sz w:val="24"/>
          <w:lang w:val="zh-CN"/>
        </w:rPr>
        <w:t>评标委员会技术扣分直至认定为投标无效都将是投标人的责任）</w:t>
      </w:r>
      <w:r>
        <w:rPr>
          <w:rFonts w:hint="eastAsia" w:ascii="仿宋" w:hAnsi="仿宋" w:eastAsia="仿宋" w:cs="仿宋"/>
          <w:color w:val="000000" w:themeColor="text1"/>
          <w:sz w:val="24"/>
        </w:rPr>
        <w:t>。</w:t>
      </w:r>
    </w:p>
    <w:p>
      <w:pPr>
        <w:tabs>
          <w:tab w:val="left" w:pos="3870"/>
          <w:tab w:val="left" w:pos="4085"/>
        </w:tabs>
        <w:snapToGrid w:val="0"/>
        <w:spacing w:line="288" w:lineRule="auto"/>
        <w:ind w:firstLine="470" w:firstLineChars="196"/>
        <w:jc w:val="left"/>
        <w:rPr>
          <w:rFonts w:ascii="仿宋" w:hAnsi="仿宋" w:eastAsia="仿宋" w:cs="仿宋"/>
          <w:color w:val="000000" w:themeColor="text1"/>
          <w:sz w:val="24"/>
        </w:rPr>
      </w:pPr>
      <w:r>
        <w:rPr>
          <w:rFonts w:hint="eastAsia" w:ascii="仿宋" w:hAnsi="仿宋" w:eastAsia="仿宋" w:cs="仿宋"/>
          <w:color w:val="000000" w:themeColor="text1"/>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rPr>
        <w:t>2.2.9</w:t>
      </w:r>
      <w:r>
        <w:rPr>
          <w:rFonts w:hint="eastAsia" w:ascii="仿宋" w:hAnsi="仿宋" w:eastAsia="仿宋" w:cs="仿宋"/>
          <w:color w:val="000000" w:themeColor="text1"/>
          <w:sz w:val="24"/>
        </w:rPr>
        <w:t>投标人在投标文件技术偏离说明表中，</w:t>
      </w:r>
      <w:r>
        <w:rPr>
          <w:rFonts w:hint="eastAsia" w:ascii="仿宋" w:hAnsi="仿宋" w:eastAsia="仿宋" w:cs="仿宋"/>
          <w:color w:val="000000" w:themeColor="text1"/>
          <w:kern w:val="0"/>
          <w:sz w:val="24"/>
          <w:lang w:val="zh-CN"/>
        </w:rPr>
        <w:t>应对</w:t>
      </w:r>
      <w:r>
        <w:rPr>
          <w:rFonts w:hint="eastAsia" w:ascii="仿宋" w:hAnsi="仿宋" w:eastAsia="仿宋" w:cs="仿宋"/>
          <w:color w:val="000000" w:themeColor="text1"/>
          <w:sz w:val="24"/>
        </w:rPr>
        <w:t>项目技术规范和服务要求</w:t>
      </w:r>
      <w:r>
        <w:rPr>
          <w:rFonts w:hint="eastAsia" w:ascii="仿宋" w:hAnsi="仿宋" w:eastAsia="仿宋" w:cs="仿宋"/>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2.2.14培训计划；（如果有）</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2.2.15验收方案；</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2.2.16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2.2.17</w:t>
      </w:r>
      <w:r>
        <w:rPr>
          <w:rFonts w:hint="eastAsia" w:ascii="仿宋" w:hAnsi="仿宋" w:eastAsia="仿宋" w:cs="仿宋"/>
          <w:color w:val="000000" w:themeColor="text1"/>
          <w:sz w:val="24"/>
          <w:u w:val="wave"/>
        </w:rPr>
        <w:t>未尽事宜请各投标单位按评分细则和相对应标项相关要求制作(重要)</w:t>
      </w:r>
      <w:r>
        <w:rPr>
          <w:rFonts w:hint="eastAsia" w:ascii="仿宋" w:hAnsi="仿宋" w:eastAsia="仿宋" w:cs="仿宋"/>
          <w:color w:val="000000" w:themeColor="text1"/>
          <w:sz w:val="24"/>
        </w:rPr>
        <w:t>；</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2.2.18投标人需要说明的其他文件和说明（格式自拟）。</w:t>
      </w:r>
    </w:p>
    <w:p>
      <w:pPr>
        <w:snapToGrid w:val="0"/>
        <w:spacing w:line="288" w:lineRule="auto"/>
        <w:ind w:firstLine="480" w:firstLineChars="200"/>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3.投标报价</w:t>
      </w:r>
    </w:p>
    <w:p>
      <w:pPr>
        <w:pStyle w:val="14"/>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3.1投标人应按招标文件中《开标一览表》等附表要求填写。</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3.2报价为采购人可以合格使用产品的价格，包括货款、包装、运输、保险、货到就位以及安装、调试、培训、保修及产品知识产权等一切费用。</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
          <w:i/>
          <w:color w:val="000000" w:themeColor="text1"/>
          <w:sz w:val="24"/>
        </w:rPr>
        <w:t>投标报价只允许有一个报价，有选择的报价将不予接受（除指定外）。</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4.投标文件的有效期</w:t>
      </w:r>
    </w:p>
    <w:p>
      <w:pPr>
        <w:pStyle w:val="14"/>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4.1投标有效期为从提交投标文件的截止之日起90天。</w:t>
      </w:r>
      <w:r>
        <w:rPr>
          <w:rFonts w:hint="eastAsia" w:ascii="仿宋" w:hAnsi="仿宋" w:eastAsia="仿宋" w:cs="仿宋"/>
          <w:b/>
          <w:bCs/>
          <w:color w:val="000000" w:themeColor="text1"/>
          <w:sz w:val="24"/>
        </w:rPr>
        <w:t>投标人的投标文件中承诺的投标有效期少于招标文件中载明的投标有效期的，投标无效。</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4.2在特殊情况下，招标人可与投标人协商延长投标书的有效期，这种要求和答复均以书面形式进行。</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5.投标文件的规定</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5.1投标文件由“商务技术（资信）文件资料”、“报价文件资料”两部分文件组成，应按统一格式填写。</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5.2投标文件须按附件格式要求进行电子签章，投标人应写全称。</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5.4投标文件因字迹潦草或表达不清所引起的后果由投标人负责。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6.投标文件的提交</w:t>
      </w:r>
    </w:p>
    <w:p>
      <w:pPr>
        <w:snapToGrid w:val="0"/>
        <w:spacing w:line="288" w:lineRule="auto"/>
        <w:ind w:firstLine="480" w:firstLineChars="200"/>
        <w:jc w:val="left"/>
        <w:rPr>
          <w:rFonts w:ascii="仿宋" w:hAnsi="仿宋" w:eastAsia="仿宋" w:cs="仿宋"/>
          <w:b/>
          <w:color w:val="000000" w:themeColor="text1"/>
          <w:sz w:val="24"/>
        </w:rPr>
      </w:pPr>
      <w:r>
        <w:rPr>
          <w:rFonts w:hint="eastAsia" w:ascii="仿宋" w:hAnsi="仿宋" w:eastAsia="仿宋" w:cs="仿宋"/>
          <w:color w:val="000000" w:themeColor="text1"/>
          <w:sz w:val="24"/>
        </w:rPr>
        <w:t>投标人应按“招标公告”规定的时间、方式将投标文件提交给采购代理机构，</w:t>
      </w:r>
      <w:r>
        <w:rPr>
          <w:rFonts w:hint="eastAsia" w:ascii="仿宋" w:hAnsi="仿宋" w:eastAsia="仿宋" w:cs="仿宋"/>
          <w:b/>
          <w:color w:val="000000" w:themeColor="text1"/>
          <w:sz w:val="24"/>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7.</w:t>
      </w:r>
      <w:r>
        <w:rPr>
          <w:rFonts w:hint="eastAsia" w:ascii="仿宋" w:hAnsi="仿宋" w:eastAsia="仿宋" w:cs="仿宋"/>
          <w:b/>
          <w:color w:val="000000" w:themeColor="text1"/>
          <w:kern w:val="0"/>
          <w:sz w:val="24"/>
        </w:rPr>
        <w:t>投标文件的补充和修改</w:t>
      </w:r>
    </w:p>
    <w:p>
      <w:pPr>
        <w:spacing w:line="288" w:lineRule="auto"/>
        <w:ind w:firstLine="480" w:firstLineChars="200"/>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四、开标和评标</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3.评标</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3.5</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3.6评标委员会不向落标方解释落标的原因。</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w:t>
      </w:r>
      <w:r>
        <w:rPr>
          <w:rFonts w:hint="eastAsia" w:ascii="仿宋" w:hAnsi="仿宋" w:eastAsia="仿宋" w:cs="仿宋"/>
          <w:bCs/>
          <w:color w:val="000000" w:themeColor="text1"/>
          <w:sz w:val="24"/>
        </w:rPr>
        <w:t>修正后的报价按照财政部公布第87号令 《政府采购货物和服务招标投标管理办法》</w:t>
      </w:r>
      <w:r>
        <w:rPr>
          <w:rFonts w:hint="eastAsia" w:ascii="仿宋" w:hAnsi="仿宋" w:eastAsia="仿宋" w:cs="仿宋"/>
          <w:color w:val="000000" w:themeColor="text1"/>
          <w:sz w:val="24"/>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6.8评标委员会依据招标文件规定的评标标准和方法，对投标文件进行评审和比较后，向耀华建设管理有限公司提供书面评标报告，并按得分高低排序推荐中标候选供应商。</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8.投标文件的澄清</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9.1未按照招标文件规定要求签署、盖章的；</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 xml:space="preserve">9.3为采购项目提供整体设计、规范编制或者项目管理、监理、检测等服务的供应商参加该采购项目的其他采购活动的；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9.9报</w:t>
      </w:r>
      <w:r>
        <w:rPr>
          <w:rFonts w:hint="eastAsia" w:ascii="仿宋" w:hAnsi="仿宋" w:eastAsia="仿宋" w:cs="仿宋"/>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9.10</w:t>
      </w:r>
      <w:r>
        <w:rPr>
          <w:rFonts w:hint="eastAsia" w:ascii="仿宋" w:hAnsi="仿宋" w:eastAsia="仿宋" w:cs="仿宋"/>
          <w:b/>
          <w:color w:val="000000" w:themeColor="text1"/>
          <w:sz w:val="24"/>
        </w:rPr>
        <w:t>未按招标文件规定的格式填写，或</w:t>
      </w:r>
      <w:r>
        <w:rPr>
          <w:rFonts w:hint="eastAsia" w:ascii="仿宋" w:hAnsi="仿宋" w:eastAsia="仿宋" w:cs="仿宋"/>
          <w:b/>
          <w:color w:val="000000" w:themeColor="text1"/>
          <w:sz w:val="24"/>
          <w:szCs w:val="20"/>
        </w:rPr>
        <w:t>对招标</w:t>
      </w:r>
      <w:r>
        <w:rPr>
          <w:rFonts w:hint="eastAsia" w:ascii="仿宋" w:hAnsi="仿宋" w:eastAsia="仿宋" w:cs="仿宋"/>
          <w:b/>
          <w:color w:val="000000" w:themeColor="text1"/>
          <w:sz w:val="24"/>
        </w:rPr>
        <w:t>服务或技术或产品等要求</w:t>
      </w:r>
      <w:r>
        <w:rPr>
          <w:rFonts w:hint="eastAsia" w:ascii="仿宋" w:hAnsi="仿宋" w:eastAsia="仿宋" w:cs="仿宋"/>
          <w:b/>
          <w:color w:val="000000" w:themeColor="text1"/>
          <w:sz w:val="24"/>
          <w:szCs w:val="20"/>
        </w:rPr>
        <w:t>未详细应答或应答</w:t>
      </w:r>
      <w:r>
        <w:rPr>
          <w:rFonts w:hint="eastAsia" w:ascii="仿宋" w:hAnsi="仿宋" w:eastAsia="仿宋" w:cs="仿宋"/>
          <w:b/>
          <w:color w:val="000000" w:themeColor="text1"/>
          <w:sz w:val="24"/>
        </w:rPr>
        <w:t>内容不全、有缺失的,经评标委员会认定为无法评审的；</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9.11出现同一标的物或本次招标产品(服务)内的主要产品(重要组成部分)出现</w:t>
      </w:r>
      <w:r>
        <w:rPr>
          <w:rFonts w:hint="eastAsia" w:ascii="仿宋" w:hAnsi="仿宋" w:eastAsia="仿宋" w:cs="仿宋"/>
          <w:b/>
          <w:color w:val="000000" w:themeColor="text1"/>
          <w:sz w:val="24"/>
        </w:rPr>
        <w:t>商务技术（资信）文件资料</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报价文件资料</w:t>
      </w:r>
      <w:r>
        <w:rPr>
          <w:rFonts w:hint="eastAsia" w:ascii="仿宋" w:hAnsi="仿宋" w:eastAsia="仿宋" w:cs="仿宋"/>
          <w:b/>
          <w:color w:val="000000" w:themeColor="text1"/>
          <w:sz w:val="24"/>
          <w:szCs w:val="24"/>
        </w:rPr>
        <w:t>描述不一致或前后描述不一致，经评标委员会认定后为无法评审的；</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9.12《技</w:t>
      </w:r>
      <w:r>
        <w:rPr>
          <w:rFonts w:hint="eastAsia" w:ascii="仿宋" w:hAnsi="仿宋" w:eastAsia="仿宋" w:cs="仿宋"/>
          <w:b/>
          <w:color w:val="000000" w:themeColor="text1"/>
          <w:sz w:val="24"/>
        </w:rPr>
        <w:t>术偏离说明表</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9.13投</w:t>
      </w:r>
      <w:r>
        <w:rPr>
          <w:rFonts w:hint="eastAsia" w:ascii="仿宋" w:hAnsi="仿宋" w:eastAsia="仿宋" w:cs="仿宋"/>
          <w:b/>
          <w:color w:val="000000" w:themeColor="text1"/>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9.14评</w:t>
      </w:r>
      <w:r>
        <w:rPr>
          <w:rFonts w:hint="eastAsia" w:ascii="仿宋" w:hAnsi="仿宋" w:eastAsia="仿宋" w:cs="仿宋"/>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rPr>
      </w:pPr>
      <w:r>
        <w:rPr>
          <w:rFonts w:hint="eastAsia" w:ascii="仿宋" w:hAnsi="仿宋" w:eastAsia="仿宋" w:cs="仿宋"/>
          <w:b/>
          <w:color w:val="000000" w:themeColor="text1"/>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9.20.5其他弄虚作假的行为。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9.22有下列情形之一的，属于恶意串通，其投标无效：</w:t>
      </w:r>
    </w:p>
    <w:p>
      <w:pPr>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9.22.1供应商直接或者间接从采购人或者采购代理机构处获得其他供应商的相关情况并修改其投标文件或者响应文件；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9.22.5供应商之间事先约定由某一特定供应商中标、成交；</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szCs w:val="21"/>
        </w:rPr>
        <w:t>9.23</w:t>
      </w:r>
      <w:r>
        <w:rPr>
          <w:rFonts w:hint="eastAsia" w:ascii="仿宋" w:hAnsi="仿宋" w:eastAsia="仿宋" w:cs="仿宋"/>
          <w:b/>
          <w:color w:val="000000" w:themeColor="text1"/>
          <w:sz w:val="24"/>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9.24报价文件中出现2个(含)以上的报价或方案的；</w:t>
      </w:r>
    </w:p>
    <w:p>
      <w:pPr>
        <w:spacing w:line="288" w:lineRule="auto"/>
        <w:rPr>
          <w:rFonts w:ascii="仿宋" w:hAnsi="仿宋" w:eastAsia="仿宋" w:cs="仿宋"/>
          <w:color w:val="000000" w:themeColor="text1"/>
        </w:rPr>
      </w:pPr>
      <w:r>
        <w:rPr>
          <w:rFonts w:hint="eastAsia" w:ascii="仿宋" w:hAnsi="仿宋" w:eastAsia="仿宋" w:cs="仿宋"/>
          <w:b/>
          <w:color w:val="000000" w:themeColor="text1"/>
          <w:sz w:val="24"/>
        </w:rPr>
        <w:t>9.25其他违反法律、法规的情形。</w:t>
      </w:r>
    </w:p>
    <w:p>
      <w:pPr>
        <w:snapToGrid w:val="0"/>
        <w:spacing w:line="288" w:lineRule="auto"/>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10. 评标过程保密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pStyle w:val="14"/>
        <w:spacing w:line="288" w:lineRule="auto"/>
        <w:ind w:firstLine="726"/>
        <w:jc w:val="center"/>
        <w:rPr>
          <w:rFonts w:ascii="仿宋" w:hAnsi="仿宋" w:eastAsia="仿宋" w:cs="仿宋"/>
          <w:b/>
          <w:color w:val="000000" w:themeColor="text1"/>
          <w:sz w:val="36"/>
          <w:szCs w:val="36"/>
        </w:rPr>
      </w:pPr>
      <w:bookmarkStart w:id="3" w:name="_Toc84325929"/>
      <w:bookmarkStart w:id="4" w:name="_Toc81372953"/>
      <w:bookmarkStart w:id="5" w:name="_Toc81372776"/>
      <w:r>
        <w:rPr>
          <w:rFonts w:hint="eastAsia" w:ascii="仿宋" w:hAnsi="仿宋" w:eastAsia="仿宋" w:cs="仿宋"/>
          <w:b/>
          <w:color w:val="000000" w:themeColor="text1"/>
          <w:sz w:val="36"/>
          <w:szCs w:val="36"/>
        </w:rPr>
        <w:t>五、授予合同</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1.中标条件</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1.1投标文件基本符合招标文件要求；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1.2投标人有很好的执行合同的能力；</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1.3实施方案最合理并对招标人最为有利，最大限度满足招标文件的要求；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1.4投标人能够提供质量技术、商务经济占综合优势的系统及服务。</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pStyle w:val="65"/>
        <w:tabs>
          <w:tab w:val="left" w:pos="0"/>
        </w:tabs>
        <w:spacing w:before="0" w:line="288" w:lineRule="auto"/>
        <w:ind w:firstLine="0" w:firstLineChars="0"/>
        <w:rPr>
          <w:rFonts w:ascii="仿宋" w:hAnsi="仿宋" w:eastAsia="仿宋" w:cs="仿宋"/>
          <w:color w:val="000000" w:themeColor="text1"/>
          <w:szCs w:val="24"/>
        </w:rPr>
      </w:pPr>
      <w:r>
        <w:rPr>
          <w:rFonts w:hint="eastAsia" w:ascii="仿宋" w:hAnsi="仿宋" w:eastAsia="仿宋" w:cs="仿宋"/>
          <w:color w:val="000000" w:themeColor="text1"/>
          <w:szCs w:val="24"/>
        </w:rPr>
        <w:t>3.1</w:t>
      </w:r>
      <w:r>
        <w:rPr>
          <w:rFonts w:hint="eastAsia" w:ascii="仿宋" w:hAnsi="仿宋" w:eastAsia="仿宋" w:cs="仿宋"/>
          <w:color w:val="000000" w:themeColor="text1"/>
          <w:kern w:val="0"/>
        </w:rPr>
        <w:t>采购代理机构</w:t>
      </w:r>
      <w:r>
        <w:rPr>
          <w:rFonts w:hint="eastAsia" w:ascii="仿宋" w:hAnsi="仿宋" w:eastAsia="仿宋" w:cs="仿宋"/>
          <w:color w:val="000000" w:themeColor="text1"/>
        </w:rPr>
        <w:t>对中标结果在指定媒体</w:t>
      </w:r>
      <w:r>
        <w:rPr>
          <w:rFonts w:hint="eastAsia" w:ascii="仿宋" w:hAnsi="仿宋" w:eastAsia="仿宋" w:cs="仿宋"/>
          <w:color w:val="000000" w:themeColor="text1"/>
          <w:kern w:val="0"/>
        </w:rPr>
        <w:t>（浙江政府采购网</w:t>
      </w:r>
      <w:r>
        <w:fldChar w:fldCharType="begin"/>
      </w:r>
      <w:r>
        <w:instrText xml:space="preserve"> HYPERLINK "http://zfcg.czt.zj.gov.cn/" </w:instrText>
      </w:r>
      <w:r>
        <w:fldChar w:fldCharType="separate"/>
      </w:r>
      <w:r>
        <w:rPr>
          <w:rStyle w:val="32"/>
          <w:rFonts w:hint="eastAsia" w:ascii="仿宋" w:hAnsi="仿宋" w:eastAsia="仿宋" w:cs="仿宋"/>
          <w:color w:val="000000" w:themeColor="text1"/>
          <w:szCs w:val="24"/>
        </w:rPr>
        <w:t>http://zfcg.czt.zj.gov.cn</w:t>
      </w:r>
      <w:r>
        <w:rPr>
          <w:rStyle w:val="32"/>
          <w:rFonts w:hint="eastAsia" w:ascii="仿宋" w:hAnsi="仿宋" w:eastAsia="仿宋" w:cs="仿宋"/>
          <w:color w:val="000000" w:themeColor="text1"/>
          <w:szCs w:val="24"/>
        </w:rPr>
        <w:fldChar w:fldCharType="end"/>
      </w:r>
      <w:r>
        <w:rPr>
          <w:rFonts w:hint="eastAsia" w:ascii="仿宋" w:hAnsi="仿宋" w:eastAsia="仿宋" w:cs="仿宋"/>
          <w:color w:val="000000" w:themeColor="text1"/>
          <w:kern w:val="0"/>
        </w:rPr>
        <w:t>、绍兴公共资源交易网</w:t>
      </w:r>
      <w:r>
        <w:fldChar w:fldCharType="begin"/>
      </w:r>
      <w:r>
        <w:instrText xml:space="preserve"> HYPERLINK "http://ggb.sx.gov.cn" </w:instrText>
      </w:r>
      <w:r>
        <w:fldChar w:fldCharType="separate"/>
      </w:r>
      <w:r>
        <w:rPr>
          <w:rStyle w:val="32"/>
          <w:rFonts w:hint="eastAsia" w:ascii="仿宋" w:hAnsi="仿宋" w:eastAsia="仿宋" w:cs="仿宋"/>
          <w:color w:val="000000" w:themeColor="text1"/>
        </w:rPr>
        <w:t>http://ggb.sx.gov.cn</w:t>
      </w:r>
      <w:r>
        <w:rPr>
          <w:rStyle w:val="32"/>
          <w:rFonts w:hint="eastAsia" w:ascii="仿宋" w:hAnsi="仿宋" w:eastAsia="仿宋" w:cs="仿宋"/>
          <w:color w:val="000000" w:themeColor="text1"/>
        </w:rPr>
        <w:fldChar w:fldCharType="end"/>
      </w:r>
      <w:r>
        <w:rPr>
          <w:rFonts w:hint="eastAsia" w:ascii="仿宋" w:hAnsi="仿宋" w:eastAsia="仿宋" w:cs="仿宋"/>
          <w:color w:val="000000" w:themeColor="text1"/>
          <w:kern w:val="0"/>
        </w:rPr>
        <w:t>）发布中标公告，中标公告期限为1个工作日。</w:t>
      </w:r>
    </w:p>
    <w:p>
      <w:pPr>
        <w:tabs>
          <w:tab w:val="left" w:pos="0"/>
        </w:tabs>
        <w:spacing w:line="288" w:lineRule="auto"/>
        <w:rPr>
          <w:rFonts w:ascii="仿宋" w:hAnsi="仿宋" w:eastAsia="仿宋" w:cs="仿宋"/>
          <w:kern w:val="0"/>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288" w:lineRule="auto"/>
        <w:jc w:val="left"/>
        <w:rPr>
          <w:rFonts w:ascii="仿宋" w:hAnsi="仿宋" w:eastAsia="仿宋" w:cs="仿宋"/>
          <w:b/>
          <w:color w:val="auto"/>
          <w:sz w:val="24"/>
        </w:rPr>
      </w:pPr>
      <w:r>
        <w:rPr>
          <w:rFonts w:hint="eastAsia" w:ascii="仿宋" w:hAnsi="仿宋" w:eastAsia="仿宋" w:cs="仿宋"/>
          <w:b/>
          <w:color w:val="auto"/>
          <w:sz w:val="24"/>
        </w:rPr>
        <w:t>4.履约保证金</w:t>
      </w:r>
    </w:p>
    <w:p>
      <w:pPr>
        <w:spacing w:line="288" w:lineRule="auto"/>
        <w:jc w:val="left"/>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4.2供应商在履行完合同约定事项后，采购人应及时退还履约保证金。</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5.合同备案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color w:val="000000" w:themeColor="text1"/>
          <w:sz w:val="24"/>
        </w:rPr>
        <w:t>3个工作日内</w:t>
      </w:r>
      <w:r>
        <w:rPr>
          <w:rFonts w:hint="eastAsia" w:ascii="仿宋" w:hAnsi="仿宋" w:eastAsia="仿宋" w:cs="仿宋"/>
          <w:color w:val="000000" w:themeColor="text1"/>
          <w:sz w:val="24"/>
        </w:rPr>
        <w:t>，将</w:t>
      </w:r>
      <w:r>
        <w:rPr>
          <w:rFonts w:hint="eastAsia" w:ascii="仿宋" w:hAnsi="仿宋" w:eastAsia="仿宋" w:cs="仿宋"/>
          <w:b/>
          <w:color w:val="000000" w:themeColor="text1"/>
          <w:sz w:val="24"/>
        </w:rPr>
        <w:t>采购合同原件</w:t>
      </w:r>
      <w:r>
        <w:rPr>
          <w:rFonts w:hint="eastAsia" w:ascii="仿宋" w:hAnsi="仿宋" w:eastAsia="仿宋" w:cs="仿宋"/>
          <w:color w:val="000000" w:themeColor="text1"/>
          <w:sz w:val="24"/>
        </w:rPr>
        <w:t>报耀华建设管理有限公司备案。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5.2未领取中标通知书，采购双方自行签订的合同不予备案。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6.验收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7. 售后服务考核</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六、质疑与投诉</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1.供应商询问</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供应商对政府采购活动事项有疑问的，可以向采购代理机构提出询问，采购代理机构将对供应商依法提出的询问作出答复，但答复的内容不得涉及商业秘密。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2.供应商质疑</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供应商认为采购文件、采购过程和成交结果使自己的权益受到损害的，可以在知道或者应知其权益受到损害之日起七个工作日内，可以以书面邮寄的方式向采购代理机构提出质疑，否则，采购代理机构不予受理：</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（2）对采购过程提出质疑的，质疑期限为各采购程序环节结束之日起计算。</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（3）对采购结果提出质疑的，质疑期限自采购结果公告（包括公示、预公告、结果变更公告等）期限届满之日起计算。</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（4）供应商应在法定质疑期内一次性提出针对同一采购程序环节的质疑。</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3.供应商提交提出质疑应当提交质疑书和必要的证明材料，质疑书需一式三份，质疑书至少应包括下列主要内容：</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（1）质疑人的名称、地址、邮政编码、联系人、联系电话，以及被质疑人名称及联系方式；</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（2）被质疑采购项目名称、编号及采购内容；</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（3）具体、明确的质疑事项和与质疑事项相关的请求</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（4）事实依据；</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（5）必要的法律依据；</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（6）认为自己合法权益受到损害或可能受到损害的相关证据材料；</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（7）提出质疑的日期。</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（8） 质疑书应当署名。质疑人为自然人的，应当由本人签字并附有效身份证明；质疑人为法人或其他组织的，应当由法定代表人或主要负责人签字（或盖章）并加盖单位公章。</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（9） 质疑人因故不能自行办理质疑事项的，可以委托代理人办理质疑事宜，但应当向被质疑人提交授权委托书，并载明委托代理的具体权限和事项。</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（10）质疑人提供的相关材料中有外文资料的，应当将与质疑相关的外文资料完整、客观、真实地翻译为中文，并注明翻译人员姓名、工作单位、联系方式等信息。</w:t>
      </w:r>
    </w:p>
    <w:p>
      <w:pPr>
        <w:pStyle w:val="14"/>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4.采购代理机构应当在收到供应商的书面质疑后七个工作日内作出答复，并以书面形式通知质疑供应商和其他与质疑处理结果有利害关系的政府采购当事人，但答复的内容不得涉及商业秘密。</w:t>
      </w:r>
    </w:p>
    <w:p>
      <w:pPr>
        <w:pStyle w:val="14"/>
        <w:adjustRightInd/>
        <w:spacing w:line="288" w:lineRule="auto"/>
        <w:ind w:firstLine="480" w:firstLineChars="200"/>
        <w:rPr>
          <w:rFonts w:ascii="仿宋" w:hAnsi="仿宋" w:eastAsia="仿宋" w:cs="仿宋"/>
          <w:b/>
          <w:sz w:val="36"/>
          <w:szCs w:val="36"/>
        </w:rPr>
      </w:pPr>
      <w:r>
        <w:rPr>
          <w:rFonts w:hint="eastAsia" w:ascii="仿宋" w:hAnsi="仿宋" w:eastAsia="仿宋" w:cs="仿宋"/>
          <w:color w:val="000000" w:themeColor="text1"/>
          <w:sz w:val="24"/>
        </w:rPr>
        <w:t>5.询问或者质疑事项可能影响采购结果的，采购人应当暂停签订合同，已经签订合同的，应当中止履行合同。</w:t>
      </w: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both"/>
        <w:rPr>
          <w:rFonts w:ascii="仿宋" w:hAnsi="仿宋" w:eastAsia="仿宋" w:cs="仿宋"/>
          <w:b/>
          <w:sz w:val="36"/>
          <w:szCs w:val="36"/>
        </w:rPr>
      </w:pPr>
    </w:p>
    <w:p>
      <w:pPr>
        <w:pStyle w:val="14"/>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spacing w:line="288" w:lineRule="auto"/>
        <w:rPr>
          <w:rFonts w:ascii="仿宋" w:hAnsi="仿宋" w:eastAsia="仿宋" w:cs="仿宋"/>
          <w:b/>
          <w:sz w:val="24"/>
        </w:rPr>
      </w:pPr>
      <w:r>
        <w:rPr>
          <w:rFonts w:hint="eastAsia" w:ascii="仿宋" w:hAnsi="仿宋" w:eastAsia="仿宋" w:cs="仿宋"/>
          <w:b/>
          <w:sz w:val="24"/>
        </w:rPr>
        <w:t>[一].项目概况</w:t>
      </w:r>
    </w:p>
    <w:p>
      <w:pPr>
        <w:spacing w:line="288" w:lineRule="auto"/>
        <w:ind w:firstLine="480" w:firstLineChars="200"/>
        <w:rPr>
          <w:rFonts w:ascii="仿宋" w:hAnsi="仿宋" w:eastAsia="仿宋" w:cs="仿宋"/>
          <w:sz w:val="24"/>
        </w:rPr>
      </w:pPr>
      <w:r>
        <w:rPr>
          <w:rFonts w:hint="eastAsia" w:ascii="仿宋" w:hAnsi="仿宋" w:eastAsia="仿宋" w:cs="仿宋"/>
          <w:sz w:val="24"/>
        </w:rPr>
        <w:t>绍兴市区交通管理智能化设施，自2014年末开始交通智能化改造，通过三年建设，逐步形成了一个指挥中心（交通指挥中心），二大集成平台（智能交通管控平台、公安交警指挥平台），六大系统（交通信息采集系统、交通信号控制系统、交通诱导系统、电子警察、高清卡口抓拍系统、视频监控系统、交通事件检测系统）等为主要架构的智能交通体系，这些设施经过三年的正常使用，质保期逐渐到期。为保证智能交通系统的正常运行，确保前、后端设备安全可靠，以便在道路规划建设、交通管理、公众出行中继续发挥应有的作用，需要持续对上述设施进行日常维护。</w:t>
      </w:r>
    </w:p>
    <w:p>
      <w:pPr>
        <w:spacing w:line="288" w:lineRule="auto"/>
        <w:rPr>
          <w:rFonts w:ascii="仿宋" w:hAnsi="仿宋" w:eastAsia="仿宋" w:cs="仿宋"/>
          <w:b/>
          <w:sz w:val="24"/>
        </w:rPr>
      </w:pPr>
      <w:r>
        <w:rPr>
          <w:rFonts w:hint="eastAsia" w:ascii="仿宋" w:hAnsi="仿宋" w:eastAsia="仿宋" w:cs="仿宋"/>
          <w:b/>
          <w:sz w:val="24"/>
        </w:rPr>
        <w:t>[二].服务界面</w:t>
      </w:r>
    </w:p>
    <w:p>
      <w:pPr>
        <w:spacing w:line="288" w:lineRule="auto"/>
        <w:ind w:firstLine="480" w:firstLineChars="200"/>
        <w:rPr>
          <w:rFonts w:ascii="仿宋" w:hAnsi="仿宋" w:eastAsia="仿宋" w:cs="仿宋"/>
          <w:sz w:val="24"/>
        </w:rPr>
      </w:pPr>
      <w:r>
        <w:rPr>
          <w:rFonts w:hint="eastAsia" w:ascii="仿宋" w:hAnsi="仿宋" w:eastAsia="仿宋" w:cs="仿宋"/>
          <w:sz w:val="24"/>
        </w:rPr>
        <w:t>1.全包项目：由于设备自身问题造成设备故障的日常维修、维护，包括因此需要更换的备件（包工包料）。</w:t>
      </w:r>
    </w:p>
    <w:p>
      <w:pPr>
        <w:spacing w:line="288" w:lineRule="auto"/>
        <w:ind w:firstLine="480" w:firstLineChars="200"/>
        <w:rPr>
          <w:rFonts w:ascii="仿宋" w:hAnsi="仿宋" w:eastAsia="仿宋" w:cs="仿宋"/>
          <w:sz w:val="24"/>
        </w:rPr>
      </w:pPr>
      <w:r>
        <w:rPr>
          <w:rFonts w:hint="eastAsia" w:ascii="仿宋" w:hAnsi="仿宋" w:eastAsia="仿宋" w:cs="仿宋"/>
          <w:sz w:val="24"/>
        </w:rPr>
        <w:t>2.非全包项目：因市政道路施工、交通事故造成设备损坏或遭受人为破坏等客观因素造成的系统损坏，以及自然灾害、道路自然破损造成的管道线路损坏，不可抗力造成的设备损坏、不列入维护范围的其他设施的维修。</w:t>
      </w:r>
    </w:p>
    <w:p>
      <w:pPr>
        <w:spacing w:line="288" w:lineRule="auto"/>
        <w:ind w:firstLine="480" w:firstLineChars="200"/>
        <w:rPr>
          <w:rFonts w:ascii="仿宋" w:hAnsi="仿宋" w:eastAsia="仿宋" w:cs="仿宋"/>
          <w:sz w:val="24"/>
        </w:rPr>
      </w:pPr>
      <w:r>
        <w:rPr>
          <w:rFonts w:hint="eastAsia" w:ascii="仿宋" w:hAnsi="仿宋" w:eastAsia="仿宋" w:cs="仿宋"/>
          <w:sz w:val="24"/>
        </w:rPr>
        <w:t>3.电力管线界面：从供电部门落火点开始，包括电力隐蔽管路。</w:t>
      </w:r>
    </w:p>
    <w:p>
      <w:pPr>
        <w:spacing w:line="288" w:lineRule="auto"/>
        <w:ind w:firstLine="480" w:firstLineChars="200"/>
        <w:rPr>
          <w:rFonts w:ascii="仿宋" w:hAnsi="仿宋" w:eastAsia="仿宋" w:cs="仿宋"/>
          <w:sz w:val="24"/>
        </w:rPr>
      </w:pPr>
      <w:r>
        <w:rPr>
          <w:rFonts w:hint="eastAsia" w:ascii="仿宋" w:hAnsi="仿宋" w:eastAsia="仿宋" w:cs="仿宋"/>
          <w:sz w:val="24"/>
        </w:rPr>
        <w:t>4.网络界面：从网络运行商ONU或其他网络终端设备开始。</w:t>
      </w:r>
    </w:p>
    <w:p>
      <w:pPr>
        <w:spacing w:line="288" w:lineRule="auto"/>
        <w:rPr>
          <w:rFonts w:ascii="仿宋" w:hAnsi="仿宋" w:eastAsia="仿宋" w:cs="仿宋"/>
          <w:b/>
          <w:sz w:val="24"/>
        </w:rPr>
      </w:pPr>
      <w:r>
        <w:rPr>
          <w:rFonts w:hint="eastAsia" w:ascii="仿宋" w:hAnsi="仿宋" w:eastAsia="仿宋" w:cs="仿宋"/>
          <w:b/>
          <w:sz w:val="24"/>
        </w:rPr>
        <w:t>[三].维护范围</w:t>
      </w:r>
    </w:p>
    <w:p>
      <w:pPr>
        <w:spacing w:line="288" w:lineRule="auto"/>
        <w:ind w:firstLine="480" w:firstLineChars="200"/>
        <w:rPr>
          <w:rFonts w:ascii="仿宋" w:hAnsi="仿宋" w:eastAsia="仿宋" w:cs="仿宋"/>
          <w:sz w:val="24"/>
        </w:rPr>
      </w:pPr>
      <w:r>
        <w:rPr>
          <w:rFonts w:hint="eastAsia" w:ascii="仿宋" w:hAnsi="仿宋" w:eastAsia="仿宋" w:cs="仿宋"/>
          <w:sz w:val="24"/>
        </w:rPr>
        <w:t>1.交通信息采集系统：</w:t>
      </w:r>
      <w:r>
        <w:rPr>
          <w:rFonts w:ascii="仿宋" w:hAnsi="仿宋" w:eastAsia="仿宋" w:cs="仿宋"/>
          <w:sz w:val="24"/>
        </w:rPr>
        <w:t>83</w:t>
      </w:r>
      <w:r>
        <w:rPr>
          <w:rFonts w:hint="eastAsia" w:ascii="仿宋" w:hAnsi="仿宋" w:eastAsia="仿宋" w:cs="仿宋"/>
          <w:sz w:val="24"/>
        </w:rPr>
        <w:t>个路口</w:t>
      </w:r>
      <w:r>
        <w:rPr>
          <w:rFonts w:ascii="仿宋" w:hAnsi="仿宋" w:eastAsia="仿宋" w:cs="仿宋"/>
          <w:sz w:val="24"/>
        </w:rPr>
        <w:t>321</w:t>
      </w:r>
      <w:r>
        <w:rPr>
          <w:rFonts w:hint="eastAsia" w:ascii="仿宋" w:hAnsi="仿宋" w:eastAsia="仿宋" w:cs="仿宋"/>
          <w:sz w:val="24"/>
        </w:rPr>
        <w:t>台流量检测摄像机，</w:t>
      </w:r>
      <w:r>
        <w:rPr>
          <w:rFonts w:ascii="仿宋" w:hAnsi="仿宋" w:eastAsia="仿宋" w:cs="仿宋"/>
          <w:sz w:val="24"/>
        </w:rPr>
        <w:t>80</w:t>
      </w:r>
      <w:r>
        <w:rPr>
          <w:rFonts w:hint="eastAsia" w:ascii="仿宋" w:hAnsi="仿宋" w:eastAsia="仿宋" w:cs="仿宋"/>
          <w:sz w:val="24"/>
        </w:rPr>
        <w:t>个路段微波检测器，包括所属杆件、机箱、基础、隐蔽管线等。</w:t>
      </w:r>
    </w:p>
    <w:p>
      <w:pPr>
        <w:spacing w:line="288" w:lineRule="auto"/>
        <w:ind w:firstLine="480" w:firstLineChars="200"/>
        <w:rPr>
          <w:rFonts w:ascii="仿宋" w:hAnsi="仿宋" w:eastAsia="仿宋" w:cs="仿宋"/>
          <w:sz w:val="24"/>
        </w:rPr>
      </w:pPr>
      <w:r>
        <w:rPr>
          <w:rFonts w:hint="eastAsia" w:ascii="仿宋" w:hAnsi="仿宋" w:eastAsia="仿宋" w:cs="仿宋"/>
          <w:sz w:val="24"/>
        </w:rPr>
        <w:t>2.交通信号控制系统：2</w:t>
      </w:r>
      <w:r>
        <w:rPr>
          <w:rFonts w:ascii="仿宋" w:hAnsi="仿宋" w:eastAsia="仿宋" w:cs="仿宋"/>
          <w:sz w:val="24"/>
        </w:rPr>
        <w:t>10</w:t>
      </w:r>
      <w:r>
        <w:rPr>
          <w:rFonts w:hint="eastAsia" w:ascii="仿宋" w:hAnsi="仿宋" w:eastAsia="仿宋" w:cs="仿宋"/>
          <w:sz w:val="24"/>
        </w:rPr>
        <w:t>个路口</w:t>
      </w:r>
      <w:r>
        <w:rPr>
          <w:rFonts w:ascii="仿宋" w:hAnsi="仿宋" w:eastAsia="仿宋" w:cs="仿宋"/>
          <w:sz w:val="24"/>
        </w:rPr>
        <w:t>204</w:t>
      </w:r>
      <w:r>
        <w:rPr>
          <w:rFonts w:hint="eastAsia" w:ascii="仿宋" w:hAnsi="仿宋" w:eastAsia="仿宋" w:cs="仿宋"/>
          <w:sz w:val="24"/>
        </w:rPr>
        <w:t>台协调式信号机，包括所属机动车信号灯、非机动车信号灯、一体化人行信号灯、待行屏、车道指示灯、杆件、机箱、基础、隐蔽管线等。</w:t>
      </w:r>
    </w:p>
    <w:p>
      <w:pPr>
        <w:spacing w:line="288" w:lineRule="auto"/>
        <w:ind w:firstLine="480" w:firstLineChars="200"/>
        <w:rPr>
          <w:rFonts w:ascii="仿宋" w:hAnsi="仿宋" w:eastAsia="仿宋" w:cs="仿宋"/>
          <w:sz w:val="24"/>
        </w:rPr>
      </w:pPr>
      <w:r>
        <w:rPr>
          <w:rFonts w:hint="eastAsia" w:ascii="仿宋" w:hAnsi="仿宋" w:eastAsia="仿宋" w:cs="仿宋"/>
          <w:sz w:val="24"/>
        </w:rPr>
        <w:t>3.交通诱导系统：交通诱导屏</w:t>
      </w:r>
      <w:r>
        <w:rPr>
          <w:rFonts w:ascii="仿宋" w:hAnsi="仿宋" w:eastAsia="仿宋" w:cs="仿宋"/>
          <w:sz w:val="24"/>
        </w:rPr>
        <w:t>24</w:t>
      </w:r>
      <w:r>
        <w:rPr>
          <w:rFonts w:hint="eastAsia" w:ascii="仿宋" w:hAnsi="仿宋" w:eastAsia="仿宋" w:cs="仿宋"/>
          <w:sz w:val="24"/>
        </w:rPr>
        <w:t xml:space="preserve"> 块，包括所属杆件、机箱、基础、隐蔽管线等。</w:t>
      </w:r>
    </w:p>
    <w:p>
      <w:pPr>
        <w:spacing w:line="288" w:lineRule="auto"/>
        <w:ind w:firstLine="480" w:firstLineChars="200"/>
        <w:rPr>
          <w:rFonts w:ascii="仿宋" w:hAnsi="仿宋" w:eastAsia="仿宋" w:cs="仿宋"/>
          <w:sz w:val="24"/>
        </w:rPr>
      </w:pPr>
      <w:r>
        <w:rPr>
          <w:rFonts w:hint="eastAsia" w:ascii="仿宋" w:hAnsi="仿宋" w:eastAsia="仿宋" w:cs="仿宋"/>
          <w:sz w:val="24"/>
        </w:rPr>
        <w:t>4.电子警察抓拍系统：1</w:t>
      </w:r>
      <w:r>
        <w:rPr>
          <w:rFonts w:ascii="仿宋" w:hAnsi="仿宋" w:eastAsia="仿宋" w:cs="仿宋"/>
          <w:sz w:val="24"/>
        </w:rPr>
        <w:t>84</w:t>
      </w:r>
      <w:r>
        <w:rPr>
          <w:rFonts w:hint="eastAsia" w:ascii="仿宋" w:hAnsi="仿宋" w:eastAsia="仿宋" w:cs="仿宋"/>
          <w:sz w:val="24"/>
        </w:rPr>
        <w:t>个路口</w:t>
      </w:r>
      <w:r>
        <w:rPr>
          <w:rFonts w:ascii="仿宋" w:hAnsi="仿宋" w:eastAsia="仿宋" w:cs="仿宋"/>
          <w:sz w:val="24"/>
        </w:rPr>
        <w:t>725</w:t>
      </w:r>
      <w:r>
        <w:rPr>
          <w:rFonts w:hint="eastAsia" w:ascii="仿宋" w:hAnsi="仿宋" w:eastAsia="仿宋" w:cs="仿宋"/>
          <w:sz w:val="24"/>
        </w:rPr>
        <w:t>套闯红灯电子警察、</w:t>
      </w:r>
      <w:r>
        <w:rPr>
          <w:rFonts w:ascii="仿宋" w:hAnsi="仿宋" w:eastAsia="仿宋" w:cs="仿宋"/>
          <w:sz w:val="24"/>
        </w:rPr>
        <w:t>15</w:t>
      </w:r>
      <w:r>
        <w:rPr>
          <w:rFonts w:hint="eastAsia" w:ascii="仿宋" w:hAnsi="仿宋" w:eastAsia="仿宋" w:cs="仿宋"/>
          <w:sz w:val="24"/>
        </w:rPr>
        <w:t>个路段3</w:t>
      </w:r>
      <w:r>
        <w:rPr>
          <w:rFonts w:ascii="仿宋" w:hAnsi="仿宋" w:eastAsia="仿宋" w:cs="仿宋"/>
          <w:sz w:val="24"/>
        </w:rPr>
        <w:t>0</w:t>
      </w:r>
      <w:r>
        <w:rPr>
          <w:rFonts w:hint="eastAsia" w:ascii="仿宋" w:hAnsi="仿宋" w:eastAsia="仿宋" w:cs="仿宋"/>
          <w:sz w:val="24"/>
        </w:rPr>
        <w:t>向卡口，包括所属杆件、机箱、基础、隐蔽管线等。</w:t>
      </w:r>
    </w:p>
    <w:p>
      <w:pPr>
        <w:spacing w:line="288" w:lineRule="auto"/>
        <w:ind w:firstLine="480" w:firstLineChars="200"/>
        <w:rPr>
          <w:rFonts w:ascii="仿宋" w:hAnsi="仿宋" w:eastAsia="仿宋" w:cs="仿宋"/>
          <w:sz w:val="24"/>
        </w:rPr>
      </w:pPr>
      <w:r>
        <w:rPr>
          <w:rFonts w:hint="eastAsia" w:ascii="仿宋" w:hAnsi="仿宋" w:eastAsia="仿宋" w:cs="仿宋"/>
          <w:sz w:val="24"/>
        </w:rPr>
        <w:t>5.视频监控系统：</w:t>
      </w:r>
      <w:r>
        <w:rPr>
          <w:rFonts w:ascii="仿宋" w:hAnsi="仿宋" w:eastAsia="仿宋" w:cs="仿宋"/>
          <w:sz w:val="24"/>
        </w:rPr>
        <w:t>33</w:t>
      </w:r>
      <w:r>
        <w:rPr>
          <w:rFonts w:hint="eastAsia" w:ascii="仿宋" w:hAnsi="仿宋" w:eastAsia="仿宋" w:cs="仿宋"/>
          <w:sz w:val="24"/>
        </w:rPr>
        <w:t>只低位球机和</w:t>
      </w:r>
      <w:r>
        <w:rPr>
          <w:rFonts w:ascii="仿宋" w:hAnsi="仿宋" w:eastAsia="仿宋" w:cs="仿宋"/>
          <w:sz w:val="24"/>
        </w:rPr>
        <w:t>26</w:t>
      </w:r>
      <w:r>
        <w:rPr>
          <w:rFonts w:hint="eastAsia" w:ascii="仿宋" w:hAnsi="仿宋" w:eastAsia="仿宋" w:cs="仿宋"/>
          <w:sz w:val="24"/>
        </w:rPr>
        <w:t>只高位球机及云台，包括所属杆件、机箱、基础、隐蔽管线等。</w:t>
      </w:r>
    </w:p>
    <w:p>
      <w:pPr>
        <w:spacing w:line="288" w:lineRule="auto"/>
        <w:ind w:firstLine="480" w:firstLineChars="200"/>
        <w:rPr>
          <w:rFonts w:ascii="仿宋" w:hAnsi="仿宋" w:eastAsia="仿宋" w:cs="仿宋"/>
          <w:sz w:val="24"/>
        </w:rPr>
      </w:pPr>
      <w:r>
        <w:rPr>
          <w:rFonts w:hint="eastAsia" w:ascii="仿宋" w:hAnsi="仿宋" w:eastAsia="仿宋" w:cs="仿宋"/>
          <w:sz w:val="24"/>
        </w:rPr>
        <w:t>6.交通事件检测系统：</w:t>
      </w:r>
      <w:r>
        <w:rPr>
          <w:rFonts w:ascii="仿宋" w:hAnsi="仿宋" w:eastAsia="仿宋" w:cs="仿宋"/>
          <w:sz w:val="24"/>
        </w:rPr>
        <w:t>1</w:t>
      </w:r>
      <w:r>
        <w:rPr>
          <w:rFonts w:hint="eastAsia" w:ascii="仿宋" w:hAnsi="仿宋" w:eastAsia="仿宋" w:cs="仿宋"/>
          <w:sz w:val="24"/>
        </w:rPr>
        <w:t>套单行逆向抓拍、4</w:t>
      </w:r>
      <w:r>
        <w:rPr>
          <w:rFonts w:ascii="仿宋" w:hAnsi="仿宋" w:eastAsia="仿宋" w:cs="仿宋"/>
          <w:sz w:val="24"/>
        </w:rPr>
        <w:t>1</w:t>
      </w:r>
      <w:r>
        <w:rPr>
          <w:rFonts w:hint="eastAsia" w:ascii="仿宋" w:hAnsi="仿宋" w:eastAsia="仿宋" w:cs="仿宋"/>
          <w:sz w:val="24"/>
        </w:rPr>
        <w:t>套礼让行人、</w:t>
      </w:r>
      <w:r>
        <w:rPr>
          <w:rFonts w:ascii="仿宋" w:hAnsi="仿宋" w:eastAsia="仿宋" w:cs="仿宋"/>
          <w:sz w:val="24"/>
        </w:rPr>
        <w:t>28</w:t>
      </w:r>
      <w:r>
        <w:rPr>
          <w:rFonts w:hint="eastAsia" w:ascii="仿宋" w:hAnsi="仿宋" w:eastAsia="仿宋" w:cs="仿宋"/>
          <w:sz w:val="24"/>
        </w:rPr>
        <w:t>套违章停车，包括所属杆件、机箱、基础、隐蔽管线等。</w:t>
      </w:r>
    </w:p>
    <w:p>
      <w:pPr>
        <w:spacing w:line="288" w:lineRule="auto"/>
        <w:ind w:firstLine="480" w:firstLineChars="200"/>
        <w:rPr>
          <w:rFonts w:ascii="仿宋" w:hAnsi="仿宋" w:eastAsia="仿宋" w:cs="仿宋"/>
          <w:sz w:val="24"/>
        </w:rPr>
      </w:pPr>
      <w:r>
        <w:rPr>
          <w:rFonts w:hint="eastAsia" w:ascii="仿宋" w:hAnsi="仿宋" w:eastAsia="仿宋" w:cs="仿宋"/>
          <w:sz w:val="24"/>
        </w:rPr>
        <w:t>7.各系统附表</w:t>
      </w:r>
    </w:p>
    <w:p>
      <w:pPr>
        <w:spacing w:line="288" w:lineRule="auto"/>
        <w:ind w:firstLine="480" w:firstLineChars="200"/>
        <w:rPr>
          <w:rFonts w:ascii="仿宋" w:hAnsi="仿宋" w:eastAsia="仿宋" w:cs="仿宋"/>
          <w:sz w:val="24"/>
        </w:rPr>
      </w:pPr>
      <w:r>
        <w:rPr>
          <w:rFonts w:hint="eastAsia" w:ascii="仿宋" w:hAnsi="仿宋" w:eastAsia="仿宋" w:cs="仿宋"/>
          <w:sz w:val="24"/>
        </w:rPr>
        <w:t>7.1附表1交通信息采集系统</w:t>
      </w:r>
    </w:p>
    <w:tbl>
      <w:tblPr>
        <w:tblStyle w:val="26"/>
        <w:tblW w:w="7740" w:type="dxa"/>
        <w:jc w:val="center"/>
        <w:tblLayout w:type="autofit"/>
        <w:tblCellMar>
          <w:top w:w="0" w:type="dxa"/>
          <w:left w:w="108" w:type="dxa"/>
          <w:bottom w:w="0" w:type="dxa"/>
          <w:right w:w="108" w:type="dxa"/>
        </w:tblCellMar>
      </w:tblPr>
      <w:tblGrid>
        <w:gridCol w:w="846"/>
        <w:gridCol w:w="2410"/>
        <w:gridCol w:w="1504"/>
        <w:gridCol w:w="960"/>
        <w:gridCol w:w="2020"/>
      </w:tblGrid>
      <w:tr>
        <w:tblPrEx>
          <w:tblCellMar>
            <w:top w:w="0" w:type="dxa"/>
            <w:left w:w="108" w:type="dxa"/>
            <w:bottom w:w="0" w:type="dxa"/>
            <w:right w:w="108" w:type="dxa"/>
          </w:tblCellMar>
        </w:tblPrEx>
        <w:trPr>
          <w:trHeight w:val="312"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序号</w:t>
            </w:r>
          </w:p>
        </w:tc>
        <w:tc>
          <w:tcPr>
            <w:tcW w:w="241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点位</w:t>
            </w:r>
          </w:p>
        </w:tc>
        <w:tc>
          <w:tcPr>
            <w:tcW w:w="1504"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路口类型</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像机数</w:t>
            </w:r>
          </w:p>
        </w:tc>
        <w:tc>
          <w:tcPr>
            <w:tcW w:w="202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流量检测终端</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凤林西路大树江路口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凤林西路越西路口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凤林西路后墅路口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洋江西路环西路口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洋江西路越西路口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都泗门路迪荡湖路口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胜利东路五云路口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平江路卧龙路口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平江路勾乘路口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舜江路勾乘路口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人民东路上樊公路口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人民东路银桥路口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13</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人民东路银州路口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人民东路独树路口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15</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人民东路东湖路口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16</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人民东路龙池路口</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17</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解放大道群贤路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18</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解放大道体育路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19</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解放大道洋江路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20</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解放大道凤林路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21</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解放大道溢香路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22</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解放大道二环北路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23</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解放大道大滩路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24</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解放北路站前路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25</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解放北路环城北路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26</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解放北路石家池</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27</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解放北路新河弄</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28</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解放北路胜利路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29</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解放北路劳动路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30</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解放北路府横街</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31</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解放北路东街路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32</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解放路人民路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33</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解放南路鲁迅路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34</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解放南路延安路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35</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解放南路和畅堂</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36</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解放南路投醪河</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37</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解放南路环城南路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38</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解放南路凤江路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39</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解放南路城南大道</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40</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解放南路镜湖路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41</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解放南路大禹路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42</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人民西路环城西路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43</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人民西路府山直街</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44</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人民中路新建路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45</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人民中路稽山路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46</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人民中路环城东路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47</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延安路中兴路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48</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延安路稽山路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49</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中兴大道康宁路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50</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中兴大道329国道</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51</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中兴大道世纪街</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52</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中兴大道育贤路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53</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中兴大道群贤路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54</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中兴大道洋江路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55</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中兴大道凤林路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56</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中兴北路二环北路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57</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中兴北路龙洲路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58</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中兴北路引虎弄</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59</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中兴北路胜利路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60</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中兴北路劳动路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61</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中兴北路八字桥直街</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62</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中兴北路东街</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63</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中兴路人民路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64</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中兴南路鲁迅路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65</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中兴南路投醪河路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66</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中兴南路环城南路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67</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中兴南路凤江路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68</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中兴南路城南大道</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69</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中兴南路镜湖路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70</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中兴南路大禹路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71</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胜利东路迪荡湖路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72</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胜利东路东池路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73</w:t>
            </w:r>
          </w:p>
        </w:tc>
        <w:tc>
          <w:tcPr>
            <w:tcW w:w="241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胜利东路新建路</w:t>
            </w:r>
          </w:p>
        </w:tc>
        <w:tc>
          <w:tcPr>
            <w:tcW w:w="150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74</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胜利西路仓桥直街</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75</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胜利西路铁甲营</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76</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胜利西路府山西路</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77</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胜利西路环城西路</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78</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胜利西路马臻路</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79</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胜利西路越西路</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80</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胜利西路快阁苑</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81</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胜利西路绿云南路</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82</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胜利西路青甸湖小区</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T形路口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83</w:t>
            </w:r>
          </w:p>
        </w:tc>
        <w:tc>
          <w:tcPr>
            <w:tcW w:w="2410" w:type="dxa"/>
            <w:tcBorders>
              <w:top w:val="nil"/>
              <w:left w:val="nil"/>
              <w:bottom w:val="single" w:color="auto" w:sz="4" w:space="0"/>
              <w:right w:val="single" w:color="auto" w:sz="4" w:space="0"/>
            </w:tcBorders>
            <w:shd w:val="clear" w:color="000000" w:fill="FFFFFF"/>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胜利西路尹大线</w:t>
            </w:r>
          </w:p>
        </w:tc>
        <w:tc>
          <w:tcPr>
            <w:tcW w:w="1504"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十字路口</w:t>
            </w:r>
          </w:p>
        </w:tc>
        <w:tc>
          <w:tcPr>
            <w:tcW w:w="96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020" w:type="dxa"/>
            <w:tcBorders>
              <w:top w:val="nil"/>
              <w:left w:val="nil"/>
              <w:bottom w:val="single" w:color="auto" w:sz="4" w:space="0"/>
              <w:right w:val="single" w:color="auto" w:sz="4" w:space="0"/>
            </w:tcBorders>
            <w:shd w:val="clear" w:color="000000" w:fill="FFFFFF"/>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bl>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r>
        <w:rPr>
          <w:rFonts w:hint="eastAsia" w:ascii="仿宋" w:hAnsi="仿宋" w:eastAsia="仿宋" w:cs="仿宋"/>
          <w:sz w:val="24"/>
        </w:rPr>
        <w:t>7.2附表2交通信号控制系统（路口交通信号）</w:t>
      </w:r>
    </w:p>
    <w:tbl>
      <w:tblPr>
        <w:tblStyle w:val="26"/>
        <w:tblW w:w="8838" w:type="dxa"/>
        <w:tblInd w:w="113" w:type="dxa"/>
        <w:tblLayout w:type="autofit"/>
        <w:tblCellMar>
          <w:top w:w="0" w:type="dxa"/>
          <w:left w:w="108" w:type="dxa"/>
          <w:bottom w:w="0" w:type="dxa"/>
          <w:right w:w="108" w:type="dxa"/>
        </w:tblCellMar>
      </w:tblPr>
      <w:tblGrid>
        <w:gridCol w:w="725"/>
        <w:gridCol w:w="2530"/>
        <w:gridCol w:w="1028"/>
        <w:gridCol w:w="1162"/>
        <w:gridCol w:w="1181"/>
        <w:gridCol w:w="932"/>
        <w:gridCol w:w="1280"/>
      </w:tblGrid>
      <w:tr>
        <w:trPr>
          <w:trHeight w:val="624" w:hRule="atLeast"/>
        </w:trPr>
        <w:tc>
          <w:tcPr>
            <w:tcW w:w="7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themeColor="text1"/>
                <w:kern w:val="0"/>
                <w:sz w:val="20"/>
                <w:szCs w:val="20"/>
              </w:rPr>
            </w:pPr>
            <w:r>
              <w:rPr>
                <w:rFonts w:hint="eastAsia" w:ascii="仿宋" w:hAnsi="仿宋" w:eastAsia="仿宋" w:cs="宋体"/>
                <w:b/>
                <w:bCs/>
                <w:color w:val="000000" w:themeColor="text1"/>
                <w:kern w:val="0"/>
                <w:sz w:val="20"/>
                <w:szCs w:val="20"/>
              </w:rPr>
              <w:t>序号</w:t>
            </w:r>
          </w:p>
        </w:tc>
        <w:tc>
          <w:tcPr>
            <w:tcW w:w="253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themeColor="text1"/>
                <w:kern w:val="0"/>
                <w:sz w:val="20"/>
                <w:szCs w:val="20"/>
              </w:rPr>
            </w:pPr>
            <w:r>
              <w:rPr>
                <w:rFonts w:hint="eastAsia" w:ascii="仿宋" w:hAnsi="仿宋" w:eastAsia="仿宋" w:cs="宋体"/>
                <w:b/>
                <w:bCs/>
                <w:color w:val="000000" w:themeColor="text1"/>
                <w:kern w:val="0"/>
                <w:sz w:val="20"/>
                <w:szCs w:val="20"/>
              </w:rPr>
              <w:t>点位</w:t>
            </w:r>
          </w:p>
        </w:tc>
        <w:tc>
          <w:tcPr>
            <w:tcW w:w="1028"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themeColor="text1"/>
                <w:kern w:val="0"/>
                <w:sz w:val="20"/>
                <w:szCs w:val="20"/>
              </w:rPr>
            </w:pPr>
            <w:r>
              <w:rPr>
                <w:rFonts w:hint="eastAsia" w:ascii="仿宋" w:hAnsi="仿宋" w:eastAsia="仿宋" w:cs="宋体"/>
                <w:b/>
                <w:bCs/>
                <w:color w:val="000000" w:themeColor="text1"/>
                <w:kern w:val="0"/>
                <w:sz w:val="20"/>
                <w:szCs w:val="20"/>
              </w:rPr>
              <w:t>信号机</w:t>
            </w:r>
          </w:p>
        </w:tc>
        <w:tc>
          <w:tcPr>
            <w:tcW w:w="1162"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themeColor="text1"/>
                <w:kern w:val="0"/>
                <w:sz w:val="20"/>
                <w:szCs w:val="20"/>
              </w:rPr>
            </w:pPr>
            <w:r>
              <w:rPr>
                <w:rFonts w:hint="eastAsia" w:ascii="仿宋" w:hAnsi="仿宋" w:eastAsia="仿宋" w:cs="宋体"/>
                <w:b/>
                <w:bCs/>
                <w:color w:val="000000" w:themeColor="text1"/>
                <w:kern w:val="0"/>
                <w:sz w:val="20"/>
                <w:szCs w:val="20"/>
              </w:rPr>
              <w:t>机动车信号灯</w:t>
            </w:r>
          </w:p>
        </w:tc>
        <w:tc>
          <w:tcPr>
            <w:tcW w:w="1181"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themeColor="text1"/>
                <w:kern w:val="0"/>
                <w:sz w:val="20"/>
                <w:szCs w:val="20"/>
              </w:rPr>
            </w:pPr>
            <w:r>
              <w:rPr>
                <w:rFonts w:hint="eastAsia" w:ascii="仿宋" w:hAnsi="仿宋" w:eastAsia="仿宋" w:cs="宋体"/>
                <w:b/>
                <w:bCs/>
                <w:color w:val="000000" w:themeColor="text1"/>
                <w:kern w:val="0"/>
                <w:sz w:val="20"/>
                <w:szCs w:val="20"/>
              </w:rPr>
              <w:t>非机动车信号灯</w:t>
            </w:r>
          </w:p>
        </w:tc>
        <w:tc>
          <w:tcPr>
            <w:tcW w:w="932"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themeColor="text1"/>
                <w:kern w:val="0"/>
                <w:sz w:val="20"/>
                <w:szCs w:val="20"/>
              </w:rPr>
            </w:pPr>
            <w:r>
              <w:rPr>
                <w:rFonts w:hint="eastAsia" w:ascii="仿宋" w:hAnsi="仿宋" w:eastAsia="仿宋" w:cs="宋体"/>
                <w:b/>
                <w:bCs/>
                <w:color w:val="000000" w:themeColor="text1"/>
                <w:kern w:val="0"/>
                <w:sz w:val="20"/>
                <w:szCs w:val="20"/>
              </w:rPr>
              <w:t>普通人行灯</w:t>
            </w:r>
          </w:p>
        </w:tc>
        <w:tc>
          <w:tcPr>
            <w:tcW w:w="128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themeColor="text1"/>
                <w:kern w:val="0"/>
                <w:sz w:val="20"/>
                <w:szCs w:val="20"/>
              </w:rPr>
            </w:pPr>
            <w:r>
              <w:rPr>
                <w:rFonts w:hint="eastAsia" w:ascii="仿宋" w:hAnsi="仿宋" w:eastAsia="仿宋" w:cs="宋体"/>
                <w:b/>
                <w:bCs/>
                <w:color w:val="000000" w:themeColor="text1"/>
                <w:kern w:val="0"/>
                <w:sz w:val="20"/>
                <w:szCs w:val="20"/>
              </w:rPr>
              <w:t>带LED文字人行灯</w:t>
            </w:r>
          </w:p>
        </w:tc>
      </w:tr>
      <w:tr>
        <w:tblPrEx>
          <w:tblCellMar>
            <w:top w:w="0" w:type="dxa"/>
            <w:left w:w="108" w:type="dxa"/>
            <w:bottom w:w="0" w:type="dxa"/>
            <w:right w:w="108" w:type="dxa"/>
          </w:tblCellMar>
        </w:tblPrEx>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本觉路横湖路口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本觉路锦帆路口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凤林西路机电市场</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海南路皋马线路口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横湖路适南路口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后墅路横湖路口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后墅路梅南路口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解放北路萧山街路口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解放大道横湖路口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解放南路凤凰路口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马海路新海路口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茂林路鸿滨路口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梅南路官渎路口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梅南路游园路口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平陶公路横旦村口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平陶公路日兴家园路口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钱陶公路群贤中路口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群贤东路小库村路口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群贤东路榆林路口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群贤东路原粮厂路口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21</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群贤中路K6+120路口东豆姜</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群贤中路安城路口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群贤中路海南路口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群贤中路鸿滨路口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25</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群贤中路纪元五金</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群贤中路越安北路口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27</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人民中路马弄路口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28</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人民中路中医院</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29</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山阴路亭山立交</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胜利西路金昌美苑路口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孙曹公路樊浦村口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孙曹公路皇甫小学</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33</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天姥路浦江路口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34</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涂山路五泄路口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35</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延安东路环城东路口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洋江西路本觉路口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洋江西路行政中心路口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洋江西路后墅路口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洋江西路适南路口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40</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永和大道白富路口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329"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41</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永和大道东湖风景区门口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42</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永和大道独树路口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43</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永和大道吼山路口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44</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永和大道泾口村路口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45</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永和大道茅洋村路口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46</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永和大道浔阳路口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越安北路双安路口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越王路敬敷路口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越王路洋江路口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越兴大桥匝道</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越兴路群贤东路口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52</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云东路五泄路口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云集路金川路口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中兴南路大明路口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32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55</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中兴南路绍诸高速连接线</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中兴南路越剑路</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57</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大禹路曹江路口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58</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大禹路阳明北路口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59</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大禹路越秀南大门</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60</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迪荡湖路都泗门路口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61</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东池路稽山路口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62</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凤林西路大树江路口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63</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凤林西路后墅路口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64</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凤林西路环城西路口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65</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凤林西路尹大线路口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66</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凤林西路越西路口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67</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凤林西路站前大道路口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68</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吼山连接线大江路口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69</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环城东路东池路口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70</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环城东路西施山路口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71</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环城东路云东路口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72</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环城西路朝皇路口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解放北路东街路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解放北路府横街</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75</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解放北路光明路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解放北路环城北路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解放北路劳动路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解放北路胜利路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解放北路石家池</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解放北路县前街</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解放北路新河弄</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解放北路站前路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解放大道大滩路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解放大道梅南路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85</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解放大道群贤中路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解放大道溢香路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解放南路城南大道</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解放南路大禹路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解放南路凤江路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解放南路和畅堂</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解放南路环城南路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解放南路镜湖路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解放南路鲁迅路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解放南路人民路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95</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解放南路投醪河</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解放南路延安路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97</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老钱陶公路林齐公路口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98</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临江路东湖路口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99</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临江路银桥路口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100</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绿云中路北站东路口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101</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绿云中路二环北路口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102</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绿云中路凤林西路口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103</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绿云中路兴越路口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104</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绿云中路洋江西路口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105</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绿云中路裕民路口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106</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平江路勾乘路口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107</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平江路鲁迅路口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108</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平江路涂山路口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109</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平江路卧龙路口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110</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轻纺大道越州工贸园口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111</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群贤中路后墅路口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112</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群贤中路环湖路口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113</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群贤中路解放大道路口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114</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群贤中路利丰公路口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115</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群贤中路绿云路口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116</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群贤中路绍齐公路口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117</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群贤中路汤公路口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9</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118</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群贤中路站前大道路口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119</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人民东路盛洋科技门口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人民西路府山直街</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人民西路环城西路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人民中路环城东路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人民中路稽山路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人民中路新建路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125</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胜利东路迪荡湖路口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126</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胜利东路东池路口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127</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胜利东路平江路口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128</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胜利东路五泄路口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129</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胜利东路五云北路口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130</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胜利东路五云南路口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胜利东路新建路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132</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胜利东路阳明北路口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胜利西路仓桥直街</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胜利西路府山西路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135</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胜利西路环城西路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胜利西路快阁苑</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胜利西路绿云南路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胜利西路马臻路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139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胜利西路青甸湖小区</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胜利西路铁甲营</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胜利西路尹大线</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胜利西路越西路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143</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汤公路荷湖西路</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144</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汤公路荷湖西路桥下</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145</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汤公路三江村口</w:t>
            </w:r>
          </w:p>
        </w:tc>
        <w:tc>
          <w:tcPr>
            <w:tcW w:w="1028"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146</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西施山路五泄路口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147</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兴越路大越路口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148</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兴越路站前大道路口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149</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延安东路平江路口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150</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延安东路五泄路口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151</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延安东路剡溪路口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延安路稽山路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延安路中兴南路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154</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阳明北路勾乘路口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155</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洋江西路财经学校路口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480"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156</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洋江西路环城西(官渡路）路口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157</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洋江西路环西路口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158</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洋江西路越西路口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159</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银兴路银桥路口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160</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永和大道皋马公路口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161</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永和大道银桥路口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162</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于越中路城北小学路口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163</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于越中路后诸村路口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164</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于越中路西山头村路口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165</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越东南路前赵大桥路口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166</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越西路灵芝路口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167</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越兴路丰民路口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168</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越兴路皋杨路口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169</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越兴路银兴路口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170</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云东路迪荡湖路口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171</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云东路龙骧苑路口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172</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云东路梅龙湖路口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173</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云东路平江路口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174</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云东路阳明北路口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480"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175</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站前大道（越秀）元培学院路口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176</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站前大道北站南路口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177</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站前大道工业学院路口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7</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178</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站前大道于越中路口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179</w:t>
            </w:r>
          </w:p>
        </w:tc>
        <w:tc>
          <w:tcPr>
            <w:tcW w:w="253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站前大道裕民路口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180</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中山路吼山连接线路口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181</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中山路吼山路口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182</w:t>
            </w:r>
          </w:p>
        </w:tc>
        <w:tc>
          <w:tcPr>
            <w:tcW w:w="253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中山路章家溇村路口</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中兴北路八字桥直街</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中兴北路白马路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185</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中兴北路昌安立交桥下</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中兴北路昌安西街</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中兴北路东街</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中兴北路二环北路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189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中兴北路劳动路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中兴北路龙洲路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中兴北路莫泰168</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中兴北路胜利路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中兴北路引虎弄</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中兴大道329国道</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195</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中兴大道凤林西路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中兴大道康宁路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中兴大道客运中心西门</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中兴大道群贤中路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199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中兴大道三江东路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中兴大道世纪街</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201</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中兴大道洋江西路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202</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中兴大道育贤路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203</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中兴南路城南大道</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204</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中兴南路二环南路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205</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中兴南路凤江路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206</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中兴南路环城南路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12</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207</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中兴南路镜湖路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208</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中兴南路鲁迅路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5</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3</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6</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209</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中兴南路人民路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10</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r>
      <w:tr>
        <w:trPr>
          <w:trHeight w:val="288" w:hRule="atLeast"/>
        </w:trPr>
        <w:tc>
          <w:tcPr>
            <w:tcW w:w="725" w:type="dxa"/>
            <w:tcBorders>
              <w:top w:val="nil"/>
              <w:left w:val="single" w:color="auto" w:sz="4" w:space="0"/>
              <w:bottom w:val="single" w:color="auto" w:sz="4" w:space="0"/>
              <w:right w:val="single" w:color="auto" w:sz="4" w:space="0"/>
            </w:tcBorders>
            <w:shd w:val="clear" w:color="auto" w:fill="auto"/>
            <w:noWrap/>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210</w:t>
            </w:r>
          </w:p>
        </w:tc>
        <w:tc>
          <w:tcPr>
            <w:tcW w:w="253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中兴南路投醪河路</w:t>
            </w:r>
          </w:p>
        </w:tc>
        <w:tc>
          <w:tcPr>
            <w:tcW w:w="1028"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1</w:t>
            </w:r>
          </w:p>
        </w:tc>
        <w:tc>
          <w:tcPr>
            <w:tcW w:w="116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8</w:t>
            </w:r>
          </w:p>
        </w:tc>
        <w:tc>
          <w:tcPr>
            <w:tcW w:w="1181"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4</w:t>
            </w:r>
          </w:p>
        </w:tc>
        <w:tc>
          <w:tcPr>
            <w:tcW w:w="93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c>
          <w:tcPr>
            <w:tcW w:w="12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themeColor="text1"/>
                <w:kern w:val="0"/>
                <w:sz w:val="20"/>
                <w:szCs w:val="20"/>
              </w:rPr>
            </w:pPr>
            <w:r>
              <w:rPr>
                <w:rFonts w:hint="eastAsia" w:ascii="仿宋" w:hAnsi="仿宋" w:eastAsia="仿宋" w:cs="宋体"/>
                <w:color w:val="000000" w:themeColor="text1"/>
                <w:kern w:val="0"/>
                <w:sz w:val="20"/>
                <w:szCs w:val="20"/>
              </w:rPr>
              <w:t>0</w:t>
            </w:r>
          </w:p>
        </w:tc>
      </w:tr>
    </w:tbl>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r>
        <w:rPr>
          <w:rFonts w:hint="eastAsia" w:ascii="仿宋" w:hAnsi="仿宋" w:eastAsia="仿宋" w:cs="仿宋"/>
          <w:sz w:val="24"/>
        </w:rPr>
        <w:t>7.3附表3交通诱导系统</w:t>
      </w:r>
    </w:p>
    <w:tbl>
      <w:tblPr>
        <w:tblStyle w:val="26"/>
        <w:tblW w:w="8000" w:type="dxa"/>
        <w:tblInd w:w="113" w:type="dxa"/>
        <w:tblLayout w:type="autofit"/>
        <w:tblCellMar>
          <w:top w:w="0" w:type="dxa"/>
          <w:left w:w="108" w:type="dxa"/>
          <w:bottom w:w="0" w:type="dxa"/>
          <w:right w:w="108" w:type="dxa"/>
        </w:tblCellMar>
      </w:tblPr>
      <w:tblGrid>
        <w:gridCol w:w="716"/>
        <w:gridCol w:w="3184"/>
        <w:gridCol w:w="1920"/>
        <w:gridCol w:w="1220"/>
        <w:gridCol w:w="960"/>
      </w:tblGrid>
      <w:tr>
        <w:trPr>
          <w:trHeight w:val="312" w:hRule="atLeast"/>
        </w:trPr>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4"/>
              </w:rPr>
            </w:pPr>
            <w:r>
              <w:rPr>
                <w:rFonts w:hint="eastAsia" w:ascii="仿宋" w:hAnsi="仿宋" w:eastAsia="仿宋" w:cs="宋体"/>
                <w:b/>
                <w:bCs/>
                <w:color w:val="000000"/>
                <w:kern w:val="0"/>
                <w:sz w:val="24"/>
              </w:rPr>
              <w:t>序号</w:t>
            </w:r>
          </w:p>
        </w:tc>
        <w:tc>
          <w:tcPr>
            <w:tcW w:w="3184"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4"/>
              </w:rPr>
            </w:pPr>
            <w:r>
              <w:rPr>
                <w:rFonts w:hint="eastAsia" w:ascii="仿宋" w:hAnsi="仿宋" w:eastAsia="仿宋" w:cs="宋体"/>
                <w:b/>
                <w:bCs/>
                <w:color w:val="000000"/>
                <w:kern w:val="0"/>
                <w:sz w:val="24"/>
              </w:rPr>
              <w:t>点位</w:t>
            </w:r>
          </w:p>
        </w:tc>
        <w:tc>
          <w:tcPr>
            <w:tcW w:w="192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4"/>
              </w:rPr>
            </w:pPr>
            <w:r>
              <w:rPr>
                <w:rFonts w:hint="eastAsia" w:ascii="仿宋" w:hAnsi="仿宋" w:eastAsia="仿宋" w:cs="宋体"/>
                <w:b/>
                <w:bCs/>
                <w:color w:val="000000"/>
                <w:kern w:val="0"/>
                <w:sz w:val="24"/>
              </w:rPr>
              <w:t>诱导屏类型</w:t>
            </w:r>
          </w:p>
        </w:tc>
        <w:tc>
          <w:tcPr>
            <w:tcW w:w="122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4"/>
              </w:rPr>
            </w:pPr>
            <w:r>
              <w:rPr>
                <w:rFonts w:hint="eastAsia" w:ascii="仿宋" w:hAnsi="仿宋" w:eastAsia="仿宋" w:cs="宋体"/>
                <w:b/>
                <w:bCs/>
                <w:color w:val="000000"/>
                <w:kern w:val="0"/>
                <w:sz w:val="24"/>
              </w:rPr>
              <w:t>面积</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4"/>
              </w:rPr>
            </w:pPr>
            <w:r>
              <w:rPr>
                <w:rFonts w:hint="eastAsia" w:ascii="仿宋" w:hAnsi="仿宋" w:eastAsia="仿宋" w:cs="宋体"/>
                <w:b/>
                <w:bCs/>
                <w:color w:val="000000"/>
                <w:kern w:val="0"/>
                <w:sz w:val="24"/>
              </w:rPr>
              <w:t>数量</w:t>
            </w:r>
          </w:p>
        </w:tc>
      </w:tr>
      <w:tr>
        <w:tblPrEx>
          <w:tblCellMar>
            <w:top w:w="0" w:type="dxa"/>
            <w:left w:w="108" w:type="dxa"/>
            <w:bottom w:w="0" w:type="dxa"/>
            <w:right w:w="108" w:type="dxa"/>
          </w:tblCellMar>
        </w:tblPrEx>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凤林路灵芝路以西</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双基色屏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3m×2m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群贤路环湖路以东</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双基色屏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3m×2m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解放大道老钱陶公路以北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双基色屏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3m×2m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洋江西路绿云路以西</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双基色屏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3m×2m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群贤路解放大道以东</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群贤路站前大道以西</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解放大道体育路以北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G104国道公铁立桥以西</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站前大道于越中路以北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绍齐公路凤林路以北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洋江西路本觉路以东</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梅南路解放大道以西</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13</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迪荡湖路（隧道南口）</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迪荡湖路（都泗门路以南）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15</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胜利东路（五云路以东）</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16</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平江路（云东路以南）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17</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延安路（管委会大门以西）</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全彩屏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18</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人民东路（二环东路以东）</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路网屏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19</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人民东路（平江路以西）</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路网屏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20</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平江路（人民东路以北）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路网屏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4m×3m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21</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中兴大道二环北路口以北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光带屏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4.5m×3.7m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22</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解放大道二环北路口以北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光带屏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4.5m×3.7m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23</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解放南路路延安路口以北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双基色屏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3m×2m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r>
        <w:trPr>
          <w:trHeight w:val="276" w:hRule="atLeast"/>
        </w:trPr>
        <w:tc>
          <w:tcPr>
            <w:tcW w:w="716"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24</w:t>
            </w:r>
          </w:p>
        </w:tc>
        <w:tc>
          <w:tcPr>
            <w:tcW w:w="318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中兴大道洋江路口以北</w:t>
            </w:r>
          </w:p>
        </w:tc>
        <w:tc>
          <w:tcPr>
            <w:tcW w:w="1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双基色屏</w:t>
            </w:r>
          </w:p>
        </w:tc>
        <w:tc>
          <w:tcPr>
            <w:tcW w:w="12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3m×2m</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1块</w:t>
            </w:r>
          </w:p>
        </w:tc>
      </w:tr>
    </w:tbl>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r>
        <w:rPr>
          <w:rFonts w:hint="eastAsia" w:ascii="仿宋" w:hAnsi="仿宋" w:eastAsia="仿宋" w:cs="仿宋"/>
          <w:sz w:val="24"/>
        </w:rPr>
        <w:t>7.4附表4电子警察抓拍系统</w:t>
      </w:r>
    </w:p>
    <w:tbl>
      <w:tblPr>
        <w:tblStyle w:val="26"/>
        <w:tblW w:w="8600" w:type="dxa"/>
        <w:tblInd w:w="113" w:type="dxa"/>
        <w:tblLayout w:type="fixed"/>
        <w:tblCellMar>
          <w:top w:w="0" w:type="dxa"/>
          <w:left w:w="108" w:type="dxa"/>
          <w:bottom w:w="0" w:type="dxa"/>
          <w:right w:w="108" w:type="dxa"/>
        </w:tblCellMar>
      </w:tblPr>
      <w:tblGrid>
        <w:gridCol w:w="813"/>
        <w:gridCol w:w="2724"/>
        <w:gridCol w:w="1287"/>
        <w:gridCol w:w="564"/>
        <w:gridCol w:w="847"/>
        <w:gridCol w:w="812"/>
        <w:gridCol w:w="780"/>
        <w:gridCol w:w="773"/>
      </w:tblGrid>
      <w:tr>
        <w:trPr>
          <w:trHeight w:val="636" w:hRule="atLeast"/>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序号</w:t>
            </w:r>
          </w:p>
        </w:tc>
        <w:tc>
          <w:tcPr>
            <w:tcW w:w="2724"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点位</w:t>
            </w:r>
          </w:p>
        </w:tc>
        <w:tc>
          <w:tcPr>
            <w:tcW w:w="1287"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电警类型</w:t>
            </w:r>
          </w:p>
        </w:tc>
        <w:tc>
          <w:tcPr>
            <w:tcW w:w="564"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像机数</w:t>
            </w:r>
          </w:p>
        </w:tc>
        <w:tc>
          <w:tcPr>
            <w:tcW w:w="847"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智能终端</w:t>
            </w:r>
          </w:p>
        </w:tc>
        <w:tc>
          <w:tcPr>
            <w:tcW w:w="812"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LED频闪灯</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补光灯</w:t>
            </w:r>
          </w:p>
        </w:tc>
        <w:tc>
          <w:tcPr>
            <w:tcW w:w="773"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信号灯检测器</w:t>
            </w:r>
          </w:p>
        </w:tc>
      </w:tr>
      <w:tr>
        <w:tblPrEx>
          <w:tblCellMar>
            <w:top w:w="0" w:type="dxa"/>
            <w:left w:w="108" w:type="dxa"/>
            <w:bottom w:w="0" w:type="dxa"/>
            <w:right w:w="108" w:type="dxa"/>
          </w:tblCellMar>
        </w:tblPrEx>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环城西路朝皇路口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洋江西路孝贞路口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钱陶公路绍兴北站东路口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钱陶公路绍兴北站西路口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北站西路高铁汽车站路口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北站东路绍兴北站停车场路口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站前大道于越中路路口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站前大道工业学院路口（南北）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站前大道（越秀）元培学院路口（南北）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于越中路城北小学路口（东西）</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群贤路中兴大道路口（西口）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群贤路汤公路口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群贤路后墅路口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17</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群贤路K1+060M路口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群贤路K1+420M路口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群贤路环湖路口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群贤路利丰公路口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群贤路绿云路口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洋江西路适南路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群贤路绍齐公路口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兴越路绍齐公路口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兴越路站前大道路口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钱陶公路解放大道互通西路口（东西）</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钱陶公路西山头村路口（东西）</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钱陶公路后诸村路口（东西）</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钱陶公路嘉会大桥下路口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北站南路站前大道路口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站前大道裕民路口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于越中路绍齐公路口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于越中路林齐公路口（东西）</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解放大道于越中路口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解放大道世纪街路口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解放大道育贤路口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解放大道体育路口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洋江西路本觉路口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解放大道溢香街路口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洋江西路行政中心</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洋江西路后墅路口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104国道越州工贸园口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40</w:t>
            </w:r>
          </w:p>
        </w:tc>
        <w:tc>
          <w:tcPr>
            <w:tcW w:w="272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凤林西路后墅路口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41</w:t>
            </w:r>
          </w:p>
        </w:tc>
        <w:tc>
          <w:tcPr>
            <w:tcW w:w="272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凤林西路越西路（北）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0</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42</w:t>
            </w:r>
          </w:p>
        </w:tc>
        <w:tc>
          <w:tcPr>
            <w:tcW w:w="272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凤林西路大树江路口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43</w:t>
            </w:r>
          </w:p>
        </w:tc>
        <w:tc>
          <w:tcPr>
            <w:tcW w:w="2724"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洋江西路越西路口（东南西）</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洋江西路环西路口（东浦***）</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越西路灵芝路口（南北）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胜利西路清水闸村路口（东西）</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绿云路北站东路口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北站东路于越中路口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北站东路北站南路口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胜利东路五云路口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平江路勾乘路口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舜江路勾乘路口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人民东路上樊公路口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人民东路银桥路口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人民东路银州路口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人民东路独树路口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人民东路东湖路口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人民东路龙池路口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临江路东湖路口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临江路银桥路口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银兴路银桥路口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二环东路前赵大桥路口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解放大道大滩路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解放北路站前路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解放北路环城北路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解放北路胜利路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解放北路劳动路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解放北路光明路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解放北路县前街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解放北路府横街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解放南路鲁迅路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解放南路延安路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解放南路环城南路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解放南路凤江路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解放南路二环南路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人民西路环城西路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人民中路稽山路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延安路中兴路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延安路稽山路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中兴大道高速出口处</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中兴大道三江路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中兴大道康宁路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中兴大道329国道</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中兴大道世纪街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中兴大道育贤路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中兴大道群贤路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中兴大道洋江路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中兴大道凤林路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中兴北路二环北路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中兴北路龙洲路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中兴北路引虎弄</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中兴北路昌安西街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中兴北路胜利路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中兴北路劳动路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中兴北路八字桥直街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中兴北路东街</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中兴路人民路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中兴南路鲁迅路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中兴南路投醪河路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中兴南路环城南路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中兴南路凤江路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中兴南路城南大道</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中兴南路镜湖路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中兴南路二环南路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胜利东路迪荡湖路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胜利东路东池路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胜利东路新建路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胜利西路铁甲营</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胜利西路府山西路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胜利西路环城西路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胜利西路越西路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胜利西路二环西路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胜利西路尹大线</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二环南路越秀南大门</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二环南路曹江路口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二环南路阳明北路口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环城东路东池路口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环城东路西施山路口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环城东路云东路口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东池路稽山路口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胜利东路迪荡湖路口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胜利东路东池路口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云东路梅龙湖路口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延安东路剡溪路口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延安东路平江路口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延安东路五泄路口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平江路涂山路口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人民东路盛洋科技门口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越兴路皋杨路口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越兴路丰民路口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越兴路银桥路口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104国道皋马公路口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104国银桥路口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中山路吼山路口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中山路章家溇村路口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中山路吼山连接线路口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吼山连接线大江路口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迪荡湖路都泗门路口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本觉路横湖路口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140</w:t>
            </w:r>
          </w:p>
        </w:tc>
        <w:tc>
          <w:tcPr>
            <w:tcW w:w="272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本觉路锦帆路口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凤林西路机电市场</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海南路皋马线路口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横湖路适南路口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后墅路横湖路口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9</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解放大道横湖路口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马海路新海路口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茂林路鸿滨路口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梅南路官渎路口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149</w:t>
            </w:r>
          </w:p>
        </w:tc>
        <w:tc>
          <w:tcPr>
            <w:tcW w:w="272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平陶公路横旦村口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kern w:val="0"/>
                <w:sz w:val="20"/>
                <w:szCs w:val="20"/>
              </w:rPr>
            </w:pPr>
            <w:r>
              <w:rPr>
                <w:rFonts w:hint="eastAsia" w:ascii="仿宋" w:hAnsi="仿宋" w:eastAsia="仿宋" w:cs="仿宋"/>
                <w:kern w:val="0"/>
                <w:sz w:val="20"/>
                <w:szCs w:val="20"/>
              </w:rPr>
              <w:t>钱陶公路群贤中路口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kern w:val="0"/>
                <w:sz w:val="20"/>
                <w:szCs w:val="20"/>
              </w:rPr>
            </w:pPr>
            <w:r>
              <w:rPr>
                <w:rFonts w:hint="eastAsia" w:ascii="仿宋" w:hAnsi="仿宋" w:eastAsia="仿宋" w:cs="仿宋"/>
                <w:kern w:val="0"/>
                <w:sz w:val="20"/>
                <w:szCs w:val="20"/>
              </w:rPr>
              <w:t>群贤东路小库村路口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kern w:val="0"/>
                <w:sz w:val="20"/>
                <w:szCs w:val="20"/>
              </w:rPr>
            </w:pPr>
            <w:r>
              <w:rPr>
                <w:rFonts w:hint="eastAsia" w:ascii="仿宋" w:hAnsi="仿宋" w:eastAsia="仿宋" w:cs="仿宋"/>
                <w:kern w:val="0"/>
                <w:sz w:val="20"/>
                <w:szCs w:val="20"/>
              </w:rPr>
              <w:t>群贤东路榆林路口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kern w:val="0"/>
                <w:sz w:val="20"/>
                <w:szCs w:val="20"/>
              </w:rPr>
            </w:pPr>
            <w:r>
              <w:rPr>
                <w:rFonts w:hint="eastAsia" w:ascii="仿宋" w:hAnsi="仿宋" w:eastAsia="仿宋" w:cs="仿宋"/>
                <w:kern w:val="0"/>
                <w:sz w:val="20"/>
                <w:szCs w:val="20"/>
              </w:rPr>
              <w:t>群贤东路原粮厂路口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154</w:t>
            </w:r>
          </w:p>
        </w:tc>
        <w:tc>
          <w:tcPr>
            <w:tcW w:w="272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群贤中路K6+120路口东豆姜</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群贤中路安城路口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群贤中路海南路口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群贤中路鸿滨路口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10</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群贤中路越安北路口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159</w:t>
            </w:r>
          </w:p>
        </w:tc>
        <w:tc>
          <w:tcPr>
            <w:tcW w:w="272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山阴路亭山立交</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孙曹公路樊浦村口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孙曹公路皇甫小学</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天姥路浦江路口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涂山路五泄路口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164</w:t>
            </w:r>
          </w:p>
        </w:tc>
        <w:tc>
          <w:tcPr>
            <w:tcW w:w="272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延安东路环城东路口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洋江西路本觉路口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12</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洋江西路行政中心路口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11</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洋江西路后墅路口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洋江西路适南路口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永和大道白富路口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411"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永和大道东湖风景区门口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永和大道独树路口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永和大道吼山路口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173</w:t>
            </w:r>
          </w:p>
        </w:tc>
        <w:tc>
          <w:tcPr>
            <w:tcW w:w="272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永和大道泾口村路口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174</w:t>
            </w:r>
          </w:p>
        </w:tc>
        <w:tc>
          <w:tcPr>
            <w:tcW w:w="2724" w:type="dxa"/>
            <w:tcBorders>
              <w:top w:val="nil"/>
              <w:left w:val="nil"/>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永和大道茅洋村路口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175</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永和大道浔阳路口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4</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176</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越安北路双安路口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177</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越王路洋江路口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178</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越兴大桥匝道</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2</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179</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kern w:val="0"/>
                <w:sz w:val="20"/>
                <w:szCs w:val="20"/>
              </w:rPr>
            </w:pPr>
            <w:r>
              <w:rPr>
                <w:rFonts w:hint="eastAsia" w:ascii="仿宋" w:hAnsi="仿宋" w:eastAsia="仿宋" w:cs="仿宋"/>
                <w:kern w:val="0"/>
                <w:sz w:val="20"/>
                <w:szCs w:val="20"/>
              </w:rPr>
              <w:t>越兴路群贤东路口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180</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云东路五泄路口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7</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181</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云集路金川路口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182</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中兴南路大明路口</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13</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480"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183</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中兴南路绍诸高速连接线</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3</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6</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r>
        <w:trPr>
          <w:trHeight w:val="276" w:hRule="atLeast"/>
        </w:trPr>
        <w:tc>
          <w:tcPr>
            <w:tcW w:w="813"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184</w:t>
            </w:r>
          </w:p>
        </w:tc>
        <w:tc>
          <w:tcPr>
            <w:tcW w:w="2724"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中兴南路越剑路</w:t>
            </w:r>
          </w:p>
        </w:tc>
        <w:tc>
          <w:tcPr>
            <w:tcW w:w="128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闯红灯电警</w:t>
            </w:r>
          </w:p>
        </w:tc>
        <w:tc>
          <w:tcPr>
            <w:tcW w:w="564"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5</w:t>
            </w:r>
          </w:p>
        </w:tc>
        <w:tc>
          <w:tcPr>
            <w:tcW w:w="847" w:type="dxa"/>
            <w:tcBorders>
              <w:top w:val="nil"/>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c>
          <w:tcPr>
            <w:tcW w:w="812"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8</w:t>
            </w:r>
          </w:p>
        </w:tc>
        <w:tc>
          <w:tcPr>
            <w:tcW w:w="78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0</w:t>
            </w:r>
          </w:p>
        </w:tc>
        <w:tc>
          <w:tcPr>
            <w:tcW w:w="773"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hint="eastAsia" w:ascii="仿宋" w:hAnsi="仿宋" w:eastAsia="仿宋" w:cs="仿宋"/>
                <w:color w:val="000000"/>
                <w:kern w:val="0"/>
                <w:sz w:val="20"/>
                <w:szCs w:val="20"/>
              </w:rPr>
            </w:pPr>
            <w:r>
              <w:rPr>
                <w:rFonts w:hint="eastAsia" w:ascii="仿宋" w:hAnsi="仿宋" w:eastAsia="仿宋" w:cs="仿宋"/>
                <w:color w:val="000000"/>
                <w:kern w:val="0"/>
                <w:sz w:val="20"/>
                <w:szCs w:val="20"/>
              </w:rPr>
              <w:t>1</w:t>
            </w:r>
          </w:p>
        </w:tc>
      </w:tr>
    </w:tbl>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r>
        <w:rPr>
          <w:rFonts w:hint="eastAsia" w:ascii="仿宋" w:hAnsi="仿宋" w:eastAsia="仿宋" w:cs="仿宋"/>
          <w:sz w:val="24"/>
        </w:rPr>
        <w:t>高清卡口系统</w:t>
      </w:r>
    </w:p>
    <w:tbl>
      <w:tblPr>
        <w:tblStyle w:val="26"/>
        <w:tblW w:w="8587" w:type="dxa"/>
        <w:jc w:val="center"/>
        <w:tblLayout w:type="autofit"/>
        <w:tblCellMar>
          <w:top w:w="0" w:type="dxa"/>
          <w:left w:w="108" w:type="dxa"/>
          <w:bottom w:w="0" w:type="dxa"/>
          <w:right w:w="108" w:type="dxa"/>
        </w:tblCellMar>
      </w:tblPr>
      <w:tblGrid>
        <w:gridCol w:w="695"/>
        <w:gridCol w:w="2672"/>
        <w:gridCol w:w="1400"/>
        <w:gridCol w:w="920"/>
        <w:gridCol w:w="920"/>
        <w:gridCol w:w="640"/>
        <w:gridCol w:w="640"/>
        <w:gridCol w:w="700"/>
      </w:tblGrid>
      <w:tr>
        <w:tblPrEx>
          <w:tblCellMar>
            <w:top w:w="0" w:type="dxa"/>
            <w:left w:w="108" w:type="dxa"/>
            <w:bottom w:w="0" w:type="dxa"/>
            <w:right w:w="108" w:type="dxa"/>
          </w:tblCellMar>
        </w:tblPrEx>
        <w:trPr>
          <w:trHeight w:val="624" w:hRule="atLeast"/>
          <w:jc w:val="center"/>
        </w:trPr>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序号</w:t>
            </w:r>
          </w:p>
        </w:tc>
        <w:tc>
          <w:tcPr>
            <w:tcW w:w="2672"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点位</w:t>
            </w:r>
          </w:p>
        </w:tc>
        <w:tc>
          <w:tcPr>
            <w:tcW w:w="140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车道类型</w:t>
            </w:r>
          </w:p>
        </w:tc>
        <w:tc>
          <w:tcPr>
            <w:tcW w:w="92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抓拍像机数</w:t>
            </w:r>
          </w:p>
        </w:tc>
        <w:tc>
          <w:tcPr>
            <w:tcW w:w="92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全景像机数</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爆闪灯</w:t>
            </w:r>
          </w:p>
        </w:tc>
        <w:tc>
          <w:tcPr>
            <w:tcW w:w="64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补光灯</w:t>
            </w:r>
          </w:p>
        </w:tc>
        <w:tc>
          <w:tcPr>
            <w:tcW w:w="70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智能终端</w:t>
            </w:r>
          </w:p>
        </w:tc>
      </w:tr>
      <w:tr>
        <w:tblPrEx>
          <w:tblCellMar>
            <w:top w:w="0" w:type="dxa"/>
            <w:left w:w="108" w:type="dxa"/>
            <w:bottom w:w="0" w:type="dxa"/>
            <w:right w:w="108" w:type="dxa"/>
          </w:tblCellMar>
        </w:tblPrEx>
        <w:trPr>
          <w:trHeight w:val="500"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解放大道二环北路北800米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双向八车道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87"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解放大道群贤中路北200米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双向八车道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528"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洋江西路解放大道西450米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双向四车道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72"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洋江西路大越路东2100米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双向四车道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45"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凤林西路灵芝公路西800米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双向四车道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59"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凤林西路大越路东500米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双向四车道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90"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裕民路大越路东450米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双向四车道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31"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群贤中路大越路东3100米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双向六车道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46"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站前大道裕民路北500米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双向六车道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86"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越西路洋江路北500米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双向六车道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688"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2672"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于越中路绍兴县供水公司管网分公司路段</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双向二车道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66"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2672" w:type="dxa"/>
            <w:tcBorders>
              <w:top w:val="nil"/>
              <w:left w:val="nil"/>
              <w:bottom w:val="single" w:color="auto" w:sz="4" w:space="0"/>
              <w:right w:val="single" w:color="auto" w:sz="4" w:space="0"/>
            </w:tcBorders>
            <w:shd w:val="clear" w:color="000000" w:fill="FFFFFF"/>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解放大道凤林路口东300米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双向四车道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25"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13</w:t>
            </w:r>
          </w:p>
        </w:tc>
        <w:tc>
          <w:tcPr>
            <w:tcW w:w="2672" w:type="dxa"/>
            <w:tcBorders>
              <w:top w:val="nil"/>
              <w:left w:val="nil"/>
              <w:bottom w:val="single" w:color="auto" w:sz="4" w:space="0"/>
              <w:right w:val="single" w:color="auto" w:sz="4" w:space="0"/>
            </w:tcBorders>
            <w:shd w:val="clear" w:color="000000" w:fill="FFFFFF"/>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解放南路玉山路南600米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双向四车道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11"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2672" w:type="dxa"/>
            <w:tcBorders>
              <w:top w:val="nil"/>
              <w:left w:val="nil"/>
              <w:bottom w:val="single" w:color="auto" w:sz="4" w:space="0"/>
              <w:right w:val="single" w:color="auto" w:sz="4" w:space="0"/>
            </w:tcBorders>
            <w:shd w:val="clear" w:color="000000" w:fill="FFFFFF"/>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胜利西路阳明中学路口</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双向四车道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490" w:hRule="atLeast"/>
          <w:jc w:val="center"/>
        </w:trPr>
        <w:tc>
          <w:tcPr>
            <w:tcW w:w="695"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15</w:t>
            </w:r>
          </w:p>
        </w:tc>
        <w:tc>
          <w:tcPr>
            <w:tcW w:w="2672" w:type="dxa"/>
            <w:tcBorders>
              <w:top w:val="nil"/>
              <w:left w:val="nil"/>
              <w:bottom w:val="single" w:color="auto" w:sz="4" w:space="0"/>
              <w:right w:val="single" w:color="auto" w:sz="4" w:space="0"/>
            </w:tcBorders>
            <w:shd w:val="clear" w:color="000000" w:fill="FFFFFF"/>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胜利西路尹大线东1000米</w:t>
            </w:r>
          </w:p>
        </w:tc>
        <w:tc>
          <w:tcPr>
            <w:tcW w:w="140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双向四车道</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92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6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70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bl>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r>
        <w:rPr>
          <w:rFonts w:hint="eastAsia" w:ascii="仿宋" w:hAnsi="仿宋" w:eastAsia="仿宋" w:cs="仿宋"/>
          <w:sz w:val="24"/>
        </w:rPr>
        <w:t>7.5附表5视频监控系统</w:t>
      </w:r>
    </w:p>
    <w:tbl>
      <w:tblPr>
        <w:tblStyle w:val="26"/>
        <w:tblW w:w="7640" w:type="dxa"/>
        <w:jc w:val="center"/>
        <w:tblLayout w:type="autofit"/>
        <w:tblCellMar>
          <w:top w:w="0" w:type="dxa"/>
          <w:left w:w="108" w:type="dxa"/>
          <w:bottom w:w="0" w:type="dxa"/>
          <w:right w:w="108" w:type="dxa"/>
        </w:tblCellMar>
      </w:tblPr>
      <w:tblGrid>
        <w:gridCol w:w="960"/>
        <w:gridCol w:w="3880"/>
        <w:gridCol w:w="1840"/>
        <w:gridCol w:w="960"/>
      </w:tblGrid>
      <w:tr>
        <w:tblPrEx>
          <w:tblCellMar>
            <w:top w:w="0" w:type="dxa"/>
            <w:left w:w="108" w:type="dxa"/>
            <w:bottom w:w="0" w:type="dxa"/>
            <w:right w:w="108" w:type="dxa"/>
          </w:tblCellMar>
        </w:tblPrEx>
        <w:trPr>
          <w:trHeight w:val="312"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序号</w:t>
            </w:r>
          </w:p>
        </w:tc>
        <w:tc>
          <w:tcPr>
            <w:tcW w:w="388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点位</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监控类型</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b/>
                <w:bCs/>
                <w:color w:val="000000"/>
                <w:kern w:val="0"/>
                <w:sz w:val="20"/>
                <w:szCs w:val="20"/>
              </w:rPr>
            </w:pPr>
            <w:r>
              <w:rPr>
                <w:rFonts w:hint="eastAsia" w:ascii="仿宋" w:hAnsi="仿宋" w:eastAsia="仿宋" w:cs="宋体"/>
                <w:b/>
                <w:bCs/>
                <w:color w:val="000000"/>
                <w:kern w:val="0"/>
                <w:sz w:val="20"/>
                <w:szCs w:val="20"/>
              </w:rPr>
              <w:t>像机数</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洋江西路越西路口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洋江西路绿云中路口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钱陶公路西山头村路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钱陶公路后诸村路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于越中路站前大道</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于越中路解放大道路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解放大道世纪街</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解放大道育贤路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凤林路绍齐公路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站前大道凤林路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群贤路绿云中路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群贤路环湖路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13</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绿云中路凤林西路口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绿云中路洋江西路口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15</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绿云中路群贤路口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16</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绿云中路兴越路口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17</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绿云中路裕民路口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18</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绿云中路北站东路口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19</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钱陶公路解放大道互通</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20</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绍齐公路越剑大厦</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21</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群贤中路绿云中路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22</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群贤中路解放大道路口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23</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洋江西路绿云中路口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24</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洋江西路文化（科技）中心</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25</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凤林西路越西路</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26</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于越中路站前大道</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27</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解放大道国土局楼顶</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28</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滨江金色家园(镜湖大桥）</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29</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解放大道梅南路口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30</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群贤路站前大道（天悦城）</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31</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站前大道强头家园楼顶</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32</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平江路勾乘路口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33</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人民东路上樊公路口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34</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人民东路银桥路口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35</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人民东路独树路口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36</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人民东路龙池路口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37</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二环东路前赵大桥路口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38</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涂山路舜江路口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39</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舜江路二环南路口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40</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银桥路G104国道路口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41</w:t>
            </w:r>
          </w:p>
        </w:tc>
        <w:tc>
          <w:tcPr>
            <w:tcW w:w="38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银城路人民东路口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42</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解放大道梅南路口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43</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解放北路环城北路口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44</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解放南路鲁迅路口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45</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解放南路延安路口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46</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中兴北路昌安立交桥下</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47</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中兴北路白马路口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48</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中兴南路鲁迅路口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49</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中兴南路二环南路口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50</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胜利西路尹大线路口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低位监控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51</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解放大道梅南路口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52</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解放大道赞成美林屋顶</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53</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解放大道山水人家屋顶</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54</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铭康大厦</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55</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中兴大道杭甬高速路口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56</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中兴北路八字桥直街路口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57</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中兴南路城南大道路口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58</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胜利西路二环西路口</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312"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59</w:t>
            </w:r>
          </w:p>
        </w:tc>
        <w:tc>
          <w:tcPr>
            <w:tcW w:w="38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延安路建设银行</w:t>
            </w:r>
          </w:p>
        </w:tc>
        <w:tc>
          <w:tcPr>
            <w:tcW w:w="184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高位监控</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bl>
    <w:p>
      <w:pPr>
        <w:spacing w:line="288" w:lineRule="auto"/>
        <w:rPr>
          <w:rFonts w:ascii="仿宋" w:hAnsi="仿宋" w:eastAsia="仿宋" w:cs="仿宋"/>
          <w:sz w:val="24"/>
        </w:rPr>
      </w:pPr>
    </w:p>
    <w:p>
      <w:pPr>
        <w:spacing w:line="288" w:lineRule="auto"/>
        <w:ind w:firstLine="480" w:firstLineChars="200"/>
        <w:rPr>
          <w:rFonts w:ascii="仿宋" w:hAnsi="仿宋" w:eastAsia="仿宋" w:cs="仿宋"/>
          <w:sz w:val="24"/>
        </w:rPr>
      </w:pPr>
      <w:r>
        <w:rPr>
          <w:rFonts w:hint="eastAsia" w:ascii="仿宋" w:hAnsi="仿宋" w:eastAsia="仿宋" w:cs="仿宋"/>
          <w:sz w:val="24"/>
        </w:rPr>
        <w:t>7.6附表6交通事件检测系统</w:t>
      </w:r>
    </w:p>
    <w:tbl>
      <w:tblPr>
        <w:tblStyle w:val="26"/>
        <w:tblW w:w="7660" w:type="dxa"/>
        <w:jc w:val="center"/>
        <w:tblLayout w:type="autofit"/>
        <w:tblCellMar>
          <w:top w:w="0" w:type="dxa"/>
          <w:left w:w="108" w:type="dxa"/>
          <w:bottom w:w="0" w:type="dxa"/>
          <w:right w:w="108" w:type="dxa"/>
        </w:tblCellMar>
      </w:tblPr>
      <w:tblGrid>
        <w:gridCol w:w="960"/>
        <w:gridCol w:w="4080"/>
        <w:gridCol w:w="1660"/>
        <w:gridCol w:w="960"/>
      </w:tblGrid>
      <w:tr>
        <w:tblPrEx>
          <w:tblCellMar>
            <w:top w:w="0" w:type="dxa"/>
            <w:left w:w="108" w:type="dxa"/>
            <w:bottom w:w="0" w:type="dxa"/>
            <w:right w:w="108" w:type="dxa"/>
          </w:tblCellMar>
        </w:tblPrEx>
        <w:trPr>
          <w:trHeight w:val="276"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序号</w:t>
            </w:r>
          </w:p>
        </w:tc>
        <w:tc>
          <w:tcPr>
            <w:tcW w:w="408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点位</w:t>
            </w:r>
          </w:p>
        </w:tc>
        <w:tc>
          <w:tcPr>
            <w:tcW w:w="166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监控类型</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像机数</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裕民路中国轻纺城国际物流中心门口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群贤路镜湖时代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耶溪路金川路</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溢香街曲屯路</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曲屯路浙江工业职业技术学院</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惠利街迪荡湖路口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惠利街梅龙湖路口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范蠡路胜利东路口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惠利街范蠡路口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鲁迅东路鹤池苑菜场路口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鲁迅东路东盛菜场路口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勾乘路百沥路口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13</w:t>
            </w:r>
          </w:p>
        </w:tc>
        <w:tc>
          <w:tcPr>
            <w:tcW w:w="4080" w:type="dxa"/>
            <w:tcBorders>
              <w:top w:val="nil"/>
              <w:left w:val="nil"/>
              <w:bottom w:val="single" w:color="auto" w:sz="4" w:space="0"/>
              <w:right w:val="single" w:color="auto" w:sz="4" w:space="0"/>
            </w:tcBorders>
            <w:shd w:val="clear" w:color="auto" w:fill="auto"/>
            <w:vAlign w:val="center"/>
          </w:tcPr>
          <w:p>
            <w:pPr>
              <w:widowControl/>
              <w:adjustRightInd/>
              <w:rPr>
                <w:rFonts w:ascii="仿宋" w:hAnsi="仿宋" w:eastAsia="仿宋" w:cs="宋体"/>
                <w:color w:val="000000"/>
                <w:kern w:val="0"/>
                <w:sz w:val="20"/>
                <w:szCs w:val="20"/>
              </w:rPr>
            </w:pPr>
            <w:r>
              <w:rPr>
                <w:rFonts w:hint="eastAsia" w:ascii="仿宋" w:hAnsi="仿宋" w:eastAsia="仿宋" w:cs="宋体"/>
                <w:color w:val="000000"/>
                <w:kern w:val="0"/>
                <w:sz w:val="20"/>
                <w:szCs w:val="20"/>
              </w:rPr>
              <w:t>延安路百沥路口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单行抓拍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中兴南路缪家桥河沿人行横道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15</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中兴南路江家溇人行横道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16</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解放南路长城路人行横道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17</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环城西路(新)鲁迅小学人行横道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18</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环城北路北海桥人行横道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19</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人民西路培新小学人行横道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20</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人民西路(老)鲁迅小学人行横道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21</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胜利西路西小路人行横道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22</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胜利东路唐皇苑人行横道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23</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胜利东路夹塘路人行横道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24</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夹塘路胜利西路(单行线）</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25</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人民东路市公安局人行横道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26</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云东路龙骧苑人行横道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27</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世纪街农商院人行横道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28</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曲屯路市人民政府人行横道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29</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曲屯路工业职业技术学院（北）人行横道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30</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曲屯路美食街(北)人行横道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31</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胜利西路元培中学门口人行横道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32</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迪荡湖公园西入口</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33</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人民东路大湖头村路口人行横道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34</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解放北路光明路口人行横道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35</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越西路大叶池小区门口人行横道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36</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亭山路绍兴职业技术学院门口人行横道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37</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人民西路仓桥直街路口人行横道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38</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人民中路唐家弄路口人行横道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39</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越西路诸家湾路口人行横道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40</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中兴南路罗门路口人行横道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41</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环城南路望花路口人行横道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480"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42</w:t>
            </w:r>
          </w:p>
        </w:tc>
        <w:tc>
          <w:tcPr>
            <w:tcW w:w="4080" w:type="dxa"/>
            <w:tcBorders>
              <w:top w:val="nil"/>
              <w:left w:val="nil"/>
              <w:bottom w:val="single" w:color="auto" w:sz="4" w:space="0"/>
              <w:right w:val="single" w:color="auto" w:sz="4" w:space="0"/>
            </w:tcBorders>
            <w:shd w:val="clear" w:color="auto" w:fill="auto"/>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城南大道绍兴文理学院河西校区西南门人行横道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2</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43</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梅龙湖环湖支路元城大厦路段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44</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胜利东路世贸皇冠假日酒店路段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45</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梅龙湖北路崇德街路段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46</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西施山路环湖支路连接线路段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47</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环湖支路连接线财智大厦路段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48</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梅龙湖环湖北支路黄金时代路段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49</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梅龙湖环湖北支路隧道南侧路段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50</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梅龙湖环湖北支路迪荡湖公园路段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51</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胜利东路迪荡湖路段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52</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胜利东路梅龙湖北路段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53</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胜利东路梅龙湖南路段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54</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迪荡湖路崇德街路段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55</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范蠡路崇德街路段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56</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kern w:val="0"/>
                <w:sz w:val="20"/>
                <w:szCs w:val="20"/>
              </w:rPr>
            </w:pPr>
            <w:r>
              <w:rPr>
                <w:rFonts w:hint="eastAsia" w:ascii="仿宋" w:hAnsi="仿宋" w:eastAsia="仿宋" w:cs="宋体"/>
                <w:kern w:val="0"/>
                <w:sz w:val="20"/>
                <w:szCs w:val="20"/>
              </w:rPr>
              <w:t>环城东路隧道北口路段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57</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卧龙路少儿艺术学校路段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58</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涂山路敦煌新村路段</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违停抓拍</w:t>
            </w:r>
          </w:p>
        </w:tc>
        <w:tc>
          <w:tcPr>
            <w:tcW w:w="9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1</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59</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延安东路百沥路口人行横道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60</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平江南路涂山花园门口人行横道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61</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胜利东路世贸广场人行横道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62</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云东路龙骧园门口人行横道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63</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涂山路绍兴体育中心人行横道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64</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涂山路敦煌新村门口人行横道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65</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迪荡湖路迪荡湖公园西入口人行横道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66</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延安东路长沼路口人行横道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67</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平江南路博爱医院门口人行横道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68</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胜利东路崇贤街路口人行横道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69</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东池路白马路口人行横道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r>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70</w:t>
            </w:r>
          </w:p>
        </w:tc>
        <w:tc>
          <w:tcPr>
            <w:tcW w:w="4080" w:type="dxa"/>
            <w:tcBorders>
              <w:top w:val="nil"/>
              <w:left w:val="nil"/>
              <w:bottom w:val="single" w:color="auto" w:sz="4" w:space="0"/>
              <w:right w:val="single" w:color="auto" w:sz="4" w:space="0"/>
            </w:tcBorders>
            <w:shd w:val="clear" w:color="auto" w:fill="auto"/>
            <w:noWrap/>
            <w:vAlign w:val="center"/>
          </w:tcPr>
          <w:p>
            <w:pPr>
              <w:widowControl/>
              <w:adjustRightInd/>
              <w:jc w:val="left"/>
              <w:rPr>
                <w:rFonts w:ascii="仿宋" w:hAnsi="仿宋" w:eastAsia="仿宋" w:cs="宋体"/>
                <w:color w:val="000000"/>
                <w:kern w:val="0"/>
                <w:sz w:val="20"/>
                <w:szCs w:val="20"/>
              </w:rPr>
            </w:pPr>
            <w:r>
              <w:rPr>
                <w:rFonts w:hint="eastAsia" w:ascii="仿宋" w:hAnsi="仿宋" w:eastAsia="仿宋" w:cs="宋体"/>
                <w:color w:val="000000"/>
                <w:kern w:val="0"/>
                <w:sz w:val="20"/>
                <w:szCs w:val="20"/>
              </w:rPr>
              <w:t>东池路仓弄路口人行横道</w:t>
            </w:r>
          </w:p>
        </w:tc>
        <w:tc>
          <w:tcPr>
            <w:tcW w:w="1660" w:type="dxa"/>
            <w:tcBorders>
              <w:top w:val="nil"/>
              <w:left w:val="nil"/>
              <w:bottom w:val="single" w:color="auto" w:sz="4" w:space="0"/>
              <w:right w:val="single" w:color="auto" w:sz="4" w:space="0"/>
            </w:tcBorders>
            <w:shd w:val="clear" w:color="auto" w:fill="auto"/>
            <w:vAlign w:val="center"/>
          </w:tcPr>
          <w:p>
            <w:pPr>
              <w:widowControl/>
              <w:adjustRightInd/>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不礼让斑马线</w:t>
            </w:r>
          </w:p>
        </w:tc>
        <w:tc>
          <w:tcPr>
            <w:tcW w:w="960" w:type="dxa"/>
            <w:tcBorders>
              <w:top w:val="nil"/>
              <w:left w:val="nil"/>
              <w:bottom w:val="single" w:color="auto" w:sz="4" w:space="0"/>
              <w:right w:val="single" w:color="auto" w:sz="4" w:space="0"/>
            </w:tcBorders>
            <w:shd w:val="clear" w:color="auto" w:fill="auto"/>
            <w:noWrap/>
            <w:vAlign w:val="bottom"/>
          </w:tcPr>
          <w:p>
            <w:pPr>
              <w:widowControl/>
              <w:adjustRightInd/>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2</w:t>
            </w:r>
          </w:p>
        </w:tc>
      </w:tr>
    </w:tbl>
    <w:p>
      <w:pPr>
        <w:spacing w:line="288" w:lineRule="auto"/>
        <w:rPr>
          <w:rFonts w:ascii="仿宋" w:hAnsi="仿宋" w:eastAsia="仿宋" w:cs="仿宋"/>
          <w:b/>
          <w:sz w:val="24"/>
        </w:rPr>
      </w:pPr>
      <w:r>
        <w:rPr>
          <w:rFonts w:hint="eastAsia" w:ascii="仿宋" w:hAnsi="仿宋" w:eastAsia="仿宋" w:cs="仿宋"/>
          <w:b/>
          <w:sz w:val="24"/>
        </w:rPr>
        <w:t>[四].技术要求</w:t>
      </w:r>
    </w:p>
    <w:p>
      <w:pPr>
        <w:spacing w:line="288" w:lineRule="auto"/>
        <w:ind w:firstLine="480" w:firstLineChars="200"/>
        <w:rPr>
          <w:rFonts w:ascii="仿宋" w:hAnsi="仿宋" w:eastAsia="仿宋" w:cs="仿宋"/>
          <w:sz w:val="24"/>
        </w:rPr>
      </w:pPr>
      <w:r>
        <w:rPr>
          <w:rFonts w:hint="eastAsia" w:ascii="仿宋" w:hAnsi="仿宋" w:eastAsia="仿宋" w:cs="仿宋"/>
          <w:sz w:val="24"/>
        </w:rPr>
        <w:t>1.执行标准</w:t>
      </w:r>
    </w:p>
    <w:p>
      <w:pPr>
        <w:spacing w:line="288" w:lineRule="auto"/>
        <w:ind w:firstLine="480" w:firstLineChars="200"/>
        <w:rPr>
          <w:rFonts w:ascii="仿宋" w:hAnsi="仿宋" w:eastAsia="仿宋" w:cs="仿宋"/>
          <w:sz w:val="24"/>
        </w:rPr>
      </w:pPr>
      <w:r>
        <w:rPr>
          <w:rFonts w:hint="eastAsia" w:ascii="仿宋" w:hAnsi="仿宋" w:eastAsia="仿宋" w:cs="仿宋"/>
          <w:sz w:val="24"/>
        </w:rPr>
        <w:t>《中华人民共和国道路交通安全法》；</w:t>
      </w:r>
    </w:p>
    <w:p>
      <w:pPr>
        <w:spacing w:line="288" w:lineRule="auto"/>
        <w:ind w:firstLine="480" w:firstLineChars="200"/>
        <w:rPr>
          <w:rFonts w:ascii="仿宋" w:hAnsi="仿宋" w:eastAsia="仿宋" w:cs="仿宋"/>
          <w:sz w:val="24"/>
        </w:rPr>
      </w:pPr>
      <w:r>
        <w:rPr>
          <w:rFonts w:hint="eastAsia" w:ascii="仿宋" w:hAnsi="仿宋" w:eastAsia="仿宋" w:cs="仿宋"/>
          <w:sz w:val="24"/>
        </w:rPr>
        <w:t>《中华人民共和国道路交通安全法实施条例》；</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《道路交通技术监控设备运行维护规范》(GA/T 1043-2013)；</w:t>
      </w:r>
    </w:p>
    <w:p>
      <w:pPr>
        <w:spacing w:line="288" w:lineRule="auto"/>
        <w:ind w:firstLine="480" w:firstLineChars="200"/>
        <w:rPr>
          <w:rFonts w:ascii="仿宋" w:hAnsi="仿宋" w:eastAsia="仿宋" w:cs="仿宋"/>
          <w:sz w:val="24"/>
        </w:rPr>
      </w:pPr>
      <w:r>
        <w:rPr>
          <w:rFonts w:hint="eastAsia" w:ascii="仿宋" w:hAnsi="仿宋" w:eastAsia="仿宋" w:cs="仿宋"/>
          <w:sz w:val="24"/>
        </w:rPr>
        <w:t>《城市道路施工作业交通组织规范》(GD/T 900-2010)；</w:t>
      </w:r>
    </w:p>
    <w:p>
      <w:pPr>
        <w:spacing w:line="288" w:lineRule="auto"/>
        <w:ind w:firstLine="480" w:firstLineChars="200"/>
        <w:rPr>
          <w:rFonts w:ascii="仿宋" w:hAnsi="仿宋" w:eastAsia="仿宋" w:cs="仿宋"/>
          <w:sz w:val="24"/>
        </w:rPr>
      </w:pPr>
      <w:r>
        <w:rPr>
          <w:rFonts w:hint="eastAsia" w:ascii="仿宋" w:hAnsi="仿宋" w:eastAsia="仿宋" w:cs="仿宋"/>
          <w:sz w:val="24"/>
        </w:rPr>
        <w:t>《城市道路交通运行状态评价规范》(DB33/T 998-2016)；</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《道路交通安全违法行为图像取证技术规范》(GA/T 832-2014)；</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《道路交通信号控制机》(GB 25280-2010)；</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《道路交通信号灯设置与安装规范》(GB 14886-2006)；</w:t>
      </w:r>
    </w:p>
    <w:p>
      <w:pPr>
        <w:spacing w:line="288" w:lineRule="auto"/>
        <w:ind w:firstLine="480" w:firstLineChars="200"/>
        <w:rPr>
          <w:rFonts w:ascii="仿宋" w:hAnsi="仿宋" w:eastAsia="仿宋" w:cs="仿宋"/>
          <w:sz w:val="24"/>
        </w:rPr>
      </w:pPr>
      <w:r>
        <w:rPr>
          <w:rFonts w:hint="eastAsia" w:ascii="仿宋" w:hAnsi="仿宋" w:eastAsia="仿宋" w:cs="仿宋"/>
          <w:sz w:val="24"/>
        </w:rPr>
        <w:t>《闯红灯自动记录系统通用技术条件》(GA/T 496-2014)；</w:t>
      </w:r>
    </w:p>
    <w:p>
      <w:pPr>
        <w:spacing w:line="288" w:lineRule="auto"/>
        <w:ind w:firstLine="480" w:firstLineChars="200"/>
        <w:rPr>
          <w:rFonts w:ascii="仿宋" w:hAnsi="仿宋" w:eastAsia="仿宋" w:cs="仿宋"/>
          <w:sz w:val="24"/>
        </w:rPr>
      </w:pPr>
      <w:r>
        <w:rPr>
          <w:rFonts w:hint="eastAsia" w:ascii="仿宋" w:hAnsi="仿宋" w:eastAsia="仿宋" w:cs="仿宋"/>
          <w:sz w:val="24"/>
        </w:rPr>
        <w:t>《道路车辆智能监测记录系统通用技术条件》(GA/T 497-2016)；</w:t>
      </w:r>
    </w:p>
    <w:p>
      <w:pPr>
        <w:spacing w:line="288" w:lineRule="auto"/>
        <w:ind w:firstLine="480" w:firstLineChars="200"/>
        <w:rPr>
          <w:rFonts w:ascii="仿宋" w:hAnsi="仿宋" w:eastAsia="仿宋" w:cs="仿宋"/>
          <w:sz w:val="24"/>
        </w:rPr>
      </w:pPr>
      <w:r>
        <w:rPr>
          <w:rFonts w:hint="eastAsia" w:ascii="仿宋" w:hAnsi="仿宋" w:eastAsia="仿宋" w:cs="仿宋"/>
          <w:sz w:val="24"/>
        </w:rPr>
        <w:t>《人行横道道路交通安全违法行为监测记录系统通用技术条件》(GA/T 1244-2015)；</w:t>
      </w:r>
    </w:p>
    <w:p>
      <w:pPr>
        <w:spacing w:line="288" w:lineRule="auto"/>
        <w:ind w:firstLine="480" w:firstLineChars="200"/>
        <w:rPr>
          <w:rFonts w:ascii="仿宋" w:hAnsi="仿宋" w:eastAsia="仿宋" w:cs="仿宋"/>
          <w:sz w:val="24"/>
        </w:rPr>
      </w:pPr>
      <w:r>
        <w:rPr>
          <w:rFonts w:hint="eastAsia" w:ascii="仿宋" w:hAnsi="仿宋" w:eastAsia="仿宋" w:cs="仿宋"/>
          <w:sz w:val="24"/>
        </w:rPr>
        <w:t>《道路通行状态信息发布规范》(GA/T 994-2012)；</w:t>
      </w:r>
    </w:p>
    <w:p>
      <w:pPr>
        <w:spacing w:line="288" w:lineRule="auto"/>
        <w:ind w:firstLine="480" w:firstLineChars="200"/>
        <w:rPr>
          <w:rFonts w:ascii="仿宋" w:hAnsi="仿宋" w:eastAsia="仿宋" w:cs="仿宋"/>
          <w:sz w:val="24"/>
        </w:rPr>
      </w:pPr>
      <w:r>
        <w:rPr>
          <w:rFonts w:hint="eastAsia" w:ascii="仿宋" w:hAnsi="仿宋" w:eastAsia="仿宋" w:cs="仿宋"/>
          <w:sz w:val="24"/>
        </w:rPr>
        <w:t>《机动车号牌图像自动识别技术规范》(GA/T 833-2016)；</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《道路交通信号灯》（GB 14887—2011）；</w:t>
      </w:r>
    </w:p>
    <w:p>
      <w:pPr>
        <w:spacing w:line="288" w:lineRule="auto"/>
        <w:ind w:firstLine="480" w:firstLineChars="200"/>
        <w:rPr>
          <w:rFonts w:ascii="仿宋" w:hAnsi="仿宋" w:eastAsia="仿宋" w:cs="仿宋"/>
          <w:sz w:val="24"/>
        </w:rPr>
      </w:pPr>
      <w:r>
        <w:rPr>
          <w:rFonts w:hint="eastAsia" w:ascii="仿宋" w:hAnsi="仿宋" w:eastAsia="仿宋" w:cs="仿宋"/>
          <w:sz w:val="24"/>
        </w:rPr>
        <w:t>《计算机信息系统安全保护等级划分准则》（GB 17859—1999）；</w:t>
      </w:r>
    </w:p>
    <w:p>
      <w:pPr>
        <w:spacing w:line="288" w:lineRule="auto"/>
        <w:ind w:firstLine="480" w:firstLineChars="200"/>
        <w:rPr>
          <w:rFonts w:ascii="仿宋" w:hAnsi="仿宋" w:eastAsia="仿宋" w:cs="仿宋"/>
          <w:sz w:val="24"/>
        </w:rPr>
      </w:pPr>
      <w:r>
        <w:rPr>
          <w:rFonts w:hint="eastAsia" w:ascii="仿宋" w:hAnsi="仿宋" w:eastAsia="仿宋" w:cs="仿宋"/>
          <w:sz w:val="24"/>
        </w:rPr>
        <w:t>《民用闭路监视电视系统工程技术规范》（GB 50198—2011）；</w:t>
      </w:r>
    </w:p>
    <w:p>
      <w:pPr>
        <w:spacing w:line="288" w:lineRule="auto"/>
        <w:ind w:firstLine="480" w:firstLineChars="200"/>
        <w:rPr>
          <w:rFonts w:ascii="仿宋" w:hAnsi="仿宋" w:eastAsia="仿宋" w:cs="仿宋"/>
          <w:sz w:val="24"/>
        </w:rPr>
      </w:pPr>
      <w:r>
        <w:rPr>
          <w:rFonts w:hint="eastAsia" w:ascii="仿宋" w:hAnsi="仿宋" w:eastAsia="仿宋" w:cs="仿宋"/>
          <w:sz w:val="24"/>
        </w:rPr>
        <w:t>《全国道路交通管理信息数据库规范》（GA329—2006）；</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《道路交通违法管理信息代码》（GA408—2006）；</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《道路交通流量调查》（GA /T 299—2001）；</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《道路交通堵塞度及评价方法》（GA/T 115—1995）；</w:t>
      </w:r>
    </w:p>
    <w:p>
      <w:pPr>
        <w:spacing w:line="288" w:lineRule="auto"/>
        <w:ind w:firstLine="480" w:firstLineChars="200"/>
        <w:rPr>
          <w:rFonts w:ascii="仿宋" w:hAnsi="仿宋" w:eastAsia="仿宋" w:cs="仿宋"/>
          <w:sz w:val="24"/>
        </w:rPr>
      </w:pPr>
      <w:r>
        <w:rPr>
          <w:rFonts w:hint="eastAsia" w:ascii="仿宋" w:hAnsi="仿宋" w:eastAsia="仿宋" w:cs="仿宋"/>
          <w:sz w:val="24"/>
        </w:rPr>
        <w:t>《城市道路交通秩序评价方法》（GA/T 175—1998）；</w:t>
      </w:r>
    </w:p>
    <w:p>
      <w:pPr>
        <w:spacing w:line="288" w:lineRule="auto"/>
        <w:ind w:firstLine="480" w:firstLineChars="200"/>
        <w:rPr>
          <w:rFonts w:ascii="仿宋" w:hAnsi="仿宋" w:eastAsia="仿宋" w:cs="仿宋"/>
          <w:sz w:val="24"/>
        </w:rPr>
      </w:pPr>
      <w:r>
        <w:rPr>
          <w:rFonts w:hint="eastAsia" w:ascii="仿宋" w:hAnsi="仿宋" w:eastAsia="仿宋" w:cs="仿宋"/>
          <w:sz w:val="24"/>
        </w:rPr>
        <w:t>《安防视频监控系统技术要求》（GA/T 367—2001）；</w:t>
      </w:r>
    </w:p>
    <w:p>
      <w:pPr>
        <w:spacing w:line="288" w:lineRule="auto"/>
        <w:ind w:firstLine="480" w:firstLineChars="200"/>
        <w:rPr>
          <w:rFonts w:ascii="仿宋" w:hAnsi="仿宋" w:eastAsia="仿宋" w:cs="仿宋"/>
          <w:sz w:val="24"/>
        </w:rPr>
      </w:pPr>
      <w:r>
        <w:rPr>
          <w:rFonts w:hint="eastAsia" w:ascii="仿宋" w:hAnsi="仿宋" w:eastAsia="仿宋" w:cs="仿宋"/>
          <w:sz w:val="24"/>
        </w:rPr>
        <w:t>《公安交通指挥系统建设技术规范》（GA/T 445—2010）；</w:t>
      </w:r>
    </w:p>
    <w:p>
      <w:pPr>
        <w:spacing w:line="288" w:lineRule="auto"/>
        <w:ind w:firstLine="480" w:firstLineChars="200"/>
        <w:rPr>
          <w:rFonts w:ascii="仿宋" w:hAnsi="仿宋" w:eastAsia="仿宋" w:cs="仿宋"/>
          <w:sz w:val="24"/>
        </w:rPr>
      </w:pPr>
      <w:r>
        <w:rPr>
          <w:rFonts w:hint="eastAsia" w:ascii="仿宋" w:hAnsi="仿宋" w:eastAsia="仿宋" w:cs="仿宋"/>
          <w:sz w:val="24"/>
        </w:rPr>
        <w:t>《LED 道路交通诱导可变信息标志》（GA/T 484—2010）；</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《道路交通信号控制机安装规范》（GA/T 489—2016）；</w:t>
      </w:r>
    </w:p>
    <w:p>
      <w:pPr>
        <w:spacing w:line="288" w:lineRule="auto"/>
        <w:ind w:firstLine="480" w:firstLineChars="200"/>
        <w:rPr>
          <w:rFonts w:ascii="仿宋" w:hAnsi="仿宋" w:eastAsia="仿宋" w:cs="仿宋"/>
          <w:sz w:val="24"/>
        </w:rPr>
      </w:pPr>
      <w:r>
        <w:rPr>
          <w:rFonts w:hint="eastAsia" w:ascii="仿宋" w:hAnsi="仿宋" w:eastAsia="仿宋" w:cs="仿宋"/>
          <w:sz w:val="24"/>
        </w:rPr>
        <w:t>《交通电视监控系统验收规范》（GA/T 514—2004）；</w:t>
      </w:r>
    </w:p>
    <w:p>
      <w:pPr>
        <w:spacing w:line="288" w:lineRule="auto"/>
        <w:ind w:firstLine="480" w:firstLineChars="200"/>
        <w:rPr>
          <w:rFonts w:ascii="仿宋" w:hAnsi="仿宋" w:eastAsia="仿宋" w:cs="仿宋"/>
          <w:sz w:val="24"/>
        </w:rPr>
      </w:pPr>
      <w:r>
        <w:rPr>
          <w:rFonts w:hint="eastAsia" w:ascii="仿宋" w:hAnsi="仿宋" w:eastAsia="仿宋" w:cs="仿宋"/>
          <w:sz w:val="24"/>
        </w:rPr>
        <w:t>《城市道路交通信号控制方式适用规范》（GA/T 527—2005）；</w:t>
      </w:r>
    </w:p>
    <w:p>
      <w:pPr>
        <w:spacing w:line="288" w:lineRule="auto"/>
        <w:ind w:firstLine="480" w:firstLineChars="200"/>
        <w:rPr>
          <w:rFonts w:ascii="仿宋" w:hAnsi="仿宋" w:eastAsia="仿宋" w:cs="仿宋"/>
          <w:sz w:val="24"/>
        </w:rPr>
      </w:pPr>
      <w:r>
        <w:rPr>
          <w:rFonts w:hint="eastAsia" w:ascii="仿宋" w:hAnsi="仿宋" w:eastAsia="仿宋" w:cs="仿宋"/>
          <w:sz w:val="24"/>
        </w:rPr>
        <w:t>《公安交通指挥系统工程建设程序与要求》（GA/T 651—2014）；</w:t>
      </w:r>
    </w:p>
    <w:p>
      <w:pPr>
        <w:spacing w:line="288" w:lineRule="auto"/>
        <w:ind w:firstLine="480" w:firstLineChars="200"/>
        <w:rPr>
          <w:rFonts w:ascii="仿宋" w:hAnsi="仿宋" w:eastAsia="仿宋" w:cs="仿宋"/>
          <w:sz w:val="24"/>
        </w:rPr>
      </w:pPr>
      <w:r>
        <w:rPr>
          <w:rFonts w:hint="eastAsia" w:ascii="仿宋" w:hAnsi="仿宋" w:eastAsia="仿宋" w:cs="仿宋"/>
          <w:sz w:val="24"/>
        </w:rPr>
        <w:t>《公安交通管理设备外场设备施工要求》（GA/T 652—2006）；</w:t>
      </w:r>
    </w:p>
    <w:p>
      <w:pPr>
        <w:spacing w:line="288" w:lineRule="auto"/>
        <w:ind w:firstLine="480" w:firstLineChars="200"/>
        <w:rPr>
          <w:rFonts w:ascii="仿宋" w:hAnsi="仿宋" w:eastAsia="仿宋" w:cs="仿宋"/>
          <w:sz w:val="24"/>
        </w:rPr>
      </w:pPr>
      <w:r>
        <w:rPr>
          <w:rFonts w:hint="eastAsia" w:ascii="仿宋" w:hAnsi="仿宋" w:eastAsia="仿宋" w:cs="仿宋"/>
          <w:sz w:val="24"/>
        </w:rPr>
        <w:t>《公路工程技术标准》（JTG B01-2014）；</w:t>
      </w:r>
    </w:p>
    <w:p>
      <w:pPr>
        <w:spacing w:line="288" w:lineRule="auto"/>
        <w:ind w:firstLine="480" w:firstLineChars="200"/>
        <w:rPr>
          <w:rFonts w:ascii="仿宋" w:hAnsi="仿宋" w:eastAsia="仿宋" w:cs="仿宋"/>
          <w:sz w:val="24"/>
        </w:rPr>
      </w:pPr>
      <w:r>
        <w:rPr>
          <w:rFonts w:hint="eastAsia" w:ascii="仿宋" w:hAnsi="仿宋" w:eastAsia="仿宋" w:cs="仿宋"/>
          <w:sz w:val="24"/>
        </w:rPr>
        <w:t>《闯红灯自动记录系统验收技术规范》（GA/T870-2010）；</w:t>
      </w:r>
    </w:p>
    <w:p>
      <w:pPr>
        <w:spacing w:line="288" w:lineRule="auto"/>
        <w:ind w:firstLine="480" w:firstLineChars="200"/>
        <w:rPr>
          <w:rFonts w:ascii="仿宋" w:hAnsi="仿宋" w:eastAsia="仿宋" w:cs="仿宋"/>
          <w:sz w:val="24"/>
        </w:rPr>
      </w:pPr>
      <w:r>
        <w:rPr>
          <w:rFonts w:hint="eastAsia" w:ascii="仿宋" w:hAnsi="仿宋" w:eastAsia="仿宋" w:cs="仿宋"/>
          <w:sz w:val="24"/>
        </w:rPr>
        <w:t>《道路交通安全违法行为视频取证设备技术规范》（GA/T995—2012）。</w:t>
      </w:r>
    </w:p>
    <w:p>
      <w:pPr>
        <w:spacing w:line="288" w:lineRule="auto"/>
        <w:ind w:firstLine="480" w:firstLineChars="200"/>
        <w:rPr>
          <w:rFonts w:ascii="仿宋" w:hAnsi="仿宋" w:eastAsia="仿宋" w:cs="仿宋"/>
          <w:sz w:val="24"/>
        </w:rPr>
      </w:pPr>
      <w:r>
        <w:rPr>
          <w:rFonts w:hint="eastAsia" w:ascii="仿宋" w:hAnsi="仿宋" w:eastAsia="仿宋" w:cs="仿宋"/>
          <w:sz w:val="24"/>
        </w:rPr>
        <w:t>2.一般要求</w:t>
      </w:r>
    </w:p>
    <w:p>
      <w:pPr>
        <w:spacing w:line="288" w:lineRule="auto"/>
        <w:ind w:firstLine="480" w:firstLineChars="200"/>
        <w:rPr>
          <w:rFonts w:ascii="仿宋" w:hAnsi="仿宋" w:eastAsia="仿宋" w:cs="仿宋"/>
          <w:sz w:val="24"/>
        </w:rPr>
      </w:pPr>
      <w:r>
        <w:rPr>
          <w:rFonts w:hint="eastAsia" w:ascii="仿宋" w:hAnsi="仿宋" w:eastAsia="仿宋" w:cs="仿宋"/>
          <w:sz w:val="24"/>
        </w:rPr>
        <w:t>2.1 按照GA/T 1043-2013《道路交通技术监控设备运行维护规范》附录B 要求，做好智能交通设备备案基本信息台帐，非监控设备类设备参照执行。</w:t>
      </w:r>
    </w:p>
    <w:p>
      <w:pPr>
        <w:spacing w:line="288" w:lineRule="auto"/>
        <w:ind w:firstLine="480" w:firstLineChars="200"/>
        <w:rPr>
          <w:rFonts w:ascii="仿宋" w:hAnsi="仿宋" w:eastAsia="仿宋" w:cs="仿宋"/>
          <w:sz w:val="24"/>
        </w:rPr>
      </w:pPr>
      <w:r>
        <w:rPr>
          <w:rFonts w:hint="eastAsia" w:ascii="仿宋" w:hAnsi="仿宋" w:eastAsia="仿宋" w:cs="仿宋"/>
          <w:sz w:val="24"/>
        </w:rPr>
        <w:t>2.2 按照GA/T 1043-2013《道路交通技术监控设备运行维护规范》要求，建立设备维护台帐，非监控设备类设备参照执行。</w:t>
      </w:r>
    </w:p>
    <w:p>
      <w:pPr>
        <w:spacing w:line="288" w:lineRule="auto"/>
        <w:ind w:firstLine="480" w:firstLineChars="200"/>
        <w:rPr>
          <w:rFonts w:ascii="仿宋" w:hAnsi="仿宋" w:eastAsia="仿宋" w:cs="仿宋"/>
          <w:sz w:val="24"/>
        </w:rPr>
      </w:pPr>
      <w:r>
        <w:rPr>
          <w:rFonts w:hint="eastAsia" w:ascii="仿宋" w:hAnsi="仿宋" w:eastAsia="仿宋" w:cs="仿宋"/>
          <w:sz w:val="24"/>
        </w:rPr>
        <w:t>2.3 根据绍兴市区智能交通建设实际，建立运维管理系统，自动上报维保范围内所有联网设备的运行状态和功能，自动记录所有设备的在线情况、上线率和设备的日正常率。</w:t>
      </w:r>
    </w:p>
    <w:p>
      <w:pPr>
        <w:spacing w:line="288" w:lineRule="auto"/>
        <w:ind w:firstLine="480" w:firstLineChars="200"/>
        <w:rPr>
          <w:rFonts w:ascii="仿宋" w:hAnsi="仿宋" w:eastAsia="仿宋" w:cs="仿宋"/>
          <w:sz w:val="24"/>
        </w:rPr>
      </w:pPr>
      <w:r>
        <w:rPr>
          <w:rFonts w:hint="eastAsia" w:ascii="仿宋" w:hAnsi="仿宋" w:eastAsia="仿宋" w:cs="仿宋"/>
          <w:sz w:val="24"/>
        </w:rPr>
        <w:t>2.4每日开展外场各系统的巡检工作，对运维管理系统的离线设备和数字城管派遣任务进行处理并提交日巡检报告；每周开展外场各系统的维护与保养，检查维护设备外观、机箱、杆件、灯板、防护罩、电源、管线、窨井、避雷设备、接地、等外场设施，机箱、杆件、灯板、防护罩如有锈迹应及时刷新，窨井井盖不得缺损，地埋管线应保持完好，不得裸露地面并提交周维护与保养报告。</w:t>
      </w:r>
    </w:p>
    <w:p>
      <w:pPr>
        <w:spacing w:line="288" w:lineRule="auto"/>
        <w:ind w:firstLine="480" w:firstLineChars="200"/>
        <w:rPr>
          <w:rFonts w:ascii="仿宋" w:hAnsi="仿宋" w:eastAsia="仿宋" w:cs="仿宋"/>
          <w:sz w:val="24"/>
        </w:rPr>
      </w:pPr>
      <w:r>
        <w:rPr>
          <w:rFonts w:hint="eastAsia" w:ascii="仿宋" w:hAnsi="仿宋" w:eastAsia="仿宋" w:cs="仿宋"/>
          <w:sz w:val="24"/>
        </w:rPr>
        <w:t>2.5 设备损坏无法修复需更换的部件，提供的设备的性能和主要技术指标不得低于招标文件要求的技术指标；更换设备时所用主要原材料必须与投标文件相符。</w:t>
      </w:r>
    </w:p>
    <w:p>
      <w:pPr>
        <w:spacing w:line="288" w:lineRule="auto"/>
        <w:ind w:firstLine="480" w:firstLineChars="200"/>
        <w:rPr>
          <w:rFonts w:ascii="仿宋" w:hAnsi="仿宋" w:eastAsia="仿宋" w:cs="仿宋"/>
          <w:sz w:val="24"/>
        </w:rPr>
      </w:pPr>
      <w:r>
        <w:rPr>
          <w:rFonts w:hint="eastAsia" w:ascii="仿宋" w:hAnsi="仿宋" w:eastAsia="仿宋" w:cs="仿宋"/>
          <w:sz w:val="24"/>
        </w:rPr>
        <w:t>3.特殊要求</w:t>
      </w:r>
    </w:p>
    <w:p>
      <w:pPr>
        <w:spacing w:line="288" w:lineRule="auto"/>
        <w:ind w:firstLine="480" w:firstLineChars="200"/>
        <w:rPr>
          <w:rFonts w:ascii="仿宋" w:hAnsi="仿宋" w:eastAsia="仿宋" w:cs="仿宋"/>
          <w:sz w:val="24"/>
        </w:rPr>
      </w:pPr>
      <w:r>
        <w:rPr>
          <w:rFonts w:hint="eastAsia" w:ascii="仿宋" w:hAnsi="仿宋" w:eastAsia="仿宋" w:cs="仿宋"/>
          <w:sz w:val="24"/>
        </w:rPr>
        <w:t>3.1 视频摄像机（包括监控球机、高位球机、云台、视频检测等视频摄像设备）：定期检查维护视频质量、云台球机控制、对时、防护罩镜头清灰，反向安装的视频检测设备应检查排队长度等主要参数是否正确有效。</w:t>
      </w:r>
    </w:p>
    <w:p>
      <w:pPr>
        <w:spacing w:line="288" w:lineRule="auto"/>
        <w:ind w:firstLine="480" w:firstLineChars="200"/>
        <w:rPr>
          <w:rFonts w:ascii="仿宋" w:hAnsi="仿宋" w:eastAsia="仿宋" w:cs="仿宋"/>
          <w:sz w:val="24"/>
        </w:rPr>
      </w:pPr>
      <w:r>
        <w:rPr>
          <w:rFonts w:hint="eastAsia" w:ascii="仿宋" w:hAnsi="仿宋" w:eastAsia="仿宋" w:cs="仿宋"/>
          <w:sz w:val="24"/>
        </w:rPr>
        <w:t>3.2 车辆违法行为监测记录设备（包括闯红灯自动记录系统、卡口抓拍系统等）：定期检查维护视频质量、对时、防护罩镜头清灰，抓拍视频摄像机应检查设备捕获率、号牌识别率是否达到标准，虚拟线圈设置是否合理有效、车辆违法信息是否正确、完整。</w:t>
      </w:r>
    </w:p>
    <w:p>
      <w:pPr>
        <w:spacing w:line="288" w:lineRule="auto"/>
        <w:ind w:firstLine="480" w:firstLineChars="200"/>
        <w:rPr>
          <w:rFonts w:ascii="仿宋" w:hAnsi="仿宋" w:eastAsia="仿宋" w:cs="仿宋"/>
          <w:sz w:val="24"/>
        </w:rPr>
      </w:pPr>
      <w:r>
        <w:rPr>
          <w:rFonts w:hint="eastAsia" w:ascii="仿宋" w:hAnsi="仿宋" w:eastAsia="仿宋" w:cs="仿宋"/>
          <w:sz w:val="24"/>
        </w:rPr>
        <w:t>3.3 道路信号控制设备（包括机动车信号灯、非机动车信号灯、人行横道灯、待行屏、潮汐车道控制系统）：定期检查维护信号灯板灯盘、倒计时、人行灯是否正常。适应道路通行变化，及时调整信号机配时。</w:t>
      </w:r>
    </w:p>
    <w:p>
      <w:pPr>
        <w:spacing w:line="288" w:lineRule="auto"/>
        <w:ind w:firstLine="480" w:firstLineChars="200"/>
        <w:rPr>
          <w:rFonts w:ascii="仿宋" w:hAnsi="仿宋" w:eastAsia="仿宋" w:cs="仿宋"/>
          <w:sz w:val="24"/>
        </w:rPr>
      </w:pPr>
      <w:r>
        <w:rPr>
          <w:rFonts w:hint="eastAsia" w:ascii="仿宋" w:hAnsi="仿宋" w:eastAsia="仿宋" w:cs="仿宋"/>
          <w:sz w:val="24"/>
        </w:rPr>
        <w:t>3.4 道路交通信息显示设备（包括交通诱导屏）：定期检查显示模组工作是否正常，亮度及均匀性、盲点率是否符合标准，发布信息是否准确及时。</w:t>
      </w:r>
    </w:p>
    <w:p>
      <w:pPr>
        <w:spacing w:line="288" w:lineRule="auto"/>
        <w:ind w:firstLine="480" w:firstLineChars="200"/>
        <w:rPr>
          <w:rFonts w:ascii="仿宋" w:hAnsi="仿宋" w:eastAsia="仿宋" w:cs="仿宋"/>
          <w:sz w:val="24"/>
        </w:rPr>
      </w:pPr>
      <w:r>
        <w:rPr>
          <w:rFonts w:hint="eastAsia" w:ascii="仿宋" w:hAnsi="仿宋" w:eastAsia="仿宋" w:cs="仿宋"/>
          <w:sz w:val="24"/>
        </w:rPr>
        <w:t>3.5 信息安全：应及时升级外场终端服务器等其他设备的操作系统、防病毒杀毒软件，谨慎使用移动介质，严防设备、系统感染病毒。</w:t>
      </w:r>
    </w:p>
    <w:p>
      <w:pPr>
        <w:spacing w:line="288" w:lineRule="auto"/>
        <w:ind w:firstLine="480" w:firstLineChars="200"/>
        <w:rPr>
          <w:rFonts w:ascii="仿宋" w:hAnsi="仿宋" w:eastAsia="仿宋" w:cs="仿宋"/>
          <w:sz w:val="24"/>
        </w:rPr>
      </w:pPr>
      <w:r>
        <w:rPr>
          <w:rFonts w:hint="eastAsia" w:ascii="仿宋" w:hAnsi="仿宋" w:eastAsia="仿宋" w:cs="仿宋"/>
          <w:sz w:val="24"/>
        </w:rPr>
        <w:t>3.6遇台风、暴雨、雷击等各种非正常气象情况时，中标人须立即出动不少于1个应急巡逻小组加强外场设备和工程的巡视，发现损坏情况时要立即实施抢修。在突发大面积故障时，中标人能够启动应急机制，至少可同时进行2个工作点的维护抢修。</w:t>
      </w:r>
    </w:p>
    <w:p>
      <w:pPr>
        <w:spacing w:line="288" w:lineRule="auto"/>
        <w:ind w:firstLine="480" w:firstLineChars="200"/>
        <w:rPr>
          <w:rFonts w:ascii="仿宋" w:hAnsi="仿宋" w:eastAsia="仿宋" w:cs="仿宋"/>
          <w:sz w:val="24"/>
        </w:rPr>
      </w:pPr>
      <w:r>
        <w:rPr>
          <w:rFonts w:hint="eastAsia" w:ascii="仿宋" w:hAnsi="仿宋" w:eastAsia="仿宋" w:cs="仿宋"/>
          <w:sz w:val="24"/>
        </w:rPr>
        <w:t>3.7遇特别任务、重大活动、节假日等，中标人必须提前安排维护人员值班，维护人员值班表必须提前送至招标人，以便于联系。若遇临时的特别任务或警卫任务，中标人应立刻做出响应，协助招标人做好相应系统的特别任务或警卫任务的保障工作。</w:t>
      </w:r>
    </w:p>
    <w:p>
      <w:pPr>
        <w:spacing w:line="288" w:lineRule="auto"/>
        <w:ind w:firstLine="480" w:firstLineChars="200"/>
        <w:rPr>
          <w:rFonts w:ascii="仿宋" w:hAnsi="仿宋" w:eastAsia="仿宋" w:cs="仿宋"/>
          <w:sz w:val="24"/>
        </w:rPr>
      </w:pPr>
      <w:r>
        <w:rPr>
          <w:rFonts w:hint="eastAsia" w:ascii="仿宋" w:hAnsi="仿宋" w:eastAsia="仿宋" w:cs="仿宋"/>
          <w:sz w:val="24"/>
        </w:rPr>
        <w:t>3.8针对个别交通智能化系统因周边无市政公用电源，暂由外单位（或个人）处接入的，该部分所产生的电费由中标人支付。投标单位在报价时充分考虑电费支付的费用。</w:t>
      </w:r>
    </w:p>
    <w:p>
      <w:pPr>
        <w:spacing w:line="288" w:lineRule="auto"/>
        <w:ind w:firstLine="480" w:firstLineChars="200"/>
        <w:rPr>
          <w:rFonts w:ascii="仿宋" w:hAnsi="仿宋" w:eastAsia="仿宋" w:cs="仿宋"/>
          <w:sz w:val="24"/>
        </w:rPr>
      </w:pPr>
      <w:r>
        <w:rPr>
          <w:rFonts w:hint="eastAsia" w:ascii="仿宋" w:hAnsi="仿宋" w:eastAsia="仿宋" w:cs="仿宋"/>
          <w:sz w:val="24"/>
        </w:rPr>
        <w:t>4.报修响应</w:t>
      </w:r>
    </w:p>
    <w:p>
      <w:pPr>
        <w:spacing w:line="288" w:lineRule="auto"/>
        <w:ind w:firstLine="480" w:firstLineChars="200"/>
        <w:rPr>
          <w:rFonts w:ascii="仿宋" w:hAnsi="仿宋" w:eastAsia="仿宋" w:cs="仿宋"/>
          <w:sz w:val="24"/>
        </w:rPr>
      </w:pPr>
      <w:r>
        <w:rPr>
          <w:rFonts w:hint="eastAsia" w:ascii="仿宋" w:hAnsi="仿宋" w:eastAsia="仿宋" w:cs="仿宋"/>
          <w:sz w:val="24"/>
        </w:rPr>
        <w:t>除日常检查维护外，对突发性故障要有应急机制及时抢修，保证设备正常运行。保证7*24 小时接报。对日常维修，接报后30 分钟内作出维修响应；2个小时内赶到现场；一般性故障需在24 个小时内排除；对暂时无法排除的故障，要求维护方采取备件直接更换方式恢复系统运行。对于需要特殊原因不能按时修复的，需及时反馈甲方。对抢修，接报后30 分钟内响应，1 小时内赶到现场，12 小时内排除故障。对于信号故障的，在发现问题或接报后半小时内放置临时信号灯，确保路口交通正常。</w:t>
      </w:r>
    </w:p>
    <w:p>
      <w:pPr>
        <w:spacing w:line="288" w:lineRule="auto"/>
        <w:ind w:firstLine="480" w:firstLineChars="200"/>
        <w:rPr>
          <w:rFonts w:ascii="仿宋" w:hAnsi="仿宋" w:eastAsia="仿宋" w:cs="仿宋"/>
          <w:sz w:val="24"/>
        </w:rPr>
      </w:pPr>
      <w:r>
        <w:rPr>
          <w:rFonts w:hint="eastAsia" w:ascii="仿宋" w:hAnsi="仿宋" w:eastAsia="仿宋" w:cs="仿宋"/>
          <w:sz w:val="24"/>
        </w:rPr>
        <w:t>5.具备工程性迁移、改造、升级能力</w:t>
      </w:r>
    </w:p>
    <w:p>
      <w:pPr>
        <w:spacing w:line="288" w:lineRule="auto"/>
        <w:ind w:firstLine="480" w:firstLineChars="200"/>
        <w:rPr>
          <w:rFonts w:ascii="仿宋" w:hAnsi="仿宋" w:eastAsia="仿宋" w:cs="仿宋"/>
          <w:sz w:val="24"/>
        </w:rPr>
      </w:pPr>
      <w:r>
        <w:rPr>
          <w:rFonts w:hint="eastAsia" w:ascii="仿宋" w:hAnsi="仿宋" w:eastAsia="仿宋" w:cs="仿宋"/>
          <w:sz w:val="24"/>
        </w:rPr>
        <w:t>该项内容不在本次维护范围内。但是涉及到前端设备的迁移、改造、升级等工作，维护单位需具备现场实施、调试能力，以及将迁移、改造、升级后的设备接入现有系统中的能力。</w:t>
      </w:r>
    </w:p>
    <w:p>
      <w:pPr>
        <w:spacing w:line="288" w:lineRule="auto"/>
        <w:rPr>
          <w:rFonts w:ascii="仿宋" w:hAnsi="仿宋" w:eastAsia="仿宋" w:cs="仿宋"/>
          <w:b/>
          <w:sz w:val="24"/>
        </w:rPr>
      </w:pPr>
      <w:r>
        <w:rPr>
          <w:rFonts w:hint="eastAsia" w:ascii="仿宋" w:hAnsi="仿宋" w:eastAsia="仿宋" w:cs="仿宋"/>
          <w:b/>
          <w:sz w:val="24"/>
        </w:rPr>
        <w:t xml:space="preserve"> [五].工程量清单</w:t>
      </w:r>
    </w:p>
    <w:p>
      <w:pPr>
        <w:spacing w:line="288" w:lineRule="auto"/>
        <w:ind w:firstLine="480" w:firstLineChars="200"/>
        <w:rPr>
          <w:rFonts w:ascii="仿宋" w:hAnsi="仿宋" w:eastAsia="仿宋" w:cs="仿宋"/>
          <w:sz w:val="24"/>
        </w:rPr>
      </w:pPr>
      <w:r>
        <w:rPr>
          <w:rFonts w:hint="eastAsia" w:ascii="仿宋" w:hAnsi="仿宋" w:eastAsia="仿宋" w:cs="仿宋"/>
          <w:sz w:val="24"/>
        </w:rPr>
        <w:t>1.维护数量清单</w:t>
      </w:r>
    </w:p>
    <w:tbl>
      <w:tblPr>
        <w:tblStyle w:val="26"/>
        <w:tblW w:w="8235" w:type="dxa"/>
        <w:tblInd w:w="95" w:type="dxa"/>
        <w:tblLayout w:type="fixed"/>
        <w:tblCellMar>
          <w:top w:w="0" w:type="dxa"/>
          <w:left w:w="108" w:type="dxa"/>
          <w:bottom w:w="0" w:type="dxa"/>
          <w:right w:w="108" w:type="dxa"/>
        </w:tblCellMar>
      </w:tblPr>
      <w:tblGrid>
        <w:gridCol w:w="2140"/>
        <w:gridCol w:w="1984"/>
        <w:gridCol w:w="2126"/>
        <w:gridCol w:w="1985"/>
      </w:tblGrid>
      <w:tr>
        <w:tblPrEx>
          <w:tblCellMar>
            <w:top w:w="0" w:type="dxa"/>
            <w:left w:w="108" w:type="dxa"/>
            <w:bottom w:w="0" w:type="dxa"/>
            <w:right w:w="108" w:type="dxa"/>
          </w:tblCellMar>
        </w:tblPrEx>
        <w:trPr>
          <w:trHeight w:val="700" w:hRule="atLeast"/>
        </w:trPr>
        <w:tc>
          <w:tcPr>
            <w:tcW w:w="21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设备种类</w:t>
            </w: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维护数</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设备种类</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维护数</w:t>
            </w:r>
          </w:p>
        </w:tc>
      </w:tr>
      <w:tr>
        <w:tblPrEx>
          <w:tblCellMar>
            <w:top w:w="0" w:type="dxa"/>
            <w:left w:w="108" w:type="dxa"/>
            <w:bottom w:w="0" w:type="dxa"/>
            <w:right w:w="108" w:type="dxa"/>
          </w:tblCellMar>
        </w:tblPrEx>
        <w:trPr>
          <w:trHeight w:val="416" w:hRule="atLeast"/>
        </w:trPr>
        <w:tc>
          <w:tcPr>
            <w:tcW w:w="2140"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交通信息采集类</w:t>
            </w:r>
          </w:p>
        </w:tc>
        <w:tc>
          <w:tcPr>
            <w:tcW w:w="1984" w:type="dxa"/>
            <w:tcBorders>
              <w:top w:val="nil"/>
              <w:left w:val="nil"/>
              <w:bottom w:val="single" w:color="auto" w:sz="4" w:space="0"/>
              <w:right w:val="single" w:color="auto" w:sz="4" w:space="0"/>
            </w:tcBorders>
            <w:shd w:val="clear" w:color="auto" w:fill="auto"/>
            <w:vAlign w:val="center"/>
          </w:tcPr>
          <w:p>
            <w:pPr>
              <w:spacing w:line="288" w:lineRule="auto"/>
              <w:jc w:val="center"/>
              <w:rPr>
                <w:rFonts w:ascii="仿宋" w:hAnsi="仿宋" w:eastAsia="仿宋" w:cs="仿宋"/>
                <w:sz w:val="24"/>
              </w:rPr>
            </w:pPr>
            <w:r>
              <w:rPr>
                <w:rFonts w:ascii="仿宋" w:hAnsi="仿宋" w:eastAsia="仿宋" w:cs="仿宋"/>
                <w:sz w:val="24"/>
              </w:rPr>
              <w:t>321</w:t>
            </w:r>
          </w:p>
        </w:tc>
        <w:tc>
          <w:tcPr>
            <w:tcW w:w="2126"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交通诱导类</w:t>
            </w:r>
          </w:p>
        </w:tc>
        <w:tc>
          <w:tcPr>
            <w:tcW w:w="1985"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4</w:t>
            </w:r>
          </w:p>
        </w:tc>
      </w:tr>
      <w:tr>
        <w:tblPrEx>
          <w:tblCellMar>
            <w:top w:w="0" w:type="dxa"/>
            <w:left w:w="108" w:type="dxa"/>
            <w:bottom w:w="0" w:type="dxa"/>
            <w:right w:w="108" w:type="dxa"/>
          </w:tblCellMar>
        </w:tblPrEx>
        <w:trPr>
          <w:trHeight w:val="438" w:hRule="atLeast"/>
        </w:trPr>
        <w:tc>
          <w:tcPr>
            <w:tcW w:w="2140"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交通信号类</w:t>
            </w:r>
          </w:p>
        </w:tc>
        <w:tc>
          <w:tcPr>
            <w:tcW w:w="1984"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ascii="仿宋" w:hAnsi="仿宋" w:eastAsia="仿宋" w:cs="仿宋"/>
                <w:sz w:val="24"/>
              </w:rPr>
              <w:t>204</w:t>
            </w:r>
          </w:p>
        </w:tc>
        <w:tc>
          <w:tcPr>
            <w:tcW w:w="2126"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视频监控类</w:t>
            </w:r>
          </w:p>
        </w:tc>
        <w:tc>
          <w:tcPr>
            <w:tcW w:w="1985"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ascii="仿宋" w:hAnsi="仿宋" w:eastAsia="仿宋" w:cs="仿宋"/>
                <w:sz w:val="24"/>
              </w:rPr>
              <w:t>59</w:t>
            </w:r>
          </w:p>
        </w:tc>
      </w:tr>
      <w:tr>
        <w:tblPrEx>
          <w:tblCellMar>
            <w:top w:w="0" w:type="dxa"/>
            <w:left w:w="108" w:type="dxa"/>
            <w:bottom w:w="0" w:type="dxa"/>
            <w:right w:w="108" w:type="dxa"/>
          </w:tblCellMar>
        </w:tblPrEx>
        <w:trPr>
          <w:trHeight w:val="399" w:hRule="atLeast"/>
        </w:trPr>
        <w:tc>
          <w:tcPr>
            <w:tcW w:w="2140"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电子警察类</w:t>
            </w:r>
          </w:p>
        </w:tc>
        <w:tc>
          <w:tcPr>
            <w:tcW w:w="1984"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ascii="仿宋" w:hAnsi="仿宋" w:eastAsia="仿宋" w:cs="仿宋"/>
                <w:sz w:val="24"/>
              </w:rPr>
              <w:t>725</w:t>
            </w:r>
          </w:p>
        </w:tc>
        <w:tc>
          <w:tcPr>
            <w:tcW w:w="2126"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交通事件检测类</w:t>
            </w:r>
          </w:p>
        </w:tc>
        <w:tc>
          <w:tcPr>
            <w:tcW w:w="1985"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50</w:t>
            </w:r>
          </w:p>
        </w:tc>
      </w:tr>
    </w:tbl>
    <w:p>
      <w:pPr>
        <w:spacing w:line="288" w:lineRule="auto"/>
        <w:ind w:firstLine="480" w:firstLineChars="200"/>
        <w:rPr>
          <w:rFonts w:ascii="仿宋" w:hAnsi="仿宋" w:eastAsia="仿宋" w:cs="仿宋"/>
          <w:sz w:val="24"/>
        </w:rPr>
      </w:pPr>
      <w:r>
        <w:rPr>
          <w:rFonts w:hint="eastAsia" w:ascii="仿宋" w:hAnsi="仿宋" w:eastAsia="仿宋" w:cs="仿宋"/>
          <w:sz w:val="24"/>
        </w:rPr>
        <w:t>2. 维护任务清单</w:t>
      </w:r>
    </w:p>
    <w:tbl>
      <w:tblPr>
        <w:tblStyle w:val="26"/>
        <w:tblW w:w="8660" w:type="dxa"/>
        <w:tblInd w:w="95" w:type="dxa"/>
        <w:tblLayout w:type="fixed"/>
        <w:tblCellMar>
          <w:top w:w="0" w:type="dxa"/>
          <w:left w:w="108" w:type="dxa"/>
          <w:bottom w:w="0" w:type="dxa"/>
          <w:right w:w="108" w:type="dxa"/>
        </w:tblCellMar>
      </w:tblPr>
      <w:tblGrid>
        <w:gridCol w:w="1380"/>
        <w:gridCol w:w="5012"/>
        <w:gridCol w:w="1292"/>
        <w:gridCol w:w="976"/>
      </w:tblGrid>
      <w:tr>
        <w:tblPrEx>
          <w:tblCellMar>
            <w:top w:w="0" w:type="dxa"/>
            <w:left w:w="108" w:type="dxa"/>
            <w:bottom w:w="0" w:type="dxa"/>
            <w:right w:w="108" w:type="dxa"/>
          </w:tblCellMar>
        </w:tblPrEx>
        <w:trPr>
          <w:trHeight w:val="609" w:hRule="atLeast"/>
        </w:trPr>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设备种类</w:t>
            </w:r>
          </w:p>
        </w:tc>
        <w:tc>
          <w:tcPr>
            <w:tcW w:w="5012"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任务内容</w:t>
            </w:r>
          </w:p>
        </w:tc>
        <w:tc>
          <w:tcPr>
            <w:tcW w:w="1292"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维护周期</w:t>
            </w:r>
          </w:p>
        </w:tc>
        <w:tc>
          <w:tcPr>
            <w:tcW w:w="976"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每年次数</w:t>
            </w:r>
          </w:p>
        </w:tc>
      </w:tr>
      <w:tr>
        <w:tblPrEx>
          <w:tblCellMar>
            <w:top w:w="0" w:type="dxa"/>
            <w:left w:w="108" w:type="dxa"/>
            <w:bottom w:w="0" w:type="dxa"/>
            <w:right w:w="108" w:type="dxa"/>
          </w:tblCellMar>
        </w:tblPrEx>
        <w:trPr>
          <w:trHeight w:val="928" w:hRule="atLeast"/>
        </w:trPr>
        <w:tc>
          <w:tcPr>
            <w:tcW w:w="1380"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外场设施</w:t>
            </w:r>
          </w:p>
        </w:tc>
        <w:tc>
          <w:tcPr>
            <w:tcW w:w="5012" w:type="dxa"/>
            <w:tcBorders>
              <w:top w:val="nil"/>
              <w:left w:val="nil"/>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外观、机箱、杆件、防护罩、电源、灯板、管线、窨井、避雷设备、接地、等外场设施，统计遮挡物，如树枝等遮挡设备的情况。</w:t>
            </w:r>
          </w:p>
        </w:tc>
        <w:tc>
          <w:tcPr>
            <w:tcW w:w="1292" w:type="dxa"/>
            <w:tcBorders>
              <w:top w:val="nil"/>
              <w:left w:val="nil"/>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每周一次</w:t>
            </w:r>
          </w:p>
        </w:tc>
        <w:tc>
          <w:tcPr>
            <w:tcW w:w="976"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52</w:t>
            </w:r>
          </w:p>
        </w:tc>
      </w:tr>
      <w:tr>
        <w:tblPrEx>
          <w:tblCellMar>
            <w:top w:w="0" w:type="dxa"/>
            <w:left w:w="108" w:type="dxa"/>
            <w:bottom w:w="0" w:type="dxa"/>
            <w:right w:w="108" w:type="dxa"/>
          </w:tblCellMar>
        </w:tblPrEx>
        <w:trPr>
          <w:trHeight w:val="547" w:hRule="atLeast"/>
        </w:trPr>
        <w:tc>
          <w:tcPr>
            <w:tcW w:w="1380"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交通信息采集类</w:t>
            </w:r>
          </w:p>
        </w:tc>
        <w:tc>
          <w:tcPr>
            <w:tcW w:w="5012" w:type="dxa"/>
            <w:tcBorders>
              <w:top w:val="nil"/>
              <w:left w:val="nil"/>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视频质量、对时、防护罩镜头清灰、排队长度。</w:t>
            </w:r>
          </w:p>
        </w:tc>
        <w:tc>
          <w:tcPr>
            <w:tcW w:w="1292" w:type="dxa"/>
            <w:tcBorders>
              <w:top w:val="nil"/>
              <w:left w:val="nil"/>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每月一次</w:t>
            </w:r>
          </w:p>
        </w:tc>
        <w:tc>
          <w:tcPr>
            <w:tcW w:w="976"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12</w:t>
            </w:r>
          </w:p>
        </w:tc>
      </w:tr>
      <w:tr>
        <w:tblPrEx>
          <w:tblCellMar>
            <w:top w:w="0" w:type="dxa"/>
            <w:left w:w="108" w:type="dxa"/>
            <w:bottom w:w="0" w:type="dxa"/>
            <w:right w:w="108" w:type="dxa"/>
          </w:tblCellMar>
        </w:tblPrEx>
        <w:trPr>
          <w:trHeight w:val="165" w:hRule="atLeast"/>
        </w:trPr>
        <w:tc>
          <w:tcPr>
            <w:tcW w:w="1380"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交通信号类</w:t>
            </w:r>
          </w:p>
        </w:tc>
        <w:tc>
          <w:tcPr>
            <w:tcW w:w="5012" w:type="dxa"/>
            <w:tcBorders>
              <w:top w:val="nil"/>
              <w:left w:val="nil"/>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信号灯板灯盘、倒计时、人行灯是否正常。</w:t>
            </w:r>
          </w:p>
        </w:tc>
        <w:tc>
          <w:tcPr>
            <w:tcW w:w="1292" w:type="dxa"/>
            <w:tcBorders>
              <w:top w:val="nil"/>
              <w:left w:val="nil"/>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每月一次</w:t>
            </w:r>
          </w:p>
        </w:tc>
        <w:tc>
          <w:tcPr>
            <w:tcW w:w="976"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12</w:t>
            </w:r>
          </w:p>
        </w:tc>
      </w:tr>
      <w:tr>
        <w:tblPrEx>
          <w:tblCellMar>
            <w:top w:w="0" w:type="dxa"/>
            <w:left w:w="108" w:type="dxa"/>
            <w:bottom w:w="0" w:type="dxa"/>
            <w:right w:w="108" w:type="dxa"/>
          </w:tblCellMar>
        </w:tblPrEx>
        <w:trPr>
          <w:trHeight w:val="635" w:hRule="atLeast"/>
        </w:trPr>
        <w:tc>
          <w:tcPr>
            <w:tcW w:w="1380"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电子警察类</w:t>
            </w:r>
          </w:p>
        </w:tc>
        <w:tc>
          <w:tcPr>
            <w:tcW w:w="5012" w:type="dxa"/>
            <w:tcBorders>
              <w:top w:val="nil"/>
              <w:left w:val="nil"/>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视频质量、对时、防护罩镜头清灰、捕获率、号牌识别率、虚拟线圈设置、车辆违法信息是否正确、完整。</w:t>
            </w:r>
          </w:p>
        </w:tc>
        <w:tc>
          <w:tcPr>
            <w:tcW w:w="1292" w:type="dxa"/>
            <w:tcBorders>
              <w:top w:val="nil"/>
              <w:left w:val="nil"/>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每月一次</w:t>
            </w:r>
          </w:p>
        </w:tc>
        <w:tc>
          <w:tcPr>
            <w:tcW w:w="976"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12</w:t>
            </w:r>
          </w:p>
        </w:tc>
      </w:tr>
      <w:tr>
        <w:tblPrEx>
          <w:tblCellMar>
            <w:top w:w="0" w:type="dxa"/>
            <w:left w:w="108" w:type="dxa"/>
            <w:bottom w:w="0" w:type="dxa"/>
            <w:right w:w="108" w:type="dxa"/>
          </w:tblCellMar>
        </w:tblPrEx>
        <w:trPr>
          <w:trHeight w:val="540" w:hRule="atLeast"/>
        </w:trPr>
        <w:tc>
          <w:tcPr>
            <w:tcW w:w="1380"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交通诱导类</w:t>
            </w:r>
          </w:p>
        </w:tc>
        <w:tc>
          <w:tcPr>
            <w:tcW w:w="5012" w:type="dxa"/>
            <w:tcBorders>
              <w:top w:val="nil"/>
              <w:left w:val="nil"/>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显示模组工作是否正，亮度及均匀性、盲点率是否符合标准，发布信息是否准确及时。</w:t>
            </w:r>
          </w:p>
        </w:tc>
        <w:tc>
          <w:tcPr>
            <w:tcW w:w="1292" w:type="dxa"/>
            <w:tcBorders>
              <w:top w:val="nil"/>
              <w:left w:val="nil"/>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每周一次</w:t>
            </w:r>
          </w:p>
        </w:tc>
        <w:tc>
          <w:tcPr>
            <w:tcW w:w="976"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52</w:t>
            </w:r>
          </w:p>
        </w:tc>
      </w:tr>
      <w:tr>
        <w:tblPrEx>
          <w:tblCellMar>
            <w:top w:w="0" w:type="dxa"/>
            <w:left w:w="108" w:type="dxa"/>
            <w:bottom w:w="0" w:type="dxa"/>
            <w:right w:w="108" w:type="dxa"/>
          </w:tblCellMar>
        </w:tblPrEx>
        <w:trPr>
          <w:trHeight w:val="540" w:hRule="atLeast"/>
        </w:trPr>
        <w:tc>
          <w:tcPr>
            <w:tcW w:w="1380"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视频监控类</w:t>
            </w:r>
          </w:p>
        </w:tc>
        <w:tc>
          <w:tcPr>
            <w:tcW w:w="5012" w:type="dxa"/>
            <w:tcBorders>
              <w:top w:val="nil"/>
              <w:left w:val="nil"/>
              <w:bottom w:val="single" w:color="auto"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视频质量、云台球机控制、对时、防护罩镜头清灰。</w:t>
            </w:r>
          </w:p>
        </w:tc>
        <w:tc>
          <w:tcPr>
            <w:tcW w:w="1292" w:type="dxa"/>
            <w:tcBorders>
              <w:top w:val="nil"/>
              <w:left w:val="nil"/>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每月一次</w:t>
            </w:r>
          </w:p>
        </w:tc>
        <w:tc>
          <w:tcPr>
            <w:tcW w:w="976"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12</w:t>
            </w:r>
          </w:p>
        </w:tc>
      </w:tr>
    </w:tbl>
    <w:p>
      <w:pPr>
        <w:spacing w:line="288" w:lineRule="auto"/>
        <w:rPr>
          <w:rFonts w:ascii="仿宋" w:hAnsi="仿宋" w:eastAsia="仿宋" w:cs="仿宋"/>
          <w:b/>
          <w:sz w:val="24"/>
        </w:rPr>
      </w:pPr>
      <w:r>
        <w:rPr>
          <w:rFonts w:hint="eastAsia" w:ascii="仿宋" w:hAnsi="仿宋" w:eastAsia="仿宋" w:cs="仿宋"/>
          <w:b/>
          <w:sz w:val="24"/>
        </w:rPr>
        <w:t>[六].维护质量考核方法和标准</w:t>
      </w:r>
    </w:p>
    <w:p>
      <w:pPr>
        <w:spacing w:line="288" w:lineRule="auto"/>
        <w:ind w:firstLine="480" w:firstLineChars="200"/>
        <w:rPr>
          <w:rFonts w:ascii="仿宋" w:hAnsi="仿宋" w:eastAsia="仿宋" w:cs="仿宋"/>
          <w:sz w:val="24"/>
        </w:rPr>
      </w:pPr>
      <w:r>
        <w:rPr>
          <w:rFonts w:hint="eastAsia" w:ascii="仿宋" w:hAnsi="仿宋" w:eastAsia="仿宋" w:cs="仿宋"/>
          <w:sz w:val="24"/>
        </w:rPr>
        <w:t>1.维护质量考核每十二个月分二次进行，每六个月为一个考核期。每六个月末汇总质量日报，根据合同及招标文件相关条款，结报该六个月的维护费。合同签订后的第一个月作为适应期不作质量考核要求，实际考核从合同签订后的第二个月开始。</w:t>
      </w:r>
    </w:p>
    <w:p>
      <w:pPr>
        <w:spacing w:line="288" w:lineRule="auto"/>
        <w:ind w:firstLine="480" w:firstLineChars="200"/>
        <w:rPr>
          <w:rFonts w:ascii="仿宋" w:hAnsi="仿宋" w:eastAsia="仿宋" w:cs="仿宋"/>
          <w:sz w:val="24"/>
        </w:rPr>
      </w:pPr>
      <w:r>
        <w:rPr>
          <w:rFonts w:hint="eastAsia" w:ascii="仿宋" w:hAnsi="仿宋" w:eastAsia="仿宋" w:cs="仿宋"/>
          <w:sz w:val="24"/>
        </w:rPr>
        <w:t>2.维护质量考核基数：维护范围内的所有设备作为维护质量考核基数。</w:t>
      </w:r>
    </w:p>
    <w:p>
      <w:pPr>
        <w:spacing w:line="288" w:lineRule="auto"/>
        <w:ind w:firstLine="480" w:firstLineChars="200"/>
        <w:rPr>
          <w:rFonts w:ascii="仿宋" w:hAnsi="仿宋" w:eastAsia="仿宋" w:cs="仿宋"/>
          <w:sz w:val="24"/>
        </w:rPr>
      </w:pPr>
      <w:r>
        <w:rPr>
          <w:rFonts w:hint="eastAsia" w:ascii="仿宋" w:hAnsi="仿宋" w:eastAsia="仿宋" w:cs="仿宋"/>
          <w:sz w:val="24"/>
        </w:rPr>
        <w:t>3.以设备正常率考核为主，占总维护经费60%。任务清单完成率考核为辅，占总维护经费30%。其余维护经费10%作为应急抢修响应、重大交通安保活动服务质量考核。</w:t>
      </w:r>
    </w:p>
    <w:p>
      <w:pPr>
        <w:spacing w:line="288" w:lineRule="auto"/>
        <w:ind w:firstLine="480" w:firstLineChars="200"/>
        <w:rPr>
          <w:rFonts w:ascii="仿宋" w:hAnsi="仿宋" w:eastAsia="仿宋" w:cs="仿宋"/>
          <w:sz w:val="24"/>
        </w:rPr>
      </w:pPr>
      <w:r>
        <w:rPr>
          <w:rFonts w:hint="eastAsia" w:ascii="仿宋" w:hAnsi="仿宋" w:eastAsia="仿宋" w:cs="仿宋"/>
          <w:sz w:val="24"/>
        </w:rPr>
        <w:t>4.设备正常率要求</w:t>
      </w:r>
    </w:p>
    <w:tbl>
      <w:tblPr>
        <w:tblStyle w:val="26"/>
        <w:tblW w:w="9100" w:type="dxa"/>
        <w:tblInd w:w="95" w:type="dxa"/>
        <w:tblLayout w:type="fixed"/>
        <w:tblCellMar>
          <w:top w:w="0" w:type="dxa"/>
          <w:left w:w="108" w:type="dxa"/>
          <w:bottom w:w="0" w:type="dxa"/>
          <w:right w:w="108" w:type="dxa"/>
        </w:tblCellMar>
      </w:tblPr>
      <w:tblGrid>
        <w:gridCol w:w="1615"/>
        <w:gridCol w:w="1335"/>
        <w:gridCol w:w="991"/>
        <w:gridCol w:w="2298"/>
        <w:gridCol w:w="2861"/>
      </w:tblGrid>
      <w:tr>
        <w:tblPrEx>
          <w:tblCellMar>
            <w:top w:w="0" w:type="dxa"/>
            <w:left w:w="108" w:type="dxa"/>
            <w:bottom w:w="0" w:type="dxa"/>
            <w:right w:w="108" w:type="dxa"/>
          </w:tblCellMar>
        </w:tblPrEx>
        <w:trPr>
          <w:trHeight w:val="700" w:hRule="atLeast"/>
        </w:trPr>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设备种类</w:t>
            </w:r>
          </w:p>
        </w:tc>
        <w:tc>
          <w:tcPr>
            <w:tcW w:w="1335"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目标日均正常率</w:t>
            </w:r>
          </w:p>
        </w:tc>
        <w:tc>
          <w:tcPr>
            <w:tcW w:w="991"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考核基数</w:t>
            </w:r>
          </w:p>
        </w:tc>
        <w:tc>
          <w:tcPr>
            <w:tcW w:w="2298"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未达标扣款（元）／百分点（每六个月）</w:t>
            </w:r>
          </w:p>
        </w:tc>
        <w:tc>
          <w:tcPr>
            <w:tcW w:w="2861"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b/>
                <w:sz w:val="24"/>
              </w:rPr>
            </w:pPr>
            <w:r>
              <w:rPr>
                <w:rFonts w:hint="eastAsia" w:ascii="仿宋" w:hAnsi="仿宋" w:eastAsia="仿宋" w:cs="仿宋"/>
                <w:b/>
                <w:sz w:val="24"/>
              </w:rPr>
              <w:t>日均正常率计算方法</w:t>
            </w:r>
          </w:p>
        </w:tc>
      </w:tr>
      <w:tr>
        <w:tblPrEx>
          <w:tblCellMar>
            <w:top w:w="0" w:type="dxa"/>
            <w:left w:w="108" w:type="dxa"/>
            <w:bottom w:w="0" w:type="dxa"/>
            <w:right w:w="108" w:type="dxa"/>
          </w:tblCellMar>
        </w:tblPrEx>
        <w:trPr>
          <w:trHeight w:val="416" w:hRule="atLeast"/>
        </w:trPr>
        <w:tc>
          <w:tcPr>
            <w:tcW w:w="1615"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交通信息采集类</w:t>
            </w:r>
          </w:p>
        </w:tc>
        <w:tc>
          <w:tcPr>
            <w:tcW w:w="1335"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92%</w:t>
            </w:r>
          </w:p>
        </w:tc>
        <w:tc>
          <w:tcPr>
            <w:tcW w:w="991"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69</w:t>
            </w:r>
          </w:p>
        </w:tc>
        <w:tc>
          <w:tcPr>
            <w:tcW w:w="2298"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500</w:t>
            </w:r>
          </w:p>
        </w:tc>
        <w:tc>
          <w:tcPr>
            <w:tcW w:w="286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88" w:lineRule="auto"/>
              <w:rPr>
                <w:rFonts w:ascii="仿宋" w:hAnsi="仿宋" w:eastAsia="仿宋" w:cs="仿宋"/>
                <w:sz w:val="24"/>
              </w:rPr>
            </w:pPr>
            <w:r>
              <w:rPr>
                <w:rFonts w:hint="eastAsia" w:ascii="仿宋" w:hAnsi="仿宋" w:eastAsia="仿宋" w:cs="仿宋"/>
                <w:sz w:val="24"/>
              </w:rPr>
              <w:t>每天正常率= 每天运行正常的设备数量／考核基数*100%日均正常率=每天正常率之和／天数。</w:t>
            </w:r>
          </w:p>
          <w:p>
            <w:pPr>
              <w:widowControl/>
              <w:spacing w:line="288" w:lineRule="auto"/>
              <w:rPr>
                <w:rFonts w:ascii="仿宋" w:hAnsi="仿宋" w:eastAsia="仿宋" w:cs="仿宋"/>
                <w:color w:val="000000"/>
                <w:kern w:val="0"/>
                <w:sz w:val="24"/>
              </w:rPr>
            </w:pPr>
            <w:r>
              <w:rPr>
                <w:rFonts w:hint="eastAsia" w:ascii="仿宋" w:hAnsi="仿宋" w:eastAsia="仿宋" w:cs="仿宋"/>
                <w:sz w:val="24"/>
              </w:rPr>
              <w:t>注：由于网络、电力故障、人为破坏等非设备自身原因造成的异常不作为该值的统计量。</w:t>
            </w:r>
          </w:p>
        </w:tc>
      </w:tr>
      <w:tr>
        <w:tblPrEx>
          <w:tblCellMar>
            <w:top w:w="0" w:type="dxa"/>
            <w:left w:w="108" w:type="dxa"/>
            <w:bottom w:w="0" w:type="dxa"/>
            <w:right w:w="108" w:type="dxa"/>
          </w:tblCellMar>
        </w:tblPrEx>
        <w:trPr>
          <w:trHeight w:val="438" w:hRule="atLeast"/>
        </w:trPr>
        <w:tc>
          <w:tcPr>
            <w:tcW w:w="1615"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交通信号类</w:t>
            </w:r>
          </w:p>
        </w:tc>
        <w:tc>
          <w:tcPr>
            <w:tcW w:w="1335"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95%</w:t>
            </w:r>
          </w:p>
        </w:tc>
        <w:tc>
          <w:tcPr>
            <w:tcW w:w="991"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81</w:t>
            </w:r>
          </w:p>
        </w:tc>
        <w:tc>
          <w:tcPr>
            <w:tcW w:w="2298"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4000</w:t>
            </w:r>
          </w:p>
        </w:tc>
        <w:tc>
          <w:tcPr>
            <w:tcW w:w="2861" w:type="dxa"/>
            <w:vMerge w:val="continue"/>
            <w:tcBorders>
              <w:top w:val="nil"/>
              <w:left w:val="single" w:color="auto" w:sz="4" w:space="0"/>
              <w:bottom w:val="single" w:color="000000" w:sz="4" w:space="0"/>
              <w:right w:val="single" w:color="auto" w:sz="4" w:space="0"/>
            </w:tcBorders>
            <w:vAlign w:val="center"/>
          </w:tcPr>
          <w:p>
            <w:pPr>
              <w:widowControl/>
              <w:spacing w:line="288" w:lineRule="auto"/>
              <w:jc w:val="left"/>
              <w:rPr>
                <w:rFonts w:ascii="仿宋" w:hAnsi="仿宋" w:eastAsia="仿宋" w:cs="仿宋"/>
                <w:color w:val="000000"/>
                <w:kern w:val="0"/>
                <w:sz w:val="24"/>
              </w:rPr>
            </w:pPr>
          </w:p>
        </w:tc>
      </w:tr>
      <w:tr>
        <w:tblPrEx>
          <w:tblCellMar>
            <w:top w:w="0" w:type="dxa"/>
            <w:left w:w="108" w:type="dxa"/>
            <w:bottom w:w="0" w:type="dxa"/>
            <w:right w:w="108" w:type="dxa"/>
          </w:tblCellMar>
        </w:tblPrEx>
        <w:trPr>
          <w:trHeight w:val="399" w:hRule="atLeast"/>
        </w:trPr>
        <w:tc>
          <w:tcPr>
            <w:tcW w:w="1615"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电子警察类</w:t>
            </w:r>
          </w:p>
        </w:tc>
        <w:tc>
          <w:tcPr>
            <w:tcW w:w="1335"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92%</w:t>
            </w:r>
          </w:p>
        </w:tc>
        <w:tc>
          <w:tcPr>
            <w:tcW w:w="991"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57</w:t>
            </w:r>
          </w:p>
        </w:tc>
        <w:tc>
          <w:tcPr>
            <w:tcW w:w="2298"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3000</w:t>
            </w:r>
          </w:p>
        </w:tc>
        <w:tc>
          <w:tcPr>
            <w:tcW w:w="2861" w:type="dxa"/>
            <w:vMerge w:val="continue"/>
            <w:tcBorders>
              <w:top w:val="nil"/>
              <w:left w:val="single" w:color="auto" w:sz="4" w:space="0"/>
              <w:bottom w:val="single" w:color="000000" w:sz="4" w:space="0"/>
              <w:right w:val="single" w:color="auto" w:sz="4" w:space="0"/>
            </w:tcBorders>
            <w:vAlign w:val="center"/>
          </w:tcPr>
          <w:p>
            <w:pPr>
              <w:widowControl/>
              <w:spacing w:line="288" w:lineRule="auto"/>
              <w:jc w:val="left"/>
              <w:rPr>
                <w:rFonts w:ascii="仿宋" w:hAnsi="仿宋" w:eastAsia="仿宋" w:cs="仿宋"/>
                <w:color w:val="000000"/>
                <w:kern w:val="0"/>
                <w:sz w:val="24"/>
              </w:rPr>
            </w:pPr>
          </w:p>
        </w:tc>
      </w:tr>
      <w:tr>
        <w:tblPrEx>
          <w:tblCellMar>
            <w:top w:w="0" w:type="dxa"/>
            <w:left w:w="108" w:type="dxa"/>
            <w:bottom w:w="0" w:type="dxa"/>
            <w:right w:w="108" w:type="dxa"/>
          </w:tblCellMar>
        </w:tblPrEx>
        <w:trPr>
          <w:trHeight w:val="420" w:hRule="atLeast"/>
        </w:trPr>
        <w:tc>
          <w:tcPr>
            <w:tcW w:w="1615"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交通诱导类</w:t>
            </w:r>
          </w:p>
        </w:tc>
        <w:tc>
          <w:tcPr>
            <w:tcW w:w="1335"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97%</w:t>
            </w:r>
          </w:p>
        </w:tc>
        <w:tc>
          <w:tcPr>
            <w:tcW w:w="991"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4</w:t>
            </w:r>
          </w:p>
        </w:tc>
        <w:tc>
          <w:tcPr>
            <w:tcW w:w="2298"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1200</w:t>
            </w:r>
          </w:p>
        </w:tc>
        <w:tc>
          <w:tcPr>
            <w:tcW w:w="2861" w:type="dxa"/>
            <w:vMerge w:val="continue"/>
            <w:tcBorders>
              <w:top w:val="nil"/>
              <w:left w:val="single" w:color="auto" w:sz="4" w:space="0"/>
              <w:bottom w:val="single" w:color="000000" w:sz="4" w:space="0"/>
              <w:right w:val="single" w:color="auto" w:sz="4" w:space="0"/>
            </w:tcBorders>
            <w:vAlign w:val="center"/>
          </w:tcPr>
          <w:p>
            <w:pPr>
              <w:widowControl/>
              <w:spacing w:line="288" w:lineRule="auto"/>
              <w:jc w:val="left"/>
              <w:rPr>
                <w:rFonts w:ascii="仿宋" w:hAnsi="仿宋" w:eastAsia="仿宋" w:cs="仿宋"/>
                <w:color w:val="000000"/>
                <w:kern w:val="0"/>
                <w:sz w:val="24"/>
              </w:rPr>
            </w:pPr>
          </w:p>
        </w:tc>
      </w:tr>
      <w:tr>
        <w:tblPrEx>
          <w:tblCellMar>
            <w:top w:w="0" w:type="dxa"/>
            <w:left w:w="108" w:type="dxa"/>
            <w:bottom w:w="0" w:type="dxa"/>
            <w:right w:w="108" w:type="dxa"/>
          </w:tblCellMar>
        </w:tblPrEx>
        <w:trPr>
          <w:trHeight w:val="411" w:hRule="atLeast"/>
        </w:trPr>
        <w:tc>
          <w:tcPr>
            <w:tcW w:w="1615" w:type="dxa"/>
            <w:tcBorders>
              <w:top w:val="nil"/>
              <w:left w:val="single" w:color="auto" w:sz="4" w:space="0"/>
              <w:bottom w:val="single" w:color="auto" w:sz="4" w:space="0"/>
              <w:right w:val="single" w:color="auto" w:sz="4" w:space="0"/>
            </w:tcBorders>
            <w:shd w:val="clear" w:color="auto" w:fill="auto"/>
            <w:vAlign w:val="center"/>
          </w:tcPr>
          <w:p>
            <w:pPr>
              <w:widowControl/>
              <w:spacing w:line="288" w:lineRule="auto"/>
              <w:jc w:val="left"/>
              <w:rPr>
                <w:rFonts w:ascii="仿宋" w:hAnsi="仿宋" w:eastAsia="仿宋" w:cs="仿宋"/>
                <w:sz w:val="24"/>
              </w:rPr>
            </w:pPr>
            <w:r>
              <w:rPr>
                <w:rFonts w:hint="eastAsia" w:ascii="仿宋" w:hAnsi="仿宋" w:eastAsia="仿宋" w:cs="仿宋"/>
                <w:sz w:val="24"/>
              </w:rPr>
              <w:t>视频监控类</w:t>
            </w:r>
          </w:p>
        </w:tc>
        <w:tc>
          <w:tcPr>
            <w:tcW w:w="1335"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92%</w:t>
            </w:r>
          </w:p>
        </w:tc>
        <w:tc>
          <w:tcPr>
            <w:tcW w:w="991"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23</w:t>
            </w:r>
          </w:p>
        </w:tc>
        <w:tc>
          <w:tcPr>
            <w:tcW w:w="2298" w:type="dxa"/>
            <w:tcBorders>
              <w:top w:val="nil"/>
              <w:left w:val="nil"/>
              <w:bottom w:val="single" w:color="auto" w:sz="4" w:space="0"/>
              <w:right w:val="single" w:color="auto" w:sz="4" w:space="0"/>
            </w:tcBorders>
            <w:shd w:val="clear" w:color="auto" w:fill="auto"/>
            <w:vAlign w:val="center"/>
          </w:tcPr>
          <w:p>
            <w:pPr>
              <w:widowControl/>
              <w:spacing w:line="288" w:lineRule="auto"/>
              <w:jc w:val="center"/>
              <w:rPr>
                <w:rFonts w:ascii="仿宋" w:hAnsi="仿宋" w:eastAsia="仿宋" w:cs="仿宋"/>
                <w:sz w:val="24"/>
              </w:rPr>
            </w:pPr>
            <w:r>
              <w:rPr>
                <w:rFonts w:hint="eastAsia" w:ascii="仿宋" w:hAnsi="仿宋" w:eastAsia="仿宋" w:cs="仿宋"/>
                <w:sz w:val="24"/>
              </w:rPr>
              <w:t>500</w:t>
            </w:r>
          </w:p>
        </w:tc>
        <w:tc>
          <w:tcPr>
            <w:tcW w:w="2861" w:type="dxa"/>
            <w:vMerge w:val="continue"/>
            <w:tcBorders>
              <w:top w:val="nil"/>
              <w:left w:val="single" w:color="auto" w:sz="4" w:space="0"/>
              <w:bottom w:val="single" w:color="000000" w:sz="4" w:space="0"/>
              <w:right w:val="single" w:color="auto" w:sz="4" w:space="0"/>
            </w:tcBorders>
            <w:vAlign w:val="center"/>
          </w:tcPr>
          <w:p>
            <w:pPr>
              <w:widowControl/>
              <w:spacing w:line="288" w:lineRule="auto"/>
              <w:jc w:val="left"/>
              <w:rPr>
                <w:rFonts w:ascii="仿宋" w:hAnsi="仿宋" w:eastAsia="仿宋" w:cs="仿宋"/>
                <w:color w:val="000000"/>
                <w:kern w:val="0"/>
                <w:sz w:val="24"/>
              </w:rPr>
            </w:pPr>
          </w:p>
        </w:tc>
      </w:tr>
    </w:tbl>
    <w:p>
      <w:pPr>
        <w:spacing w:line="288" w:lineRule="auto"/>
        <w:rPr>
          <w:rFonts w:ascii="仿宋" w:hAnsi="仿宋" w:eastAsia="仿宋" w:cs="仿宋"/>
          <w:sz w:val="24"/>
        </w:rPr>
      </w:pPr>
      <w:r>
        <w:rPr>
          <w:rFonts w:hint="eastAsia" w:ascii="仿宋" w:hAnsi="仿宋" w:eastAsia="仿宋" w:cs="仿宋"/>
          <w:sz w:val="24"/>
        </w:rPr>
        <w:t>注：未达标扣款扣至该类设施每六个月的维护费扣完为止。</w:t>
      </w:r>
    </w:p>
    <w:p>
      <w:pPr>
        <w:spacing w:line="288" w:lineRule="auto"/>
        <w:ind w:firstLine="480" w:firstLineChars="200"/>
        <w:rPr>
          <w:rFonts w:ascii="仿宋" w:hAnsi="仿宋" w:eastAsia="仿宋" w:cs="仿宋"/>
          <w:sz w:val="24"/>
        </w:rPr>
      </w:pPr>
      <w:r>
        <w:rPr>
          <w:rFonts w:hint="eastAsia" w:ascii="仿宋" w:hAnsi="仿宋" w:eastAsia="仿宋" w:cs="仿宋"/>
          <w:sz w:val="24"/>
        </w:rPr>
        <w:t>5.任务清单完成率考核以一票否决的形式，即在考核期内因未做规定的维护工作而引起投诉、数字城管二次以上通报、及视频质量问题等扣除六个月该类维护费的30%部分。</w:t>
      </w:r>
    </w:p>
    <w:p>
      <w:pPr>
        <w:spacing w:line="288" w:lineRule="auto"/>
        <w:ind w:firstLine="480" w:firstLineChars="200"/>
        <w:rPr>
          <w:rFonts w:ascii="仿宋" w:hAnsi="仿宋" w:eastAsia="仿宋" w:cs="仿宋"/>
          <w:sz w:val="24"/>
        </w:rPr>
      </w:pPr>
      <w:r>
        <w:rPr>
          <w:rFonts w:hint="eastAsia" w:ascii="仿宋" w:hAnsi="仿宋" w:eastAsia="仿宋" w:cs="仿宋"/>
          <w:sz w:val="24"/>
        </w:rPr>
        <w:t>6.应急抢修响应、重大交通安保活动服务质量的考核以不出现重大失误事件为原则，任务布置以业主特定任务通知书为准，考核方式以一票否决的形式。</w:t>
      </w:r>
    </w:p>
    <w:p>
      <w:pPr>
        <w:spacing w:line="288" w:lineRule="auto"/>
        <w:ind w:firstLine="480" w:firstLineChars="200"/>
        <w:rPr>
          <w:rFonts w:ascii="仿宋" w:hAnsi="仿宋" w:eastAsia="仿宋" w:cs="仿宋"/>
          <w:sz w:val="24"/>
        </w:rPr>
      </w:pPr>
      <w:r>
        <w:rPr>
          <w:rFonts w:hint="eastAsia" w:ascii="仿宋" w:hAnsi="仿宋" w:eastAsia="仿宋" w:cs="仿宋"/>
          <w:sz w:val="24"/>
        </w:rPr>
        <w:t>7.维护单位在中标后应及时对所有设备进行功能性排查，发现异常的设备应及时与原维护单位沟通及时修复，如过保设备需要修复的，费用参照非全包项目进行结算，如没有提出异议的，视为设备正常。</w:t>
      </w:r>
    </w:p>
    <w:p>
      <w:pPr>
        <w:spacing w:line="288" w:lineRule="auto"/>
        <w:ind w:firstLine="480" w:firstLineChars="200"/>
        <w:rPr>
          <w:rFonts w:ascii="仿宋" w:hAnsi="仿宋" w:eastAsia="仿宋" w:cs="仿宋"/>
          <w:sz w:val="24"/>
        </w:rPr>
      </w:pPr>
      <w:r>
        <w:rPr>
          <w:rFonts w:hint="eastAsia" w:ascii="仿宋" w:hAnsi="仿宋" w:eastAsia="仿宋" w:cs="仿宋"/>
          <w:sz w:val="24"/>
        </w:rPr>
        <w:t>8.日正常率报表、任务清单完成确认书、业主特定任务通知书完成情况回执需有业主代表签字后方可作为维护费结算依据。</w:t>
      </w:r>
    </w:p>
    <w:p>
      <w:pPr>
        <w:spacing w:line="288" w:lineRule="auto"/>
        <w:rPr>
          <w:rFonts w:ascii="仿宋" w:hAnsi="仿宋" w:eastAsia="仿宋" w:cs="仿宋"/>
          <w:b/>
          <w:sz w:val="24"/>
        </w:rPr>
      </w:pPr>
      <w:r>
        <w:rPr>
          <w:rFonts w:hint="eastAsia" w:ascii="仿宋" w:hAnsi="仿宋" w:eastAsia="仿宋" w:cs="仿宋"/>
          <w:b/>
          <w:sz w:val="24"/>
        </w:rPr>
        <w:t>[七].备品备件</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为保障维护质量，及时修复各类突发性故障，维护单位需要常备一定数量的备品备件用来快速更换不能修复的设备，每项备品备件数量至少2 套，备品备件用后应按投标文件所报数量及时补足，以免维护质量受到影响。投标时提供备品备件按时足额到位承诺书，第一个六个月维护结束后，由业主单位清点无误后支付维护款。维护期满后，中标单位应按所报数量、品牌、型号把备品备件移交给业主，业主单位确认后付清维护费。投标单位在报价时充分考虑备品备件的费用。</w:t>
      </w:r>
      <w:r>
        <w:rPr>
          <w:rFonts w:hint="eastAsia" w:ascii="仿宋" w:hAnsi="仿宋" w:eastAsia="仿宋" w:cs="仿宋"/>
          <w:b/>
          <w:bCs/>
          <w:sz w:val="24"/>
          <w:lang w:val="en-US" w:eastAsia="zh-CN"/>
        </w:rPr>
        <w:t>备品备件产权归项目建设单位所有。</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w:t>
      </w:r>
      <w:r>
        <w:rPr>
          <w:rFonts w:hint="eastAsia" w:ascii="仿宋" w:hAnsi="仿宋" w:eastAsia="仿宋" w:cs="仿宋"/>
          <w:b/>
          <w:color w:val="000000"/>
          <w:sz w:val="24"/>
        </w:rPr>
        <w:t>备品备件技术要求</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1.1交通信号控制机</w:t>
      </w:r>
    </w:p>
    <w:p>
      <w:pPr>
        <w:spacing w:line="288" w:lineRule="auto"/>
        <w:ind w:firstLine="480" w:firstLineChars="200"/>
        <w:jc w:val="left"/>
        <w:rPr>
          <w:rFonts w:ascii="仿宋" w:hAnsi="仿宋" w:eastAsia="仿宋" w:cs="仿宋"/>
          <w:sz w:val="24"/>
        </w:rPr>
      </w:pPr>
      <w:bookmarkStart w:id="6" w:name="_Toc245812453"/>
      <w:r>
        <w:rPr>
          <w:rFonts w:hint="eastAsia" w:ascii="仿宋" w:hAnsi="仿宋" w:eastAsia="仿宋" w:cs="仿宋"/>
          <w:sz w:val="24"/>
        </w:rPr>
        <w:t>1.主处理单元采用ARM9 以上32位运算控制器，支持多时段定时控制、人工手动控制、感应控制（半感应、全感应）、自适应控制、线协调控制、指挥中心联网控制、区域协调控制等多种控制方式；</w:t>
      </w:r>
      <w:bookmarkEnd w:id="6"/>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 16个独立的相位设定，</w:t>
      </w:r>
      <w:bookmarkStart w:id="7" w:name="_Toc245812449"/>
      <w:r>
        <w:rPr>
          <w:rFonts w:hint="eastAsia" w:ascii="仿宋" w:hAnsi="仿宋" w:eastAsia="仿宋" w:cs="仿宋"/>
          <w:sz w:val="24"/>
        </w:rPr>
        <w:t>周期方案数16个</w:t>
      </w:r>
      <w:bookmarkEnd w:id="7"/>
      <w:r>
        <w:rPr>
          <w:rFonts w:hint="eastAsia" w:ascii="仿宋" w:hAnsi="仿宋" w:eastAsia="仿宋" w:cs="仿宋"/>
          <w:sz w:val="24"/>
        </w:rPr>
        <w:t>，</w:t>
      </w:r>
      <w:bookmarkStart w:id="8" w:name="_Toc245812450"/>
      <w:r>
        <w:rPr>
          <w:rFonts w:hint="eastAsia" w:ascii="仿宋" w:hAnsi="仿宋" w:eastAsia="仿宋" w:cs="仿宋"/>
          <w:sz w:val="24"/>
        </w:rPr>
        <w:t>5种日期类型，其中特殊日32个，星期4个（星期日～星期六）</w:t>
      </w:r>
      <w:bookmarkEnd w:id="8"/>
      <w:bookmarkStart w:id="9" w:name="_Toc245812451"/>
      <w:r>
        <w:rPr>
          <w:rFonts w:hint="eastAsia" w:ascii="仿宋" w:hAnsi="仿宋" w:eastAsia="仿宋" w:cs="仿宋"/>
          <w:sz w:val="24"/>
        </w:rPr>
        <w:t>，最大时段数40个</w:t>
      </w:r>
      <w:bookmarkEnd w:id="9"/>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bookmarkStart w:id="10" w:name="_Toc245812457"/>
      <w:r>
        <w:rPr>
          <w:rFonts w:hint="eastAsia" w:ascii="仿宋" w:hAnsi="仿宋" w:eastAsia="仿宋" w:cs="仿宋"/>
          <w:sz w:val="24"/>
        </w:rPr>
        <w:t>3. 44路灯控端子</w:t>
      </w:r>
      <w:bookmarkEnd w:id="10"/>
      <w:r>
        <w:rPr>
          <w:rFonts w:hint="eastAsia" w:ascii="仿宋" w:hAnsi="仿宋" w:eastAsia="仿宋" w:cs="仿宋"/>
          <w:sz w:val="24"/>
        </w:rPr>
        <w:t>，可扩展至66路</w:t>
      </w:r>
      <w:bookmarkStart w:id="11" w:name="_Toc245812458"/>
      <w:r>
        <w:rPr>
          <w:rFonts w:hint="eastAsia" w:ascii="仿宋" w:hAnsi="仿宋" w:eastAsia="仿宋" w:cs="仿宋"/>
          <w:sz w:val="24"/>
        </w:rPr>
        <w:t>，32路机动车检测器输入接口</w:t>
      </w:r>
      <w:bookmarkEnd w:id="11"/>
      <w:bookmarkStart w:id="12" w:name="_Toc245812459"/>
      <w:r>
        <w:rPr>
          <w:rFonts w:hint="eastAsia" w:ascii="仿宋" w:hAnsi="仿宋" w:eastAsia="仿宋" w:cs="仿宋"/>
          <w:sz w:val="24"/>
        </w:rPr>
        <w:t>，16个红外检测器或者视频检测器输入接口</w:t>
      </w:r>
      <w:bookmarkEnd w:id="12"/>
      <w:bookmarkStart w:id="13" w:name="_Toc245812460"/>
      <w:r>
        <w:rPr>
          <w:rFonts w:hint="eastAsia" w:ascii="仿宋" w:hAnsi="仿宋" w:eastAsia="仿宋" w:cs="仿宋"/>
          <w:sz w:val="24"/>
        </w:rPr>
        <w:t>，支持8路行人按钮检测器、4路可变车道指示牌</w:t>
      </w:r>
      <w:bookmarkEnd w:id="13"/>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bookmarkStart w:id="14" w:name="_Toc245812462"/>
      <w:r>
        <w:rPr>
          <w:rFonts w:hint="eastAsia" w:ascii="仿宋" w:hAnsi="仿宋" w:eastAsia="仿宋" w:cs="仿宋"/>
          <w:sz w:val="24"/>
        </w:rPr>
        <w:t>4.电源：信号机电源额定电压：AC220V±44V，50Hz±2Hz</w:t>
      </w:r>
      <w:bookmarkEnd w:id="14"/>
      <w:bookmarkStart w:id="15" w:name="_Toc245812463"/>
      <w:r>
        <w:rPr>
          <w:rFonts w:hint="eastAsia" w:ascii="仿宋" w:hAnsi="仿宋" w:eastAsia="仿宋" w:cs="仿宋"/>
          <w:sz w:val="24"/>
        </w:rPr>
        <w:t>，驱动功率：信号机每路的最大驱动功率为：800W</w:t>
      </w:r>
      <w:bookmarkEnd w:id="15"/>
      <w:bookmarkStart w:id="16" w:name="_Toc245812464"/>
      <w:r>
        <w:rPr>
          <w:rFonts w:hint="eastAsia" w:ascii="仿宋" w:hAnsi="仿宋" w:eastAsia="仿宋" w:cs="仿宋"/>
          <w:sz w:val="24"/>
        </w:rPr>
        <w:t>，整机功耗：信号机整机功耗为：30W；</w:t>
      </w:r>
      <w:bookmarkEnd w:id="16"/>
    </w:p>
    <w:p>
      <w:pPr>
        <w:spacing w:line="288" w:lineRule="auto"/>
        <w:ind w:firstLine="480" w:firstLineChars="200"/>
        <w:jc w:val="left"/>
        <w:rPr>
          <w:rFonts w:ascii="仿宋" w:hAnsi="仿宋" w:eastAsia="仿宋" w:cs="仿宋"/>
          <w:color w:val="auto"/>
          <w:sz w:val="24"/>
        </w:rPr>
      </w:pPr>
      <w:bookmarkStart w:id="17" w:name="_Toc245812465"/>
      <w:r>
        <w:rPr>
          <w:rFonts w:hint="eastAsia" w:ascii="仿宋" w:hAnsi="仿宋" w:eastAsia="仿宋" w:cs="仿宋"/>
          <w:color w:val="auto"/>
          <w:sz w:val="24"/>
        </w:rPr>
        <w:t>5.▲绝缘电阻：信号机绝缘电阻大于500MΩ，（提供公安部交通安全产品质量监督检测中心出具的检测报告并加盖</w:t>
      </w:r>
      <w:r>
        <w:rPr>
          <w:rFonts w:hint="eastAsia" w:ascii="仿宋" w:hAnsi="仿宋" w:eastAsia="仿宋" w:cs="仿宋"/>
          <w:color w:val="auto"/>
          <w:sz w:val="24"/>
          <w:lang w:eastAsia="zh-CN"/>
        </w:rPr>
        <w:t>投标人</w:t>
      </w:r>
      <w:r>
        <w:rPr>
          <w:rFonts w:hint="eastAsia" w:ascii="仿宋" w:hAnsi="仿宋" w:eastAsia="仿宋" w:cs="仿宋"/>
          <w:color w:val="auto"/>
          <w:sz w:val="24"/>
        </w:rPr>
        <w:t>公章）；</w:t>
      </w:r>
      <w:bookmarkEnd w:id="17"/>
    </w:p>
    <w:p>
      <w:pPr>
        <w:spacing w:line="288" w:lineRule="auto"/>
        <w:ind w:firstLine="480" w:firstLineChars="200"/>
        <w:jc w:val="left"/>
        <w:rPr>
          <w:rFonts w:ascii="仿宋" w:hAnsi="仿宋" w:eastAsia="仿宋" w:cs="仿宋"/>
          <w:color w:val="auto"/>
          <w:sz w:val="24"/>
        </w:rPr>
      </w:pPr>
      <w:bookmarkStart w:id="18" w:name="_Toc245812466"/>
      <w:r>
        <w:rPr>
          <w:rFonts w:hint="eastAsia" w:ascii="仿宋" w:hAnsi="仿宋" w:eastAsia="仿宋" w:cs="仿宋"/>
          <w:color w:val="auto"/>
          <w:sz w:val="24"/>
        </w:rPr>
        <w:t>6.耐压：在电源电极或与电源电极相连的其它导电电路和机柜、安装机箱等易触及部件之间施加1500V、50Hz电压，不出现击穿现象；</w:t>
      </w:r>
      <w:bookmarkEnd w:id="18"/>
    </w:p>
    <w:p>
      <w:pPr>
        <w:spacing w:line="288" w:lineRule="auto"/>
        <w:ind w:firstLine="480" w:firstLineChars="200"/>
        <w:jc w:val="left"/>
        <w:rPr>
          <w:rFonts w:ascii="仿宋" w:hAnsi="仿宋" w:eastAsia="仿宋" w:cs="仿宋"/>
          <w:color w:val="auto"/>
          <w:sz w:val="24"/>
        </w:rPr>
      </w:pPr>
      <w:bookmarkStart w:id="19" w:name="_Toc245812467"/>
      <w:r>
        <w:rPr>
          <w:rFonts w:hint="eastAsia" w:ascii="仿宋" w:hAnsi="仿宋" w:eastAsia="仿宋" w:cs="仿宋"/>
          <w:color w:val="auto"/>
          <w:sz w:val="24"/>
        </w:rPr>
        <w:t>7.电磁抗扰度：交通信号控制器在静电放电、电快速瞬变脉冲群、浪涌、电压短时中断等电磁骚扰环境下不出现电气故障</w:t>
      </w:r>
      <w:bookmarkEnd w:id="19"/>
      <w:r>
        <w:rPr>
          <w:rFonts w:hint="eastAsia" w:ascii="仿宋" w:hAnsi="仿宋" w:eastAsia="仿宋" w:cs="仿宋"/>
          <w:color w:val="auto"/>
          <w:sz w:val="24"/>
        </w:rPr>
        <w:t>；</w:t>
      </w:r>
    </w:p>
    <w:p>
      <w:pPr>
        <w:spacing w:line="288" w:lineRule="auto"/>
        <w:ind w:firstLine="480" w:firstLineChars="200"/>
        <w:jc w:val="left"/>
        <w:rPr>
          <w:rFonts w:ascii="仿宋" w:hAnsi="仿宋" w:eastAsia="仿宋" w:cs="仿宋"/>
          <w:color w:val="auto"/>
          <w:sz w:val="24"/>
        </w:rPr>
      </w:pPr>
      <w:bookmarkStart w:id="20" w:name="_Toc245812448"/>
      <w:r>
        <w:rPr>
          <w:rFonts w:hint="eastAsia" w:ascii="仿宋" w:hAnsi="仿宋" w:eastAsia="仿宋" w:cs="仿宋"/>
          <w:color w:val="auto"/>
          <w:sz w:val="24"/>
        </w:rPr>
        <w:t>8.▲信号机符合国家GB25280-2010《道路交通信号控制机》标准，防网络风暴，耐温等级A级，（提供公安部交通安全产品质量监督检测中心出具的检测报告并加盖</w:t>
      </w:r>
      <w:r>
        <w:rPr>
          <w:rFonts w:hint="eastAsia" w:ascii="仿宋" w:hAnsi="仿宋" w:eastAsia="仿宋" w:cs="仿宋"/>
          <w:color w:val="auto"/>
          <w:sz w:val="24"/>
          <w:lang w:eastAsia="zh-CN"/>
        </w:rPr>
        <w:t>投标人</w:t>
      </w:r>
      <w:r>
        <w:rPr>
          <w:rFonts w:hint="eastAsia" w:ascii="仿宋" w:hAnsi="仿宋" w:eastAsia="仿宋" w:cs="仿宋"/>
          <w:color w:val="auto"/>
          <w:sz w:val="24"/>
        </w:rPr>
        <w:t>公章）；</w:t>
      </w:r>
    </w:p>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9.▲信号机软件符合GB/T20999-2007《交通信号控制机与上位机间的数据通信协议》国家标准、支持NTCIP协议，符合度99%以上，（提供中国软件评测中心出具的检测报告并加盖</w:t>
      </w:r>
      <w:r>
        <w:rPr>
          <w:rFonts w:hint="eastAsia" w:ascii="仿宋" w:hAnsi="仿宋" w:eastAsia="仿宋" w:cs="仿宋"/>
          <w:color w:val="auto"/>
          <w:sz w:val="24"/>
          <w:lang w:eastAsia="zh-CN"/>
        </w:rPr>
        <w:t>投标人</w:t>
      </w:r>
      <w:r>
        <w:rPr>
          <w:rFonts w:hint="eastAsia" w:ascii="仿宋" w:hAnsi="仿宋" w:eastAsia="仿宋" w:cs="仿宋"/>
          <w:color w:val="auto"/>
          <w:sz w:val="24"/>
        </w:rPr>
        <w:t>公章）；</w:t>
      </w:r>
    </w:p>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10.▲信号机通过CCC、CE、ROHS认证，（提供证书复印件并加盖</w:t>
      </w:r>
      <w:r>
        <w:rPr>
          <w:rFonts w:hint="eastAsia" w:ascii="仿宋" w:hAnsi="仿宋" w:eastAsia="仿宋" w:cs="仿宋"/>
          <w:color w:val="auto"/>
          <w:sz w:val="24"/>
          <w:lang w:eastAsia="zh-CN"/>
        </w:rPr>
        <w:t>投标单位</w:t>
      </w:r>
      <w:r>
        <w:rPr>
          <w:rFonts w:hint="eastAsia" w:ascii="仿宋" w:hAnsi="仿宋" w:eastAsia="仿宋" w:cs="仿宋"/>
          <w:color w:val="auto"/>
          <w:sz w:val="24"/>
        </w:rPr>
        <w:t>公章）；</w:t>
      </w:r>
    </w:p>
    <w:bookmarkEnd w:id="20"/>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11.▲信号控制机生产厂家具备信号机维护系统软件、交通信号图形化配置和算法自动控制软件和交通信号干线协调控制系统软件著作权登记证书，（提供证书复印件并加盖</w:t>
      </w:r>
      <w:r>
        <w:rPr>
          <w:rFonts w:hint="eastAsia" w:ascii="仿宋" w:hAnsi="仿宋" w:eastAsia="仿宋" w:cs="仿宋"/>
          <w:color w:val="auto"/>
          <w:sz w:val="24"/>
          <w:lang w:eastAsia="zh-CN"/>
        </w:rPr>
        <w:t>投标人</w:t>
      </w:r>
      <w:r>
        <w:rPr>
          <w:rFonts w:hint="eastAsia" w:ascii="仿宋" w:hAnsi="仿宋" w:eastAsia="仿宋" w:cs="仿宋"/>
          <w:color w:val="auto"/>
          <w:sz w:val="24"/>
        </w:rPr>
        <w:t>公章）。</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1.2机动车信号灯</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1）面罩规格：400mm；</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2）面罩材质：PC；</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CDATA[3）中心光强/亮度  无图案：400cd<红<1000cd；400cd<黄<1000cd；400cd<绿<1000cd；有图案：红>5000 cd/m2；黄>5000 cd/m2 ；绿>5000 cd/m2；]]></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4）寿命≥70000小时；</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5）可视距离&gt;450米；</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6）可视角度&gt;30°；</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7）工作温度：-40 ~ +85 ℃；</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8）外壳材质压铸铝，黑色；</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9）防护等级：IP53。</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1.3非机动车信号灯</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非机动车信号灯整灯采用四联，由双色组成的自行车和箭头组合装入压铸铝框架构成一个整体。</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1）面罩规格：300mm；</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2）面罩材质：PC；</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CDATA[3）中心光强：150cd<红<400cd；150cd<黄<400cd； 150cd<绿<400cd；]]></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4）寿命 ≥70000小时；</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5）可视距离&gt;450米；</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6）可视角度&gt;30°；</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7）工作温度：-40 ~ +85 ℃；</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8）外壳材质：压铸铝，黑色；</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9）防护等级：IP53。</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1.4普通人行信号灯</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具备9S倒计时功能的普通人行信号灯，采用二联灯模式</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1）面罩规格：300mm；</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2）面罩材质：PC；</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3）中心光强：150cd&lt;红&lt;400cd；150cd&lt;绿&lt;400cd；</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4）寿命≥ 70000小时；</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5）可视距离&gt;450米；</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6）可视角度&gt;30°；</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7）工作温度：-40 ~ +85 ℃；</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8）外壳材质：压铸铝，黑色；</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9）防护等级：IP55。</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1.5信息采集摄像机</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1）防护罩防紫外线、遮阳且防护等级不低于IP67；</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2）安装支架允许视频检测器平行或者垂直安装，仰俯角度可进行调整；</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3）图像采集摄像机：1/3”黑白/彩色CMOS 摄像机，最小分辨率为480x640，最低像素不低于30w；</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4）视频检测器工作温度为-34℃至+80℃，无冷凝；</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5）视频检测系统的供电、开关量及RS485 数据信号传输采用一根屏蔽双绞电缆缆，视频检测器与信号传输线路间、传输线路与信号机间电气隔离（光电隔离），供电回路具有防感应过电压设计；</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6）系统设置通过软件完成后，视频检测器能够不依赖于计算机独立运行。更改设置时不影响正常检测；</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7）系统的平均故障间隔时间（MTBF）大于50000 个小时（约5 年）；</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8）平均修复时间（MTTR）少于15 分钟。</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1.6一体化高清抓拍单元</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包含高清一体化嵌入式摄像机、高清镜头、室外防护罩、网络信号防雷器、电源模块等；</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采用星光级1英寸GS-CMOS图像传感器，最大输出 4096×2820@50fps高清图像；</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支持双码流，且满足H.265&amp;H.264编码，超低延时，超低码率，压缩比高，处理灵活；</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支持自动白平衡、自动电子快门、自动光圈，适应各种监控环境；</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支持1~4车道车辆抓拍、车牌识别和车辆结构化信息提取；</w:t>
      </w:r>
    </w:p>
    <w:p>
      <w:pPr>
        <w:pStyle w:val="71"/>
        <w:numPr>
          <w:ilvl w:val="1"/>
          <w:numId w:val="6"/>
        </w:numPr>
        <w:spacing w:line="288" w:lineRule="auto"/>
        <w:jc w:val="left"/>
        <w:rPr>
          <w:rFonts w:ascii="仿宋" w:hAnsi="仿宋" w:eastAsia="仿宋" w:cs="仿宋"/>
          <w:sz w:val="24"/>
        </w:rPr>
      </w:pPr>
      <w:r>
        <w:rPr>
          <w:rFonts w:hint="eastAsia" w:ascii="仿宋" w:hAnsi="仿宋" w:eastAsia="仿宋" w:cs="仿宋"/>
          <w:sz w:val="24"/>
        </w:rPr>
        <w:t>具有单快门、双快门（半帧率/全帧率）、三快门共三种快门方式；具有抓拍快门、视频快门、识别快门共三种快门方式；支持快门自适应，支持快门1/1s~1/100000s 可调。</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视频分辨率4096*2160，3392*2008，1600*1200，1280*720</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抓图分辨率4096*2160(不含OSD)，4096*4208(含OSD)</w:t>
      </w:r>
      <w:r>
        <w:rPr>
          <w:rFonts w:ascii="仿宋" w:hAnsi="仿宋" w:eastAsia="仿宋" w:cs="仿宋"/>
          <w:sz w:val="24"/>
        </w:rPr>
        <w:t xml:space="preserve"> （提供公安部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1"/>
          <w:numId w:val="6"/>
        </w:numPr>
        <w:spacing w:line="288" w:lineRule="auto"/>
        <w:jc w:val="left"/>
        <w:rPr>
          <w:rFonts w:ascii="仿宋" w:hAnsi="仿宋" w:eastAsia="仿宋" w:cs="仿宋"/>
          <w:sz w:val="24"/>
        </w:rPr>
      </w:pPr>
      <w:r>
        <w:rPr>
          <w:rFonts w:hint="eastAsia" w:ascii="仿宋" w:hAnsi="仿宋" w:eastAsia="仿宋" w:cs="仿宋"/>
          <w:sz w:val="24"/>
        </w:rPr>
        <w:t>视频帧率≥50 fps。</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1"/>
          <w:numId w:val="6"/>
        </w:numPr>
        <w:spacing w:line="288" w:lineRule="auto"/>
        <w:jc w:val="left"/>
        <w:rPr>
          <w:rFonts w:ascii="仿宋" w:hAnsi="仿宋" w:eastAsia="仿宋" w:cs="仿宋"/>
          <w:sz w:val="24"/>
        </w:rPr>
      </w:pPr>
      <w:r>
        <w:rPr>
          <w:rFonts w:hint="eastAsia" w:ascii="仿宋" w:hAnsi="仿宋" w:eastAsia="仿宋" w:cs="仿宋"/>
          <w:sz w:val="24"/>
        </w:rPr>
        <w:t>2个网口具有独立的MAC地址，可以独立设置IP地址信息。</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补光灯3颗，护罩下挂，暖光LED频闪灯，亮度可调；</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支持机动车、非机动车和行人目标检测、人脸检测、车牌识别、车辆类型识别、非机动车违法抓拍、机动车违法抓拍、车身颜色识别、视频结构化抓拍、图片合成、OSD信息叠加；</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支持车辆逆行、拥堵、停车、行人等交通事件的检测；</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支持车辆流量、平均速度、占有率、平均车头时距、平均排队长度、道路状态等流量信息采集；</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支持视频检测、雷达、线圈三种触发方式；</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设备具有本地存储功能；实时视频图像、照片存储策略均支持满覆盖及满即停存储方式，可通过界面进行配置；存储容量最大支持512GB。</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1"/>
          <w:numId w:val="6"/>
        </w:numPr>
        <w:spacing w:line="288" w:lineRule="auto"/>
        <w:jc w:val="left"/>
        <w:rPr>
          <w:rFonts w:ascii="仿宋" w:hAnsi="仿宋" w:eastAsia="仿宋" w:cs="仿宋"/>
          <w:sz w:val="24"/>
        </w:rPr>
      </w:pPr>
      <w:r>
        <w:rPr>
          <w:rFonts w:hint="eastAsia" w:ascii="仿宋" w:hAnsi="仿宋" w:eastAsia="仿宋" w:cs="仿宋"/>
          <w:sz w:val="24"/>
        </w:rPr>
        <w:t>支持8块感兴趣区域（ROI）增强编码功能，ROI区域压缩比0-100可设置。</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1"/>
          <w:numId w:val="6"/>
        </w:numPr>
        <w:spacing w:line="288" w:lineRule="auto"/>
        <w:jc w:val="left"/>
        <w:rPr>
          <w:rFonts w:ascii="仿宋" w:hAnsi="仿宋" w:eastAsia="仿宋" w:cs="仿宋"/>
          <w:sz w:val="24"/>
        </w:rPr>
      </w:pPr>
      <w:r>
        <w:rPr>
          <w:rFonts w:hint="eastAsia" w:ascii="仿宋" w:hAnsi="仿宋" w:eastAsia="仿宋" w:cs="仿宋"/>
          <w:sz w:val="24"/>
        </w:rPr>
        <w:t>最大支持50段语音文件导入，并控制选定语音输出到摄像机音频口。</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支持网络接口、模拟输出接口、USB接口、RS-485接口、RS-232接口、I/O接口、报警输入输出、音频输入输出、外置灯接口、支持电源返送；</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具有网络防雷和防浪涌功能；</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视频结构化支持：1、机动车：车牌，车辆类型，车身颜色，车牌颜色，车标，车系（车辆年款），遮阳板，安全带，抽烟，打电话，车内饰品（香水盒、纸巾盒、挂件），年检标志等；2、非机动车：类型（二轮车、三轮车），颜色，是否戴头盔，骑车人数（1人、2人、3人、多人），是否有遮阳伞；3、人体：上衣类型（长袖、短袖），下衣类型（长裤、短裤、裙子），上下衣颜色，带包（手提包、背包），帽子，性别，人种，年龄段；4、人脸：性别，年龄，表情（生气、厌恶、恐惧、高兴、悲伤、惊讶、平静、困惑），眼镜类型，是否戴口罩，是否有胡子，发型；</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目标检测支持区分机动车、非机动车、行人；人脸检测支持非机动车，行人人脸检测，主副驾驶人脸抠图；</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支持车牌识别如大型汽车号牌、小型汽车号牌、使馆汽车号牌、教练汽车号牌、新能源汽车号牌、应急救援专用号牌等；</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支持车辆类型识别如大客车、中客车、大货车、中货车、轿车、面包车、小货车等；</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支持特种车型识别如普通罐车、渣土车、混凝土搅拌车、出租车、警车等；</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支持车身颜色识别如白色、粉色、黑色、红色等；</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支持自动画线功能，可自动识别并画出车道线、抓拍检测线，提高施工调试效率；</w:t>
      </w:r>
    </w:p>
    <w:p>
      <w:pPr>
        <w:pStyle w:val="71"/>
        <w:numPr>
          <w:ilvl w:val="0"/>
          <w:numId w:val="6"/>
        </w:numPr>
        <w:spacing w:line="288" w:lineRule="auto"/>
        <w:jc w:val="left"/>
        <w:rPr>
          <w:rFonts w:ascii="仿宋" w:hAnsi="仿宋" w:eastAsia="仿宋" w:cs="仿宋"/>
          <w:sz w:val="24"/>
        </w:rPr>
      </w:pPr>
      <w:r>
        <w:rPr>
          <w:rFonts w:hint="eastAsia" w:ascii="仿宋" w:hAnsi="仿宋" w:eastAsia="仿宋" w:cs="仿宋"/>
          <w:sz w:val="24"/>
        </w:rPr>
        <w:t>防护等级IP66。</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1.7 LED补光灯</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1）集成数字式照度传感器，具备自动光感功能；</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2）支持多级环境亮度可选；</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3）平均功耗≤23W</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4）频闪亮度等级30级可调；</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5）在距补光灯20米处，亮度等级20时光斑照度不得超过40lx；</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6）支持通过摄像机远程控制亮度等级</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7）支持通过摄像机远程控制补光灯点亮/熄灭；</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8）支持通过RS485控制频率、亮度等；</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9）持频闪级联功能；</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10）支持远程显示补光灯状态功能；</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11）频闪信号输出至LED灯板响应的时间≤45us；</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12）频闪频率：20、25、30、50、60、75、90、100、120Hz 9档可选；</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13）频闪持续时间：1、2、3ms可选；</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14）频闪延时：0、1、2、3、4ms可选；</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15）色温范围6000k~6700k；</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16）工作温度-40℃~80℃；</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17）可根据环境亮度变化自动点亮或熄灭，环境亮度阀值10档可调；</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18）防护等级：IP67。</w:t>
      </w:r>
    </w:p>
    <w:p>
      <w:pPr>
        <w:spacing w:line="288" w:lineRule="auto"/>
        <w:ind w:firstLine="480" w:firstLineChars="200"/>
        <w:rPr>
          <w:rFonts w:ascii="仿宋" w:hAnsi="仿宋" w:eastAsia="仿宋" w:cs="仿宋"/>
          <w:sz w:val="24"/>
        </w:rPr>
      </w:pPr>
      <w:r>
        <w:rPr>
          <w:rFonts w:hint="eastAsia" w:ascii="仿宋" w:hAnsi="仿宋" w:eastAsia="仿宋" w:cs="仿宋"/>
          <w:sz w:val="24"/>
        </w:rPr>
        <w:t>1.8智能终端</w:t>
      </w:r>
    </w:p>
    <w:p>
      <w:pPr>
        <w:spacing w:line="288" w:lineRule="auto"/>
        <w:ind w:firstLine="470" w:firstLineChars="196"/>
        <w:rPr>
          <w:rFonts w:ascii="仿宋" w:hAnsi="仿宋" w:eastAsia="仿宋" w:cs="仿宋"/>
          <w:sz w:val="24"/>
        </w:rPr>
      </w:pPr>
      <w:r>
        <w:rPr>
          <w:rFonts w:hint="eastAsia" w:ascii="仿宋" w:hAnsi="仿宋" w:eastAsia="仿宋" w:cs="仿宋"/>
          <w:sz w:val="24"/>
        </w:rPr>
        <w:t>1）嵌入式Linux操作系统，操作界面以WEB方式；</w:t>
      </w:r>
    </w:p>
    <w:p>
      <w:pPr>
        <w:spacing w:line="288" w:lineRule="auto"/>
        <w:ind w:firstLine="470" w:firstLineChars="196"/>
        <w:rPr>
          <w:rFonts w:ascii="仿宋" w:hAnsi="仿宋" w:eastAsia="仿宋" w:cs="仿宋"/>
          <w:sz w:val="24"/>
        </w:rPr>
      </w:pPr>
      <w:r>
        <w:rPr>
          <w:rFonts w:hint="eastAsia" w:ascii="仿宋" w:hAnsi="仿宋" w:eastAsia="仿宋" w:cs="仿宋"/>
          <w:sz w:val="24"/>
        </w:rPr>
        <w:t>2）支持4个3.5/2.5英寸SATA硬盘接口硬盘，标配2TB硬盘，最大兼容6TB硬盘</w:t>
      </w:r>
    </w:p>
    <w:p>
      <w:pPr>
        <w:spacing w:line="288" w:lineRule="auto"/>
        <w:ind w:firstLine="470" w:firstLineChars="196"/>
        <w:rPr>
          <w:rFonts w:ascii="仿宋" w:hAnsi="仿宋" w:eastAsia="仿宋" w:cs="仿宋"/>
          <w:sz w:val="24"/>
        </w:rPr>
      </w:pPr>
      <w:r>
        <w:rPr>
          <w:rFonts w:hint="eastAsia" w:ascii="仿宋" w:hAnsi="仿宋" w:eastAsia="仿宋" w:cs="仿宋"/>
          <w:sz w:val="24"/>
        </w:rPr>
        <w:t>3）8个RJ45 100M网口，2个RJ45 1000M网口；</w:t>
      </w:r>
    </w:p>
    <w:p>
      <w:pPr>
        <w:spacing w:line="288" w:lineRule="auto"/>
        <w:ind w:firstLine="470" w:firstLineChars="196"/>
        <w:rPr>
          <w:rFonts w:ascii="仿宋" w:hAnsi="仿宋" w:eastAsia="仿宋" w:cs="仿宋"/>
          <w:sz w:val="24"/>
        </w:rPr>
      </w:pPr>
      <w:r>
        <w:rPr>
          <w:rFonts w:hint="eastAsia" w:ascii="仿宋" w:hAnsi="仿宋" w:eastAsia="仿宋" w:cs="仿宋"/>
          <w:sz w:val="24"/>
        </w:rPr>
        <w:t>4）接入高清网络摄像机数量≥12路；</w:t>
      </w:r>
    </w:p>
    <w:p>
      <w:pPr>
        <w:spacing w:line="288" w:lineRule="auto"/>
        <w:ind w:firstLine="470" w:firstLineChars="196"/>
        <w:rPr>
          <w:rFonts w:ascii="仿宋" w:hAnsi="仿宋" w:eastAsia="仿宋" w:cs="仿宋"/>
          <w:sz w:val="24"/>
        </w:rPr>
      </w:pPr>
      <w:r>
        <w:rPr>
          <w:rFonts w:hint="eastAsia" w:ascii="仿宋" w:hAnsi="仿宋" w:eastAsia="仿宋" w:cs="仿宋"/>
          <w:sz w:val="24"/>
        </w:rPr>
        <w:t>5）支持12路图片、16路录像实时预览及存储功能；</w:t>
      </w:r>
    </w:p>
    <w:p>
      <w:pPr>
        <w:spacing w:line="288" w:lineRule="auto"/>
        <w:ind w:firstLine="470" w:firstLineChars="196"/>
        <w:rPr>
          <w:rFonts w:ascii="仿宋" w:hAnsi="仿宋" w:eastAsia="仿宋" w:cs="仿宋"/>
          <w:sz w:val="24"/>
        </w:rPr>
      </w:pPr>
      <w:r>
        <w:rPr>
          <w:rFonts w:hint="eastAsia" w:ascii="仿宋" w:hAnsi="仿宋" w:eastAsia="仿宋" w:cs="仿宋"/>
          <w:sz w:val="24"/>
        </w:rPr>
        <w:t>6）支持RTSP流媒体协议网络摄像机接入；</w:t>
      </w:r>
    </w:p>
    <w:p>
      <w:pPr>
        <w:spacing w:line="288" w:lineRule="auto"/>
        <w:ind w:firstLine="470" w:firstLineChars="196"/>
        <w:rPr>
          <w:rFonts w:ascii="仿宋" w:hAnsi="仿宋" w:eastAsia="仿宋" w:cs="仿宋"/>
          <w:sz w:val="24"/>
        </w:rPr>
      </w:pPr>
      <w:r>
        <w:rPr>
          <w:rFonts w:hint="eastAsia" w:ascii="仿宋" w:hAnsi="仿宋" w:eastAsia="仿宋" w:cs="仿宋"/>
          <w:sz w:val="24"/>
        </w:rPr>
        <w:t>8）1个DC12V输出接口、1个一键复位按钮，1个HDMI接口、1个VGA接口、1个eSATA接口，2个RS232接口、4个RS485接口、4个报警输入接口、4个报警输出接口、1个音频输入接口、1个音频输出接口、2个USB接口；</w:t>
      </w:r>
    </w:p>
    <w:p>
      <w:pPr>
        <w:spacing w:line="288" w:lineRule="auto"/>
        <w:ind w:firstLine="470" w:firstLineChars="196"/>
        <w:rPr>
          <w:rFonts w:ascii="仿宋" w:hAnsi="仿宋" w:eastAsia="仿宋" w:cs="仿宋"/>
          <w:sz w:val="24"/>
        </w:rPr>
      </w:pPr>
      <w:r>
        <w:rPr>
          <w:rFonts w:hint="eastAsia" w:ascii="仿宋" w:hAnsi="仿宋" w:eastAsia="仿宋" w:cs="仿宋"/>
          <w:sz w:val="24"/>
        </w:rPr>
        <w:t>9）支持断网续传，当设备与平台断开，重连后设备将上传断开时间段的图片继续传给平台；</w:t>
      </w:r>
    </w:p>
    <w:p>
      <w:pPr>
        <w:spacing w:line="288" w:lineRule="auto"/>
        <w:ind w:firstLine="470" w:firstLineChars="196"/>
        <w:rPr>
          <w:rFonts w:ascii="仿宋" w:hAnsi="仿宋" w:eastAsia="仿宋" w:cs="仿宋"/>
          <w:sz w:val="24"/>
        </w:rPr>
      </w:pPr>
      <w:r>
        <w:rPr>
          <w:rFonts w:hint="eastAsia" w:ascii="仿宋" w:hAnsi="仿宋" w:eastAsia="仿宋" w:cs="仿宋"/>
          <w:sz w:val="24"/>
        </w:rPr>
        <w:t>10）支持黑白名单功能；</w:t>
      </w:r>
    </w:p>
    <w:p>
      <w:pPr>
        <w:spacing w:line="288" w:lineRule="auto"/>
        <w:ind w:firstLine="470" w:firstLineChars="196"/>
        <w:rPr>
          <w:rFonts w:ascii="仿宋" w:hAnsi="仿宋" w:eastAsia="仿宋" w:cs="仿宋"/>
          <w:sz w:val="24"/>
        </w:rPr>
      </w:pPr>
      <w:r>
        <w:rPr>
          <w:rFonts w:hint="eastAsia" w:ascii="仿宋" w:hAnsi="仿宋" w:eastAsia="仿宋" w:cs="仿宋"/>
          <w:sz w:val="24"/>
        </w:rPr>
        <w:t>11）支持前端故障检测功能，并在日志中记录；</w:t>
      </w:r>
    </w:p>
    <w:p>
      <w:pPr>
        <w:spacing w:line="288" w:lineRule="auto"/>
        <w:ind w:firstLine="470" w:firstLineChars="196"/>
        <w:rPr>
          <w:rFonts w:ascii="仿宋" w:hAnsi="仿宋" w:eastAsia="仿宋" w:cs="仿宋"/>
          <w:sz w:val="24"/>
        </w:rPr>
      </w:pPr>
      <w:r>
        <w:rPr>
          <w:rFonts w:hint="eastAsia" w:ascii="仿宋" w:hAnsi="仿宋" w:eastAsia="仿宋" w:cs="仿宋"/>
          <w:sz w:val="24"/>
        </w:rPr>
        <w:t>12）支持车辆查询，支持按时间、通道、违章类型、车牌、车速、车道查询；</w:t>
      </w:r>
    </w:p>
    <w:p>
      <w:pPr>
        <w:spacing w:line="288" w:lineRule="auto"/>
        <w:ind w:firstLine="470" w:firstLineChars="196"/>
        <w:rPr>
          <w:rFonts w:ascii="仿宋" w:hAnsi="仿宋" w:eastAsia="仿宋" w:cs="仿宋"/>
          <w:sz w:val="24"/>
        </w:rPr>
      </w:pPr>
      <w:r>
        <w:rPr>
          <w:rFonts w:hint="eastAsia" w:ascii="仿宋" w:hAnsi="仿宋" w:eastAsia="仿宋" w:cs="仿宋"/>
          <w:sz w:val="24"/>
        </w:rPr>
        <w:t>13）支持网口连接路由器时，可识别并接入无线设备；</w:t>
      </w:r>
    </w:p>
    <w:p>
      <w:pPr>
        <w:spacing w:line="288" w:lineRule="auto"/>
        <w:ind w:firstLine="470" w:firstLineChars="196"/>
        <w:rPr>
          <w:rFonts w:ascii="仿宋" w:hAnsi="仿宋" w:eastAsia="仿宋" w:cs="仿宋"/>
          <w:sz w:val="24"/>
        </w:rPr>
      </w:pPr>
      <w:r>
        <w:rPr>
          <w:rFonts w:hint="eastAsia" w:ascii="仿宋" w:hAnsi="仿宋" w:eastAsia="仿宋" w:cs="仿宋"/>
          <w:sz w:val="24"/>
        </w:rPr>
        <w:t>14）支持数据防删改功能，设备内的录像、图片文件无法直接删除或者修改，只能进行循环覆盖或者硬盘格式化操作。</w:t>
      </w:r>
    </w:p>
    <w:p>
      <w:pPr>
        <w:spacing w:line="288" w:lineRule="auto"/>
        <w:ind w:firstLine="470" w:firstLineChars="196"/>
        <w:rPr>
          <w:rFonts w:ascii="仿宋" w:hAnsi="仿宋" w:eastAsia="仿宋" w:cs="仿宋"/>
          <w:sz w:val="24"/>
        </w:rPr>
      </w:pPr>
      <w:r>
        <w:rPr>
          <w:rFonts w:hint="eastAsia" w:ascii="仿宋" w:hAnsi="仿宋" w:eastAsia="仿宋" w:cs="仿宋"/>
          <w:sz w:val="24"/>
        </w:rPr>
        <w:t>15）支持选择合成图片的分辨率、支持区分通道分别设置合成图片的大小、支持根据选择的原始图序号进行特写放大、支持根据实际场景分别设置大车和小车的合成特写图片的放大倍数、支持前后套牌抓拍，合成抓拍车头和车尾的卡口图片、支持匹配前端卡口和电警，实现违章与卡口合成，合成方式四合一、六合一可选。</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1.9信号灯检测器</w:t>
      </w:r>
    </w:p>
    <w:p>
      <w:pPr>
        <w:pStyle w:val="71"/>
        <w:numPr>
          <w:ilvl w:val="0"/>
          <w:numId w:val="7"/>
        </w:numPr>
        <w:spacing w:line="288" w:lineRule="auto"/>
        <w:rPr>
          <w:rFonts w:ascii="仿宋" w:hAnsi="仿宋" w:eastAsia="仿宋" w:cs="仿宋"/>
          <w:sz w:val="24"/>
        </w:rPr>
      </w:pPr>
      <w:r>
        <w:rPr>
          <w:rFonts w:hint="eastAsia" w:ascii="仿宋" w:hAnsi="仿宋" w:eastAsia="仿宋" w:cs="仿宋"/>
          <w:sz w:val="24"/>
        </w:rPr>
        <w:t>支持接入20路红/绿灯信号，进行输入通断检测，并通过100M网口将信号状态实时传输给网络摄像机；</w:t>
      </w:r>
    </w:p>
    <w:p>
      <w:pPr>
        <w:pStyle w:val="71"/>
        <w:numPr>
          <w:ilvl w:val="1"/>
          <w:numId w:val="7"/>
        </w:numPr>
        <w:spacing w:line="288" w:lineRule="auto"/>
        <w:rPr>
          <w:rFonts w:ascii="仿宋" w:hAnsi="仿宋" w:eastAsia="仿宋" w:cs="仿宋"/>
          <w:sz w:val="24"/>
        </w:rPr>
      </w:pPr>
      <w:r>
        <w:rPr>
          <w:rFonts w:hint="eastAsia" w:ascii="仿宋" w:hAnsi="仿宋" w:eastAsia="仿宋" w:cs="仿宋"/>
          <w:sz w:val="24"/>
        </w:rPr>
        <w:t>接口:RS485接口:1个；网络接口:1个,RJ45 100M 网口；电源接口：DC12V，1A；AC220V输入接口:20个。</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0"/>
          <w:numId w:val="7"/>
        </w:numPr>
        <w:spacing w:line="288" w:lineRule="auto"/>
        <w:rPr>
          <w:rFonts w:ascii="仿宋" w:hAnsi="仿宋" w:eastAsia="仿宋" w:cs="仿宋"/>
          <w:sz w:val="24"/>
        </w:rPr>
      </w:pPr>
      <w:r>
        <w:rPr>
          <w:rFonts w:hint="eastAsia" w:ascii="仿宋" w:hAnsi="仿宋" w:eastAsia="仿宋" w:cs="仿宋"/>
          <w:sz w:val="24"/>
        </w:rPr>
        <w:t>支持通过配置工具设置红灯检测模式/绿灯检测模式；</w:t>
      </w:r>
    </w:p>
    <w:p>
      <w:pPr>
        <w:pStyle w:val="71"/>
        <w:numPr>
          <w:ilvl w:val="0"/>
          <w:numId w:val="7"/>
        </w:numPr>
        <w:spacing w:line="288" w:lineRule="auto"/>
        <w:rPr>
          <w:rFonts w:ascii="仿宋" w:hAnsi="仿宋" w:eastAsia="仿宋" w:cs="仿宋"/>
          <w:sz w:val="24"/>
        </w:rPr>
      </w:pPr>
      <w:r>
        <w:rPr>
          <w:rFonts w:hint="eastAsia" w:ascii="仿宋" w:hAnsi="仿宋" w:eastAsia="仿宋" w:cs="仿宋"/>
          <w:sz w:val="24"/>
        </w:rPr>
        <w:t>支持通过配置工具设置交换机网关，并开启ping功能，用来监测网络状态；</w:t>
      </w:r>
    </w:p>
    <w:p>
      <w:pPr>
        <w:pStyle w:val="71"/>
        <w:numPr>
          <w:ilvl w:val="0"/>
          <w:numId w:val="7"/>
        </w:numPr>
        <w:spacing w:line="288" w:lineRule="auto"/>
        <w:rPr>
          <w:rFonts w:ascii="仿宋" w:hAnsi="仿宋" w:eastAsia="仿宋" w:cs="仿宋"/>
          <w:sz w:val="24"/>
        </w:rPr>
      </w:pPr>
      <w:r>
        <w:rPr>
          <w:rFonts w:hint="eastAsia" w:ascii="仿宋" w:hAnsi="仿宋" w:eastAsia="仿宋" w:cs="仿宋"/>
          <w:sz w:val="24"/>
        </w:rPr>
        <w:t>检测参数配置:支持通过配置工具设置关联相机登陆IP、端口号、用户名和密码；最大支持关联20 路相机，并可进行设备参数的配置；支持通过配置工具设置检测参数，配置关联通道信息，最大支持20路检测参数的配置。</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；红绿灯检测模式切换:支持通过配置工具设置红灯检测模式或绿灯检测模式。</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0"/>
          <w:numId w:val="7"/>
        </w:numPr>
        <w:spacing w:line="288" w:lineRule="auto"/>
        <w:rPr>
          <w:rFonts w:ascii="仿宋" w:hAnsi="仿宋" w:eastAsia="仿宋" w:cs="仿宋"/>
          <w:sz w:val="24"/>
        </w:rPr>
      </w:pPr>
      <w:r>
        <w:rPr>
          <w:rFonts w:hint="eastAsia" w:ascii="仿宋" w:hAnsi="仿宋" w:eastAsia="仿宋" w:cs="仿宋"/>
          <w:sz w:val="24"/>
        </w:rPr>
        <w:t>红绿灯信号输入异常判断时长设置:支持通过配置工具设置红绿灯信号输入异常判断时长，设置范围[1,300]秒。</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0"/>
          <w:numId w:val="7"/>
        </w:numPr>
        <w:spacing w:line="288" w:lineRule="auto"/>
        <w:rPr>
          <w:rFonts w:ascii="仿宋" w:hAnsi="仿宋" w:eastAsia="仿宋" w:cs="仿宋"/>
          <w:sz w:val="24"/>
        </w:rPr>
      </w:pPr>
      <w:r>
        <w:rPr>
          <w:rFonts w:hint="eastAsia" w:ascii="仿宋" w:hAnsi="仿宋" w:eastAsia="仿宋" w:cs="仿宋"/>
          <w:sz w:val="24"/>
        </w:rPr>
        <w:t>时间设置:支持通过配置工具设置NTP 校时或同步PC时间。</w:t>
      </w:r>
      <w:r>
        <w:rPr>
          <w:rFonts w:ascii="仿宋" w:hAnsi="仿宋" w:eastAsia="仿宋" w:cs="仿宋"/>
          <w:sz w:val="24"/>
        </w:rPr>
        <w:t>（提供公安部</w:t>
      </w:r>
      <w:r>
        <w:rPr>
          <w:rFonts w:hint="eastAsia" w:ascii="仿宋" w:hAnsi="仿宋" w:eastAsia="仿宋" w:cs="仿宋"/>
          <w:sz w:val="24"/>
        </w:rPr>
        <w:t>相关</w:t>
      </w:r>
      <w:r>
        <w:rPr>
          <w:rFonts w:ascii="仿宋" w:hAnsi="仿宋" w:eastAsia="仿宋" w:cs="仿宋"/>
          <w:sz w:val="24"/>
        </w:rPr>
        <w:t>检测机构出具有效期内的检测报告复印件加盖</w:t>
      </w:r>
      <w:r>
        <w:rPr>
          <w:rFonts w:hint="eastAsia" w:ascii="仿宋" w:hAnsi="仿宋" w:eastAsia="仿宋" w:cs="仿宋"/>
          <w:sz w:val="24"/>
        </w:rPr>
        <w:t>投标人</w:t>
      </w:r>
      <w:r>
        <w:rPr>
          <w:rFonts w:ascii="仿宋" w:hAnsi="仿宋" w:eastAsia="仿宋" w:cs="仿宋"/>
          <w:sz w:val="24"/>
        </w:rPr>
        <w:t>公章）</w:t>
      </w:r>
      <w:r>
        <w:rPr>
          <w:rFonts w:hint="eastAsia" w:ascii="仿宋" w:hAnsi="仿宋" w:eastAsia="仿宋" w:cs="仿宋"/>
          <w:sz w:val="24"/>
        </w:rPr>
        <w:t>；</w:t>
      </w:r>
    </w:p>
    <w:p>
      <w:pPr>
        <w:pStyle w:val="71"/>
        <w:numPr>
          <w:ilvl w:val="0"/>
          <w:numId w:val="7"/>
        </w:numPr>
        <w:spacing w:line="288" w:lineRule="auto"/>
        <w:rPr>
          <w:rFonts w:ascii="仿宋" w:hAnsi="仿宋" w:eastAsia="仿宋" w:cs="仿宋"/>
          <w:sz w:val="24"/>
        </w:rPr>
      </w:pPr>
      <w:r>
        <w:rPr>
          <w:rFonts w:hint="eastAsia" w:ascii="仿宋" w:hAnsi="仿宋" w:eastAsia="仿宋" w:cs="仿宋"/>
          <w:sz w:val="24"/>
        </w:rPr>
        <w:t>支持记录最多1700条日志，并通过配置工具查询设备的操作日志、校时日志、ping成功/失败日志、红/绿灯输入信号异常及异常恢复等日志，用于查询设备的操作记录及异常情况；</w:t>
      </w:r>
    </w:p>
    <w:p>
      <w:pPr>
        <w:pStyle w:val="71"/>
        <w:numPr>
          <w:ilvl w:val="0"/>
          <w:numId w:val="7"/>
        </w:numPr>
        <w:spacing w:line="288" w:lineRule="auto"/>
        <w:rPr>
          <w:rFonts w:ascii="仿宋" w:hAnsi="仿宋" w:eastAsia="仿宋" w:cs="仿宋"/>
          <w:sz w:val="24"/>
        </w:rPr>
      </w:pPr>
      <w:r>
        <w:rPr>
          <w:rFonts w:hint="eastAsia" w:ascii="仿宋" w:hAnsi="仿宋" w:eastAsia="仿宋" w:cs="仿宋"/>
          <w:sz w:val="24"/>
        </w:rPr>
        <w:t>支持通过配置工具设置NTP校时/同步PC时间；</w:t>
      </w:r>
    </w:p>
    <w:p>
      <w:pPr>
        <w:pStyle w:val="71"/>
        <w:numPr>
          <w:ilvl w:val="0"/>
          <w:numId w:val="7"/>
        </w:numPr>
        <w:spacing w:line="288" w:lineRule="auto"/>
        <w:rPr>
          <w:rFonts w:ascii="仿宋" w:hAnsi="仿宋" w:eastAsia="仿宋" w:cs="仿宋"/>
          <w:sz w:val="24"/>
        </w:rPr>
      </w:pPr>
      <w:r>
        <w:rPr>
          <w:rFonts w:hint="eastAsia" w:ascii="仿宋" w:hAnsi="仿宋" w:eastAsia="仿宋" w:cs="仿宋"/>
          <w:sz w:val="24"/>
        </w:rPr>
        <w:t>支持通过小工具进行网络升级/通过CRT软件进行串口升级。</w:t>
      </w:r>
    </w:p>
    <w:p>
      <w:pPr>
        <w:spacing w:line="288" w:lineRule="auto"/>
        <w:ind w:firstLine="472" w:firstLineChars="196"/>
        <w:rPr>
          <w:rFonts w:ascii="仿宋" w:hAnsi="仿宋" w:eastAsia="仿宋" w:cs="仿宋"/>
          <w:b/>
          <w:sz w:val="24"/>
        </w:rPr>
      </w:pPr>
      <w:r>
        <w:rPr>
          <w:rFonts w:hint="eastAsia" w:ascii="仿宋" w:hAnsi="仿宋" w:eastAsia="仿宋" w:cs="仿宋"/>
          <w:b/>
          <w:sz w:val="24"/>
        </w:rPr>
        <w:t>1.10违停抓拍球机</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1）支持摄像机靶面尺寸为1/1.8英寸、1个RJ45、1个RS485、1路音频输入、1路音频输出、7路报警输入、2路报警输出、1路CVBS、1个SD卡槽、采用AC24V供电支持最低照度可达彩色0.0002Lux，黑白0.0001Lux  分辨率设置为1920×1080，帧率设置为60帧、码率设置为1Mbps、RJ45输出，分辨力不小于1100TVL  </w:t>
      </w:r>
    </w:p>
    <w:p>
      <w:pPr>
        <w:spacing w:line="288" w:lineRule="auto"/>
        <w:ind w:firstLine="480" w:firstLineChars="200"/>
        <w:rPr>
          <w:rFonts w:ascii="仿宋" w:hAnsi="仿宋" w:eastAsia="仿宋" w:cs="仿宋"/>
          <w:sz w:val="24"/>
        </w:rPr>
      </w:pPr>
      <w:r>
        <w:rPr>
          <w:rFonts w:hint="eastAsia" w:ascii="仿宋" w:hAnsi="仿宋" w:eastAsia="仿宋" w:cs="仿宋"/>
          <w:sz w:val="24"/>
        </w:rPr>
        <w:t>2）视频输出支持1920×1200@60fps，1920×1080@60fps，1280×960@60fps，1280×720@60fps　</w:t>
      </w:r>
    </w:p>
    <w:p>
      <w:pPr>
        <w:spacing w:line="288" w:lineRule="auto"/>
        <w:ind w:firstLine="480" w:firstLineChars="200"/>
        <w:rPr>
          <w:rFonts w:ascii="仿宋" w:hAnsi="仿宋" w:eastAsia="仿宋" w:cs="仿宋"/>
          <w:sz w:val="24"/>
        </w:rPr>
      </w:pPr>
      <w:r>
        <w:rPr>
          <w:rFonts w:hint="eastAsia" w:ascii="仿宋" w:hAnsi="仿宋" w:eastAsia="仿宋" w:cs="仿宋"/>
          <w:sz w:val="24"/>
        </w:rPr>
        <w:t>3）支持区域裁剪，可在视频图像上剪裁出指定大小的区域，并在三码流上预览，剪裁后的预览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4）支持2048条巡航路径，每条巡航可以添加128个预置点;支持一键巡航功能  </w:t>
      </w:r>
    </w:p>
    <w:p>
      <w:pPr>
        <w:spacing w:line="288" w:lineRule="auto"/>
        <w:ind w:firstLine="480" w:firstLineChars="200"/>
        <w:rPr>
          <w:rFonts w:ascii="仿宋" w:hAnsi="仿宋" w:eastAsia="仿宋" w:cs="仿宋"/>
          <w:sz w:val="24"/>
        </w:rPr>
      </w:pPr>
      <w:r>
        <w:rPr>
          <w:rFonts w:hint="eastAsia" w:ascii="仿宋" w:hAnsi="仿宋" w:eastAsia="仿宋" w:cs="仿宋"/>
          <w:sz w:val="24"/>
        </w:rPr>
        <w:t>5）支持2048条模式路径，每条路径的记录时间应大于16分钟</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6）支持在监视画面上设置48块遮盖区域,可设置多边形、不同的颜色，每个场景最多支持8块，支持6个场景，并且颜色、位置可调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7）支持在视频图像上叠加通道名称、时间、预置点信息、坐标信息、倍数显示、人数进入和离开统计、温度显示和地理位置信息，具有45行字符显示，字体可设置为最大、大、中、小，字体颜色可设置，信噪比支持不小于65dB（RJ45）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8）支持图片字符叠加功能，可在图片上叠加字符，字符可选项包括通道名称、时间、预置点信息、坐标信息、镜头倍数、温度及地理位置等信息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9）支持最多同时开启50个视频窗口进行画面浏览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10） 支持道路信息设置，最大设置24个路口信息，每个路口最多设置24个路名，道路信息可随球机转动变化显示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11） 支持集中布控功能，设备能够响应平台下发的集中布控命令，调整方向至目标位置  </w:t>
      </w:r>
    </w:p>
    <w:p>
      <w:pPr>
        <w:spacing w:line="288" w:lineRule="auto"/>
        <w:ind w:firstLine="480" w:firstLineChars="200"/>
        <w:rPr>
          <w:rFonts w:ascii="仿宋" w:hAnsi="仿宋" w:eastAsia="仿宋" w:cs="仿宋"/>
          <w:sz w:val="24"/>
        </w:rPr>
      </w:pPr>
      <w:r>
        <w:rPr>
          <w:rFonts w:hint="eastAsia" w:ascii="仿宋" w:hAnsi="仿宋" w:eastAsia="仿宋" w:cs="仿宋"/>
          <w:sz w:val="24"/>
        </w:rPr>
        <w:t>12） 支持内置电子罗盘在监视画面上叠加样机镜头当前指向方位和角度  支持全景预览功能，即可执行预览操作生成全景预览图片，全景预览图片的角度可以设置，最大可设置360°（生成2个180°的拼接图片），</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13）支持全景预览图片缩放、拖动、下载操作  支持设置全景预览图图片的分辨率为1440x120,2160x180，2880x240,4320x360，5760x480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14）支持全景定位功能，支持全景预置位浏览功能，支持全景可视巡航功能  支持网络接口为10M/100M/1000M自适应接口  网络传输能力满足设备与客户端之间用400m五类非屏蔽网线直接连接，发送5000个数据包，重复测试3次，每次丢包数≤1个  车牌颜色识别功能可识别5种车牌颜色，包括：黄、蓝、白、黑、新能源车牌颜色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15）支持对检测区域内行驶的机动车抓拍一张全景图像白天和晚上捕获率不小于99%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16）▲支持车结构化数据识别功能，能同时支持以下车辆特征自动识别；车脾、车牌颜色、车身颜色、车型、车标、车系、车速、主驾驶安全带状态、副驾驶安全带状态、驾驶人抽烟状态、驾驶人打电话状态、主驾驶遮阳板状态、副驾驶遮阳板状态、主驾驶人脸抠图、副驾驶人脸抠图、年检标志、纸巾盒、香水盒、挂件，共19项特征提取。（公安部型式检验报告证明）车牌识别率白天和晚上正确率不小于99%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17）云台定位准确度≤0.01°  水平手控最小速度≥0.01°/s  分辨率设置为1920×1200，帧率设置为25帧、码率设置为4Mbps、RJ45输出，分辨力不小于1200TVL  照度适应范围不小于145dB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18） 支持在视频图像上叠加通道名称、时间、预置点信息、坐标信息、倍数显示、人数进入和离开统计、温度显示等信息，具有45行字符显示，字体可设置为最大、大、中、小，字体颜色可设置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19） 支持样机将所有供电方式断开后，15s内重新上电，能重新连接，期间设备不重启且监控画面连续无中断  支持区域裁剪，可在视频图像上剪裁出指定大小的区域，并在三码流上预览，剪裁后的预览视频图像分辨率可设置为：1920*1200、1920*1080、1280*960、1280*720、704*576、704*480、640*480、352*240、320*240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20）球机在黑、白名单中添加IP地址的数量不小于1025个 在丢包率设置为35%的网络环境下，可显示监视画面不卡顿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21）▲红外开启可以识别1200m处的人体轮廓， 支持工作状态，空气放电20KV，接触放电10KV。  电源具备较好的环境适应性，电源电压在AC24V±60%范围内变化时，设备应能正常工作  内置镜头支持32.1倍光学变倍，镜头最大焦距不小于205.3mm(DH-OPT-128SD-30)  内置镜头支持40倍光学变倍(DH-OPT-128SD-30)  镜头最大焦距不小于230.3mm(DH-OPT-128SD-30)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22）镜头采用F0.9大光圈， 支持IP67，TVS 15KV防雷、防浪涌  支持车位管理功能，球机可对在停车位内的驶入车辆进行抓拍并生成1张图片和文本信息；当车辆驶离出停车位时，可对空停车位进行抓拍并生成1张图片和文本信息。文本信息包括车位号、进/出、车牌号及时间  支持不按导向行驶抓拍功能，即开启不按导向行驶违法规则时，能够对不按导向行驶的行为进行抓拍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23）支持图形化显示功能，即支持样机在实时码流上图形化显示当前设备所在位置的可视角度和距离。  </w:t>
      </w:r>
    </w:p>
    <w:p>
      <w:pPr>
        <w:spacing w:line="288" w:lineRule="auto"/>
        <w:ind w:firstLine="480" w:firstLineChars="200"/>
        <w:rPr>
          <w:rFonts w:ascii="仿宋" w:hAnsi="仿宋" w:eastAsia="仿宋" w:cs="仿宋"/>
          <w:sz w:val="24"/>
        </w:rPr>
      </w:pPr>
      <w:r>
        <w:rPr>
          <w:rFonts w:hint="eastAsia" w:ascii="仿宋" w:hAnsi="仿宋" w:eastAsia="仿宋" w:cs="仿宋"/>
          <w:sz w:val="24"/>
        </w:rPr>
        <w:t>24）▲支持智能分析行为如区域入侵、停车、越界入侵、人员聚集、进入区域、离开区域、快速移动、物品移除、物品遗留、徘徊、监控区域内出现人脸、攀高、平躺起身、离岗达到设定的阈值时，可通过客户端软件或IE浏览器给出报警提示</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25）支持监视画面中最多检测出的机动车辆为50辆  可在抓拍图片上叠加字符，字符可选择项包括监测点编号、监测点信息、摄像机编号、抓拍时间、车牌号码、车身颜色、违法代码、违法行为、防伪码、抓拍编号、车标名称、场景编号、场景名称、场景方向编号、场景方向描述、交通事件类型、车辆颜色、车辆类型、违法类型的名称及对应编号，可将字符叠加在单张图片的上方或下方，可设置字符大小为32×32像素、48×48像素，且字体颜色、背景颜色、违法类型的名称及对应编码可设置 支持违停车辆侦测范围检验功能，即车辆距样机30m，并保持在同一水平面上，车辆朝向与样机镜头朝向相反，应能检测到车辆朝向与车辆到镜头连线的水平夹角在±50°范围内的机动车辆。  </w:t>
      </w:r>
    </w:p>
    <w:p>
      <w:pPr>
        <w:spacing w:line="288" w:lineRule="auto"/>
        <w:ind w:firstLine="480" w:firstLineChars="200"/>
        <w:rPr>
          <w:rFonts w:ascii="仿宋" w:hAnsi="仿宋" w:eastAsia="仿宋" w:cs="仿宋"/>
          <w:sz w:val="24"/>
        </w:rPr>
      </w:pPr>
      <w:r>
        <w:rPr>
          <w:rFonts w:hint="eastAsia" w:ascii="仿宋" w:hAnsi="仿宋" w:eastAsia="仿宋" w:cs="仿宋"/>
          <w:sz w:val="24"/>
        </w:rPr>
        <w:t>26）支持车牌识别范围检验功能，即车辆距样机30m，并保持在同一水平面上，车辆朝向与样机镜头朝向相反，应能检测到车辆朝向与车辆到镜头连线的水平夹角在±50°范围内机动车辆的车牌信息。</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1.11高清全景摄像机</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1）采用200W像素 CMOS传感器；</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2）最大分辨率1920x1080；</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3）最低照度彩色：0.0004 lx，黑白：0.0001 lx；</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4）支持H.265、H.264、MJPEG视频编码格式，其中H.265和H.264都支持Baseline/Main/High Profile；</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5）支持五码流技术，五码流可同时输出，主码流最大1920x1080@60fps，第二码流最大704x480@30fps，第三码流最大1920x1080 @30fps，第四码流最大704x480@30fps，第五码流最大1920x1080 @30fps；</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6）支持电源输出功能，摄像机可提供DC12V供电输出。；</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7）支持智能编码功能，摄像机开启智能编码功能后，码流节约1/2；</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8）支持AC24V/DC12V供电，可支持外接直流电源和PoE电源互为备份电源供电。</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9）支持网关绑定功能，可实现网关IP地址与样机MAC地址绑定。10）设备与客户端之间用150米网线进行传输，数据包丢包率不大于0.1%；</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11）支持防雨水附着功能。</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12）具有3路报警输入接口、2路报警输出接口、2路音频输入接口、1路音频输出接口。；</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13）支持IP67、IK10防护等级。</w:t>
      </w:r>
    </w:p>
    <w:p>
      <w:pPr>
        <w:spacing w:line="288" w:lineRule="auto"/>
        <w:ind w:firstLine="480" w:firstLineChars="200"/>
        <w:rPr>
          <w:rFonts w:ascii="仿宋" w:hAnsi="仿宋" w:eastAsia="仿宋" w:cs="仿宋"/>
          <w:sz w:val="24"/>
        </w:rPr>
      </w:pPr>
      <w:r>
        <w:rPr>
          <w:rFonts w:hint="eastAsia" w:ascii="仿宋" w:hAnsi="仿宋" w:eastAsia="仿宋" w:cs="仿宋"/>
          <w:sz w:val="24"/>
        </w:rPr>
        <w:t>1.12爆闪灯</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1）光源采用氙气灯；</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2）回电时间≤50ms，保证连续抓拍的补光效果；</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3）色温：5500K~6500K；</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4）曝光指数64GN；</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5）闪光持续时间≤1/3000s；</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6）闪光次数≥300万次；</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7）当外界存在持续性干扰性信号导致闪光灯高频爆闪时，闪光灯持续10s不闪光，待下一次信号恢复正常后开始正常闪光8）光斑可覆盖1~3条标准车道；</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9）RS485对程序进行升级；</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10）支持爆闪计数查询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11）支持触发计数查询。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12）防护等级IP66。</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1.13车辆检测器</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1）捕获率≥99.9%；</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2）支持接入6路线圈并同时检测，具备对应指示灯及故障灯显示；</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3）可通过拨码，对存在时间进行设置；可调整检测灵敏度，支持8个级别；</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4）响应时间≤20ms；</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5）功耗&lt;2W；</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6）工作温度-40℃~+80℃。</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1.14高清智能球机</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1）分辨率：1920×1080；</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2）40倍光学变倍，16倍数字变倍；</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3）镜头采用F0.9大光圈；</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4）支持最低照度可达彩色0.0002Lux，黑白0.0001Lux；</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5）支持H.265编码，实现超低码流传输；</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6）支持图形化显示功能，即支持样机在实时码流上图形化显示当前设备所在位置的可视角度和距离；</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7）支持智能分析行为如区域入侵、停车、越界入侵、人员聚集、进入区域、离开区域、快速移动、物品移除、物品遗留、徘徊、监控区域内出现人脸、攀高、平躺起身、离岗达到设定的阈值时，可通过客户端软件或IE浏览器给出报警提示；</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8）支持水平手控最大速度不小于1000°/S，最小速度不大于0.1°/S，云台定位精度为±0.1°；</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9）信噪比支持不小于63dB；</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10）支持在监视画面实时显示供电电压值，相对误差＜5%；当电源电压发生过压或欠压且超过阈值时可在监视画面显示过压/欠压提示；</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11）支持区域屏蔽功能，最多可设置10个区域，该区域屏蔽对所有智能行为和违法行为的分析；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12）室外球达到IP67防护等级，8000V防雷、防浪涌和防突波保护。</w:t>
      </w:r>
    </w:p>
    <w:p>
      <w:pPr>
        <w:spacing w:line="288" w:lineRule="auto"/>
        <w:ind w:firstLine="482" w:firstLineChars="200"/>
        <w:rPr>
          <w:rFonts w:ascii="仿宋" w:hAnsi="仿宋" w:eastAsia="仿宋" w:cs="仿宋"/>
          <w:b/>
          <w:sz w:val="24"/>
        </w:rPr>
      </w:pPr>
      <w:r>
        <w:rPr>
          <w:rFonts w:hint="eastAsia" w:ascii="仿宋" w:hAnsi="仿宋" w:eastAsia="仿宋" w:cs="仿宋"/>
          <w:b/>
          <w:sz w:val="24"/>
        </w:rPr>
        <w:t>1.15高清激光云台摄像机</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1）40光学变倍，16倍数字变倍；</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2）支持超低照度，最低照度彩色：0.0002Lux，黑白0.0001Lux；</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3）信噪比支持不小于68dB</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4）视频输出支持1920×1080@25fps，分辨力不小于1100TVL；</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5）垂直旋转范围支持-50°~90°；</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6）设备最大功耗≤90W（AC24V供电，激光开启，雨刷开启，实测33.6W）；开启自锁功能后功耗≤10W（AC24V供电，激光光源关闭，雨刷关闭，云台静止）；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7）设备变倍时可提前调整焦距范围，保证样机在变倍过程中均能快速聚焦清楚，聚焦时间小于1s（；</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8）在IE浏览器下，具有透雾设置选项，透雾等级0~100可调；</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9）内置激光补光，补光距离可达800米；</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10）具有C.711a/C.711Mu./G.726/AAC/MP2L2/C.729/C.722.1/PCM音频编码格式；</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11）可通过内置电子罗盘在监视画面上叠加设备镜头当前指方位和角度；</w:t>
      </w:r>
    </w:p>
    <w:p>
      <w:pPr>
        <w:spacing w:line="288" w:lineRule="auto"/>
        <w:ind w:firstLine="480" w:firstLineChars="200"/>
        <w:rPr>
          <w:rFonts w:ascii="仿宋" w:hAnsi="仿宋" w:eastAsia="仿宋" w:cs="仿宋"/>
          <w:sz w:val="24"/>
        </w:rPr>
      </w:pPr>
      <w:r>
        <w:rPr>
          <w:rFonts w:hint="eastAsia" w:ascii="仿宋" w:hAnsi="仿宋" w:eastAsia="仿宋" w:cs="仿宋"/>
          <w:sz w:val="24"/>
        </w:rPr>
        <w:t>12）在丢包率设置为30%的网络环境下，可正常显示画面；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13）支持隐私遮挡，最多24块区域,同时最多有8块区域在同一个画面；</w:t>
      </w:r>
    </w:p>
    <w:p>
      <w:pPr>
        <w:spacing w:line="288" w:lineRule="auto"/>
        <w:ind w:firstLine="480" w:firstLineChars="200"/>
        <w:rPr>
          <w:rFonts w:ascii="仿宋" w:hAnsi="仿宋" w:eastAsia="仿宋" w:cs="仿宋"/>
          <w:sz w:val="24"/>
        </w:rPr>
      </w:pPr>
      <w:r>
        <w:rPr>
          <w:rFonts w:hint="eastAsia" w:ascii="仿宋" w:hAnsi="仿宋" w:eastAsia="仿宋" w:cs="仿宋"/>
          <w:sz w:val="24"/>
        </w:rPr>
        <w:t>14）电源电压在AC24V±50%或DC36V±50%范围内变化时，样机能正常工作；</w:t>
      </w:r>
    </w:p>
    <w:p>
      <w:pPr>
        <w:spacing w:line="288" w:lineRule="auto"/>
        <w:ind w:firstLine="480" w:firstLineChars="200"/>
        <w:rPr>
          <w:rFonts w:ascii="仿宋" w:hAnsi="仿宋" w:eastAsia="仿宋" w:cs="仿宋"/>
          <w:sz w:val="24"/>
        </w:rPr>
      </w:pPr>
      <w:r>
        <w:rPr>
          <w:rFonts w:hint="eastAsia" w:ascii="仿宋" w:hAnsi="仿宋" w:eastAsia="仿宋" w:cs="仿宋"/>
          <w:sz w:val="24"/>
        </w:rPr>
        <w:t>15）设备电压过压或欠压时，可在IE浏览器上给出信息提示；</w:t>
      </w:r>
    </w:p>
    <w:p>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16）IP67防护等级，6000V防雷、防浪涌和防突波保护。</w:t>
      </w:r>
    </w:p>
    <w:p>
      <w:pPr>
        <w:pStyle w:val="2"/>
        <w:numPr>
          <w:ilvl w:val="0"/>
          <w:numId w:val="0"/>
        </w:numPr>
        <w:ind w:leftChars="0"/>
        <w:rPr>
          <w:rFonts w:hint="default" w:eastAsia="仿宋"/>
          <w:lang w:val="en-US" w:eastAsia="zh-CN"/>
        </w:rPr>
      </w:pPr>
      <w:r>
        <w:rPr>
          <w:rFonts w:hint="eastAsia" w:ascii="仿宋" w:hAnsi="仿宋" w:eastAsia="仿宋" w:cs="仿宋"/>
          <w:sz w:val="24"/>
          <w:lang w:val="en-US" w:eastAsia="zh-CN"/>
        </w:rPr>
        <w:t>1.16 服务器更新</w:t>
      </w:r>
    </w:p>
    <w:tbl>
      <w:tblPr>
        <w:tblStyle w:val="26"/>
        <w:tblW w:w="875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17"/>
        <w:gridCol w:w="5953"/>
        <w:gridCol w:w="825"/>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4" w:hRule="atLeast"/>
        </w:trPr>
        <w:tc>
          <w:tcPr>
            <w:tcW w:w="13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高性能刀片服务器</w:t>
            </w:r>
          </w:p>
        </w:tc>
        <w:tc>
          <w:tcPr>
            <w:tcW w:w="5953" w:type="dxa"/>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bottom"/>
              <w:rPr>
                <w:rFonts w:hint="eastAsia" w:ascii="仿宋" w:hAnsi="仿宋" w:eastAsia="仿宋" w:cs="仿宋"/>
                <w:i w:val="0"/>
                <w:iCs w:val="0"/>
                <w:color w:val="000000"/>
                <w:sz w:val="24"/>
                <w:szCs w:val="24"/>
                <w:u w:val="none"/>
              </w:rPr>
            </w:pPr>
            <w:r>
              <w:rPr>
                <w:rStyle w:val="104"/>
                <w:rFonts w:hint="eastAsia" w:ascii="仿宋" w:hAnsi="仿宋" w:eastAsia="仿宋" w:cs="仿宋"/>
                <w:sz w:val="24"/>
                <w:szCs w:val="24"/>
                <w:lang w:val="en-US" w:eastAsia="zh-CN" w:bidi="ar"/>
              </w:rPr>
              <w:t>支持全系列</w:t>
            </w:r>
            <w:r>
              <w:rPr>
                <w:rStyle w:val="105"/>
                <w:rFonts w:hint="eastAsia" w:ascii="仿宋" w:hAnsi="仿宋" w:eastAsia="仿宋" w:cs="仿宋"/>
                <w:sz w:val="24"/>
                <w:szCs w:val="24"/>
                <w:lang w:val="en-US" w:eastAsia="zh-CN" w:bidi="ar"/>
              </w:rPr>
              <w:t>Intel skylake/caselake</w:t>
            </w:r>
            <w:r>
              <w:rPr>
                <w:rStyle w:val="104"/>
                <w:rFonts w:hint="eastAsia" w:ascii="仿宋" w:hAnsi="仿宋" w:eastAsia="仿宋" w:cs="仿宋"/>
                <w:sz w:val="24"/>
                <w:szCs w:val="24"/>
                <w:lang w:val="en-US" w:eastAsia="zh-CN" w:bidi="ar"/>
              </w:rPr>
              <w:t>至强系列处理器，</w:t>
            </w:r>
            <w:r>
              <w:rPr>
                <w:rStyle w:val="105"/>
                <w:rFonts w:hint="eastAsia" w:ascii="仿宋" w:hAnsi="仿宋" w:eastAsia="仿宋" w:cs="仿宋"/>
                <w:sz w:val="24"/>
                <w:szCs w:val="24"/>
                <w:lang w:val="en-US" w:eastAsia="zh-CN" w:bidi="ar"/>
              </w:rPr>
              <w:t>5</w:t>
            </w:r>
            <w:r>
              <w:rPr>
                <w:rStyle w:val="104"/>
                <w:rFonts w:hint="eastAsia" w:ascii="仿宋" w:hAnsi="仿宋" w:eastAsia="仿宋" w:cs="仿宋"/>
                <w:sz w:val="24"/>
                <w:szCs w:val="24"/>
                <w:lang w:val="en-US" w:eastAsia="zh-CN" w:bidi="ar"/>
              </w:rPr>
              <w:t>把</w:t>
            </w:r>
            <w:r>
              <w:rPr>
                <w:rStyle w:val="105"/>
                <w:rFonts w:hint="eastAsia" w:ascii="仿宋" w:hAnsi="仿宋" w:eastAsia="仿宋" w:cs="仿宋"/>
                <w:sz w:val="24"/>
                <w:szCs w:val="24"/>
                <w:lang w:val="en-US" w:eastAsia="zh-CN" w:bidi="ar"/>
              </w:rPr>
              <w:t>2</w:t>
            </w:r>
            <w:r>
              <w:rPr>
                <w:rStyle w:val="104"/>
                <w:rFonts w:hint="eastAsia" w:ascii="仿宋" w:hAnsi="仿宋" w:eastAsia="仿宋" w:cs="仿宋"/>
                <w:sz w:val="24"/>
                <w:szCs w:val="24"/>
                <w:lang w:val="en-US" w:eastAsia="zh-CN" w:bidi="ar"/>
              </w:rPr>
              <w:t>路刀片服务器每台配置：</w:t>
            </w:r>
            <w:r>
              <w:rPr>
                <w:rStyle w:val="105"/>
                <w:rFonts w:hint="eastAsia" w:ascii="仿宋" w:hAnsi="仿宋" w:eastAsia="仿宋" w:cs="仿宋"/>
                <w:sz w:val="24"/>
                <w:szCs w:val="24"/>
                <w:lang w:val="en-US" w:eastAsia="zh-CN" w:bidi="ar"/>
              </w:rPr>
              <w:t>CPU</w:t>
            </w:r>
            <w:r>
              <w:rPr>
                <w:rStyle w:val="104"/>
                <w:rFonts w:hint="eastAsia" w:ascii="仿宋" w:hAnsi="仿宋" w:eastAsia="仿宋" w:cs="仿宋"/>
                <w:sz w:val="24"/>
                <w:szCs w:val="24"/>
                <w:lang w:val="en-US" w:eastAsia="zh-CN" w:bidi="ar"/>
              </w:rPr>
              <w:t>≥</w:t>
            </w:r>
            <w:r>
              <w:rPr>
                <w:rStyle w:val="105"/>
                <w:rFonts w:hint="eastAsia" w:ascii="仿宋" w:hAnsi="仿宋" w:eastAsia="仿宋" w:cs="仿宋"/>
                <w:sz w:val="24"/>
                <w:szCs w:val="24"/>
                <w:lang w:val="en-US" w:eastAsia="zh-CN" w:bidi="ar"/>
              </w:rPr>
              <w:t>5218(2.3GHz/16</w:t>
            </w:r>
            <w:r>
              <w:rPr>
                <w:rStyle w:val="104"/>
                <w:rFonts w:hint="eastAsia" w:ascii="仿宋" w:hAnsi="仿宋" w:eastAsia="仿宋" w:cs="仿宋"/>
                <w:sz w:val="24"/>
                <w:szCs w:val="24"/>
                <w:lang w:val="en-US" w:eastAsia="zh-CN" w:bidi="ar"/>
              </w:rPr>
              <w:t>核</w:t>
            </w:r>
            <w:r>
              <w:rPr>
                <w:rStyle w:val="105"/>
                <w:rFonts w:hint="eastAsia" w:ascii="仿宋" w:hAnsi="仿宋" w:eastAsia="仿宋" w:cs="仿宋"/>
                <w:sz w:val="24"/>
                <w:szCs w:val="24"/>
                <w:lang w:val="en-US" w:eastAsia="zh-CN" w:bidi="ar"/>
              </w:rPr>
              <w:t>/)*2</w:t>
            </w:r>
            <w:r>
              <w:rPr>
                <w:rStyle w:val="104"/>
                <w:rFonts w:hint="eastAsia" w:ascii="仿宋" w:hAnsi="仿宋" w:eastAsia="仿宋" w:cs="仿宋"/>
                <w:sz w:val="24"/>
                <w:szCs w:val="24"/>
                <w:lang w:val="en-US" w:eastAsia="zh-CN" w:bidi="ar"/>
              </w:rPr>
              <w:t>；内存≥</w:t>
            </w:r>
            <w:r>
              <w:rPr>
                <w:rStyle w:val="105"/>
                <w:rFonts w:hint="eastAsia" w:ascii="仿宋" w:hAnsi="仿宋" w:eastAsia="仿宋" w:cs="仿宋"/>
                <w:sz w:val="24"/>
                <w:szCs w:val="24"/>
                <w:lang w:val="en-US" w:eastAsia="zh-CN" w:bidi="ar"/>
              </w:rPr>
              <w:t>256G DDR4-2933</w:t>
            </w:r>
            <w:r>
              <w:rPr>
                <w:rStyle w:val="104"/>
                <w:rFonts w:hint="eastAsia" w:ascii="仿宋" w:hAnsi="仿宋" w:eastAsia="仿宋" w:cs="仿宋"/>
                <w:sz w:val="24"/>
                <w:szCs w:val="24"/>
                <w:lang w:val="en-US" w:eastAsia="zh-CN" w:bidi="ar"/>
              </w:rPr>
              <w:t>，内存最高≥</w:t>
            </w:r>
            <w:r>
              <w:rPr>
                <w:rStyle w:val="105"/>
                <w:rFonts w:hint="eastAsia" w:ascii="仿宋" w:hAnsi="仿宋" w:eastAsia="仿宋" w:cs="仿宋"/>
                <w:sz w:val="24"/>
                <w:szCs w:val="24"/>
                <w:lang w:val="en-US" w:eastAsia="zh-CN" w:bidi="ar"/>
              </w:rPr>
              <w:t>3TB</w:t>
            </w:r>
            <w:r>
              <w:rPr>
                <w:rStyle w:val="104"/>
                <w:rFonts w:hint="eastAsia" w:ascii="仿宋" w:hAnsi="仿宋" w:eastAsia="仿宋" w:cs="仿宋"/>
                <w:sz w:val="24"/>
                <w:szCs w:val="24"/>
                <w:lang w:val="en-US" w:eastAsia="zh-CN" w:bidi="ar"/>
              </w:rPr>
              <w:t>，内存插槽最大插槽数≥</w:t>
            </w:r>
            <w:r>
              <w:rPr>
                <w:rStyle w:val="105"/>
                <w:rFonts w:hint="eastAsia" w:ascii="仿宋" w:hAnsi="仿宋" w:eastAsia="仿宋" w:cs="仿宋"/>
                <w:sz w:val="24"/>
                <w:szCs w:val="24"/>
                <w:lang w:val="en-US" w:eastAsia="zh-CN" w:bidi="ar"/>
              </w:rPr>
              <w:t>24</w:t>
            </w:r>
            <w:r>
              <w:rPr>
                <w:rStyle w:val="104"/>
                <w:rFonts w:hint="eastAsia" w:ascii="仿宋" w:hAnsi="仿宋" w:eastAsia="仿宋" w:cs="仿宋"/>
                <w:sz w:val="24"/>
                <w:szCs w:val="24"/>
                <w:lang w:val="en-US" w:eastAsia="zh-CN" w:bidi="ar"/>
              </w:rPr>
              <w:t>，支持内存智能巡检；支持</w:t>
            </w:r>
            <w:r>
              <w:rPr>
                <w:rStyle w:val="105"/>
                <w:rFonts w:hint="eastAsia" w:ascii="仿宋" w:hAnsi="仿宋" w:eastAsia="仿宋" w:cs="仿宋"/>
                <w:sz w:val="24"/>
                <w:szCs w:val="24"/>
                <w:lang w:val="en-US" w:eastAsia="zh-CN" w:bidi="ar"/>
              </w:rPr>
              <w:t>2.5" SAS/SATA/SSD</w:t>
            </w:r>
            <w:r>
              <w:rPr>
                <w:rStyle w:val="104"/>
                <w:rFonts w:hint="eastAsia" w:ascii="仿宋" w:hAnsi="仿宋" w:eastAsia="仿宋" w:cs="仿宋"/>
                <w:sz w:val="24"/>
                <w:szCs w:val="24"/>
                <w:lang w:val="en-US" w:eastAsia="zh-CN" w:bidi="ar"/>
              </w:rPr>
              <w:t>热插拔硬盘</w:t>
            </w:r>
            <w:r>
              <w:rPr>
                <w:rStyle w:val="105"/>
                <w:rFonts w:hint="eastAsia" w:ascii="仿宋" w:hAnsi="仿宋" w:eastAsia="仿宋" w:cs="仿宋"/>
                <w:sz w:val="24"/>
                <w:szCs w:val="24"/>
                <w:lang w:val="en-US" w:eastAsia="zh-CN" w:bidi="ar"/>
              </w:rPr>
              <w:t>;M.2</w:t>
            </w:r>
            <w:r>
              <w:rPr>
                <w:rStyle w:val="104"/>
                <w:rFonts w:hint="eastAsia" w:ascii="仿宋" w:hAnsi="仿宋" w:eastAsia="仿宋" w:cs="仿宋"/>
                <w:sz w:val="24"/>
                <w:szCs w:val="24"/>
                <w:lang w:val="en-US" w:eastAsia="zh-CN" w:bidi="ar"/>
              </w:rPr>
              <w:t>热插拔硬盘，此次硬盘配置≥</w:t>
            </w:r>
            <w:r>
              <w:rPr>
                <w:rStyle w:val="105"/>
                <w:rFonts w:hint="eastAsia" w:ascii="仿宋" w:hAnsi="仿宋" w:eastAsia="仿宋" w:cs="仿宋"/>
                <w:sz w:val="24"/>
                <w:szCs w:val="24"/>
                <w:lang w:val="en-US" w:eastAsia="zh-CN" w:bidi="ar"/>
              </w:rPr>
              <w:t>2.5"480G SSD*2</w:t>
            </w:r>
            <w:r>
              <w:rPr>
                <w:rStyle w:val="104"/>
                <w:rFonts w:hint="eastAsia" w:ascii="仿宋" w:hAnsi="仿宋" w:eastAsia="仿宋" w:cs="仿宋"/>
                <w:sz w:val="24"/>
                <w:szCs w:val="24"/>
                <w:lang w:val="en-US" w:eastAsia="zh-CN" w:bidi="ar"/>
              </w:rPr>
              <w:t>，</w:t>
            </w:r>
            <w:r>
              <w:rPr>
                <w:rStyle w:val="105"/>
                <w:rFonts w:hint="eastAsia" w:ascii="仿宋" w:hAnsi="仿宋" w:eastAsia="仿宋" w:cs="仿宋"/>
                <w:sz w:val="24"/>
                <w:szCs w:val="24"/>
                <w:lang w:val="en-US" w:eastAsia="zh-CN" w:bidi="ar"/>
              </w:rPr>
              <w:t>3.84T SSD*1,</w:t>
            </w:r>
            <w:r>
              <w:rPr>
                <w:rStyle w:val="104"/>
                <w:rFonts w:hint="eastAsia" w:ascii="仿宋" w:hAnsi="仿宋" w:eastAsia="仿宋" w:cs="仿宋"/>
                <w:sz w:val="24"/>
                <w:szCs w:val="24"/>
                <w:lang w:val="en-US" w:eastAsia="zh-CN" w:bidi="ar"/>
              </w:rPr>
              <w:t>硬盘高安全保障支持配置</w:t>
            </w:r>
            <w:r>
              <w:rPr>
                <w:rStyle w:val="105"/>
                <w:rFonts w:hint="eastAsia" w:ascii="仿宋" w:hAnsi="仿宋" w:eastAsia="仿宋" w:cs="仿宋"/>
                <w:sz w:val="24"/>
                <w:szCs w:val="24"/>
                <w:lang w:val="en-US" w:eastAsia="zh-CN" w:bidi="ar"/>
              </w:rPr>
              <w:t>raid5</w:t>
            </w:r>
            <w:r>
              <w:rPr>
                <w:rStyle w:val="104"/>
                <w:rFonts w:hint="eastAsia" w:ascii="仿宋" w:hAnsi="仿宋" w:eastAsia="仿宋" w:cs="仿宋"/>
                <w:sz w:val="24"/>
                <w:szCs w:val="24"/>
                <w:lang w:val="en-US" w:eastAsia="zh-CN" w:bidi="ar"/>
              </w:rPr>
              <w:t>；配置</w:t>
            </w:r>
            <w:r>
              <w:rPr>
                <w:rStyle w:val="105"/>
                <w:rFonts w:hint="eastAsia" w:ascii="仿宋" w:hAnsi="仿宋" w:eastAsia="仿宋" w:cs="仿宋"/>
                <w:sz w:val="24"/>
                <w:szCs w:val="24"/>
                <w:lang w:val="en-US" w:eastAsia="zh-CN" w:bidi="ar"/>
              </w:rPr>
              <w:t>12Gb SAS HBA</w:t>
            </w:r>
            <w:r>
              <w:rPr>
                <w:rStyle w:val="104"/>
                <w:rFonts w:hint="eastAsia" w:ascii="仿宋" w:hAnsi="仿宋" w:eastAsia="仿宋" w:cs="仿宋"/>
                <w:sz w:val="24"/>
                <w:szCs w:val="24"/>
                <w:lang w:val="en-US" w:eastAsia="zh-CN" w:bidi="ar"/>
              </w:rPr>
              <w:t>卡；配置万兆</w:t>
            </w:r>
            <w:r>
              <w:rPr>
                <w:rStyle w:val="105"/>
                <w:rFonts w:hint="eastAsia" w:ascii="仿宋" w:hAnsi="仿宋" w:eastAsia="仿宋" w:cs="仿宋"/>
                <w:sz w:val="24"/>
                <w:szCs w:val="24"/>
                <w:lang w:val="en-US" w:eastAsia="zh-CN" w:bidi="ar"/>
              </w:rPr>
              <w:t>Mezz</w:t>
            </w:r>
            <w:r>
              <w:rPr>
                <w:rStyle w:val="104"/>
                <w:rFonts w:hint="eastAsia" w:ascii="仿宋" w:hAnsi="仿宋" w:eastAsia="仿宋" w:cs="仿宋"/>
                <w:sz w:val="24"/>
                <w:szCs w:val="24"/>
                <w:lang w:val="en-US" w:eastAsia="zh-CN" w:bidi="ar"/>
              </w:rPr>
              <w:t>卡光口≥</w:t>
            </w:r>
            <w:r>
              <w:rPr>
                <w:rStyle w:val="105"/>
                <w:rFonts w:hint="eastAsia" w:ascii="仿宋" w:hAnsi="仿宋" w:eastAsia="仿宋" w:cs="仿宋"/>
                <w:sz w:val="24"/>
                <w:szCs w:val="24"/>
                <w:lang w:val="en-US" w:eastAsia="zh-CN" w:bidi="ar"/>
              </w:rPr>
              <w:t>4</w:t>
            </w:r>
            <w:r>
              <w:rPr>
                <w:rStyle w:val="104"/>
                <w:rFonts w:hint="eastAsia" w:ascii="仿宋" w:hAnsi="仿宋" w:eastAsia="仿宋" w:cs="仿宋"/>
                <w:sz w:val="24"/>
                <w:szCs w:val="24"/>
                <w:lang w:val="en-US" w:eastAsia="zh-CN" w:bidi="ar"/>
              </w:rPr>
              <w:t>；</w:t>
            </w:r>
            <w:r>
              <w:rPr>
                <w:rStyle w:val="105"/>
                <w:rFonts w:hint="eastAsia" w:ascii="仿宋" w:hAnsi="仿宋" w:eastAsia="仿宋" w:cs="仿宋"/>
                <w:sz w:val="24"/>
                <w:szCs w:val="24"/>
                <w:lang w:val="en-US" w:eastAsia="zh-CN" w:bidi="ar"/>
              </w:rPr>
              <w:t>2把4</w:t>
            </w:r>
            <w:r>
              <w:rPr>
                <w:rStyle w:val="104"/>
                <w:rFonts w:hint="eastAsia" w:ascii="仿宋" w:hAnsi="仿宋" w:eastAsia="仿宋" w:cs="仿宋"/>
                <w:sz w:val="24"/>
                <w:szCs w:val="24"/>
                <w:lang w:val="en-US" w:eastAsia="zh-CN" w:bidi="ar"/>
              </w:rPr>
              <w:t>路刀片服务器配置：</w:t>
            </w:r>
            <w:r>
              <w:rPr>
                <w:rStyle w:val="105"/>
                <w:rFonts w:hint="eastAsia" w:ascii="仿宋" w:hAnsi="仿宋" w:eastAsia="仿宋" w:cs="仿宋"/>
                <w:sz w:val="24"/>
                <w:szCs w:val="24"/>
                <w:lang w:val="en-US" w:eastAsia="zh-CN" w:bidi="ar"/>
              </w:rPr>
              <w:t>CPU</w:t>
            </w:r>
            <w:r>
              <w:rPr>
                <w:rStyle w:val="104"/>
                <w:rFonts w:hint="eastAsia" w:ascii="仿宋" w:hAnsi="仿宋" w:eastAsia="仿宋" w:cs="仿宋"/>
                <w:sz w:val="24"/>
                <w:szCs w:val="24"/>
                <w:lang w:val="en-US" w:eastAsia="zh-CN" w:bidi="ar"/>
              </w:rPr>
              <w:t>≥</w:t>
            </w:r>
            <w:r>
              <w:rPr>
                <w:rStyle w:val="105"/>
                <w:rFonts w:hint="eastAsia" w:ascii="仿宋" w:hAnsi="仿宋" w:eastAsia="仿宋" w:cs="仿宋"/>
                <w:sz w:val="24"/>
                <w:szCs w:val="24"/>
                <w:lang w:val="en-US" w:eastAsia="zh-CN" w:bidi="ar"/>
              </w:rPr>
              <w:t>6230(2.1GHz/20</w:t>
            </w:r>
            <w:r>
              <w:rPr>
                <w:rStyle w:val="104"/>
                <w:rFonts w:hint="eastAsia" w:ascii="仿宋" w:hAnsi="仿宋" w:eastAsia="仿宋" w:cs="仿宋"/>
                <w:sz w:val="24"/>
                <w:szCs w:val="24"/>
                <w:lang w:val="en-US" w:eastAsia="zh-CN" w:bidi="ar"/>
              </w:rPr>
              <w:t>核</w:t>
            </w:r>
            <w:r>
              <w:rPr>
                <w:rStyle w:val="105"/>
                <w:rFonts w:hint="eastAsia" w:ascii="仿宋" w:hAnsi="仿宋" w:eastAsia="仿宋" w:cs="仿宋"/>
                <w:sz w:val="24"/>
                <w:szCs w:val="24"/>
                <w:lang w:val="en-US" w:eastAsia="zh-CN" w:bidi="ar"/>
              </w:rPr>
              <w:t>/)*4</w:t>
            </w:r>
            <w:r>
              <w:rPr>
                <w:rStyle w:val="104"/>
                <w:rFonts w:hint="eastAsia" w:ascii="仿宋" w:hAnsi="仿宋" w:eastAsia="仿宋" w:cs="仿宋"/>
                <w:sz w:val="24"/>
                <w:szCs w:val="24"/>
                <w:lang w:val="en-US" w:eastAsia="zh-CN" w:bidi="ar"/>
              </w:rPr>
              <w:t>；内存≥</w:t>
            </w:r>
            <w:r>
              <w:rPr>
                <w:rStyle w:val="105"/>
                <w:rFonts w:hint="eastAsia" w:ascii="仿宋" w:hAnsi="仿宋" w:eastAsia="仿宋" w:cs="仿宋"/>
                <w:sz w:val="24"/>
                <w:szCs w:val="24"/>
                <w:lang w:val="en-US" w:eastAsia="zh-CN" w:bidi="ar"/>
              </w:rPr>
              <w:t>256G DDR4-2933</w:t>
            </w:r>
            <w:r>
              <w:rPr>
                <w:rStyle w:val="104"/>
                <w:rFonts w:hint="eastAsia" w:ascii="仿宋" w:hAnsi="仿宋" w:eastAsia="仿宋" w:cs="仿宋"/>
                <w:sz w:val="24"/>
                <w:szCs w:val="24"/>
                <w:lang w:val="en-US" w:eastAsia="zh-CN" w:bidi="ar"/>
              </w:rPr>
              <w:t>，内存最高≥</w:t>
            </w:r>
            <w:r>
              <w:rPr>
                <w:rStyle w:val="105"/>
                <w:rFonts w:hint="eastAsia" w:ascii="仿宋" w:hAnsi="仿宋" w:eastAsia="仿宋" w:cs="仿宋"/>
                <w:sz w:val="24"/>
                <w:szCs w:val="24"/>
                <w:lang w:val="en-US" w:eastAsia="zh-CN" w:bidi="ar"/>
              </w:rPr>
              <w:t>3TB</w:t>
            </w:r>
            <w:r>
              <w:rPr>
                <w:rStyle w:val="104"/>
                <w:rFonts w:hint="eastAsia" w:ascii="仿宋" w:hAnsi="仿宋" w:eastAsia="仿宋" w:cs="仿宋"/>
                <w:sz w:val="24"/>
                <w:szCs w:val="24"/>
                <w:lang w:val="en-US" w:eastAsia="zh-CN" w:bidi="ar"/>
              </w:rPr>
              <w:t>，内存插槽最大插槽数≥</w:t>
            </w:r>
            <w:r>
              <w:rPr>
                <w:rStyle w:val="105"/>
                <w:rFonts w:hint="eastAsia" w:ascii="仿宋" w:hAnsi="仿宋" w:eastAsia="仿宋" w:cs="仿宋"/>
                <w:sz w:val="24"/>
                <w:szCs w:val="24"/>
                <w:lang w:val="en-US" w:eastAsia="zh-CN" w:bidi="ar"/>
              </w:rPr>
              <w:t>24</w:t>
            </w:r>
            <w:r>
              <w:rPr>
                <w:rStyle w:val="104"/>
                <w:rFonts w:hint="eastAsia" w:ascii="仿宋" w:hAnsi="仿宋" w:eastAsia="仿宋" w:cs="仿宋"/>
                <w:sz w:val="24"/>
                <w:szCs w:val="24"/>
                <w:lang w:val="en-US" w:eastAsia="zh-CN" w:bidi="ar"/>
              </w:rPr>
              <w:t>，支持内存智能巡检；支持</w:t>
            </w:r>
            <w:r>
              <w:rPr>
                <w:rStyle w:val="105"/>
                <w:rFonts w:hint="eastAsia" w:ascii="仿宋" w:hAnsi="仿宋" w:eastAsia="仿宋" w:cs="仿宋"/>
                <w:sz w:val="24"/>
                <w:szCs w:val="24"/>
                <w:lang w:val="en-US" w:eastAsia="zh-CN" w:bidi="ar"/>
              </w:rPr>
              <w:t>2.5" SAS/SATA/SSD</w:t>
            </w:r>
            <w:r>
              <w:rPr>
                <w:rStyle w:val="104"/>
                <w:rFonts w:hint="eastAsia" w:ascii="仿宋" w:hAnsi="仿宋" w:eastAsia="仿宋" w:cs="仿宋"/>
                <w:sz w:val="24"/>
                <w:szCs w:val="24"/>
                <w:lang w:val="en-US" w:eastAsia="zh-CN" w:bidi="ar"/>
              </w:rPr>
              <w:t>热插拔硬盘</w:t>
            </w:r>
            <w:r>
              <w:rPr>
                <w:rStyle w:val="105"/>
                <w:rFonts w:hint="eastAsia" w:ascii="仿宋" w:hAnsi="仿宋" w:eastAsia="仿宋" w:cs="仿宋"/>
                <w:sz w:val="24"/>
                <w:szCs w:val="24"/>
                <w:lang w:val="en-US" w:eastAsia="zh-CN" w:bidi="ar"/>
              </w:rPr>
              <w:t>;M.2</w:t>
            </w:r>
            <w:r>
              <w:rPr>
                <w:rStyle w:val="104"/>
                <w:rFonts w:hint="eastAsia" w:ascii="仿宋" w:hAnsi="仿宋" w:eastAsia="仿宋" w:cs="仿宋"/>
                <w:sz w:val="24"/>
                <w:szCs w:val="24"/>
                <w:lang w:val="en-US" w:eastAsia="zh-CN" w:bidi="ar"/>
              </w:rPr>
              <w:t>热插拔硬盘，此次硬盘配置≥</w:t>
            </w:r>
            <w:r>
              <w:rPr>
                <w:rStyle w:val="105"/>
                <w:rFonts w:hint="eastAsia" w:ascii="仿宋" w:hAnsi="仿宋" w:eastAsia="仿宋" w:cs="仿宋"/>
                <w:sz w:val="24"/>
                <w:szCs w:val="24"/>
                <w:lang w:val="en-US" w:eastAsia="zh-CN" w:bidi="ar"/>
              </w:rPr>
              <w:t>2.5"480G SSD*2</w:t>
            </w:r>
            <w:r>
              <w:rPr>
                <w:rStyle w:val="104"/>
                <w:rFonts w:hint="eastAsia" w:ascii="仿宋" w:hAnsi="仿宋" w:eastAsia="仿宋" w:cs="仿宋"/>
                <w:sz w:val="24"/>
                <w:szCs w:val="24"/>
                <w:lang w:val="en-US" w:eastAsia="zh-CN" w:bidi="ar"/>
              </w:rPr>
              <w:t>，</w:t>
            </w:r>
            <w:r>
              <w:rPr>
                <w:rStyle w:val="105"/>
                <w:rFonts w:hint="eastAsia" w:ascii="仿宋" w:hAnsi="仿宋" w:eastAsia="仿宋" w:cs="仿宋"/>
                <w:sz w:val="24"/>
                <w:szCs w:val="24"/>
                <w:lang w:val="en-US" w:eastAsia="zh-CN" w:bidi="ar"/>
              </w:rPr>
              <w:t>3.84T SSD*3,</w:t>
            </w:r>
            <w:r>
              <w:rPr>
                <w:rStyle w:val="104"/>
                <w:rFonts w:hint="eastAsia" w:ascii="仿宋" w:hAnsi="仿宋" w:eastAsia="仿宋" w:cs="仿宋"/>
                <w:sz w:val="24"/>
                <w:szCs w:val="24"/>
                <w:lang w:val="en-US" w:eastAsia="zh-CN" w:bidi="ar"/>
              </w:rPr>
              <w:t>硬盘高安全保障支持配置</w:t>
            </w:r>
            <w:r>
              <w:rPr>
                <w:rStyle w:val="105"/>
                <w:rFonts w:hint="eastAsia" w:ascii="仿宋" w:hAnsi="仿宋" w:eastAsia="仿宋" w:cs="仿宋"/>
                <w:sz w:val="24"/>
                <w:szCs w:val="24"/>
                <w:lang w:val="en-US" w:eastAsia="zh-CN" w:bidi="ar"/>
              </w:rPr>
              <w:t>raid5</w:t>
            </w:r>
            <w:r>
              <w:rPr>
                <w:rStyle w:val="104"/>
                <w:rFonts w:hint="eastAsia" w:ascii="仿宋" w:hAnsi="仿宋" w:eastAsia="仿宋" w:cs="仿宋"/>
                <w:sz w:val="24"/>
                <w:szCs w:val="24"/>
                <w:lang w:val="en-US" w:eastAsia="zh-CN" w:bidi="ar"/>
              </w:rPr>
              <w:t>，配置后冗余一个硬盘槽位；配置</w:t>
            </w:r>
            <w:r>
              <w:rPr>
                <w:rStyle w:val="105"/>
                <w:rFonts w:hint="eastAsia" w:ascii="仿宋" w:hAnsi="仿宋" w:eastAsia="仿宋" w:cs="仿宋"/>
                <w:sz w:val="24"/>
                <w:szCs w:val="24"/>
                <w:lang w:val="en-US" w:eastAsia="zh-CN" w:bidi="ar"/>
              </w:rPr>
              <w:t>12Gb SAS HBA</w:t>
            </w:r>
            <w:r>
              <w:rPr>
                <w:rStyle w:val="104"/>
                <w:rFonts w:hint="eastAsia" w:ascii="仿宋" w:hAnsi="仿宋" w:eastAsia="仿宋" w:cs="仿宋"/>
                <w:sz w:val="24"/>
                <w:szCs w:val="24"/>
                <w:lang w:val="en-US" w:eastAsia="zh-CN" w:bidi="ar"/>
              </w:rPr>
              <w:t>卡；配置万兆</w:t>
            </w:r>
            <w:r>
              <w:rPr>
                <w:rStyle w:val="105"/>
                <w:rFonts w:hint="eastAsia" w:ascii="仿宋" w:hAnsi="仿宋" w:eastAsia="仿宋" w:cs="仿宋"/>
                <w:sz w:val="24"/>
                <w:szCs w:val="24"/>
                <w:lang w:val="en-US" w:eastAsia="zh-CN" w:bidi="ar"/>
              </w:rPr>
              <w:t>Mezz</w:t>
            </w:r>
            <w:r>
              <w:rPr>
                <w:rStyle w:val="104"/>
                <w:rFonts w:hint="eastAsia" w:ascii="仿宋" w:hAnsi="仿宋" w:eastAsia="仿宋" w:cs="仿宋"/>
                <w:sz w:val="24"/>
                <w:szCs w:val="24"/>
                <w:lang w:val="en-US" w:eastAsia="zh-CN" w:bidi="ar"/>
              </w:rPr>
              <w:t>卡光口≥</w:t>
            </w:r>
            <w:r>
              <w:rPr>
                <w:rStyle w:val="105"/>
                <w:rFonts w:hint="eastAsia" w:ascii="仿宋" w:hAnsi="仿宋" w:eastAsia="仿宋" w:cs="仿宋"/>
                <w:sz w:val="24"/>
                <w:szCs w:val="24"/>
                <w:lang w:val="en-US" w:eastAsia="zh-CN" w:bidi="ar"/>
              </w:rPr>
              <w:t>4,</w:t>
            </w:r>
            <w:r>
              <w:rPr>
                <w:rStyle w:val="104"/>
                <w:rFonts w:hint="eastAsia" w:ascii="仿宋" w:hAnsi="仿宋" w:eastAsia="仿宋" w:cs="仿宋"/>
                <w:sz w:val="24"/>
                <w:szCs w:val="24"/>
                <w:lang w:val="en-US" w:eastAsia="zh-CN" w:bidi="ar"/>
              </w:rPr>
              <w:t>可无缝扩容≥</w:t>
            </w:r>
            <w:r>
              <w:rPr>
                <w:rStyle w:val="105"/>
                <w:rFonts w:hint="eastAsia" w:ascii="仿宋" w:hAnsi="仿宋" w:eastAsia="仿宋" w:cs="仿宋"/>
                <w:sz w:val="24"/>
                <w:szCs w:val="24"/>
                <w:lang w:val="en-US" w:eastAsia="zh-CN" w:bidi="ar"/>
              </w:rPr>
              <w:t>2</w:t>
            </w:r>
            <w:r>
              <w:rPr>
                <w:rStyle w:val="104"/>
                <w:rFonts w:hint="eastAsia" w:ascii="仿宋" w:hAnsi="仿宋" w:eastAsia="仿宋" w:cs="仿宋"/>
                <w:sz w:val="24"/>
                <w:szCs w:val="24"/>
                <w:lang w:val="en-US" w:eastAsia="zh-CN" w:bidi="ar"/>
              </w:rPr>
              <w:t>块</w:t>
            </w:r>
            <w:r>
              <w:rPr>
                <w:rStyle w:val="105"/>
                <w:rFonts w:hint="eastAsia" w:ascii="仿宋" w:hAnsi="仿宋" w:eastAsia="仿宋" w:cs="仿宋"/>
                <w:sz w:val="24"/>
                <w:szCs w:val="24"/>
                <w:lang w:val="en-US" w:eastAsia="zh-CN" w:bidi="ar"/>
              </w:rPr>
              <w:t>P6</w:t>
            </w:r>
            <w:r>
              <w:rPr>
                <w:rStyle w:val="104"/>
                <w:rFonts w:hint="eastAsia" w:ascii="仿宋" w:hAnsi="仿宋" w:eastAsia="仿宋" w:cs="仿宋"/>
                <w:sz w:val="24"/>
                <w:szCs w:val="24"/>
                <w:lang w:val="en-US" w:eastAsia="zh-CN" w:bidi="ar"/>
              </w:rPr>
              <w:t>或</w:t>
            </w:r>
            <w:r>
              <w:rPr>
                <w:rStyle w:val="105"/>
                <w:rFonts w:hint="eastAsia" w:ascii="仿宋" w:hAnsi="仿宋" w:eastAsia="仿宋" w:cs="仿宋"/>
                <w:sz w:val="24"/>
                <w:szCs w:val="24"/>
                <w:lang w:val="en-US" w:eastAsia="zh-CN" w:bidi="ar"/>
              </w:rPr>
              <w:t>T4 GPU</w:t>
            </w:r>
            <w:r>
              <w:rPr>
                <w:rStyle w:val="104"/>
                <w:rFonts w:hint="eastAsia" w:ascii="仿宋" w:hAnsi="仿宋" w:eastAsia="仿宋" w:cs="仿宋"/>
                <w:sz w:val="24"/>
                <w:szCs w:val="24"/>
                <w:lang w:val="en-US" w:eastAsia="zh-CN" w:bidi="ar"/>
              </w:rPr>
              <w:t>插卡；整机需国产自主研发品牌，节点、模块同一品牌；提供最近三年</w:t>
            </w:r>
            <w:r>
              <w:rPr>
                <w:rStyle w:val="105"/>
                <w:rFonts w:hint="eastAsia" w:ascii="仿宋" w:hAnsi="仿宋" w:eastAsia="仿宋" w:cs="仿宋"/>
                <w:sz w:val="24"/>
                <w:szCs w:val="24"/>
                <w:lang w:val="en-US" w:eastAsia="zh-CN" w:bidi="ar"/>
              </w:rPr>
              <w:t>IDC</w:t>
            </w:r>
            <w:r>
              <w:rPr>
                <w:rStyle w:val="104"/>
                <w:rFonts w:hint="eastAsia" w:ascii="仿宋" w:hAnsi="仿宋" w:eastAsia="仿宋" w:cs="仿宋"/>
                <w:sz w:val="24"/>
                <w:szCs w:val="24"/>
                <w:lang w:val="en-US" w:eastAsia="zh-CN" w:bidi="ar"/>
              </w:rPr>
              <w:t>全球刀片服务器市场销售量及金额排名前</w:t>
            </w:r>
            <w:r>
              <w:rPr>
                <w:rStyle w:val="105"/>
                <w:rFonts w:hint="eastAsia" w:ascii="仿宋" w:hAnsi="仿宋" w:eastAsia="仿宋" w:cs="仿宋"/>
                <w:sz w:val="24"/>
                <w:szCs w:val="24"/>
                <w:lang w:val="en-US" w:eastAsia="zh-CN" w:bidi="ar"/>
              </w:rPr>
              <w:t>3</w:t>
            </w:r>
            <w:r>
              <w:rPr>
                <w:rStyle w:val="104"/>
                <w:rFonts w:hint="eastAsia" w:ascii="仿宋" w:hAnsi="仿宋" w:eastAsia="仿宋" w:cs="仿宋"/>
                <w:sz w:val="24"/>
                <w:szCs w:val="24"/>
                <w:lang w:val="en-US" w:eastAsia="zh-CN" w:bidi="ar"/>
              </w:rPr>
              <w:t>位，提供</w:t>
            </w:r>
            <w:r>
              <w:rPr>
                <w:rStyle w:val="105"/>
                <w:rFonts w:hint="eastAsia" w:ascii="仿宋" w:hAnsi="仿宋" w:eastAsia="仿宋" w:cs="仿宋"/>
                <w:sz w:val="24"/>
                <w:szCs w:val="24"/>
                <w:lang w:val="en-US" w:eastAsia="zh-CN" w:bidi="ar"/>
              </w:rPr>
              <w:t>IDC</w:t>
            </w:r>
            <w:r>
              <w:rPr>
                <w:rStyle w:val="104"/>
                <w:rFonts w:hint="eastAsia" w:ascii="仿宋" w:hAnsi="仿宋" w:eastAsia="仿宋" w:cs="仿宋"/>
                <w:sz w:val="24"/>
                <w:szCs w:val="24"/>
                <w:lang w:val="en-US" w:eastAsia="zh-CN" w:bidi="ar"/>
              </w:rPr>
              <w:t>证明；整机无缝兼容并被纳管到原有运维保障平台，并提供详细技术方案；整机高度不高于</w:t>
            </w:r>
            <w:r>
              <w:rPr>
                <w:rStyle w:val="105"/>
                <w:rFonts w:hint="eastAsia" w:ascii="仿宋" w:hAnsi="仿宋" w:eastAsia="仿宋" w:cs="仿宋"/>
                <w:sz w:val="24"/>
                <w:szCs w:val="24"/>
                <w:lang w:val="en-US" w:eastAsia="zh-CN" w:bidi="ar"/>
              </w:rPr>
              <w:t>12U</w:t>
            </w:r>
            <w:r>
              <w:rPr>
                <w:rStyle w:val="104"/>
                <w:rFonts w:hint="eastAsia" w:ascii="仿宋" w:hAnsi="仿宋" w:eastAsia="仿宋" w:cs="仿宋"/>
                <w:sz w:val="24"/>
                <w:szCs w:val="24"/>
                <w:lang w:val="en-US" w:eastAsia="zh-CN" w:bidi="ar"/>
              </w:rPr>
              <w:t>，支持≥</w:t>
            </w:r>
            <w:r>
              <w:rPr>
                <w:rStyle w:val="105"/>
                <w:rFonts w:hint="eastAsia" w:ascii="仿宋" w:hAnsi="仿宋" w:eastAsia="仿宋" w:cs="仿宋"/>
                <w:sz w:val="24"/>
                <w:szCs w:val="24"/>
                <w:lang w:val="en-US" w:eastAsia="zh-CN" w:bidi="ar"/>
              </w:rPr>
              <w:t>16</w:t>
            </w:r>
            <w:r>
              <w:rPr>
                <w:rStyle w:val="104"/>
                <w:rFonts w:hint="eastAsia" w:ascii="仿宋" w:hAnsi="仿宋" w:eastAsia="仿宋" w:cs="仿宋"/>
                <w:sz w:val="24"/>
                <w:szCs w:val="24"/>
                <w:lang w:val="en-US" w:eastAsia="zh-CN" w:bidi="ar"/>
              </w:rPr>
              <w:t>个半宽单高计算节点，背板带宽≥</w:t>
            </w:r>
            <w:r>
              <w:rPr>
                <w:rStyle w:val="105"/>
                <w:rFonts w:hint="eastAsia" w:ascii="仿宋" w:hAnsi="仿宋" w:eastAsia="仿宋" w:cs="仿宋"/>
                <w:sz w:val="24"/>
                <w:szCs w:val="24"/>
                <w:lang w:val="en-US" w:eastAsia="zh-CN" w:bidi="ar"/>
              </w:rPr>
              <w:t>42T</w:t>
            </w:r>
            <w:r>
              <w:rPr>
                <w:rStyle w:val="104"/>
                <w:rFonts w:hint="eastAsia" w:ascii="仿宋" w:hAnsi="仿宋" w:eastAsia="仿宋" w:cs="仿宋"/>
                <w:sz w:val="24"/>
                <w:szCs w:val="24"/>
                <w:lang w:val="en-US" w:eastAsia="zh-CN" w:bidi="ar"/>
              </w:rPr>
              <w:t>，支持≥</w:t>
            </w:r>
            <w:r>
              <w:rPr>
                <w:rStyle w:val="105"/>
                <w:rFonts w:hint="eastAsia" w:ascii="仿宋" w:hAnsi="仿宋" w:eastAsia="仿宋" w:cs="仿宋"/>
                <w:sz w:val="24"/>
                <w:szCs w:val="24"/>
                <w:lang w:val="en-US" w:eastAsia="zh-CN" w:bidi="ar"/>
              </w:rPr>
              <w:t>6+2</w:t>
            </w:r>
            <w:r>
              <w:rPr>
                <w:rStyle w:val="104"/>
                <w:rFonts w:hint="eastAsia" w:ascii="仿宋" w:hAnsi="仿宋" w:eastAsia="仿宋" w:cs="仿宋"/>
                <w:sz w:val="24"/>
                <w:szCs w:val="24"/>
                <w:lang w:val="en-US" w:eastAsia="zh-CN" w:bidi="ar"/>
              </w:rPr>
              <w:t>业务网上行互联模块；配置≥</w:t>
            </w:r>
            <w:r>
              <w:rPr>
                <w:rStyle w:val="105"/>
                <w:rFonts w:hint="eastAsia" w:ascii="仿宋" w:hAnsi="仿宋" w:eastAsia="仿宋" w:cs="仿宋"/>
                <w:sz w:val="24"/>
                <w:szCs w:val="24"/>
                <w:lang w:val="en-US" w:eastAsia="zh-CN" w:bidi="ar"/>
              </w:rPr>
              <w:t>6</w:t>
            </w:r>
            <w:r>
              <w:rPr>
                <w:rStyle w:val="104"/>
                <w:rFonts w:hint="eastAsia" w:ascii="仿宋" w:hAnsi="仿宋" w:eastAsia="仿宋" w:cs="仿宋"/>
                <w:sz w:val="24"/>
                <w:szCs w:val="24"/>
                <w:lang w:val="en-US" w:eastAsia="zh-CN" w:bidi="ar"/>
              </w:rPr>
              <w:t>个冗余电源，支持</w:t>
            </w:r>
            <w:r>
              <w:rPr>
                <w:rStyle w:val="105"/>
                <w:rFonts w:hint="eastAsia" w:ascii="仿宋" w:hAnsi="仿宋" w:eastAsia="仿宋" w:cs="仿宋"/>
                <w:sz w:val="24"/>
                <w:szCs w:val="24"/>
                <w:lang w:val="en-US" w:eastAsia="zh-CN" w:bidi="ar"/>
              </w:rPr>
              <w:t>N+1</w:t>
            </w:r>
            <w:r>
              <w:rPr>
                <w:rStyle w:val="104"/>
                <w:rFonts w:hint="eastAsia" w:ascii="仿宋" w:hAnsi="仿宋" w:eastAsia="仿宋" w:cs="仿宋"/>
                <w:sz w:val="24"/>
                <w:szCs w:val="24"/>
                <w:lang w:val="en-US" w:eastAsia="zh-CN" w:bidi="ar"/>
              </w:rPr>
              <w:t>冗余；配置冗余风扇，支持</w:t>
            </w:r>
            <w:r>
              <w:rPr>
                <w:rStyle w:val="105"/>
                <w:rFonts w:hint="eastAsia" w:ascii="仿宋" w:hAnsi="仿宋" w:eastAsia="仿宋" w:cs="仿宋"/>
                <w:sz w:val="24"/>
                <w:szCs w:val="24"/>
                <w:lang w:val="en-US" w:eastAsia="zh-CN" w:bidi="ar"/>
              </w:rPr>
              <w:t>N+1</w:t>
            </w:r>
            <w:r>
              <w:rPr>
                <w:rStyle w:val="104"/>
                <w:rFonts w:hint="eastAsia" w:ascii="仿宋" w:hAnsi="仿宋" w:eastAsia="仿宋" w:cs="仿宋"/>
                <w:sz w:val="24"/>
                <w:szCs w:val="24"/>
                <w:lang w:val="en-US" w:eastAsia="zh-CN" w:bidi="ar"/>
              </w:rPr>
              <w:t>冗余；配置≥</w:t>
            </w:r>
            <w:r>
              <w:rPr>
                <w:rStyle w:val="105"/>
                <w:rFonts w:hint="eastAsia" w:ascii="仿宋" w:hAnsi="仿宋" w:eastAsia="仿宋" w:cs="仿宋"/>
                <w:sz w:val="24"/>
                <w:szCs w:val="24"/>
                <w:lang w:val="en-US" w:eastAsia="zh-CN" w:bidi="ar"/>
              </w:rPr>
              <w:t>2</w:t>
            </w:r>
            <w:r>
              <w:rPr>
                <w:rStyle w:val="104"/>
                <w:rFonts w:hint="eastAsia" w:ascii="仿宋" w:hAnsi="仿宋" w:eastAsia="仿宋" w:cs="仿宋"/>
                <w:sz w:val="24"/>
                <w:szCs w:val="24"/>
                <w:lang w:val="en-US" w:eastAsia="zh-CN" w:bidi="ar"/>
              </w:rPr>
              <w:t>个冗余管理引擎，并支持跨主机节点管理；主机工作温度≥</w:t>
            </w:r>
            <w:r>
              <w:rPr>
                <w:rStyle w:val="105"/>
                <w:rFonts w:hint="eastAsia" w:ascii="仿宋" w:hAnsi="仿宋" w:eastAsia="仿宋" w:cs="仿宋"/>
                <w:sz w:val="24"/>
                <w:szCs w:val="24"/>
                <w:lang w:val="en-US" w:eastAsia="zh-CN" w:bidi="ar"/>
              </w:rPr>
              <w:t>45</w:t>
            </w:r>
            <w:r>
              <w:rPr>
                <w:rStyle w:val="104"/>
                <w:rFonts w:hint="eastAsia" w:ascii="仿宋" w:hAnsi="仿宋" w:eastAsia="仿宋" w:cs="仿宋"/>
                <w:sz w:val="24"/>
                <w:szCs w:val="24"/>
                <w:lang w:val="en-US" w:eastAsia="zh-CN" w:bidi="ar"/>
              </w:rPr>
              <w:t>度；配置≥</w:t>
            </w:r>
            <w:r>
              <w:rPr>
                <w:rStyle w:val="105"/>
                <w:rFonts w:hint="eastAsia" w:ascii="仿宋" w:hAnsi="仿宋" w:eastAsia="仿宋" w:cs="仿宋"/>
                <w:sz w:val="24"/>
                <w:szCs w:val="24"/>
                <w:lang w:val="en-US" w:eastAsia="zh-CN" w:bidi="ar"/>
              </w:rPr>
              <w:t>2</w:t>
            </w:r>
            <w:r>
              <w:rPr>
                <w:rStyle w:val="104"/>
                <w:rFonts w:hint="eastAsia" w:ascii="仿宋" w:hAnsi="仿宋" w:eastAsia="仿宋" w:cs="仿宋"/>
                <w:sz w:val="24"/>
                <w:szCs w:val="24"/>
                <w:lang w:val="en-US" w:eastAsia="zh-CN" w:bidi="ar"/>
              </w:rPr>
              <w:t>块冗余以太网互联模块，单块支持≥</w:t>
            </w:r>
            <w:r>
              <w:rPr>
                <w:rStyle w:val="105"/>
                <w:rFonts w:hint="eastAsia" w:ascii="仿宋" w:hAnsi="仿宋" w:eastAsia="仿宋" w:cs="仿宋"/>
                <w:sz w:val="24"/>
                <w:szCs w:val="24"/>
                <w:lang w:val="en-US" w:eastAsia="zh-CN" w:bidi="ar"/>
              </w:rPr>
              <w:t>16</w:t>
            </w:r>
            <w:r>
              <w:rPr>
                <w:rStyle w:val="104"/>
                <w:rFonts w:hint="eastAsia" w:ascii="仿宋" w:hAnsi="仿宋" w:eastAsia="仿宋" w:cs="仿宋"/>
                <w:sz w:val="24"/>
                <w:szCs w:val="24"/>
                <w:lang w:val="en-US" w:eastAsia="zh-CN" w:bidi="ar"/>
              </w:rPr>
              <w:t>个万兆</w:t>
            </w:r>
            <w:r>
              <w:rPr>
                <w:rStyle w:val="105"/>
                <w:rFonts w:hint="eastAsia" w:ascii="仿宋" w:hAnsi="仿宋" w:eastAsia="仿宋" w:cs="仿宋"/>
                <w:sz w:val="24"/>
                <w:szCs w:val="24"/>
                <w:lang w:val="en-US" w:eastAsia="zh-CN" w:bidi="ar"/>
              </w:rPr>
              <w:t>+4</w:t>
            </w:r>
            <w:r>
              <w:rPr>
                <w:rStyle w:val="104"/>
                <w:rFonts w:hint="eastAsia" w:ascii="仿宋" w:hAnsi="仿宋" w:eastAsia="仿宋" w:cs="仿宋"/>
                <w:sz w:val="24"/>
                <w:szCs w:val="24"/>
                <w:lang w:val="en-US" w:eastAsia="zh-CN" w:bidi="ar"/>
              </w:rPr>
              <w:t>个</w:t>
            </w:r>
            <w:r>
              <w:rPr>
                <w:rStyle w:val="105"/>
                <w:rFonts w:hint="eastAsia" w:ascii="仿宋" w:hAnsi="仿宋" w:eastAsia="仿宋" w:cs="仿宋"/>
                <w:sz w:val="24"/>
                <w:szCs w:val="24"/>
                <w:lang w:val="en-US" w:eastAsia="zh-CN" w:bidi="ar"/>
              </w:rPr>
              <w:t>40GB</w:t>
            </w:r>
            <w:r>
              <w:rPr>
                <w:rStyle w:val="104"/>
                <w:rFonts w:hint="eastAsia" w:ascii="仿宋" w:hAnsi="仿宋" w:eastAsia="仿宋" w:cs="仿宋"/>
                <w:sz w:val="24"/>
                <w:szCs w:val="24"/>
                <w:lang w:val="en-US" w:eastAsia="zh-CN" w:bidi="ar"/>
              </w:rPr>
              <w:t>的上行端口，≥</w:t>
            </w:r>
            <w:r>
              <w:rPr>
                <w:rStyle w:val="105"/>
                <w:rFonts w:hint="eastAsia" w:ascii="仿宋" w:hAnsi="仿宋" w:eastAsia="仿宋" w:cs="仿宋"/>
                <w:sz w:val="24"/>
                <w:szCs w:val="24"/>
                <w:lang w:val="en-US" w:eastAsia="zh-CN" w:bidi="ar"/>
              </w:rPr>
              <w:t>34</w:t>
            </w:r>
            <w:r>
              <w:rPr>
                <w:rStyle w:val="104"/>
                <w:rFonts w:hint="eastAsia" w:ascii="仿宋" w:hAnsi="仿宋" w:eastAsia="仿宋" w:cs="仿宋"/>
                <w:sz w:val="24"/>
                <w:szCs w:val="24"/>
                <w:lang w:val="en-US" w:eastAsia="zh-CN" w:bidi="ar"/>
              </w:rPr>
              <w:t>个对内万兆互联端口，两块需配置并实现虚拟化堆叠功能，整机配置≥</w:t>
            </w:r>
            <w:r>
              <w:rPr>
                <w:rStyle w:val="105"/>
                <w:rFonts w:hint="eastAsia" w:ascii="仿宋" w:hAnsi="仿宋" w:eastAsia="仿宋" w:cs="仿宋"/>
                <w:sz w:val="24"/>
                <w:szCs w:val="24"/>
                <w:lang w:val="en-US" w:eastAsia="zh-CN" w:bidi="ar"/>
              </w:rPr>
              <w:t>4</w:t>
            </w:r>
            <w:r>
              <w:rPr>
                <w:rStyle w:val="104"/>
                <w:rFonts w:hint="eastAsia" w:ascii="仿宋" w:hAnsi="仿宋" w:eastAsia="仿宋" w:cs="仿宋"/>
                <w:sz w:val="24"/>
                <w:szCs w:val="24"/>
                <w:lang w:val="en-US" w:eastAsia="zh-CN" w:bidi="ar"/>
              </w:rPr>
              <w:t>个万兆多模模块</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bl>
    <w:p>
      <w:pPr>
        <w:spacing w:line="288" w:lineRule="auto"/>
        <w:rPr>
          <w:rFonts w:ascii="仿宋" w:hAnsi="仿宋" w:eastAsia="仿宋" w:cs="仿宋"/>
          <w:b/>
          <w:sz w:val="24"/>
        </w:rPr>
      </w:pPr>
      <w:r>
        <w:rPr>
          <w:rFonts w:hint="eastAsia" w:ascii="仿宋" w:hAnsi="仿宋" w:eastAsia="仿宋" w:cs="仿宋"/>
          <w:b/>
          <w:sz w:val="24"/>
        </w:rPr>
        <w:t>[八].平台技术支持服务</w:t>
      </w:r>
    </w:p>
    <w:p>
      <w:pPr>
        <w:spacing w:line="288" w:lineRule="auto"/>
        <w:ind w:firstLine="482" w:firstLineChars="200"/>
        <w:rPr>
          <w:rFonts w:ascii="仿宋" w:hAnsi="仿宋" w:eastAsia="仿宋" w:cs="仿宋"/>
          <w:b/>
          <w:bCs/>
          <w:sz w:val="22"/>
          <w:szCs w:val="22"/>
        </w:rPr>
      </w:pPr>
      <w:r>
        <w:rPr>
          <w:rFonts w:hint="eastAsia" w:ascii="仿宋" w:hAnsi="仿宋" w:eastAsia="仿宋" w:cs="仿宋"/>
          <w:b/>
          <w:bCs/>
          <w:sz w:val="24"/>
          <w:szCs w:val="24"/>
          <w:highlight w:val="yellow"/>
          <w:u w:val="single"/>
        </w:rPr>
        <w:t>★投标单位应在投标时提供承诺，承诺中标后合同签订前提供与后端平台运行管理维护单位（浙江浙大中控信息技术有限公司、浙江大华技术股份有限公司、杭州海康威视科技有限公司）的技术服务支持承诺函，以确保项目各系统的维护工作与后端平台的无缝衔接，无承诺作无效投标处理。</w:t>
      </w:r>
    </w:p>
    <w:p>
      <w:pPr>
        <w:spacing w:line="288" w:lineRule="auto"/>
        <w:ind w:firstLine="480" w:firstLineChars="200"/>
        <w:rPr>
          <w:rFonts w:ascii="仿宋" w:hAnsi="仿宋" w:eastAsia="仿宋" w:cs="仿宋"/>
          <w:sz w:val="24"/>
        </w:rPr>
      </w:pPr>
      <w:r>
        <w:rPr>
          <w:rFonts w:hint="eastAsia" w:ascii="仿宋" w:hAnsi="仿宋" w:eastAsia="仿宋" w:cs="仿宋"/>
          <w:sz w:val="24"/>
        </w:rPr>
        <w:t>技术支持服务费用由双方自行协商确定。南京莱斯信息技术股份有限公司技术支持服务包括交通信号控制系统管理平台的系统管理、软件升级、警卫管控、信号优化等工作；浙江大华、杭州海康技术支持服务包括监控接入平台的系统管理、软件升级、存储配置、远程配置等工作。</w:t>
      </w:r>
    </w:p>
    <w:p>
      <w:pPr>
        <w:spacing w:line="288" w:lineRule="auto"/>
        <w:rPr>
          <w:rFonts w:ascii="仿宋" w:hAnsi="仿宋" w:eastAsia="仿宋" w:cs="仿宋"/>
          <w:b/>
          <w:sz w:val="24"/>
        </w:rPr>
      </w:pPr>
      <w:r>
        <w:rPr>
          <w:rFonts w:hint="eastAsia" w:ascii="仿宋" w:hAnsi="仿宋" w:eastAsia="仿宋" w:cs="仿宋"/>
          <w:b/>
          <w:sz w:val="24"/>
        </w:rPr>
        <w:t>[九].结算方式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1.全包项目的结算在每六个月维护周期结束后，根据合同及招标文件相关条款，汇总质量日报等相关材料，编制维护质量验收结算清单，经业主方和维护单位双方代表签字后，结报该六个月的维护费。</w:t>
      </w:r>
    </w:p>
    <w:p>
      <w:pPr>
        <w:spacing w:line="288" w:lineRule="auto"/>
        <w:ind w:firstLine="480" w:firstLineChars="200"/>
        <w:rPr>
          <w:rFonts w:ascii="仿宋" w:hAnsi="仿宋" w:eastAsia="仿宋" w:cs="仿宋"/>
          <w:sz w:val="24"/>
        </w:rPr>
      </w:pPr>
      <w:r>
        <w:rPr>
          <w:rFonts w:hint="eastAsia" w:ascii="仿宋" w:hAnsi="仿宋" w:eastAsia="仿宋" w:cs="仿宋"/>
          <w:sz w:val="24"/>
        </w:rPr>
        <w:t>2.非全包项目中因市政道路施工、交通事故造成设备损坏或遭受人为破坏等因素造成的系统损坏，维护单位应在日常巡检中及时发现，锁定肇事单位或个人，通过协商或报警等方式向其索赔。在索赔过程中，业主单位应提供力所能及的帮助。如因不能及时发现肇事者而无法索赔的，由维护单位自行承担损失，及时修复。因自然灾害、道路自然破损和不可抗力造成管道线路、设备损坏，修复费用由业主承担。不在全包项目内的其他设备的维护以及工程性迁移、改造、升级所产生的费用均应与业主协商另行签订维护合同，结算所属费用。</w:t>
      </w:r>
    </w:p>
    <w:p>
      <w:pPr>
        <w:spacing w:line="288" w:lineRule="auto"/>
        <w:rPr>
          <w:rFonts w:ascii="仿宋" w:hAnsi="仿宋" w:eastAsia="仿宋" w:cs="仿宋"/>
          <w:b/>
          <w:sz w:val="24"/>
        </w:rPr>
      </w:pPr>
      <w:r>
        <w:rPr>
          <w:rFonts w:hint="eastAsia" w:ascii="仿宋" w:hAnsi="仿宋" w:eastAsia="仿宋" w:cs="仿宋"/>
          <w:b/>
          <w:sz w:val="24"/>
        </w:rPr>
        <w:t>[十].其他要求</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b/>
          <w:bCs/>
          <w:sz w:val="24"/>
        </w:rPr>
        <w:t>本项目的服务期限为一年，即合同签订后十二个月。</w:t>
      </w:r>
      <w:r>
        <w:rPr>
          <w:rFonts w:hint="eastAsia" w:ascii="仿宋" w:hAnsi="仿宋" w:eastAsia="仿宋" w:cs="仿宋"/>
          <w:sz w:val="24"/>
        </w:rPr>
        <w:t>合同签订后3 天内进场维护，在服务期限内进行绍兴市区交通管理智能化设施（一期二阶段）维护服务（含设备维护、保养、调试、验收等）。</w:t>
      </w:r>
    </w:p>
    <w:p>
      <w:pPr>
        <w:spacing w:line="288" w:lineRule="auto"/>
        <w:ind w:firstLine="480" w:firstLineChars="200"/>
        <w:rPr>
          <w:rFonts w:ascii="仿宋" w:hAnsi="仿宋" w:eastAsia="仿宋" w:cs="仿宋"/>
          <w:sz w:val="24"/>
        </w:rPr>
      </w:pPr>
      <w:r>
        <w:rPr>
          <w:rFonts w:hint="eastAsia" w:ascii="仿宋" w:hAnsi="仿宋" w:eastAsia="仿宋" w:cs="仿宋"/>
          <w:sz w:val="24"/>
        </w:rPr>
        <w:t>2.本次招标以人民币报价，供应商的报价（合价）应包括应包括设备的日常维护费、材料费、损坏风险金、税金、其他费用等须由投标单位支付的所有费用（包括各种人工费、地下管线费用、机械使用费、管理、利润、税务费、必要的保险费用、必须的专用工具、辅助材料费及合同实施过程中不可预见的费用等）的总和。</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3.付款条件：本服务不支付预付款，乙方自行负担</w:t>
      </w:r>
      <w:r>
        <w:rPr>
          <w:rFonts w:hint="eastAsia" w:ascii="仿宋" w:hAnsi="仿宋" w:eastAsia="仿宋" w:cs="仿宋"/>
          <w:sz w:val="24"/>
          <w:lang w:val="en-US" w:eastAsia="zh-CN"/>
        </w:rPr>
        <w:t>本项目包含的</w:t>
      </w:r>
      <w:r>
        <w:rPr>
          <w:rFonts w:hint="eastAsia" w:ascii="仿宋" w:hAnsi="仿宋" w:eastAsia="仿宋" w:cs="仿宋"/>
          <w:sz w:val="24"/>
        </w:rPr>
        <w:t>城区智能交通设施维护服务费用（含购买原厂家服务费用、平台技术支持服务费用、备品备件、个别点位的电费支付等费用）</w:t>
      </w:r>
      <w:r>
        <w:rPr>
          <w:rFonts w:hint="eastAsia" w:ascii="仿宋" w:hAnsi="仿宋" w:eastAsia="仿宋" w:cs="仿宋"/>
          <w:sz w:val="24"/>
          <w:lang w:eastAsia="zh-CN"/>
        </w:rPr>
        <w:t>。</w:t>
      </w:r>
      <w:r>
        <w:rPr>
          <w:rFonts w:hint="eastAsia" w:ascii="仿宋" w:hAnsi="仿宋" w:eastAsia="仿宋" w:cs="仿宋"/>
          <w:sz w:val="24"/>
        </w:rPr>
        <w:t>抗疫期间，按照浙财采监[2020]3号文件精神执行，采购单位应在合同生效以及具备实施条件后15日内支付</w:t>
      </w:r>
      <w:r>
        <w:rPr>
          <w:rFonts w:hint="eastAsia" w:ascii="仿宋" w:hAnsi="仿宋" w:eastAsia="仿宋" w:cs="仿宋"/>
          <w:sz w:val="24"/>
          <w:lang w:eastAsia="zh-CN"/>
        </w:rPr>
        <w:t>合同金额</w:t>
      </w:r>
      <w:r>
        <w:rPr>
          <w:rFonts w:hint="eastAsia" w:ascii="仿宋" w:hAnsi="仿宋" w:eastAsia="仿宋" w:cs="仿宋"/>
          <w:sz w:val="24"/>
          <w:lang w:val="en-US" w:eastAsia="zh-CN"/>
        </w:rPr>
        <w:t>10%的</w:t>
      </w:r>
      <w:r>
        <w:rPr>
          <w:rFonts w:hint="eastAsia" w:ascii="仿宋" w:hAnsi="仿宋" w:eastAsia="仿宋" w:cs="仿宋"/>
          <w:sz w:val="24"/>
        </w:rPr>
        <w:t>政府采购预付款。合同履行每六个月后的30天内，</w:t>
      </w:r>
      <w:r>
        <w:rPr>
          <w:rFonts w:hint="eastAsia" w:ascii="仿宋" w:hAnsi="仿宋" w:eastAsia="仿宋" w:cs="仿宋"/>
          <w:sz w:val="24"/>
          <w:lang w:val="en-US" w:eastAsia="zh-CN"/>
        </w:rPr>
        <w:t>提供</w:t>
      </w:r>
      <w:r>
        <w:rPr>
          <w:rFonts w:hint="eastAsia" w:ascii="仿宋" w:hAnsi="仿宋" w:eastAsia="仿宋" w:cs="仿宋"/>
          <w:sz w:val="24"/>
        </w:rPr>
        <w:t>考核验收结果，考核验收合格的，</w:t>
      </w:r>
      <w:r>
        <w:rPr>
          <w:rFonts w:hint="eastAsia" w:ascii="仿宋" w:hAnsi="仿宋" w:eastAsia="仿宋" w:cs="仿宋"/>
          <w:sz w:val="24"/>
          <w:lang w:val="en-US" w:eastAsia="zh-CN"/>
        </w:rPr>
        <w:t>2021年度支付总</w:t>
      </w:r>
      <w:r>
        <w:rPr>
          <w:rFonts w:hint="eastAsia" w:ascii="仿宋" w:hAnsi="仿宋" w:eastAsia="仿宋" w:cs="仿宋"/>
          <w:sz w:val="24"/>
        </w:rPr>
        <w:t>合同金额</w:t>
      </w:r>
      <w:r>
        <w:rPr>
          <w:rFonts w:hint="eastAsia" w:ascii="仿宋" w:hAnsi="仿宋" w:eastAsia="仿宋" w:cs="仿宋"/>
          <w:sz w:val="24"/>
          <w:lang w:val="en-US" w:eastAsia="zh-CN"/>
        </w:rPr>
        <w:t>的3</w:t>
      </w:r>
      <w:r>
        <w:rPr>
          <w:rFonts w:hint="eastAsia" w:ascii="仿宋" w:hAnsi="仿宋" w:eastAsia="仿宋" w:cs="仿宋"/>
          <w:sz w:val="24"/>
        </w:rPr>
        <w:t>0%维护服务费</w:t>
      </w:r>
      <w:r>
        <w:rPr>
          <w:rFonts w:hint="eastAsia" w:ascii="仿宋" w:hAnsi="仿宋" w:eastAsia="仿宋" w:cs="仿宋"/>
          <w:sz w:val="24"/>
          <w:lang w:eastAsia="zh-CN"/>
        </w:rPr>
        <w:t>，</w:t>
      </w:r>
      <w:r>
        <w:rPr>
          <w:rFonts w:hint="eastAsia" w:ascii="仿宋" w:hAnsi="仿宋" w:eastAsia="仿宋" w:cs="仿宋"/>
          <w:sz w:val="24"/>
          <w:lang w:val="en-US" w:eastAsia="zh-CN"/>
        </w:rPr>
        <w:t>剩余70%维护服务费金额将于2022年度支付</w:t>
      </w:r>
      <w:r>
        <w:rPr>
          <w:rFonts w:hint="eastAsia" w:ascii="仿宋" w:hAnsi="仿宋" w:eastAsia="仿宋" w:cs="仿宋"/>
          <w:sz w:val="24"/>
        </w:rPr>
        <w:t>。</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4.</w:t>
      </w:r>
      <w:r>
        <w:rPr>
          <w:rFonts w:hint="eastAsia" w:ascii="仿宋" w:hAnsi="仿宋" w:eastAsia="仿宋" w:cs="仿宋"/>
          <w:sz w:val="24"/>
        </w:rPr>
        <w:t>项目承建单位服务过程中须留存维保记录，维保记录内容包括但不限于：服务人员出入记录、服务开始时间、服务结束时间、服务人员姓名、服务人数、服务地点、服务内容、服务结果等，并提交项目建设部门确认。</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5.中标单位所提供的</w:t>
      </w:r>
      <w:r>
        <w:rPr>
          <w:rFonts w:hint="eastAsia" w:ascii="仿宋" w:hAnsi="仿宋" w:eastAsia="仿宋" w:cs="仿宋"/>
          <w:sz w:val="24"/>
        </w:rPr>
        <w:t>备品备件产权归项目建设部门所有。</w:t>
      </w:r>
    </w:p>
    <w:p>
      <w:pPr>
        <w:pStyle w:val="14"/>
        <w:spacing w:line="800" w:lineRule="exact"/>
        <w:ind w:firstLine="723"/>
        <w:jc w:val="center"/>
        <w:rPr>
          <w:rFonts w:hint="eastAsia" w:ascii="仿宋" w:hAnsi="仿宋" w:eastAsia="仿宋" w:cs="仿宋"/>
          <w:b/>
          <w:sz w:val="36"/>
          <w:szCs w:val="36"/>
        </w:rPr>
      </w:pPr>
    </w:p>
    <w:p>
      <w:pPr>
        <w:pStyle w:val="14"/>
        <w:spacing w:line="800" w:lineRule="exact"/>
        <w:ind w:firstLine="723"/>
        <w:jc w:val="center"/>
        <w:rPr>
          <w:rFonts w:hint="eastAsia" w:ascii="仿宋" w:hAnsi="仿宋" w:eastAsia="仿宋" w:cs="仿宋"/>
          <w:b/>
          <w:sz w:val="36"/>
          <w:szCs w:val="36"/>
        </w:rPr>
      </w:pPr>
    </w:p>
    <w:p>
      <w:pPr>
        <w:pStyle w:val="14"/>
        <w:spacing w:line="800" w:lineRule="exact"/>
        <w:ind w:firstLine="723"/>
        <w:jc w:val="center"/>
        <w:rPr>
          <w:rFonts w:hint="eastAsia" w:ascii="仿宋" w:hAnsi="仿宋" w:eastAsia="仿宋" w:cs="仿宋"/>
          <w:b/>
          <w:sz w:val="36"/>
          <w:szCs w:val="36"/>
        </w:rPr>
      </w:pPr>
    </w:p>
    <w:p>
      <w:pPr>
        <w:pStyle w:val="14"/>
        <w:spacing w:line="800" w:lineRule="exact"/>
        <w:ind w:firstLine="723"/>
        <w:jc w:val="center"/>
        <w:rPr>
          <w:rFonts w:hint="eastAsia" w:ascii="仿宋" w:hAnsi="仿宋" w:eastAsia="仿宋" w:cs="仿宋"/>
          <w:b/>
          <w:sz w:val="36"/>
          <w:szCs w:val="36"/>
        </w:rPr>
      </w:pPr>
    </w:p>
    <w:p>
      <w:pPr>
        <w:pStyle w:val="14"/>
        <w:spacing w:line="800" w:lineRule="exact"/>
        <w:ind w:firstLine="723"/>
        <w:jc w:val="center"/>
        <w:rPr>
          <w:rFonts w:hint="eastAsia" w:ascii="仿宋" w:hAnsi="仿宋" w:eastAsia="仿宋" w:cs="仿宋"/>
          <w:b/>
          <w:sz w:val="36"/>
          <w:szCs w:val="36"/>
        </w:rPr>
      </w:pPr>
    </w:p>
    <w:p>
      <w:pPr>
        <w:pStyle w:val="14"/>
        <w:spacing w:line="800" w:lineRule="exact"/>
        <w:ind w:firstLine="723"/>
        <w:jc w:val="center"/>
        <w:rPr>
          <w:rFonts w:hint="eastAsia" w:ascii="仿宋" w:hAnsi="仿宋" w:eastAsia="仿宋" w:cs="仿宋"/>
          <w:b/>
          <w:sz w:val="36"/>
          <w:szCs w:val="36"/>
        </w:rPr>
      </w:pPr>
    </w:p>
    <w:p>
      <w:pPr>
        <w:pStyle w:val="14"/>
        <w:spacing w:line="800" w:lineRule="exact"/>
        <w:ind w:firstLine="723"/>
        <w:jc w:val="center"/>
        <w:rPr>
          <w:rFonts w:hint="eastAsia" w:ascii="仿宋" w:hAnsi="仿宋" w:eastAsia="仿宋" w:cs="仿宋"/>
          <w:b/>
          <w:sz w:val="36"/>
          <w:szCs w:val="36"/>
        </w:rPr>
      </w:pPr>
    </w:p>
    <w:p>
      <w:pPr>
        <w:pStyle w:val="14"/>
        <w:spacing w:line="800" w:lineRule="exact"/>
        <w:ind w:firstLine="723"/>
        <w:jc w:val="center"/>
        <w:rPr>
          <w:rFonts w:hint="eastAsia" w:ascii="仿宋" w:hAnsi="仿宋" w:eastAsia="仿宋" w:cs="仿宋"/>
          <w:b/>
          <w:sz w:val="36"/>
          <w:szCs w:val="36"/>
        </w:rPr>
      </w:pPr>
    </w:p>
    <w:p>
      <w:pPr>
        <w:pStyle w:val="14"/>
        <w:spacing w:line="800" w:lineRule="exact"/>
        <w:ind w:firstLine="723"/>
        <w:jc w:val="center"/>
        <w:rPr>
          <w:rFonts w:hint="eastAsia" w:ascii="仿宋" w:hAnsi="仿宋" w:eastAsia="仿宋" w:cs="仿宋"/>
          <w:b/>
          <w:sz w:val="36"/>
          <w:szCs w:val="36"/>
        </w:rPr>
      </w:pPr>
    </w:p>
    <w:p>
      <w:pPr>
        <w:pStyle w:val="14"/>
        <w:spacing w:line="800" w:lineRule="exact"/>
        <w:jc w:val="both"/>
        <w:rPr>
          <w:rFonts w:hint="eastAsia" w:ascii="仿宋" w:hAnsi="仿宋" w:eastAsia="仿宋" w:cs="仿宋"/>
          <w:b/>
          <w:sz w:val="36"/>
          <w:szCs w:val="36"/>
        </w:rPr>
      </w:pPr>
    </w:p>
    <w:p>
      <w:pPr>
        <w:pStyle w:val="14"/>
        <w:spacing w:line="800" w:lineRule="exact"/>
        <w:ind w:firstLine="723"/>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288" w:lineRule="auto"/>
        <w:jc w:val="left"/>
        <w:rPr>
          <w:rFonts w:ascii="仿宋" w:hAnsi="仿宋" w:eastAsia="仿宋" w:cs="仿宋"/>
          <w:b/>
          <w:sz w:val="24"/>
        </w:rPr>
      </w:pPr>
      <w:r>
        <w:rPr>
          <w:rFonts w:hint="eastAsia" w:ascii="仿宋" w:hAnsi="仿宋" w:eastAsia="仿宋" w:cs="仿宋"/>
          <w:b/>
          <w:sz w:val="24"/>
        </w:rPr>
        <w:t>1.合同范围</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 “招标文件”明确。</w:t>
      </w:r>
    </w:p>
    <w:p>
      <w:pPr>
        <w:pStyle w:val="66"/>
        <w:spacing w:line="288" w:lineRule="auto"/>
        <w:rPr>
          <w:rFonts w:ascii="仿宋" w:hAnsi="仿宋" w:eastAsia="仿宋" w:cs="仿宋"/>
          <w:b/>
          <w:sz w:val="24"/>
          <w:szCs w:val="24"/>
        </w:rPr>
      </w:pPr>
      <w:r>
        <w:rPr>
          <w:rFonts w:hint="eastAsia" w:ascii="仿宋" w:hAnsi="仿宋" w:eastAsia="仿宋" w:cs="仿宋"/>
          <w:b/>
          <w:sz w:val="24"/>
          <w:szCs w:val="24"/>
        </w:rPr>
        <w:t>2.合同的签订</w:t>
      </w:r>
    </w:p>
    <w:p>
      <w:pPr>
        <w:snapToGrid w:val="0"/>
        <w:spacing w:line="288" w:lineRule="auto"/>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sz w:val="24"/>
        </w:rPr>
        <w:t>2.1.1服务地点：用户指定地点。</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sz w:val="24"/>
        </w:rPr>
        <w:t>2.1.2服务期：按标项内具体要求执行。</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b/>
          <w:sz w:val="24"/>
        </w:rPr>
        <w:t>3.付款方式：</w:t>
      </w:r>
      <w:r>
        <w:rPr>
          <w:rFonts w:hint="eastAsia" w:ascii="仿宋" w:hAnsi="仿宋" w:eastAsia="仿宋" w:cs="仿宋"/>
          <w:sz w:val="24"/>
        </w:rPr>
        <w:t>按标项内具体要求执行。</w:t>
      </w:r>
    </w:p>
    <w:p>
      <w:pPr>
        <w:tabs>
          <w:tab w:val="left" w:pos="7950"/>
        </w:tabs>
        <w:spacing w:line="288" w:lineRule="auto"/>
        <w:jc w:val="left"/>
        <w:rPr>
          <w:rFonts w:ascii="仿宋" w:hAnsi="仿宋" w:eastAsia="仿宋" w:cs="仿宋"/>
          <w:b/>
          <w:sz w:val="24"/>
        </w:rPr>
      </w:pPr>
      <w:r>
        <w:rPr>
          <w:rFonts w:hint="eastAsia" w:ascii="仿宋" w:hAnsi="仿宋" w:eastAsia="仿宋" w:cs="仿宋"/>
          <w:b/>
          <w:sz w:val="24"/>
        </w:rPr>
        <w:t>4.合同修改</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sz w:val="24"/>
        </w:rPr>
        <w:t>4.1双方的任何一方对合同内容提出修改，均应以书面形式通知对方，并达成由双方签署的合同修改书，须报政府采购管理部门批准。</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sz w:val="24"/>
        </w:rPr>
        <w:t>4.2除非招标人对产品的品牌、型号规格和涉及价格因素的技术参数提出修改，中标人不得对合同价格提出修改要求。</w:t>
      </w:r>
    </w:p>
    <w:p>
      <w:pPr>
        <w:snapToGrid w:val="0"/>
        <w:spacing w:line="288" w:lineRule="auto"/>
        <w:jc w:val="left"/>
        <w:rPr>
          <w:rFonts w:hint="eastAsia" w:ascii="仿宋" w:hAnsi="仿宋" w:eastAsia="仿宋" w:cs="仿宋"/>
          <w:b/>
          <w:bCs/>
          <w:color w:val="auto"/>
          <w:sz w:val="24"/>
        </w:rPr>
      </w:pPr>
      <w:r>
        <w:rPr>
          <w:rFonts w:hint="eastAsia" w:ascii="仿宋" w:hAnsi="仿宋" w:eastAsia="仿宋" w:cs="仿宋"/>
          <w:b/>
          <w:bCs/>
          <w:color w:val="auto"/>
          <w:sz w:val="24"/>
        </w:rPr>
        <w:t>5.商品包装和快递包装要求</w:t>
      </w:r>
    </w:p>
    <w:p>
      <w:pPr>
        <w:snapToGrid w:val="0"/>
        <w:spacing w:line="288" w:lineRule="auto"/>
        <w:ind w:firstLine="480" w:firstLineChars="200"/>
        <w:jc w:val="left"/>
        <w:rPr>
          <w:rFonts w:hint="eastAsia" w:ascii="仿宋" w:hAnsi="仿宋" w:eastAsia="仿宋" w:cs="仿宋"/>
          <w:b/>
          <w:sz w:val="24"/>
        </w:rPr>
      </w:pPr>
      <w:r>
        <w:rPr>
          <w:rFonts w:hint="eastAsia" w:ascii="仿宋" w:hAnsi="仿宋" w:eastAsia="仿宋" w:cs="仿宋"/>
          <w:color w:val="auto"/>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288" w:lineRule="auto"/>
        <w:jc w:val="left"/>
        <w:rPr>
          <w:rFonts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 质量标准和验收</w:t>
      </w:r>
    </w:p>
    <w:p>
      <w:pPr>
        <w:snapToGrid w:val="0"/>
        <w:spacing w:line="288" w:lineRule="auto"/>
        <w:jc w:val="left"/>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.1中标人提供的产品及服务必须是经合法途径取得的。</w:t>
      </w:r>
    </w:p>
    <w:p>
      <w:pPr>
        <w:snapToGrid w:val="0"/>
        <w:spacing w:line="288" w:lineRule="auto"/>
        <w:jc w:val="left"/>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.2中标人应按现行的国家或行业技术及验收标准和招标文件的规定提供工程、货物或服务，因中标人提供的工程、货物或服务达不到约定的质量标准，中标人承担违约责任。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.3验收由使用单位按规定组织相关人员或专家进行。</w:t>
      </w:r>
    </w:p>
    <w:p>
      <w:pPr>
        <w:spacing w:line="288" w:lineRule="auto"/>
        <w:ind w:hanging="2"/>
        <w:jc w:val="left"/>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.4双方对工程、货物或服务的质量有争议的，由双方同意的专业检测机构鉴定，所需费及因此造成的损失由责任方承担，双方均有责任的，双方根据其责任分别承担。</w:t>
      </w:r>
    </w:p>
    <w:p>
      <w:pPr>
        <w:spacing w:line="288" w:lineRule="auto"/>
        <w:ind w:hanging="2"/>
        <w:jc w:val="left"/>
        <w:rPr>
          <w:rFonts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.违约责任</w:t>
      </w:r>
    </w:p>
    <w:p>
      <w:pPr>
        <w:pStyle w:val="13"/>
        <w:numPr>
          <w:ilvl w:val="0"/>
          <w:numId w:val="0"/>
        </w:numPr>
        <w:tabs>
          <w:tab w:val="left" w:pos="1540"/>
          <w:tab w:val="clear" w:pos="1200"/>
        </w:tabs>
        <w:spacing w:line="288" w:lineRule="auto"/>
        <w:ind w:left="-2" w:leftChars="-1"/>
        <w:rPr>
          <w:rFonts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.1提供的货物和服务质量必须达到合格，凡安装调试、设备试运转过程中发现的设备质量问题，中标人必须无偿返工直至符合质量要求，承担返工所发生的一切费用和招标人的直接经济损失。</w:t>
      </w:r>
    </w:p>
    <w:p>
      <w:pPr>
        <w:pStyle w:val="13"/>
        <w:numPr>
          <w:ilvl w:val="0"/>
          <w:numId w:val="0"/>
        </w:numPr>
        <w:tabs>
          <w:tab w:val="left" w:pos="1540"/>
          <w:tab w:val="clear" w:pos="1200"/>
        </w:tabs>
        <w:spacing w:line="288" w:lineRule="auto"/>
        <w:ind w:left="-2" w:leftChars="-1"/>
        <w:rPr>
          <w:rFonts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.2由于招标人保管不善或使用不当造成设备短缺、故障或损坏，中标人协助招标人及时给予补齐或修复。</w:t>
      </w:r>
    </w:p>
    <w:p>
      <w:pPr>
        <w:pStyle w:val="6"/>
        <w:numPr>
          <w:ilvl w:val="0"/>
          <w:numId w:val="0"/>
        </w:numPr>
        <w:tabs>
          <w:tab w:val="left" w:pos="1560"/>
          <w:tab w:val="clear" w:pos="780"/>
        </w:tabs>
        <w:spacing w:line="288" w:lineRule="auto"/>
        <w:ind w:left="-2" w:leftChars="-1"/>
        <w:rPr>
          <w:rFonts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．违约赔偿</w:t>
      </w:r>
    </w:p>
    <w:p>
      <w:pPr>
        <w:spacing w:line="288" w:lineRule="auto"/>
        <w:rPr>
          <w:rFonts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 xml:space="preserve">.2 </w:t>
      </w:r>
      <w:r>
        <w:rPr>
          <w:rFonts w:hint="eastAsia" w:ascii="仿宋" w:hAnsi="仿宋" w:eastAsia="仿宋" w:cs="仿宋"/>
          <w:sz w:val="24"/>
        </w:rPr>
        <w:t>中标人和采购人签订合同，按合同规定的供货时间供货并安装调试完毕。逾期每推迟一天，扣中标价0.1%的滞纳金给采购人。</w:t>
      </w:r>
    </w:p>
    <w:p>
      <w:pPr>
        <w:snapToGrid w:val="0"/>
        <w:spacing w:line="288" w:lineRule="auto"/>
        <w:jc w:val="left"/>
        <w:rPr>
          <w:rFonts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.3招标人在规定时间无正当理由拒签合同者，以招标违约处理，并赔偿中标人由此造成的直接经济损失。</w:t>
      </w:r>
    </w:p>
    <w:p>
      <w:pPr>
        <w:spacing w:line="288" w:lineRule="auto"/>
        <w:jc w:val="left"/>
        <w:rPr>
          <w:rFonts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.不可抗力</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.1如果双方中任何一方由于战争、严重火灾、水灾、台风和地震以及其它经双方同意属于不可抗力的事故，致使合同履行受阻时，履行合同的期限应予延长，延长的期限应相当于事故所影响的时间。</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sz w:val="24"/>
          <w:lang w:val="en-US" w:eastAsia="zh-CN"/>
        </w:rPr>
        <w:t>9</w:t>
      </w:r>
      <w:r>
        <w:rPr>
          <w:rFonts w:hint="eastAsia" w:ascii="仿宋" w:hAnsi="仿宋" w:eastAsia="仿宋" w:cs="仿宋"/>
          <w:sz w:val="24"/>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288" w:lineRule="auto"/>
        <w:jc w:val="left"/>
        <w:rPr>
          <w:rFonts w:ascii="仿宋" w:hAnsi="仿宋" w:eastAsia="仿宋" w:cs="仿宋"/>
          <w:b/>
          <w:sz w:val="24"/>
        </w:rPr>
      </w:pPr>
      <w:r>
        <w:rPr>
          <w:rFonts w:hint="eastAsia" w:ascii="仿宋" w:hAnsi="仿宋" w:eastAsia="仿宋" w:cs="仿宋"/>
          <w:b/>
          <w:sz w:val="24"/>
          <w:lang w:val="en-US" w:eastAsia="zh-CN"/>
        </w:rPr>
        <w:t>10</w:t>
      </w:r>
      <w:r>
        <w:rPr>
          <w:rFonts w:hint="eastAsia" w:ascii="仿宋" w:hAnsi="仿宋" w:eastAsia="仿宋" w:cs="仿宋"/>
          <w:b/>
          <w:sz w:val="24"/>
        </w:rPr>
        <w:t>.解决合同纠纷的方式</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sz w:val="24"/>
          <w:lang w:val="en-US" w:eastAsia="zh-CN"/>
        </w:rPr>
        <w:t>10</w:t>
      </w:r>
      <w:r>
        <w:rPr>
          <w:rFonts w:hint="eastAsia" w:ascii="仿宋" w:hAnsi="仿宋" w:eastAsia="仿宋" w:cs="仿宋"/>
          <w:sz w:val="24"/>
        </w:rPr>
        <w:t>.1凡有关本合同或与本合同中发生的争端，双方应通过友好协商，妥善解决。如通过协商仍不能解决时，可向当地的仲裁机构申请仲裁或人民法院起诉。</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sz w:val="24"/>
          <w:lang w:val="en-US" w:eastAsia="zh-CN"/>
        </w:rPr>
        <w:t>10</w:t>
      </w:r>
      <w:r>
        <w:rPr>
          <w:rFonts w:hint="eastAsia" w:ascii="仿宋" w:hAnsi="仿宋" w:eastAsia="仿宋" w:cs="仿宋"/>
          <w:sz w:val="24"/>
        </w:rPr>
        <w:t>.2仲裁和诉讼费用除仲裁机构和人民法院另有裁决外，由败诉方承担。</w:t>
      </w:r>
    </w:p>
    <w:p>
      <w:pPr>
        <w:pStyle w:val="6"/>
        <w:numPr>
          <w:ilvl w:val="0"/>
          <w:numId w:val="0"/>
        </w:numPr>
        <w:tabs>
          <w:tab w:val="clear" w:pos="780"/>
        </w:tabs>
        <w:spacing w:line="288" w:lineRule="auto"/>
        <w:rPr>
          <w:rFonts w:ascii="仿宋" w:hAnsi="仿宋" w:eastAsia="仿宋" w:cs="仿宋"/>
          <w:sz w:val="24"/>
        </w:rPr>
      </w:pPr>
      <w:r>
        <w:rPr>
          <w:rFonts w:hint="eastAsia" w:ascii="仿宋" w:hAnsi="仿宋" w:eastAsia="仿宋" w:cs="仿宋"/>
          <w:sz w:val="24"/>
          <w:lang w:val="en-US" w:eastAsia="zh-CN"/>
        </w:rPr>
        <w:t>10</w:t>
      </w:r>
      <w:r>
        <w:rPr>
          <w:rFonts w:hint="eastAsia" w:ascii="仿宋" w:hAnsi="仿宋" w:eastAsia="仿宋" w:cs="仿宋"/>
          <w:sz w:val="24"/>
        </w:rPr>
        <w:t>.3在仲裁和诉讼期间，除正在进行裁定的部分外，本合同其他部分应继续执行。</w:t>
      </w:r>
    </w:p>
    <w:p>
      <w:pPr>
        <w:spacing w:line="288" w:lineRule="auto"/>
        <w:jc w:val="left"/>
        <w:rPr>
          <w:rFonts w:hint="eastAsia" w:ascii="仿宋" w:hAnsi="仿宋" w:eastAsia="仿宋" w:cs="仿宋"/>
          <w:sz w:val="24"/>
        </w:rPr>
      </w:pPr>
      <w:r>
        <w:rPr>
          <w:rFonts w:hint="eastAsia" w:ascii="仿宋" w:hAnsi="仿宋" w:eastAsia="仿宋" w:cs="仿宋"/>
          <w:sz w:val="24"/>
          <w:lang w:val="en-US" w:eastAsia="zh-CN"/>
        </w:rPr>
        <w:t>10</w:t>
      </w:r>
      <w:r>
        <w:rPr>
          <w:rFonts w:hint="eastAsia" w:ascii="仿宋" w:hAnsi="仿宋" w:eastAsia="仿宋" w:cs="仿宋"/>
          <w:sz w:val="24"/>
        </w:rPr>
        <w:t>.4合同应在双方签字盖章，采购人收到中标人提供的履约保证金后开始生效。</w:t>
      </w:r>
    </w:p>
    <w:p>
      <w:pPr>
        <w:spacing w:line="288" w:lineRule="auto"/>
        <w:jc w:val="left"/>
        <w:rPr>
          <w:rFonts w:hint="eastAsia"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pStyle w:val="14"/>
        <w:spacing w:line="800" w:lineRule="exact"/>
        <w:jc w:val="center"/>
        <w:rPr>
          <w:rFonts w:hint="eastAsia" w:ascii="仿宋" w:hAnsi="仿宋" w:eastAsia="仿宋" w:cs="仿宋"/>
          <w:b/>
          <w:sz w:val="36"/>
          <w:szCs w:val="36"/>
        </w:rPr>
      </w:pPr>
    </w:p>
    <w:p>
      <w:pPr>
        <w:pStyle w:val="14"/>
        <w:spacing w:line="800" w:lineRule="exact"/>
        <w:jc w:val="both"/>
        <w:rPr>
          <w:rFonts w:hint="eastAsia" w:ascii="仿宋" w:hAnsi="仿宋" w:eastAsia="仿宋" w:cs="仿宋"/>
          <w:b/>
          <w:sz w:val="36"/>
          <w:szCs w:val="36"/>
        </w:rPr>
      </w:pPr>
    </w:p>
    <w:p>
      <w:pPr>
        <w:spacing w:line="288" w:lineRule="auto"/>
        <w:ind w:firstLine="480" w:firstLineChars="200"/>
        <w:jc w:val="left"/>
        <w:rPr>
          <w:rFonts w:ascii="仿宋" w:hAnsi="仿宋" w:eastAsia="仿宋" w:cs="仿宋"/>
          <w:kern w:val="0"/>
          <w:sz w:val="24"/>
        </w:rPr>
      </w:pPr>
    </w:p>
    <w:p>
      <w:pPr>
        <w:spacing w:line="288" w:lineRule="auto"/>
        <w:ind w:hanging="2"/>
        <w:jc w:val="left"/>
        <w:rPr>
          <w:rFonts w:ascii="仿宋" w:hAnsi="仿宋" w:eastAsia="仿宋" w:cs="仿宋"/>
          <w:sz w:val="24"/>
        </w:rPr>
      </w:pPr>
    </w:p>
    <w:p>
      <w:pPr>
        <w:spacing w:line="288" w:lineRule="auto"/>
        <w:rPr>
          <w:rFonts w:ascii="仿宋" w:hAnsi="仿宋" w:eastAsia="仿宋" w:cs="仿宋"/>
          <w:sz w:val="24"/>
        </w:rPr>
      </w:pPr>
    </w:p>
    <w:p>
      <w:pPr>
        <w:pStyle w:val="6"/>
        <w:numPr>
          <w:ilvl w:val="0"/>
          <w:numId w:val="0"/>
        </w:numPr>
        <w:tabs>
          <w:tab w:val="clear" w:pos="780"/>
        </w:tabs>
        <w:spacing w:line="288" w:lineRule="auto"/>
        <w:rPr>
          <w:rFonts w:ascii="仿宋" w:hAnsi="仿宋" w:eastAsia="仿宋" w:cs="仿宋"/>
          <w:kern w:val="0"/>
          <w:sz w:val="24"/>
          <w:szCs w:val="20"/>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288" w:lineRule="auto"/>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FF0000"/>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7</w:t>
      </w:r>
      <w:r>
        <w:rPr>
          <w:rFonts w:hint="eastAsia" w:ascii="仿宋" w:hAnsi="仿宋" w:eastAsia="仿宋" w:cs="仿宋"/>
          <w:sz w:val="24"/>
        </w:rPr>
        <w:t>0分，价格分</w:t>
      </w:r>
      <w:r>
        <w:rPr>
          <w:rFonts w:hint="eastAsia" w:ascii="仿宋" w:hAnsi="仿宋" w:eastAsia="仿宋" w:cs="仿宋"/>
          <w:sz w:val="24"/>
          <w:lang w:val="en-US" w:eastAsia="zh-CN"/>
        </w:rPr>
        <w:t>3</w:t>
      </w:r>
      <w:r>
        <w:rPr>
          <w:rFonts w:hint="eastAsia" w:ascii="仿宋" w:hAnsi="仿宋" w:eastAsia="仿宋" w:cs="仿宋"/>
          <w:sz w:val="24"/>
        </w:rPr>
        <w:t>0分。评分依下述所列为评标打分依据，分值如下（计算分值时，按其算术平均值保留小数2位）。</w:t>
      </w:r>
    </w:p>
    <w:p>
      <w:pPr>
        <w:spacing w:line="288" w:lineRule="auto"/>
        <w:rPr>
          <w:rFonts w:ascii="仿宋" w:hAnsi="仿宋" w:eastAsia="仿宋" w:cs="仿宋"/>
          <w:b/>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w:t>
      </w:r>
      <w:r>
        <w:rPr>
          <w:rFonts w:hint="eastAsia" w:ascii="仿宋" w:hAnsi="仿宋" w:eastAsia="仿宋" w:cs="仿宋"/>
          <w:b/>
          <w:bCs/>
          <w:sz w:val="24"/>
          <w:lang w:val="en-US" w:eastAsia="zh-CN"/>
        </w:rPr>
        <w:t>7</w:t>
      </w:r>
      <w:r>
        <w:rPr>
          <w:rFonts w:hint="eastAsia" w:ascii="仿宋" w:hAnsi="仿宋" w:eastAsia="仿宋" w:cs="仿宋"/>
          <w:b/>
          <w:bCs/>
          <w:sz w:val="24"/>
        </w:rPr>
        <w:t>0分）</w:t>
      </w:r>
    </w:p>
    <w:tbl>
      <w:tblPr>
        <w:tblStyle w:val="26"/>
        <w:tblW w:w="9238" w:type="dxa"/>
        <w:tblInd w:w="0" w:type="dxa"/>
        <w:tblLayout w:type="fixed"/>
        <w:tblCellMar>
          <w:top w:w="0" w:type="dxa"/>
          <w:left w:w="108" w:type="dxa"/>
          <w:bottom w:w="0" w:type="dxa"/>
          <w:right w:w="108" w:type="dxa"/>
        </w:tblCellMar>
      </w:tblPr>
      <w:tblGrid>
        <w:gridCol w:w="623"/>
        <w:gridCol w:w="908"/>
        <w:gridCol w:w="580"/>
        <w:gridCol w:w="7127"/>
      </w:tblGrid>
      <w:tr>
        <w:tblPrEx>
          <w:tblCellMar>
            <w:top w:w="0" w:type="dxa"/>
            <w:left w:w="108" w:type="dxa"/>
            <w:bottom w:w="0" w:type="dxa"/>
            <w:right w:w="108" w:type="dxa"/>
          </w:tblCellMar>
        </w:tblPrEx>
        <w:trPr>
          <w:trHeight w:val="521"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序号</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评审因素</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分值</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评分标准说明</w:t>
            </w:r>
          </w:p>
        </w:tc>
      </w:tr>
      <w:tr>
        <w:tblPrEx>
          <w:tblCellMar>
            <w:top w:w="0" w:type="dxa"/>
            <w:left w:w="108" w:type="dxa"/>
            <w:bottom w:w="0" w:type="dxa"/>
            <w:right w:w="108" w:type="dxa"/>
          </w:tblCellMar>
        </w:tblPrEx>
        <w:trPr>
          <w:trHeight w:val="178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left"/>
              <w:textAlignment w:val="auto"/>
              <w:rPr>
                <w:rFonts w:ascii="仿宋" w:hAnsi="仿宋" w:eastAsia="仿宋" w:cs="仿宋"/>
                <w:color w:val="auto"/>
                <w:sz w:val="24"/>
                <w:szCs w:val="24"/>
              </w:rPr>
            </w:pPr>
            <w:r>
              <w:rPr>
                <w:rFonts w:hint="eastAsia" w:ascii="仿宋" w:hAnsi="仿宋" w:eastAsia="仿宋" w:cs="仿宋"/>
                <w:color w:val="auto"/>
                <w:sz w:val="24"/>
                <w:szCs w:val="24"/>
              </w:rPr>
              <w:t>项目整体理解程度</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投标供应商对项目整体要求的解读和对项目现状的理解及掌握程度评价：</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1、具体体现在对绍兴市区智能化交通网络组网架构及物理分布情况的掌握，作详细说明并附架构图，描述正确，与实际相符得1分，否则不得分；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2、各系统的组成作详细说明并附架构图，描述正确，与实际相符得1分，否则不得分；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3、信号控制模式的理解，描述正确，与实际相符得1分，否则不得分。</w:t>
            </w:r>
          </w:p>
        </w:tc>
      </w:tr>
      <w:tr>
        <w:tblPrEx>
          <w:tblCellMar>
            <w:top w:w="0" w:type="dxa"/>
            <w:left w:w="108" w:type="dxa"/>
            <w:bottom w:w="0" w:type="dxa"/>
            <w:right w:w="108" w:type="dxa"/>
          </w:tblCellMar>
        </w:tblPrEx>
        <w:trPr>
          <w:trHeight w:val="776"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维护及服务技术方案</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维护及服务技术方案评价：</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1、能够提供详细的维护及服务技术方案，方案合理，所采用技术较为先进，性能稳定，得</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2、维护及服务技术方案符合招标文件要求，无明显缺陷，得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3、维护及服务技术方案可满足招标文件要求，但有某些不甚合理，尚可用，得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4、维护及服务技术方案不满足招标文件要求得，不得分。</w:t>
            </w:r>
          </w:p>
        </w:tc>
      </w:tr>
      <w:tr>
        <w:tblPrEx>
          <w:tblCellMar>
            <w:top w:w="0" w:type="dxa"/>
            <w:left w:w="108" w:type="dxa"/>
            <w:bottom w:w="0" w:type="dxa"/>
            <w:right w:w="108" w:type="dxa"/>
          </w:tblCellMar>
        </w:tblPrEx>
        <w:trPr>
          <w:trHeight w:val="102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维护及运行状态管理体系</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维护及运行状态管理体系评价：</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1、合理可行的设备维护操作规范及流程的，满足要求得1分，否则不得分；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2、设备网络在线状态监控管理软件，具有设备网络在线状态记录功能,软件截图为准，满足要求得2分，否则不得分；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3、核心网络重要端口故障报警提醒功能, 软件截图为准，满足要求得2分，否则不得分；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4、自动记算各类设备网络在线率, 软件截图为准，满足要求得1分，否则不得分。</w:t>
            </w:r>
          </w:p>
        </w:tc>
      </w:tr>
      <w:tr>
        <w:tblPrEx>
          <w:tblCellMar>
            <w:top w:w="0" w:type="dxa"/>
            <w:left w:w="108" w:type="dxa"/>
            <w:bottom w:w="0" w:type="dxa"/>
            <w:right w:w="108" w:type="dxa"/>
          </w:tblCellMar>
        </w:tblPrEx>
        <w:trPr>
          <w:trHeight w:val="102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sz w:val="24"/>
                <w:szCs w:val="24"/>
              </w:rPr>
            </w:pPr>
            <w:r>
              <w:rPr>
                <w:rFonts w:hint="eastAsia" w:ascii="仿宋" w:hAnsi="仿宋" w:eastAsia="仿宋" w:cs="仿宋"/>
                <w:color w:val="auto"/>
                <w:sz w:val="24"/>
                <w:szCs w:val="24"/>
              </w:rPr>
              <w:t>4</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网络传输衔接保障</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网络传输无缝衔接方案评价：为保证本项目各系统的良好运行，投标供应商提供与项目相关的网络传输单位进行无缝衔接配合方案，优得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分，良得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分，一般得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分，没有不得分。</w:t>
            </w:r>
          </w:p>
        </w:tc>
      </w:tr>
      <w:tr>
        <w:tblPrEx>
          <w:tblCellMar>
            <w:top w:w="0" w:type="dxa"/>
            <w:left w:w="108" w:type="dxa"/>
            <w:bottom w:w="0" w:type="dxa"/>
            <w:right w:w="108" w:type="dxa"/>
          </w:tblCellMar>
        </w:tblPrEx>
        <w:trPr>
          <w:trHeight w:val="776"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应急保障</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应急保障能力与承诺评价：以及实现上述目标所采取的措施是否合理可靠，优得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分，良得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分，一般得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分，没有不得分。</w:t>
            </w:r>
          </w:p>
        </w:tc>
      </w:tr>
      <w:tr>
        <w:tblPrEx>
          <w:tblCellMar>
            <w:top w:w="0" w:type="dxa"/>
            <w:left w:w="108" w:type="dxa"/>
            <w:bottom w:w="0" w:type="dxa"/>
            <w:right w:w="108" w:type="dxa"/>
          </w:tblCellMar>
        </w:tblPrEx>
        <w:trPr>
          <w:trHeight w:val="2297"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left"/>
              <w:textAlignment w:val="auto"/>
              <w:rPr>
                <w:rFonts w:ascii="仿宋" w:hAnsi="仿宋" w:eastAsia="仿宋" w:cs="仿宋"/>
                <w:color w:val="auto"/>
                <w:sz w:val="24"/>
                <w:szCs w:val="24"/>
              </w:rPr>
            </w:pPr>
            <w:r>
              <w:rPr>
                <w:rFonts w:hint="eastAsia" w:ascii="仿宋" w:hAnsi="仿宋" w:eastAsia="仿宋" w:cs="仿宋"/>
                <w:color w:val="auto"/>
                <w:sz w:val="24"/>
                <w:szCs w:val="24"/>
              </w:rPr>
              <w:t>备品备件原厂技术支持</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color w:val="auto"/>
                <w:sz w:val="24"/>
                <w:szCs w:val="24"/>
              </w:rPr>
            </w:pPr>
            <w:r>
              <w:rPr>
                <w:rFonts w:hint="eastAsia" w:ascii="仿宋" w:hAnsi="仿宋" w:eastAsia="仿宋" w:cs="仿宋"/>
                <w:color w:val="auto"/>
                <w:sz w:val="24"/>
                <w:szCs w:val="24"/>
              </w:rPr>
              <w:t>为保证本项目各系统的稳定性，本次投标所提供的更换的维护产品必须为国内外知名厂家生产的原厂产品。取得备品备件原厂技术支持承诺的，每个承诺得1分，最高得3分。投标文件中装订承诺原件，无原件不得分。（投标时提供备品备件按时足额到位承诺书，第一个六个月维护结束后，由业主单位清点无误后支付维护款。维护期满后，中标单位应按所报数量、品牌、型号把备品备件移交给业主，业主单位确认后付清维护费。投标单位在报价时充分考虑备品备件的费用）</w:t>
            </w:r>
          </w:p>
        </w:tc>
      </w:tr>
      <w:tr>
        <w:tblPrEx>
          <w:tblCellMar>
            <w:top w:w="0" w:type="dxa"/>
            <w:left w:w="108" w:type="dxa"/>
            <w:bottom w:w="0" w:type="dxa"/>
            <w:right w:w="108" w:type="dxa"/>
          </w:tblCellMar>
        </w:tblPrEx>
        <w:trPr>
          <w:trHeight w:val="178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7</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left"/>
              <w:textAlignment w:val="auto"/>
              <w:rPr>
                <w:rFonts w:ascii="仿宋" w:hAnsi="仿宋" w:eastAsia="仿宋" w:cs="仿宋"/>
                <w:sz w:val="24"/>
                <w:szCs w:val="24"/>
              </w:rPr>
            </w:pPr>
            <w:r>
              <w:rPr>
                <w:rFonts w:hint="eastAsia" w:ascii="仿宋" w:hAnsi="仿宋" w:eastAsia="仿宋" w:cs="仿宋"/>
                <w:sz w:val="24"/>
                <w:szCs w:val="24"/>
              </w:rPr>
              <w:t>维护产品与需求的吻合程度</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22</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sz w:val="24"/>
                <w:szCs w:val="24"/>
              </w:rPr>
            </w:pPr>
            <w:r>
              <w:rPr>
                <w:rFonts w:hint="eastAsia" w:ascii="仿宋" w:hAnsi="仿宋" w:eastAsia="仿宋" w:cs="仿宋"/>
                <w:sz w:val="24"/>
                <w:szCs w:val="24"/>
              </w:rPr>
              <w:t>为保证原系统的优越性和产品的稳定性，本次投标所提供的更换的维护产品的主要性能指标应满足本次招标的基本参数要求，对于维护中提供需更换的产品不满足主要性能的参数产品将进行扣分处理。打“★”号设备性能指标为必须满足招标文件要求，任意一条出现负偏离的均视同为实质性不响应招标文件要求，作无效投标处理。 打“▲”号的设备性能指标中，每有一项负偏离的扣2分,扣完为止。</w:t>
            </w:r>
          </w:p>
        </w:tc>
      </w:tr>
      <w:tr>
        <w:tblPrEx>
          <w:tblCellMar>
            <w:top w:w="0" w:type="dxa"/>
            <w:left w:w="108" w:type="dxa"/>
            <w:bottom w:w="0" w:type="dxa"/>
            <w:right w:w="108" w:type="dxa"/>
          </w:tblCellMar>
        </w:tblPrEx>
        <w:trPr>
          <w:trHeight w:val="282"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8</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left"/>
              <w:textAlignment w:val="auto"/>
              <w:rPr>
                <w:rFonts w:ascii="仿宋" w:hAnsi="仿宋" w:eastAsia="仿宋" w:cs="仿宋"/>
                <w:sz w:val="24"/>
                <w:szCs w:val="24"/>
              </w:rPr>
            </w:pPr>
            <w:r>
              <w:rPr>
                <w:rFonts w:hint="eastAsia" w:ascii="仿宋" w:hAnsi="仿宋" w:eastAsia="仿宋" w:cs="仿宋"/>
                <w:sz w:val="24"/>
                <w:szCs w:val="24"/>
              </w:rPr>
              <w:t>投标单位业绩</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9</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color w:val="FF0000"/>
                <w:kern w:val="0"/>
                <w:sz w:val="24"/>
                <w:szCs w:val="24"/>
              </w:rPr>
            </w:pPr>
            <w:r>
              <w:rPr>
                <w:rFonts w:hint="eastAsia" w:ascii="仿宋" w:hAnsi="仿宋" w:eastAsia="仿宋" w:cs="仿宋"/>
                <w:sz w:val="24"/>
                <w:szCs w:val="24"/>
              </w:rPr>
              <w:t>2013年1月1日</w:t>
            </w:r>
            <w:r>
              <w:rPr>
                <w:rFonts w:hint="eastAsia" w:ascii="仿宋" w:hAnsi="仿宋" w:eastAsia="仿宋" w:cs="仿宋"/>
                <w:color w:val="auto"/>
                <w:sz w:val="24"/>
                <w:szCs w:val="24"/>
              </w:rPr>
              <w:t>至今（合同签订时间为准）</w:t>
            </w:r>
            <w:r>
              <w:rPr>
                <w:rFonts w:hint="eastAsia" w:ascii="仿宋" w:hAnsi="仿宋" w:eastAsia="仿宋" w:cs="仿宋"/>
                <w:strike w:val="0"/>
                <w:dstrike w:val="0"/>
                <w:color w:val="auto"/>
                <w:sz w:val="24"/>
                <w:szCs w:val="24"/>
                <w:lang w:eastAsia="zh-CN"/>
              </w:rPr>
              <w:t>同类（</w:t>
            </w:r>
            <w:r>
              <w:rPr>
                <w:rFonts w:hint="eastAsia" w:ascii="仿宋" w:hAnsi="仿宋" w:eastAsia="仿宋" w:cs="仿宋"/>
                <w:color w:val="auto"/>
                <w:sz w:val="24"/>
                <w:szCs w:val="24"/>
              </w:rPr>
              <w:t>智慧交通</w:t>
            </w:r>
            <w:r>
              <w:rPr>
                <w:rFonts w:hint="eastAsia" w:ascii="仿宋" w:hAnsi="仿宋" w:eastAsia="仿宋" w:cs="仿宋"/>
                <w:strike w:val="0"/>
                <w:dstrike w:val="0"/>
                <w:color w:val="auto"/>
                <w:sz w:val="24"/>
                <w:szCs w:val="24"/>
                <w:lang w:eastAsia="zh-CN"/>
              </w:rPr>
              <w:t>）</w:t>
            </w:r>
            <w:r>
              <w:rPr>
                <w:rFonts w:hint="eastAsia" w:ascii="仿宋" w:hAnsi="仿宋" w:eastAsia="仿宋" w:cs="仿宋"/>
                <w:color w:val="auto"/>
                <w:sz w:val="24"/>
                <w:szCs w:val="24"/>
              </w:rPr>
              <w:t>项目</w:t>
            </w:r>
            <w:r>
              <w:rPr>
                <w:rFonts w:hint="eastAsia" w:ascii="仿宋" w:hAnsi="仿宋" w:eastAsia="仿宋" w:cs="仿宋"/>
                <w:color w:val="auto"/>
                <w:sz w:val="24"/>
                <w:szCs w:val="24"/>
                <w:lang w:eastAsia="zh-CN"/>
              </w:rPr>
              <w:t>业绩</w:t>
            </w:r>
            <w:r>
              <w:rPr>
                <w:rFonts w:hint="eastAsia" w:ascii="仿宋" w:hAnsi="仿宋" w:eastAsia="仿宋" w:cs="仿宋"/>
                <w:color w:val="auto"/>
                <w:sz w:val="24"/>
                <w:szCs w:val="24"/>
              </w:rPr>
              <w:t>，每个项目</w:t>
            </w:r>
            <w:r>
              <w:rPr>
                <w:rFonts w:hint="eastAsia" w:ascii="仿宋" w:hAnsi="仿宋" w:eastAsia="仿宋" w:cs="仿宋"/>
                <w:color w:val="auto"/>
                <w:sz w:val="24"/>
                <w:szCs w:val="24"/>
                <w:lang w:eastAsia="zh-CN"/>
              </w:rPr>
              <w:t>业绩</w:t>
            </w:r>
            <w:r>
              <w:rPr>
                <w:rFonts w:hint="eastAsia" w:ascii="仿宋" w:hAnsi="仿宋" w:eastAsia="仿宋" w:cs="仿宋"/>
                <w:color w:val="auto"/>
                <w:sz w:val="24"/>
                <w:szCs w:val="24"/>
              </w:rPr>
              <w:t>得1.5分，最多9分。（投标文件中提供业绩合同复印件并加盖投标单位公章，合同一方名称与投标人必须一致）。</w:t>
            </w:r>
          </w:p>
        </w:tc>
      </w:tr>
      <w:tr>
        <w:tblPrEx>
          <w:tblCellMar>
            <w:top w:w="0" w:type="dxa"/>
            <w:left w:w="108" w:type="dxa"/>
            <w:bottom w:w="0" w:type="dxa"/>
            <w:right w:w="108" w:type="dxa"/>
          </w:tblCellMar>
        </w:tblPrEx>
        <w:trPr>
          <w:trHeight w:val="381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9</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left"/>
              <w:textAlignment w:val="auto"/>
              <w:rPr>
                <w:rFonts w:ascii="仿宋" w:hAnsi="仿宋" w:eastAsia="仿宋" w:cs="仿宋"/>
                <w:sz w:val="24"/>
                <w:szCs w:val="24"/>
              </w:rPr>
            </w:pPr>
            <w:r>
              <w:rPr>
                <w:rFonts w:hint="eastAsia" w:ascii="仿宋" w:hAnsi="仿宋" w:eastAsia="仿宋" w:cs="仿宋"/>
                <w:sz w:val="24"/>
                <w:szCs w:val="24"/>
              </w:rPr>
              <w:t>本地化服务能力技术力量</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10</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sz w:val="24"/>
                <w:szCs w:val="24"/>
              </w:rPr>
            </w:pPr>
            <w:r>
              <w:rPr>
                <w:rFonts w:hint="eastAsia" w:ascii="仿宋" w:hAnsi="仿宋" w:eastAsia="仿宋" w:cs="仿宋"/>
                <w:sz w:val="24"/>
                <w:szCs w:val="24"/>
              </w:rPr>
              <w:t>1、投标人具有PMP证书项目经理至少二名，满足得2分，不满足不得分；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sz w:val="24"/>
                <w:szCs w:val="24"/>
              </w:rPr>
            </w:pPr>
            <w:r>
              <w:rPr>
                <w:rFonts w:hint="eastAsia" w:ascii="仿宋" w:hAnsi="仿宋" w:eastAsia="仿宋" w:cs="仿宋"/>
                <w:sz w:val="24"/>
                <w:szCs w:val="24"/>
              </w:rPr>
              <w:t>2、投标人具有CCIE证书的技术负责人至少一名，满足得2分，不满足不得分；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sz w:val="24"/>
                <w:szCs w:val="24"/>
              </w:rPr>
            </w:pPr>
            <w:r>
              <w:rPr>
                <w:rFonts w:hint="eastAsia" w:ascii="仿宋" w:hAnsi="仿宋" w:eastAsia="仿宋" w:cs="仿宋"/>
                <w:sz w:val="24"/>
                <w:szCs w:val="24"/>
              </w:rPr>
              <w:t>3、投标人项目组成员具有OCP数据库认证工程师证书的，满足每证得1分，最高得2分，不满足不得分；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sz w:val="24"/>
                <w:szCs w:val="24"/>
              </w:rPr>
            </w:pPr>
            <w:r>
              <w:rPr>
                <w:rFonts w:hint="eastAsia" w:ascii="仿宋" w:hAnsi="仿宋" w:eastAsia="仿宋" w:cs="仿宋"/>
                <w:sz w:val="24"/>
                <w:szCs w:val="24"/>
              </w:rPr>
              <w:t>4、投标人项目组成员具有CISP注册信息安全专业人员证书的，满足每证得1分，最高得2分，不满足不得分；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sz w:val="24"/>
                <w:szCs w:val="24"/>
              </w:rPr>
            </w:pPr>
            <w:r>
              <w:rPr>
                <w:rFonts w:hint="eastAsia" w:ascii="仿宋" w:hAnsi="仿宋" w:eastAsia="仿宋" w:cs="仿宋"/>
                <w:sz w:val="24"/>
                <w:szCs w:val="24"/>
              </w:rPr>
              <w:t>5、投标人项目组成员具有ITIL专业人员证书的，满足每证得1分，最高得2分，不满足不得分；</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sz w:val="24"/>
                <w:szCs w:val="24"/>
              </w:rPr>
            </w:pPr>
            <w:r>
              <w:rPr>
                <w:rFonts w:hint="eastAsia" w:ascii="仿宋" w:hAnsi="仿宋" w:eastAsia="仿宋" w:cs="仿宋"/>
                <w:sz w:val="24"/>
                <w:szCs w:val="24"/>
              </w:rPr>
              <w:t>注：投标人承诺本项目以上所列项目技术队伍须在绍兴市区域内长期驻守（年均驻守时间不得少于250个工作天,期限三年），且人员变更前需征得招标人同意。如投标人未有明确承诺，则本大项不得分。本项目以上所列项目技术队伍须为投标单位在职员工（投标文件中提供上述证书复印件和包含有202</w:t>
            </w:r>
            <w:r>
              <w:rPr>
                <w:rFonts w:hint="eastAsia" w:ascii="仿宋" w:hAnsi="仿宋" w:eastAsia="仿宋" w:cs="仿宋"/>
                <w:sz w:val="24"/>
                <w:szCs w:val="24"/>
                <w:lang w:val="en-US" w:eastAsia="zh-CN"/>
              </w:rPr>
              <w:t>1</w:t>
            </w:r>
            <w:r>
              <w:rPr>
                <w:rFonts w:hint="eastAsia" w:ascii="仿宋" w:hAnsi="仿宋" w:eastAsia="仿宋" w:cs="仿宋"/>
                <w:sz w:val="24"/>
                <w:szCs w:val="24"/>
              </w:rPr>
              <w:t>年</w:t>
            </w:r>
            <w:r>
              <w:rPr>
                <w:rFonts w:hint="eastAsia" w:ascii="仿宋" w:hAnsi="仿宋" w:eastAsia="仿宋" w:cs="仿宋"/>
                <w:sz w:val="24"/>
                <w:szCs w:val="24"/>
                <w:lang w:val="en-US" w:eastAsia="zh-CN"/>
              </w:rPr>
              <w:t>4月</w:t>
            </w:r>
            <w:r>
              <w:rPr>
                <w:rFonts w:ascii="仿宋" w:hAnsi="仿宋" w:eastAsia="仿宋" w:cs="仿宋"/>
                <w:sz w:val="24"/>
                <w:szCs w:val="24"/>
              </w:rPr>
              <w:t>2021</w:t>
            </w:r>
            <w:r>
              <w:rPr>
                <w:rFonts w:hint="eastAsia" w:ascii="仿宋" w:hAnsi="仿宋" w:eastAsia="仿宋" w:cs="仿宋"/>
                <w:sz w:val="24"/>
                <w:szCs w:val="24"/>
              </w:rPr>
              <w:t>年</w:t>
            </w:r>
            <w:r>
              <w:rPr>
                <w:rFonts w:hint="eastAsia" w:ascii="仿宋" w:hAnsi="仿宋" w:eastAsia="仿宋" w:cs="仿宋"/>
                <w:sz w:val="24"/>
                <w:szCs w:val="24"/>
                <w:lang w:val="en-US" w:eastAsia="zh-CN"/>
              </w:rPr>
              <w:t>6</w:t>
            </w:r>
            <w:r>
              <w:rPr>
                <w:rFonts w:hint="eastAsia" w:ascii="仿宋" w:hAnsi="仿宋" w:eastAsia="仿宋" w:cs="仿宋"/>
                <w:sz w:val="24"/>
                <w:szCs w:val="24"/>
              </w:rPr>
              <w:t>月在本单位缴纳的社保证明复印件并加盖投标单位公章，否则不得分。）</w:t>
            </w:r>
          </w:p>
        </w:tc>
      </w:tr>
      <w:tr>
        <w:tblPrEx>
          <w:tblCellMar>
            <w:top w:w="0" w:type="dxa"/>
            <w:left w:w="108" w:type="dxa"/>
            <w:bottom w:w="0" w:type="dxa"/>
            <w:right w:w="108" w:type="dxa"/>
          </w:tblCellMar>
        </w:tblPrEx>
        <w:trPr>
          <w:trHeight w:val="869"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10</w:t>
            </w: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jc w:val="left"/>
              <w:textAlignment w:val="auto"/>
              <w:rPr>
                <w:rFonts w:ascii="仿宋" w:hAnsi="仿宋" w:eastAsia="仿宋" w:cs="仿宋"/>
                <w:sz w:val="24"/>
                <w:szCs w:val="24"/>
              </w:rPr>
            </w:pPr>
            <w:r>
              <w:rPr>
                <w:rFonts w:hint="eastAsia" w:ascii="仿宋" w:hAnsi="仿宋" w:eastAsia="仿宋" w:cs="仿宋"/>
                <w:sz w:val="24"/>
                <w:szCs w:val="24"/>
              </w:rPr>
              <w:t>维护服务网点</w:t>
            </w:r>
          </w:p>
        </w:tc>
        <w:tc>
          <w:tcPr>
            <w:tcW w:w="58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ascii="仿宋" w:hAnsi="仿宋" w:eastAsia="仿宋" w:cs="仿宋"/>
                <w:kern w:val="0"/>
                <w:sz w:val="24"/>
                <w:szCs w:val="24"/>
              </w:rPr>
            </w:pPr>
            <w:r>
              <w:rPr>
                <w:rFonts w:hint="eastAsia" w:ascii="仿宋" w:hAnsi="仿宋" w:eastAsia="仿宋" w:cs="仿宋"/>
                <w:kern w:val="0"/>
                <w:sz w:val="24"/>
                <w:szCs w:val="24"/>
              </w:rPr>
              <w:t>4</w:t>
            </w:r>
          </w:p>
        </w:tc>
        <w:tc>
          <w:tcPr>
            <w:tcW w:w="7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sz w:val="24"/>
                <w:szCs w:val="24"/>
              </w:rPr>
            </w:pPr>
            <w:r>
              <w:rPr>
                <w:rFonts w:hint="eastAsia" w:ascii="仿宋" w:hAnsi="仿宋" w:eastAsia="仿宋" w:cs="仿宋"/>
                <w:sz w:val="24"/>
                <w:szCs w:val="24"/>
              </w:rPr>
              <w:t>投标人提供项目覆盖区域内的售后服务机构名称、联系电话等清单，并提供相关证明文件，营业部（厅）、销售部、代理店等不计入服务网点范围。在本项目中所涉及范围内的售后服务网点每个得1分，本项最高得分4分。（投标人能提供自有房产证明，技术文件中提供带房产状况及房产证填发日期的页面复印件并加盖投标单位公章</w:t>
            </w:r>
          </w:p>
          <w:p>
            <w:pPr>
              <w:keepNext w:val="0"/>
              <w:keepLines w:val="0"/>
              <w:pageBreakBefore w:val="0"/>
              <w:widowControl/>
              <w:kinsoku/>
              <w:wordWrap/>
              <w:overflowPunct/>
              <w:topLinePunct w:val="0"/>
              <w:autoSpaceDE/>
              <w:autoSpaceDN/>
              <w:bidi w:val="0"/>
              <w:adjustRightInd w:val="0"/>
              <w:snapToGrid/>
              <w:spacing w:line="288" w:lineRule="auto"/>
              <w:textAlignment w:val="auto"/>
              <w:rPr>
                <w:rFonts w:ascii="仿宋" w:hAnsi="仿宋" w:eastAsia="仿宋" w:cs="仿宋"/>
                <w:sz w:val="24"/>
                <w:szCs w:val="24"/>
              </w:rPr>
            </w:pPr>
            <w:r>
              <w:rPr>
                <w:rFonts w:hint="eastAsia" w:ascii="仿宋" w:hAnsi="仿宋" w:eastAsia="仿宋" w:cs="仿宋"/>
                <w:sz w:val="24"/>
                <w:szCs w:val="24"/>
              </w:rPr>
              <w:t>注：投标人提供承诺，承诺中标后合同签订前能设立上述售后服务机构的，可按上述标准得分。（提供承诺书）</w:t>
            </w:r>
          </w:p>
        </w:tc>
      </w:tr>
    </w:tbl>
    <w:p>
      <w:pPr>
        <w:spacing w:line="288"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288" w:lineRule="auto"/>
        <w:rPr>
          <w:rFonts w:ascii="仿宋" w:hAnsi="仿宋" w:eastAsia="仿宋" w:cs="仿宋"/>
          <w:b/>
          <w:bCs/>
          <w:iCs/>
          <w:sz w:val="24"/>
          <w:highlight w:val="cyan"/>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3</w:t>
      </w:r>
      <w:r>
        <w:rPr>
          <w:rFonts w:hint="eastAsia" w:ascii="仿宋" w:hAnsi="仿宋" w:eastAsia="仿宋" w:cs="仿宋"/>
          <w:b/>
          <w:bCs/>
          <w:iCs/>
          <w:sz w:val="24"/>
        </w:rPr>
        <w:t>0分）</w:t>
      </w:r>
    </w:p>
    <w:p>
      <w:pPr>
        <w:spacing w:line="288" w:lineRule="auto"/>
        <w:rPr>
          <w:rFonts w:ascii="仿宋" w:hAnsi="仿宋" w:eastAsia="仿宋" w:cs="仿宋"/>
          <w:iCs/>
          <w:sz w:val="24"/>
        </w:rPr>
      </w:pPr>
      <w:r>
        <w:rPr>
          <w:rFonts w:hint="eastAsia" w:ascii="仿宋" w:hAnsi="仿宋" w:eastAsia="仿宋" w:cs="仿宋"/>
          <w:iCs/>
          <w:sz w:val="24"/>
        </w:rPr>
        <w:t>2.2.1评标基准价：即满足招标文件要求且投标价格最低的投标报价为评标基准价，其价格分为满分。</w:t>
      </w:r>
    </w:p>
    <w:p>
      <w:pPr>
        <w:spacing w:line="288" w:lineRule="auto"/>
        <w:rPr>
          <w:rFonts w:ascii="仿宋" w:hAnsi="仿宋" w:eastAsia="仿宋" w:cs="仿宋"/>
          <w:iCs/>
          <w:sz w:val="24"/>
        </w:rPr>
      </w:pPr>
      <w:r>
        <w:rPr>
          <w:rFonts w:hint="eastAsia" w:ascii="仿宋" w:hAnsi="仿宋" w:eastAsia="仿宋" w:cs="仿宋"/>
          <w:iCs/>
          <w:sz w:val="24"/>
        </w:rPr>
        <w:t>2.2.2其他投标人的价格分统一按照下列公式计算：</w:t>
      </w:r>
    </w:p>
    <w:p>
      <w:pPr>
        <w:spacing w:line="288" w:lineRule="auto"/>
        <w:rPr>
          <w:rFonts w:ascii="仿宋" w:hAnsi="仿宋" w:eastAsia="仿宋" w:cs="仿宋"/>
          <w:iCs/>
          <w:sz w:val="24"/>
        </w:rPr>
      </w:pPr>
      <w:r>
        <w:rPr>
          <w:rFonts w:hint="eastAsia" w:ascii="仿宋" w:hAnsi="仿宋" w:eastAsia="仿宋" w:cs="仿宋"/>
          <w:iCs/>
          <w:sz w:val="24"/>
        </w:rPr>
        <w:t>投标报价得分=(评标基准价／投标报价)×价格权值×100</w:t>
      </w:r>
    </w:p>
    <w:p>
      <w:pPr>
        <w:spacing w:line="288" w:lineRule="auto"/>
        <w:rPr>
          <w:rFonts w:ascii="仿宋" w:hAnsi="仿宋" w:eastAsia="仿宋" w:cs="仿宋"/>
          <w:iCs/>
          <w:sz w:val="24"/>
        </w:rPr>
      </w:pPr>
      <w:r>
        <w:rPr>
          <w:rFonts w:hint="eastAsia" w:ascii="仿宋" w:hAnsi="仿宋" w:eastAsia="仿宋" w:cs="仿宋"/>
          <w:iCs/>
          <w:sz w:val="24"/>
        </w:rPr>
        <w:t>即：投标报价得分=(评标基准价／投标报价)×</w:t>
      </w:r>
      <w:r>
        <w:rPr>
          <w:rFonts w:hint="eastAsia" w:ascii="仿宋" w:hAnsi="仿宋" w:eastAsia="仿宋" w:cs="仿宋"/>
          <w:iCs/>
          <w:sz w:val="24"/>
          <w:lang w:val="en-US" w:eastAsia="zh-CN"/>
        </w:rPr>
        <w:t>3</w:t>
      </w:r>
      <w:r>
        <w:rPr>
          <w:rFonts w:hint="eastAsia" w:ascii="仿宋" w:hAnsi="仿宋" w:eastAsia="仿宋" w:cs="仿宋"/>
          <w:iCs/>
          <w:sz w:val="24"/>
        </w:rPr>
        <w:t>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 w:hAnsi="仿宋" w:eastAsia="仿宋" w:cs="仿宋"/>
          <w:sz w:val="24"/>
          <w:lang w:val="zh-CN"/>
        </w:rPr>
        <w:t>制作加密电子投标文件时做好关联点设置。</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w:t>
      </w:r>
      <w:r>
        <w:rPr>
          <w:rFonts w:hint="eastAsia" w:ascii="仿宋" w:hAnsi="仿宋" w:eastAsia="仿宋" w:cs="仿宋"/>
          <w:kern w:val="0"/>
          <w:sz w:val="24"/>
          <w:lang w:eastAsia="zh-CN"/>
        </w:rPr>
        <w:t>（二选一）</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4"/>
        <w:spacing w:afterLines="0" w:line="288" w:lineRule="auto"/>
        <w:ind w:firstLine="0" w:firstLineChars="0"/>
        <w:rPr>
          <w:rFonts w:ascii="仿宋" w:hAnsi="仿宋" w:eastAsia="仿宋" w:cs="仿宋"/>
          <w:szCs w:val="24"/>
        </w:rPr>
      </w:pPr>
    </w:p>
    <w:p>
      <w:pPr>
        <w:pStyle w:val="64"/>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绍兴市公安局交通管理局、耀华建设管理有限公司 </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6"/>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4"/>
        <w:spacing w:afterLines="0" w:line="288" w:lineRule="auto"/>
        <w:ind w:firstLine="480"/>
        <w:rPr>
          <w:rFonts w:ascii="仿宋" w:hAnsi="仿宋" w:eastAsia="仿宋" w:cs="仿宋"/>
          <w:szCs w:val="24"/>
        </w:rPr>
      </w:pP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w:t>
      </w:r>
      <w:r>
        <w:rPr>
          <w:rFonts w:hint="eastAsia" w:ascii="仿宋" w:hAnsi="仿宋" w:eastAsia="仿宋" w:cs="仿宋"/>
          <w:szCs w:val="24"/>
          <w:lang w:eastAsia="zh-CN"/>
        </w:rPr>
        <w:t>盖章</w:t>
      </w:r>
      <w:r>
        <w:rPr>
          <w:rFonts w:hint="eastAsia" w:ascii="仿宋" w:hAnsi="仿宋" w:eastAsia="仿宋" w:cs="仿宋"/>
          <w:szCs w:val="24"/>
        </w:rPr>
        <w:t>)：</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2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keepNext w:val="0"/>
        <w:keepLines w:val="0"/>
        <w:pageBreakBefore/>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3、中小企业声明函（二选一）</w:t>
      </w:r>
    </w:p>
    <w:p>
      <w:pPr>
        <w:keepNext w:val="0"/>
        <w:keepLines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绍兴市公安局交通管理局 </w:t>
      </w:r>
      <w:r>
        <w:rPr>
          <w:rFonts w:hint="eastAsia" w:ascii="仿宋" w:hAnsi="仿宋" w:eastAsia="仿宋" w:cs="仿宋"/>
          <w:color w:val="auto"/>
          <w:sz w:val="24"/>
        </w:rPr>
        <w:t>的</w:t>
      </w:r>
      <w:r>
        <w:rPr>
          <w:rFonts w:hint="eastAsia" w:ascii="仿宋" w:hAnsi="仿宋" w:eastAsia="仿宋" w:cs="仿宋"/>
          <w:color w:val="auto"/>
          <w:sz w:val="24"/>
          <w:u w:val="single"/>
          <w:lang w:eastAsia="zh-CN"/>
        </w:rPr>
        <w:t>2021年智能交通设施维保服务项目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keepNext w:val="0"/>
        <w:keepLines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keepNext w:val="0"/>
        <w:keepLines w:val="0"/>
        <w:widowControl w:val="0"/>
        <w:kinsoku/>
        <w:wordWrap/>
        <w:overflowPunct/>
        <w:topLinePunct w:val="0"/>
        <w:autoSpaceDE/>
        <w:autoSpaceDN/>
        <w:bidi w:val="0"/>
        <w:adjustRightInd w:val="0"/>
        <w:snapToGrid/>
        <w:spacing w:line="288" w:lineRule="auto"/>
        <w:ind w:right="420" w:firstLine="5880" w:firstLineChars="2450"/>
        <w:jc w:val="left"/>
        <w:textAlignment w:val="auto"/>
        <w:rPr>
          <w:rFonts w:hint="eastAsia" w:ascii="仿宋" w:hAnsi="仿宋" w:eastAsia="仿宋" w:cs="仿宋"/>
          <w:color w:val="auto"/>
          <w:sz w:val="24"/>
        </w:rPr>
      </w:pPr>
    </w:p>
    <w:p>
      <w:pPr>
        <w:keepNext w:val="0"/>
        <w:keepLines w:val="0"/>
        <w:widowControl w:val="0"/>
        <w:kinsoku/>
        <w:wordWrap/>
        <w:overflowPunct/>
        <w:topLinePunct w:val="0"/>
        <w:autoSpaceDE/>
        <w:autoSpaceDN/>
        <w:bidi w:val="0"/>
        <w:adjustRightInd w:val="0"/>
        <w:snapToGrid/>
        <w:spacing w:line="288" w:lineRule="auto"/>
        <w:ind w:right="420" w:firstLine="5880" w:firstLineChars="2450"/>
        <w:textAlignment w:val="auto"/>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keepNext w:val="0"/>
        <w:keepLines w:val="0"/>
        <w:widowControl w:val="0"/>
        <w:kinsoku/>
        <w:wordWrap/>
        <w:overflowPunct/>
        <w:topLinePunct w:val="0"/>
        <w:autoSpaceDE/>
        <w:autoSpaceDN/>
        <w:bidi w:val="0"/>
        <w:adjustRightInd w:val="0"/>
        <w:snapToGrid/>
        <w:spacing w:line="288" w:lineRule="auto"/>
        <w:ind w:right="420" w:firstLine="5520" w:firstLineChars="2300"/>
        <w:textAlignment w:val="auto"/>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keepNext w:val="0"/>
        <w:keepLines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sz w:val="18"/>
        </w:rPr>
      </w:pPr>
    </w:p>
    <w:p>
      <w:pPr>
        <w:keepNext w:val="0"/>
        <w:keepLines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绍兴市公安局交通管理局 </w:t>
      </w:r>
      <w:r>
        <w:rPr>
          <w:rFonts w:hint="eastAsia" w:ascii="仿宋" w:hAnsi="仿宋" w:eastAsia="仿宋" w:cs="仿宋"/>
          <w:color w:val="auto"/>
          <w:sz w:val="24"/>
        </w:rPr>
        <w:t>的</w:t>
      </w:r>
      <w:r>
        <w:rPr>
          <w:rFonts w:hint="eastAsia" w:ascii="仿宋" w:hAnsi="仿宋" w:eastAsia="仿宋" w:cs="仿宋"/>
          <w:color w:val="auto"/>
          <w:sz w:val="24"/>
          <w:u w:val="single"/>
          <w:lang w:eastAsia="zh-CN"/>
        </w:rPr>
        <w:t>2021年智能交通设施维保服务项目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keepNext w:val="0"/>
        <w:keepLines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keepNext w:val="0"/>
        <w:keepLines w:val="0"/>
        <w:widowControl w:val="0"/>
        <w:kinsoku/>
        <w:wordWrap/>
        <w:overflowPunct/>
        <w:topLinePunct w:val="0"/>
        <w:autoSpaceDE/>
        <w:autoSpaceDN/>
        <w:bidi w:val="0"/>
        <w:adjustRightInd w:val="0"/>
        <w:snapToGrid/>
        <w:spacing w:line="288" w:lineRule="auto"/>
        <w:ind w:right="420" w:firstLine="5880" w:firstLineChars="2450"/>
        <w:jc w:val="left"/>
        <w:textAlignment w:val="auto"/>
        <w:rPr>
          <w:rFonts w:hint="eastAsia" w:ascii="仿宋" w:hAnsi="仿宋" w:eastAsia="仿宋" w:cs="仿宋"/>
          <w:color w:val="auto"/>
          <w:sz w:val="24"/>
        </w:rPr>
      </w:pPr>
    </w:p>
    <w:p>
      <w:pPr>
        <w:keepNext w:val="0"/>
        <w:keepLines w:val="0"/>
        <w:widowControl w:val="0"/>
        <w:kinsoku/>
        <w:wordWrap/>
        <w:overflowPunct/>
        <w:topLinePunct w:val="0"/>
        <w:autoSpaceDE/>
        <w:autoSpaceDN/>
        <w:bidi w:val="0"/>
        <w:adjustRightInd w:val="0"/>
        <w:snapToGrid/>
        <w:spacing w:line="288" w:lineRule="auto"/>
        <w:ind w:right="420" w:firstLine="5880" w:firstLineChars="2450"/>
        <w:textAlignment w:val="auto"/>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keepNext w:val="0"/>
        <w:keepLines w:val="0"/>
        <w:widowControl w:val="0"/>
        <w:kinsoku/>
        <w:wordWrap/>
        <w:overflowPunct/>
        <w:topLinePunct w:val="0"/>
        <w:autoSpaceDE/>
        <w:autoSpaceDN/>
        <w:bidi w:val="0"/>
        <w:adjustRightInd w:val="0"/>
        <w:snapToGrid/>
        <w:spacing w:line="288" w:lineRule="auto"/>
        <w:ind w:right="420" w:firstLine="5520" w:firstLineChars="2300"/>
        <w:textAlignment w:val="auto"/>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keepNext w:val="0"/>
        <w:keepLines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color w:val="auto"/>
          <w:sz w:val="24"/>
        </w:rPr>
      </w:pPr>
      <w:r>
        <w:rPr>
          <w:rFonts w:hint="eastAsia" w:ascii="仿宋" w:hAnsi="仿宋" w:eastAsia="仿宋" w:cs="仿宋"/>
          <w:b/>
          <w:bCs/>
          <w:color w:val="auto"/>
          <w:sz w:val="24"/>
        </w:rPr>
        <w:t>注：</w:t>
      </w:r>
    </w:p>
    <w:p>
      <w:pPr>
        <w:keepNext w:val="0"/>
        <w:keepLines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1、投标人提供的中小企业声明函与实际情况不符的，视为投标人提供虚假材料投标，投标无效。</w:t>
      </w:r>
    </w:p>
    <w:p>
      <w:pPr>
        <w:keepNext w:val="0"/>
        <w:keepLines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rPr>
      </w:pPr>
      <w:r>
        <w:rPr>
          <w:rFonts w:hint="eastAsia" w:ascii="仿宋" w:hAnsi="仿宋" w:eastAsia="仿宋" w:cs="仿宋"/>
          <w:b/>
          <w:color w:val="auto"/>
          <w:sz w:val="24"/>
        </w:rPr>
        <w:t>2、根据《政府采购促进中小企业发展管理办法》的通知（财库〔2020〕46号）规定，</w:t>
      </w:r>
      <w:r>
        <w:rPr>
          <w:rFonts w:hint="eastAsia" w:ascii="仿宋" w:hAnsi="仿宋" w:eastAsia="仿宋" w:cs="仿宋"/>
          <w:color w:val="auto"/>
          <w:sz w:val="24"/>
        </w:rPr>
        <w:t>中标、成交供应商享受中小企业扶持政策的，采购代理机构将随中标、成交结果公开中标、成交供应商的《中小企业声明函》。</w:t>
      </w:r>
    </w:p>
    <w:p>
      <w:pPr>
        <w:keepNext w:val="0"/>
        <w:keepLines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rPr>
      </w:pPr>
      <w:r>
        <w:rPr>
          <w:rFonts w:hint="eastAsia" w:ascii="仿宋" w:hAnsi="仿宋" w:eastAsia="仿宋" w:cs="仿宋"/>
          <w:color w:val="auto"/>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keepNext w:val="0"/>
        <w:keepLines w:val="0"/>
        <w:widowControl w:val="0"/>
        <w:kinsoku/>
        <w:wordWrap/>
        <w:overflowPunct/>
        <w:topLinePunct w:val="0"/>
        <w:autoSpaceDE/>
        <w:autoSpaceDN/>
        <w:bidi w:val="0"/>
        <w:adjustRightInd w:val="0"/>
        <w:snapToGrid/>
        <w:spacing w:line="288" w:lineRule="auto"/>
        <w:ind w:firstLine="480" w:firstLineChars="200"/>
        <w:textAlignment w:val="auto"/>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7"/>
        <w:spacing w:line="288" w:lineRule="auto"/>
        <w:ind w:left="0" w:firstLine="0" w:firstLineChars="0"/>
        <w:rPr>
          <w:rFonts w:ascii="仿宋" w:eastAsia="仿宋" w:cs="仿宋"/>
        </w:rPr>
      </w:pPr>
      <w:r>
        <w:rPr>
          <w:rFonts w:hint="eastAsia" w:ascii="仿宋" w:eastAsia="仿宋" w:cs="仿宋"/>
        </w:rPr>
        <w:t>（1）法定代表人授权书 ………………………………………………………………（页码）</w:t>
      </w:r>
    </w:p>
    <w:p>
      <w:pPr>
        <w:pStyle w:val="77"/>
        <w:spacing w:line="288" w:lineRule="auto"/>
        <w:ind w:left="0" w:firstLine="0" w:firstLineChars="0"/>
        <w:rPr>
          <w:rFonts w:ascii="仿宋" w:eastAsia="仿宋" w:cs="仿宋"/>
        </w:rPr>
      </w:pPr>
      <w:r>
        <w:rPr>
          <w:rFonts w:hint="eastAsia" w:ascii="仿宋" w:eastAsia="仿宋" w:cs="仿宋"/>
        </w:rPr>
        <w:t>（2）授权代表社保证明（复印件）…………………………………………………（页码）</w:t>
      </w:r>
    </w:p>
    <w:p>
      <w:pPr>
        <w:pStyle w:val="77"/>
        <w:spacing w:line="288"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77"/>
        <w:spacing w:line="288" w:lineRule="auto"/>
        <w:ind w:left="0" w:firstLine="0" w:firstLineChars="0"/>
        <w:rPr>
          <w:rFonts w:ascii="仿宋" w:eastAsia="仿宋" w:cs="仿宋"/>
        </w:rPr>
      </w:pPr>
      <w:r>
        <w:rPr>
          <w:rFonts w:hint="eastAsia" w:ascii="仿宋" w:eastAsia="仿宋" w:cs="仿宋"/>
        </w:rPr>
        <w:t>（4）法定代表人身份证明书…………………………………………………………（页码）</w:t>
      </w:r>
    </w:p>
    <w:p>
      <w:pPr>
        <w:snapToGrid w:val="0"/>
        <w:spacing w:line="288" w:lineRule="auto"/>
        <w:rPr>
          <w:rFonts w:ascii="仿宋" w:hAnsi="仿宋" w:eastAsia="仿宋" w:cs="仿宋"/>
          <w:sz w:val="24"/>
        </w:rPr>
      </w:pPr>
      <w:r>
        <w:rPr>
          <w:rFonts w:hint="eastAsia" w:ascii="仿宋" w:hAnsi="仿宋" w:eastAsia="仿宋" w:cs="仿宋"/>
          <w:sz w:val="24"/>
        </w:rPr>
        <w:t>（5）营业执照(或事业法人登记证或其他登记证明材料)复印件…………………（页码）</w:t>
      </w:r>
    </w:p>
    <w:p>
      <w:pPr>
        <w:snapToGrid w:val="0"/>
        <w:spacing w:line="288" w:lineRule="auto"/>
        <w:rPr>
          <w:rFonts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eastAsia="zh-CN"/>
        </w:rPr>
        <w:t>2020年度</w:t>
      </w:r>
      <w:r>
        <w:rPr>
          <w:rFonts w:hint="eastAsia" w:ascii="仿宋" w:hAnsi="仿宋" w:eastAsia="仿宋" w:cs="仿宋"/>
          <w:sz w:val="24"/>
        </w:rPr>
        <w:t>资产负债表等财务报表资料文件(新成立的公司，提供情况说明)………………………………………………………………………………………（页码）</w:t>
      </w:r>
    </w:p>
    <w:p>
      <w:pPr>
        <w:snapToGrid w:val="0"/>
        <w:spacing w:line="288" w:lineRule="auto"/>
        <w:rPr>
          <w:rFonts w:ascii="仿宋" w:hAnsi="仿宋" w:eastAsia="仿宋" w:cs="仿宋"/>
          <w:sz w:val="24"/>
        </w:rPr>
      </w:pPr>
      <w:r>
        <w:rPr>
          <w:rFonts w:hint="eastAsia" w:ascii="仿宋" w:hAnsi="仿宋" w:eastAsia="仿宋" w:cs="仿宋"/>
          <w:sz w:val="24"/>
        </w:rPr>
        <w:t>（7）具有履行合同所必需的设备和专业技术能力的承诺函………………………（页码）</w:t>
      </w:r>
    </w:p>
    <w:p>
      <w:pPr>
        <w:snapToGrid w:val="0"/>
        <w:spacing w:line="288" w:lineRule="auto"/>
        <w:rPr>
          <w:rFonts w:ascii="仿宋" w:hAnsi="仿宋" w:eastAsia="仿宋" w:cs="仿宋"/>
          <w:sz w:val="24"/>
        </w:rPr>
      </w:pPr>
      <w:r>
        <w:rPr>
          <w:rFonts w:hint="eastAsia" w:ascii="仿宋" w:hAnsi="仿宋" w:eastAsia="仿宋" w:cs="仿宋"/>
          <w:sz w:val="24"/>
        </w:rPr>
        <w:t>（8）重大违法记录的声明 …………………………………………………………（页码）</w:t>
      </w:r>
    </w:p>
    <w:p>
      <w:pPr>
        <w:snapToGrid w:val="0"/>
        <w:spacing w:line="288" w:lineRule="auto"/>
        <w:rPr>
          <w:rFonts w:ascii="仿宋" w:hAnsi="仿宋" w:eastAsia="仿宋" w:cs="仿宋"/>
          <w:sz w:val="24"/>
        </w:rPr>
      </w:pPr>
      <w:r>
        <w:rPr>
          <w:rFonts w:hint="eastAsia" w:ascii="仿宋" w:hAnsi="仿宋" w:eastAsia="仿宋" w:cs="仿宋"/>
          <w:sz w:val="24"/>
        </w:rPr>
        <w:t>（9）符合特定资格条件（如果项目要求）的有关证明材料（复印件）…………（页码）</w:t>
      </w:r>
    </w:p>
    <w:p>
      <w:pPr>
        <w:snapToGrid w:val="0"/>
        <w:spacing w:line="288" w:lineRule="auto"/>
        <w:rPr>
          <w:rFonts w:ascii="仿宋" w:hAnsi="仿宋" w:eastAsia="仿宋" w:cs="仿宋"/>
          <w:sz w:val="24"/>
        </w:rPr>
      </w:pPr>
      <w:r>
        <w:rPr>
          <w:rFonts w:hint="eastAsia" w:ascii="仿宋" w:hAnsi="仿宋" w:eastAsia="仿宋" w:cs="仿宋"/>
          <w:sz w:val="24"/>
        </w:rPr>
        <w:t>（10）非本地投标人售后服务机构证明材料………………………………………（页码）</w:t>
      </w:r>
    </w:p>
    <w:p>
      <w:pPr>
        <w:snapToGrid w:val="0"/>
        <w:spacing w:line="288" w:lineRule="auto"/>
        <w:rPr>
          <w:rFonts w:ascii="仿宋" w:hAnsi="仿宋" w:eastAsia="仿宋" w:cs="仿宋"/>
          <w:sz w:val="24"/>
        </w:rPr>
      </w:pPr>
      <w:r>
        <w:rPr>
          <w:rFonts w:hint="eastAsia" w:ascii="仿宋" w:hAnsi="仿宋" w:eastAsia="仿宋" w:cs="仿宋"/>
          <w:sz w:val="24"/>
        </w:rPr>
        <w:t>（11）所有与符合性审查有关的资信文件（复印件）………………………………（页码）</w:t>
      </w:r>
    </w:p>
    <w:p>
      <w:pPr>
        <w:snapToGrid w:val="0"/>
        <w:spacing w:line="288" w:lineRule="auto"/>
        <w:rPr>
          <w:rFonts w:ascii="仿宋" w:hAnsi="仿宋" w:eastAsia="仿宋" w:cs="仿宋"/>
          <w:sz w:val="24"/>
        </w:rPr>
      </w:pPr>
      <w:r>
        <w:rPr>
          <w:rFonts w:hint="eastAsia" w:ascii="仿宋" w:hAnsi="仿宋" w:eastAsia="仿宋" w:cs="仿宋"/>
          <w:sz w:val="24"/>
        </w:rPr>
        <w:t>（12）</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（13）廉政承诺书 ……………………………………………………………………（页码）</w:t>
      </w:r>
    </w:p>
    <w:p>
      <w:pPr>
        <w:snapToGrid w:val="0"/>
        <w:spacing w:line="288" w:lineRule="auto"/>
        <w:rPr>
          <w:rFonts w:ascii="仿宋" w:hAnsi="仿宋" w:eastAsia="仿宋" w:cs="仿宋"/>
          <w:sz w:val="24"/>
        </w:rPr>
      </w:pPr>
      <w:r>
        <w:rPr>
          <w:rFonts w:hint="eastAsia" w:ascii="仿宋" w:hAnsi="仿宋" w:eastAsia="仿宋" w:cs="仿宋"/>
          <w:sz w:val="24"/>
        </w:rPr>
        <w:t>（14）技术解决方案…………………………………………………………………（页码）</w:t>
      </w:r>
    </w:p>
    <w:p>
      <w:pPr>
        <w:snapToGrid w:val="0"/>
        <w:spacing w:line="288" w:lineRule="auto"/>
        <w:rPr>
          <w:rFonts w:ascii="仿宋" w:hAnsi="仿宋" w:eastAsia="仿宋" w:cs="仿宋"/>
          <w:sz w:val="24"/>
        </w:rPr>
      </w:pPr>
      <w:r>
        <w:rPr>
          <w:rFonts w:hint="eastAsia" w:ascii="仿宋" w:hAnsi="仿宋" w:eastAsia="仿宋" w:cs="仿宋"/>
          <w:sz w:val="24"/>
        </w:rPr>
        <w:t>（15）技术偏离说明表………………………………………………………………（页码）</w:t>
      </w:r>
    </w:p>
    <w:p>
      <w:pPr>
        <w:snapToGrid w:val="0"/>
        <w:spacing w:line="288" w:lineRule="auto"/>
        <w:rPr>
          <w:rFonts w:ascii="仿宋" w:hAnsi="仿宋" w:eastAsia="仿宋" w:cs="仿宋"/>
          <w:sz w:val="24"/>
        </w:rPr>
      </w:pPr>
      <w:r>
        <w:rPr>
          <w:rFonts w:hint="eastAsia" w:ascii="仿宋" w:hAnsi="仿宋" w:eastAsia="仿宋" w:cs="仿宋"/>
          <w:sz w:val="24"/>
        </w:rPr>
        <w:t>（16）组织实施方案…………………………………………………………………（页码）</w:t>
      </w:r>
    </w:p>
    <w:p>
      <w:pPr>
        <w:snapToGrid w:val="0"/>
        <w:spacing w:line="288" w:lineRule="auto"/>
        <w:rPr>
          <w:rFonts w:ascii="仿宋" w:hAnsi="仿宋" w:eastAsia="仿宋" w:cs="仿宋"/>
          <w:sz w:val="24"/>
        </w:rPr>
      </w:pPr>
      <w:r>
        <w:rPr>
          <w:rFonts w:hint="eastAsia" w:ascii="仿宋" w:hAnsi="仿宋" w:eastAsia="仿宋" w:cs="仿宋"/>
          <w:sz w:val="24"/>
        </w:rPr>
        <w:t>（17）售后服务方案…………………………………………………………………（页码）</w:t>
      </w:r>
    </w:p>
    <w:p>
      <w:pPr>
        <w:snapToGrid w:val="0"/>
        <w:spacing w:line="288" w:lineRule="auto"/>
        <w:rPr>
          <w:rFonts w:ascii="仿宋" w:hAnsi="仿宋" w:eastAsia="仿宋" w:cs="仿宋"/>
          <w:sz w:val="24"/>
        </w:rPr>
      </w:pPr>
      <w:r>
        <w:rPr>
          <w:rFonts w:hint="eastAsia" w:ascii="仿宋" w:hAnsi="仿宋" w:eastAsia="仿宋" w:cs="仿宋"/>
          <w:sz w:val="24"/>
        </w:rPr>
        <w:t>（18）项目小组人员名单……………………………………………………………（页码）</w:t>
      </w:r>
    </w:p>
    <w:p>
      <w:pPr>
        <w:snapToGrid w:val="0"/>
        <w:spacing w:line="288" w:lineRule="auto"/>
        <w:rPr>
          <w:rFonts w:ascii="仿宋" w:hAnsi="仿宋" w:eastAsia="仿宋" w:cs="仿宋"/>
          <w:sz w:val="24"/>
        </w:rPr>
      </w:pPr>
      <w:r>
        <w:rPr>
          <w:rFonts w:hint="eastAsia" w:ascii="仿宋" w:hAnsi="仿宋" w:eastAsia="仿宋" w:cs="仿宋"/>
          <w:sz w:val="24"/>
        </w:rPr>
        <w:t>（19）</w:t>
      </w:r>
      <w:r>
        <w:rPr>
          <w:rFonts w:hint="eastAsia" w:ascii="仿宋" w:hAnsi="仿宋" w:eastAsia="仿宋" w:cs="仿宋"/>
          <w:sz w:val="24"/>
          <w:lang w:val="zh-CN"/>
        </w:rPr>
        <w:t>优惠条件及特殊承诺……………………………</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（20）</w:t>
      </w:r>
      <w:r>
        <w:rPr>
          <w:rFonts w:hint="eastAsia" w:ascii="仿宋" w:hAnsi="仿宋" w:eastAsia="仿宋" w:cs="仿宋"/>
          <w:sz w:val="24"/>
          <w:lang w:val="zh-CN"/>
        </w:rPr>
        <w:t>备品备件及供选择的配套零部件清单…………</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lang w:val="zh-CN"/>
        </w:rPr>
      </w:pPr>
      <w:r>
        <w:rPr>
          <w:rFonts w:hint="eastAsia" w:ascii="仿宋" w:hAnsi="仿宋" w:eastAsia="仿宋" w:cs="仿宋"/>
          <w:sz w:val="24"/>
        </w:rPr>
        <w:t>（21）</w:t>
      </w:r>
      <w:r>
        <w:rPr>
          <w:rFonts w:hint="eastAsia" w:ascii="仿宋" w:hAnsi="仿宋" w:eastAsia="仿宋" w:cs="仿宋"/>
          <w:sz w:val="24"/>
          <w:lang w:val="zh-CN"/>
        </w:rPr>
        <w:t>消耗品、维修零配件购买价格清单……………</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lang w:val="zh-CN"/>
        </w:rPr>
        <w:t>（22）培训计划………………………………………</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zh-CN"/>
        </w:rPr>
        <w:t>验收方案…………………………………</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（24）</w:t>
      </w:r>
      <w:r>
        <w:rPr>
          <w:rFonts w:hint="eastAsia" w:ascii="仿宋" w:hAnsi="仿宋" w:eastAsia="仿宋" w:cs="仿宋"/>
          <w:sz w:val="24"/>
          <w:lang w:val="zh-CN"/>
        </w:rPr>
        <w:t>认为需要的其他商务技术（资信）文件或说明…………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绍兴市公安局交通管理局、耀华建设管理有限公司</w:t>
      </w:r>
      <w:r>
        <w:rPr>
          <w:rFonts w:hint="eastAsia" w:ascii="仿宋" w:hAnsi="仿宋" w:eastAsia="仿宋" w:cs="仿宋"/>
          <w:sz w:val="24"/>
        </w:rPr>
        <w:t>组织的</w:t>
      </w:r>
      <w:r>
        <w:rPr>
          <w:rFonts w:hint="eastAsia" w:ascii="仿宋" w:hAnsi="仿宋" w:eastAsia="仿宋" w:cs="仿宋"/>
          <w:sz w:val="24"/>
          <w:u w:val="single"/>
          <w:lang w:eastAsia="zh-CN"/>
        </w:rPr>
        <w:t>2021年智能交通设施维保服务项目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6、财务报表资料文件（</w:t>
      </w:r>
      <w:r>
        <w:rPr>
          <w:rFonts w:hint="eastAsia" w:ascii="仿宋" w:hAnsi="仿宋" w:eastAsia="仿宋" w:cs="仿宋"/>
          <w:b/>
          <w:sz w:val="30"/>
          <w:szCs w:val="30"/>
          <w:lang w:eastAsia="zh-CN"/>
        </w:rPr>
        <w:t>2020年度</w:t>
      </w:r>
      <w:r>
        <w:rPr>
          <w:rFonts w:hint="eastAsia" w:ascii="仿宋" w:hAnsi="仿宋" w:eastAsia="仿宋" w:cs="仿宋"/>
          <w:b/>
          <w:sz w:val="30"/>
          <w:szCs w:val="30"/>
        </w:rPr>
        <w:t>资产负债表等财务报表资料文件(新成立的公司，提供情况说明，格式自拟)）</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绍兴市公安局交通管理局、耀华建设管理有限公司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我方郑重承诺，我方具有履行绍兴市公安局交通管理局</w:t>
      </w:r>
      <w:r>
        <w:rPr>
          <w:rFonts w:hint="eastAsia" w:ascii="仿宋" w:hAnsi="仿宋" w:eastAsia="仿宋" w:cs="仿宋"/>
          <w:sz w:val="24"/>
          <w:lang w:eastAsia="zh-CN"/>
        </w:rPr>
        <w:t>2021年智能交通设施维保服务项目</w:t>
      </w:r>
      <w:r>
        <w:rPr>
          <w:rFonts w:hint="eastAsia" w:ascii="仿宋" w:hAnsi="仿宋" w:eastAsia="仿宋" w:cs="仿宋"/>
          <w:sz w:val="24"/>
        </w:rPr>
        <w:t xml:space="preserve">（招标编号:   </w:t>
      </w:r>
      <w:r>
        <w:rPr>
          <w:rFonts w:hint="eastAsia" w:ascii="仿宋" w:hAnsi="仿宋" w:eastAsia="仿宋" w:cs="仿宋"/>
          <w:sz w:val="24"/>
          <w:lang w:val="en-US" w:eastAsia="zh-CN"/>
        </w:rPr>
        <w:t xml:space="preserve">   </w:t>
      </w:r>
      <w:r>
        <w:rPr>
          <w:rFonts w:hint="eastAsia" w:ascii="仿宋" w:hAnsi="仿宋" w:eastAsia="仿宋" w:cs="仿宋"/>
          <w:sz w:val="24"/>
        </w:rPr>
        <w:t>）合同所必需的设备和专业技术能力。如中标，我方将保证合同顺利履行。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绍兴市公安局交通管理局、耀华建设管理有限公司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6"/>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78"/>
        <w:ind w:firstLine="0"/>
        <w:jc w:val="both"/>
        <w:rPr>
          <w:rFonts w:ascii="仿宋" w:eastAsia="仿宋" w:cs="仿宋"/>
        </w:rPr>
      </w:pPr>
    </w:p>
    <w:p>
      <w:pPr>
        <w:pStyle w:val="78"/>
        <w:ind w:firstLine="0"/>
        <w:jc w:val="both"/>
        <w:rPr>
          <w:rFonts w:ascii="仿宋" w:eastAsia="仿宋" w:cs="仿宋"/>
        </w:rPr>
      </w:pPr>
    </w:p>
    <w:p>
      <w:pPr>
        <w:pStyle w:val="78"/>
        <w:pageBreakBefore/>
        <w:ind w:firstLine="0"/>
        <w:jc w:val="both"/>
        <w:rPr>
          <w:rFonts w:ascii="仿宋" w:eastAsia="仿宋" w:cs="仿宋"/>
        </w:rPr>
      </w:pPr>
      <w:r>
        <w:rPr>
          <w:rFonts w:hint="eastAsia" w:ascii="仿宋" w:eastAsia="仿宋" w:cs="仿宋"/>
        </w:rPr>
        <w:t>13、廉政承诺书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绍兴市公安局交通管理局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FF0000"/>
          <w:kern w:val="0"/>
          <w:sz w:val="24"/>
          <w:lang w:val="zh-CN"/>
        </w:rPr>
      </w:pPr>
      <w:r>
        <w:rPr>
          <w:rFonts w:hint="eastAsia" w:ascii="仿宋" w:hAnsi="仿宋" w:eastAsia="仿宋" w:cs="仿宋"/>
          <w:color w:val="auto"/>
          <w:kern w:val="0"/>
          <w:sz w:val="24"/>
          <w:lang w:val="zh-CN"/>
        </w:rPr>
        <w:t>六、严格遵守政府采购法等法律，诚实守信，合法经营，坚决抵制各种违法违纪行为。</w:t>
      </w:r>
      <w:r>
        <w:rPr>
          <w:rFonts w:hint="eastAsia" w:ascii="仿宋" w:hAnsi="仿宋" w:eastAsia="仿宋" w:cs="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kern w:val="0"/>
          <w:sz w:val="28"/>
          <w:szCs w:val="28"/>
        </w:rPr>
        <w:object>
          <v:shape id="_x0000_i1026" o:spt="75" type="#_x0000_t75" style="height:42pt;width:443.2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6"/>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16、组织实施方案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2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  工作日</w:t>
            </w:r>
          </w:p>
          <w:p>
            <w:pPr>
              <w:spacing w:line="288" w:lineRule="auto"/>
              <w:rPr>
                <w:rFonts w:ascii="仿宋" w:hAnsi="仿宋" w:eastAsia="仿宋" w:cs="仿宋"/>
                <w:sz w:val="24"/>
              </w:rPr>
            </w:pPr>
            <w:r>
              <w:rPr>
                <w:rFonts w:hint="eastAsia" w:ascii="仿宋" w:hAnsi="仿宋" w:eastAsia="仿宋" w:cs="仿宋"/>
                <w:sz w:val="24"/>
              </w:rPr>
              <w:t>内容</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1</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2</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3</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4</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5</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6</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7</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8</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9</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10</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11</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12</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13</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14</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15</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17、售后服务方案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2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bCs/>
          <w:sz w:val="32"/>
          <w:szCs w:val="32"/>
        </w:rPr>
      </w:pPr>
      <w:r>
        <w:rPr>
          <w:rFonts w:hint="eastAsia" w:ascii="仿宋" w:hAnsi="仿宋" w:eastAsia="仿宋" w:cs="仿宋"/>
          <w:b/>
          <w:bCs/>
          <w:sz w:val="32"/>
          <w:szCs w:val="32"/>
        </w:rPr>
        <w:t>18、项目小组人员名单</w:t>
      </w:r>
    </w:p>
    <w:p>
      <w:pPr>
        <w:spacing w:line="288"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26"/>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26"/>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注：投标人可按上述的格式自行编制，须随表提交相应的证书复印件并注明所在投标商务技术（资信）文件页码。</w:t>
      </w:r>
    </w:p>
    <w:p>
      <w:pPr>
        <w:spacing w:line="288" w:lineRule="auto"/>
        <w:rPr>
          <w:rFonts w:ascii="仿宋" w:hAnsi="仿宋" w:eastAsia="仿宋" w:cs="仿宋"/>
          <w:b/>
          <w:bCs/>
          <w:sz w:val="24"/>
        </w:rPr>
      </w:pPr>
      <w:r>
        <w:rPr>
          <w:rFonts w:hint="eastAsia" w:ascii="仿宋" w:hAnsi="仿宋" w:eastAsia="仿宋" w:cs="仿宋"/>
          <w:b/>
          <w:sz w:val="24"/>
        </w:rPr>
        <w:t>附表C:本项目的项目经理和小组人员提供近3个月交纳社保记录情况表</w:t>
      </w:r>
      <w:r>
        <w:rPr>
          <w:rFonts w:hint="eastAsia" w:ascii="仿宋" w:hAnsi="仿宋" w:eastAsia="仿宋" w:cs="仿宋"/>
          <w:sz w:val="24"/>
        </w:rPr>
        <w:t>（以社保局缴纳凭证作附件）</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优惠条件及特殊承诺</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18"/>
          <w:szCs w:val="18"/>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18"/>
          <w:szCs w:val="18"/>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20、</w:t>
      </w:r>
      <w:r>
        <w:rPr>
          <w:rFonts w:hint="eastAsia" w:ascii="仿宋" w:hAnsi="仿宋" w:eastAsia="仿宋" w:cs="仿宋"/>
          <w:b/>
          <w:kern w:val="0"/>
          <w:sz w:val="32"/>
          <w:szCs w:val="32"/>
          <w:lang w:val="zh-CN"/>
        </w:rPr>
        <w:t>备品备件及供选择的配套零部件清单</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spacing w:val="20"/>
          <w:sz w:val="24"/>
        </w:rPr>
      </w:pPr>
      <w:r>
        <w:rPr>
          <w:rFonts w:hint="eastAsia" w:ascii="仿宋" w:hAnsi="仿宋" w:eastAsia="仿宋" w:cs="仿宋"/>
          <w:b/>
          <w:sz w:val="32"/>
          <w:szCs w:val="32"/>
        </w:rPr>
        <w:t>21、</w:t>
      </w:r>
      <w:r>
        <w:rPr>
          <w:rFonts w:hint="eastAsia" w:ascii="仿宋" w:hAnsi="仿宋" w:eastAsia="仿宋" w:cs="仿宋"/>
          <w:b/>
          <w:spacing w:val="20"/>
          <w:sz w:val="32"/>
          <w:szCs w:val="32"/>
        </w:rPr>
        <w:t>消耗品、维修零配件购买价格清单</w:t>
      </w:r>
      <w:r>
        <w:rPr>
          <w:rFonts w:hint="eastAsia" w:ascii="仿宋" w:hAnsi="仿宋" w:eastAsia="仿宋" w:cs="仿宋"/>
          <w:b/>
          <w:spacing w:val="20"/>
          <w:sz w:val="24"/>
        </w:rPr>
        <w:t>(如有</w:t>
      </w:r>
      <w:r>
        <w:rPr>
          <w:rFonts w:hint="eastAsia" w:ascii="仿宋" w:hAnsi="仿宋" w:eastAsia="仿宋" w:cs="仿宋"/>
          <w:b/>
          <w:sz w:val="24"/>
        </w:rPr>
        <w:t>，放入“技术资料部分”</w:t>
      </w:r>
      <w:r>
        <w:rPr>
          <w:rFonts w:hint="eastAsia" w:ascii="仿宋" w:hAnsi="仿宋" w:eastAsia="仿宋" w:cs="仿宋"/>
          <w:b/>
          <w:spacing w:val="20"/>
          <w:sz w:val="24"/>
        </w:rPr>
        <w:t>)</w:t>
      </w:r>
    </w:p>
    <w:tbl>
      <w:tblPr>
        <w:tblStyle w:val="26"/>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r>
              <w:rPr>
                <w:rFonts w:hint="eastAsia" w:ascii="仿宋" w:hAnsi="仿宋" w:eastAsia="仿宋" w:cs="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spacing w:line="288" w:lineRule="auto"/>
              <w:rPr>
                <w:rFonts w:ascii="仿宋" w:hAnsi="仿宋" w:eastAsia="仿宋" w:cs="仿宋"/>
              </w:rPr>
            </w:pPr>
          </w:p>
        </w:tc>
      </w:tr>
    </w:tbl>
    <w:p>
      <w:pPr>
        <w:snapToGrid w:val="0"/>
        <w:spacing w:line="288" w:lineRule="auto"/>
        <w:ind w:right="172" w:rightChars="82"/>
        <w:rPr>
          <w:rFonts w:ascii="仿宋" w:hAnsi="仿宋" w:eastAsia="仿宋" w:cs="仿宋"/>
          <w:szCs w:val="21"/>
        </w:rPr>
      </w:pPr>
      <w:r>
        <w:rPr>
          <w:rFonts w:hint="eastAsia" w:ascii="仿宋" w:hAnsi="仿宋" w:eastAsia="仿宋" w:cs="仿宋"/>
          <w:szCs w:val="21"/>
        </w:rPr>
        <w:t>注：消耗品和零配件必须是常用的主要部件类品目，此报价的优惠度将作为综合评标的重要依据之一。</w:t>
      </w:r>
    </w:p>
    <w:p>
      <w:pPr>
        <w:snapToGrid w:val="0"/>
        <w:spacing w:line="288" w:lineRule="auto"/>
        <w:ind w:right="172" w:rightChars="82" w:firstLine="606" w:firstLineChars="202"/>
        <w:rPr>
          <w:rFonts w:ascii="仿宋" w:hAnsi="仿宋" w:eastAsia="仿宋" w:cs="仿宋"/>
          <w:sz w:val="30"/>
        </w:rPr>
      </w:pPr>
    </w:p>
    <w:p>
      <w:pPr>
        <w:snapToGrid w:val="0"/>
        <w:spacing w:line="288" w:lineRule="auto"/>
        <w:ind w:right="172" w:rightChars="82" w:firstLine="606" w:firstLineChars="202"/>
        <w:rPr>
          <w:rFonts w:ascii="仿宋" w:hAnsi="仿宋" w:eastAsia="仿宋" w:cs="仿宋"/>
          <w:sz w:val="30"/>
        </w:rPr>
      </w:pPr>
    </w:p>
    <w:p>
      <w:pPr>
        <w:spacing w:line="288" w:lineRule="auto"/>
        <w:ind w:left="-210" w:leftChars="-100" w:firstLine="120" w:firstLineChars="50"/>
        <w:rPr>
          <w:rFonts w:ascii="仿宋" w:hAnsi="仿宋" w:eastAsia="仿宋" w:cs="仿宋"/>
          <w:sz w:val="24"/>
        </w:rPr>
      </w:pPr>
      <w:r>
        <w:rPr>
          <w:rFonts w:hint="eastAsia" w:ascii="仿宋" w:hAnsi="仿宋" w:eastAsia="仿宋" w:cs="仿宋"/>
          <w:sz w:val="24"/>
        </w:rPr>
        <w:t>投标人名称（电子签章）：</w:t>
      </w:r>
    </w:p>
    <w:p>
      <w:pPr>
        <w:spacing w:line="288" w:lineRule="auto"/>
        <w:jc w:val="left"/>
        <w:rPr>
          <w:rFonts w:ascii="仿宋" w:hAnsi="仿宋" w:eastAsia="仿宋" w:cs="仿宋"/>
          <w:sz w:val="24"/>
        </w:rPr>
      </w:pPr>
    </w:p>
    <w:p>
      <w:pPr>
        <w:spacing w:line="288" w:lineRule="auto"/>
        <w:ind w:left="-210" w:leftChars="-100" w:firstLine="120" w:firstLineChars="50"/>
        <w:jc w:val="left"/>
        <w:rPr>
          <w:rFonts w:ascii="仿宋" w:hAnsi="仿宋" w:eastAsia="仿宋" w:cs="仿宋"/>
          <w:sz w:val="24"/>
        </w:rPr>
      </w:pPr>
      <w:r>
        <w:rPr>
          <w:rFonts w:hint="eastAsia" w:ascii="仿宋" w:hAnsi="仿宋" w:eastAsia="仿宋" w:cs="仿宋"/>
          <w:sz w:val="24"/>
        </w:rPr>
        <w:t>法定代表人或其授权代表（签字或</w:t>
      </w:r>
      <w:r>
        <w:rPr>
          <w:rFonts w:hint="eastAsia" w:ascii="仿宋" w:hAnsi="仿宋" w:eastAsia="仿宋" w:cs="仿宋"/>
          <w:sz w:val="24"/>
          <w:lang w:eastAsia="zh-CN"/>
        </w:rPr>
        <w:t>盖章</w:t>
      </w:r>
      <w:r>
        <w:rPr>
          <w:rFonts w:hint="eastAsia" w:ascii="仿宋" w:hAnsi="仿宋" w:eastAsia="仿宋" w:cs="仿宋"/>
          <w:sz w:val="24"/>
        </w:rPr>
        <w:t xml:space="preserve">）：                                      </w:t>
      </w:r>
      <w:r>
        <w:rPr>
          <w:rFonts w:hint="eastAsia" w:ascii="仿宋" w:hAnsi="仿宋" w:eastAsia="仿宋" w:cs="仿宋"/>
          <w:sz w:val="24"/>
        </w:rPr>
        <w:tab/>
      </w:r>
    </w:p>
    <w:p>
      <w:pPr>
        <w:spacing w:line="288" w:lineRule="auto"/>
        <w:rPr>
          <w:rFonts w:ascii="仿宋" w:hAnsi="仿宋" w:eastAsia="仿宋" w:cs="仿宋"/>
          <w:b/>
          <w:sz w:val="24"/>
        </w:rPr>
      </w:pPr>
      <w:r>
        <w:rPr>
          <w:rFonts w:hint="eastAsia" w:ascii="仿宋" w:hAnsi="仿宋" w:eastAsia="仿宋" w:cs="仿宋"/>
          <w:sz w:val="24"/>
        </w:rPr>
        <w:t xml:space="preserve">                                              日期：    年   月   日  </w:t>
      </w: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22、</w:t>
      </w:r>
      <w:r>
        <w:rPr>
          <w:rFonts w:hint="eastAsia" w:ascii="仿宋" w:hAnsi="仿宋" w:eastAsia="仿宋" w:cs="仿宋"/>
          <w:b/>
          <w:kern w:val="0"/>
          <w:sz w:val="32"/>
          <w:szCs w:val="32"/>
          <w:lang w:val="zh-CN"/>
        </w:rPr>
        <w:t>培训计划</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288"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2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课程概要</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课程目的</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教学方式</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先决条件</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教材目录</w:t>
      </w:r>
    </w:p>
    <w:p>
      <w:pPr>
        <w:autoSpaceDE w:val="0"/>
        <w:autoSpaceDN w:val="0"/>
        <w:spacing w:line="288"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 xml:space="preserve">：                   </w:t>
      </w:r>
    </w:p>
    <w:p>
      <w:pPr>
        <w:autoSpaceDE w:val="0"/>
        <w:autoSpaceDN w:val="0"/>
        <w:spacing w:line="288" w:lineRule="auto"/>
        <w:ind w:firstLine="120"/>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24"/>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23、验收方案</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jc w:val="center"/>
        <w:rPr>
          <w:rFonts w:ascii="仿宋" w:hAnsi="仿宋" w:eastAsia="仿宋" w:cs="仿宋"/>
          <w:sz w:val="24"/>
        </w:rPr>
      </w:pP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 xml:space="preserve">：                   </w:t>
      </w:r>
    </w:p>
    <w:p>
      <w:pPr>
        <w:spacing w:line="288" w:lineRule="auto"/>
        <w:jc w:val="center"/>
        <w:rPr>
          <w:rFonts w:ascii="仿宋" w:hAnsi="仿宋" w:eastAsia="仿宋" w:cs="仿宋"/>
          <w:kern w:val="0"/>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24、认为需要的</w:t>
      </w:r>
      <w:r>
        <w:rPr>
          <w:rFonts w:hint="eastAsia" w:ascii="仿宋" w:hAnsi="仿宋" w:eastAsia="仿宋" w:cs="仿宋"/>
          <w:b/>
          <w:kern w:val="0"/>
          <w:sz w:val="32"/>
          <w:szCs w:val="32"/>
          <w:lang w:val="zh-CN"/>
        </w:rPr>
        <w:t>其他商务技术（资信）文件或说明</w:t>
      </w:r>
    </w:p>
    <w:p>
      <w:pPr>
        <w:spacing w:line="288"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288" w:lineRule="auto"/>
        <w:rPr>
          <w:rFonts w:ascii="仿宋" w:hAnsi="仿宋" w:eastAsia="仿宋" w:cs="仿宋"/>
          <w:kern w:val="0"/>
          <w:sz w:val="24"/>
          <w:lang w:val="zh-CN"/>
        </w:rPr>
      </w:pP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lang w:val="zh-CN"/>
        </w:rPr>
        <w:t xml:space="preserve">： </w:t>
      </w:r>
    </w:p>
    <w:p>
      <w:pPr>
        <w:spacing w:line="288" w:lineRule="auto"/>
        <w:jc w:val="right"/>
        <w:rPr>
          <w:rFonts w:ascii="仿宋" w:hAnsi="仿宋" w:eastAsia="仿宋" w:cs="仿宋"/>
          <w:kern w:val="0"/>
          <w:sz w:val="24"/>
          <w:lang w:val="zh-CN"/>
        </w:rPr>
      </w:pPr>
      <w:r>
        <w:rPr>
          <w:rFonts w:hint="eastAsia" w:ascii="仿宋" w:hAnsi="仿宋" w:eastAsia="仿宋" w:cs="仿宋"/>
          <w:sz w:val="24"/>
        </w:rPr>
        <w:t>日期： 年 月 日</w:t>
      </w:r>
    </w:p>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altName w:val="Segoe Print"/>
    <w:panose1 w:val="020F0302020204030204"/>
    <w:charset w:val="00"/>
    <w:family w:val="swiss"/>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pict>
        <v:shape id="Text Box 1025" o:spid="_x0000_s4097" o:spt="202" type="#_x0000_t202" style="position:absolute;left:0pt;margin-top:0pt;height:11.65pt;width:31.55pt;mso-position-horizontal:center;mso-position-horizontal-relative:margin;mso-wrap-style:none;z-index:251659264;mso-width-relative:page;mso-height-relative:page;" filled="f" stroked="f" coordsize="21600,21600" o:gfxdata="UEsDBAoAAAAAAIdO4kAAAAAAAAAAAAAAAAAEAAAAZHJzL1BLAwQUAAAACACHTuJAGUOo8tEAAAAD AQAADwAAAGRycy9kb3ducmV2LnhtbE2PwWrDMBBE74X8g9hAb43sGNLgWs4h0EtvTUuht421sUyl lZEUx/77qr20l4Vhhpm3zWF2VkwU4uBZQbkpQBB3Xg/cK3h/e37Yg4gJWaP1TAoWinBoV3cN1trf +JWmU+pFLuFYowKT0lhLGTtDDuPGj8TZu/jgMGUZeqkD3nK5s3JbFDvpcOC8YHCko6Hu63R1Ch7n D09jpCN9XqYumGHZ25dFqft1WTyBSDSnvzD84Gd0aDPT2V9ZR2EV5EfS783eripBnBVsqwpk28j/ 7O03UEsDBBQAAAAIAIdO4kClDvC34QEAALYDAAAOAAAAZHJzL2Uyb0RvYy54bWytU8GO0zAQvSPx D5bvNEm1hSVqulp2VYS0sEi7fIDjOIlF7LHGbpPy9YydpixwQ1ysycz4+c2bl+3NZAZ2VOg12IoX q5wzZSU02nYV//a8f3PNmQ/CNmIAqyp+Up7f7F6/2o6uVGvoYWgUMgKxvhxdxfsQXJllXvbKCL8C pywVW0AjAn1ilzUoRkI3Q7bO87fZCNg4BKm8p+z9XOS7hN+2SobHtvUqsKHixC2kE9NZxzPbbUXZ oXC9lmca4h9YGKEtPXqBuhdBsAPqv6CMlgge2rCSYDJoWy1VmoGmKfI/pnnqhVNpFhLHu4tM/v/B yi/Hr8h0U/E1Z1YYWtGzmgL7ABMr8vUmCjQ6X1Lfk6POMFGFFp2G9e4B5HfPLNz1wnbqFhHGXomG CBbxZvbi6ozjI0g9foaGXhKHAAloatFE9UgPRui0qNNlOZGNpOQVbft6w5mkUnH17v0mcctEuVx2 6MNHBYbFoOJIu0/g4vjgQyQjyqUlvmVhr4ch7X+wvyWoMWYS+ch3Zh6mejqLUUNzojEQZjuR/Sno AX9wNpKVKm7J65wNnywJEV23BLgE9RIIK+lixQNnc3gXZnceHOquJ9xF6lsSa6/TIFHVmcOZJZkj zXc2cnTfy+/U9et32/0EUEsDBAoAAAAAAIdO4kAAAAAAAAAAAAAAAAAGAAAAX3JlbHMvUEsDBBQA AAAIAIdO4kCKFGY80QAAAJQBAAALAAAAX3JlbHMvLnJlbHOlkMFqwzAMhu+DvYPRfXGawxijTi+j 0GvpHsDYimMaW0Yy2fr28w6DZfS2o36h7xP//vCZFrUiS6RsYNf1oDA78jEHA++X49MLKKk2e7tQ RgM3FDiMjw/7My62tiOZYxHVKFkMzLWWV63FzZisdFQwt81EnGxtIwddrLvagHro+2fNvxkwbpjq 5A3wyQ+gLrfSzH/YKTomoal2jpKmaYruHlUHtmWO7sg24Ru5RrMcsBrwLBoHalnXfgR9X7/7p97T Rz7jutV+h4zrj1dvuhy/AFBLAwQUAAAACACHTuJAfublIPcAAADhAQAAEwAAAFtDb250ZW50X1R5 cGVzXS54bWyVkUFOwzAQRfdI3MHyFiVOu0AIJemCtEtAqBxgZE8Si2RseUxob4+TthtEkVjaM/+/ J7vcHMZBTBjYOqrkKi+kQNLOWOoq+b7fZQ9ScAQyMDjCSh6R5aa+vSn3R48sUpq4kn2M/lEp1j2O wLnzSGnSujBCTMfQKQ/6AzpU66K4V9pRRIpZnDtkXTbYwucQxfaQrk8mAQeW4um0OLMqCd4PVkNM pmoi84OSnQl5Si473FvPd0lDql8J8+Q64Jx7SU8TrEHxCiE+w5g0lAmsjPuigFP+d8lsOXLm2tZq zJvATYq94XSxutaOa9c4/d/y7ZK6dKvlg+pvUEsBAhQAFAAAAAgAh07iQH7m5SD3AAAA4QEAABMA AAAAAAAAAQAgAAAASwQAAFtDb250ZW50X1R5cGVzXS54bWxQSwECFAAKAAAAAACHTuJAAAAAAAAA AAAAAAAABgAAAAAAAAAAABAAAAAtAwAAX3JlbHMvUEsBAhQAFAAAAAgAh07iQIoUZjzRAAAAlAEA AAsAAAAAAAAAAQAgAAAAUQMAAF9yZWxzLy5yZWxzUEsBAhQACgAAAAAAh07iQAAAAAAAAAAAAAAA AAQAAAAAAAAAAAAQAAAAAAAAAGRycy9QSwECFAAUAAAACACHTuJAGUOo8tEAAAADAQAADwAAAAAA AAABACAAAAAiAAAAZHJzL2Rvd25yZXYueG1sUEsBAhQAFAAAAAgAh07iQKUO8LfhAQAAtgMAAA4A AAAAAAAAAQAgAAAAIAEAAGRycy9lMm9Eb2MueG1sUEsFBgAAAAAGAAYAWQEAAHMFAAAAAA== ">
          <v:path/>
          <v:fill on="f" focussize="0,0"/>
          <v:stroke on="f" joinstyle="miter"/>
          <v:imagedata o:title=""/>
          <o:lock v:ext="edit"/>
          <v:textbox inset="0mm,0mm,0mm,0mm" style="mso-fit-shape-to-text:t;">
            <w:txbxContent>
              <w:p>
                <w:pPr>
                  <w:pStyle w:val="18"/>
                </w:pPr>
                <w:r>
                  <w:rPr>
                    <w:rFonts w:hint="eastAsia"/>
                  </w:rPr>
                  <w:t>第</w:t>
                </w:r>
                <w:r>
                  <w:fldChar w:fldCharType="begin"/>
                </w:r>
                <w:r>
                  <w:instrText xml:space="preserve"> PAGE  \* MERGEFORMAT </w:instrText>
                </w:r>
                <w:r>
                  <w:fldChar w:fldCharType="separate"/>
                </w:r>
                <w:r>
                  <w:t>6</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0"/>
        <w:rFonts w:cs="Arial"/>
        <w:sz w:val="18"/>
        <w:szCs w:val="21"/>
      </w:rPr>
    </w:pPr>
    <w:r>
      <w:rPr>
        <w:rStyle w:val="30"/>
        <w:rFonts w:cs="Arial"/>
        <w:sz w:val="18"/>
        <w:szCs w:val="21"/>
      </w:rPr>
      <w:fldChar w:fldCharType="begin"/>
    </w:r>
    <w:r>
      <w:rPr>
        <w:rStyle w:val="30"/>
        <w:rFonts w:cs="Arial"/>
        <w:sz w:val="18"/>
        <w:szCs w:val="21"/>
      </w:rPr>
      <w:instrText xml:space="preserve">PAGE  </w:instrText>
    </w:r>
    <w:r>
      <w:rPr>
        <w:rStyle w:val="30"/>
        <w:rFonts w:cs="Arial"/>
        <w:sz w:val="18"/>
        <w:szCs w:val="21"/>
      </w:rP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90"/>
      <w:lvlText w:val="%1."/>
      <w:lvlJc w:val="left"/>
      <w:pPr>
        <w:tabs>
          <w:tab w:val="left" w:pos="1200"/>
        </w:tabs>
        <w:ind w:left="1200" w:leftChars="400" w:hanging="360" w:hangingChars="200"/>
      </w:pPr>
    </w:lvl>
  </w:abstractNum>
  <w:abstractNum w:abstractNumId="1">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1373528F"/>
    <w:multiLevelType w:val="multilevel"/>
    <w:tmpl w:val="1373528F"/>
    <w:lvl w:ilvl="0" w:tentative="0">
      <w:start w:val="1"/>
      <w:numFmt w:val="decimal"/>
      <w:lvlText w:val="%1)"/>
      <w:lvlJc w:val="left"/>
      <w:pPr>
        <w:ind w:left="900" w:hanging="420"/>
      </w:pPr>
    </w:lvl>
    <w:lvl w:ilvl="1" w:tentative="0">
      <w:start w:val="0"/>
      <w:numFmt w:val="bullet"/>
      <w:lvlText w:val="▲"/>
      <w:lvlJc w:val="left"/>
      <w:pPr>
        <w:ind w:left="1260" w:hanging="360"/>
      </w:pPr>
      <w:rPr>
        <w:rFonts w:hint="eastAsia" w:ascii="仿宋" w:hAnsi="仿宋" w:eastAsia="仿宋" w:cs="仿宋"/>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A02C129"/>
    <w:multiLevelType w:val="singleLevel"/>
    <w:tmpl w:val="5A02C129"/>
    <w:lvl w:ilvl="0" w:tentative="0">
      <w:start w:val="1"/>
      <w:numFmt w:val="decimal"/>
      <w:pStyle w:val="6"/>
      <w:lvlText w:val="%1."/>
      <w:lvlJc w:val="left"/>
      <w:pPr>
        <w:tabs>
          <w:tab w:val="left" w:pos="780"/>
        </w:tabs>
        <w:ind w:left="780" w:hanging="360"/>
      </w:pPr>
      <w:rPr>
        <w:rFonts w:cs="Times New Roman"/>
      </w:rPr>
    </w:lvl>
  </w:abstractNum>
  <w:abstractNum w:abstractNumId="4">
    <w:nsid w:val="5A02C13F"/>
    <w:multiLevelType w:val="singleLevel"/>
    <w:tmpl w:val="5A02C13F"/>
    <w:lvl w:ilvl="0" w:tentative="0">
      <w:start w:val="1"/>
      <w:numFmt w:val="decimal"/>
      <w:pStyle w:val="8"/>
      <w:lvlText w:val="%1."/>
      <w:lvlJc w:val="left"/>
      <w:pPr>
        <w:tabs>
          <w:tab w:val="left" w:pos="360"/>
        </w:tabs>
        <w:ind w:left="360" w:hanging="360"/>
      </w:pPr>
      <w:rPr>
        <w:rFonts w:cs="Times New Roman"/>
      </w:rPr>
    </w:lvl>
  </w:abstractNum>
  <w:abstractNum w:abstractNumId="5">
    <w:nsid w:val="5A02C160"/>
    <w:multiLevelType w:val="singleLevel"/>
    <w:tmpl w:val="5A02C160"/>
    <w:lvl w:ilvl="0" w:tentative="0">
      <w:start w:val="1"/>
      <w:numFmt w:val="decimal"/>
      <w:pStyle w:val="13"/>
      <w:lvlText w:val="%1."/>
      <w:lvlJc w:val="left"/>
      <w:pPr>
        <w:tabs>
          <w:tab w:val="left" w:pos="1200"/>
        </w:tabs>
        <w:ind w:left="1200" w:hanging="360"/>
      </w:pPr>
      <w:rPr>
        <w:rFonts w:cs="Times New Roman"/>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7">
    <w:nsid w:val="730F464B"/>
    <w:multiLevelType w:val="multilevel"/>
    <w:tmpl w:val="730F464B"/>
    <w:lvl w:ilvl="0" w:tentative="0">
      <w:start w:val="1"/>
      <w:numFmt w:val="decimal"/>
      <w:lvlText w:val="%1)"/>
      <w:lvlJc w:val="left"/>
      <w:pPr>
        <w:ind w:left="890" w:hanging="420"/>
      </w:pPr>
    </w:lvl>
    <w:lvl w:ilvl="1" w:tentative="0">
      <w:start w:val="0"/>
      <w:numFmt w:val="bullet"/>
      <w:lvlText w:val="▲"/>
      <w:lvlJc w:val="left"/>
      <w:pPr>
        <w:ind w:left="1250" w:hanging="360"/>
      </w:pPr>
      <w:rPr>
        <w:rFonts w:hint="eastAsia" w:ascii="仿宋" w:hAnsi="仿宋" w:eastAsia="仿宋" w:cs="仿宋"/>
      </w:rPr>
    </w:lvl>
    <w:lvl w:ilvl="2" w:tentative="0">
      <w:start w:val="1"/>
      <w:numFmt w:val="lowerRoman"/>
      <w:lvlText w:val="%3."/>
      <w:lvlJc w:val="right"/>
      <w:pPr>
        <w:ind w:left="1730" w:hanging="420"/>
      </w:pPr>
    </w:lvl>
    <w:lvl w:ilvl="3" w:tentative="0">
      <w:start w:val="1"/>
      <w:numFmt w:val="decimal"/>
      <w:lvlText w:val="%4."/>
      <w:lvlJc w:val="left"/>
      <w:pPr>
        <w:ind w:left="2150" w:hanging="420"/>
      </w:pPr>
    </w:lvl>
    <w:lvl w:ilvl="4" w:tentative="0">
      <w:start w:val="1"/>
      <w:numFmt w:val="lowerLetter"/>
      <w:lvlText w:val="%5)"/>
      <w:lvlJc w:val="left"/>
      <w:pPr>
        <w:ind w:left="2570" w:hanging="420"/>
      </w:pPr>
    </w:lvl>
    <w:lvl w:ilvl="5" w:tentative="0">
      <w:start w:val="1"/>
      <w:numFmt w:val="lowerRoman"/>
      <w:lvlText w:val="%6."/>
      <w:lvlJc w:val="right"/>
      <w:pPr>
        <w:ind w:left="2990" w:hanging="420"/>
      </w:pPr>
    </w:lvl>
    <w:lvl w:ilvl="6" w:tentative="0">
      <w:start w:val="1"/>
      <w:numFmt w:val="decimal"/>
      <w:lvlText w:val="%7."/>
      <w:lvlJc w:val="left"/>
      <w:pPr>
        <w:ind w:left="3410" w:hanging="420"/>
      </w:pPr>
    </w:lvl>
    <w:lvl w:ilvl="7" w:tentative="0">
      <w:start w:val="1"/>
      <w:numFmt w:val="lowerLetter"/>
      <w:lvlText w:val="%8)"/>
      <w:lvlJc w:val="left"/>
      <w:pPr>
        <w:ind w:left="3830" w:hanging="420"/>
      </w:pPr>
    </w:lvl>
    <w:lvl w:ilvl="8" w:tentative="0">
      <w:start w:val="1"/>
      <w:numFmt w:val="lowerRoman"/>
      <w:lvlText w:val="%9."/>
      <w:lvlJc w:val="right"/>
      <w:pPr>
        <w:ind w:left="4250" w:hanging="420"/>
      </w:pPr>
    </w:lvl>
  </w:abstractNum>
  <w:num w:numId="1">
    <w:abstractNumId w:val="6"/>
  </w:num>
  <w:num w:numId="2">
    <w:abstractNumId w:val="3"/>
  </w:num>
  <w:num w:numId="3">
    <w:abstractNumId w:val="4"/>
  </w:num>
  <w:num w:numId="4">
    <w:abstractNumId w:val="5"/>
  </w:num>
  <w:num w:numId="5">
    <w:abstractNumId w:val="0"/>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0E05"/>
    <w:rsid w:val="000040C1"/>
    <w:rsid w:val="00004555"/>
    <w:rsid w:val="00012685"/>
    <w:rsid w:val="00017DAE"/>
    <w:rsid w:val="0002017B"/>
    <w:rsid w:val="0002428C"/>
    <w:rsid w:val="00024AD2"/>
    <w:rsid w:val="00030F1E"/>
    <w:rsid w:val="00042AE2"/>
    <w:rsid w:val="00050028"/>
    <w:rsid w:val="00051731"/>
    <w:rsid w:val="00055CDF"/>
    <w:rsid w:val="0006767A"/>
    <w:rsid w:val="00067735"/>
    <w:rsid w:val="00072A6B"/>
    <w:rsid w:val="0007439E"/>
    <w:rsid w:val="00080F79"/>
    <w:rsid w:val="000813EC"/>
    <w:rsid w:val="00093879"/>
    <w:rsid w:val="00094A82"/>
    <w:rsid w:val="000C38DF"/>
    <w:rsid w:val="000D5692"/>
    <w:rsid w:val="000D7240"/>
    <w:rsid w:val="000F70F7"/>
    <w:rsid w:val="00114135"/>
    <w:rsid w:val="0012034D"/>
    <w:rsid w:val="0012425A"/>
    <w:rsid w:val="001311E4"/>
    <w:rsid w:val="00142376"/>
    <w:rsid w:val="0014517B"/>
    <w:rsid w:val="001559EF"/>
    <w:rsid w:val="001570A5"/>
    <w:rsid w:val="00171C91"/>
    <w:rsid w:val="0017463C"/>
    <w:rsid w:val="001814F1"/>
    <w:rsid w:val="0018495F"/>
    <w:rsid w:val="001A1325"/>
    <w:rsid w:val="001A687C"/>
    <w:rsid w:val="001A7144"/>
    <w:rsid w:val="001B3B8E"/>
    <w:rsid w:val="001D1DA3"/>
    <w:rsid w:val="001E5FDC"/>
    <w:rsid w:val="001E78A2"/>
    <w:rsid w:val="001F02A1"/>
    <w:rsid w:val="00217753"/>
    <w:rsid w:val="00220DF0"/>
    <w:rsid w:val="0023053A"/>
    <w:rsid w:val="0023098F"/>
    <w:rsid w:val="002322BF"/>
    <w:rsid w:val="0023264D"/>
    <w:rsid w:val="00236AB9"/>
    <w:rsid w:val="002476B8"/>
    <w:rsid w:val="00251CE8"/>
    <w:rsid w:val="00261F2A"/>
    <w:rsid w:val="00262064"/>
    <w:rsid w:val="00262448"/>
    <w:rsid w:val="00273B10"/>
    <w:rsid w:val="00275656"/>
    <w:rsid w:val="00286944"/>
    <w:rsid w:val="00294D3C"/>
    <w:rsid w:val="002A2838"/>
    <w:rsid w:val="002A2E37"/>
    <w:rsid w:val="002B2B5E"/>
    <w:rsid w:val="002B54E5"/>
    <w:rsid w:val="002B67ED"/>
    <w:rsid w:val="002B6E84"/>
    <w:rsid w:val="002B77DD"/>
    <w:rsid w:val="002C0AB1"/>
    <w:rsid w:val="002F25A8"/>
    <w:rsid w:val="0031163B"/>
    <w:rsid w:val="00330C22"/>
    <w:rsid w:val="003403EB"/>
    <w:rsid w:val="003411E7"/>
    <w:rsid w:val="00345DE3"/>
    <w:rsid w:val="003542AC"/>
    <w:rsid w:val="00387522"/>
    <w:rsid w:val="003A2766"/>
    <w:rsid w:val="003A5C0F"/>
    <w:rsid w:val="003B2510"/>
    <w:rsid w:val="003B25FB"/>
    <w:rsid w:val="003B5CB4"/>
    <w:rsid w:val="003D237E"/>
    <w:rsid w:val="003D2443"/>
    <w:rsid w:val="003F0B46"/>
    <w:rsid w:val="003F5CF0"/>
    <w:rsid w:val="003F73CE"/>
    <w:rsid w:val="00412A3B"/>
    <w:rsid w:val="0042535C"/>
    <w:rsid w:val="0043244B"/>
    <w:rsid w:val="00440162"/>
    <w:rsid w:val="0044140D"/>
    <w:rsid w:val="00450F81"/>
    <w:rsid w:val="00455CD4"/>
    <w:rsid w:val="00455DAB"/>
    <w:rsid w:val="00461886"/>
    <w:rsid w:val="00465752"/>
    <w:rsid w:val="00467496"/>
    <w:rsid w:val="00467DC5"/>
    <w:rsid w:val="004706A2"/>
    <w:rsid w:val="00481099"/>
    <w:rsid w:val="0048467F"/>
    <w:rsid w:val="0048770F"/>
    <w:rsid w:val="0049223A"/>
    <w:rsid w:val="004B065D"/>
    <w:rsid w:val="004C0A50"/>
    <w:rsid w:val="004C27D1"/>
    <w:rsid w:val="004D6606"/>
    <w:rsid w:val="004E47C3"/>
    <w:rsid w:val="004E6356"/>
    <w:rsid w:val="004F2C71"/>
    <w:rsid w:val="004F3245"/>
    <w:rsid w:val="0050684D"/>
    <w:rsid w:val="005117F3"/>
    <w:rsid w:val="005213B8"/>
    <w:rsid w:val="00522EF7"/>
    <w:rsid w:val="0052572A"/>
    <w:rsid w:val="00530F7C"/>
    <w:rsid w:val="00532CC9"/>
    <w:rsid w:val="00545306"/>
    <w:rsid w:val="00547532"/>
    <w:rsid w:val="005656CD"/>
    <w:rsid w:val="00566429"/>
    <w:rsid w:val="0058125A"/>
    <w:rsid w:val="00583589"/>
    <w:rsid w:val="00590683"/>
    <w:rsid w:val="005A4AFA"/>
    <w:rsid w:val="005A64B3"/>
    <w:rsid w:val="005B52EC"/>
    <w:rsid w:val="005C0BB4"/>
    <w:rsid w:val="005D6812"/>
    <w:rsid w:val="005E1BF3"/>
    <w:rsid w:val="005E3D8E"/>
    <w:rsid w:val="00602260"/>
    <w:rsid w:val="006313C5"/>
    <w:rsid w:val="00633DF9"/>
    <w:rsid w:val="00636FED"/>
    <w:rsid w:val="00637621"/>
    <w:rsid w:val="006418DD"/>
    <w:rsid w:val="006451AB"/>
    <w:rsid w:val="006543AB"/>
    <w:rsid w:val="00663D9D"/>
    <w:rsid w:val="006815CE"/>
    <w:rsid w:val="006843A0"/>
    <w:rsid w:val="006940CC"/>
    <w:rsid w:val="006A4D37"/>
    <w:rsid w:val="006B047E"/>
    <w:rsid w:val="006D2193"/>
    <w:rsid w:val="006E080D"/>
    <w:rsid w:val="006E75F4"/>
    <w:rsid w:val="006F5A9E"/>
    <w:rsid w:val="006F7DA5"/>
    <w:rsid w:val="007030D1"/>
    <w:rsid w:val="00706826"/>
    <w:rsid w:val="00720ACD"/>
    <w:rsid w:val="00721DEB"/>
    <w:rsid w:val="00723CE8"/>
    <w:rsid w:val="00734EA9"/>
    <w:rsid w:val="00741A2B"/>
    <w:rsid w:val="00755F5F"/>
    <w:rsid w:val="0075665F"/>
    <w:rsid w:val="00762D7F"/>
    <w:rsid w:val="00766BFA"/>
    <w:rsid w:val="0078125A"/>
    <w:rsid w:val="007A150E"/>
    <w:rsid w:val="007A32A7"/>
    <w:rsid w:val="007B3644"/>
    <w:rsid w:val="007B364B"/>
    <w:rsid w:val="007B7DB8"/>
    <w:rsid w:val="007C3048"/>
    <w:rsid w:val="007D3ADA"/>
    <w:rsid w:val="007D534C"/>
    <w:rsid w:val="007D74F8"/>
    <w:rsid w:val="007E3668"/>
    <w:rsid w:val="007E571E"/>
    <w:rsid w:val="007F3B1E"/>
    <w:rsid w:val="00801A53"/>
    <w:rsid w:val="0082182E"/>
    <w:rsid w:val="00825E11"/>
    <w:rsid w:val="0084468D"/>
    <w:rsid w:val="00851A0E"/>
    <w:rsid w:val="00851D0E"/>
    <w:rsid w:val="00851E94"/>
    <w:rsid w:val="008702F4"/>
    <w:rsid w:val="00872AA9"/>
    <w:rsid w:val="00884208"/>
    <w:rsid w:val="0089216A"/>
    <w:rsid w:val="008943BB"/>
    <w:rsid w:val="008A197E"/>
    <w:rsid w:val="008A7E46"/>
    <w:rsid w:val="008D1D22"/>
    <w:rsid w:val="008D38D9"/>
    <w:rsid w:val="008D6072"/>
    <w:rsid w:val="008D7DDA"/>
    <w:rsid w:val="00923FCF"/>
    <w:rsid w:val="009333E3"/>
    <w:rsid w:val="00933431"/>
    <w:rsid w:val="00937337"/>
    <w:rsid w:val="00945D15"/>
    <w:rsid w:val="00950791"/>
    <w:rsid w:val="00955273"/>
    <w:rsid w:val="00957F9C"/>
    <w:rsid w:val="00962E86"/>
    <w:rsid w:val="009660EE"/>
    <w:rsid w:val="009A4CEF"/>
    <w:rsid w:val="009C76A2"/>
    <w:rsid w:val="009D2FED"/>
    <w:rsid w:val="009E0533"/>
    <w:rsid w:val="00A1598B"/>
    <w:rsid w:val="00A16944"/>
    <w:rsid w:val="00A17F42"/>
    <w:rsid w:val="00A27EBF"/>
    <w:rsid w:val="00A30EAA"/>
    <w:rsid w:val="00A35A34"/>
    <w:rsid w:val="00A41BE4"/>
    <w:rsid w:val="00A5075A"/>
    <w:rsid w:val="00A56A1E"/>
    <w:rsid w:val="00A63825"/>
    <w:rsid w:val="00A63FBA"/>
    <w:rsid w:val="00A67091"/>
    <w:rsid w:val="00A831F9"/>
    <w:rsid w:val="00A86515"/>
    <w:rsid w:val="00A929F0"/>
    <w:rsid w:val="00A95926"/>
    <w:rsid w:val="00AA1B38"/>
    <w:rsid w:val="00AA527A"/>
    <w:rsid w:val="00AB3AF5"/>
    <w:rsid w:val="00AD0587"/>
    <w:rsid w:val="00AD18FF"/>
    <w:rsid w:val="00AD270F"/>
    <w:rsid w:val="00AE1471"/>
    <w:rsid w:val="00AE1493"/>
    <w:rsid w:val="00AE3AB9"/>
    <w:rsid w:val="00AE6A3D"/>
    <w:rsid w:val="00B01CF7"/>
    <w:rsid w:val="00B1333D"/>
    <w:rsid w:val="00B22626"/>
    <w:rsid w:val="00B251FC"/>
    <w:rsid w:val="00B51325"/>
    <w:rsid w:val="00B61CF4"/>
    <w:rsid w:val="00B62E53"/>
    <w:rsid w:val="00B63DE9"/>
    <w:rsid w:val="00B67DBD"/>
    <w:rsid w:val="00B71876"/>
    <w:rsid w:val="00B76EC0"/>
    <w:rsid w:val="00BA30DB"/>
    <w:rsid w:val="00C071C6"/>
    <w:rsid w:val="00C135A8"/>
    <w:rsid w:val="00C207BF"/>
    <w:rsid w:val="00C249E6"/>
    <w:rsid w:val="00C460C2"/>
    <w:rsid w:val="00C5693F"/>
    <w:rsid w:val="00C60D63"/>
    <w:rsid w:val="00C7051D"/>
    <w:rsid w:val="00C72E38"/>
    <w:rsid w:val="00C750A5"/>
    <w:rsid w:val="00C85041"/>
    <w:rsid w:val="00C8551C"/>
    <w:rsid w:val="00C90C86"/>
    <w:rsid w:val="00C94F88"/>
    <w:rsid w:val="00CB14BF"/>
    <w:rsid w:val="00CB3AAD"/>
    <w:rsid w:val="00CB4467"/>
    <w:rsid w:val="00CB5B52"/>
    <w:rsid w:val="00CC5263"/>
    <w:rsid w:val="00CE206D"/>
    <w:rsid w:val="00D036B1"/>
    <w:rsid w:val="00D14706"/>
    <w:rsid w:val="00D23DF7"/>
    <w:rsid w:val="00D3383B"/>
    <w:rsid w:val="00D445B3"/>
    <w:rsid w:val="00D95393"/>
    <w:rsid w:val="00D9689D"/>
    <w:rsid w:val="00D96BD9"/>
    <w:rsid w:val="00DA2B91"/>
    <w:rsid w:val="00DA5951"/>
    <w:rsid w:val="00DA619B"/>
    <w:rsid w:val="00DA73D0"/>
    <w:rsid w:val="00DB0FE3"/>
    <w:rsid w:val="00DD1F2E"/>
    <w:rsid w:val="00DF1356"/>
    <w:rsid w:val="00E02CE4"/>
    <w:rsid w:val="00E064B8"/>
    <w:rsid w:val="00E077A7"/>
    <w:rsid w:val="00E27EAE"/>
    <w:rsid w:val="00E4050A"/>
    <w:rsid w:val="00E408E0"/>
    <w:rsid w:val="00E60A3E"/>
    <w:rsid w:val="00E62AFA"/>
    <w:rsid w:val="00E710CD"/>
    <w:rsid w:val="00E76BEC"/>
    <w:rsid w:val="00E81842"/>
    <w:rsid w:val="00EA43CE"/>
    <w:rsid w:val="00EA6ED5"/>
    <w:rsid w:val="00EB2D90"/>
    <w:rsid w:val="00EC30D7"/>
    <w:rsid w:val="00ED3842"/>
    <w:rsid w:val="00ED38B5"/>
    <w:rsid w:val="00F56126"/>
    <w:rsid w:val="00F63769"/>
    <w:rsid w:val="00F63FA6"/>
    <w:rsid w:val="00F720FA"/>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35256E"/>
    <w:rsid w:val="017F0419"/>
    <w:rsid w:val="0202557A"/>
    <w:rsid w:val="02455361"/>
    <w:rsid w:val="026B7D9D"/>
    <w:rsid w:val="02746F0F"/>
    <w:rsid w:val="02B0326C"/>
    <w:rsid w:val="02E03D80"/>
    <w:rsid w:val="02FF6323"/>
    <w:rsid w:val="03166C95"/>
    <w:rsid w:val="033742BA"/>
    <w:rsid w:val="0352039E"/>
    <w:rsid w:val="0432047D"/>
    <w:rsid w:val="044736CF"/>
    <w:rsid w:val="04AB653B"/>
    <w:rsid w:val="04BB2CB1"/>
    <w:rsid w:val="04CE269C"/>
    <w:rsid w:val="052D2EBC"/>
    <w:rsid w:val="05612999"/>
    <w:rsid w:val="05B40EB1"/>
    <w:rsid w:val="05B75E5D"/>
    <w:rsid w:val="06E4135A"/>
    <w:rsid w:val="07DA186C"/>
    <w:rsid w:val="084E3C8A"/>
    <w:rsid w:val="08C922E5"/>
    <w:rsid w:val="08DC6D2E"/>
    <w:rsid w:val="08E27460"/>
    <w:rsid w:val="08FA3C1C"/>
    <w:rsid w:val="097A3B63"/>
    <w:rsid w:val="0A0A25D7"/>
    <w:rsid w:val="0ADE6281"/>
    <w:rsid w:val="0B3869A1"/>
    <w:rsid w:val="0B637A3A"/>
    <w:rsid w:val="0B9713AA"/>
    <w:rsid w:val="0BF4331C"/>
    <w:rsid w:val="0D2D522C"/>
    <w:rsid w:val="0D917941"/>
    <w:rsid w:val="0DD1638B"/>
    <w:rsid w:val="0E45263B"/>
    <w:rsid w:val="0EA54C7F"/>
    <w:rsid w:val="0ED21131"/>
    <w:rsid w:val="0EE1261E"/>
    <w:rsid w:val="0F6303AF"/>
    <w:rsid w:val="104D6387"/>
    <w:rsid w:val="10C92ED0"/>
    <w:rsid w:val="10F654D7"/>
    <w:rsid w:val="114664CC"/>
    <w:rsid w:val="11564EC4"/>
    <w:rsid w:val="11B07BD6"/>
    <w:rsid w:val="11CB3B70"/>
    <w:rsid w:val="11D91565"/>
    <w:rsid w:val="125750F6"/>
    <w:rsid w:val="127542AA"/>
    <w:rsid w:val="12F15FC0"/>
    <w:rsid w:val="13AD3C35"/>
    <w:rsid w:val="144A5C4D"/>
    <w:rsid w:val="14685E9F"/>
    <w:rsid w:val="148167F9"/>
    <w:rsid w:val="149C53ED"/>
    <w:rsid w:val="14A17E3B"/>
    <w:rsid w:val="1553718A"/>
    <w:rsid w:val="1557079B"/>
    <w:rsid w:val="15661BF2"/>
    <w:rsid w:val="16955330"/>
    <w:rsid w:val="169F1555"/>
    <w:rsid w:val="16C339B4"/>
    <w:rsid w:val="17E0367B"/>
    <w:rsid w:val="181C3543"/>
    <w:rsid w:val="183550AA"/>
    <w:rsid w:val="1887170A"/>
    <w:rsid w:val="18BE625E"/>
    <w:rsid w:val="18F64FE1"/>
    <w:rsid w:val="193E2714"/>
    <w:rsid w:val="197D38E8"/>
    <w:rsid w:val="198960E3"/>
    <w:rsid w:val="199F0C8D"/>
    <w:rsid w:val="19A857C8"/>
    <w:rsid w:val="19C025F8"/>
    <w:rsid w:val="19CE48C9"/>
    <w:rsid w:val="19D9355D"/>
    <w:rsid w:val="1A0C3B58"/>
    <w:rsid w:val="1A761D5D"/>
    <w:rsid w:val="1A8B44E3"/>
    <w:rsid w:val="1AA07E89"/>
    <w:rsid w:val="1AC253A6"/>
    <w:rsid w:val="1B1C0F2A"/>
    <w:rsid w:val="1B1F3315"/>
    <w:rsid w:val="1B5003E0"/>
    <w:rsid w:val="1B632526"/>
    <w:rsid w:val="1B765B82"/>
    <w:rsid w:val="1B965EA6"/>
    <w:rsid w:val="1BE62BE0"/>
    <w:rsid w:val="1D155786"/>
    <w:rsid w:val="1DC00357"/>
    <w:rsid w:val="1DDC590A"/>
    <w:rsid w:val="1DE200F1"/>
    <w:rsid w:val="1E335181"/>
    <w:rsid w:val="1E542B3C"/>
    <w:rsid w:val="1E6472D8"/>
    <w:rsid w:val="1EE4458C"/>
    <w:rsid w:val="1EE90359"/>
    <w:rsid w:val="1F3A2255"/>
    <w:rsid w:val="1F430209"/>
    <w:rsid w:val="1F7362DF"/>
    <w:rsid w:val="1FB74E43"/>
    <w:rsid w:val="1FC70F79"/>
    <w:rsid w:val="1FD44083"/>
    <w:rsid w:val="1FDB4036"/>
    <w:rsid w:val="205703D1"/>
    <w:rsid w:val="209A7B6A"/>
    <w:rsid w:val="20B53FC7"/>
    <w:rsid w:val="20BE6021"/>
    <w:rsid w:val="212C08DB"/>
    <w:rsid w:val="214A627F"/>
    <w:rsid w:val="216D4A99"/>
    <w:rsid w:val="2173797E"/>
    <w:rsid w:val="218642C5"/>
    <w:rsid w:val="218B4CE9"/>
    <w:rsid w:val="21D37273"/>
    <w:rsid w:val="21E26C36"/>
    <w:rsid w:val="220D6D28"/>
    <w:rsid w:val="22C65437"/>
    <w:rsid w:val="2304797C"/>
    <w:rsid w:val="231942C4"/>
    <w:rsid w:val="238A7522"/>
    <w:rsid w:val="23BA6B13"/>
    <w:rsid w:val="23BE0F28"/>
    <w:rsid w:val="23CB6CF7"/>
    <w:rsid w:val="23E17F6F"/>
    <w:rsid w:val="240053EC"/>
    <w:rsid w:val="24097FEF"/>
    <w:rsid w:val="242F6C37"/>
    <w:rsid w:val="2486405D"/>
    <w:rsid w:val="249D31FD"/>
    <w:rsid w:val="24C720CA"/>
    <w:rsid w:val="24CA6AC2"/>
    <w:rsid w:val="24D972C4"/>
    <w:rsid w:val="24E92B02"/>
    <w:rsid w:val="252565D6"/>
    <w:rsid w:val="25272087"/>
    <w:rsid w:val="253216FD"/>
    <w:rsid w:val="256D4AB4"/>
    <w:rsid w:val="25A13331"/>
    <w:rsid w:val="25A57D1C"/>
    <w:rsid w:val="26294A1D"/>
    <w:rsid w:val="26CC410D"/>
    <w:rsid w:val="26CF12AF"/>
    <w:rsid w:val="27903546"/>
    <w:rsid w:val="284D434A"/>
    <w:rsid w:val="291E1DAE"/>
    <w:rsid w:val="292C3247"/>
    <w:rsid w:val="298F4DC5"/>
    <w:rsid w:val="29A9636D"/>
    <w:rsid w:val="29DA29ED"/>
    <w:rsid w:val="2A523300"/>
    <w:rsid w:val="2AE2680C"/>
    <w:rsid w:val="2AFA300F"/>
    <w:rsid w:val="2B02463D"/>
    <w:rsid w:val="2BB712A2"/>
    <w:rsid w:val="2BD668A3"/>
    <w:rsid w:val="2BF305D1"/>
    <w:rsid w:val="2C446861"/>
    <w:rsid w:val="2CB83AD9"/>
    <w:rsid w:val="2CD53511"/>
    <w:rsid w:val="2D2A61CE"/>
    <w:rsid w:val="2D80707D"/>
    <w:rsid w:val="2DE2488D"/>
    <w:rsid w:val="2E083145"/>
    <w:rsid w:val="2ED5521A"/>
    <w:rsid w:val="2ED619F5"/>
    <w:rsid w:val="2F8C4BD5"/>
    <w:rsid w:val="2F9F3A1B"/>
    <w:rsid w:val="303B0264"/>
    <w:rsid w:val="304B5E64"/>
    <w:rsid w:val="30730BA2"/>
    <w:rsid w:val="30782F4C"/>
    <w:rsid w:val="3091213D"/>
    <w:rsid w:val="30ED1CE2"/>
    <w:rsid w:val="31487038"/>
    <w:rsid w:val="31AF70A8"/>
    <w:rsid w:val="31C6513D"/>
    <w:rsid w:val="32221E3A"/>
    <w:rsid w:val="32B05C3D"/>
    <w:rsid w:val="32B65903"/>
    <w:rsid w:val="32C97243"/>
    <w:rsid w:val="32D758ED"/>
    <w:rsid w:val="33012007"/>
    <w:rsid w:val="33AD15F4"/>
    <w:rsid w:val="33F65183"/>
    <w:rsid w:val="34842703"/>
    <w:rsid w:val="348450B4"/>
    <w:rsid w:val="34A065F2"/>
    <w:rsid w:val="35653C58"/>
    <w:rsid w:val="359C1A91"/>
    <w:rsid w:val="3627707A"/>
    <w:rsid w:val="365C2844"/>
    <w:rsid w:val="36763EFF"/>
    <w:rsid w:val="37186BCB"/>
    <w:rsid w:val="37251CAF"/>
    <w:rsid w:val="37604E39"/>
    <w:rsid w:val="378D5403"/>
    <w:rsid w:val="37C02DA1"/>
    <w:rsid w:val="37D43997"/>
    <w:rsid w:val="38042CE6"/>
    <w:rsid w:val="38285B2C"/>
    <w:rsid w:val="38387BC2"/>
    <w:rsid w:val="38945642"/>
    <w:rsid w:val="38A11738"/>
    <w:rsid w:val="38CF2698"/>
    <w:rsid w:val="38D4603A"/>
    <w:rsid w:val="38F76EE1"/>
    <w:rsid w:val="392E3D2B"/>
    <w:rsid w:val="3A4719E4"/>
    <w:rsid w:val="3A5307A3"/>
    <w:rsid w:val="3A5F0E06"/>
    <w:rsid w:val="3A685313"/>
    <w:rsid w:val="3B813EB2"/>
    <w:rsid w:val="3B8161A9"/>
    <w:rsid w:val="3B9F7E10"/>
    <w:rsid w:val="3BA40ED7"/>
    <w:rsid w:val="3BE67851"/>
    <w:rsid w:val="3C025073"/>
    <w:rsid w:val="3C0D4D62"/>
    <w:rsid w:val="3C7E2383"/>
    <w:rsid w:val="3CCC5F8E"/>
    <w:rsid w:val="3CD13221"/>
    <w:rsid w:val="3D0E3394"/>
    <w:rsid w:val="3DF509E6"/>
    <w:rsid w:val="3E253FC4"/>
    <w:rsid w:val="3E520C34"/>
    <w:rsid w:val="3E66686E"/>
    <w:rsid w:val="3E781CBE"/>
    <w:rsid w:val="3EF13B78"/>
    <w:rsid w:val="3F063B05"/>
    <w:rsid w:val="3F184BE9"/>
    <w:rsid w:val="3F96657B"/>
    <w:rsid w:val="3F9C4556"/>
    <w:rsid w:val="3FEF33F4"/>
    <w:rsid w:val="3FF45C27"/>
    <w:rsid w:val="3FF47659"/>
    <w:rsid w:val="40712EC2"/>
    <w:rsid w:val="40D9690C"/>
    <w:rsid w:val="4175100A"/>
    <w:rsid w:val="41A3573D"/>
    <w:rsid w:val="41B434A1"/>
    <w:rsid w:val="41B4707C"/>
    <w:rsid w:val="41E47DCF"/>
    <w:rsid w:val="41EA52BC"/>
    <w:rsid w:val="422A0C37"/>
    <w:rsid w:val="425B70E5"/>
    <w:rsid w:val="43407307"/>
    <w:rsid w:val="43DD0189"/>
    <w:rsid w:val="43E828F9"/>
    <w:rsid w:val="43F07929"/>
    <w:rsid w:val="44A620DD"/>
    <w:rsid w:val="44E52F1C"/>
    <w:rsid w:val="451B5773"/>
    <w:rsid w:val="454753F6"/>
    <w:rsid w:val="45A339CF"/>
    <w:rsid w:val="45BB538B"/>
    <w:rsid w:val="4616050C"/>
    <w:rsid w:val="46210DBC"/>
    <w:rsid w:val="4624734D"/>
    <w:rsid w:val="47663221"/>
    <w:rsid w:val="48BF50A6"/>
    <w:rsid w:val="48C46876"/>
    <w:rsid w:val="48CA77E3"/>
    <w:rsid w:val="48E66DBF"/>
    <w:rsid w:val="49246CEA"/>
    <w:rsid w:val="4964544D"/>
    <w:rsid w:val="498A75F9"/>
    <w:rsid w:val="49E360AC"/>
    <w:rsid w:val="4A04095E"/>
    <w:rsid w:val="4A2E44F7"/>
    <w:rsid w:val="4A373AFF"/>
    <w:rsid w:val="4ACA7822"/>
    <w:rsid w:val="4AD6257A"/>
    <w:rsid w:val="4B3C70F3"/>
    <w:rsid w:val="4B923C7B"/>
    <w:rsid w:val="4BB16E3C"/>
    <w:rsid w:val="4BF23C29"/>
    <w:rsid w:val="4D000BB8"/>
    <w:rsid w:val="4D2764E4"/>
    <w:rsid w:val="4D4F434C"/>
    <w:rsid w:val="4D553076"/>
    <w:rsid w:val="4DC16712"/>
    <w:rsid w:val="4E083898"/>
    <w:rsid w:val="4E26397C"/>
    <w:rsid w:val="4E363927"/>
    <w:rsid w:val="4EA90E17"/>
    <w:rsid w:val="4EF418A3"/>
    <w:rsid w:val="4F9153B3"/>
    <w:rsid w:val="4FF50BC0"/>
    <w:rsid w:val="50032DB3"/>
    <w:rsid w:val="504B2A65"/>
    <w:rsid w:val="50BB6A75"/>
    <w:rsid w:val="51D1142A"/>
    <w:rsid w:val="52521883"/>
    <w:rsid w:val="52783D74"/>
    <w:rsid w:val="52C0259A"/>
    <w:rsid w:val="52FE221E"/>
    <w:rsid w:val="53A129B1"/>
    <w:rsid w:val="53ED7088"/>
    <w:rsid w:val="545E660D"/>
    <w:rsid w:val="54637050"/>
    <w:rsid w:val="555810A7"/>
    <w:rsid w:val="558D0FB8"/>
    <w:rsid w:val="55902CE3"/>
    <w:rsid w:val="55A42927"/>
    <w:rsid w:val="55C124AC"/>
    <w:rsid w:val="55C422C3"/>
    <w:rsid w:val="55CD1580"/>
    <w:rsid w:val="56152A28"/>
    <w:rsid w:val="56311879"/>
    <w:rsid w:val="56B87238"/>
    <w:rsid w:val="571E2C5F"/>
    <w:rsid w:val="57351512"/>
    <w:rsid w:val="57835AC7"/>
    <w:rsid w:val="57C523F6"/>
    <w:rsid w:val="57F303AA"/>
    <w:rsid w:val="5863246B"/>
    <w:rsid w:val="588A53A7"/>
    <w:rsid w:val="59204E23"/>
    <w:rsid w:val="595C082B"/>
    <w:rsid w:val="596E3097"/>
    <w:rsid w:val="59773EED"/>
    <w:rsid w:val="599A244A"/>
    <w:rsid w:val="59F56D5F"/>
    <w:rsid w:val="59FE758C"/>
    <w:rsid w:val="5B14063F"/>
    <w:rsid w:val="5B293378"/>
    <w:rsid w:val="5B301B1F"/>
    <w:rsid w:val="5CEC747F"/>
    <w:rsid w:val="5D534CD8"/>
    <w:rsid w:val="5D9A2ED9"/>
    <w:rsid w:val="5DC236EC"/>
    <w:rsid w:val="5E277524"/>
    <w:rsid w:val="5E5506C8"/>
    <w:rsid w:val="5EA2001B"/>
    <w:rsid w:val="5F0266A3"/>
    <w:rsid w:val="5F232D5B"/>
    <w:rsid w:val="5F526F22"/>
    <w:rsid w:val="5F744292"/>
    <w:rsid w:val="5F855D12"/>
    <w:rsid w:val="5F952C60"/>
    <w:rsid w:val="5FD51C0C"/>
    <w:rsid w:val="5FF42786"/>
    <w:rsid w:val="606129E7"/>
    <w:rsid w:val="60662262"/>
    <w:rsid w:val="60F431B9"/>
    <w:rsid w:val="60F8796B"/>
    <w:rsid w:val="610B35BB"/>
    <w:rsid w:val="61731422"/>
    <w:rsid w:val="618F11E9"/>
    <w:rsid w:val="61AA1E9E"/>
    <w:rsid w:val="61CD1945"/>
    <w:rsid w:val="61EB4F88"/>
    <w:rsid w:val="620E2B02"/>
    <w:rsid w:val="624A22BB"/>
    <w:rsid w:val="62B65C75"/>
    <w:rsid w:val="633D3608"/>
    <w:rsid w:val="63487EAC"/>
    <w:rsid w:val="635349E5"/>
    <w:rsid w:val="63575F25"/>
    <w:rsid w:val="63711DD5"/>
    <w:rsid w:val="637F68CB"/>
    <w:rsid w:val="63FE2657"/>
    <w:rsid w:val="64013D86"/>
    <w:rsid w:val="64031C4A"/>
    <w:rsid w:val="642B75FC"/>
    <w:rsid w:val="643A6EA0"/>
    <w:rsid w:val="64A17E2B"/>
    <w:rsid w:val="64A849CD"/>
    <w:rsid w:val="64CF1F8E"/>
    <w:rsid w:val="64EC5A6B"/>
    <w:rsid w:val="650D77AD"/>
    <w:rsid w:val="653666D1"/>
    <w:rsid w:val="65917E54"/>
    <w:rsid w:val="6597576B"/>
    <w:rsid w:val="66090E80"/>
    <w:rsid w:val="6611701E"/>
    <w:rsid w:val="664161A9"/>
    <w:rsid w:val="66E30B4F"/>
    <w:rsid w:val="66FB308E"/>
    <w:rsid w:val="6723482A"/>
    <w:rsid w:val="673F1F48"/>
    <w:rsid w:val="67FD2A7B"/>
    <w:rsid w:val="68210070"/>
    <w:rsid w:val="686A7490"/>
    <w:rsid w:val="68BB3495"/>
    <w:rsid w:val="68DB190B"/>
    <w:rsid w:val="69634496"/>
    <w:rsid w:val="69A651B9"/>
    <w:rsid w:val="69B03442"/>
    <w:rsid w:val="6A1331D9"/>
    <w:rsid w:val="6A315029"/>
    <w:rsid w:val="6AB1009A"/>
    <w:rsid w:val="6AD25354"/>
    <w:rsid w:val="6B8860DC"/>
    <w:rsid w:val="6BAE7000"/>
    <w:rsid w:val="6BB05959"/>
    <w:rsid w:val="6BD67C2C"/>
    <w:rsid w:val="6BF91AB9"/>
    <w:rsid w:val="6C5C04D5"/>
    <w:rsid w:val="6CB13F20"/>
    <w:rsid w:val="6CCA6527"/>
    <w:rsid w:val="6D1E181B"/>
    <w:rsid w:val="6D9B2320"/>
    <w:rsid w:val="6F572D08"/>
    <w:rsid w:val="6F6858A1"/>
    <w:rsid w:val="6FB83CDB"/>
    <w:rsid w:val="6FD5142D"/>
    <w:rsid w:val="6FD548BE"/>
    <w:rsid w:val="6FE66B4D"/>
    <w:rsid w:val="70853498"/>
    <w:rsid w:val="70FC7A0D"/>
    <w:rsid w:val="712F4D7E"/>
    <w:rsid w:val="713A67EE"/>
    <w:rsid w:val="71D613DB"/>
    <w:rsid w:val="720400C9"/>
    <w:rsid w:val="72074872"/>
    <w:rsid w:val="72BB4D4E"/>
    <w:rsid w:val="72BE4B83"/>
    <w:rsid w:val="73094A27"/>
    <w:rsid w:val="73200F6B"/>
    <w:rsid w:val="746A71CC"/>
    <w:rsid w:val="74715CA6"/>
    <w:rsid w:val="74BB1904"/>
    <w:rsid w:val="74D249BF"/>
    <w:rsid w:val="74ED4EB1"/>
    <w:rsid w:val="754358D4"/>
    <w:rsid w:val="75FF0A2F"/>
    <w:rsid w:val="767F7FDC"/>
    <w:rsid w:val="76F66D3B"/>
    <w:rsid w:val="76FF1F59"/>
    <w:rsid w:val="770563B7"/>
    <w:rsid w:val="77432189"/>
    <w:rsid w:val="77DE40CB"/>
    <w:rsid w:val="781135E0"/>
    <w:rsid w:val="78305FF2"/>
    <w:rsid w:val="78694157"/>
    <w:rsid w:val="78A20774"/>
    <w:rsid w:val="78FF382D"/>
    <w:rsid w:val="792E66F3"/>
    <w:rsid w:val="796203CB"/>
    <w:rsid w:val="79B44386"/>
    <w:rsid w:val="79EE6A68"/>
    <w:rsid w:val="7A1F36B1"/>
    <w:rsid w:val="7A3E7618"/>
    <w:rsid w:val="7A5717B0"/>
    <w:rsid w:val="7AE5282F"/>
    <w:rsid w:val="7AF956FC"/>
    <w:rsid w:val="7C003A54"/>
    <w:rsid w:val="7C373DB7"/>
    <w:rsid w:val="7C4228B4"/>
    <w:rsid w:val="7C5D47C4"/>
    <w:rsid w:val="7C6B5BDD"/>
    <w:rsid w:val="7CF851FF"/>
    <w:rsid w:val="7D173AAC"/>
    <w:rsid w:val="7D6E0D92"/>
    <w:rsid w:val="7D7E7212"/>
    <w:rsid w:val="7D842440"/>
    <w:rsid w:val="7DA94ABE"/>
    <w:rsid w:val="7DF243DB"/>
    <w:rsid w:val="7E01518F"/>
    <w:rsid w:val="7E073573"/>
    <w:rsid w:val="7E3B60DE"/>
    <w:rsid w:val="7E985AF9"/>
    <w:rsid w:val="7EDC6139"/>
    <w:rsid w:val="7EEE135D"/>
    <w:rsid w:val="7F290C8A"/>
    <w:rsid w:val="7F3C32C9"/>
    <w:rsid w:val="7F57487B"/>
    <w:rsid w:val="7FA239C6"/>
    <w:rsid w:val="7FB7288D"/>
    <w:rsid w:val="7FB73A06"/>
    <w:rsid w:val="7FC24B9F"/>
    <w:rsid w:val="7FC56966"/>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37"/>
    <w:qFormat/>
    <w:uiPriority w:val="99"/>
    <w:pPr>
      <w:keepNext/>
      <w:keepLines/>
      <w:spacing w:before="260" w:after="260" w:line="416" w:lineRule="auto"/>
      <w:outlineLvl w:val="1"/>
    </w:pPr>
    <w:rPr>
      <w:rFonts w:ascii="Calibri Light" w:hAnsi="Calibri Light"/>
      <w:b/>
      <w:bCs/>
      <w:kern w:val="0"/>
      <w:sz w:val="32"/>
      <w:szCs w:val="32"/>
    </w:rPr>
  </w:style>
  <w:style w:type="paragraph" w:styleId="4">
    <w:name w:val="heading 3"/>
    <w:basedOn w:val="1"/>
    <w:next w:val="1"/>
    <w:link w:val="38"/>
    <w:qFormat/>
    <w:uiPriority w:val="99"/>
    <w:pPr>
      <w:keepNext/>
      <w:keepLines/>
      <w:spacing w:before="260" w:after="260" w:line="416" w:lineRule="auto"/>
      <w:outlineLvl w:val="2"/>
    </w:pPr>
    <w:rPr>
      <w:b/>
      <w:bCs/>
      <w:kern w:val="0"/>
      <w:sz w:val="32"/>
      <w:szCs w:val="32"/>
    </w:rPr>
  </w:style>
  <w:style w:type="paragraph" w:styleId="5">
    <w:name w:val="heading 4"/>
    <w:basedOn w:val="1"/>
    <w:next w:val="1"/>
    <w:link w:val="39"/>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List Number 2"/>
    <w:basedOn w:val="1"/>
    <w:next w:val="7"/>
    <w:qFormat/>
    <w:uiPriority w:val="99"/>
    <w:pPr>
      <w:numPr>
        <w:ilvl w:val="0"/>
        <w:numId w:val="2"/>
      </w:numPr>
    </w:pPr>
  </w:style>
  <w:style w:type="paragraph" w:styleId="7">
    <w:name w:val="Body Text"/>
    <w:basedOn w:val="1"/>
    <w:link w:val="42"/>
    <w:qFormat/>
    <w:locked/>
    <w:uiPriority w:val="99"/>
    <w:pPr>
      <w:spacing w:line="360" w:lineRule="auto"/>
    </w:pPr>
    <w:rPr>
      <w:rFonts w:eastAsia="仿宋_GB2312"/>
      <w:sz w:val="28"/>
    </w:rPr>
  </w:style>
  <w:style w:type="paragraph" w:styleId="8">
    <w:name w:val="List Number"/>
    <w:basedOn w:val="1"/>
    <w:qFormat/>
    <w:uiPriority w:val="99"/>
    <w:pPr>
      <w:numPr>
        <w:ilvl w:val="0"/>
        <w:numId w:val="3"/>
      </w:numPr>
    </w:pPr>
  </w:style>
  <w:style w:type="paragraph" w:styleId="9">
    <w:name w:val="Normal Indent"/>
    <w:basedOn w:val="1"/>
    <w:next w:val="1"/>
    <w:link w:val="53"/>
    <w:qFormat/>
    <w:uiPriority w:val="99"/>
    <w:pPr>
      <w:widowControl/>
      <w:snapToGrid w:val="0"/>
      <w:spacing w:line="480" w:lineRule="exact"/>
      <w:ind w:firstLine="567"/>
    </w:pPr>
    <w:rPr>
      <w:rFonts w:ascii="宋体"/>
      <w:snapToGrid w:val="0"/>
      <w:color w:val="000000"/>
      <w:kern w:val="28"/>
      <w:sz w:val="28"/>
      <w:szCs w:val="20"/>
    </w:rPr>
  </w:style>
  <w:style w:type="paragraph" w:styleId="10">
    <w:name w:val="Document Map"/>
    <w:basedOn w:val="1"/>
    <w:link w:val="40"/>
    <w:semiHidden/>
    <w:qFormat/>
    <w:locked/>
    <w:uiPriority w:val="99"/>
    <w:pPr>
      <w:shd w:val="clear" w:color="auto" w:fill="000080"/>
      <w:adjustRightInd/>
    </w:pPr>
    <w:rPr>
      <w:rFonts w:ascii="宋体"/>
      <w:sz w:val="18"/>
      <w:szCs w:val="18"/>
    </w:rPr>
  </w:style>
  <w:style w:type="paragraph" w:styleId="11">
    <w:name w:val="annotation text"/>
    <w:basedOn w:val="1"/>
    <w:link w:val="41"/>
    <w:qFormat/>
    <w:uiPriority w:val="99"/>
    <w:pPr>
      <w:adjustRightInd/>
      <w:jc w:val="left"/>
    </w:pPr>
    <w:rPr>
      <w:kern w:val="0"/>
      <w:sz w:val="24"/>
      <w:lang w:val="zh-CN"/>
    </w:rPr>
  </w:style>
  <w:style w:type="paragraph" w:styleId="12">
    <w:name w:val="Body Text Indent"/>
    <w:basedOn w:val="1"/>
    <w:link w:val="43"/>
    <w:qFormat/>
    <w:uiPriority w:val="99"/>
    <w:pPr>
      <w:spacing w:after="120"/>
      <w:ind w:left="420" w:leftChars="200"/>
    </w:pPr>
    <w:rPr>
      <w:kern w:val="0"/>
      <w:sz w:val="24"/>
    </w:rPr>
  </w:style>
  <w:style w:type="paragraph" w:styleId="13">
    <w:name w:val="List Number 3"/>
    <w:basedOn w:val="1"/>
    <w:qFormat/>
    <w:uiPriority w:val="99"/>
    <w:pPr>
      <w:numPr>
        <w:ilvl w:val="0"/>
        <w:numId w:val="4"/>
      </w:numPr>
    </w:pPr>
  </w:style>
  <w:style w:type="paragraph" w:styleId="14">
    <w:name w:val="Plain Text"/>
    <w:basedOn w:val="1"/>
    <w:next w:val="9"/>
    <w:link w:val="44"/>
    <w:qFormat/>
    <w:uiPriority w:val="99"/>
    <w:rPr>
      <w:rFonts w:ascii="宋体" w:hAnsi="Courier New"/>
      <w:kern w:val="0"/>
      <w:szCs w:val="20"/>
    </w:rPr>
  </w:style>
  <w:style w:type="paragraph" w:styleId="15">
    <w:name w:val="Date"/>
    <w:basedOn w:val="1"/>
    <w:next w:val="1"/>
    <w:link w:val="45"/>
    <w:qFormat/>
    <w:uiPriority w:val="99"/>
    <w:pPr>
      <w:ind w:left="100" w:leftChars="2500"/>
    </w:pPr>
    <w:rPr>
      <w:rFonts w:ascii="宋体"/>
      <w:kern w:val="0"/>
      <w:szCs w:val="20"/>
      <w:lang w:val="zh-CN"/>
    </w:rPr>
  </w:style>
  <w:style w:type="paragraph" w:styleId="16">
    <w:name w:val="Body Text Indent 2"/>
    <w:basedOn w:val="1"/>
    <w:link w:val="46"/>
    <w:semiHidden/>
    <w:qFormat/>
    <w:locked/>
    <w:uiPriority w:val="99"/>
    <w:pPr>
      <w:spacing w:after="120" w:line="480" w:lineRule="auto"/>
      <w:ind w:left="420" w:leftChars="200"/>
    </w:pPr>
  </w:style>
  <w:style w:type="paragraph" w:styleId="17">
    <w:name w:val="Balloon Text"/>
    <w:basedOn w:val="1"/>
    <w:link w:val="80"/>
    <w:semiHidden/>
    <w:qFormat/>
    <w:locked/>
    <w:uiPriority w:val="99"/>
    <w:rPr>
      <w:sz w:val="18"/>
      <w:szCs w:val="18"/>
    </w:rPr>
  </w:style>
  <w:style w:type="paragraph" w:styleId="18">
    <w:name w:val="footer"/>
    <w:basedOn w:val="1"/>
    <w:link w:val="47"/>
    <w:qFormat/>
    <w:uiPriority w:val="99"/>
    <w:pPr>
      <w:tabs>
        <w:tab w:val="center" w:pos="4153"/>
        <w:tab w:val="right" w:pos="8306"/>
      </w:tabs>
      <w:snapToGrid w:val="0"/>
      <w:jc w:val="left"/>
    </w:pPr>
    <w:rPr>
      <w:kern w:val="0"/>
      <w:sz w:val="18"/>
      <w:szCs w:val="18"/>
    </w:rPr>
  </w:style>
  <w:style w:type="paragraph" w:styleId="19">
    <w:name w:val="header"/>
    <w:basedOn w:val="1"/>
    <w:link w:val="52"/>
    <w:qFormat/>
    <w:uiPriority w:val="99"/>
    <w:pPr>
      <w:pBdr>
        <w:bottom w:val="single" w:color="auto" w:sz="6" w:space="1"/>
      </w:pBdr>
      <w:tabs>
        <w:tab w:val="center" w:pos="4153"/>
        <w:tab w:val="right" w:pos="8306"/>
      </w:tabs>
      <w:snapToGrid w:val="0"/>
      <w:jc w:val="center"/>
    </w:pPr>
    <w:rPr>
      <w:kern w:val="0"/>
      <w:sz w:val="18"/>
      <w:szCs w:val="20"/>
    </w:rPr>
  </w:style>
  <w:style w:type="paragraph" w:styleId="20">
    <w:name w:val="footnote text"/>
    <w:basedOn w:val="1"/>
    <w:qFormat/>
    <w:locked/>
    <w:uiPriority w:val="0"/>
    <w:pPr>
      <w:snapToGrid w:val="0"/>
      <w:jc w:val="left"/>
    </w:pPr>
    <w:rPr>
      <w:sz w:val="18"/>
    </w:rPr>
  </w:style>
  <w:style w:type="paragraph" w:styleId="21">
    <w:name w:val="Body Text 2"/>
    <w:basedOn w:val="1"/>
    <w:link w:val="49"/>
    <w:qFormat/>
    <w:uiPriority w:val="99"/>
    <w:pPr>
      <w:widowControl/>
      <w:spacing w:afterLines="50" w:line="216" w:lineRule="auto"/>
      <w:jc w:val="center"/>
    </w:pPr>
    <w:rPr>
      <w:kern w:val="0"/>
      <w:sz w:val="24"/>
    </w:rPr>
  </w:style>
  <w:style w:type="paragraph" w:styleId="22">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3">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50"/>
    <w:qFormat/>
    <w:uiPriority w:val="99"/>
    <w:pPr>
      <w:spacing w:before="240" w:after="60"/>
      <w:jc w:val="center"/>
      <w:outlineLvl w:val="0"/>
    </w:pPr>
    <w:rPr>
      <w:rFonts w:ascii="Calibri Light" w:hAnsi="Calibri Light"/>
      <w:b/>
      <w:bCs/>
      <w:kern w:val="0"/>
      <w:sz w:val="32"/>
      <w:szCs w:val="32"/>
    </w:rPr>
  </w:style>
  <w:style w:type="paragraph" w:styleId="25">
    <w:name w:val="annotation subject"/>
    <w:basedOn w:val="11"/>
    <w:next w:val="11"/>
    <w:link w:val="51"/>
    <w:qFormat/>
    <w:uiPriority w:val="99"/>
    <w:pPr>
      <w:widowControl/>
      <w:spacing w:afterLines="50"/>
    </w:pPr>
    <w:rPr>
      <w:b/>
      <w:bCs/>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bCs/>
    </w:rPr>
  </w:style>
  <w:style w:type="character" w:styleId="30">
    <w:name w:val="page number"/>
    <w:basedOn w:val="28"/>
    <w:qFormat/>
    <w:uiPriority w:val="99"/>
    <w:rPr>
      <w:rFonts w:ascii="Arial" w:hAnsi="Arial" w:eastAsia="黑体" w:cs="Times New Roman"/>
      <w:snapToGrid w:val="0"/>
      <w:kern w:val="0"/>
      <w:sz w:val="21"/>
    </w:rPr>
  </w:style>
  <w:style w:type="character" w:styleId="31">
    <w:name w:val="FollowedHyperlink"/>
    <w:basedOn w:val="28"/>
    <w:qFormat/>
    <w:locked/>
    <w:uiPriority w:val="99"/>
    <w:rPr>
      <w:rFonts w:cs="Times New Roman"/>
      <w:color w:val="800080"/>
      <w:u w:val="none"/>
    </w:rPr>
  </w:style>
  <w:style w:type="character" w:styleId="32">
    <w:name w:val="Hyperlink"/>
    <w:basedOn w:val="28"/>
    <w:qFormat/>
    <w:uiPriority w:val="99"/>
    <w:rPr>
      <w:rFonts w:cs="Times New Roman"/>
      <w:color w:val="0000FF"/>
      <w:u w:val="single"/>
    </w:rPr>
  </w:style>
  <w:style w:type="character" w:styleId="33">
    <w:name w:val="annotation reference"/>
    <w:basedOn w:val="28"/>
    <w:semiHidden/>
    <w:qFormat/>
    <w:locked/>
    <w:uiPriority w:val="99"/>
    <w:rPr>
      <w:rFonts w:cs="Times New Roman"/>
      <w:sz w:val="21"/>
      <w:szCs w:val="21"/>
    </w:rPr>
  </w:style>
  <w:style w:type="paragraph" w:customStyle="1" w:styleId="34">
    <w:name w:val="[Normal]"/>
    <w:qFormat/>
    <w:uiPriority w:val="0"/>
    <w:rPr>
      <w:rFonts w:ascii="宋体" w:hAnsi="宋体" w:eastAsia="宋体" w:cs="Times New Roman"/>
      <w:sz w:val="24"/>
      <w:szCs w:val="22"/>
      <w:lang w:val="zh-CN" w:eastAsia="zh-CN" w:bidi="ar-SA"/>
    </w:rPr>
  </w:style>
  <w:style w:type="paragraph" w:customStyle="1" w:styleId="35">
    <w:name w:val="首行缩进"/>
    <w:basedOn w:val="1"/>
    <w:next w:val="7"/>
    <w:qFormat/>
    <w:uiPriority w:val="99"/>
    <w:pPr>
      <w:spacing w:line="360" w:lineRule="auto"/>
      <w:ind w:firstLine="480" w:firstLineChars="200"/>
    </w:pPr>
    <w:rPr>
      <w:sz w:val="24"/>
      <w:szCs w:val="22"/>
      <w:lang w:val="zh-CN"/>
    </w:rPr>
  </w:style>
  <w:style w:type="character" w:customStyle="1" w:styleId="36">
    <w:name w:val="标题 1 Char"/>
    <w:basedOn w:val="28"/>
    <w:link w:val="2"/>
    <w:qFormat/>
    <w:locked/>
    <w:uiPriority w:val="99"/>
    <w:rPr>
      <w:rFonts w:eastAsia="仿宋_GB2312"/>
      <w:b/>
      <w:kern w:val="44"/>
      <w:sz w:val="44"/>
      <w:szCs w:val="20"/>
    </w:rPr>
  </w:style>
  <w:style w:type="character" w:customStyle="1" w:styleId="37">
    <w:name w:val="标题 2 Char"/>
    <w:basedOn w:val="28"/>
    <w:link w:val="3"/>
    <w:semiHidden/>
    <w:qFormat/>
    <w:locked/>
    <w:uiPriority w:val="99"/>
    <w:rPr>
      <w:rFonts w:ascii="Calibri Light" w:hAnsi="Calibri Light" w:eastAsia="宋体" w:cs="Times New Roman"/>
      <w:b/>
      <w:sz w:val="32"/>
    </w:rPr>
  </w:style>
  <w:style w:type="character" w:customStyle="1" w:styleId="38">
    <w:name w:val="标题 3 Char"/>
    <w:basedOn w:val="28"/>
    <w:link w:val="4"/>
    <w:semiHidden/>
    <w:qFormat/>
    <w:locked/>
    <w:uiPriority w:val="99"/>
    <w:rPr>
      <w:rFonts w:ascii="Times New Roman" w:hAnsi="Times New Roman" w:eastAsia="宋体" w:cs="Times New Roman"/>
      <w:b/>
      <w:sz w:val="32"/>
    </w:rPr>
  </w:style>
  <w:style w:type="character" w:customStyle="1" w:styleId="39">
    <w:name w:val="标题 4 Char"/>
    <w:basedOn w:val="28"/>
    <w:link w:val="5"/>
    <w:semiHidden/>
    <w:qFormat/>
    <w:locked/>
    <w:uiPriority w:val="99"/>
    <w:rPr>
      <w:rFonts w:ascii="Calibri Light" w:hAnsi="Calibri Light" w:eastAsia="宋体" w:cs="Times New Roman"/>
      <w:b/>
      <w:sz w:val="28"/>
    </w:rPr>
  </w:style>
  <w:style w:type="character" w:customStyle="1" w:styleId="40">
    <w:name w:val="文档结构图 Char1"/>
    <w:basedOn w:val="28"/>
    <w:link w:val="10"/>
    <w:semiHidden/>
    <w:qFormat/>
    <w:locked/>
    <w:uiPriority w:val="99"/>
    <w:rPr>
      <w:rFonts w:ascii="宋体" w:hAnsi="Times New Roman" w:cs="Times New Roman"/>
      <w:kern w:val="2"/>
      <w:sz w:val="18"/>
    </w:rPr>
  </w:style>
  <w:style w:type="character" w:customStyle="1" w:styleId="41">
    <w:name w:val="批注文字 Char"/>
    <w:basedOn w:val="28"/>
    <w:link w:val="11"/>
    <w:qFormat/>
    <w:locked/>
    <w:uiPriority w:val="99"/>
    <w:rPr>
      <w:rFonts w:ascii="Times New Roman" w:hAnsi="Times New Roman" w:eastAsia="宋体" w:cs="Times New Roman"/>
      <w:kern w:val="0"/>
      <w:sz w:val="24"/>
      <w:lang w:val="zh-CN" w:eastAsia="zh-CN"/>
    </w:rPr>
  </w:style>
  <w:style w:type="character" w:customStyle="1" w:styleId="42">
    <w:name w:val="正文文本 Char"/>
    <w:basedOn w:val="28"/>
    <w:link w:val="7"/>
    <w:semiHidden/>
    <w:qFormat/>
    <w:locked/>
    <w:uiPriority w:val="99"/>
    <w:rPr>
      <w:rFonts w:cs="Times New Roman"/>
      <w:sz w:val="24"/>
      <w:szCs w:val="24"/>
    </w:rPr>
  </w:style>
  <w:style w:type="character" w:customStyle="1" w:styleId="43">
    <w:name w:val="正文文本缩进 Char"/>
    <w:basedOn w:val="28"/>
    <w:link w:val="12"/>
    <w:semiHidden/>
    <w:qFormat/>
    <w:locked/>
    <w:uiPriority w:val="99"/>
    <w:rPr>
      <w:rFonts w:ascii="Times New Roman" w:hAnsi="Times New Roman" w:cs="Times New Roman"/>
      <w:sz w:val="24"/>
    </w:rPr>
  </w:style>
  <w:style w:type="character" w:customStyle="1" w:styleId="44">
    <w:name w:val="纯文本 Char"/>
    <w:basedOn w:val="28"/>
    <w:link w:val="14"/>
    <w:qFormat/>
    <w:locked/>
    <w:uiPriority w:val="99"/>
    <w:rPr>
      <w:rFonts w:ascii="宋体" w:hAnsi="Courier New" w:eastAsia="宋体" w:cs="Times New Roman"/>
      <w:snapToGrid w:val="0"/>
      <w:sz w:val="21"/>
    </w:rPr>
  </w:style>
  <w:style w:type="character" w:customStyle="1" w:styleId="45">
    <w:name w:val="日期 Char"/>
    <w:basedOn w:val="28"/>
    <w:link w:val="15"/>
    <w:qFormat/>
    <w:locked/>
    <w:uiPriority w:val="99"/>
    <w:rPr>
      <w:rFonts w:ascii="宋体" w:cs="Times New Roman"/>
      <w:sz w:val="21"/>
      <w:lang w:val="zh-CN"/>
    </w:rPr>
  </w:style>
  <w:style w:type="character" w:customStyle="1" w:styleId="46">
    <w:name w:val="正文文本缩进 2 Char"/>
    <w:basedOn w:val="28"/>
    <w:link w:val="16"/>
    <w:semiHidden/>
    <w:qFormat/>
    <w:locked/>
    <w:uiPriority w:val="99"/>
    <w:rPr>
      <w:rFonts w:cs="Times New Roman"/>
      <w:sz w:val="24"/>
      <w:szCs w:val="24"/>
    </w:rPr>
  </w:style>
  <w:style w:type="character" w:customStyle="1" w:styleId="47">
    <w:name w:val="页脚 Char"/>
    <w:basedOn w:val="28"/>
    <w:link w:val="18"/>
    <w:qFormat/>
    <w:locked/>
    <w:uiPriority w:val="99"/>
    <w:rPr>
      <w:rFonts w:ascii="Times New Roman" w:hAnsi="Times New Roman" w:eastAsia="宋体" w:cs="Times New Roman"/>
      <w:sz w:val="18"/>
    </w:rPr>
  </w:style>
  <w:style w:type="character" w:customStyle="1" w:styleId="48">
    <w:name w:val="Header Char"/>
    <w:basedOn w:val="28"/>
    <w:qFormat/>
    <w:locked/>
    <w:uiPriority w:val="99"/>
    <w:rPr>
      <w:rFonts w:ascii="Times New Roman" w:hAnsi="Times New Roman" w:eastAsia="宋体" w:cs="Times New Roman"/>
      <w:sz w:val="18"/>
    </w:rPr>
  </w:style>
  <w:style w:type="character" w:customStyle="1" w:styleId="49">
    <w:name w:val="正文文本 2 Char"/>
    <w:basedOn w:val="28"/>
    <w:link w:val="21"/>
    <w:semiHidden/>
    <w:qFormat/>
    <w:locked/>
    <w:uiPriority w:val="99"/>
    <w:rPr>
      <w:rFonts w:ascii="Times New Roman" w:hAnsi="Times New Roman" w:cs="Times New Roman"/>
      <w:sz w:val="24"/>
    </w:rPr>
  </w:style>
  <w:style w:type="character" w:customStyle="1" w:styleId="50">
    <w:name w:val="标题 Char"/>
    <w:basedOn w:val="28"/>
    <w:link w:val="24"/>
    <w:qFormat/>
    <w:locked/>
    <w:uiPriority w:val="99"/>
    <w:rPr>
      <w:rFonts w:ascii="Calibri Light" w:hAnsi="Calibri Light" w:eastAsia="宋体" w:cs="Times New Roman"/>
      <w:b/>
      <w:sz w:val="32"/>
    </w:rPr>
  </w:style>
  <w:style w:type="character" w:customStyle="1" w:styleId="51">
    <w:name w:val="批注主题 Char"/>
    <w:basedOn w:val="41"/>
    <w:link w:val="25"/>
    <w:semiHidden/>
    <w:qFormat/>
    <w:locked/>
    <w:uiPriority w:val="99"/>
    <w:rPr>
      <w:rFonts w:ascii="Times New Roman" w:hAnsi="Times New Roman" w:eastAsia="宋体" w:cs="Times New Roman"/>
      <w:b/>
      <w:kern w:val="0"/>
      <w:sz w:val="24"/>
      <w:lang w:val="zh-CN" w:eastAsia="zh-CN"/>
    </w:rPr>
  </w:style>
  <w:style w:type="character" w:customStyle="1" w:styleId="52">
    <w:name w:val="页眉 Char"/>
    <w:link w:val="19"/>
    <w:qFormat/>
    <w:locked/>
    <w:uiPriority w:val="99"/>
    <w:rPr>
      <w:rFonts w:ascii="Times New Roman" w:hAnsi="Times New Roman" w:eastAsia="宋体"/>
      <w:sz w:val="18"/>
    </w:rPr>
  </w:style>
  <w:style w:type="character" w:customStyle="1" w:styleId="53">
    <w:name w:val="正文缩进 Char"/>
    <w:link w:val="9"/>
    <w:qFormat/>
    <w:locked/>
    <w:uiPriority w:val="99"/>
    <w:rPr>
      <w:rFonts w:ascii="宋体" w:eastAsia="宋体"/>
      <w:snapToGrid w:val="0"/>
      <w:color w:val="000000"/>
      <w:kern w:val="28"/>
      <w:sz w:val="28"/>
    </w:rPr>
  </w:style>
  <w:style w:type="character" w:customStyle="1" w:styleId="54">
    <w:name w:val="日期 Char1"/>
    <w:semiHidden/>
    <w:qFormat/>
    <w:uiPriority w:val="99"/>
    <w:rPr>
      <w:rFonts w:ascii="Times New Roman" w:hAnsi="Times New Roman" w:eastAsia="宋体"/>
      <w:sz w:val="24"/>
    </w:rPr>
  </w:style>
  <w:style w:type="character" w:customStyle="1" w:styleId="55">
    <w:name w:val="纯文本 Char1"/>
    <w:semiHidden/>
    <w:qFormat/>
    <w:uiPriority w:val="99"/>
    <w:rPr>
      <w:rFonts w:ascii="宋体" w:hAnsi="Courier New" w:eastAsia="宋体"/>
      <w:sz w:val="21"/>
    </w:rPr>
  </w:style>
  <w:style w:type="paragraph" w:customStyle="1" w:styleId="56">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7">
    <w:name w:val="列出段落1"/>
    <w:basedOn w:val="1"/>
    <w:qFormat/>
    <w:uiPriority w:val="99"/>
    <w:pPr>
      <w:spacing w:line="360" w:lineRule="auto"/>
      <w:ind w:firstLine="200" w:firstLineChars="200"/>
    </w:pPr>
    <w:rPr>
      <w:rFonts w:eastAsia="楷体_GB2312" w:cs="Lucida Sans"/>
      <w:sz w:val="24"/>
    </w:rPr>
  </w:style>
  <w:style w:type="paragraph" w:customStyle="1" w:styleId="58">
    <w:name w:val="标题2def"/>
    <w:basedOn w:val="24"/>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9">
    <w:name w:val="标题3def"/>
    <w:basedOn w:val="4"/>
    <w:next w:val="1"/>
    <w:qFormat/>
    <w:uiPriority w:val="99"/>
    <w:pPr>
      <w:snapToGrid w:val="0"/>
      <w:spacing w:before="80" w:after="160" w:line="400" w:lineRule="exact"/>
    </w:pPr>
    <w:rPr>
      <w:rFonts w:ascii="??_GB2312" w:hAnsi="宋体" w:eastAsia="Times New Roman"/>
      <w:bCs w:val="0"/>
      <w:sz w:val="24"/>
      <w:szCs w:val="20"/>
    </w:rPr>
  </w:style>
  <w:style w:type="paragraph" w:customStyle="1" w:styleId="60">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1">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2">
    <w:name w:val="Char Char Char Char1"/>
    <w:basedOn w:val="1"/>
    <w:qFormat/>
    <w:uiPriority w:val="99"/>
    <w:pPr>
      <w:adjustRightInd/>
    </w:pPr>
    <w:rPr>
      <w:rFonts w:ascii="Tahoma" w:hAnsi="Tahoma"/>
      <w:sz w:val="24"/>
      <w:szCs w:val="20"/>
    </w:rPr>
  </w:style>
  <w:style w:type="paragraph" w:customStyle="1" w:styleId="63">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4">
    <w:name w:val="正文段"/>
    <w:basedOn w:val="1"/>
    <w:link w:val="70"/>
    <w:qFormat/>
    <w:uiPriority w:val="99"/>
    <w:pPr>
      <w:widowControl/>
      <w:snapToGrid w:val="0"/>
      <w:spacing w:afterLines="50"/>
      <w:ind w:firstLine="200" w:firstLineChars="200"/>
    </w:pPr>
    <w:rPr>
      <w:kern w:val="0"/>
      <w:sz w:val="24"/>
      <w:szCs w:val="20"/>
    </w:rPr>
  </w:style>
  <w:style w:type="paragraph" w:customStyle="1" w:styleId="65">
    <w:name w:val="正文2"/>
    <w:basedOn w:val="1"/>
    <w:link w:val="69"/>
    <w:qFormat/>
    <w:uiPriority w:val="99"/>
    <w:pPr>
      <w:spacing w:before="156" w:line="360" w:lineRule="auto"/>
      <w:ind w:firstLine="510" w:firstLineChars="200"/>
    </w:pPr>
    <w:rPr>
      <w:sz w:val="24"/>
      <w:szCs w:val="20"/>
    </w:rPr>
  </w:style>
  <w:style w:type="paragraph" w:customStyle="1" w:styleId="66">
    <w:name w:val="表正文"/>
    <w:basedOn w:val="1"/>
    <w:next w:val="14"/>
    <w:qFormat/>
    <w:uiPriority w:val="99"/>
    <w:rPr>
      <w:rFonts w:ascii="宋体" w:hAnsi="Courier New"/>
      <w:szCs w:val="20"/>
    </w:rPr>
  </w:style>
  <w:style w:type="character" w:customStyle="1" w:styleId="67">
    <w:name w:val="文档结构图 Char"/>
    <w:semiHidden/>
    <w:qFormat/>
    <w:uiPriority w:val="99"/>
    <w:rPr>
      <w:kern w:val="2"/>
      <w:sz w:val="24"/>
      <w:shd w:val="clear" w:color="auto" w:fill="000080"/>
    </w:rPr>
  </w:style>
  <w:style w:type="character" w:customStyle="1" w:styleId="68">
    <w:name w:val="日期 Char2"/>
    <w:qFormat/>
    <w:uiPriority w:val="99"/>
    <w:rPr>
      <w:rFonts w:ascii="楷体_GB2312" w:eastAsia="楷体_GB2312"/>
      <w:b/>
      <w:kern w:val="2"/>
      <w:sz w:val="28"/>
      <w:lang w:val="en-US" w:eastAsia="zh-CN"/>
    </w:rPr>
  </w:style>
  <w:style w:type="character" w:customStyle="1" w:styleId="69">
    <w:name w:val="正文2 Char"/>
    <w:link w:val="65"/>
    <w:qFormat/>
    <w:locked/>
    <w:uiPriority w:val="99"/>
    <w:rPr>
      <w:rFonts w:ascii="Times New Roman" w:hAnsi="Times New Roman"/>
      <w:kern w:val="2"/>
      <w:sz w:val="24"/>
    </w:rPr>
  </w:style>
  <w:style w:type="character" w:customStyle="1" w:styleId="70">
    <w:name w:val="正文段 Char"/>
    <w:link w:val="64"/>
    <w:qFormat/>
    <w:locked/>
    <w:uiPriority w:val="99"/>
    <w:rPr>
      <w:rFonts w:ascii="Times New Roman" w:hAnsi="Times New Roman"/>
      <w:sz w:val="24"/>
    </w:rPr>
  </w:style>
  <w:style w:type="paragraph" w:styleId="71">
    <w:name w:val="List Paragraph"/>
    <w:basedOn w:val="1"/>
    <w:next w:val="7"/>
    <w:qFormat/>
    <w:uiPriority w:val="99"/>
    <w:pPr>
      <w:ind w:left="720"/>
      <w:contextualSpacing/>
    </w:pPr>
  </w:style>
  <w:style w:type="paragraph" w:customStyle="1" w:styleId="72">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3">
    <w:name w:val="px_10"/>
    <w:qFormat/>
    <w:uiPriority w:val="99"/>
    <w:rPr>
      <w:lang w:val="zh-TW" w:eastAsia="zh-TW"/>
    </w:rPr>
  </w:style>
  <w:style w:type="paragraph" w:customStyle="1" w:styleId="74">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6">
    <w:name w:val="列出段落11"/>
    <w:basedOn w:val="1"/>
    <w:qFormat/>
    <w:uiPriority w:val="99"/>
    <w:pPr>
      <w:spacing w:line="360" w:lineRule="auto"/>
      <w:ind w:firstLine="200" w:firstLineChars="200"/>
    </w:pPr>
    <w:rPr>
      <w:rFonts w:eastAsia="楷体_GB2312" w:cs="Lucida Sans"/>
      <w:sz w:val="24"/>
    </w:rPr>
  </w:style>
  <w:style w:type="paragraph" w:customStyle="1" w:styleId="77">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8">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79">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0">
    <w:name w:val="批注框文本 Char"/>
    <w:basedOn w:val="28"/>
    <w:link w:val="17"/>
    <w:semiHidden/>
    <w:qFormat/>
    <w:locked/>
    <w:uiPriority w:val="99"/>
    <w:rPr>
      <w:rFonts w:cs="Times New Roman"/>
      <w:sz w:val="2"/>
    </w:rPr>
  </w:style>
  <w:style w:type="paragraph" w:customStyle="1" w:styleId="81">
    <w:name w:val="列出段落5"/>
    <w:basedOn w:val="1"/>
    <w:qFormat/>
    <w:uiPriority w:val="34"/>
    <w:pPr>
      <w:ind w:firstLine="420" w:firstLineChars="200"/>
    </w:pPr>
    <w:rPr>
      <w:rFonts w:ascii="Calibri" w:hAnsi="Calibri"/>
      <w:sz w:val="24"/>
    </w:rPr>
  </w:style>
  <w:style w:type="paragraph" w:customStyle="1" w:styleId="82">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3">
    <w:name w:val="unnamed11"/>
    <w:basedOn w:val="28"/>
    <w:qFormat/>
    <w:uiPriority w:val="0"/>
    <w:rPr>
      <w:rFonts w:hint="eastAsia" w:ascii="宋体" w:hAnsi="宋体" w:eastAsia="宋体"/>
      <w:sz w:val="21"/>
      <w:szCs w:val="21"/>
    </w:rPr>
  </w:style>
  <w:style w:type="paragraph" w:customStyle="1" w:styleId="84">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5">
    <w:name w:val="font11"/>
    <w:basedOn w:val="28"/>
    <w:qFormat/>
    <w:uiPriority w:val="0"/>
    <w:rPr>
      <w:rFonts w:hint="default" w:ascii="微软雅黑" w:hAnsi="微软雅黑" w:eastAsia="微软雅黑" w:cs="微软雅黑"/>
      <w:color w:val="000000"/>
      <w:sz w:val="20"/>
      <w:szCs w:val="20"/>
      <w:u w:val="none"/>
    </w:rPr>
  </w:style>
  <w:style w:type="paragraph" w:customStyle="1" w:styleId="86">
    <w:name w:val="样式 首行缩进:  0.74 厘米"/>
    <w:basedOn w:val="1"/>
    <w:qFormat/>
    <w:uiPriority w:val="0"/>
    <w:pPr>
      <w:ind w:firstLine="420"/>
    </w:pPr>
    <w:rPr>
      <w:rFonts w:ascii="Arial" w:hAnsi="Arial" w:eastAsia="仿宋_GB2312" w:cs="Arial"/>
      <w:bCs/>
      <w:sz w:val="28"/>
      <w:szCs w:val="28"/>
    </w:rPr>
  </w:style>
  <w:style w:type="paragraph" w:customStyle="1" w:styleId="87">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8">
    <w:name w:val="_Style 1"/>
    <w:basedOn w:val="1"/>
    <w:qFormat/>
    <w:uiPriority w:val="99"/>
    <w:pPr>
      <w:ind w:firstLine="420" w:firstLineChars="200"/>
    </w:pPr>
  </w:style>
  <w:style w:type="paragraph" w:customStyle="1" w:styleId="89">
    <w:name w:val="_Style 2"/>
    <w:basedOn w:val="1"/>
    <w:qFormat/>
    <w:uiPriority w:val="99"/>
    <w:pPr>
      <w:ind w:firstLine="420" w:firstLineChars="200"/>
    </w:pPr>
  </w:style>
  <w:style w:type="paragraph" w:customStyle="1" w:styleId="90">
    <w:name w:val="（1）"/>
    <w:basedOn w:val="1"/>
    <w:qFormat/>
    <w:uiPriority w:val="0"/>
    <w:pPr>
      <w:numPr>
        <w:ilvl w:val="0"/>
        <w:numId w:val="5"/>
      </w:numPr>
      <w:tabs>
        <w:tab w:val="left" w:pos="961"/>
      </w:tabs>
      <w:spacing w:line="360" w:lineRule="auto"/>
    </w:pPr>
    <w:rPr>
      <w:sz w:val="24"/>
    </w:rPr>
  </w:style>
  <w:style w:type="paragraph" w:customStyle="1" w:styleId="9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2">
    <w:name w:val="CM18"/>
    <w:basedOn w:val="91"/>
    <w:next w:val="91"/>
    <w:qFormat/>
    <w:uiPriority w:val="99"/>
    <w:rPr>
      <w:rFonts w:ascii="ST Xihei" w:hAnsi="Calibri" w:eastAsia="ST Xihei"/>
      <w:color w:val="auto"/>
    </w:rPr>
  </w:style>
  <w:style w:type="character" w:customStyle="1" w:styleId="93">
    <w:name w:val="qxdate"/>
    <w:basedOn w:val="28"/>
    <w:qFormat/>
    <w:uiPriority w:val="0"/>
    <w:rPr>
      <w:color w:val="333333"/>
      <w:sz w:val="18"/>
      <w:szCs w:val="18"/>
    </w:rPr>
  </w:style>
  <w:style w:type="character" w:customStyle="1" w:styleId="94">
    <w:name w:val="cfdate"/>
    <w:basedOn w:val="28"/>
    <w:qFormat/>
    <w:uiPriority w:val="0"/>
    <w:rPr>
      <w:color w:val="333333"/>
      <w:sz w:val="18"/>
      <w:szCs w:val="18"/>
    </w:rPr>
  </w:style>
  <w:style w:type="character" w:customStyle="1" w:styleId="95">
    <w:name w:val="redfilefwwh"/>
    <w:basedOn w:val="28"/>
    <w:qFormat/>
    <w:uiPriority w:val="0"/>
    <w:rPr>
      <w:color w:val="BA2636"/>
      <w:sz w:val="18"/>
      <w:szCs w:val="18"/>
    </w:rPr>
  </w:style>
  <w:style w:type="character" w:customStyle="1" w:styleId="96">
    <w:name w:val="displayarti"/>
    <w:basedOn w:val="28"/>
    <w:qFormat/>
    <w:uiPriority w:val="0"/>
    <w:rPr>
      <w:color w:val="FFFFFF"/>
      <w:shd w:val="clear" w:color="auto" w:fill="A00000"/>
    </w:rPr>
  </w:style>
  <w:style w:type="character" w:customStyle="1" w:styleId="97">
    <w:name w:val="gjfg"/>
    <w:basedOn w:val="28"/>
    <w:qFormat/>
    <w:uiPriority w:val="0"/>
  </w:style>
  <w:style w:type="character" w:customStyle="1" w:styleId="98">
    <w:name w:val="redfilenumber"/>
    <w:basedOn w:val="28"/>
    <w:qFormat/>
    <w:uiPriority w:val="0"/>
    <w:rPr>
      <w:color w:val="BA2636"/>
      <w:sz w:val="18"/>
      <w:szCs w:val="18"/>
    </w:rPr>
  </w:style>
  <w:style w:type="character" w:customStyle="1" w:styleId="99">
    <w:name w:val="15"/>
    <w:qFormat/>
    <w:uiPriority w:val="0"/>
    <w:rPr>
      <w:rFonts w:hint="eastAsia" w:ascii="宋体" w:hAnsi="宋体" w:eastAsia="宋体" w:cs="宋体"/>
      <w:color w:val="000000"/>
      <w:sz w:val="24"/>
      <w:szCs w:val="24"/>
    </w:rPr>
  </w:style>
  <w:style w:type="paragraph" w:customStyle="1" w:styleId="100">
    <w:name w:val="tabletext"/>
    <w:basedOn w:val="1"/>
    <w:qFormat/>
    <w:uiPriority w:val="0"/>
    <w:pPr>
      <w:widowControl/>
      <w:spacing w:before="100" w:beforeAutospacing="1" w:after="100" w:afterAutospacing="1"/>
      <w:jc w:val="left"/>
    </w:pPr>
    <w:rPr>
      <w:rFonts w:ascii="宋体" w:hAnsi="宋体" w:cs="宋体"/>
      <w:kern w:val="0"/>
      <w:sz w:val="24"/>
    </w:rPr>
  </w:style>
  <w:style w:type="table" w:customStyle="1" w:styleId="101">
    <w:name w:val="网格型1"/>
    <w:basedOn w:val="26"/>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2">
    <w:name w:val="0正文"/>
    <w:basedOn w:val="1"/>
    <w:qFormat/>
    <w:uiPriority w:val="0"/>
    <w:pPr>
      <w:spacing w:line="360" w:lineRule="auto"/>
      <w:ind w:firstLine="200" w:firstLineChars="200"/>
    </w:pPr>
  </w:style>
  <w:style w:type="paragraph" w:customStyle="1" w:styleId="10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04">
    <w:name w:val="font21"/>
    <w:basedOn w:val="28"/>
    <w:qFormat/>
    <w:uiPriority w:val="0"/>
    <w:rPr>
      <w:rFonts w:hint="eastAsia" w:ascii="宋体" w:hAnsi="宋体" w:eastAsia="宋体" w:cs="宋体"/>
      <w:color w:val="000000"/>
      <w:sz w:val="20"/>
      <w:szCs w:val="20"/>
      <w:u w:val="none"/>
    </w:rPr>
  </w:style>
  <w:style w:type="character" w:customStyle="1" w:styleId="105">
    <w:name w:val="font31"/>
    <w:basedOn w:val="28"/>
    <w:qFormat/>
    <w:uiPriority w:val="0"/>
    <w:rPr>
      <w:rFonts w:ascii="Arial" w:hAnsi="Arial" w:cs="Arial"/>
      <w:color w:val="000000"/>
      <w:sz w:val="20"/>
      <w:szCs w:val="20"/>
      <w:u w:val="none"/>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1.emf" Type="http://schemas.openxmlformats.org/officeDocument/2006/relationships/image"/><Relationship Id="rId11" Target="embeddings/oleObject2.bin" Type="http://schemas.openxmlformats.org/officeDocument/2006/relationships/oleObject"/><Relationship Id="rId12" Target="media/image2.emf" Type="http://schemas.openxmlformats.org/officeDocument/2006/relationships/image"/><Relationship Id="rId13" Target="../customXml/item1.xml" Type="http://schemas.openxmlformats.org/officeDocument/2006/relationships/customXml"/><Relationship Id="rId14" Target="numbering.xml" Type="http://schemas.openxmlformats.org/officeDocument/2006/relationships/numbering"/><Relationship Id="rId15"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theme/theme1.xml" Type="http://schemas.openxmlformats.org/officeDocument/2006/relationships/them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53</Pages>
  <Words>5687</Words>
  <Characters>32422</Characters>
  <Lines>270</Lines>
  <Paragraphs>76</Paragraphs>
  <TotalTime>0</TotalTime>
  <ScaleCrop>false</ScaleCrop>
  <LinksUpToDate>false</LinksUpToDate>
  <CharactersWithSpaces>38033</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2020-11-05T16:05:00Z</dcterms:created>
  <dc:creator>Ting</dc:creator>
  <cp:lastModifiedBy>囍多多</cp:lastModifiedBy>
  <cp:lastPrinted>2020-08-07T08:05:00Z</cp:lastPrinted>
  <dcterms:modified xsi:type="dcterms:W3CDTF">2021-07-22T03:43:21Z</dcterms:modified>
  <cp:revision>10</cp:revision>
  <dc:title>绍兴市公安局交通警察支队交警互联网支付及罚缴平台二期项目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5959D7E7BAE94747A9445AFA89F02736</vt:lpwstr>
  </property>
</Properties>
</file>