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ascii="隶书" w:hAnsi="Arial" w:eastAsia="隶书" w:cs="Arial"/>
          <w:b/>
          <w:sz w:val="48"/>
          <w:szCs w:val="48"/>
        </w:rPr>
      </w:pPr>
      <w:r>
        <w:rPr>
          <w:rFonts w:hint="eastAsia" w:ascii="隶书" w:hAnsi="Arial" w:eastAsia="隶书" w:cs="Arial"/>
          <w:b/>
          <w:sz w:val="48"/>
          <w:szCs w:val="48"/>
        </w:rPr>
        <w:t>绍兴市职业教育中心</w:t>
      </w:r>
    </w:p>
    <w:p>
      <w:pPr>
        <w:spacing w:line="312" w:lineRule="auto"/>
        <w:ind w:firstLine="241" w:firstLineChars="50"/>
        <w:jc w:val="center"/>
        <w:outlineLvl w:val="0"/>
        <w:rPr>
          <w:rFonts w:ascii="隶书" w:hAnsi="Arial" w:eastAsia="隶书" w:cs="Arial"/>
          <w:b/>
          <w:sz w:val="48"/>
          <w:szCs w:val="48"/>
        </w:rPr>
      </w:pPr>
      <w:r>
        <w:rPr>
          <w:rFonts w:hint="eastAsia" w:ascii="隶书" w:hAnsi="Arial" w:eastAsia="隶书" w:cs="Arial"/>
          <w:b/>
          <w:sz w:val="48"/>
          <w:szCs w:val="48"/>
        </w:rPr>
        <w:t>计算机专业课程资源建设项目</w:t>
      </w:r>
    </w:p>
    <w:p>
      <w:pPr>
        <w:spacing w:line="312" w:lineRule="auto"/>
        <w:rPr>
          <w:rFonts w:ascii="隶书" w:hAnsi="Arial" w:eastAsia="隶书" w:cs="Arial"/>
          <w:b/>
          <w:sz w:val="36"/>
          <w:szCs w:val="36"/>
        </w:rPr>
      </w:pPr>
    </w:p>
    <w:p>
      <w:pPr>
        <w:spacing w:line="312" w:lineRule="auto"/>
        <w:jc w:val="center"/>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ascii="隶书" w:eastAsia="隶书"/>
          <w:b/>
          <w:sz w:val="28"/>
          <w:szCs w:val="28"/>
        </w:rPr>
      </w:pPr>
      <w:r>
        <w:rPr>
          <w:rFonts w:hint="eastAsia" w:ascii="隶书" w:eastAsia="隶书"/>
          <w:b/>
          <w:sz w:val="28"/>
          <w:szCs w:val="28"/>
        </w:rPr>
        <w:t>招标编号:YH2021-07017</w:t>
      </w:r>
    </w:p>
    <w:tbl>
      <w:tblPr>
        <w:tblStyle w:val="26"/>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绍兴市职业教育中心</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二一年七月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6"/>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6"/>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绍兴市职业教育中心计算机专业课程资源建设项目的潜在供应商应在http://www.zcygov.cn/ 获取（下载）采购文件，并于2021年7月</w:t>
                  </w:r>
                  <w:r>
                    <w:rPr>
                      <w:rFonts w:hint="eastAsia" w:ascii="仿宋" w:hAnsi="仿宋" w:eastAsia="仿宋" w:cs="仿宋"/>
                      <w:kern w:val="0"/>
                      <w:sz w:val="24"/>
                      <w:lang w:val="en-US" w:eastAsia="zh-CN"/>
                    </w:rPr>
                    <w:t>28</w:t>
                  </w:r>
                  <w:r>
                    <w:rPr>
                      <w:rFonts w:hint="eastAsia" w:ascii="仿宋" w:hAnsi="仿宋" w:eastAsia="仿宋" w:cs="仿宋"/>
                      <w:kern w:val="0"/>
                      <w:sz w:val="24"/>
                    </w:rPr>
                    <w:t>日</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en-US" w:eastAsia="zh-CN"/>
                    </w:rPr>
                    <w:t>3</w:t>
                  </w:r>
                  <w:r>
                    <w:rPr>
                      <w:rFonts w:hint="eastAsia" w:ascii="仿宋" w:hAnsi="仿宋" w:eastAsia="仿宋" w:cs="仿宋"/>
                      <w:kern w:val="0"/>
                      <w:sz w:val="24"/>
                    </w:rPr>
                    <w:t>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项目编号：YH2021-07017</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项目名称：绍兴市职业教育中心计算机专业课程资源建设项目</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采购方式：公开招标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预算金额（元）：1280000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最高限价（元）：1280000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标项名称:绍兴市职业教育中心计算机专业课程资源建设项目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数量:不限</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预算金额（元）：1280000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5"/>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3.本项目的特定资格要求：无。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时间：/至2021年7月2</w:t>
            </w:r>
            <w:r>
              <w:rPr>
                <w:rFonts w:hint="eastAsia" w:ascii="仿宋" w:hAnsi="仿宋" w:eastAsia="仿宋" w:cs="仿宋"/>
                <w:kern w:val="0"/>
                <w:sz w:val="24"/>
                <w:lang w:val="en-US" w:eastAsia="zh-CN"/>
              </w:rPr>
              <w:t>8</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提交投标文件截止时间：2021年7月</w:t>
            </w:r>
            <w:r>
              <w:rPr>
                <w:rFonts w:hint="eastAsia" w:ascii="仿宋" w:hAnsi="仿宋" w:eastAsia="仿宋" w:cs="仿宋"/>
                <w:kern w:val="0"/>
                <w:sz w:val="24"/>
                <w:lang w:val="en-US" w:eastAsia="zh-CN"/>
              </w:rPr>
              <w:t>28</w:t>
            </w:r>
            <w:r>
              <w:rPr>
                <w:rFonts w:hint="eastAsia" w:ascii="仿宋" w:hAnsi="仿宋" w:eastAsia="仿宋" w:cs="仿宋"/>
                <w:kern w:val="0"/>
                <w:sz w:val="24"/>
              </w:rPr>
              <w:t>日</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en-US" w:eastAsia="zh-CN"/>
              </w:rPr>
              <w:t>3</w:t>
            </w:r>
            <w:r>
              <w:rPr>
                <w:rFonts w:hint="eastAsia" w:ascii="仿宋" w:hAnsi="仿宋" w:eastAsia="仿宋" w:cs="仿宋"/>
                <w:kern w:val="0"/>
                <w:sz w:val="24"/>
              </w:rPr>
              <w:t>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开标时间：2021年7月</w:t>
            </w:r>
            <w:r>
              <w:rPr>
                <w:rFonts w:hint="eastAsia" w:ascii="仿宋" w:hAnsi="仿宋" w:eastAsia="仿宋" w:cs="仿宋"/>
                <w:kern w:val="0"/>
                <w:sz w:val="24"/>
                <w:lang w:val="en-US" w:eastAsia="zh-CN"/>
              </w:rPr>
              <w:t>28</w:t>
            </w:r>
            <w:r>
              <w:rPr>
                <w:rFonts w:hint="eastAsia" w:ascii="仿宋" w:hAnsi="仿宋" w:eastAsia="仿宋" w:cs="仿宋"/>
                <w:kern w:val="0"/>
                <w:sz w:val="24"/>
              </w:rPr>
              <w:t>日</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en-US" w:eastAsia="zh-CN"/>
              </w:rPr>
              <w:t>3</w:t>
            </w:r>
            <w:r>
              <w:rPr>
                <w:rFonts w:hint="eastAsia" w:ascii="仿宋" w:hAnsi="仿宋" w:eastAsia="仿宋" w:cs="仿宋"/>
                <w:kern w:val="0"/>
                <w:sz w:val="24"/>
              </w:rPr>
              <w:t>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名称：绍兴市职业教育中心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地址：绍兴市平江路579号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项目联系人（询问）：顾峥波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项目联系方式（询问）：0575-88600640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质疑联系人：顾峥波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质疑联系方式：0575-88600640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项目联系人（询问）：栾雪明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kern w:val="0"/>
                <w:sz w:val="24"/>
                <w:lang w:val="zh-CN"/>
              </w:rPr>
            </w:pPr>
            <w:r>
              <w:rPr>
                <w:rFonts w:hint="eastAsia" w:ascii="仿宋" w:hAnsi="仿宋" w:eastAsia="仿宋" w:cs="仿宋"/>
                <w:b/>
                <w:sz w:val="24"/>
              </w:rPr>
              <w:t>演示(讲解)：</w:t>
            </w:r>
            <w:r>
              <w:rPr>
                <w:rFonts w:hint="eastAsia" w:ascii="仿宋" w:hAnsi="仿宋" w:eastAsia="仿宋" w:cs="仿宋"/>
                <w:kern w:val="0"/>
                <w:sz w:val="24"/>
                <w:lang w:val="zh-CN"/>
              </w:rPr>
              <w:t>在评标时安排每个投标人进行</w:t>
            </w:r>
            <w:r>
              <w:rPr>
                <w:rFonts w:hint="eastAsia" w:ascii="仿宋" w:hAnsi="仿宋" w:eastAsia="仿宋" w:cs="仿宋"/>
                <w:sz w:val="24"/>
              </w:rPr>
              <w:t>现场演示，演示</w:t>
            </w:r>
            <w:r>
              <w:rPr>
                <w:rFonts w:hint="eastAsia" w:ascii="仿宋" w:hAnsi="仿宋" w:eastAsia="仿宋" w:cs="仿宋"/>
                <w:kern w:val="0"/>
                <w:sz w:val="24"/>
                <w:lang w:val="zh-CN"/>
              </w:rPr>
              <w:t>后按要求解答评标委员会的提问。</w:t>
            </w:r>
          </w:p>
          <w:p>
            <w:pPr>
              <w:spacing w:line="288" w:lineRule="auto"/>
              <w:rPr>
                <w:rFonts w:ascii="仿宋" w:hAnsi="仿宋" w:eastAsia="仿宋" w:cs="仿宋"/>
                <w:sz w:val="24"/>
              </w:rPr>
            </w:pPr>
            <w:r>
              <w:rPr>
                <w:rFonts w:hint="eastAsia" w:ascii="仿宋" w:hAnsi="仿宋" w:eastAsia="仿宋" w:cs="仿宋"/>
                <w:b/>
                <w:sz w:val="24"/>
              </w:rPr>
              <w:t>演示</w:t>
            </w:r>
            <w:r>
              <w:rPr>
                <w:rFonts w:hint="eastAsia" w:ascii="仿宋" w:hAnsi="仿宋" w:eastAsia="仿宋" w:cs="仿宋"/>
                <w:b/>
                <w:kern w:val="0"/>
                <w:sz w:val="24"/>
                <w:lang w:val="zh-CN"/>
              </w:rPr>
              <w:t>设备：</w:t>
            </w:r>
            <w:r>
              <w:rPr>
                <w:rFonts w:hint="eastAsia" w:ascii="仿宋" w:hAnsi="仿宋" w:eastAsia="仿宋" w:cs="仿宋"/>
                <w:sz w:val="24"/>
              </w:rPr>
              <w:t>演示所需设备由投标人自行准备。</w:t>
            </w:r>
          </w:p>
          <w:p>
            <w:pPr>
              <w:spacing w:line="288" w:lineRule="auto"/>
              <w:rPr>
                <w:rFonts w:ascii="仿宋" w:hAnsi="仿宋" w:eastAsia="仿宋" w:cs="仿宋"/>
                <w:sz w:val="24"/>
              </w:rPr>
            </w:pPr>
            <w:r>
              <w:rPr>
                <w:rFonts w:hint="eastAsia" w:ascii="仿宋" w:hAnsi="仿宋" w:eastAsia="仿宋" w:cs="仿宋"/>
                <w:b/>
                <w:sz w:val="24"/>
              </w:rPr>
              <w:t>演示</w:t>
            </w:r>
            <w:r>
              <w:rPr>
                <w:rFonts w:hint="eastAsia" w:ascii="仿宋" w:hAnsi="仿宋" w:eastAsia="仿宋" w:cs="仿宋"/>
                <w:b/>
                <w:kern w:val="0"/>
                <w:sz w:val="24"/>
                <w:lang w:val="zh-CN"/>
              </w:rPr>
              <w:t>时间：</w:t>
            </w:r>
            <w:r>
              <w:rPr>
                <w:rFonts w:hint="eastAsia" w:ascii="仿宋" w:hAnsi="仿宋" w:eastAsia="仿宋" w:cs="仿宋"/>
                <w:kern w:val="0"/>
                <w:sz w:val="24"/>
                <w:lang w:val="zh-CN"/>
              </w:rPr>
              <w:t>每个投标人</w:t>
            </w:r>
            <w:r>
              <w:rPr>
                <w:rFonts w:hint="eastAsia" w:ascii="仿宋" w:hAnsi="仿宋" w:eastAsia="仿宋" w:cs="仿宋"/>
                <w:sz w:val="24"/>
              </w:rPr>
              <w:t>演示</w:t>
            </w:r>
            <w:r>
              <w:rPr>
                <w:rFonts w:hint="eastAsia" w:ascii="仿宋" w:hAnsi="仿宋" w:eastAsia="仿宋" w:cs="仿宋"/>
                <w:kern w:val="0"/>
                <w:sz w:val="24"/>
                <w:lang w:val="zh-CN"/>
              </w:rPr>
              <w:t>开始前的调试准备时间不超过1</w:t>
            </w:r>
            <w:r>
              <w:rPr>
                <w:rFonts w:hint="eastAsia" w:ascii="仿宋" w:hAnsi="仿宋" w:eastAsia="仿宋" w:cs="仿宋"/>
                <w:kern w:val="0"/>
                <w:sz w:val="24"/>
              </w:rPr>
              <w:t>0</w:t>
            </w:r>
            <w:r>
              <w:rPr>
                <w:rFonts w:hint="eastAsia" w:ascii="仿宋" w:hAnsi="仿宋" w:eastAsia="仿宋" w:cs="仿宋"/>
                <w:kern w:val="0"/>
                <w:sz w:val="24"/>
                <w:lang w:val="zh-CN"/>
              </w:rPr>
              <w:t>分钟，</w:t>
            </w:r>
            <w:r>
              <w:rPr>
                <w:rFonts w:hint="eastAsia" w:ascii="仿宋" w:hAnsi="仿宋" w:eastAsia="仿宋" w:cs="仿宋"/>
                <w:sz w:val="24"/>
              </w:rPr>
              <w:t>演示</w:t>
            </w:r>
            <w:r>
              <w:rPr>
                <w:rFonts w:hint="eastAsia" w:ascii="仿宋" w:hAnsi="仿宋" w:eastAsia="仿宋" w:cs="仿宋"/>
                <w:kern w:val="0"/>
                <w:sz w:val="24"/>
                <w:lang w:val="zh-CN"/>
              </w:rPr>
              <w:t>时间不超过1</w:t>
            </w:r>
            <w:r>
              <w:rPr>
                <w:rFonts w:hint="eastAsia" w:ascii="仿宋" w:hAnsi="仿宋" w:eastAsia="仿宋" w:cs="仿宋"/>
                <w:kern w:val="0"/>
                <w:sz w:val="24"/>
              </w:rPr>
              <w:t>5</w:t>
            </w:r>
            <w:r>
              <w:rPr>
                <w:rFonts w:hint="eastAsia" w:ascii="仿宋" w:hAnsi="仿宋" w:eastAsia="仿宋" w:cs="仿宋"/>
                <w:kern w:val="0"/>
                <w:sz w:val="24"/>
                <w:lang w:val="zh-CN"/>
              </w:rPr>
              <w:t>分钟，</w:t>
            </w:r>
            <w:r>
              <w:rPr>
                <w:rFonts w:hint="eastAsia" w:ascii="仿宋" w:hAnsi="仿宋" w:eastAsia="仿宋" w:cs="仿宋"/>
                <w:sz w:val="24"/>
              </w:rPr>
              <w:t>不包含评委提问解答时间。</w:t>
            </w:r>
          </w:p>
          <w:p>
            <w:pPr>
              <w:spacing w:line="288" w:lineRule="auto"/>
              <w:rPr>
                <w:rFonts w:ascii="仿宋" w:hAnsi="仿宋" w:eastAsia="仿宋" w:cs="仿宋"/>
                <w:kern w:val="0"/>
                <w:sz w:val="24"/>
                <w:lang w:val="zh-CN"/>
              </w:rPr>
            </w:pPr>
            <w:r>
              <w:rPr>
                <w:rFonts w:hint="eastAsia" w:ascii="仿宋" w:hAnsi="仿宋" w:eastAsia="仿宋" w:cs="仿宋"/>
                <w:b/>
                <w:sz w:val="24"/>
              </w:rPr>
              <w:t>演示地点：</w:t>
            </w:r>
            <w:r>
              <w:rPr>
                <w:rFonts w:hint="eastAsia" w:ascii="仿宋" w:hAnsi="仿宋" w:eastAsia="仿宋" w:cs="仿宋"/>
                <w:bCs/>
                <w:sz w:val="24"/>
              </w:rPr>
              <w:t>耀华建设管理有限公司绍兴迪荡分公司（绍兴市越城区阳明北路80号滨江大厦C楼3楼9/10号）。</w:t>
            </w:r>
          </w:p>
          <w:p>
            <w:pPr>
              <w:spacing w:line="288" w:lineRule="auto"/>
              <w:rPr>
                <w:rFonts w:ascii="仿宋" w:hAnsi="仿宋" w:eastAsia="仿宋" w:cs="仿宋"/>
                <w:sz w:val="24"/>
              </w:rPr>
            </w:pPr>
            <w:r>
              <w:rPr>
                <w:rFonts w:hint="eastAsia" w:ascii="仿宋" w:hAnsi="仿宋" w:eastAsia="仿宋" w:cs="仿宋"/>
                <w:b/>
                <w:sz w:val="24"/>
              </w:rPr>
              <w:t>演示</w:t>
            </w:r>
            <w:r>
              <w:rPr>
                <w:rFonts w:hint="eastAsia" w:ascii="仿宋" w:hAnsi="仿宋" w:eastAsia="仿宋" w:cs="仿宋"/>
                <w:b/>
                <w:kern w:val="0"/>
                <w:sz w:val="24"/>
                <w:lang w:val="zh-CN"/>
              </w:rPr>
              <w:t>次序：</w:t>
            </w:r>
            <w:r>
              <w:rPr>
                <w:rFonts w:hint="eastAsia" w:ascii="仿宋" w:hAnsi="仿宋" w:eastAsia="仿宋" w:cs="仿宋"/>
                <w:kern w:val="0"/>
                <w:sz w:val="24"/>
                <w:lang w:val="zh-CN"/>
              </w:rPr>
              <w:t>以政采云平台中</w:t>
            </w:r>
            <w:r>
              <w:rPr>
                <w:rFonts w:hint="eastAsia" w:ascii="仿宋" w:hAnsi="仿宋" w:eastAsia="仿宋" w:cs="仿宋"/>
                <w:bCs/>
                <w:sz w:val="24"/>
              </w:rPr>
              <w:t>投标</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rPr>
                <w:rFonts w:hint="eastAsia"/>
              </w:rPr>
              <w:fldChar w:fldCharType="begin"/>
            </w:r>
            <w:r>
              <w:instrText xml:space="preserve"> HYPERLINK "https://help.zcygov.cn/web/site_2/2018/12-28/2573.html" </w:instrText>
            </w:r>
            <w:r>
              <w:rPr>
                <w:rFonts w:hint="eastAsia"/>
              </w:rPr>
              <w:fldChar w:fldCharType="separate"/>
            </w:r>
            <w:r>
              <w:rPr>
                <w:rStyle w:val="33"/>
                <w:rFonts w:hint="eastAsia" w:ascii="仿宋" w:hAnsi="仿宋" w:eastAsia="仿宋" w:cs="仿宋"/>
                <w:color w:val="auto"/>
                <w:sz w:val="24"/>
              </w:rPr>
              <w:t>https://help.zcygov.cn/web/site_2/2018/12-28/2573.html</w:t>
            </w:r>
            <w:r>
              <w:rPr>
                <w:rStyle w:val="33"/>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其他：代理服务费等</w:t>
            </w:r>
          </w:p>
          <w:p>
            <w:pPr>
              <w:spacing w:line="340" w:lineRule="exact"/>
              <w:rPr>
                <w:rFonts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收费标准：：中标金额在100万以下部分为1.5%，100万-500万部分为0.8%。</w:t>
            </w:r>
          </w:p>
          <w:p>
            <w:pPr>
              <w:spacing w:line="340" w:lineRule="exact"/>
              <w:rPr>
                <w:rFonts w:ascii="仿宋" w:hAnsi="仿宋" w:eastAsia="仿宋" w:cs="仿宋"/>
                <w:sz w:val="24"/>
              </w:rPr>
            </w:pPr>
            <w:r>
              <w:rPr>
                <w:rFonts w:hint="eastAsia" w:ascii="仿宋" w:hAnsi="仿宋" w:eastAsia="仿宋" w:cs="仿宋"/>
                <w:sz w:val="24"/>
              </w:rPr>
              <w:t>（2）本项目招标评审所产生的评审费用2600元由中标单位支付（备注：此评审费用按3小时内计，如实际评审时间超出3小时，按实际发生费用计，评审费不提供发票，只提供评委签收单据）。</w:t>
            </w:r>
          </w:p>
          <w:p>
            <w:pPr>
              <w:spacing w:line="340" w:lineRule="exact"/>
              <w:rPr>
                <w:rFonts w:ascii="仿宋" w:hAnsi="仿宋" w:eastAsia="仿宋" w:cs="仿宋"/>
                <w:sz w:val="24"/>
              </w:rPr>
            </w:pPr>
            <w:r>
              <w:rPr>
                <w:rFonts w:hint="eastAsia" w:ascii="仿宋" w:hAnsi="仿宋" w:eastAsia="仿宋" w:cs="仿宋"/>
                <w:sz w:val="24"/>
              </w:rPr>
              <w:t>（3）代理服务费的交纳方式：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ascii="仿宋" w:hAnsi="仿宋" w:eastAsia="仿宋" w:cs="仿宋"/>
          <w:sz w:val="24"/>
        </w:rPr>
      </w:pPr>
      <w:r>
        <w:rPr>
          <w:rFonts w:hint="eastAsia" w:ascii="仿宋" w:hAnsi="仿宋" w:eastAsia="仿宋" w:cs="仿宋"/>
          <w:b/>
          <w:bCs/>
          <w:sz w:val="24"/>
        </w:rPr>
        <w:t>1. 项目说明</w:t>
      </w:r>
    </w:p>
    <w:p>
      <w:pPr>
        <w:snapToGrid w:val="0"/>
        <w:spacing w:line="288"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cs="仿宋"/>
          <w:b/>
          <w:sz w:val="24"/>
        </w:rPr>
      </w:pPr>
      <w:r>
        <w:rPr>
          <w:rFonts w:hint="eastAsia" w:ascii="仿宋" w:hAnsi="仿宋" w:eastAsia="仿宋" w:cs="仿宋"/>
          <w:b/>
          <w:sz w:val="24"/>
        </w:rPr>
        <w:t>2.定义</w:t>
      </w:r>
    </w:p>
    <w:p>
      <w:pPr>
        <w:snapToGrid w:val="0"/>
        <w:spacing w:line="288" w:lineRule="auto"/>
        <w:jc w:val="left"/>
        <w:rPr>
          <w:rFonts w:ascii="仿宋" w:hAnsi="仿宋" w:eastAsia="仿宋" w:cs="仿宋"/>
          <w:sz w:val="24"/>
        </w:rPr>
      </w:pPr>
      <w:r>
        <w:rPr>
          <w:rFonts w:hint="eastAsia" w:ascii="仿宋" w:hAnsi="仿宋" w:eastAsia="仿宋" w:cs="仿宋"/>
          <w:sz w:val="24"/>
        </w:rPr>
        <w:t>2.1政府采购当事人及监管部门：绍兴市职业教育中心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9"/>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2.1.3中小企业声明函（如有，格式见第六部分附件）；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4"/>
        <w:spacing w:line="288" w:lineRule="auto"/>
        <w:ind w:firstLine="480" w:firstLineChars="200"/>
        <w:rPr>
          <w:rFonts w:ascii="仿宋" w:hAnsi="仿宋" w:eastAsia="仿宋" w:cs="仿宋"/>
          <w:sz w:val="24"/>
        </w:rPr>
      </w:pPr>
      <w:bookmarkStart w:id="0" w:name="_Hlt68072998"/>
      <w:bookmarkEnd w:id="0"/>
      <w:bookmarkStart w:id="1" w:name="_Hlt68073093"/>
      <w:bookmarkEnd w:id="1"/>
      <w:bookmarkStart w:id="2" w:name="_Hlt68403820"/>
      <w:bookmarkEnd w:id="2"/>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（2）2020年度资产负债表等财务报表资料文件(新成立的公司提供情况证明)；</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r>
        <w:rPr>
          <w:rFonts w:hint="eastAsia" w:ascii="仿宋" w:hAnsi="仿宋" w:eastAsia="仿宋" w:cs="仿宋"/>
          <w:sz w:val="24"/>
          <w:szCs w:val="20"/>
        </w:rPr>
        <w:t>需要特别声明“没有因违反《浙江省政府采购供应商注册及诚信管理暂行办法》被列入‘黑名单’，在处罚有效期”）；</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napToGrid w:val="0"/>
        <w:spacing w:line="288" w:lineRule="auto"/>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14"/>
        <w:snapToGrid w:val="0"/>
        <w:spacing w:line="288" w:lineRule="auto"/>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2.2.13培训计划；（如果有）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2.2.14验收方案；</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ascii="仿宋" w:hAnsi="仿宋" w:eastAsia="仿宋" w:cs="仿宋"/>
          <w:kern w:val="0"/>
          <w:sz w:val="24"/>
        </w:rPr>
      </w:pPr>
      <w:r>
        <w:rPr>
          <w:rFonts w:hint="eastAsia" w:ascii="仿宋" w:hAnsi="仿宋" w:eastAsia="仿宋" w:cs="仿宋"/>
          <w:sz w:val="24"/>
          <w:lang w:val="zh-CN"/>
        </w:rPr>
        <w:t>2.2.16廉政承诺书</w:t>
      </w:r>
      <w:r>
        <w:rPr>
          <w:rFonts w:hint="eastAsia" w:ascii="仿宋" w:hAnsi="仿宋" w:eastAsia="仿宋" w:cs="仿宋"/>
          <w:sz w:val="24"/>
        </w:rPr>
        <w:t>（格式见第六部分附件）；</w:t>
      </w:r>
    </w:p>
    <w:p>
      <w:pPr>
        <w:snapToGrid w:val="0"/>
        <w:spacing w:line="288" w:lineRule="auto"/>
        <w:jc w:val="left"/>
        <w:rPr>
          <w:rFonts w:ascii="仿宋" w:hAnsi="仿宋" w:eastAsia="仿宋" w:cs="仿宋"/>
          <w:sz w:val="24"/>
        </w:rPr>
      </w:pPr>
      <w:r>
        <w:rPr>
          <w:rFonts w:hint="eastAsia" w:ascii="仿宋" w:hAnsi="仿宋" w:eastAsia="仿宋" w:cs="仿宋"/>
          <w:sz w:val="24"/>
        </w:rPr>
        <w:t>2.2.17</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2.2.18投标人需要说明的其他文件和说明（格式自拟）。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rPr>
      </w:pPr>
      <w:bookmarkStart w:id="3" w:name="_Toc81372953"/>
      <w:bookmarkStart w:id="4" w:name="_Toc81372776"/>
      <w:bookmarkStart w:id="5" w:name="_Toc84325929"/>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6"/>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rPr>
          <w:rFonts w:hint="eastAsia"/>
        </w:rPr>
        <w:fldChar w:fldCharType="begin"/>
      </w:r>
      <w:r>
        <w:instrText xml:space="preserve"> HYPERLINK "http://zfcg.czt.zj.gov.cn/" </w:instrText>
      </w:r>
      <w:r>
        <w:rPr>
          <w:rFonts w:hint="eastAsia"/>
        </w:rPr>
        <w:fldChar w:fldCharType="separate"/>
      </w:r>
      <w:r>
        <w:rPr>
          <w:rStyle w:val="33"/>
          <w:rFonts w:hint="eastAsia" w:ascii="仿宋" w:hAnsi="仿宋" w:eastAsia="仿宋" w:cs="仿宋"/>
          <w:color w:val="000000" w:themeColor="text1"/>
          <w:szCs w:val="24"/>
        </w:rPr>
        <w:t>http://zfcg.czt.zj.gov.cn</w:t>
      </w:r>
      <w:r>
        <w:rPr>
          <w:rStyle w:val="33"/>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rPr>
          <w:rFonts w:hint="eastAsia"/>
        </w:rPr>
        <w:fldChar w:fldCharType="begin"/>
      </w:r>
      <w:r>
        <w:instrText xml:space="preserve"> HYPERLINK "http://ggb.sx.gov.cn" </w:instrText>
      </w:r>
      <w:r>
        <w:rPr>
          <w:rFonts w:hint="eastAsia"/>
        </w:rPr>
        <w:fldChar w:fldCharType="separate"/>
      </w:r>
      <w:r>
        <w:rPr>
          <w:rStyle w:val="33"/>
          <w:rFonts w:hint="eastAsia" w:ascii="仿宋" w:hAnsi="仿宋" w:eastAsia="仿宋" w:cs="仿宋"/>
          <w:color w:val="000000" w:themeColor="text1"/>
        </w:rPr>
        <w:t>http://ggb.sx.gov.cn</w:t>
      </w:r>
      <w:r>
        <w:rPr>
          <w:rStyle w:val="33"/>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pacing w:line="288" w:lineRule="auto"/>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14"/>
        <w:spacing w:line="288"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4"/>
        <w:adjustRightInd/>
        <w:spacing w:line="288" w:lineRule="auto"/>
        <w:ind w:firstLine="480" w:firstLineChars="200"/>
        <w:rPr>
          <w:rFonts w:ascii="仿宋" w:hAnsi="仿宋" w:eastAsia="仿宋" w:cs="仿宋"/>
          <w:b/>
          <w:sz w:val="36"/>
          <w:szCs w:val="36"/>
        </w:rPr>
      </w:pPr>
      <w:r>
        <w:rPr>
          <w:rFonts w:hint="eastAsia" w:ascii="仿宋" w:hAnsi="仿宋" w:eastAsia="仿宋" w:cs="仿宋"/>
          <w:sz w:val="24"/>
        </w:rPr>
        <w:t>7.质疑函范本、投诉书范本请到浙江政府采购网下载专区下载。</w:t>
      </w:r>
    </w:p>
    <w:p>
      <w:pPr>
        <w:pStyle w:val="14"/>
        <w:adjustRightInd/>
        <w:spacing w:line="288" w:lineRule="auto"/>
        <w:jc w:val="center"/>
        <w:rPr>
          <w:rFonts w:ascii="仿宋" w:hAnsi="仿宋" w:eastAsia="仿宋" w:cs="仿宋"/>
          <w:b/>
          <w:sz w:val="36"/>
          <w:szCs w:val="36"/>
        </w:rPr>
      </w:pPr>
    </w:p>
    <w:p>
      <w:pPr>
        <w:pStyle w:val="14"/>
        <w:adjustRightInd/>
        <w:spacing w:line="288" w:lineRule="auto"/>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snapToGrid w:val="0"/>
        <w:spacing w:before="249" w:beforeLines="80" w:line="288" w:lineRule="auto"/>
        <w:ind w:left="420" w:leftChars="200"/>
        <w:rPr>
          <w:rFonts w:ascii="仿宋" w:hAnsi="仿宋" w:eastAsia="仿宋" w:cs="仿宋"/>
          <w:b/>
          <w:sz w:val="24"/>
        </w:rPr>
      </w:pPr>
      <w:r>
        <w:rPr>
          <w:rFonts w:hint="eastAsia" w:ascii="仿宋" w:hAnsi="仿宋" w:eastAsia="仿宋" w:cs="仿宋"/>
          <w:b/>
          <w:sz w:val="24"/>
        </w:rPr>
        <w:t xml:space="preserve">一、设备技术参数  </w:t>
      </w:r>
    </w:p>
    <w:tbl>
      <w:tblPr>
        <w:tblStyle w:val="26"/>
        <w:tblW w:w="50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17"/>
        <w:gridCol w:w="7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74"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Cs/>
                <w:sz w:val="24"/>
              </w:rPr>
            </w:pPr>
            <w:r>
              <w:rPr>
                <w:rFonts w:hint="eastAsia" w:ascii="仿宋" w:hAnsi="仿宋" w:eastAsia="仿宋" w:cs="仿宋"/>
                <w:bCs/>
                <w:kern w:val="0"/>
                <w:sz w:val="24"/>
              </w:rPr>
              <w:t>序号</w:t>
            </w:r>
          </w:p>
        </w:tc>
        <w:tc>
          <w:tcPr>
            <w:tcW w:w="75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Cs/>
                <w:sz w:val="24"/>
              </w:rPr>
            </w:pPr>
            <w:r>
              <w:rPr>
                <w:rFonts w:hint="eastAsia" w:ascii="仿宋" w:hAnsi="仿宋" w:eastAsia="仿宋" w:cs="仿宋"/>
                <w:bCs/>
                <w:kern w:val="0"/>
                <w:sz w:val="24"/>
              </w:rPr>
              <w:t>分类</w:t>
            </w:r>
          </w:p>
        </w:tc>
        <w:tc>
          <w:tcPr>
            <w:tcW w:w="3872"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Cs/>
                <w:sz w:val="24"/>
              </w:rPr>
            </w:pPr>
            <w:r>
              <w:rPr>
                <w:rFonts w:hint="eastAsia" w:ascii="仿宋" w:hAnsi="仿宋" w:eastAsia="仿宋" w:cs="仿宋"/>
                <w:bCs/>
                <w:kern w:val="0"/>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color w:val="000000"/>
                <w:kern w:val="0"/>
                <w:sz w:val="24"/>
              </w:rPr>
              <w:t>1</w:t>
            </w:r>
          </w:p>
        </w:tc>
        <w:tc>
          <w:tcPr>
            <w:tcW w:w="752"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一站式教学练平台-教学管理平台</w:t>
            </w:r>
          </w:p>
        </w:tc>
        <w:tc>
          <w:tcPr>
            <w:tcW w:w="3872" w:type="pct"/>
            <w:tcBorders>
              <w:top w:val="single" w:color="auto" w:sz="4" w:space="0"/>
              <w:left w:val="single" w:color="auto" w:sz="4" w:space="0"/>
              <w:right w:val="single" w:color="auto" w:sz="4" w:space="0"/>
            </w:tcBorders>
            <w:vAlign w:val="center"/>
          </w:tcPr>
          <w:p>
            <w:pPr>
              <w:spacing w:line="288" w:lineRule="auto"/>
              <w:jc w:val="left"/>
              <w:rPr>
                <w:rFonts w:ascii="仿宋" w:hAnsi="仿宋" w:eastAsia="仿宋" w:cs="仿宋"/>
                <w:sz w:val="24"/>
              </w:rPr>
            </w:pPr>
            <w:r>
              <w:rPr>
                <w:rFonts w:hint="eastAsia" w:ascii="仿宋" w:hAnsi="仿宋" w:eastAsia="仿宋" w:cs="仿宋"/>
                <w:sz w:val="24"/>
              </w:rPr>
              <w:t>1、教学平台采用B/S架构，基于可扩展技术架构搭建。可兼容各Chrome核心浏览器(Chrome、QQ浏览器等)，使用时无须安装其他插件。</w:t>
            </w:r>
          </w:p>
          <w:p>
            <w:pPr>
              <w:spacing w:line="288" w:lineRule="auto"/>
              <w:jc w:val="left"/>
              <w:rPr>
                <w:rFonts w:ascii="仿宋" w:hAnsi="仿宋" w:eastAsia="仿宋" w:cs="仿宋"/>
                <w:sz w:val="24"/>
              </w:rPr>
            </w:pPr>
            <w:r>
              <w:rPr>
                <w:rFonts w:hint="eastAsia" w:ascii="仿宋" w:hAnsi="仿宋" w:eastAsia="仿宋" w:cs="仿宋"/>
                <w:sz w:val="24"/>
              </w:rPr>
              <w:t>2、教学平台支持课程扩展，支持后期理论课程与实践课程的创建、关联及发布。新课程发布时，正在使用的用户无感知。</w:t>
            </w:r>
          </w:p>
          <w:p>
            <w:pPr>
              <w:spacing w:line="288" w:lineRule="auto"/>
              <w:jc w:val="left"/>
              <w:rPr>
                <w:rFonts w:ascii="仿宋" w:hAnsi="仿宋" w:eastAsia="仿宋" w:cs="仿宋"/>
                <w:sz w:val="24"/>
              </w:rPr>
            </w:pPr>
            <w:r>
              <w:rPr>
                <w:rFonts w:hint="eastAsia" w:ascii="仿宋" w:hAnsi="仿宋" w:eastAsia="仿宋" w:cs="仿宋"/>
                <w:sz w:val="24"/>
              </w:rPr>
              <w:t>▲3、教学平台支持QQ一键登录，支持QQ/微信扫码登录。</w:t>
            </w:r>
          </w:p>
          <w:p>
            <w:pPr>
              <w:spacing w:line="288" w:lineRule="auto"/>
              <w:jc w:val="left"/>
              <w:rPr>
                <w:rFonts w:ascii="仿宋" w:hAnsi="仿宋" w:eastAsia="仿宋" w:cs="仿宋"/>
                <w:sz w:val="24"/>
              </w:rPr>
            </w:pPr>
            <w:r>
              <w:rPr>
                <w:rFonts w:hint="eastAsia" w:ascii="仿宋" w:hAnsi="仿宋" w:eastAsia="仿宋" w:cs="仿宋"/>
                <w:sz w:val="24"/>
              </w:rPr>
              <w:t>4、教学平台支持多用户登陆，同时在线登陆使用用户数量≥80人</w:t>
            </w:r>
          </w:p>
          <w:p>
            <w:pPr>
              <w:spacing w:line="288" w:lineRule="auto"/>
              <w:jc w:val="left"/>
              <w:rPr>
                <w:rFonts w:ascii="仿宋" w:hAnsi="仿宋" w:eastAsia="仿宋" w:cs="仿宋"/>
                <w:sz w:val="24"/>
              </w:rPr>
            </w:pPr>
            <w:r>
              <w:rPr>
                <w:rFonts w:hint="eastAsia" w:ascii="仿宋" w:hAnsi="仿宋" w:eastAsia="仿宋" w:cs="仿宋"/>
                <w:sz w:val="24"/>
              </w:rPr>
              <w:t>5、教学平台支持学校、教师、学生等多种账号角色，登录不同权限账号即拥有不同操作权限。</w:t>
            </w:r>
          </w:p>
          <w:p>
            <w:pPr>
              <w:spacing w:line="288" w:lineRule="auto"/>
              <w:jc w:val="left"/>
              <w:rPr>
                <w:rFonts w:ascii="仿宋" w:hAnsi="仿宋" w:eastAsia="仿宋" w:cs="仿宋"/>
                <w:sz w:val="24"/>
              </w:rPr>
            </w:pPr>
            <w:r>
              <w:rPr>
                <w:rFonts w:hint="eastAsia" w:ascii="仿宋" w:hAnsi="仿宋" w:eastAsia="仿宋" w:cs="仿宋"/>
                <w:sz w:val="24"/>
              </w:rPr>
              <w:t>6、教学平台支持按专业对课程进行筛选，同时支持对所需课程按名称或关键词检索。</w:t>
            </w:r>
          </w:p>
          <w:p>
            <w:pPr>
              <w:spacing w:line="288" w:lineRule="auto"/>
              <w:jc w:val="left"/>
              <w:rPr>
                <w:rFonts w:ascii="仿宋" w:hAnsi="仿宋" w:eastAsia="仿宋" w:cs="仿宋"/>
                <w:sz w:val="24"/>
              </w:rPr>
            </w:pPr>
            <w:r>
              <w:rPr>
                <w:rFonts w:hint="eastAsia" w:ascii="仿宋" w:hAnsi="仿宋" w:eastAsia="仿宋" w:cs="仿宋"/>
                <w:sz w:val="24"/>
              </w:rPr>
              <w:t>▲7、教学平台支持在线直播，同时支持对指定班级、时长、直播时间的课程建立。支持课程回放供学生进行后继学习。</w:t>
            </w:r>
          </w:p>
          <w:p>
            <w:pPr>
              <w:spacing w:line="288" w:lineRule="auto"/>
              <w:jc w:val="left"/>
              <w:rPr>
                <w:rFonts w:ascii="仿宋" w:hAnsi="仿宋" w:eastAsia="仿宋" w:cs="仿宋"/>
                <w:sz w:val="24"/>
              </w:rPr>
            </w:pPr>
            <w:r>
              <w:rPr>
                <w:rFonts w:hint="eastAsia" w:ascii="仿宋" w:hAnsi="仿宋" w:eastAsia="仿宋" w:cs="仿宋"/>
                <w:sz w:val="24"/>
              </w:rPr>
              <w:t>8、教学平台课程支持富媒体方式，包含但不限定于视频、PPT、PDF、实验及外部链接。视频支持快进；PPT支持内部动画播放；外部链接可直达设定好的外部预设链接地址。</w:t>
            </w:r>
          </w:p>
          <w:p>
            <w:pPr>
              <w:spacing w:line="288" w:lineRule="auto"/>
              <w:jc w:val="left"/>
              <w:rPr>
                <w:rFonts w:ascii="仿宋" w:hAnsi="仿宋" w:eastAsia="仿宋" w:cs="仿宋"/>
                <w:sz w:val="24"/>
              </w:rPr>
            </w:pPr>
            <w:r>
              <w:rPr>
                <w:rFonts w:hint="eastAsia" w:ascii="仿宋" w:hAnsi="仿宋" w:eastAsia="仿宋" w:cs="仿宋"/>
                <w:sz w:val="24"/>
              </w:rPr>
              <w:t>9、教学平台课程支持在线录入学习笔记、支持教学资料的分享及对当前课程的多人讨论功能。</w:t>
            </w:r>
          </w:p>
          <w:p>
            <w:pPr>
              <w:spacing w:line="288" w:lineRule="auto"/>
              <w:jc w:val="left"/>
              <w:rPr>
                <w:rFonts w:ascii="仿宋" w:hAnsi="仿宋" w:eastAsia="仿宋" w:cs="仿宋"/>
                <w:sz w:val="24"/>
              </w:rPr>
            </w:pPr>
            <w:r>
              <w:rPr>
                <w:rFonts w:hint="eastAsia" w:ascii="仿宋" w:hAnsi="仿宋" w:eastAsia="仿宋" w:cs="仿宋"/>
                <w:sz w:val="24"/>
              </w:rPr>
              <w:t>10、教师可以在教学平台对班级的新建修改删除、支持对学员的导入修改删除操作。</w:t>
            </w:r>
          </w:p>
          <w:p>
            <w:pPr>
              <w:spacing w:line="288" w:lineRule="auto"/>
              <w:jc w:val="left"/>
              <w:rPr>
                <w:rFonts w:ascii="仿宋" w:hAnsi="仿宋" w:eastAsia="仿宋" w:cs="仿宋"/>
                <w:sz w:val="24"/>
              </w:rPr>
            </w:pPr>
            <w:r>
              <w:rPr>
                <w:rFonts w:hint="eastAsia" w:ascii="仿宋" w:hAnsi="仿宋" w:eastAsia="仿宋" w:cs="仿宋"/>
                <w:sz w:val="24"/>
              </w:rPr>
              <w:t>11、学校管理账号登录教学管理平台后，能够创建并管理院系、教师、班级。通知支持将已购课程分配至院系。</w:t>
            </w:r>
          </w:p>
          <w:p>
            <w:pPr>
              <w:spacing w:line="288" w:lineRule="auto"/>
              <w:jc w:val="left"/>
              <w:rPr>
                <w:rFonts w:ascii="仿宋" w:hAnsi="仿宋" w:eastAsia="仿宋" w:cs="仿宋"/>
                <w:sz w:val="24"/>
              </w:rPr>
            </w:pPr>
            <w:r>
              <w:rPr>
                <w:rFonts w:hint="eastAsia" w:ascii="仿宋" w:hAnsi="仿宋" w:eastAsia="仿宋" w:cs="仿宋"/>
                <w:sz w:val="24"/>
              </w:rPr>
              <w:t>▲12、教师可以在教学平台在线查看班级学习报表和课程学习报表。教师可以以多维度形式（表格、柱状图等）查看学生学习时长、实验时长、学生历史学习记录、实验记录、上机次数等。</w:t>
            </w:r>
          </w:p>
          <w:p>
            <w:pPr>
              <w:spacing w:line="288" w:lineRule="auto"/>
              <w:jc w:val="left"/>
              <w:rPr>
                <w:rFonts w:ascii="仿宋" w:hAnsi="仿宋" w:eastAsia="仿宋" w:cs="仿宋"/>
                <w:sz w:val="24"/>
              </w:rPr>
            </w:pPr>
            <w:r>
              <w:rPr>
                <w:rFonts w:hint="eastAsia" w:ascii="仿宋" w:hAnsi="仿宋" w:eastAsia="仿宋" w:cs="仿宋"/>
                <w:sz w:val="24"/>
              </w:rPr>
              <w:t>13、教师登录教学平台后，可以查看或设定学习线路。未来授课可以根据学习线路中的顺序，从基础到专业内容阶梯型地进行授课。</w:t>
            </w:r>
          </w:p>
          <w:p>
            <w:pPr>
              <w:spacing w:line="288" w:lineRule="auto"/>
              <w:jc w:val="left"/>
              <w:rPr>
                <w:rFonts w:ascii="仿宋" w:hAnsi="仿宋" w:eastAsia="仿宋" w:cs="仿宋"/>
                <w:sz w:val="24"/>
              </w:rPr>
            </w:pPr>
            <w:r>
              <w:rPr>
                <w:rFonts w:hint="eastAsia" w:ascii="仿宋" w:hAnsi="仿宋" w:eastAsia="仿宋" w:cs="仿宋"/>
                <w:sz w:val="24"/>
              </w:rPr>
              <w:t>▲14、教师可以在教学平台自由的设置教学计划。在教学计划中可以将课程、班级、学生、上课时间等内容进行关联绑定；可以指定上课对象，可以指定学生范围，也可以按照院系或班级筛选上课对象，还可以根据excel导入上课学生</w:t>
            </w:r>
          </w:p>
          <w:p>
            <w:pPr>
              <w:spacing w:line="288" w:lineRule="auto"/>
              <w:jc w:val="left"/>
              <w:rPr>
                <w:rFonts w:ascii="仿宋" w:hAnsi="仿宋" w:eastAsia="仿宋" w:cs="仿宋"/>
                <w:sz w:val="24"/>
              </w:rPr>
            </w:pPr>
            <w:r>
              <w:rPr>
                <w:rFonts w:hint="eastAsia" w:ascii="仿宋" w:hAnsi="仿宋" w:eastAsia="仿宋" w:cs="仿宋"/>
                <w:sz w:val="24"/>
              </w:rPr>
              <w:t>★15、教师可以在教学平台中以不超过实验次数总量的情况下，针对学生个人能力及对实验的掌握能力重新进行各试验次数的分配。</w:t>
            </w:r>
          </w:p>
          <w:p>
            <w:pPr>
              <w:spacing w:line="288" w:lineRule="auto"/>
              <w:jc w:val="left"/>
              <w:rPr>
                <w:rFonts w:ascii="仿宋" w:hAnsi="仿宋" w:eastAsia="仿宋" w:cs="仿宋"/>
                <w:sz w:val="24"/>
              </w:rPr>
            </w:pPr>
            <w:r>
              <w:rPr>
                <w:rFonts w:hint="eastAsia" w:ascii="仿宋" w:hAnsi="仿宋" w:eastAsia="仿宋" w:cs="仿宋"/>
                <w:sz w:val="24"/>
              </w:rPr>
              <w:t>16、教师在设定课程时，支付对附件的上传与管理。对于课程章节之外的教学资料，支持以课程附件的形式展示，设定后学员可以将附件单独下载至本地。</w:t>
            </w:r>
          </w:p>
          <w:p>
            <w:pPr>
              <w:spacing w:line="288" w:lineRule="auto"/>
              <w:jc w:val="left"/>
              <w:rPr>
                <w:rFonts w:ascii="仿宋" w:hAnsi="仿宋" w:eastAsia="仿宋" w:cs="仿宋"/>
                <w:sz w:val="24"/>
              </w:rPr>
            </w:pPr>
            <w:r>
              <w:rPr>
                <w:rFonts w:hint="eastAsia" w:ascii="仿宋" w:hAnsi="仿宋" w:eastAsia="仿宋" w:cs="仿宋"/>
                <w:sz w:val="24"/>
              </w:rPr>
              <w:t>▲17、教师可以在教学平台中为班级设定单独的教学周期，设置后系统将会自动计算出的上课起始和结束时间。设定教学周期后，学生可以在对应的个人中心中查看课程表。</w:t>
            </w:r>
          </w:p>
          <w:p>
            <w:pPr>
              <w:spacing w:line="288" w:lineRule="auto"/>
              <w:jc w:val="left"/>
              <w:rPr>
                <w:rFonts w:ascii="仿宋" w:hAnsi="仿宋" w:eastAsia="仿宋" w:cs="仿宋"/>
                <w:sz w:val="24"/>
              </w:rPr>
            </w:pPr>
            <w:r>
              <w:rPr>
                <w:rFonts w:hint="eastAsia" w:ascii="仿宋" w:hAnsi="仿宋" w:eastAsia="仿宋" w:cs="仿宋"/>
                <w:sz w:val="24"/>
              </w:rPr>
              <w:t>▲18、教师可以在教学平台中查看并批改学生的实验报告，批改报告后可以将实验报告导出PDF保存至本地。</w:t>
            </w:r>
          </w:p>
          <w:p>
            <w:pPr>
              <w:spacing w:line="288" w:lineRule="auto"/>
              <w:jc w:val="left"/>
              <w:rPr>
                <w:rFonts w:ascii="仿宋" w:hAnsi="仿宋" w:eastAsia="仿宋" w:cs="仿宋"/>
                <w:sz w:val="24"/>
              </w:rPr>
            </w:pPr>
            <w:r>
              <w:rPr>
                <w:rFonts w:hint="eastAsia" w:ascii="仿宋" w:hAnsi="仿宋" w:eastAsia="仿宋" w:cs="仿宋"/>
                <w:sz w:val="24"/>
              </w:rPr>
              <w:t>19、教师可以在教学平台中进行题目、试卷的录入。同时可以查看对应班级及学生课后作题做卷的情况和对成绩的统计。</w:t>
            </w:r>
          </w:p>
          <w:p>
            <w:pPr>
              <w:spacing w:line="288" w:lineRule="auto"/>
              <w:jc w:val="left"/>
              <w:rPr>
                <w:rFonts w:ascii="仿宋" w:hAnsi="仿宋" w:eastAsia="仿宋" w:cs="仿宋"/>
                <w:sz w:val="24"/>
              </w:rPr>
            </w:pPr>
            <w:r>
              <w:rPr>
                <w:rFonts w:hint="eastAsia" w:ascii="仿宋" w:hAnsi="仿宋" w:eastAsia="仿宋" w:cs="仿宋"/>
                <w:sz w:val="24"/>
              </w:rPr>
              <w:t>20、学生登录教学平台后，可以直接学习由学校或教师已分配的理论课程及链接实验。</w:t>
            </w:r>
          </w:p>
          <w:p>
            <w:pPr>
              <w:spacing w:line="288" w:lineRule="auto"/>
              <w:jc w:val="left"/>
              <w:rPr>
                <w:rFonts w:ascii="仿宋" w:hAnsi="仿宋" w:eastAsia="仿宋" w:cs="仿宋"/>
                <w:sz w:val="24"/>
              </w:rPr>
            </w:pPr>
            <w:r>
              <w:rPr>
                <w:rFonts w:hint="eastAsia" w:ascii="仿宋" w:hAnsi="仿宋" w:eastAsia="仿宋" w:cs="仿宋"/>
                <w:sz w:val="24"/>
              </w:rPr>
              <w:t>21、学生可以在教学平台中在线观看课程，同时可以实时保存在线笔记。课程结束后，学生可以在个人中心中查看自己的课程笔记。同时可以查看自己的课程表及已完成的实验报告评分。</w:t>
            </w:r>
          </w:p>
          <w:p>
            <w:pPr>
              <w:spacing w:line="288" w:lineRule="auto"/>
              <w:jc w:val="left"/>
              <w:rPr>
                <w:rFonts w:ascii="仿宋" w:hAnsi="仿宋" w:eastAsia="仿宋" w:cs="仿宋"/>
                <w:sz w:val="24"/>
              </w:rPr>
            </w:pPr>
            <w:r>
              <w:rPr>
                <w:rFonts w:hint="eastAsia" w:ascii="仿宋" w:hAnsi="仿宋" w:eastAsia="仿宋" w:cs="仿宋"/>
                <w:sz w:val="24"/>
              </w:rPr>
              <w:t>22、学生可以在教学平台中对课程进行最新上线、近期最热课程等状态的筛选。</w:t>
            </w:r>
          </w:p>
          <w:p>
            <w:pPr>
              <w:spacing w:line="288" w:lineRule="auto"/>
              <w:jc w:val="left"/>
              <w:rPr>
                <w:rFonts w:ascii="仿宋" w:hAnsi="仿宋" w:eastAsia="仿宋" w:cs="仿宋"/>
                <w:sz w:val="24"/>
              </w:rPr>
            </w:pPr>
            <w:r>
              <w:rPr>
                <w:rFonts w:hint="eastAsia" w:ascii="仿宋" w:hAnsi="仿宋" w:eastAsia="仿宋" w:cs="仿宋"/>
                <w:sz w:val="24"/>
              </w:rPr>
              <w:t>23、学生第一次在教学平台中观看视频课程时，可由系统将课程设置为不能快进方式，以保证学生能够完整的对该课程进行学习</w:t>
            </w:r>
          </w:p>
          <w:p>
            <w:pPr>
              <w:spacing w:line="288" w:lineRule="auto"/>
              <w:jc w:val="left"/>
              <w:rPr>
                <w:rFonts w:ascii="仿宋" w:hAnsi="仿宋" w:eastAsia="仿宋" w:cs="仿宋"/>
                <w:sz w:val="24"/>
              </w:rPr>
            </w:pPr>
            <w:r>
              <w:rPr>
                <w:rFonts w:hint="eastAsia" w:ascii="仿宋" w:hAnsi="仿宋" w:eastAsia="仿宋" w:cs="仿宋"/>
                <w:sz w:val="24"/>
              </w:rPr>
              <w:t>▲24、学生在教学平台中所有的学习都以任务驱动形式控制，学生必须完整学习前序课程，才能允许进入下一门或下一章节的学习，便于确保学生学习课程的完整性。</w:t>
            </w:r>
          </w:p>
          <w:p>
            <w:pPr>
              <w:spacing w:line="288" w:lineRule="auto"/>
              <w:jc w:val="left"/>
              <w:rPr>
                <w:rFonts w:ascii="仿宋" w:hAnsi="仿宋" w:eastAsia="仿宋" w:cs="仿宋"/>
                <w:sz w:val="24"/>
              </w:rPr>
            </w:pPr>
            <w:r>
              <w:rPr>
                <w:rFonts w:hint="eastAsia" w:ascii="仿宋" w:hAnsi="仿宋" w:eastAsia="仿宋" w:cs="仿宋"/>
                <w:sz w:val="24"/>
              </w:rPr>
              <w:t>▲25、学生在教学平台中可以查询多维度的实验和学习数据统计，看到自己已学习的章节数、总章节数、累计实验时长、近30天的实验数据统计、实验次数统计、整体学习进度、累计学习时长、近30天的学习数据折线图统计历史学习和实验记录。</w:t>
            </w:r>
          </w:p>
          <w:p>
            <w:pPr>
              <w:spacing w:line="288" w:lineRule="auto"/>
              <w:rPr>
                <w:rFonts w:ascii="仿宋" w:hAnsi="仿宋" w:eastAsia="仿宋" w:cs="仿宋"/>
                <w:b/>
                <w:bCs/>
                <w:sz w:val="24"/>
              </w:rPr>
            </w:pPr>
            <w:r>
              <w:rPr>
                <w:rFonts w:hint="eastAsia" w:ascii="仿宋" w:hAnsi="仿宋" w:eastAsia="仿宋" w:cs="仿宋"/>
                <w:sz w:val="24"/>
              </w:rPr>
              <w:t>26、学生在教学平台中提交的课后习题支持自动批改，同时学生可以对课程内容及授课老师进行评分和建议。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color w:val="000000"/>
                <w:kern w:val="0"/>
                <w:sz w:val="24"/>
              </w:rPr>
              <w:t>2</w:t>
            </w:r>
          </w:p>
        </w:tc>
        <w:tc>
          <w:tcPr>
            <w:tcW w:w="752"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一站式教学练平台-沙箱实验平台</w:t>
            </w:r>
          </w:p>
        </w:tc>
        <w:tc>
          <w:tcPr>
            <w:tcW w:w="3872" w:type="pct"/>
            <w:tcBorders>
              <w:top w:val="single" w:color="auto" w:sz="4" w:space="0"/>
              <w:left w:val="single" w:color="auto" w:sz="4" w:space="0"/>
              <w:bottom w:val="single" w:color="auto" w:sz="4" w:space="0"/>
              <w:right w:val="single" w:color="auto" w:sz="4" w:space="0"/>
            </w:tcBorders>
          </w:tcPr>
          <w:p>
            <w:pPr>
              <w:spacing w:line="288" w:lineRule="auto"/>
              <w:jc w:val="left"/>
              <w:rPr>
                <w:rFonts w:ascii="仿宋" w:hAnsi="仿宋" w:eastAsia="仿宋" w:cs="仿宋"/>
                <w:sz w:val="24"/>
              </w:rPr>
            </w:pPr>
            <w:r>
              <w:rPr>
                <w:rFonts w:hint="eastAsia" w:ascii="仿宋" w:hAnsi="仿宋" w:eastAsia="仿宋" w:cs="仿宋"/>
                <w:sz w:val="24"/>
              </w:rPr>
              <w:t>1、沙箱实验平台需要基于公有云资源搭建，平台可实时进行资源购买升级和环境组装。沙箱实验平台提供真实的云实验操作环境</w:t>
            </w:r>
          </w:p>
          <w:p>
            <w:pPr>
              <w:spacing w:line="288" w:lineRule="auto"/>
              <w:jc w:val="left"/>
              <w:rPr>
                <w:rFonts w:ascii="仿宋" w:hAnsi="仿宋" w:eastAsia="仿宋" w:cs="仿宋"/>
                <w:sz w:val="24"/>
              </w:rPr>
            </w:pPr>
            <w:r>
              <w:rPr>
                <w:rFonts w:hint="eastAsia" w:ascii="仿宋" w:hAnsi="仿宋" w:eastAsia="仿宋" w:cs="仿宋"/>
                <w:sz w:val="24"/>
              </w:rPr>
              <w:t>2、沙箱实验平台采用B/S架构，基于可扩展技术架构搭建。可兼容各Chrome核心浏览器(Chrome、QQ浏览器等)，使用时无须安装其他插件。</w:t>
            </w:r>
          </w:p>
          <w:p>
            <w:pPr>
              <w:spacing w:line="288" w:lineRule="auto"/>
              <w:jc w:val="left"/>
              <w:rPr>
                <w:rFonts w:ascii="仿宋" w:hAnsi="仿宋" w:eastAsia="仿宋" w:cs="仿宋"/>
                <w:sz w:val="24"/>
              </w:rPr>
            </w:pPr>
            <w:r>
              <w:rPr>
                <w:rFonts w:hint="eastAsia" w:ascii="仿宋" w:hAnsi="仿宋" w:eastAsia="仿宋" w:cs="仿宋"/>
                <w:sz w:val="24"/>
              </w:rPr>
              <w:t>3、沙箱实验平台必须支持真实的公有云资源，且所有实验均是基于真实云资源。 实训环境需要支持CVM镜像和Docker容器镜像。CVM镜像资源需要支持一键访问控制台，可以实时查看当前实验资源的账号密码等基本信息。实训资源需要支持多种资源，如COS、CDB、Jupyter等</w:t>
            </w:r>
          </w:p>
          <w:p>
            <w:pPr>
              <w:spacing w:line="288" w:lineRule="auto"/>
              <w:jc w:val="left"/>
              <w:rPr>
                <w:rFonts w:ascii="仿宋" w:hAnsi="仿宋" w:eastAsia="仿宋" w:cs="仿宋"/>
                <w:sz w:val="24"/>
              </w:rPr>
            </w:pPr>
            <w:r>
              <w:rPr>
                <w:rFonts w:hint="eastAsia" w:ascii="仿宋" w:hAnsi="仿宋" w:eastAsia="仿宋" w:cs="仿宋"/>
                <w:sz w:val="24"/>
              </w:rPr>
              <w:t>4、沙箱实验平台需要支持续融合企业各企业各类热门技术和产品资源，如VPC、DFW、Redis、mongo等，通过课程内容的配套转化，为高校和学生提供更多新技术和新实训体验。</w:t>
            </w:r>
          </w:p>
          <w:p>
            <w:pPr>
              <w:spacing w:line="288" w:lineRule="auto"/>
              <w:jc w:val="left"/>
              <w:rPr>
                <w:rFonts w:ascii="仿宋" w:hAnsi="仿宋" w:eastAsia="仿宋" w:cs="仿宋"/>
                <w:sz w:val="24"/>
              </w:rPr>
            </w:pPr>
            <w:r>
              <w:rPr>
                <w:rFonts w:hint="eastAsia" w:ascii="仿宋" w:hAnsi="仿宋" w:eastAsia="仿宋" w:cs="仿宋"/>
                <w:sz w:val="24"/>
              </w:rPr>
              <w:t>5、沙箱实验平台须支持多专业方向的实训课程内容，且每个专业方向配置不少于2门实训课程，为学生提供充分的实操实训机会。实训课程需要基于丰富的企业级案例进行课程转化，通过企业级操作环境，为学生带来企业级真是操作体验，提升实验的行业普适性。</w:t>
            </w:r>
          </w:p>
          <w:p>
            <w:pPr>
              <w:spacing w:line="288" w:lineRule="auto"/>
              <w:jc w:val="left"/>
              <w:rPr>
                <w:rFonts w:ascii="仿宋" w:hAnsi="仿宋" w:eastAsia="仿宋" w:cs="仿宋"/>
                <w:sz w:val="24"/>
              </w:rPr>
            </w:pPr>
            <w:r>
              <w:rPr>
                <w:rFonts w:hint="eastAsia" w:ascii="仿宋" w:hAnsi="仿宋" w:eastAsia="仿宋" w:cs="仿宋"/>
                <w:sz w:val="24"/>
              </w:rPr>
              <w:t>6、沙箱实验平台的上机实验操作区，需要支持扩展多种操作环境（Linux、Windows等），需要支持图形化界面展示。</w:t>
            </w:r>
          </w:p>
          <w:p>
            <w:pPr>
              <w:spacing w:line="288" w:lineRule="auto"/>
              <w:jc w:val="left"/>
              <w:rPr>
                <w:rFonts w:ascii="仿宋" w:hAnsi="仿宋" w:eastAsia="仿宋" w:cs="仿宋"/>
                <w:sz w:val="24"/>
              </w:rPr>
            </w:pPr>
            <w:r>
              <w:rPr>
                <w:rFonts w:hint="eastAsia" w:ascii="仿宋" w:hAnsi="仿宋" w:eastAsia="仿宋" w:cs="仿宋"/>
                <w:sz w:val="24"/>
              </w:rPr>
              <w:t>7、教学管理平台和沙箱实验平台需要独立。沙箱实验平台需提供一站式实训环境搭建功能，系统预设实验所需的丰富镜像环境和基础云资源，只要在实验课程开始后，点击上机，即可一键接入实验环境，无需教师提前创建和管理复杂的实验实训环境资源。在实验到期后，系统会自动回收相关的资源，不用教师手动回收资源。</w:t>
            </w:r>
          </w:p>
          <w:p>
            <w:pPr>
              <w:spacing w:line="288" w:lineRule="auto"/>
              <w:jc w:val="left"/>
              <w:rPr>
                <w:rFonts w:ascii="仿宋" w:hAnsi="仿宋" w:eastAsia="仿宋" w:cs="仿宋"/>
                <w:sz w:val="24"/>
              </w:rPr>
            </w:pPr>
            <w:r>
              <w:rPr>
                <w:rFonts w:hint="eastAsia" w:ascii="仿宋" w:hAnsi="仿宋" w:eastAsia="仿宋" w:cs="仿宋"/>
                <w:sz w:val="24"/>
              </w:rPr>
              <w:t>8、沙箱实验平台中的实验课程，必须提供详细的实验操作手册。操作手册包括实验步骤、实验时长、实验所需资源等信息。实验操作时操作手册和实验页面可以同屏展示，方便学生能够一边在线阅读操作手册一边进行上机操作，无需反复进行页面切换。操作手册中有详细的步骤展示，以确保学生能够通过学习和实验实训相结合的方式，提高动手实操能力。</w:t>
            </w:r>
          </w:p>
          <w:p>
            <w:pPr>
              <w:spacing w:line="288" w:lineRule="auto"/>
              <w:jc w:val="left"/>
              <w:rPr>
                <w:rFonts w:ascii="仿宋" w:hAnsi="仿宋" w:eastAsia="仿宋" w:cs="仿宋"/>
                <w:sz w:val="24"/>
              </w:rPr>
            </w:pPr>
            <w:r>
              <w:rPr>
                <w:rFonts w:hint="eastAsia" w:ascii="仿宋" w:hAnsi="仿宋" w:eastAsia="仿宋" w:cs="仿宋"/>
                <w:sz w:val="24"/>
              </w:rPr>
              <w:t>9、沙箱实验平台需要拥有严格的账号权限管理体系，通过对权限的控制和资源的动态分配，确保每个学生均拥有独占的实训环境，不同学生不同的学校之间的资格严格隔离。</w:t>
            </w:r>
          </w:p>
          <w:p>
            <w:pPr>
              <w:spacing w:line="288" w:lineRule="auto"/>
              <w:jc w:val="left"/>
              <w:rPr>
                <w:rFonts w:ascii="仿宋" w:hAnsi="仿宋" w:eastAsia="仿宋" w:cs="仿宋"/>
                <w:sz w:val="24"/>
              </w:rPr>
            </w:pPr>
            <w:r>
              <w:rPr>
                <w:rFonts w:hint="eastAsia" w:ascii="仿宋" w:hAnsi="仿宋" w:eastAsia="仿宋" w:cs="仿宋"/>
                <w:sz w:val="24"/>
              </w:rPr>
              <w:t>10、沙箱实验平台须支持实验的在线升级能力，实验支持定期的更新，更新仅需后台进行升级操作，对普通用户无感知。</w:t>
            </w:r>
          </w:p>
          <w:p>
            <w:pPr>
              <w:spacing w:line="288" w:lineRule="auto"/>
              <w:jc w:val="left"/>
              <w:rPr>
                <w:rFonts w:ascii="仿宋" w:hAnsi="仿宋" w:eastAsia="仿宋" w:cs="仿宋"/>
                <w:sz w:val="24"/>
              </w:rPr>
            </w:pPr>
            <w:r>
              <w:rPr>
                <w:rFonts w:hint="eastAsia" w:ascii="仿宋" w:hAnsi="仿宋" w:eastAsia="仿宋" w:cs="仿宋"/>
                <w:sz w:val="24"/>
              </w:rPr>
              <w:t>11、沙箱实验平台需要提供实验时长控制，实验操作页面提供实验计时管理功能，及时提醒学生剩余上机时间，进而提高学生实验专注度和实验课程效率。平台提供实验次数的可视化管理能力。</w:t>
            </w:r>
          </w:p>
          <w:p>
            <w:pPr>
              <w:spacing w:line="288" w:lineRule="auto"/>
              <w:jc w:val="left"/>
              <w:rPr>
                <w:rFonts w:ascii="仿宋" w:hAnsi="仿宋" w:eastAsia="仿宋" w:cs="仿宋"/>
                <w:sz w:val="24"/>
              </w:rPr>
            </w:pPr>
            <w:r>
              <w:rPr>
                <w:rFonts w:hint="eastAsia" w:ascii="仿宋" w:hAnsi="仿宋" w:eastAsia="仿宋" w:cs="仿宋"/>
                <w:sz w:val="24"/>
              </w:rPr>
              <w:t>12、沙箱实验平台须支持因意外退出等情况的恢复操作，因意外等情况退出后，再次点击上机能够快速恢复到上一次的实验环境中。</w:t>
            </w:r>
          </w:p>
          <w:p>
            <w:pPr>
              <w:spacing w:line="288" w:lineRule="auto"/>
              <w:jc w:val="left"/>
              <w:rPr>
                <w:rFonts w:ascii="仿宋" w:hAnsi="仿宋" w:eastAsia="仿宋" w:cs="仿宋"/>
                <w:sz w:val="24"/>
              </w:rPr>
            </w:pPr>
            <w:r>
              <w:rPr>
                <w:rFonts w:hint="eastAsia" w:ascii="仿宋" w:hAnsi="仿宋" w:eastAsia="仿宋" w:cs="仿宋"/>
                <w:sz w:val="24"/>
              </w:rPr>
              <w:t>13、沙箱实验平台需要提供控制台管理功能，学生不仅可以登录云主机进行上机操作，还可一键登录控制台进行必要的配置管理，全面提升学生对云环境的实操动手能力。</w:t>
            </w:r>
          </w:p>
          <w:p>
            <w:pPr>
              <w:spacing w:line="288" w:lineRule="auto"/>
              <w:jc w:val="left"/>
              <w:rPr>
                <w:rFonts w:ascii="仿宋" w:hAnsi="仿宋" w:eastAsia="仿宋" w:cs="仿宋"/>
                <w:sz w:val="24"/>
              </w:rPr>
            </w:pPr>
            <w:r>
              <w:rPr>
                <w:rFonts w:hint="eastAsia" w:ascii="仿宋" w:hAnsi="仿宋" w:eastAsia="仿宋" w:cs="仿宋"/>
                <w:sz w:val="24"/>
              </w:rPr>
              <w:t>▲14、沙箱实验平台在实验区、手册区能够自由调整显示比例，确保符合不同学生的展示需求偏好。同时平台须提供一键截图、浏览器全屏、文件上传功能。平台的代码区支持一键复制，对于较长的代码集，能够避免学生因复制不完整导致样例代码执行的失败概率。</w:t>
            </w:r>
          </w:p>
          <w:p>
            <w:pPr>
              <w:spacing w:line="288" w:lineRule="auto"/>
              <w:jc w:val="left"/>
              <w:rPr>
                <w:rFonts w:ascii="仿宋" w:hAnsi="仿宋" w:eastAsia="仿宋" w:cs="仿宋"/>
                <w:sz w:val="24"/>
              </w:rPr>
            </w:pPr>
            <w:r>
              <w:rPr>
                <w:rFonts w:hint="eastAsia" w:ascii="仿宋" w:hAnsi="仿宋" w:eastAsia="仿宋" w:cs="仿宋"/>
                <w:sz w:val="24"/>
              </w:rPr>
              <w:t>15、在实验次数总量不变的情况下，教师可以在管理端根据学生的个人能力和实验掌握程度，为每位学生分配不同的实验次数。</w:t>
            </w:r>
          </w:p>
          <w:p>
            <w:pPr>
              <w:spacing w:line="288" w:lineRule="auto"/>
              <w:rPr>
                <w:rFonts w:ascii="仿宋" w:hAnsi="仿宋" w:eastAsia="仿宋" w:cs="仿宋"/>
                <w:sz w:val="24"/>
              </w:rPr>
            </w:pPr>
            <w:r>
              <w:rPr>
                <w:rFonts w:hint="eastAsia" w:ascii="仿宋" w:hAnsi="仿宋" w:eastAsia="仿宋" w:cs="仿宋"/>
                <w:sz w:val="24"/>
              </w:rPr>
              <w:t>16、学生在沙箱实验平台完成实验后，教师可以在教学平台中查看实验报告，报告不仅能够看到学生提交的实验报告内容，还能够同时看到学生登录实验的时间、停留时长，为教师提供更加客观的评分依据。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374"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color w:val="000000"/>
                <w:kern w:val="0"/>
                <w:sz w:val="24"/>
              </w:rPr>
              <w:t>3</w:t>
            </w:r>
          </w:p>
        </w:tc>
        <w:tc>
          <w:tcPr>
            <w:tcW w:w="752" w:type="pct"/>
            <w:tcBorders>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大数据课程资源包</w:t>
            </w:r>
          </w:p>
        </w:tc>
        <w:tc>
          <w:tcPr>
            <w:tcW w:w="3872" w:type="pct"/>
            <w:tcBorders>
              <w:top w:val="single" w:color="auto" w:sz="4" w:space="0"/>
              <w:left w:val="single" w:color="auto" w:sz="4" w:space="0"/>
              <w:right w:val="single" w:color="auto" w:sz="4" w:space="0"/>
            </w:tcBorders>
          </w:tcPr>
          <w:p>
            <w:pPr>
              <w:spacing w:line="288" w:lineRule="auto"/>
              <w:jc w:val="left"/>
              <w:rPr>
                <w:rFonts w:ascii="仿宋" w:hAnsi="仿宋" w:eastAsia="仿宋" w:cs="仿宋"/>
                <w:sz w:val="24"/>
              </w:rPr>
            </w:pPr>
            <w:r>
              <w:rPr>
                <w:rFonts w:hint="eastAsia" w:ascii="仿宋" w:hAnsi="仿宋" w:eastAsia="仿宋" w:cs="仿宋"/>
                <w:sz w:val="24"/>
              </w:rPr>
              <w:t>★1、资源包课程不得少于20门课程，包括但不限于：《大数据与人工智能概论》、《Python程序语言设计》、《Linux应用基础》、《JavaScript语言程序设计》、《Web网页程序设计》、《Hadoop大数据框架基础》、《Hbase分布式数据库基础》、《Hive技术与应用》、《Spark技术与应用》、《数据分析基础》、《大数据可视化》、《网络爬虫原理及实践》、《机器学习》、《数据挖掘与实践》、《大数据框架运维实战（大数据框架实训）》、《高成本利润增长挖掘（大数据可视化实训）》、《直播赛事监控分析（数据挖掘实训）》、《ETL实训：广告投放效果分析（数据分析实训）》、《个性化推荐系统研发（数据挖掘实训）》、《Python实训课：新闻爬取》。</w:t>
            </w:r>
          </w:p>
          <w:p>
            <w:pPr>
              <w:spacing w:line="288" w:lineRule="auto"/>
              <w:jc w:val="left"/>
              <w:rPr>
                <w:rFonts w:ascii="仿宋" w:hAnsi="仿宋" w:eastAsia="仿宋" w:cs="仿宋"/>
                <w:sz w:val="24"/>
              </w:rPr>
            </w:pPr>
            <w:r>
              <w:rPr>
                <w:rFonts w:hint="eastAsia" w:ascii="仿宋" w:hAnsi="仿宋" w:eastAsia="仿宋" w:cs="仿宋"/>
                <w:sz w:val="24"/>
              </w:rPr>
              <w:t>2、《大数据与人工智能概论》：</w:t>
            </w:r>
          </w:p>
          <w:p>
            <w:pPr>
              <w:spacing w:line="288" w:lineRule="auto"/>
              <w:jc w:val="left"/>
              <w:rPr>
                <w:rFonts w:ascii="仿宋" w:hAnsi="仿宋" w:eastAsia="仿宋" w:cs="仿宋"/>
                <w:sz w:val="24"/>
              </w:rPr>
            </w:pPr>
            <w:r>
              <w:rPr>
                <w:rFonts w:hint="eastAsia" w:ascii="仿宋" w:hAnsi="仿宋" w:eastAsia="仿宋" w:cs="仿宋"/>
                <w:sz w:val="24"/>
              </w:rPr>
              <w:t>该课程含32课时。采用公有云模式部署，每个实验支持开展云上实验300次。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本课程主要讲述了人工智能概念、人工智能应用领域，机器学习概述、机器学习分类、经典算法种类、深度学习概念、机器学习要解决的任务、大数据概念、大数据应用领域、大数据与人工智能关系</w:t>
            </w:r>
          </w:p>
          <w:p>
            <w:pPr>
              <w:spacing w:line="288" w:lineRule="auto"/>
              <w:jc w:val="left"/>
              <w:rPr>
                <w:rFonts w:ascii="仿宋" w:hAnsi="仿宋" w:eastAsia="仿宋" w:cs="仿宋"/>
                <w:sz w:val="24"/>
              </w:rPr>
            </w:pPr>
            <w:r>
              <w:rPr>
                <w:rFonts w:hint="eastAsia" w:ascii="仿宋" w:hAnsi="仿宋" w:eastAsia="仿宋" w:cs="仿宋"/>
                <w:sz w:val="24"/>
              </w:rPr>
              <w:t>2）课程规格要求：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纯理论课，无源码和实验内容</w:t>
            </w:r>
          </w:p>
          <w:p>
            <w:pPr>
              <w:spacing w:line="288" w:lineRule="auto"/>
              <w:jc w:val="left"/>
              <w:rPr>
                <w:rFonts w:ascii="仿宋" w:hAnsi="仿宋" w:eastAsia="仿宋" w:cs="仿宋"/>
                <w:sz w:val="24"/>
              </w:rPr>
            </w:pPr>
            <w:r>
              <w:rPr>
                <w:rFonts w:hint="eastAsia" w:ascii="仿宋" w:hAnsi="仿宋" w:eastAsia="仿宋" w:cs="仿宋"/>
                <w:sz w:val="24"/>
              </w:rPr>
              <w:t>3、《Python程序语言设计》：</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本课程主要目的是让学生具备Python语言的编程理论知识，并能使用Python语言进行一些实际开发项目的编程。</w:t>
            </w:r>
          </w:p>
          <w:p>
            <w:pPr>
              <w:spacing w:line="288" w:lineRule="auto"/>
              <w:jc w:val="left"/>
              <w:rPr>
                <w:rFonts w:ascii="仿宋" w:hAnsi="仿宋" w:eastAsia="仿宋" w:cs="仿宋"/>
                <w:sz w:val="24"/>
              </w:rPr>
            </w:pPr>
            <w:r>
              <w:rPr>
                <w:rFonts w:hint="eastAsia" w:ascii="仿宋" w:hAnsi="仿宋" w:eastAsia="仿宋" w:cs="仿宋"/>
                <w:sz w:val="24"/>
              </w:rPr>
              <w:t>2）实验包含：</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4、《Linux应用基础》：</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本课程主要讲述了Linux系统简介、Linux系统界面介绍、Linux系统的基本命令、用户、组和密码管理、文件系统管理和使用、进程、任务与作业管理、系统安装、扩充、启动与管理、设备管理、网络配置管理等内容。</w:t>
            </w:r>
          </w:p>
          <w:p>
            <w:pPr>
              <w:spacing w:line="288" w:lineRule="auto"/>
              <w:jc w:val="left"/>
              <w:rPr>
                <w:rFonts w:ascii="仿宋" w:hAnsi="仿宋" w:eastAsia="仿宋" w:cs="仿宋"/>
                <w:sz w:val="24"/>
              </w:rPr>
            </w:pPr>
            <w:r>
              <w:rPr>
                <w:rFonts w:hint="eastAsia" w:ascii="仿宋" w:hAnsi="仿宋" w:eastAsia="仿宋" w:cs="仿宋"/>
                <w:sz w:val="24"/>
              </w:rPr>
              <w:t>2）至少包含8节实验课程。</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5、《JavaScript语言程序设计》：</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1）主要介绍：本课程的目标是通过真实网站的某些交互功能剖析让学员掌握如何利用javascript及jquery实现网站与用户的交互。目的是培养学员具有初级前端人员的技术水平。</w:t>
            </w:r>
          </w:p>
          <w:p>
            <w:pPr>
              <w:spacing w:line="288" w:lineRule="auto"/>
              <w:jc w:val="left"/>
              <w:rPr>
                <w:rFonts w:ascii="仿宋" w:hAnsi="仿宋" w:eastAsia="仿宋" w:cs="仿宋"/>
                <w:sz w:val="24"/>
              </w:rPr>
            </w:pPr>
            <w:r>
              <w:rPr>
                <w:rFonts w:hint="eastAsia" w:ascii="仿宋" w:hAnsi="仿宋" w:eastAsia="仿宋" w:cs="仿宋"/>
                <w:sz w:val="24"/>
              </w:rPr>
              <w:t>2）至少包含6节实验课程，内容至少涵盖电商和游戏2个方向。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6、《Web网页程序设计》：</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本课程目标是向学员介绍静态网站开发的三大基本要素：HTML、CSS，通过学习了解网站页面的构成及网站开发的基础，为后续进行动态页面开发和报表框架Echarts等打下扎实基础。</w:t>
            </w:r>
          </w:p>
          <w:p>
            <w:pPr>
              <w:spacing w:line="288" w:lineRule="auto"/>
              <w:jc w:val="left"/>
              <w:rPr>
                <w:rFonts w:ascii="仿宋" w:hAnsi="仿宋" w:eastAsia="仿宋" w:cs="仿宋"/>
                <w:sz w:val="24"/>
              </w:rPr>
            </w:pPr>
            <w:r>
              <w:rPr>
                <w:rFonts w:hint="eastAsia" w:ascii="仿宋" w:hAnsi="仿宋" w:eastAsia="仿宋" w:cs="仿宋"/>
                <w:sz w:val="24"/>
              </w:rPr>
              <w:t>2）至少包含6节实验课程，内容至少涵盖电商和娱乐2个方向。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7、《Hadoop大数据框架基础》：</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本课程主要讲述了大数据的基本概念、数据来源、数据类型、Hadoop基础组件、Hadoop分布式文件系统HDFS、Hadoop统一资源管理框架YARN、Hadoop分布式计算框架MapReduce、Hadoop分布式集群管理系统ZooKeeper等内容。</w:t>
            </w:r>
          </w:p>
          <w:p>
            <w:pPr>
              <w:spacing w:line="288" w:lineRule="auto"/>
              <w:jc w:val="left"/>
              <w:rPr>
                <w:rFonts w:ascii="仿宋" w:hAnsi="仿宋" w:eastAsia="仿宋" w:cs="仿宋"/>
                <w:sz w:val="24"/>
              </w:rPr>
            </w:pPr>
            <w:r>
              <w:rPr>
                <w:rFonts w:hint="eastAsia" w:ascii="仿宋" w:hAnsi="仿宋" w:eastAsia="仿宋" w:cs="仿宋"/>
                <w:sz w:val="24"/>
              </w:rPr>
              <w:t>2）至少包含5节实验课程，内容至少涵盖集群搭建和ETL清洗2个方向。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8、《Hbase分布式数据库基础》：</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本课程主要讲述了HBase 介绍、环境搭建、HBase Shel 基本操作、HBase 表的设计、物理存储结构、HBase Java API使用、Hbase与MapReduce集成读写数据等内容。</w:t>
            </w:r>
          </w:p>
          <w:p>
            <w:pPr>
              <w:spacing w:line="288" w:lineRule="auto"/>
              <w:jc w:val="left"/>
              <w:rPr>
                <w:rFonts w:ascii="仿宋" w:hAnsi="仿宋" w:eastAsia="仿宋" w:cs="仿宋"/>
                <w:sz w:val="24"/>
              </w:rPr>
            </w:pPr>
            <w:r>
              <w:rPr>
                <w:rFonts w:hint="eastAsia" w:ascii="仿宋" w:hAnsi="仿宋" w:eastAsia="仿宋" w:cs="仿宋"/>
                <w:sz w:val="24"/>
              </w:rPr>
              <w:t>2）至少包含6节实验课程，内容至少涵盖日志分析和聊天记录分析2个方向。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9、《Hive技术与应用》：</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Hive是基于Hadoop的一个数据仓库工具,提供了强大的数据操作能力，包括数据的导入，查询和丰富的内置函数。同时，Hive也提供了对应的客户端可以操作数据，通过Java编程可以创建自定义函数来实现具体的业务逻辑。本课程目的是带领学员进入大数据开发分析的新世界，使用SQL语言对大数据进行分析处理。</w:t>
            </w:r>
          </w:p>
          <w:p>
            <w:pPr>
              <w:spacing w:line="288" w:lineRule="auto"/>
              <w:jc w:val="left"/>
              <w:rPr>
                <w:rFonts w:ascii="仿宋" w:hAnsi="仿宋" w:eastAsia="仿宋" w:cs="仿宋"/>
                <w:sz w:val="24"/>
              </w:rPr>
            </w:pPr>
            <w:r>
              <w:rPr>
                <w:rFonts w:hint="eastAsia" w:ascii="仿宋" w:hAnsi="仿宋" w:eastAsia="仿宋" w:cs="仿宋"/>
                <w:sz w:val="24"/>
              </w:rPr>
              <w:t>2）至少包含6节实验课程，内容至少涵盖日志分析和电商数据分析2个方向。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10、《Spark技术与应用》：</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本课程主要讲述了Spark介绍、本地模式配置运行、弹性分布数据集RDD（特性及操作）</w:t>
            </w:r>
          </w:p>
          <w:p>
            <w:pPr>
              <w:spacing w:line="288" w:lineRule="auto"/>
              <w:jc w:val="left"/>
              <w:rPr>
                <w:rFonts w:ascii="仿宋" w:hAnsi="仿宋" w:eastAsia="仿宋" w:cs="仿宋"/>
                <w:sz w:val="24"/>
              </w:rPr>
            </w:pPr>
            <w:r>
              <w:rPr>
                <w:rFonts w:hint="eastAsia" w:ascii="仿宋" w:hAnsi="仿宋" w:eastAsia="仿宋" w:cs="仿宋"/>
                <w:sz w:val="24"/>
              </w:rPr>
              <w:t>、SparkStandalone集群及Application运行架构流程、HistoryServer配置及使用、基于SparkCore实现数据ETL和用户分析、Spark on YARN及应用运行部署模式及与Hive集成分析数据、Dataset/DataFrame的概念及、外部数据源接口read和write等知识，且还讲述了如何利用SparkStreaming进行实时计算思想、如何理解Dstrean数据结构、如何实现实时累加统计和窗口统计实时计算及如何使用从Kafka读取数据进行分析及如何理解SparkStreaming应用运行的高可用性等知识。</w:t>
            </w:r>
          </w:p>
          <w:p>
            <w:pPr>
              <w:spacing w:line="288" w:lineRule="auto"/>
              <w:jc w:val="left"/>
              <w:rPr>
                <w:rFonts w:ascii="仿宋" w:hAnsi="仿宋" w:eastAsia="仿宋" w:cs="仿宋"/>
                <w:sz w:val="24"/>
              </w:rPr>
            </w:pPr>
            <w:r>
              <w:rPr>
                <w:rFonts w:hint="eastAsia" w:ascii="仿宋" w:hAnsi="仿宋" w:eastAsia="仿宋" w:cs="仿宋"/>
                <w:sz w:val="24"/>
              </w:rPr>
              <w:t>2）至少包含6节实验课程，内容至少涵盖电商数据和数据采集分析2个方向。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11、《数据分析基础》：</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本门课程在学员已具备python基础及爬虫的知识上讲述了数据科学工具包Scipy、Numpy的使用，pandas模块分析数据及利用以上模块及matplotlib展示模块完成整个数据分析工作流程。</w:t>
            </w:r>
          </w:p>
          <w:p>
            <w:pPr>
              <w:spacing w:line="288" w:lineRule="auto"/>
              <w:jc w:val="left"/>
              <w:rPr>
                <w:rFonts w:ascii="仿宋" w:hAnsi="仿宋" w:eastAsia="仿宋" w:cs="仿宋"/>
                <w:sz w:val="24"/>
              </w:rPr>
            </w:pPr>
            <w:r>
              <w:rPr>
                <w:rFonts w:hint="eastAsia" w:ascii="仿宋" w:hAnsi="仿宋" w:eastAsia="仿宋" w:cs="仿宋"/>
                <w:sz w:val="24"/>
              </w:rPr>
              <w:t>2）至少包含5节实验课程，内容至少涵盖声音和图像分析处理2个方向。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12、《大数据可视化》：</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数据可视化简介、可视化的类型与模型、如何利用excel实现数据可视化、如何利用tableau实现数据可视化、如何利用python模块matplotlib及pychart实现数据可视化、如何利用echarts实现数据可视化等内容。</w:t>
            </w:r>
          </w:p>
          <w:p>
            <w:pPr>
              <w:spacing w:line="288" w:lineRule="auto"/>
              <w:jc w:val="left"/>
              <w:rPr>
                <w:rFonts w:ascii="仿宋" w:hAnsi="仿宋" w:eastAsia="仿宋" w:cs="仿宋"/>
                <w:sz w:val="24"/>
              </w:rPr>
            </w:pPr>
            <w:r>
              <w:rPr>
                <w:rFonts w:hint="eastAsia" w:ascii="仿宋" w:hAnsi="仿宋" w:eastAsia="仿宋" w:cs="仿宋"/>
                <w:sz w:val="24"/>
              </w:rPr>
              <w:t>2）至少包含4节实验课程，内容至少涵盖电商、教育和娱乐3个方向。</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13、《网络爬虫原理及实践》：</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述了技术基础、网络爬虫介绍、获取信息、各种网络爬虫、爬虫相关协议及如何利用requests及BeautifulSoup爬取数据、如何利用urllib及正则表达式爬取数据、如何利用Scrapy框架爬取数据、如何利用selinium爬取动态数据、pyspider框架的基础使用和分布式爬虫的基本概念等等。</w:t>
            </w:r>
          </w:p>
          <w:p>
            <w:pPr>
              <w:spacing w:line="288" w:lineRule="auto"/>
              <w:jc w:val="left"/>
              <w:rPr>
                <w:rFonts w:ascii="仿宋" w:hAnsi="仿宋" w:eastAsia="仿宋" w:cs="仿宋"/>
                <w:sz w:val="24"/>
              </w:rPr>
            </w:pPr>
            <w:r>
              <w:rPr>
                <w:rFonts w:hint="eastAsia" w:ascii="仿宋" w:hAnsi="仿宋" w:eastAsia="仿宋" w:cs="仿宋"/>
                <w:sz w:val="24"/>
              </w:rPr>
              <w:t>2）至少包含5节实验课程，内容涵盖5个不同类型的网站资源爬取。</w:t>
            </w:r>
          </w:p>
          <w:p>
            <w:pPr>
              <w:spacing w:line="288" w:lineRule="auto"/>
              <w:jc w:val="left"/>
              <w:rPr>
                <w:rFonts w:ascii="仿宋" w:hAnsi="仿宋" w:eastAsia="仿宋" w:cs="仿宋"/>
                <w:sz w:val="24"/>
              </w:rPr>
            </w:pP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14、《机器学习》：</w:t>
            </w:r>
          </w:p>
          <w:p>
            <w:pPr>
              <w:spacing w:line="288" w:lineRule="auto"/>
              <w:jc w:val="left"/>
              <w:rPr>
                <w:rFonts w:ascii="仿宋" w:hAnsi="仿宋" w:eastAsia="仿宋" w:cs="仿宋"/>
                <w:sz w:val="24"/>
              </w:rPr>
            </w:pPr>
            <w:r>
              <w:rPr>
                <w:rFonts w:hint="eastAsia" w:ascii="仿宋" w:hAnsi="仿宋" w:eastAsia="仿宋" w:cs="仿宋"/>
                <w:sz w:val="24"/>
              </w:rPr>
              <w:t>该课程含32课时。采用公有云模式部署，每个实验支持开展云上实验300次。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让学生熟悉机器学习的概念、行业发展和现状，掌握人工智能领域主流的技术体系和生态，理解机器学习在大数据行业中的应用,能够理解实际案例。</w:t>
            </w:r>
          </w:p>
          <w:p>
            <w:pPr>
              <w:spacing w:line="288" w:lineRule="auto"/>
              <w:jc w:val="left"/>
              <w:rPr>
                <w:rFonts w:ascii="仿宋" w:hAnsi="仿宋" w:eastAsia="仿宋" w:cs="仿宋"/>
                <w:sz w:val="24"/>
              </w:rPr>
            </w:pPr>
            <w:r>
              <w:rPr>
                <w:rFonts w:hint="eastAsia" w:ascii="仿宋" w:hAnsi="仿宋" w:eastAsia="仿宋" w:cs="仿宋"/>
                <w:sz w:val="24"/>
              </w:rPr>
              <w:t>2）至少包含5节实验课程，内容至少涵盖逻辑回归、朴素贝叶斯、KNN3个算法案例。</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视频：包含6小时以上视频</w:t>
            </w:r>
          </w:p>
          <w:p>
            <w:pPr>
              <w:spacing w:line="288" w:lineRule="auto"/>
              <w:jc w:val="left"/>
              <w:rPr>
                <w:rFonts w:ascii="仿宋" w:hAnsi="仿宋" w:eastAsia="仿宋" w:cs="仿宋"/>
                <w:sz w:val="24"/>
              </w:rPr>
            </w:pPr>
            <w:r>
              <w:rPr>
                <w:rFonts w:hint="eastAsia" w:ascii="仿宋" w:hAnsi="仿宋" w:eastAsia="仿宋" w:cs="仿宋"/>
                <w:sz w:val="24"/>
              </w:rPr>
              <w:t>15、《数据挖掘与实践》：</w:t>
            </w:r>
          </w:p>
          <w:p>
            <w:pPr>
              <w:spacing w:line="288" w:lineRule="auto"/>
              <w:jc w:val="left"/>
              <w:rPr>
                <w:rFonts w:ascii="仿宋" w:hAnsi="仿宋" w:eastAsia="仿宋" w:cs="仿宋"/>
                <w:sz w:val="24"/>
              </w:rPr>
            </w:pPr>
            <w:r>
              <w:rPr>
                <w:rFonts w:hint="eastAsia" w:ascii="仿宋" w:hAnsi="仿宋" w:eastAsia="仿宋" w:cs="仿宋"/>
                <w:sz w:val="24"/>
              </w:rPr>
              <w:t>该课程含64课时。采用公有云模式部署，每个实验支持开展云上实验300次。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本课程主要讲解了数据挖掘的概念、应用，数理统计中的常用概念及计算，数据挖掘经典十大算法的原理及案例实现等等。</w:t>
            </w:r>
          </w:p>
          <w:p>
            <w:pPr>
              <w:spacing w:line="288" w:lineRule="auto"/>
              <w:jc w:val="left"/>
              <w:rPr>
                <w:rFonts w:ascii="仿宋" w:hAnsi="仿宋" w:eastAsia="仿宋" w:cs="仿宋"/>
                <w:sz w:val="24"/>
              </w:rPr>
            </w:pPr>
            <w:r>
              <w:rPr>
                <w:rFonts w:hint="eastAsia" w:ascii="仿宋" w:hAnsi="仿宋" w:eastAsia="仿宋" w:cs="仿宋"/>
                <w:sz w:val="24"/>
              </w:rPr>
              <w:t>2）至少包含3节实验课程，内容至少涵盖线性回归、逻辑回归、贝叶斯算法。</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PPT内容包含每节课授课内容的知识点介绍，内容形式：在线文档；</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16、《大数据框架运维实战（大数据框架实训）》：</w:t>
            </w:r>
          </w:p>
          <w:p>
            <w:pPr>
              <w:spacing w:line="288" w:lineRule="auto"/>
              <w:jc w:val="left"/>
              <w:rPr>
                <w:rFonts w:ascii="仿宋" w:hAnsi="仿宋" w:eastAsia="仿宋" w:cs="仿宋"/>
                <w:sz w:val="24"/>
              </w:rPr>
            </w:pPr>
            <w:r>
              <w:rPr>
                <w:rFonts w:hint="eastAsia" w:ascii="仿宋" w:hAnsi="仿宋" w:eastAsia="仿宋" w:cs="仿宋"/>
                <w:sz w:val="24"/>
              </w:rPr>
              <w:t>该课程含34课时。采用公有云模式部署，每个实验支持开展云上实验300次。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本课程主要讲解了Hadoop、Mysql、ZooKeeper、HBase、Hive、Spark的部署和维护。</w:t>
            </w:r>
          </w:p>
          <w:p>
            <w:pPr>
              <w:spacing w:line="288" w:lineRule="auto"/>
              <w:jc w:val="left"/>
              <w:rPr>
                <w:rFonts w:ascii="仿宋" w:hAnsi="仿宋" w:eastAsia="仿宋" w:cs="仿宋"/>
                <w:sz w:val="24"/>
              </w:rPr>
            </w:pPr>
            <w:r>
              <w:rPr>
                <w:rFonts w:hint="eastAsia" w:ascii="仿宋" w:hAnsi="仿宋" w:eastAsia="仿宋" w:cs="仿宋"/>
                <w:sz w:val="24"/>
              </w:rPr>
              <w:t>2）至少包含8节实验课程，内容至少涵盖Hadoop全分布式搭建，以及Mysql、Zookeeper、Hbase、Hive、Spark的环境搭建。</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本课程为纯实训课程，不含PPT</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源码：本实验为非编程实验，不含代码</w:t>
            </w:r>
          </w:p>
          <w:p>
            <w:pPr>
              <w:spacing w:line="288" w:lineRule="auto"/>
              <w:jc w:val="left"/>
              <w:rPr>
                <w:rFonts w:ascii="仿宋" w:hAnsi="仿宋" w:eastAsia="仿宋" w:cs="仿宋"/>
                <w:sz w:val="24"/>
              </w:rPr>
            </w:pPr>
            <w:r>
              <w:rPr>
                <w:rFonts w:hint="eastAsia" w:ascii="仿宋" w:hAnsi="仿宋" w:eastAsia="仿宋" w:cs="仿宋"/>
                <w:sz w:val="24"/>
              </w:rPr>
              <w:t>17、《高成本利润增长挖掘（大数据可视化实训）》：</w:t>
            </w:r>
          </w:p>
          <w:p>
            <w:pPr>
              <w:spacing w:line="288" w:lineRule="auto"/>
              <w:jc w:val="left"/>
              <w:rPr>
                <w:rFonts w:ascii="仿宋" w:hAnsi="仿宋" w:eastAsia="仿宋" w:cs="仿宋"/>
                <w:sz w:val="24"/>
              </w:rPr>
            </w:pPr>
            <w:r>
              <w:rPr>
                <w:rFonts w:hint="eastAsia" w:ascii="仿宋" w:hAnsi="仿宋" w:eastAsia="仿宋" w:cs="仿宋"/>
                <w:sz w:val="24"/>
              </w:rPr>
              <w:t>该课程含60课时。采用公有云模式部署，每个实验支持开展云上实验300次。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本实训项目是针对大数据方向的行业应用，运用python 编程，以爬取新闻web页面为项目原型，以“原理-方案”的形式，指导学生运用python 编程来设计并完成爬取新闻web页面的任务，整个项目包括python 网络与Web编程、熟悉python循环结构、函数、类，一步一步指导学生完成爬取新闻web页面的方案开发。</w:t>
            </w:r>
          </w:p>
          <w:p>
            <w:pPr>
              <w:spacing w:line="288" w:lineRule="auto"/>
              <w:jc w:val="left"/>
              <w:rPr>
                <w:rFonts w:ascii="仿宋" w:hAnsi="仿宋" w:eastAsia="仿宋" w:cs="仿宋"/>
                <w:sz w:val="24"/>
              </w:rPr>
            </w:pPr>
            <w:r>
              <w:rPr>
                <w:rFonts w:hint="eastAsia" w:ascii="仿宋" w:hAnsi="仿宋" w:eastAsia="仿宋" w:cs="仿宋"/>
                <w:sz w:val="24"/>
              </w:rPr>
              <w:t>2）至少包含30节实验课程，内容至少涵盖从环节配置到具体函数的使用及最终项目的实验。</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本实验为纯实训课，无PPT</w:t>
            </w:r>
          </w:p>
          <w:p>
            <w:pPr>
              <w:spacing w:line="288" w:lineRule="auto"/>
              <w:jc w:val="left"/>
              <w:rPr>
                <w:rFonts w:ascii="仿宋" w:hAnsi="仿宋" w:eastAsia="仿宋" w:cs="仿宋"/>
                <w:sz w:val="24"/>
              </w:rPr>
            </w:pPr>
            <w:r>
              <w:rPr>
                <w:rFonts w:hint="eastAsia" w:ascii="仿宋" w:hAnsi="仿宋" w:eastAsia="仿宋" w:cs="仿宋"/>
                <w:sz w:val="24"/>
              </w:rPr>
              <w:t>18、《直播赛事监控分析（数据挖掘实训）》：</w:t>
            </w:r>
          </w:p>
          <w:p>
            <w:pPr>
              <w:spacing w:line="288" w:lineRule="auto"/>
              <w:jc w:val="left"/>
              <w:rPr>
                <w:rFonts w:ascii="仿宋" w:hAnsi="仿宋" w:eastAsia="仿宋" w:cs="仿宋"/>
                <w:sz w:val="24"/>
              </w:rPr>
            </w:pPr>
            <w:r>
              <w:rPr>
                <w:rFonts w:hint="eastAsia" w:ascii="仿宋" w:hAnsi="仿宋" w:eastAsia="仿宋" w:cs="仿宋"/>
                <w:sz w:val="24"/>
              </w:rPr>
              <w:t>该课程含60课时。采用公有云模式部署，每个实验支持开展云上实验300次。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实训项目是针对大数据分析工程师、大数据应用开发工程师等岗位群，运用Spark技术，以“直播赛事监控分析”为项目原型，利用Spark技术完成直播在线总人数、移动端人数、PC端人数及流量统计与展示。任务包括Spark本地实验环境准备、直播赛事数据生成、直播赛事数据预处理、直播赛事分析等模块。模拟企业真实情景，让学生完成某个完整的数据分析任务。</w:t>
            </w:r>
          </w:p>
          <w:p>
            <w:pPr>
              <w:spacing w:line="288" w:lineRule="auto"/>
              <w:jc w:val="left"/>
              <w:rPr>
                <w:rFonts w:ascii="仿宋" w:hAnsi="仿宋" w:eastAsia="仿宋" w:cs="仿宋"/>
                <w:sz w:val="24"/>
              </w:rPr>
            </w:pPr>
            <w:r>
              <w:rPr>
                <w:rFonts w:hint="eastAsia" w:ascii="仿宋" w:hAnsi="仿宋" w:eastAsia="仿宋" w:cs="仿宋"/>
                <w:sz w:val="24"/>
              </w:rPr>
              <w:t>2）至少包含30节实验课程，内容至少涵盖直播赛事数据预处理、数据分析、数据统计、最终分析报表。</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本实验为纯实训课，无PPT</w:t>
            </w:r>
          </w:p>
          <w:p>
            <w:pPr>
              <w:spacing w:line="288" w:lineRule="auto"/>
              <w:jc w:val="left"/>
              <w:rPr>
                <w:rFonts w:ascii="仿宋" w:hAnsi="仿宋" w:eastAsia="仿宋" w:cs="仿宋"/>
                <w:sz w:val="24"/>
              </w:rPr>
            </w:pPr>
            <w:r>
              <w:rPr>
                <w:rFonts w:hint="eastAsia" w:ascii="仿宋" w:hAnsi="仿宋" w:eastAsia="仿宋" w:cs="仿宋"/>
                <w:sz w:val="24"/>
              </w:rPr>
              <w:t>19、《ETL实训：广告投放效果分析（数据分析实训）》：</w:t>
            </w:r>
          </w:p>
          <w:p>
            <w:pPr>
              <w:spacing w:line="288" w:lineRule="auto"/>
              <w:jc w:val="left"/>
              <w:rPr>
                <w:rFonts w:ascii="仿宋" w:hAnsi="仿宋" w:eastAsia="仿宋" w:cs="仿宋"/>
                <w:sz w:val="24"/>
              </w:rPr>
            </w:pPr>
            <w:r>
              <w:rPr>
                <w:rFonts w:hint="eastAsia" w:ascii="仿宋" w:hAnsi="仿宋" w:eastAsia="仿宋" w:cs="仿宋"/>
                <w:sz w:val="24"/>
              </w:rPr>
              <w:t>该课程含60课时。采用公有云模式部署，每个实验支持开展云上实验300次。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实训项目是针对大数据方向的行业应用，运用ETL,数据库,及网络爬虫技术(Scrapy框架)，以宣传效果分析为项目原型，该项目需要完成D产品的媒体投放效果分析，需要根据D产品广告投放时间、花费的营销费用、投放后媒体网站舆论反馈的数据（以网为例）、投放后D产品的用户数据，进行营销漏斗分析并展示。以“原理-方案”的形式，指导学生运用网络爬虫技术来设计并完成网络新闻(以新闻网页为例)的数据采集任务,并在内部实现一部分数据处理，运用ETL技术,以Sqoop为例将各种数据(关系数据库mysql,非关系数据库)统一导入一个数据库中,再做统一的清洗装换，最后产出分析结果。整个项目包括搭建环境、熟悉新闻网页数据集、利用Scrapy框架来抽取数据、利用Sqoop导入不同数据源的数据、利用python脚本清洗和转换数据,最后产出分析结果,一步一步指导学生完成整个宣传效果分析的方案开发。</w:t>
            </w:r>
          </w:p>
          <w:p>
            <w:pPr>
              <w:spacing w:line="288" w:lineRule="auto"/>
              <w:jc w:val="left"/>
            </w:pPr>
            <w:r>
              <w:rPr>
                <w:rFonts w:hint="eastAsia" w:ascii="仿宋" w:hAnsi="仿宋" w:eastAsia="仿宋" w:cs="仿宋"/>
                <w:sz w:val="24"/>
              </w:rPr>
              <w:t>2）至少包含20节实验课程，内容至少涵盖环节配置、数据汇总、预处理、数据存储、日志数据提取、漏斗分析、结果保存和展示。</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本实验为纯实训课，无PPT</w:t>
            </w:r>
          </w:p>
          <w:p>
            <w:pPr>
              <w:spacing w:line="288" w:lineRule="auto"/>
              <w:jc w:val="left"/>
              <w:rPr>
                <w:rFonts w:ascii="仿宋" w:hAnsi="仿宋" w:eastAsia="仿宋" w:cs="仿宋"/>
                <w:sz w:val="24"/>
              </w:rPr>
            </w:pPr>
            <w:r>
              <w:rPr>
                <w:rFonts w:hint="eastAsia" w:ascii="仿宋" w:hAnsi="仿宋" w:eastAsia="仿宋" w:cs="仿宋"/>
                <w:sz w:val="24"/>
              </w:rPr>
              <w:t>20、《个性化推荐系统研发（数据挖掘实训）》：</w:t>
            </w:r>
          </w:p>
          <w:p>
            <w:pPr>
              <w:spacing w:line="288" w:lineRule="auto"/>
              <w:jc w:val="left"/>
              <w:rPr>
                <w:rFonts w:ascii="仿宋" w:hAnsi="仿宋" w:eastAsia="仿宋" w:cs="仿宋"/>
                <w:sz w:val="24"/>
              </w:rPr>
            </w:pPr>
            <w:r>
              <w:rPr>
                <w:rFonts w:hint="eastAsia" w:ascii="仿宋" w:hAnsi="仿宋" w:eastAsia="仿宋" w:cs="仿宋"/>
                <w:sz w:val="24"/>
              </w:rPr>
              <w:t>该课程含60课时。采用公有云模式部署，每个实验支持开展云上实验300次。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实训项目是基于大数据应用中常见的推荐场景，以网站对不同用户展示不同内容为目标，使学生体验大数据应用系统研发的全流程。过程中会涉及一个资讯网站的搭建，采用nginx+python+apache技术框架，并采用mysql维护站点的内容； 还会涉及采用hadoop+spark的技术框架进行基于用户行为数据的用户偏好分类，最终通过mysql数据表作为接口将用户偏好与站点内容关联完成个性化推荐。</w:t>
            </w:r>
          </w:p>
          <w:p>
            <w:pPr>
              <w:spacing w:line="288" w:lineRule="auto"/>
              <w:jc w:val="left"/>
            </w:pPr>
            <w:r>
              <w:rPr>
                <w:rFonts w:hint="eastAsia" w:ascii="仿宋" w:hAnsi="仿宋" w:eastAsia="仿宋" w:cs="仿宋"/>
                <w:sz w:val="24"/>
              </w:rPr>
              <w:t>2）至少包含25节实验课程，，内容至少涵盖环节配置、数据汇总、预处理、数据存储、日志数据提取、漏斗分析、结果保存和展示。</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本实验为纯实训课，无PPT</w:t>
            </w:r>
          </w:p>
          <w:p>
            <w:pPr>
              <w:spacing w:line="288" w:lineRule="auto"/>
              <w:jc w:val="left"/>
              <w:rPr>
                <w:rFonts w:ascii="仿宋" w:hAnsi="仿宋" w:eastAsia="仿宋" w:cs="仿宋"/>
                <w:sz w:val="24"/>
              </w:rPr>
            </w:pPr>
            <w:r>
              <w:rPr>
                <w:rFonts w:hint="eastAsia" w:ascii="仿宋" w:hAnsi="仿宋" w:eastAsia="仿宋" w:cs="仿宋"/>
                <w:sz w:val="24"/>
              </w:rPr>
              <w:t>21、《Python实训课：新闻爬取》：</w:t>
            </w:r>
          </w:p>
          <w:p>
            <w:pPr>
              <w:spacing w:line="288" w:lineRule="auto"/>
              <w:jc w:val="left"/>
              <w:rPr>
                <w:rFonts w:ascii="仿宋" w:hAnsi="仿宋" w:eastAsia="仿宋" w:cs="仿宋"/>
                <w:sz w:val="24"/>
              </w:rPr>
            </w:pPr>
            <w:r>
              <w:rPr>
                <w:rFonts w:hint="eastAsia" w:ascii="仿宋" w:hAnsi="仿宋" w:eastAsia="仿宋" w:cs="仿宋"/>
                <w:sz w:val="24"/>
              </w:rPr>
              <w:t>该课程含60课时。采用公有云模式部署，每个实验支持开展云上实验300次。</w:t>
            </w:r>
          </w:p>
          <w:p>
            <w:pPr>
              <w:spacing w:line="288" w:lineRule="auto"/>
              <w:jc w:val="left"/>
              <w:rPr>
                <w:rFonts w:ascii="仿宋" w:hAnsi="仿宋" w:eastAsia="仿宋" w:cs="仿宋"/>
                <w:sz w:val="24"/>
              </w:rPr>
            </w:pPr>
            <w:r>
              <w:rPr>
                <w:rFonts w:hint="eastAsia" w:ascii="仿宋" w:hAnsi="仿宋" w:eastAsia="仿宋" w:cs="仿宋"/>
                <w:sz w:val="24"/>
              </w:rPr>
              <w:t>1）主要介绍：</w:t>
            </w:r>
          </w:p>
          <w:p>
            <w:pPr>
              <w:spacing w:line="288" w:lineRule="auto"/>
              <w:jc w:val="left"/>
              <w:rPr>
                <w:rFonts w:ascii="仿宋" w:hAnsi="仿宋" w:eastAsia="仿宋" w:cs="仿宋"/>
                <w:sz w:val="24"/>
              </w:rPr>
            </w:pPr>
            <w:r>
              <w:rPr>
                <w:rFonts w:hint="eastAsia" w:ascii="仿宋" w:hAnsi="仿宋" w:eastAsia="仿宋" w:cs="仿宋"/>
                <w:sz w:val="24"/>
              </w:rPr>
              <w:t>本实训项目是针对大数据方向的行业应用，运用python 编程，以爬取新闻web页面为项目原型，以“原理-方案”的形式，指导学生运用python 编程来设计并完成爬取新闻web页面的任务，整个项目包括python 网络与Web编程、熟悉python循环结构、函数、类，一步一步指导学生完成爬取新闻web页面的方案开发。</w:t>
            </w:r>
          </w:p>
          <w:p>
            <w:pPr>
              <w:pStyle w:val="2"/>
            </w:pPr>
            <w:r>
              <w:rPr>
                <w:rFonts w:hint="eastAsia" w:ascii="仿宋" w:hAnsi="仿宋" w:eastAsia="仿宋" w:cs="仿宋"/>
                <w:sz w:val="24"/>
              </w:rPr>
              <w:t>2）至少包含30节实验课程，内容至少涵盖基本库BeautifulSoup、Xpath用法，代码封装，最终结果演示。</w:t>
            </w:r>
          </w:p>
          <w:p>
            <w:pPr>
              <w:spacing w:line="288" w:lineRule="auto"/>
              <w:jc w:val="left"/>
              <w:rPr>
                <w:rFonts w:ascii="仿宋" w:hAnsi="仿宋" w:eastAsia="仿宋" w:cs="仿宋"/>
                <w:sz w:val="24"/>
              </w:rPr>
            </w:pPr>
            <w:r>
              <w:rPr>
                <w:rFonts w:hint="eastAsia" w:ascii="仿宋" w:hAnsi="仿宋" w:eastAsia="仿宋" w:cs="仿宋"/>
                <w:sz w:val="24"/>
              </w:rPr>
              <w:t>3）课程规格要求：</w:t>
            </w:r>
          </w:p>
          <w:p>
            <w:pPr>
              <w:spacing w:line="288" w:lineRule="auto"/>
              <w:jc w:val="left"/>
              <w:rPr>
                <w:rFonts w:ascii="仿宋" w:hAnsi="仿宋" w:eastAsia="仿宋" w:cs="仿宋"/>
                <w:sz w:val="24"/>
              </w:rPr>
            </w:pPr>
            <w:r>
              <w:rPr>
                <w:rFonts w:hint="eastAsia" w:ascii="仿宋" w:hAnsi="仿宋" w:eastAsia="仿宋" w:cs="仿宋"/>
                <w:sz w:val="24"/>
              </w:rPr>
              <w:t>大纲内容包含 课程简介，课程目标，章，节，知识点三级目录；</w:t>
            </w:r>
          </w:p>
          <w:p>
            <w:pPr>
              <w:spacing w:line="288" w:lineRule="auto"/>
              <w:jc w:val="left"/>
              <w:rPr>
                <w:rFonts w:ascii="仿宋" w:hAnsi="仿宋" w:eastAsia="仿宋" w:cs="仿宋"/>
                <w:sz w:val="24"/>
              </w:rPr>
            </w:pPr>
            <w:r>
              <w:rPr>
                <w:rFonts w:hint="eastAsia" w:ascii="仿宋" w:hAnsi="仿宋" w:eastAsia="仿宋" w:cs="仿宋"/>
                <w:sz w:val="24"/>
              </w:rPr>
              <w:t>项目教学任务实验指导书：包含实验目的、实验环境、实验内容、实验步骤等），内容形式：在线文档；</w:t>
            </w:r>
          </w:p>
          <w:p>
            <w:pPr>
              <w:spacing w:line="288" w:lineRule="auto"/>
              <w:jc w:val="left"/>
              <w:rPr>
                <w:rFonts w:ascii="仿宋" w:hAnsi="仿宋" w:eastAsia="仿宋" w:cs="仿宋"/>
                <w:sz w:val="24"/>
              </w:rPr>
            </w:pPr>
            <w:r>
              <w:rPr>
                <w:rFonts w:hint="eastAsia" w:ascii="仿宋" w:hAnsi="仿宋" w:eastAsia="仿宋" w:cs="仿宋"/>
                <w:sz w:val="24"/>
              </w:rPr>
              <w:t>实验环境和实验资源：完成实验需要用到的工具软件和云资源，内容形式：在线镜像或工具包；</w:t>
            </w:r>
          </w:p>
          <w:p>
            <w:pPr>
              <w:spacing w:line="288" w:lineRule="auto"/>
              <w:jc w:val="left"/>
              <w:rPr>
                <w:rFonts w:ascii="仿宋" w:hAnsi="仿宋" w:eastAsia="仿宋" w:cs="仿宋"/>
                <w:sz w:val="24"/>
              </w:rPr>
            </w:pPr>
            <w:r>
              <w:rPr>
                <w:rFonts w:hint="eastAsia" w:ascii="仿宋" w:hAnsi="仿宋" w:eastAsia="仿宋" w:cs="仿宋"/>
                <w:sz w:val="24"/>
              </w:rPr>
              <w:t>源码：实训项目demo源代码，内容形式：在线压缩包。</w:t>
            </w:r>
          </w:p>
          <w:p>
            <w:pPr>
              <w:spacing w:line="288" w:lineRule="auto"/>
              <w:jc w:val="left"/>
              <w:rPr>
                <w:rFonts w:ascii="仿宋" w:hAnsi="仿宋" w:eastAsia="仿宋" w:cs="仿宋"/>
                <w:sz w:val="24"/>
              </w:rPr>
            </w:pPr>
            <w:r>
              <w:rPr>
                <w:rFonts w:hint="eastAsia" w:ascii="仿宋" w:hAnsi="仿宋" w:eastAsia="仿宋" w:cs="仿宋"/>
                <w:sz w:val="24"/>
              </w:rPr>
              <w:t>本实验为纯实训课，无PPT</w:t>
            </w:r>
          </w:p>
          <w:p>
            <w:pPr>
              <w:spacing w:line="288" w:lineRule="auto"/>
              <w:rPr>
                <w:rFonts w:ascii="仿宋" w:hAnsi="仿宋" w:eastAsia="仿宋" w:cs="仿宋"/>
                <w:sz w:val="24"/>
              </w:rPr>
            </w:pPr>
            <w:r>
              <w:rPr>
                <w:rFonts w:hint="eastAsia" w:ascii="仿宋" w:hAnsi="仿宋" w:eastAsia="仿宋" w:cs="仿宋"/>
                <w:sz w:val="24"/>
              </w:rPr>
              <w:t>▲22、总课程课不少于20门，其中含高质量教学视频和PPT的不少于5门课，含高质量在线实验的课程不少于5门课。所有教学视频及PPT等资源学校可以长期使用，三年内免费升级到最新版本。所有实验至少满足100名学生每人2次实验需要，并发实验人数不少于25人。</w:t>
            </w:r>
          </w:p>
        </w:tc>
      </w:tr>
    </w:tbl>
    <w:p>
      <w:pPr>
        <w:spacing w:line="288" w:lineRule="auto"/>
        <w:ind w:firstLine="482" w:firstLineChars="200"/>
        <w:rPr>
          <w:rFonts w:ascii="仿宋" w:hAnsi="仿宋" w:eastAsia="仿宋" w:cs="仿宋"/>
          <w:b/>
          <w:sz w:val="24"/>
        </w:rPr>
      </w:pPr>
      <w:r>
        <w:rPr>
          <w:rFonts w:hint="eastAsia" w:ascii="仿宋" w:hAnsi="仿宋" w:eastAsia="仿宋" w:cs="仿宋"/>
          <w:b/>
          <w:sz w:val="24"/>
        </w:rPr>
        <w:t>二、商务需求</w:t>
      </w:r>
    </w:p>
    <w:p>
      <w:pPr>
        <w:snapToGrid w:val="0"/>
        <w:spacing w:line="288" w:lineRule="auto"/>
        <w:ind w:firstLine="482" w:firstLineChars="200"/>
        <w:rPr>
          <w:rFonts w:ascii="仿宋" w:hAnsi="仿宋" w:eastAsia="仿宋" w:cs="仿宋"/>
          <w:b/>
          <w:sz w:val="24"/>
        </w:rPr>
      </w:pPr>
      <w:r>
        <w:rPr>
          <w:rFonts w:hint="eastAsia" w:ascii="仿宋" w:hAnsi="仿宋" w:eastAsia="仿宋" w:cs="仿宋"/>
          <w:b/>
          <w:sz w:val="24"/>
        </w:rPr>
        <w:t>1、交货时间及地点：合同签订后20个工作日内到货，并需要校方老师清点确认签收。货到30天内完成设备安装和调试。</w:t>
      </w:r>
    </w:p>
    <w:p>
      <w:pPr>
        <w:snapToGrid w:val="0"/>
        <w:spacing w:line="288" w:lineRule="auto"/>
        <w:ind w:firstLine="482" w:firstLineChars="200"/>
        <w:rPr>
          <w:rFonts w:ascii="仿宋" w:hAnsi="仿宋" w:eastAsia="仿宋" w:cs="仿宋"/>
          <w:b/>
          <w:sz w:val="24"/>
        </w:rPr>
      </w:pPr>
      <w:r>
        <w:rPr>
          <w:rFonts w:hint="eastAsia" w:ascii="仿宋" w:hAnsi="仿宋" w:eastAsia="仿宋" w:cs="仿宋"/>
          <w:b/>
          <w:sz w:val="24"/>
        </w:rPr>
        <w:t>2、付款条件：</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中标单位在签订合同后交纳中标额的5％的履约保证金给采购人，履约保证金不计息。货到安装验收合格正常运行15个工作日内付款100%，履约保证金自动转为质保金（不计息）。无质量问题1年后退还质保金，有质量问题延期退还质保金或有权扣除部分（或全部）质保金。</w:t>
      </w:r>
    </w:p>
    <w:p>
      <w:pPr>
        <w:snapToGrid w:val="0"/>
        <w:spacing w:line="288" w:lineRule="auto"/>
        <w:ind w:firstLine="482" w:firstLineChars="200"/>
        <w:rPr>
          <w:rFonts w:ascii="仿宋" w:hAnsi="仿宋" w:eastAsia="仿宋" w:cs="仿宋"/>
          <w:b/>
          <w:sz w:val="24"/>
        </w:rPr>
      </w:pPr>
      <w:r>
        <w:rPr>
          <w:rFonts w:hint="eastAsia" w:ascii="仿宋" w:hAnsi="仿宋" w:eastAsia="仿宋" w:cs="仿宋"/>
          <w:b/>
          <w:sz w:val="24"/>
        </w:rPr>
        <w:t>3、供货与安装调试服务：</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按供货合同及采购人的具体要求在规定时间内将货物安全无损地送达指定现场，并协同采购人在现场对货物及附件进行逐一清点与质量初步检验合格。</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按供货合同及采购人的具体要求在规定时间内高效率、高质量地完成现场安装调试服务，确保所有货物全部正常运行为止，确保采购人满意。</w:t>
      </w:r>
    </w:p>
    <w:p>
      <w:pPr>
        <w:snapToGrid w:val="0"/>
        <w:spacing w:line="288" w:lineRule="auto"/>
        <w:ind w:firstLine="482" w:firstLineChars="200"/>
        <w:rPr>
          <w:rFonts w:ascii="仿宋" w:hAnsi="仿宋" w:eastAsia="仿宋" w:cs="仿宋"/>
          <w:b/>
          <w:sz w:val="24"/>
        </w:rPr>
      </w:pPr>
      <w:r>
        <w:rPr>
          <w:rFonts w:hint="eastAsia" w:ascii="仿宋" w:hAnsi="仿宋" w:eastAsia="仿宋" w:cs="仿宋"/>
          <w:b/>
          <w:sz w:val="24"/>
        </w:rPr>
        <w:t>4、质保期及售后服务要求：</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1）正式交付使用之日起终身为系统质保免费升级服务。所有非人为损坏或设备自然损耗而引起的设备故障，由设备提供服务商统一负责质保，保修期内出现任何质量问题由供应商免费上门维修；免费技术咨询等服务。</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2）质保期内，接到采购人报修电话后中标方免费上门服务，7*24小时电话支持，1小时内响应，中标人专业技术人员24小时内带配件到达现场，48小时内解决问题，保证24小时不间断售后技术支持；质保期内，如有因产品质量问题引起的备/配件破损，由中标人负责免费更换。</w:t>
      </w:r>
    </w:p>
    <w:p>
      <w:pPr>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（3）安装调试结束后，中标人需对管理员提供不少于1天的培训，时间由采购方决定，培训费用不再另行支付。 </w:t>
      </w:r>
    </w:p>
    <w:p>
      <w:pPr>
        <w:autoSpaceDE w:val="0"/>
        <w:autoSpaceDN w:val="0"/>
        <w:spacing w:line="288" w:lineRule="auto"/>
        <w:ind w:firstLine="482" w:firstLineChars="200"/>
        <w:rPr>
          <w:rFonts w:ascii="仿宋" w:hAnsi="仿宋" w:eastAsia="仿宋" w:cs="仿宋"/>
          <w:b/>
          <w:sz w:val="24"/>
        </w:rPr>
      </w:pPr>
      <w:r>
        <w:rPr>
          <w:rFonts w:hint="eastAsia" w:ascii="仿宋" w:hAnsi="仿宋" w:eastAsia="仿宋" w:cs="仿宋"/>
          <w:b/>
          <w:sz w:val="24"/>
        </w:rPr>
        <w:t>三、相关说明</w:t>
      </w:r>
    </w:p>
    <w:p>
      <w:pPr>
        <w:autoSpaceDE w:val="0"/>
        <w:autoSpaceDN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1、所有设备均采用人民币报价。本项目的成交报价应包含货款、标准附件、备品备件、专用工具、包装、运输、装卸、保险、税金、货到就位以及安装、调试、培训、保修等一切税金和费用。</w:t>
      </w:r>
    </w:p>
    <w:p>
      <w:pPr>
        <w:autoSpaceDE w:val="0"/>
        <w:autoSpaceDN w:val="0"/>
        <w:spacing w:line="288" w:lineRule="auto"/>
        <w:ind w:firstLine="480" w:firstLineChars="200"/>
        <w:rPr>
          <w:rFonts w:ascii="仿宋_GB2312" w:eastAsia="仿宋_GB2312"/>
          <w:kern w:val="0"/>
        </w:rPr>
      </w:pPr>
      <w:r>
        <w:rPr>
          <w:rFonts w:hint="eastAsia" w:ascii="仿宋" w:hAnsi="仿宋" w:eastAsia="仿宋" w:cs="仿宋"/>
          <w:kern w:val="0"/>
          <w:sz w:val="24"/>
        </w:rPr>
        <w:t>2、软件必须是原厂出品的全新产品，签订合同时需提供软件原厂家针对本项目的质保承诺书等原件（最终用户名为“绍兴市职业教育中心”）。</w:t>
      </w: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6" w:name="OLE_LINK1"/>
      <w:r>
        <w:rPr>
          <w:rFonts w:hint="eastAsia" w:ascii="仿宋" w:hAnsi="仿宋" w:eastAsia="仿宋" w:cs="仿宋"/>
          <w:b/>
          <w:bCs/>
          <w:sz w:val="24"/>
        </w:rPr>
        <w:t>范围</w:t>
      </w:r>
      <w:bookmarkEnd w:id="6"/>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7"/>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2.1.1供货地点：招标人指定地点</w:t>
      </w:r>
    </w:p>
    <w:p>
      <w:pPr>
        <w:snapToGrid w:val="0"/>
        <w:spacing w:line="288" w:lineRule="auto"/>
        <w:jc w:val="left"/>
        <w:rPr>
          <w:rFonts w:ascii="仿宋" w:hAnsi="仿宋" w:eastAsia="仿宋" w:cs="仿宋"/>
          <w:sz w:val="24"/>
        </w:rPr>
      </w:pPr>
      <w:r>
        <w:rPr>
          <w:rFonts w:hint="eastAsia" w:ascii="仿宋" w:hAnsi="仿宋" w:eastAsia="仿宋" w:cs="仿宋"/>
          <w:sz w:val="24"/>
        </w:rPr>
        <w:t>2.1.2供货日期：按标项内具体要求执行。</w:t>
      </w:r>
    </w:p>
    <w:p>
      <w:pPr>
        <w:pStyle w:val="8"/>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5.商品包装和快递包装要求</w:t>
      </w:r>
    </w:p>
    <w:p>
      <w:pPr>
        <w:snapToGrid w:val="0"/>
        <w:spacing w:line="288" w:lineRule="auto"/>
        <w:ind w:firstLine="480" w:firstLineChars="200"/>
        <w:jc w:val="left"/>
        <w:rPr>
          <w:rFonts w:ascii="仿宋" w:hAnsi="仿宋" w:eastAsia="仿宋" w:cs="仿宋"/>
          <w:color w:val="FF0000"/>
          <w:sz w:val="24"/>
        </w:rPr>
      </w:pPr>
      <w:r>
        <w:rPr>
          <w:rFonts w:hint="eastAsia" w:ascii="仿宋" w:hAnsi="仿宋" w:eastAsia="仿宋" w:cs="仿宋"/>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rPr>
      </w:pPr>
      <w:r>
        <w:rPr>
          <w:rFonts w:hint="eastAsia" w:ascii="仿宋" w:hAnsi="仿宋" w:eastAsia="仿宋" w:cs="仿宋"/>
          <w:sz w:val="24"/>
        </w:rPr>
        <w:t>8.2 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ascii="仿宋" w:hAnsi="仿宋" w:eastAsia="仿宋" w:cs="仿宋"/>
          <w:sz w:val="24"/>
        </w:rPr>
      </w:pPr>
      <w:r>
        <w:rPr>
          <w:rFonts w:hint="eastAsia" w:ascii="仿宋" w:hAnsi="仿宋" w:eastAsia="仿宋" w:cs="仿宋"/>
          <w:sz w:val="24"/>
        </w:rPr>
        <w:t>10.4合同应在双方签字盖章后开始生效。</w:t>
      </w:r>
    </w:p>
    <w:p>
      <w:pPr>
        <w:snapToGrid w:val="0"/>
        <w:spacing w:line="288" w:lineRule="auto"/>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spacing w:line="288" w:lineRule="auto"/>
        <w:ind w:firstLine="480" w:firstLineChars="200"/>
        <w:jc w:val="left"/>
        <w:rPr>
          <w:rFonts w:ascii="仿宋" w:hAnsi="仿宋" w:eastAsia="仿宋" w:cs="仿宋"/>
          <w:kern w:val="0"/>
          <w:sz w:val="24"/>
        </w:rPr>
      </w:pPr>
    </w:p>
    <w:p>
      <w:pPr>
        <w:spacing w:line="288" w:lineRule="auto"/>
        <w:ind w:hanging="2"/>
        <w:jc w:val="left"/>
        <w:rPr>
          <w:rFonts w:ascii="仿宋" w:hAnsi="仿宋" w:eastAsia="仿宋" w:cs="仿宋"/>
          <w:sz w:val="24"/>
        </w:rPr>
      </w:pPr>
    </w:p>
    <w:p>
      <w:pPr>
        <w:pStyle w:val="8"/>
        <w:numPr>
          <w:ilvl w:val="0"/>
          <w:numId w:val="0"/>
        </w:numPr>
        <w:tabs>
          <w:tab w:val="clear" w:pos="780"/>
        </w:tabs>
        <w:spacing w:line="288" w:lineRule="auto"/>
        <w:rPr>
          <w:rFonts w:ascii="仿宋" w:hAnsi="仿宋" w:eastAsia="仿宋" w:cs="仿宋"/>
          <w:kern w:val="0"/>
          <w:sz w:val="24"/>
          <w:szCs w:val="20"/>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288" w:lineRule="auto"/>
        <w:rPr>
          <w:rFonts w:ascii="仿宋" w:hAnsi="仿宋" w:eastAsia="仿宋" w:cs="仿宋"/>
          <w:b/>
          <w:bCs/>
          <w:sz w:val="32"/>
          <w:szCs w:val="32"/>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 xml:space="preserve">（60分）   </w:t>
      </w:r>
    </w:p>
    <w:tbl>
      <w:tblPr>
        <w:tblStyle w:val="26"/>
        <w:tblW w:w="9458" w:type="dxa"/>
        <w:tblInd w:w="-6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78"/>
        <w:gridCol w:w="758"/>
        <w:gridCol w:w="645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71" w:type="dxa"/>
            <w:tcBorders>
              <w:top w:val="double" w:color="auto" w:sz="4" w:space="0"/>
              <w:left w:val="doub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1478" w:type="dxa"/>
            <w:tcBorders>
              <w:top w:val="doub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sz w:val="24"/>
              </w:rPr>
            </w:pPr>
            <w:r>
              <w:rPr>
                <w:rFonts w:hint="eastAsia" w:ascii="仿宋" w:hAnsi="仿宋" w:eastAsia="仿宋" w:cs="仿宋"/>
                <w:b/>
                <w:sz w:val="24"/>
              </w:rPr>
              <w:t>评审</w:t>
            </w:r>
          </w:p>
          <w:p>
            <w:pPr>
              <w:widowControl/>
              <w:snapToGrid w:val="0"/>
              <w:spacing w:line="288" w:lineRule="auto"/>
              <w:jc w:val="center"/>
              <w:rPr>
                <w:rFonts w:ascii="仿宋" w:hAnsi="仿宋" w:eastAsia="仿宋" w:cs="仿宋"/>
                <w:b/>
                <w:sz w:val="24"/>
              </w:rPr>
            </w:pPr>
            <w:r>
              <w:rPr>
                <w:rFonts w:hint="eastAsia" w:ascii="仿宋" w:hAnsi="仿宋" w:eastAsia="仿宋" w:cs="仿宋"/>
                <w:b/>
                <w:sz w:val="24"/>
              </w:rPr>
              <w:t>因素</w:t>
            </w:r>
          </w:p>
        </w:tc>
        <w:tc>
          <w:tcPr>
            <w:tcW w:w="758" w:type="dxa"/>
            <w:tcBorders>
              <w:top w:val="doub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sz w:val="24"/>
              </w:rPr>
            </w:pPr>
            <w:r>
              <w:rPr>
                <w:rFonts w:hint="eastAsia" w:ascii="仿宋" w:hAnsi="仿宋" w:eastAsia="仿宋" w:cs="仿宋"/>
                <w:b/>
                <w:sz w:val="24"/>
              </w:rPr>
              <w:t>权值</w:t>
            </w:r>
          </w:p>
        </w:tc>
        <w:tc>
          <w:tcPr>
            <w:tcW w:w="6451" w:type="dxa"/>
            <w:tcBorders>
              <w:top w:val="double" w:color="auto" w:sz="4" w:space="0"/>
              <w:left w:val="single" w:color="auto" w:sz="4" w:space="0"/>
              <w:bottom w:val="single" w:color="auto" w:sz="4" w:space="0"/>
              <w:right w:val="double" w:color="auto" w:sz="4" w:space="0"/>
            </w:tcBorders>
            <w:vAlign w:val="center"/>
          </w:tcPr>
          <w:p>
            <w:pPr>
              <w:widowControl/>
              <w:snapToGrid w:val="0"/>
              <w:spacing w:line="288" w:lineRule="auto"/>
              <w:jc w:val="center"/>
              <w:rPr>
                <w:rFonts w:ascii="仿宋" w:hAnsi="仿宋" w:eastAsia="仿宋" w:cs="仿宋"/>
                <w:b/>
                <w:sz w:val="24"/>
              </w:rPr>
            </w:pPr>
            <w:r>
              <w:rPr>
                <w:rFonts w:hint="eastAsia" w:ascii="仿宋" w:hAnsi="仿宋" w:eastAsia="仿宋" w:cs="仿宋"/>
                <w:b/>
                <w:sz w:val="24"/>
              </w:rPr>
              <w:t>评分标准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771" w:type="dxa"/>
            <w:tcBorders>
              <w:top w:val="single" w:color="auto" w:sz="4" w:space="0"/>
              <w:left w:val="doub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1</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技术参数与功能配置</w:t>
            </w:r>
          </w:p>
          <w:p>
            <w:pPr>
              <w:widowControl/>
              <w:snapToGrid w:val="0"/>
              <w:spacing w:line="288" w:lineRule="auto"/>
              <w:jc w:val="center"/>
              <w:rPr>
                <w:rFonts w:ascii="仿宋" w:hAnsi="仿宋" w:eastAsia="仿宋" w:cs="仿宋"/>
                <w:sz w:val="24"/>
              </w:rPr>
            </w:pPr>
            <w:r>
              <w:rPr>
                <w:rFonts w:hint="eastAsia" w:ascii="仿宋" w:hAnsi="仿宋" w:eastAsia="仿宋" w:cs="仿宋"/>
                <w:sz w:val="24"/>
              </w:rPr>
              <w:t>（42分）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42</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投标产品的参数是否满足招标文件的要求，根据投标文件中的设备响应情况：技术参数全部满足招标要求的得满分42分。</w:t>
            </w:r>
          </w:p>
          <w:p>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1、技术</w:t>
            </w:r>
            <w:bookmarkStart w:id="7" w:name="_GoBack"/>
            <w:bookmarkEnd w:id="7"/>
            <w:r>
              <w:rPr>
                <w:rFonts w:hint="eastAsia" w:ascii="仿宋" w:hAnsi="仿宋" w:eastAsia="仿宋" w:cs="仿宋"/>
                <w:kern w:val="0"/>
                <w:sz w:val="24"/>
              </w:rPr>
              <w:t>指标含“★”为必须满足项，如有负偏离,则做无效投标处理。此项参数必须通过现场演示或视频演示</w:t>
            </w:r>
            <w:r>
              <w:rPr>
                <w:rFonts w:hint="eastAsia" w:ascii="仿宋" w:hAnsi="仿宋" w:eastAsia="仿宋" w:cs="仿宋"/>
                <w:kern w:val="0"/>
                <w:sz w:val="24"/>
              </w:rPr>
              <w:t>进行评定。</w:t>
            </w:r>
          </w:p>
          <w:p>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2、其中带 “▲”号项的参数为重要条款和技术指标，不满足的技术分每项扣</w:t>
            </w:r>
            <w:r>
              <w:rPr>
                <w:rFonts w:hint="eastAsia" w:ascii="仿宋" w:hAnsi="仿宋" w:eastAsia="仿宋" w:cs="仿宋"/>
                <w:kern w:val="0"/>
                <w:sz w:val="24"/>
                <w:lang w:val="en-US" w:eastAsia="zh-CN"/>
              </w:rPr>
              <w:t>4</w:t>
            </w:r>
            <w:r>
              <w:rPr>
                <w:rFonts w:hint="eastAsia" w:ascii="仿宋" w:hAnsi="仿宋" w:eastAsia="仿宋" w:cs="仿宋"/>
                <w:kern w:val="0"/>
                <w:sz w:val="24"/>
              </w:rPr>
              <w:t>分，扣完为止。此项参数必须通过现场真实环境演示</w:t>
            </w:r>
            <w:r>
              <w:rPr>
                <w:rFonts w:hint="eastAsia" w:ascii="仿宋" w:hAnsi="仿宋" w:eastAsia="仿宋" w:cs="仿宋"/>
                <w:kern w:val="0"/>
                <w:sz w:val="24"/>
              </w:rPr>
              <w:t>进行评定。</w:t>
            </w:r>
          </w:p>
          <w:p>
            <w:pPr>
              <w:widowControl/>
              <w:spacing w:line="288" w:lineRule="auto"/>
              <w:jc w:val="left"/>
              <w:rPr>
                <w:rFonts w:ascii="仿宋" w:hAnsi="仿宋" w:eastAsia="仿宋" w:cs="仿宋"/>
                <w:sz w:val="24"/>
              </w:rPr>
            </w:pPr>
            <w:r>
              <w:rPr>
                <w:rFonts w:hint="eastAsia" w:ascii="仿宋" w:hAnsi="仿宋" w:eastAsia="仿宋" w:cs="仿宋"/>
                <w:kern w:val="0"/>
                <w:sz w:val="24"/>
              </w:rPr>
              <w:t>3、不含“★”“▲”号的技术条款不满足，每条扣</w:t>
            </w:r>
            <w:r>
              <w:rPr>
                <w:rFonts w:hint="eastAsia" w:ascii="仿宋" w:hAnsi="仿宋" w:eastAsia="仿宋" w:cs="仿宋"/>
                <w:kern w:val="0"/>
                <w:sz w:val="24"/>
                <w:lang w:val="en-US" w:eastAsia="zh-CN"/>
              </w:rPr>
              <w:t>2</w:t>
            </w:r>
            <w:r>
              <w:rPr>
                <w:rFonts w:hint="eastAsia" w:ascii="仿宋" w:hAnsi="仿宋" w:eastAsia="仿宋" w:cs="仿宋"/>
                <w:kern w:val="0"/>
                <w:sz w:val="24"/>
              </w:rPr>
              <w:t>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71" w:type="dxa"/>
            <w:tcBorders>
              <w:top w:val="single" w:color="auto" w:sz="4" w:space="0"/>
              <w:left w:val="doub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2</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投标产品业绩案例</w:t>
            </w:r>
          </w:p>
          <w:p>
            <w:pPr>
              <w:widowControl/>
              <w:snapToGrid w:val="0"/>
              <w:spacing w:line="288" w:lineRule="auto"/>
              <w:jc w:val="center"/>
              <w:rPr>
                <w:rFonts w:ascii="仿宋" w:hAnsi="仿宋" w:eastAsia="仿宋" w:cs="仿宋"/>
                <w:sz w:val="24"/>
              </w:rPr>
            </w:pPr>
            <w:r>
              <w:rPr>
                <w:rFonts w:hint="eastAsia" w:ascii="仿宋" w:hAnsi="仿宋" w:eastAsia="仿宋" w:cs="仿宋"/>
                <w:sz w:val="24"/>
              </w:rPr>
              <w:t>（6分）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6</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napToGrid w:val="0"/>
              <w:spacing w:line="288" w:lineRule="auto"/>
              <w:jc w:val="left"/>
              <w:rPr>
                <w:rFonts w:ascii="仿宋" w:hAnsi="仿宋" w:eastAsia="仿宋" w:cs="仿宋"/>
                <w:sz w:val="24"/>
              </w:rPr>
            </w:pPr>
            <w:r>
              <w:rPr>
                <w:rFonts w:hint="eastAsia" w:ascii="仿宋" w:hAnsi="仿宋" w:eastAsia="仿宋" w:cs="仿宋"/>
                <w:sz w:val="24"/>
              </w:rPr>
              <w:t>投标产品2018年1月1日至今曾实施过同类项目案例，每提供一例得1分，最多得6分。（提供合同复印件加盖投标单位公章）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71" w:type="dxa"/>
            <w:tcBorders>
              <w:top w:val="single" w:color="auto" w:sz="4" w:space="0"/>
              <w:left w:val="doub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3</w:t>
            </w:r>
          </w:p>
        </w:tc>
        <w:tc>
          <w:tcPr>
            <w:tcW w:w="1478" w:type="dxa"/>
            <w:tcBorders>
              <w:top w:val="single" w:color="auto" w:sz="4" w:space="0"/>
              <w:left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平台著作权（2分）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kern w:val="0"/>
                <w:sz w:val="24"/>
              </w:rPr>
              <w:t>2</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pacing w:line="288" w:lineRule="auto"/>
              <w:jc w:val="left"/>
              <w:rPr>
                <w:rFonts w:ascii="仿宋" w:hAnsi="仿宋" w:eastAsia="仿宋" w:cs="仿宋"/>
                <w:bCs/>
                <w:sz w:val="24"/>
              </w:rPr>
            </w:pPr>
            <w:r>
              <w:rPr>
                <w:rFonts w:hint="eastAsia" w:ascii="仿宋" w:hAnsi="仿宋" w:eastAsia="仿宋" w:cs="仿宋"/>
                <w:kern w:val="0"/>
                <w:sz w:val="24"/>
              </w:rPr>
              <w:t>提供所投实验室平台著作权，得2分。</w:t>
            </w:r>
            <w:r>
              <w:rPr>
                <w:rFonts w:hint="eastAsia" w:ascii="仿宋" w:hAnsi="仿宋" w:eastAsia="仿宋" w:cs="仿宋"/>
                <w:bCs/>
                <w:sz w:val="24"/>
              </w:rPr>
              <w:t>（提供证书复印件加盖投标单位公章）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71" w:type="dxa"/>
            <w:tcBorders>
              <w:top w:val="single" w:color="auto" w:sz="4" w:space="0"/>
              <w:left w:val="doub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4</w:t>
            </w:r>
          </w:p>
        </w:tc>
        <w:tc>
          <w:tcPr>
            <w:tcW w:w="1478" w:type="dxa"/>
            <w:tcBorders>
              <w:top w:val="single" w:color="auto" w:sz="4" w:space="0"/>
              <w:left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产品成熟度</w:t>
            </w:r>
          </w:p>
          <w:p>
            <w:pPr>
              <w:widowControl/>
              <w:snapToGrid w:val="0"/>
              <w:spacing w:line="288" w:lineRule="auto"/>
              <w:jc w:val="center"/>
              <w:rPr>
                <w:rFonts w:ascii="仿宋" w:hAnsi="仿宋" w:eastAsia="仿宋" w:cs="仿宋"/>
                <w:sz w:val="24"/>
              </w:rPr>
            </w:pPr>
            <w:r>
              <w:rPr>
                <w:rFonts w:hint="eastAsia" w:ascii="仿宋" w:hAnsi="仿宋" w:eastAsia="仿宋" w:cs="仿宋"/>
                <w:sz w:val="24"/>
              </w:rPr>
              <w:t>（2分）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kern w:val="0"/>
                <w:sz w:val="24"/>
              </w:rPr>
              <w:t>2</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napToGrid w:val="0"/>
              <w:spacing w:line="288" w:lineRule="auto"/>
              <w:jc w:val="left"/>
              <w:rPr>
                <w:rFonts w:ascii="仿宋" w:hAnsi="仿宋" w:eastAsia="仿宋" w:cs="仿宋"/>
                <w:sz w:val="24"/>
              </w:rPr>
            </w:pPr>
            <w:r>
              <w:rPr>
                <w:rFonts w:hint="eastAsia" w:ascii="仿宋" w:hAnsi="仿宋" w:eastAsia="仿宋" w:cs="仿宋"/>
                <w:kern w:val="0"/>
                <w:sz w:val="24"/>
              </w:rPr>
              <w:t>所投</w:t>
            </w:r>
            <w:r>
              <w:rPr>
                <w:rFonts w:hint="eastAsia" w:ascii="仿宋" w:hAnsi="仿宋" w:eastAsia="仿宋" w:cs="仿宋"/>
                <w:sz w:val="24"/>
              </w:rPr>
              <w:t>产品在国内具有与本项目相关专利，得2分。</w:t>
            </w:r>
            <w:r>
              <w:rPr>
                <w:rFonts w:hint="eastAsia" w:ascii="仿宋" w:hAnsi="仿宋" w:eastAsia="仿宋" w:cs="仿宋"/>
                <w:bCs/>
                <w:sz w:val="24"/>
              </w:rPr>
              <w:t>（提供证书复印件加盖投标单位公章）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71" w:type="dxa"/>
            <w:tcBorders>
              <w:top w:val="single" w:color="auto" w:sz="4" w:space="0"/>
              <w:left w:val="doub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5</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售后服务</w:t>
            </w:r>
          </w:p>
          <w:p>
            <w:pPr>
              <w:widowControl/>
              <w:snapToGrid w:val="0"/>
              <w:spacing w:line="288" w:lineRule="auto"/>
              <w:jc w:val="center"/>
              <w:rPr>
                <w:rFonts w:ascii="仿宋" w:hAnsi="仿宋" w:eastAsia="仿宋" w:cs="仿宋"/>
                <w:sz w:val="24"/>
              </w:rPr>
            </w:pPr>
            <w:r>
              <w:rPr>
                <w:rFonts w:hint="eastAsia" w:ascii="仿宋" w:hAnsi="仿宋" w:eastAsia="仿宋" w:cs="仿宋"/>
                <w:sz w:val="24"/>
              </w:rPr>
              <w:t>（3分）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3</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napToGrid w:val="0"/>
              <w:spacing w:line="288" w:lineRule="auto"/>
              <w:jc w:val="left"/>
              <w:rPr>
                <w:rFonts w:ascii="仿宋" w:hAnsi="仿宋" w:eastAsia="仿宋" w:cs="仿宋"/>
                <w:sz w:val="24"/>
              </w:rPr>
            </w:pPr>
            <w:r>
              <w:rPr>
                <w:rFonts w:hint="eastAsia" w:ascii="仿宋" w:hAnsi="仿宋" w:eastAsia="仿宋" w:cs="仿宋"/>
                <w:sz w:val="24"/>
              </w:rPr>
              <w:t>投标公司能否有技术和能力提供售后服务：</w:t>
            </w:r>
          </w:p>
          <w:p>
            <w:pPr>
              <w:widowControl/>
              <w:snapToGrid w:val="0"/>
              <w:spacing w:line="288" w:lineRule="auto"/>
              <w:jc w:val="left"/>
              <w:rPr>
                <w:rFonts w:ascii="仿宋" w:hAnsi="仿宋" w:eastAsia="仿宋" w:cs="仿宋"/>
                <w:sz w:val="24"/>
              </w:rPr>
            </w:pPr>
            <w:r>
              <w:rPr>
                <w:rFonts w:hint="eastAsia" w:ascii="仿宋" w:hAnsi="仿宋" w:eastAsia="仿宋" w:cs="仿宋"/>
                <w:sz w:val="24"/>
              </w:rPr>
              <w:t>根据提供的售后服务承诺和措施（如专业售后服务队伍，完善的售后体系，提供电话热线、咨询响应时间服务，本地化的售后服务，现场服务到达情况，原厂提供的相关售后服务承诺和措施）进行打分。优秀得3分，较好得2分，一般得1分，差或未提供不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tcBorders>
              <w:top w:val="single" w:color="auto" w:sz="4" w:space="0"/>
              <w:left w:val="doub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6</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培训方案</w:t>
            </w:r>
          </w:p>
          <w:p>
            <w:pPr>
              <w:widowControl/>
              <w:snapToGrid w:val="0"/>
              <w:spacing w:line="288" w:lineRule="auto"/>
              <w:jc w:val="center"/>
              <w:rPr>
                <w:rFonts w:ascii="仿宋" w:hAnsi="仿宋" w:eastAsia="仿宋" w:cs="仿宋"/>
                <w:sz w:val="24"/>
              </w:rPr>
            </w:pPr>
            <w:r>
              <w:rPr>
                <w:rFonts w:hint="eastAsia" w:ascii="仿宋" w:hAnsi="仿宋" w:eastAsia="仿宋" w:cs="仿宋"/>
                <w:sz w:val="24"/>
              </w:rPr>
              <w:t>（5分）</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sz w:val="24"/>
              </w:rPr>
              <w:t>5</w:t>
            </w:r>
          </w:p>
        </w:tc>
        <w:tc>
          <w:tcPr>
            <w:tcW w:w="6451" w:type="dxa"/>
            <w:tcBorders>
              <w:top w:val="single" w:color="auto" w:sz="4" w:space="0"/>
              <w:left w:val="single" w:color="auto" w:sz="4" w:space="0"/>
              <w:bottom w:val="single" w:color="auto" w:sz="4" w:space="0"/>
              <w:right w:val="double" w:color="auto" w:sz="4" w:space="0"/>
            </w:tcBorders>
            <w:vAlign w:val="center"/>
          </w:tcPr>
          <w:p>
            <w:pPr>
              <w:widowControl/>
              <w:snapToGrid w:val="0"/>
              <w:spacing w:line="288" w:lineRule="auto"/>
              <w:jc w:val="left"/>
              <w:rPr>
                <w:rFonts w:ascii="仿宋" w:hAnsi="仿宋" w:eastAsia="仿宋" w:cs="仿宋"/>
                <w:sz w:val="24"/>
              </w:rPr>
            </w:pPr>
            <w:r>
              <w:rPr>
                <w:rFonts w:hint="eastAsia" w:ascii="仿宋" w:hAnsi="仿宋" w:eastAsia="仿宋" w:cs="仿宋"/>
                <w:sz w:val="24"/>
              </w:rPr>
              <w:t>根据培训的内容、人员安排、培训时间安排、培训方式适当，能够保障使用单位能熟练操作维护和正常使用，能为学校提供学生实训、教师进修及相关前沿信息等进行打分。优秀得5分，较好得3分，一般得1分，差或未提供不得分。</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rPr>
      </w:pPr>
      <w:r>
        <w:rPr>
          <w:rFonts w:hint="eastAsia" w:ascii="仿宋" w:hAnsi="仿宋" w:eastAsia="仿宋" w:cs="仿宋"/>
          <w:b/>
          <w:bCs/>
          <w:iCs/>
          <w:sz w:val="24"/>
        </w:rPr>
        <w:t>2.2价格分（40分）</w:t>
      </w:r>
    </w:p>
    <w:p>
      <w:pPr>
        <w:spacing w:line="288" w:lineRule="auto"/>
        <w:jc w:val="left"/>
        <w:rPr>
          <w:rFonts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pPr>
        <w:spacing w:line="288" w:lineRule="auto"/>
        <w:jc w:val="left"/>
        <w:rPr>
          <w:rFonts w:ascii="仿宋" w:hAnsi="仿宋" w:eastAsia="仿宋" w:cs="仿宋"/>
          <w:sz w:val="24"/>
        </w:rPr>
      </w:pPr>
      <w:r>
        <w:rPr>
          <w:rFonts w:hint="eastAsia" w:ascii="仿宋" w:hAnsi="仿宋" w:eastAsia="仿宋" w:cs="仿宋"/>
          <w:sz w:val="24"/>
        </w:rPr>
        <w:t>2.2.2其他投标人的价格分统一按照下列公式计算：</w:t>
      </w:r>
    </w:p>
    <w:p>
      <w:pPr>
        <w:spacing w:line="288" w:lineRule="auto"/>
        <w:jc w:val="left"/>
        <w:rPr>
          <w:rFonts w:ascii="仿宋" w:hAnsi="仿宋" w:eastAsia="仿宋" w:cs="仿宋"/>
          <w:sz w:val="24"/>
        </w:rPr>
      </w:pPr>
      <w:r>
        <w:rPr>
          <w:rFonts w:hint="eastAsia" w:ascii="仿宋" w:hAnsi="仿宋" w:eastAsia="仿宋" w:cs="仿宋"/>
          <w:sz w:val="24"/>
        </w:rPr>
        <w:t>投标报价得分=(评标基准价／投标报价)×价格权值×100</w:t>
      </w:r>
    </w:p>
    <w:p>
      <w:pPr>
        <w:spacing w:line="288" w:lineRule="auto"/>
        <w:jc w:val="left"/>
        <w:rPr>
          <w:rFonts w:ascii="仿宋" w:hAnsi="仿宋" w:eastAsia="仿宋" w:cs="仿宋"/>
          <w:sz w:val="24"/>
        </w:rPr>
      </w:pPr>
      <w:r>
        <w:rPr>
          <w:rFonts w:hint="eastAsia" w:ascii="仿宋" w:hAnsi="仿宋" w:eastAsia="仿宋" w:cs="仿宋"/>
          <w:sz w:val="24"/>
        </w:rPr>
        <w:t>即：投标报价得分=(评标基准价／投标报价)×40</w:t>
      </w:r>
    </w:p>
    <w:p>
      <w:pPr>
        <w:pStyle w:val="2"/>
        <w:rPr>
          <w:rFonts w:eastAsia="仿宋"/>
          <w:highlight w:val="yellow"/>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（3）中小企业声明函（二选一）…………………………………（页码）</w:t>
      </w:r>
    </w:p>
    <w:p>
      <w:pPr>
        <w:spacing w:line="288" w:lineRule="auto"/>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5"/>
        <w:spacing w:afterLines="0" w:line="288" w:lineRule="auto"/>
        <w:ind w:firstLine="0" w:firstLineChars="0"/>
        <w:rPr>
          <w:rFonts w:ascii="仿宋" w:hAnsi="仿宋" w:eastAsia="仿宋" w:cs="仿宋"/>
          <w:szCs w:val="24"/>
        </w:rPr>
      </w:pPr>
    </w:p>
    <w:p>
      <w:pPr>
        <w:pStyle w:val="65"/>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绍兴市职业教育中心、耀华建设管理有限公司 </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5"/>
        <w:spacing w:afterLines="0" w:line="288" w:lineRule="auto"/>
        <w:ind w:firstLine="480"/>
        <w:rPr>
          <w:rFonts w:ascii="仿宋" w:hAnsi="仿宋" w:eastAsia="仿宋" w:cs="仿宋"/>
          <w:szCs w:val="24"/>
        </w:rPr>
      </w:pP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sz w:val="24"/>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rPr>
      </w:pPr>
      <w:r>
        <w:rPr>
          <w:rFonts w:hint="eastAsia" w:ascii="仿宋" w:hAnsi="仿宋" w:eastAsia="仿宋" w:cs="仿宋"/>
          <w:sz w:val="24"/>
        </w:rPr>
        <w:t xml:space="preserve">招标编号：                                                        </w:t>
      </w:r>
    </w:p>
    <w:p>
      <w:pPr>
        <w:spacing w:line="288" w:lineRule="auto"/>
        <w:jc w:val="center"/>
        <w:rPr>
          <w:rFonts w:ascii="仿宋" w:hAnsi="仿宋" w:eastAsia="仿宋" w:cs="仿宋"/>
          <w:sz w:val="24"/>
        </w:rPr>
      </w:pPr>
      <w:r>
        <w:rPr>
          <w:rFonts w:hint="eastAsia" w:ascii="仿宋" w:hAnsi="仿宋" w:eastAsia="仿宋" w:cs="仿宋"/>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rPr>
        <w:t>5</w:t>
      </w:r>
      <w:r>
        <w:rPr>
          <w:rFonts w:hint="eastAsia" w:ascii="仿宋" w:hAnsi="仿宋" w:eastAsia="仿宋" w:cs="仿宋"/>
          <w:kern w:val="0"/>
          <w:sz w:val="24"/>
          <w:lang w:val="zh-CN"/>
        </w:rPr>
        <w:t>.以上表格要求细分项目及报价，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rPr>
        <w:t>7</w:t>
      </w:r>
      <w:r>
        <w:rPr>
          <w:rFonts w:hint="eastAsia" w:ascii="仿宋" w:hAnsi="仿宋" w:eastAsia="仿宋" w:cs="仿宋"/>
          <w:b/>
          <w:kern w:val="0"/>
          <w:sz w:val="24"/>
          <w:lang w:val="zh-CN"/>
        </w:rPr>
        <w:t>.特别提示：采购代理机构将对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spacing w:line="288" w:lineRule="auto"/>
        <w:rPr>
          <w:rFonts w:ascii="仿宋" w:hAnsi="仿宋" w:eastAsia="仿宋" w:cs="仿宋"/>
          <w:b/>
          <w:sz w:val="32"/>
          <w:szCs w:val="32"/>
        </w:rPr>
      </w:pPr>
      <w:r>
        <w:rPr>
          <w:rFonts w:hint="eastAsia" w:ascii="仿宋" w:hAnsi="仿宋" w:eastAsia="仿宋" w:cs="仿宋"/>
          <w:b/>
          <w:sz w:val="32"/>
          <w:szCs w:val="32"/>
        </w:rPr>
        <w:t>3、中小企业声明函（二选一）</w:t>
      </w:r>
    </w:p>
    <w:p>
      <w:pPr>
        <w:spacing w:line="288" w:lineRule="auto"/>
        <w:jc w:val="center"/>
        <w:rPr>
          <w:rFonts w:ascii="仿宋" w:hAnsi="仿宋" w:eastAsia="仿宋" w:cs="仿宋"/>
          <w:b/>
          <w:sz w:val="32"/>
        </w:rPr>
      </w:pPr>
      <w:r>
        <w:rPr>
          <w:rFonts w:hint="eastAsia" w:ascii="仿宋" w:hAnsi="仿宋" w:eastAsia="仿宋" w:cs="仿宋"/>
          <w:b/>
          <w:sz w:val="32"/>
        </w:rPr>
        <w:t>中小企业声明函（货物）</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绍兴市职业教育中心 </w:t>
      </w:r>
      <w:r>
        <w:rPr>
          <w:rFonts w:hint="eastAsia" w:ascii="仿宋" w:hAnsi="仿宋" w:eastAsia="仿宋" w:cs="仿宋"/>
          <w:sz w:val="24"/>
        </w:rPr>
        <w:t>的</w:t>
      </w:r>
      <w:r>
        <w:rPr>
          <w:rFonts w:hint="eastAsia" w:ascii="仿宋" w:hAnsi="仿宋" w:eastAsia="仿宋" w:cs="仿宋"/>
          <w:sz w:val="24"/>
          <w:u w:val="single"/>
        </w:rPr>
        <w:t>计算机专业课程资源建设项目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288" w:lineRule="auto"/>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288" w:lineRule="auto"/>
        <w:ind w:right="420" w:firstLine="5880" w:firstLineChars="2450"/>
        <w:jc w:val="left"/>
        <w:rPr>
          <w:rFonts w:ascii="仿宋" w:hAnsi="仿宋" w:eastAsia="仿宋" w:cs="仿宋"/>
          <w:sz w:val="24"/>
        </w:rPr>
      </w:pPr>
    </w:p>
    <w:p>
      <w:pPr>
        <w:spacing w:line="288" w:lineRule="auto"/>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spacing w:line="288" w:lineRule="auto"/>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spacing w:line="288" w:lineRule="auto"/>
        <w:jc w:val="center"/>
        <w:rPr>
          <w:rFonts w:ascii="仿宋" w:hAnsi="仿宋" w:eastAsia="仿宋" w:cs="仿宋"/>
          <w:b/>
          <w:sz w:val="18"/>
        </w:rPr>
      </w:pPr>
    </w:p>
    <w:p>
      <w:pPr>
        <w:spacing w:line="288" w:lineRule="auto"/>
        <w:jc w:val="center"/>
        <w:rPr>
          <w:rFonts w:ascii="仿宋" w:hAnsi="仿宋" w:eastAsia="仿宋" w:cs="仿宋"/>
          <w:b/>
          <w:sz w:val="32"/>
        </w:rPr>
      </w:pPr>
      <w:r>
        <w:rPr>
          <w:rFonts w:hint="eastAsia" w:ascii="仿宋" w:hAnsi="仿宋" w:eastAsia="仿宋" w:cs="仿宋"/>
          <w:b/>
          <w:sz w:val="32"/>
        </w:rPr>
        <w:t>中小企业声明函（工程、服务）</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绍兴市职业教育中心 </w:t>
      </w:r>
      <w:r>
        <w:rPr>
          <w:rFonts w:hint="eastAsia" w:ascii="仿宋" w:hAnsi="仿宋" w:eastAsia="仿宋" w:cs="仿宋"/>
          <w:sz w:val="24"/>
        </w:rPr>
        <w:t>的</w:t>
      </w:r>
      <w:r>
        <w:rPr>
          <w:rFonts w:hint="eastAsia" w:ascii="仿宋" w:hAnsi="仿宋" w:eastAsia="仿宋" w:cs="仿宋"/>
          <w:sz w:val="24"/>
          <w:u w:val="single"/>
        </w:rPr>
        <w:t>计算机专业课程资源建设项目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288" w:lineRule="auto"/>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288" w:lineRule="auto"/>
        <w:ind w:right="420" w:firstLine="5880" w:firstLineChars="2450"/>
        <w:jc w:val="left"/>
        <w:rPr>
          <w:rFonts w:ascii="仿宋" w:hAnsi="仿宋" w:eastAsia="仿宋" w:cs="仿宋"/>
          <w:sz w:val="24"/>
        </w:rPr>
      </w:pPr>
    </w:p>
    <w:p>
      <w:pPr>
        <w:spacing w:line="288" w:lineRule="auto"/>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spacing w:line="288" w:lineRule="auto"/>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spacing w:line="288" w:lineRule="auto"/>
        <w:rPr>
          <w:rFonts w:ascii="仿宋" w:hAnsi="仿宋" w:eastAsia="仿宋" w:cs="仿宋"/>
          <w:b/>
          <w:bCs/>
          <w:sz w:val="24"/>
        </w:rPr>
      </w:pPr>
      <w:r>
        <w:rPr>
          <w:rFonts w:hint="eastAsia" w:ascii="仿宋" w:hAnsi="仿宋" w:eastAsia="仿宋" w:cs="仿宋"/>
          <w:b/>
          <w:bCs/>
          <w:sz w:val="24"/>
        </w:rPr>
        <w:t>注：</w:t>
      </w:r>
    </w:p>
    <w:p>
      <w:pPr>
        <w:spacing w:line="288" w:lineRule="auto"/>
        <w:rPr>
          <w:rFonts w:ascii="仿宋" w:hAnsi="仿宋" w:eastAsia="仿宋" w:cs="仿宋"/>
          <w:b/>
          <w:sz w:val="24"/>
        </w:rPr>
      </w:pPr>
      <w:r>
        <w:rPr>
          <w:rFonts w:hint="eastAsia" w:ascii="仿宋" w:hAnsi="仿宋" w:eastAsia="仿宋" w:cs="仿宋"/>
          <w:b/>
          <w:sz w:val="24"/>
        </w:rPr>
        <w:t>1、投标人提供的中小企业声明函与实际情况不符的，视为投标人提供虚假材料投标，投标无效。</w:t>
      </w:r>
    </w:p>
    <w:p>
      <w:pPr>
        <w:spacing w:line="288" w:lineRule="auto"/>
        <w:rPr>
          <w:rFonts w:ascii="仿宋" w:hAnsi="仿宋" w:eastAsia="仿宋" w:cs="仿宋"/>
          <w:sz w:val="24"/>
        </w:rPr>
      </w:pPr>
      <w:r>
        <w:rPr>
          <w:rFonts w:hint="eastAsia" w:ascii="仿宋" w:hAnsi="仿宋" w:eastAsia="仿宋" w:cs="仿宋"/>
          <w:b/>
          <w:sz w:val="24"/>
        </w:rPr>
        <w:t>2、根据《政府采购促进中小企业发展管理办法》的通知（财库〔2020〕46号）规定，</w:t>
      </w:r>
      <w:r>
        <w:rPr>
          <w:rFonts w:hint="eastAsia" w:ascii="仿宋" w:hAnsi="仿宋" w:eastAsia="仿宋" w:cs="仿宋"/>
          <w:sz w:val="24"/>
        </w:rPr>
        <w:t>中标、成交供应商享受中小企业扶持政策的，采购代理机构将随中标、成交结果公开中标、成交供应商的《中小企业声明函》。</w:t>
      </w:r>
    </w:p>
    <w:p>
      <w:pPr>
        <w:spacing w:line="288" w:lineRule="auto"/>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（1）法定代表人授权书 ……………………………………………………………（页码）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（2）授权代表社保证明（复印件）…………………………………………………（页码）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rPr>
      </w:pPr>
      <w:r>
        <w:rPr>
          <w:rFonts w:hint="eastAsia" w:ascii="仿宋" w:hAnsi="仿宋" w:eastAsia="仿宋" w:cs="仿宋"/>
          <w:color w:val="000000" w:themeColor="text1"/>
          <w:sz w:val="24"/>
        </w:rPr>
        <w:t>（5）所有与符合性审查有关的资信文件（复印件）（营业执照、2020年度财务报表、纳税和社保缴纳证明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（6）具有履</w:t>
      </w:r>
      <w:r>
        <w:rPr>
          <w:rFonts w:hint="eastAsia" w:ascii="仿宋" w:hAnsi="仿宋" w:eastAsia="仿宋" w:cs="仿宋"/>
          <w:color w:val="000000" w:themeColor="text1"/>
          <w:kern w:val="0"/>
          <w:sz w:val="24"/>
        </w:rPr>
        <w:t>行合同所必需的设备和专业技术能力的承诺函……………</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8"/>
        <w:spacing w:line="288" w:lineRule="auto"/>
        <w:ind w:firstLine="0" w:firstLineChars="0"/>
        <w:rPr>
          <w:rFonts w:ascii="仿宋" w:eastAsia="仿宋" w:cs="仿宋"/>
          <w:color w:val="000000" w:themeColor="text1"/>
          <w:kern w:val="0"/>
        </w:rPr>
      </w:pPr>
      <w:r>
        <w:rPr>
          <w:rFonts w:hint="eastAsia" w:ascii="仿宋" w:eastAsia="仿宋" w:cs="仿宋"/>
          <w:color w:val="000000" w:themeColor="text1"/>
        </w:rPr>
        <w:t>（7）重大违法记录的声明</w:t>
      </w:r>
      <w:r>
        <w:rPr>
          <w:rFonts w:hint="eastAsia" w:ascii="仿宋" w:eastAsia="仿宋" w:cs="仿宋"/>
          <w:color w:val="000000" w:themeColor="text1"/>
          <w:kern w:val="0"/>
        </w:rPr>
        <w:t xml:space="preserve"> …</w:t>
      </w:r>
      <w:r>
        <w:rPr>
          <w:rFonts w:hint="eastAsia" w:ascii="仿宋" w:eastAsia="仿宋" w:cs="仿宋"/>
          <w:color w:val="000000" w:themeColor="text1"/>
        </w:rPr>
        <w:t>………………………………………………………</w:t>
      </w:r>
      <w:r>
        <w:rPr>
          <w:rFonts w:hint="eastAsia" w:ascii="仿宋" w:eastAsia="仿宋" w:cs="仿宋"/>
          <w:color w:val="000000" w:themeColor="text1"/>
          <w:kern w:val="0"/>
        </w:rPr>
        <w:t>（页码）</w:t>
      </w:r>
    </w:p>
    <w:p>
      <w:pPr>
        <w:pStyle w:val="78"/>
        <w:spacing w:line="288" w:lineRule="auto"/>
        <w:ind w:firstLine="0" w:firstLineChars="0"/>
        <w:rPr>
          <w:rFonts w:ascii="仿宋" w:eastAsia="仿宋" w:cs="仿宋"/>
          <w:color w:val="000000" w:themeColor="text1"/>
        </w:rPr>
      </w:pPr>
      <w:r>
        <w:rPr>
          <w:rFonts w:hint="eastAsia" w:ascii="仿宋" w:eastAsia="仿宋" w:cs="仿宋"/>
          <w:color w:val="000000" w:themeColor="text1"/>
        </w:rPr>
        <w:t>（8）符合特定资格条件（如果项目要求）的有关证明材料（复印件）…………（页码）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（9）</w:t>
      </w:r>
      <w:r>
        <w:rPr>
          <w:rFonts w:hint="eastAsia" w:ascii="仿宋" w:eastAsia="仿宋" w:cs="仿宋"/>
          <w:snapToGrid w:val="0"/>
          <w:color w:val="000000" w:themeColor="text1"/>
        </w:rPr>
        <w:t>非本地投标人售后服务机构证明材料</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（10）</w:t>
      </w:r>
      <w:r>
        <w:rPr>
          <w:rFonts w:hint="eastAsia" w:ascii="仿宋" w:eastAsia="仿宋" w:cs="仿宋"/>
          <w:color w:val="000000" w:themeColor="text1"/>
          <w:lang w:val="zh-CN"/>
        </w:rPr>
        <w:t>主要业绩证明…………………………………………………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（11）廉政承诺书 ……………………………………………………………………（页码）</w:t>
      </w:r>
    </w:p>
    <w:p>
      <w:pPr>
        <w:spacing w:line="288" w:lineRule="auto"/>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（12）技术解决方案…………………………………………………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kern w:val="0"/>
        </w:rPr>
        <w:t>（13）技术偏离说明表……………………</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（14）组织实施方案…………………………………………………………………（页码）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（15）售后服务方案…………………………………………………………………（页码）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（16）项目小组人员名单……………………………………………………………（页码）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（17）</w:t>
      </w:r>
      <w:r>
        <w:rPr>
          <w:rFonts w:hint="eastAsia" w:ascii="仿宋" w:eastAsia="仿宋" w:cs="仿宋"/>
          <w:color w:val="000000" w:themeColor="text1"/>
          <w:lang w:val="zh-CN"/>
        </w:rPr>
        <w:t>优惠条件及特殊承诺……………………………</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（18）</w:t>
      </w:r>
      <w:r>
        <w:rPr>
          <w:rFonts w:hint="eastAsia" w:ascii="仿宋" w:eastAsia="仿宋" w:cs="仿宋"/>
          <w:color w:val="000000" w:themeColor="text1"/>
          <w:lang w:val="zh-CN"/>
        </w:rPr>
        <w:t>备品备件及供选择的配套零部件清单………………………</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（19）</w:t>
      </w:r>
      <w:r>
        <w:rPr>
          <w:rFonts w:hint="eastAsia" w:ascii="仿宋" w:eastAsia="仿宋" w:cs="仿宋"/>
          <w:color w:val="000000" w:themeColor="text1"/>
          <w:lang w:val="zh-CN"/>
        </w:rPr>
        <w:t>培训计划……………………………………………</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（20）</w:t>
      </w:r>
      <w:r>
        <w:rPr>
          <w:rFonts w:hint="eastAsia" w:ascii="仿宋" w:eastAsia="仿宋" w:cs="仿宋"/>
          <w:color w:val="000000" w:themeColor="text1"/>
          <w:lang w:val="zh-CN"/>
        </w:rPr>
        <w:t>验收方案………………………………………………</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（21）</w:t>
      </w:r>
      <w:r>
        <w:rPr>
          <w:rFonts w:hint="eastAsia" w:ascii="仿宋" w:eastAsia="仿宋" w:cs="仿宋"/>
          <w:color w:val="000000" w:themeColor="text1"/>
          <w:lang w:val="zh-CN"/>
        </w:rPr>
        <w:t>认为需要的其他商务技术（资信）文件或说明………………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snapToGrid w:val="0"/>
        <w:spacing w:line="288" w:lineRule="auto"/>
        <w:rPr>
          <w:rFonts w:ascii="仿宋" w:hAnsi="仿宋" w:eastAsia="仿宋" w:cs="仿宋"/>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绍兴市职业教育中心、耀华建设管理有限公司</w:t>
      </w:r>
      <w:r>
        <w:rPr>
          <w:rFonts w:hint="eastAsia" w:ascii="仿宋" w:hAnsi="仿宋" w:eastAsia="仿宋" w:cs="仿宋"/>
          <w:sz w:val="24"/>
        </w:rPr>
        <w:t>组织的</w:t>
      </w:r>
      <w:r>
        <w:rPr>
          <w:rFonts w:hint="eastAsia" w:ascii="仿宋" w:hAnsi="仿宋" w:eastAsia="仿宋" w:cs="仿宋"/>
          <w:sz w:val="24"/>
          <w:u w:val="single"/>
        </w:rPr>
        <w:t>计算机专业课程资源建设项目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绍兴市职业教育中心、耀华建设管理有限公司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我方郑重承诺，我方具有履行绍兴市职业教育中心计算机专业课程资源建设项目（招标编号:      ）合同所必需的设备和专业技术能力。如中标，我方将保证合同顺利履行。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绍兴市职业教育中心、耀华建设管理有限公司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9"/>
        <w:ind w:firstLine="0"/>
        <w:jc w:val="both"/>
        <w:outlineLvl w:val="9"/>
        <w:rPr>
          <w:rFonts w:ascii="仿宋" w:eastAsia="仿宋" w:cs="仿宋"/>
        </w:rPr>
      </w:pPr>
    </w:p>
    <w:p>
      <w:pPr>
        <w:pStyle w:val="79"/>
        <w:ind w:firstLine="0"/>
        <w:jc w:val="both"/>
        <w:outlineLvl w:val="9"/>
        <w:rPr>
          <w:rFonts w:ascii="仿宋" w:eastAsia="仿宋" w:cs="仿宋"/>
        </w:rPr>
      </w:pPr>
    </w:p>
    <w:p>
      <w:pPr>
        <w:pStyle w:val="79"/>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绍兴市职业教育中心</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6"/>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6"/>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6"/>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3073"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42</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Fonts w:cs="Arial"/>
        <w:sz w:val="18"/>
        <w:szCs w:val="21"/>
      </w:rPr>
    </w:pPr>
    <w:r>
      <w:rPr>
        <w:rStyle w:val="30"/>
        <w:rFonts w:cs="Arial"/>
        <w:sz w:val="18"/>
        <w:szCs w:val="21"/>
      </w:rPr>
      <w:fldChar w:fldCharType="begin"/>
    </w:r>
    <w:r>
      <w:rPr>
        <w:rStyle w:val="30"/>
        <w:rFonts w:cs="Arial"/>
        <w:sz w:val="18"/>
        <w:szCs w:val="21"/>
      </w:rPr>
      <w:instrText xml:space="preserve">PAGE  </w:instrText>
    </w:r>
    <w:r>
      <w:rPr>
        <w:rStyle w:val="30"/>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1"/>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5A02C129"/>
    <w:multiLevelType w:val="singleLevel"/>
    <w:tmpl w:val="5A02C129"/>
    <w:lvl w:ilvl="0" w:tentative="0">
      <w:start w:val="1"/>
      <w:numFmt w:val="decimal"/>
      <w:pStyle w:val="8"/>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9"/>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32DDD"/>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257A9"/>
    <w:rsid w:val="00530F7C"/>
    <w:rsid w:val="00532CC9"/>
    <w:rsid w:val="00545306"/>
    <w:rsid w:val="00546E44"/>
    <w:rsid w:val="00547532"/>
    <w:rsid w:val="005656CD"/>
    <w:rsid w:val="00566429"/>
    <w:rsid w:val="00570C24"/>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381E"/>
    <w:rsid w:val="006940CC"/>
    <w:rsid w:val="00695EF5"/>
    <w:rsid w:val="006A4D37"/>
    <w:rsid w:val="006A5993"/>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132AA"/>
    <w:rsid w:val="00923FCF"/>
    <w:rsid w:val="009333E3"/>
    <w:rsid w:val="00933431"/>
    <w:rsid w:val="009362D2"/>
    <w:rsid w:val="00937337"/>
    <w:rsid w:val="00945D15"/>
    <w:rsid w:val="00950791"/>
    <w:rsid w:val="00955273"/>
    <w:rsid w:val="00957F9C"/>
    <w:rsid w:val="00962E86"/>
    <w:rsid w:val="009660EE"/>
    <w:rsid w:val="00980381"/>
    <w:rsid w:val="009A4CEF"/>
    <w:rsid w:val="009C76A2"/>
    <w:rsid w:val="009D2FED"/>
    <w:rsid w:val="009E0533"/>
    <w:rsid w:val="00A1598B"/>
    <w:rsid w:val="00A16944"/>
    <w:rsid w:val="00A17F42"/>
    <w:rsid w:val="00A27EBF"/>
    <w:rsid w:val="00A30EAA"/>
    <w:rsid w:val="00A35A34"/>
    <w:rsid w:val="00A36A6D"/>
    <w:rsid w:val="00A41BE4"/>
    <w:rsid w:val="00A5075A"/>
    <w:rsid w:val="00A56A1E"/>
    <w:rsid w:val="00A63825"/>
    <w:rsid w:val="00A63FBA"/>
    <w:rsid w:val="00A67091"/>
    <w:rsid w:val="00A738ED"/>
    <w:rsid w:val="00A831F9"/>
    <w:rsid w:val="00A86515"/>
    <w:rsid w:val="00A929F0"/>
    <w:rsid w:val="00A95926"/>
    <w:rsid w:val="00AA1B38"/>
    <w:rsid w:val="00AA527A"/>
    <w:rsid w:val="00AB3AF5"/>
    <w:rsid w:val="00AD0587"/>
    <w:rsid w:val="00AD18FF"/>
    <w:rsid w:val="00AD270F"/>
    <w:rsid w:val="00AD62CB"/>
    <w:rsid w:val="00AE1471"/>
    <w:rsid w:val="00AE1493"/>
    <w:rsid w:val="00AE3AB9"/>
    <w:rsid w:val="00AE6A3D"/>
    <w:rsid w:val="00B01CF7"/>
    <w:rsid w:val="00B06E34"/>
    <w:rsid w:val="00B1333D"/>
    <w:rsid w:val="00B22626"/>
    <w:rsid w:val="00B251FC"/>
    <w:rsid w:val="00B51325"/>
    <w:rsid w:val="00B51D5A"/>
    <w:rsid w:val="00B61CF4"/>
    <w:rsid w:val="00B62E53"/>
    <w:rsid w:val="00B63DE9"/>
    <w:rsid w:val="00B67DBD"/>
    <w:rsid w:val="00B71876"/>
    <w:rsid w:val="00B76EC0"/>
    <w:rsid w:val="00B85839"/>
    <w:rsid w:val="00BA30DB"/>
    <w:rsid w:val="00BF2DFE"/>
    <w:rsid w:val="00C071C6"/>
    <w:rsid w:val="00C135A8"/>
    <w:rsid w:val="00C207BF"/>
    <w:rsid w:val="00C249E6"/>
    <w:rsid w:val="00C33170"/>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216D1"/>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1D643D"/>
    <w:rsid w:val="0135256E"/>
    <w:rsid w:val="017F0419"/>
    <w:rsid w:val="0202557A"/>
    <w:rsid w:val="02455361"/>
    <w:rsid w:val="026B7D9D"/>
    <w:rsid w:val="02746F0F"/>
    <w:rsid w:val="02B0326C"/>
    <w:rsid w:val="02E03D80"/>
    <w:rsid w:val="02FF6323"/>
    <w:rsid w:val="03166C95"/>
    <w:rsid w:val="033742BA"/>
    <w:rsid w:val="0352039E"/>
    <w:rsid w:val="035D5995"/>
    <w:rsid w:val="03F47058"/>
    <w:rsid w:val="0432047D"/>
    <w:rsid w:val="044736CF"/>
    <w:rsid w:val="04AB653B"/>
    <w:rsid w:val="04B306B5"/>
    <w:rsid w:val="04B348C2"/>
    <w:rsid w:val="04BB2CB1"/>
    <w:rsid w:val="04CE269C"/>
    <w:rsid w:val="052202A5"/>
    <w:rsid w:val="052D2EBC"/>
    <w:rsid w:val="05612999"/>
    <w:rsid w:val="05B40EB1"/>
    <w:rsid w:val="05B75E5D"/>
    <w:rsid w:val="06B00C54"/>
    <w:rsid w:val="06BA5366"/>
    <w:rsid w:val="06E4135A"/>
    <w:rsid w:val="07555EC0"/>
    <w:rsid w:val="07DA186C"/>
    <w:rsid w:val="082169A9"/>
    <w:rsid w:val="084E3C8A"/>
    <w:rsid w:val="08C922E5"/>
    <w:rsid w:val="08DC6D2E"/>
    <w:rsid w:val="08E27460"/>
    <w:rsid w:val="08FA3C1C"/>
    <w:rsid w:val="09326399"/>
    <w:rsid w:val="097A3B63"/>
    <w:rsid w:val="0A0A25D7"/>
    <w:rsid w:val="0ADE6281"/>
    <w:rsid w:val="0B3869A1"/>
    <w:rsid w:val="0B637A3A"/>
    <w:rsid w:val="0B9713AA"/>
    <w:rsid w:val="0BF4331C"/>
    <w:rsid w:val="0D2D522C"/>
    <w:rsid w:val="0D917941"/>
    <w:rsid w:val="0DD1638B"/>
    <w:rsid w:val="0E3734EA"/>
    <w:rsid w:val="0E45263B"/>
    <w:rsid w:val="0EA54C7F"/>
    <w:rsid w:val="0ED21131"/>
    <w:rsid w:val="0EE1261E"/>
    <w:rsid w:val="0EF438E6"/>
    <w:rsid w:val="0F4B58A1"/>
    <w:rsid w:val="0F6303AF"/>
    <w:rsid w:val="104D6387"/>
    <w:rsid w:val="10C92ED0"/>
    <w:rsid w:val="10F654D7"/>
    <w:rsid w:val="114664CC"/>
    <w:rsid w:val="11564EC4"/>
    <w:rsid w:val="11B07BD6"/>
    <w:rsid w:val="11CB3B70"/>
    <w:rsid w:val="11D91565"/>
    <w:rsid w:val="120A1A67"/>
    <w:rsid w:val="125750F6"/>
    <w:rsid w:val="127542AA"/>
    <w:rsid w:val="12F15FC0"/>
    <w:rsid w:val="137333B1"/>
    <w:rsid w:val="13AD3C35"/>
    <w:rsid w:val="142F0303"/>
    <w:rsid w:val="144A5C4D"/>
    <w:rsid w:val="144C4A2E"/>
    <w:rsid w:val="14685E9F"/>
    <w:rsid w:val="148167F9"/>
    <w:rsid w:val="149C53ED"/>
    <w:rsid w:val="14A17E3B"/>
    <w:rsid w:val="14C20EED"/>
    <w:rsid w:val="151F45C4"/>
    <w:rsid w:val="1553718A"/>
    <w:rsid w:val="1557079B"/>
    <w:rsid w:val="15661BF2"/>
    <w:rsid w:val="16955330"/>
    <w:rsid w:val="169F1555"/>
    <w:rsid w:val="16C339B4"/>
    <w:rsid w:val="17E0367B"/>
    <w:rsid w:val="180E0AFF"/>
    <w:rsid w:val="181C3543"/>
    <w:rsid w:val="183550AA"/>
    <w:rsid w:val="1887170A"/>
    <w:rsid w:val="18BE625E"/>
    <w:rsid w:val="18E23B19"/>
    <w:rsid w:val="18F64FE1"/>
    <w:rsid w:val="193E2714"/>
    <w:rsid w:val="197D38E8"/>
    <w:rsid w:val="198960E3"/>
    <w:rsid w:val="199F0C8D"/>
    <w:rsid w:val="19A857C8"/>
    <w:rsid w:val="19C025F8"/>
    <w:rsid w:val="19CE48C9"/>
    <w:rsid w:val="19D9355D"/>
    <w:rsid w:val="1A0C3B58"/>
    <w:rsid w:val="1A761D5D"/>
    <w:rsid w:val="1A8B44E3"/>
    <w:rsid w:val="1AA07E89"/>
    <w:rsid w:val="1ABA202B"/>
    <w:rsid w:val="1AC253A6"/>
    <w:rsid w:val="1B1C0F2A"/>
    <w:rsid w:val="1B1F3315"/>
    <w:rsid w:val="1B5003E0"/>
    <w:rsid w:val="1B632526"/>
    <w:rsid w:val="1B765B82"/>
    <w:rsid w:val="1B965EA6"/>
    <w:rsid w:val="1BE62BE0"/>
    <w:rsid w:val="1CFC02BB"/>
    <w:rsid w:val="1D155786"/>
    <w:rsid w:val="1D4977E5"/>
    <w:rsid w:val="1D5F12A6"/>
    <w:rsid w:val="1DC00357"/>
    <w:rsid w:val="1DDC590A"/>
    <w:rsid w:val="1DE200F1"/>
    <w:rsid w:val="1E335181"/>
    <w:rsid w:val="1E542B3C"/>
    <w:rsid w:val="1E6472D8"/>
    <w:rsid w:val="1EAA11FB"/>
    <w:rsid w:val="1EE4458C"/>
    <w:rsid w:val="1EE740FD"/>
    <w:rsid w:val="1EE90359"/>
    <w:rsid w:val="1F2C3FB0"/>
    <w:rsid w:val="1F3A2255"/>
    <w:rsid w:val="1F7362DF"/>
    <w:rsid w:val="1FB74E43"/>
    <w:rsid w:val="1FC70F79"/>
    <w:rsid w:val="1FD44083"/>
    <w:rsid w:val="1FDB4036"/>
    <w:rsid w:val="209A7B6A"/>
    <w:rsid w:val="20B53FC7"/>
    <w:rsid w:val="20BE6021"/>
    <w:rsid w:val="20C15481"/>
    <w:rsid w:val="211076E8"/>
    <w:rsid w:val="214A627F"/>
    <w:rsid w:val="216D4A99"/>
    <w:rsid w:val="2173797E"/>
    <w:rsid w:val="218642C5"/>
    <w:rsid w:val="218B4CE9"/>
    <w:rsid w:val="21D37273"/>
    <w:rsid w:val="21E26C36"/>
    <w:rsid w:val="22092A2A"/>
    <w:rsid w:val="220D6D28"/>
    <w:rsid w:val="22C65437"/>
    <w:rsid w:val="2304797C"/>
    <w:rsid w:val="230947AF"/>
    <w:rsid w:val="231942C4"/>
    <w:rsid w:val="234940A6"/>
    <w:rsid w:val="238A7522"/>
    <w:rsid w:val="23BA6B13"/>
    <w:rsid w:val="23BE0F28"/>
    <w:rsid w:val="23CB6CF7"/>
    <w:rsid w:val="23E17F6F"/>
    <w:rsid w:val="240053EC"/>
    <w:rsid w:val="24097FEF"/>
    <w:rsid w:val="241B0907"/>
    <w:rsid w:val="242F6C37"/>
    <w:rsid w:val="249D31FD"/>
    <w:rsid w:val="24C720CA"/>
    <w:rsid w:val="24CA6AC2"/>
    <w:rsid w:val="24D972C4"/>
    <w:rsid w:val="24E92B02"/>
    <w:rsid w:val="251D6BC3"/>
    <w:rsid w:val="252565D6"/>
    <w:rsid w:val="25272087"/>
    <w:rsid w:val="253216FD"/>
    <w:rsid w:val="25473C72"/>
    <w:rsid w:val="256D4AB4"/>
    <w:rsid w:val="25A13331"/>
    <w:rsid w:val="25A57D1C"/>
    <w:rsid w:val="262557A3"/>
    <w:rsid w:val="26294A1D"/>
    <w:rsid w:val="266A0827"/>
    <w:rsid w:val="26CC410D"/>
    <w:rsid w:val="26DF2764"/>
    <w:rsid w:val="27903546"/>
    <w:rsid w:val="27B61D84"/>
    <w:rsid w:val="284D434A"/>
    <w:rsid w:val="28602EA4"/>
    <w:rsid w:val="291E1DAE"/>
    <w:rsid w:val="292C3247"/>
    <w:rsid w:val="298F4DC5"/>
    <w:rsid w:val="29DA29ED"/>
    <w:rsid w:val="2A083150"/>
    <w:rsid w:val="2A523300"/>
    <w:rsid w:val="2AE2680C"/>
    <w:rsid w:val="2AFA300F"/>
    <w:rsid w:val="2B02463D"/>
    <w:rsid w:val="2BB712A2"/>
    <w:rsid w:val="2BBE6841"/>
    <w:rsid w:val="2BD53B46"/>
    <w:rsid w:val="2BD668A3"/>
    <w:rsid w:val="2BF305D1"/>
    <w:rsid w:val="2C446861"/>
    <w:rsid w:val="2CB83AD9"/>
    <w:rsid w:val="2CD53511"/>
    <w:rsid w:val="2D2A61CE"/>
    <w:rsid w:val="2D7314ED"/>
    <w:rsid w:val="2D80707D"/>
    <w:rsid w:val="2DE2488D"/>
    <w:rsid w:val="2DF85E5A"/>
    <w:rsid w:val="2E083145"/>
    <w:rsid w:val="2ED5521A"/>
    <w:rsid w:val="2ED619F5"/>
    <w:rsid w:val="2F55251C"/>
    <w:rsid w:val="2F625C42"/>
    <w:rsid w:val="2F8C4BD5"/>
    <w:rsid w:val="2F9F3A1B"/>
    <w:rsid w:val="303322BF"/>
    <w:rsid w:val="303B0264"/>
    <w:rsid w:val="304B5E64"/>
    <w:rsid w:val="30730BA2"/>
    <w:rsid w:val="30782F4C"/>
    <w:rsid w:val="3091213D"/>
    <w:rsid w:val="30ED1CE2"/>
    <w:rsid w:val="31383B62"/>
    <w:rsid w:val="31487038"/>
    <w:rsid w:val="31AF70A8"/>
    <w:rsid w:val="31C6513D"/>
    <w:rsid w:val="31D76D86"/>
    <w:rsid w:val="32221E3A"/>
    <w:rsid w:val="328D7C02"/>
    <w:rsid w:val="32B05C3D"/>
    <w:rsid w:val="32B65903"/>
    <w:rsid w:val="32C97243"/>
    <w:rsid w:val="32D758ED"/>
    <w:rsid w:val="33012007"/>
    <w:rsid w:val="33AD15F4"/>
    <w:rsid w:val="33F65183"/>
    <w:rsid w:val="341F2A57"/>
    <w:rsid w:val="34842703"/>
    <w:rsid w:val="348450B4"/>
    <w:rsid w:val="34A065F2"/>
    <w:rsid w:val="35653C58"/>
    <w:rsid w:val="359C1A91"/>
    <w:rsid w:val="35F35215"/>
    <w:rsid w:val="3627707A"/>
    <w:rsid w:val="365C2844"/>
    <w:rsid w:val="36763EFF"/>
    <w:rsid w:val="37070C59"/>
    <w:rsid w:val="37186BCB"/>
    <w:rsid w:val="37251CAF"/>
    <w:rsid w:val="373660AC"/>
    <w:rsid w:val="37604E39"/>
    <w:rsid w:val="378D5403"/>
    <w:rsid w:val="37C02DA1"/>
    <w:rsid w:val="37D43997"/>
    <w:rsid w:val="38042CE6"/>
    <w:rsid w:val="38285B2C"/>
    <w:rsid w:val="38387BC2"/>
    <w:rsid w:val="38881FC6"/>
    <w:rsid w:val="38945642"/>
    <w:rsid w:val="38A11738"/>
    <w:rsid w:val="38CF2698"/>
    <w:rsid w:val="38D4603A"/>
    <w:rsid w:val="38F76EE1"/>
    <w:rsid w:val="392E3D2B"/>
    <w:rsid w:val="3A4719E4"/>
    <w:rsid w:val="3A5F0E06"/>
    <w:rsid w:val="3A685313"/>
    <w:rsid w:val="3B624EB3"/>
    <w:rsid w:val="3B813EB2"/>
    <w:rsid w:val="3B86129B"/>
    <w:rsid w:val="3B9F7E10"/>
    <w:rsid w:val="3BA40ED7"/>
    <w:rsid w:val="3BAA361F"/>
    <w:rsid w:val="3BE67851"/>
    <w:rsid w:val="3C025073"/>
    <w:rsid w:val="3C050B74"/>
    <w:rsid w:val="3C0D4D62"/>
    <w:rsid w:val="3C7E2383"/>
    <w:rsid w:val="3CCC5F8E"/>
    <w:rsid w:val="3CD64465"/>
    <w:rsid w:val="3D0E3394"/>
    <w:rsid w:val="3DCB471C"/>
    <w:rsid w:val="3DF509E6"/>
    <w:rsid w:val="3E253FC4"/>
    <w:rsid w:val="3E520C34"/>
    <w:rsid w:val="3E66686E"/>
    <w:rsid w:val="3E781CBE"/>
    <w:rsid w:val="3ED00895"/>
    <w:rsid w:val="3EF13B78"/>
    <w:rsid w:val="3F063B05"/>
    <w:rsid w:val="3F184BE9"/>
    <w:rsid w:val="3F96657B"/>
    <w:rsid w:val="3F9C4556"/>
    <w:rsid w:val="3FB051C0"/>
    <w:rsid w:val="3FEF33F4"/>
    <w:rsid w:val="3FF45C27"/>
    <w:rsid w:val="3FF47659"/>
    <w:rsid w:val="40017668"/>
    <w:rsid w:val="40712EC2"/>
    <w:rsid w:val="40D9690C"/>
    <w:rsid w:val="4175100A"/>
    <w:rsid w:val="41A3573D"/>
    <w:rsid w:val="41B434A1"/>
    <w:rsid w:val="41B4707C"/>
    <w:rsid w:val="41BE7A51"/>
    <w:rsid w:val="41E47DCF"/>
    <w:rsid w:val="41EA52BC"/>
    <w:rsid w:val="422A0C37"/>
    <w:rsid w:val="425B70E5"/>
    <w:rsid w:val="428B3B5D"/>
    <w:rsid w:val="431D30F1"/>
    <w:rsid w:val="43A94F44"/>
    <w:rsid w:val="43DD0189"/>
    <w:rsid w:val="43E828F9"/>
    <w:rsid w:val="43F07929"/>
    <w:rsid w:val="442B0326"/>
    <w:rsid w:val="44625BB9"/>
    <w:rsid w:val="447A0F60"/>
    <w:rsid w:val="44A620DD"/>
    <w:rsid w:val="44E52F1C"/>
    <w:rsid w:val="450E7493"/>
    <w:rsid w:val="451B5773"/>
    <w:rsid w:val="454753F6"/>
    <w:rsid w:val="457B473E"/>
    <w:rsid w:val="45A339CF"/>
    <w:rsid w:val="45BB538B"/>
    <w:rsid w:val="45C05D72"/>
    <w:rsid w:val="4616050C"/>
    <w:rsid w:val="46210DBC"/>
    <w:rsid w:val="4624734D"/>
    <w:rsid w:val="46545BE0"/>
    <w:rsid w:val="47663221"/>
    <w:rsid w:val="47D00196"/>
    <w:rsid w:val="48BF50A6"/>
    <w:rsid w:val="48C46876"/>
    <w:rsid w:val="48CA77E3"/>
    <w:rsid w:val="48E66DBF"/>
    <w:rsid w:val="490143BC"/>
    <w:rsid w:val="49246CEA"/>
    <w:rsid w:val="49255433"/>
    <w:rsid w:val="4964544D"/>
    <w:rsid w:val="498A75F9"/>
    <w:rsid w:val="49E360AC"/>
    <w:rsid w:val="49EC32AB"/>
    <w:rsid w:val="4A04095E"/>
    <w:rsid w:val="4A2E44F7"/>
    <w:rsid w:val="4A373AFF"/>
    <w:rsid w:val="4A575A8E"/>
    <w:rsid w:val="4AD6257A"/>
    <w:rsid w:val="4B3C70F3"/>
    <w:rsid w:val="4B613872"/>
    <w:rsid w:val="4B923C7B"/>
    <w:rsid w:val="4BB16E3C"/>
    <w:rsid w:val="4BF23C29"/>
    <w:rsid w:val="4D000BB8"/>
    <w:rsid w:val="4D2764E4"/>
    <w:rsid w:val="4D4F434C"/>
    <w:rsid w:val="4D553076"/>
    <w:rsid w:val="4DC16712"/>
    <w:rsid w:val="4E083898"/>
    <w:rsid w:val="4E0E52CF"/>
    <w:rsid w:val="4E200A0B"/>
    <w:rsid w:val="4E26397C"/>
    <w:rsid w:val="4E363927"/>
    <w:rsid w:val="4E3B2D1A"/>
    <w:rsid w:val="4EA90E17"/>
    <w:rsid w:val="4EC55EFA"/>
    <w:rsid w:val="4EF418A3"/>
    <w:rsid w:val="4EF92936"/>
    <w:rsid w:val="4F742655"/>
    <w:rsid w:val="4F9153B3"/>
    <w:rsid w:val="4FA53CDC"/>
    <w:rsid w:val="4FF50BC0"/>
    <w:rsid w:val="502A6882"/>
    <w:rsid w:val="504B2A65"/>
    <w:rsid w:val="50BB6A75"/>
    <w:rsid w:val="51D1142A"/>
    <w:rsid w:val="51E45E21"/>
    <w:rsid w:val="52521883"/>
    <w:rsid w:val="52783D74"/>
    <w:rsid w:val="52AB7646"/>
    <w:rsid w:val="52C0259A"/>
    <w:rsid w:val="52FE221E"/>
    <w:rsid w:val="53A129B1"/>
    <w:rsid w:val="53ED7088"/>
    <w:rsid w:val="545E660D"/>
    <w:rsid w:val="54637050"/>
    <w:rsid w:val="54C24A7B"/>
    <w:rsid w:val="555810A7"/>
    <w:rsid w:val="55902CE3"/>
    <w:rsid w:val="55A42927"/>
    <w:rsid w:val="55C124AC"/>
    <w:rsid w:val="55C422C3"/>
    <w:rsid w:val="55CD1580"/>
    <w:rsid w:val="56152A28"/>
    <w:rsid w:val="561573DE"/>
    <w:rsid w:val="56311879"/>
    <w:rsid w:val="56B87238"/>
    <w:rsid w:val="56CD28B3"/>
    <w:rsid w:val="571E2C5F"/>
    <w:rsid w:val="57351512"/>
    <w:rsid w:val="578053FE"/>
    <w:rsid w:val="57835AC7"/>
    <w:rsid w:val="57C523F6"/>
    <w:rsid w:val="57F303AA"/>
    <w:rsid w:val="58630553"/>
    <w:rsid w:val="5863246B"/>
    <w:rsid w:val="588A53A7"/>
    <w:rsid w:val="59204E23"/>
    <w:rsid w:val="595C082B"/>
    <w:rsid w:val="596E3097"/>
    <w:rsid w:val="59773EED"/>
    <w:rsid w:val="599A244A"/>
    <w:rsid w:val="59D94A1E"/>
    <w:rsid w:val="59F56D5F"/>
    <w:rsid w:val="59FE758C"/>
    <w:rsid w:val="5A2C2425"/>
    <w:rsid w:val="5B14063F"/>
    <w:rsid w:val="5B293378"/>
    <w:rsid w:val="5B301B1F"/>
    <w:rsid w:val="5B3E5312"/>
    <w:rsid w:val="5BF76753"/>
    <w:rsid w:val="5C094E91"/>
    <w:rsid w:val="5C181AA2"/>
    <w:rsid w:val="5CEC747F"/>
    <w:rsid w:val="5D175C03"/>
    <w:rsid w:val="5D534CD8"/>
    <w:rsid w:val="5D9A2ED9"/>
    <w:rsid w:val="5DBD51C2"/>
    <w:rsid w:val="5DC236EC"/>
    <w:rsid w:val="5E277524"/>
    <w:rsid w:val="5E5506C8"/>
    <w:rsid w:val="5EA2001B"/>
    <w:rsid w:val="5F0266A3"/>
    <w:rsid w:val="5F232D5B"/>
    <w:rsid w:val="5F4F005F"/>
    <w:rsid w:val="5F526F22"/>
    <w:rsid w:val="5F744292"/>
    <w:rsid w:val="5F855D12"/>
    <w:rsid w:val="5F952C60"/>
    <w:rsid w:val="5FD51C0C"/>
    <w:rsid w:val="5FF42786"/>
    <w:rsid w:val="606129E7"/>
    <w:rsid w:val="60662262"/>
    <w:rsid w:val="606B60CD"/>
    <w:rsid w:val="60F431B9"/>
    <w:rsid w:val="60F8796B"/>
    <w:rsid w:val="610B35BB"/>
    <w:rsid w:val="61731422"/>
    <w:rsid w:val="618F11E9"/>
    <w:rsid w:val="61AA1E9E"/>
    <w:rsid w:val="61CD1945"/>
    <w:rsid w:val="61EB4F88"/>
    <w:rsid w:val="620E2B02"/>
    <w:rsid w:val="624A22BB"/>
    <w:rsid w:val="626B63E3"/>
    <w:rsid w:val="62B65C75"/>
    <w:rsid w:val="62E228B8"/>
    <w:rsid w:val="633D3608"/>
    <w:rsid w:val="63487EAC"/>
    <w:rsid w:val="635349E5"/>
    <w:rsid w:val="63575F25"/>
    <w:rsid w:val="63711DD5"/>
    <w:rsid w:val="637F68CB"/>
    <w:rsid w:val="63FE2657"/>
    <w:rsid w:val="64013D86"/>
    <w:rsid w:val="64031C4A"/>
    <w:rsid w:val="642B75FC"/>
    <w:rsid w:val="643A6EA0"/>
    <w:rsid w:val="64A17E2B"/>
    <w:rsid w:val="64A849CD"/>
    <w:rsid w:val="64CF1F8E"/>
    <w:rsid w:val="64EC5A6B"/>
    <w:rsid w:val="650D77AD"/>
    <w:rsid w:val="653666D1"/>
    <w:rsid w:val="65917E54"/>
    <w:rsid w:val="6597576B"/>
    <w:rsid w:val="66090E80"/>
    <w:rsid w:val="6611701E"/>
    <w:rsid w:val="664161A9"/>
    <w:rsid w:val="66D40DCC"/>
    <w:rsid w:val="66E30B4F"/>
    <w:rsid w:val="66FB308E"/>
    <w:rsid w:val="6723482A"/>
    <w:rsid w:val="673F1F48"/>
    <w:rsid w:val="67B44705"/>
    <w:rsid w:val="67FD2A7B"/>
    <w:rsid w:val="680A1519"/>
    <w:rsid w:val="68210070"/>
    <w:rsid w:val="686A7490"/>
    <w:rsid w:val="68BB3495"/>
    <w:rsid w:val="68DB190B"/>
    <w:rsid w:val="69634496"/>
    <w:rsid w:val="69A651B9"/>
    <w:rsid w:val="69B03442"/>
    <w:rsid w:val="6A1331D9"/>
    <w:rsid w:val="6A315029"/>
    <w:rsid w:val="6AB1009A"/>
    <w:rsid w:val="6ACB360F"/>
    <w:rsid w:val="6AD25354"/>
    <w:rsid w:val="6B8860DC"/>
    <w:rsid w:val="6BAE7000"/>
    <w:rsid w:val="6BB05959"/>
    <w:rsid w:val="6BD67C2C"/>
    <w:rsid w:val="6BF91AB9"/>
    <w:rsid w:val="6C5C04D5"/>
    <w:rsid w:val="6CB13F20"/>
    <w:rsid w:val="6CCA6527"/>
    <w:rsid w:val="6CE847D1"/>
    <w:rsid w:val="6D1E181B"/>
    <w:rsid w:val="6D523363"/>
    <w:rsid w:val="6D9B2320"/>
    <w:rsid w:val="6EE31042"/>
    <w:rsid w:val="6F572D08"/>
    <w:rsid w:val="6F6858A1"/>
    <w:rsid w:val="6FB83CDB"/>
    <w:rsid w:val="6FD5142D"/>
    <w:rsid w:val="6FD548BE"/>
    <w:rsid w:val="6FE11C7C"/>
    <w:rsid w:val="6FE66B4D"/>
    <w:rsid w:val="702450BC"/>
    <w:rsid w:val="70853498"/>
    <w:rsid w:val="70FC7A0D"/>
    <w:rsid w:val="71192087"/>
    <w:rsid w:val="712F4D7E"/>
    <w:rsid w:val="713A67EE"/>
    <w:rsid w:val="71D613DB"/>
    <w:rsid w:val="720400C9"/>
    <w:rsid w:val="72074872"/>
    <w:rsid w:val="72BB4D4E"/>
    <w:rsid w:val="72BE4B83"/>
    <w:rsid w:val="73094A27"/>
    <w:rsid w:val="73200F6B"/>
    <w:rsid w:val="73EA0BCD"/>
    <w:rsid w:val="746A71CC"/>
    <w:rsid w:val="74715CA6"/>
    <w:rsid w:val="74870BE0"/>
    <w:rsid w:val="74BB1904"/>
    <w:rsid w:val="74D249BF"/>
    <w:rsid w:val="74ED4EB1"/>
    <w:rsid w:val="74F0279B"/>
    <w:rsid w:val="754358D4"/>
    <w:rsid w:val="75FF0A2F"/>
    <w:rsid w:val="761B1492"/>
    <w:rsid w:val="762A248F"/>
    <w:rsid w:val="767F7FDC"/>
    <w:rsid w:val="76F66D3B"/>
    <w:rsid w:val="770563B7"/>
    <w:rsid w:val="77432189"/>
    <w:rsid w:val="77650660"/>
    <w:rsid w:val="77DE40CB"/>
    <w:rsid w:val="77DF5581"/>
    <w:rsid w:val="781135E0"/>
    <w:rsid w:val="78305FF2"/>
    <w:rsid w:val="78694157"/>
    <w:rsid w:val="78A20774"/>
    <w:rsid w:val="78F745B5"/>
    <w:rsid w:val="78FF382D"/>
    <w:rsid w:val="792E66F3"/>
    <w:rsid w:val="79375A0C"/>
    <w:rsid w:val="796203CB"/>
    <w:rsid w:val="79B44386"/>
    <w:rsid w:val="79EE6A68"/>
    <w:rsid w:val="7A1F36B1"/>
    <w:rsid w:val="7A3E7618"/>
    <w:rsid w:val="7A5717B0"/>
    <w:rsid w:val="7AE5282F"/>
    <w:rsid w:val="7AF956FC"/>
    <w:rsid w:val="7C003A54"/>
    <w:rsid w:val="7C373DB7"/>
    <w:rsid w:val="7C4228B4"/>
    <w:rsid w:val="7C5D47C4"/>
    <w:rsid w:val="7C6B5BDD"/>
    <w:rsid w:val="7C9B7283"/>
    <w:rsid w:val="7CCB7971"/>
    <w:rsid w:val="7CF851FF"/>
    <w:rsid w:val="7D173AAC"/>
    <w:rsid w:val="7D6E0D92"/>
    <w:rsid w:val="7D7E7212"/>
    <w:rsid w:val="7D842440"/>
    <w:rsid w:val="7DA94ABE"/>
    <w:rsid w:val="7DBE0C26"/>
    <w:rsid w:val="7DF243DB"/>
    <w:rsid w:val="7DF539FA"/>
    <w:rsid w:val="7E01518F"/>
    <w:rsid w:val="7E073573"/>
    <w:rsid w:val="7E3B60DE"/>
    <w:rsid w:val="7E5E1EFC"/>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38"/>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6"/>
    <w:link w:val="39"/>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40"/>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2">
    <w:name w:val="Body Text"/>
    <w:basedOn w:val="1"/>
    <w:link w:val="43"/>
    <w:qFormat/>
    <w:locked/>
    <w:uiPriority w:val="99"/>
    <w:pPr>
      <w:spacing w:line="360" w:lineRule="auto"/>
    </w:pPr>
    <w:rPr>
      <w:rFonts w:eastAsia="仿宋_GB2312"/>
      <w:sz w:val="28"/>
    </w:rPr>
  </w:style>
  <w:style w:type="paragraph" w:styleId="6">
    <w:name w:val="Normal Indent"/>
    <w:basedOn w:val="1"/>
    <w:link w:val="54"/>
    <w:qFormat/>
    <w:uiPriority w:val="99"/>
    <w:pPr>
      <w:widowControl/>
      <w:snapToGrid w:val="0"/>
      <w:spacing w:line="480" w:lineRule="exact"/>
      <w:ind w:firstLine="567"/>
    </w:pPr>
    <w:rPr>
      <w:rFonts w:ascii="宋体"/>
      <w:snapToGrid w:val="0"/>
      <w:color w:val="000000"/>
      <w:kern w:val="28"/>
      <w:sz w:val="28"/>
      <w:szCs w:val="20"/>
    </w:rPr>
  </w:style>
  <w:style w:type="paragraph" w:styleId="8">
    <w:name w:val="List Number 2"/>
    <w:basedOn w:val="1"/>
    <w:qFormat/>
    <w:uiPriority w:val="99"/>
    <w:pPr>
      <w:numPr>
        <w:ilvl w:val="0"/>
        <w:numId w:val="2"/>
      </w:numPr>
    </w:pPr>
  </w:style>
  <w:style w:type="paragraph" w:styleId="9">
    <w:name w:val="List Number"/>
    <w:basedOn w:val="1"/>
    <w:qFormat/>
    <w:uiPriority w:val="99"/>
    <w:pPr>
      <w:numPr>
        <w:ilvl w:val="0"/>
        <w:numId w:val="3"/>
      </w:numPr>
    </w:pPr>
  </w:style>
  <w:style w:type="paragraph" w:styleId="10">
    <w:name w:val="Document Map"/>
    <w:basedOn w:val="1"/>
    <w:link w:val="41"/>
    <w:semiHidden/>
    <w:qFormat/>
    <w:locked/>
    <w:uiPriority w:val="99"/>
    <w:pPr>
      <w:shd w:val="clear" w:color="auto" w:fill="000080"/>
      <w:adjustRightInd/>
    </w:pPr>
    <w:rPr>
      <w:rFonts w:ascii="宋体"/>
      <w:sz w:val="18"/>
      <w:szCs w:val="18"/>
    </w:rPr>
  </w:style>
  <w:style w:type="paragraph" w:styleId="11">
    <w:name w:val="annotation text"/>
    <w:basedOn w:val="1"/>
    <w:link w:val="42"/>
    <w:qFormat/>
    <w:uiPriority w:val="99"/>
    <w:pPr>
      <w:adjustRightInd/>
      <w:jc w:val="left"/>
    </w:pPr>
    <w:rPr>
      <w:kern w:val="0"/>
      <w:sz w:val="24"/>
      <w:lang w:val="zh-CN"/>
    </w:rPr>
  </w:style>
  <w:style w:type="paragraph" w:styleId="12">
    <w:name w:val="Body Text Indent"/>
    <w:basedOn w:val="1"/>
    <w:link w:val="44"/>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link w:val="45"/>
    <w:qFormat/>
    <w:uiPriority w:val="99"/>
    <w:rPr>
      <w:rFonts w:ascii="宋体" w:hAnsi="Courier New"/>
      <w:kern w:val="0"/>
      <w:szCs w:val="20"/>
    </w:rPr>
  </w:style>
  <w:style w:type="paragraph" w:styleId="15">
    <w:name w:val="Date"/>
    <w:basedOn w:val="1"/>
    <w:next w:val="1"/>
    <w:link w:val="46"/>
    <w:qFormat/>
    <w:uiPriority w:val="99"/>
    <w:pPr>
      <w:ind w:left="100" w:leftChars="2500"/>
    </w:pPr>
    <w:rPr>
      <w:rFonts w:ascii="宋体"/>
      <w:kern w:val="0"/>
      <w:szCs w:val="20"/>
      <w:lang w:val="zh-CN"/>
    </w:rPr>
  </w:style>
  <w:style w:type="paragraph" w:styleId="16">
    <w:name w:val="Body Text Indent 2"/>
    <w:basedOn w:val="1"/>
    <w:link w:val="47"/>
    <w:semiHidden/>
    <w:qFormat/>
    <w:locked/>
    <w:uiPriority w:val="99"/>
    <w:pPr>
      <w:spacing w:after="120" w:line="480" w:lineRule="auto"/>
      <w:ind w:left="420" w:leftChars="200"/>
    </w:pPr>
  </w:style>
  <w:style w:type="paragraph" w:styleId="17">
    <w:name w:val="Balloon Text"/>
    <w:basedOn w:val="1"/>
    <w:link w:val="81"/>
    <w:semiHidden/>
    <w:qFormat/>
    <w:locked/>
    <w:uiPriority w:val="99"/>
    <w:rPr>
      <w:sz w:val="18"/>
      <w:szCs w:val="18"/>
    </w:rPr>
  </w:style>
  <w:style w:type="paragraph" w:styleId="18">
    <w:name w:val="footer"/>
    <w:basedOn w:val="1"/>
    <w:link w:val="48"/>
    <w:qFormat/>
    <w:uiPriority w:val="99"/>
    <w:pPr>
      <w:tabs>
        <w:tab w:val="center" w:pos="4153"/>
        <w:tab w:val="right" w:pos="8306"/>
      </w:tabs>
      <w:snapToGrid w:val="0"/>
      <w:jc w:val="left"/>
    </w:pPr>
    <w:rPr>
      <w:kern w:val="0"/>
      <w:sz w:val="18"/>
      <w:szCs w:val="18"/>
    </w:rPr>
  </w:style>
  <w:style w:type="paragraph" w:styleId="19">
    <w:name w:val="header"/>
    <w:basedOn w:val="1"/>
    <w:link w:val="53"/>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50"/>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1"/>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1"/>
    <w:next w:val="11"/>
    <w:link w:val="52"/>
    <w:qFormat/>
    <w:uiPriority w:val="99"/>
    <w:pPr>
      <w:widowControl/>
      <w:spacing w:afterLines="50"/>
    </w:pPr>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ascii="Arial" w:hAnsi="Arial" w:eastAsia="黑体" w:cs="Times New Roman"/>
      <w:snapToGrid w:val="0"/>
      <w:kern w:val="0"/>
      <w:sz w:val="21"/>
    </w:rPr>
  </w:style>
  <w:style w:type="character" w:styleId="31">
    <w:name w:val="FollowedHyperlink"/>
    <w:basedOn w:val="28"/>
    <w:qFormat/>
    <w:locked/>
    <w:uiPriority w:val="99"/>
    <w:rPr>
      <w:rFonts w:cs="Times New Roman"/>
      <w:color w:val="800080"/>
      <w:u w:val="none"/>
    </w:rPr>
  </w:style>
  <w:style w:type="character" w:styleId="32">
    <w:name w:val="Emphasis"/>
    <w:basedOn w:val="28"/>
    <w:qFormat/>
    <w:uiPriority w:val="0"/>
    <w:rPr>
      <w:rFonts w:cs="Times New Roman"/>
      <w:color w:val="CC0000"/>
      <w:sz w:val="24"/>
      <w:szCs w:val="24"/>
    </w:rPr>
  </w:style>
  <w:style w:type="character" w:styleId="33">
    <w:name w:val="Hyperlink"/>
    <w:basedOn w:val="28"/>
    <w:qFormat/>
    <w:uiPriority w:val="99"/>
    <w:rPr>
      <w:rFonts w:cs="Times New Roman"/>
      <w:color w:val="0000FF"/>
      <w:u w:val="single"/>
    </w:rPr>
  </w:style>
  <w:style w:type="character" w:styleId="34">
    <w:name w:val="annotation reference"/>
    <w:basedOn w:val="28"/>
    <w:semiHidden/>
    <w:qFormat/>
    <w:locked/>
    <w:uiPriority w:val="99"/>
    <w:rPr>
      <w:rFonts w:cs="Times New Roman"/>
      <w:sz w:val="21"/>
      <w:szCs w:val="21"/>
    </w:rPr>
  </w:style>
  <w:style w:type="paragraph" w:customStyle="1" w:styleId="35">
    <w:name w:val="[Normal]"/>
    <w:qFormat/>
    <w:uiPriority w:val="0"/>
    <w:rPr>
      <w:rFonts w:ascii="宋体" w:hAnsi="宋体" w:eastAsia="宋体" w:cs="Times New Roman"/>
      <w:sz w:val="24"/>
      <w:szCs w:val="22"/>
      <w:lang w:val="zh-CN" w:eastAsia="zh-CN" w:bidi="ar-SA"/>
    </w:rPr>
  </w:style>
  <w:style w:type="paragraph" w:customStyle="1" w:styleId="36">
    <w:name w:val="首行缩进"/>
    <w:basedOn w:val="1"/>
    <w:next w:val="2"/>
    <w:qFormat/>
    <w:uiPriority w:val="99"/>
    <w:pPr>
      <w:spacing w:line="360" w:lineRule="auto"/>
      <w:ind w:firstLine="480" w:firstLineChars="200"/>
    </w:pPr>
    <w:rPr>
      <w:sz w:val="24"/>
      <w:szCs w:val="22"/>
      <w:lang w:val="zh-CN"/>
    </w:rPr>
  </w:style>
  <w:style w:type="character" w:customStyle="1" w:styleId="37">
    <w:name w:val="标题 1 字符"/>
    <w:basedOn w:val="28"/>
    <w:link w:val="3"/>
    <w:qFormat/>
    <w:locked/>
    <w:uiPriority w:val="99"/>
    <w:rPr>
      <w:rFonts w:eastAsia="仿宋_GB2312"/>
      <w:b/>
      <w:kern w:val="44"/>
      <w:sz w:val="44"/>
      <w:szCs w:val="20"/>
    </w:rPr>
  </w:style>
  <w:style w:type="character" w:customStyle="1" w:styleId="38">
    <w:name w:val="标题 2 字符"/>
    <w:basedOn w:val="28"/>
    <w:link w:val="4"/>
    <w:semiHidden/>
    <w:qFormat/>
    <w:locked/>
    <w:uiPriority w:val="99"/>
    <w:rPr>
      <w:rFonts w:ascii="Calibri Light" w:hAnsi="Calibri Light" w:eastAsia="宋体" w:cs="Times New Roman"/>
      <w:b/>
      <w:sz w:val="32"/>
    </w:rPr>
  </w:style>
  <w:style w:type="character" w:customStyle="1" w:styleId="39">
    <w:name w:val="标题 3 字符"/>
    <w:basedOn w:val="28"/>
    <w:link w:val="5"/>
    <w:semiHidden/>
    <w:qFormat/>
    <w:locked/>
    <w:uiPriority w:val="99"/>
    <w:rPr>
      <w:rFonts w:ascii="Times New Roman" w:hAnsi="Times New Roman" w:eastAsia="宋体" w:cs="Times New Roman"/>
      <w:b/>
      <w:sz w:val="32"/>
    </w:rPr>
  </w:style>
  <w:style w:type="character" w:customStyle="1" w:styleId="40">
    <w:name w:val="标题 4 字符"/>
    <w:basedOn w:val="28"/>
    <w:link w:val="7"/>
    <w:semiHidden/>
    <w:qFormat/>
    <w:locked/>
    <w:uiPriority w:val="99"/>
    <w:rPr>
      <w:rFonts w:ascii="Calibri Light" w:hAnsi="Calibri Light" w:eastAsia="宋体" w:cs="Times New Roman"/>
      <w:b/>
      <w:sz w:val="28"/>
    </w:rPr>
  </w:style>
  <w:style w:type="character" w:customStyle="1" w:styleId="41">
    <w:name w:val="文档结构图 字符"/>
    <w:basedOn w:val="28"/>
    <w:link w:val="10"/>
    <w:semiHidden/>
    <w:qFormat/>
    <w:locked/>
    <w:uiPriority w:val="99"/>
    <w:rPr>
      <w:rFonts w:ascii="宋体" w:hAnsi="Times New Roman" w:cs="Times New Roman"/>
      <w:kern w:val="2"/>
      <w:sz w:val="18"/>
    </w:rPr>
  </w:style>
  <w:style w:type="character" w:customStyle="1" w:styleId="42">
    <w:name w:val="批注文字 字符"/>
    <w:basedOn w:val="28"/>
    <w:link w:val="11"/>
    <w:qFormat/>
    <w:locked/>
    <w:uiPriority w:val="99"/>
    <w:rPr>
      <w:rFonts w:ascii="Times New Roman" w:hAnsi="Times New Roman" w:eastAsia="宋体" w:cs="Times New Roman"/>
      <w:kern w:val="0"/>
      <w:sz w:val="24"/>
      <w:lang w:val="zh-CN" w:eastAsia="zh-CN"/>
    </w:rPr>
  </w:style>
  <w:style w:type="character" w:customStyle="1" w:styleId="43">
    <w:name w:val="正文文本 字符"/>
    <w:basedOn w:val="28"/>
    <w:link w:val="2"/>
    <w:semiHidden/>
    <w:qFormat/>
    <w:locked/>
    <w:uiPriority w:val="99"/>
    <w:rPr>
      <w:rFonts w:cs="Times New Roman"/>
      <w:sz w:val="24"/>
      <w:szCs w:val="24"/>
    </w:rPr>
  </w:style>
  <w:style w:type="character" w:customStyle="1" w:styleId="44">
    <w:name w:val="正文文本缩进 字符"/>
    <w:basedOn w:val="28"/>
    <w:link w:val="12"/>
    <w:semiHidden/>
    <w:qFormat/>
    <w:locked/>
    <w:uiPriority w:val="99"/>
    <w:rPr>
      <w:rFonts w:ascii="Times New Roman" w:hAnsi="Times New Roman" w:cs="Times New Roman"/>
      <w:sz w:val="24"/>
    </w:rPr>
  </w:style>
  <w:style w:type="character" w:customStyle="1" w:styleId="45">
    <w:name w:val="纯文本 字符"/>
    <w:basedOn w:val="28"/>
    <w:link w:val="14"/>
    <w:qFormat/>
    <w:locked/>
    <w:uiPriority w:val="99"/>
    <w:rPr>
      <w:rFonts w:ascii="宋体" w:hAnsi="Courier New" w:eastAsia="宋体" w:cs="Times New Roman"/>
      <w:snapToGrid w:val="0"/>
      <w:sz w:val="21"/>
    </w:rPr>
  </w:style>
  <w:style w:type="character" w:customStyle="1" w:styleId="46">
    <w:name w:val="日期 字符"/>
    <w:basedOn w:val="28"/>
    <w:link w:val="15"/>
    <w:qFormat/>
    <w:locked/>
    <w:uiPriority w:val="99"/>
    <w:rPr>
      <w:rFonts w:ascii="宋体" w:cs="Times New Roman"/>
      <w:sz w:val="21"/>
      <w:lang w:val="zh-CN"/>
    </w:rPr>
  </w:style>
  <w:style w:type="character" w:customStyle="1" w:styleId="47">
    <w:name w:val="正文文本缩进 2 字符"/>
    <w:basedOn w:val="28"/>
    <w:link w:val="16"/>
    <w:semiHidden/>
    <w:qFormat/>
    <w:locked/>
    <w:uiPriority w:val="99"/>
    <w:rPr>
      <w:rFonts w:cs="Times New Roman"/>
      <w:sz w:val="24"/>
      <w:szCs w:val="24"/>
    </w:rPr>
  </w:style>
  <w:style w:type="character" w:customStyle="1" w:styleId="48">
    <w:name w:val="页脚 字符"/>
    <w:basedOn w:val="28"/>
    <w:link w:val="18"/>
    <w:qFormat/>
    <w:locked/>
    <w:uiPriority w:val="99"/>
    <w:rPr>
      <w:rFonts w:ascii="Times New Roman" w:hAnsi="Times New Roman" w:eastAsia="宋体" w:cs="Times New Roman"/>
      <w:sz w:val="18"/>
    </w:rPr>
  </w:style>
  <w:style w:type="character" w:customStyle="1" w:styleId="49">
    <w:name w:val="Header Char"/>
    <w:basedOn w:val="28"/>
    <w:qFormat/>
    <w:locked/>
    <w:uiPriority w:val="99"/>
    <w:rPr>
      <w:rFonts w:ascii="Times New Roman" w:hAnsi="Times New Roman" w:eastAsia="宋体" w:cs="Times New Roman"/>
      <w:sz w:val="18"/>
    </w:rPr>
  </w:style>
  <w:style w:type="character" w:customStyle="1" w:styleId="50">
    <w:name w:val="正文文本 2 字符"/>
    <w:basedOn w:val="28"/>
    <w:link w:val="21"/>
    <w:semiHidden/>
    <w:qFormat/>
    <w:locked/>
    <w:uiPriority w:val="99"/>
    <w:rPr>
      <w:rFonts w:ascii="Times New Roman" w:hAnsi="Times New Roman" w:cs="Times New Roman"/>
      <w:sz w:val="24"/>
    </w:rPr>
  </w:style>
  <w:style w:type="character" w:customStyle="1" w:styleId="51">
    <w:name w:val="标题 字符"/>
    <w:basedOn w:val="28"/>
    <w:link w:val="24"/>
    <w:qFormat/>
    <w:locked/>
    <w:uiPriority w:val="99"/>
    <w:rPr>
      <w:rFonts w:ascii="Calibri Light" w:hAnsi="Calibri Light" w:eastAsia="宋体" w:cs="Times New Roman"/>
      <w:b/>
      <w:sz w:val="32"/>
    </w:rPr>
  </w:style>
  <w:style w:type="character" w:customStyle="1" w:styleId="52">
    <w:name w:val="批注主题 字符"/>
    <w:basedOn w:val="42"/>
    <w:link w:val="25"/>
    <w:semiHidden/>
    <w:qFormat/>
    <w:locked/>
    <w:uiPriority w:val="99"/>
    <w:rPr>
      <w:rFonts w:ascii="Times New Roman" w:hAnsi="Times New Roman" w:eastAsia="宋体" w:cs="Times New Roman"/>
      <w:b/>
      <w:kern w:val="0"/>
      <w:sz w:val="24"/>
      <w:lang w:val="zh-CN" w:eastAsia="zh-CN"/>
    </w:rPr>
  </w:style>
  <w:style w:type="character" w:customStyle="1" w:styleId="53">
    <w:name w:val="页眉 字符"/>
    <w:link w:val="19"/>
    <w:qFormat/>
    <w:locked/>
    <w:uiPriority w:val="99"/>
    <w:rPr>
      <w:rFonts w:ascii="Times New Roman" w:hAnsi="Times New Roman" w:eastAsia="宋体"/>
      <w:sz w:val="18"/>
    </w:rPr>
  </w:style>
  <w:style w:type="character" w:customStyle="1" w:styleId="54">
    <w:name w:val="正文缩进 字符"/>
    <w:link w:val="6"/>
    <w:qFormat/>
    <w:locked/>
    <w:uiPriority w:val="99"/>
    <w:rPr>
      <w:rFonts w:ascii="宋体" w:eastAsia="宋体"/>
      <w:snapToGrid w:val="0"/>
      <w:color w:val="000000"/>
      <w:kern w:val="28"/>
      <w:sz w:val="28"/>
    </w:rPr>
  </w:style>
  <w:style w:type="character" w:customStyle="1" w:styleId="55">
    <w:name w:val="日期 Char1"/>
    <w:semiHidden/>
    <w:qFormat/>
    <w:uiPriority w:val="99"/>
    <w:rPr>
      <w:rFonts w:ascii="Times New Roman" w:hAnsi="Times New Roman" w:eastAsia="宋体"/>
      <w:sz w:val="24"/>
    </w:rPr>
  </w:style>
  <w:style w:type="character" w:customStyle="1" w:styleId="56">
    <w:name w:val="纯文本 Char1"/>
    <w:semiHidden/>
    <w:qFormat/>
    <w:uiPriority w:val="99"/>
    <w:rPr>
      <w:rFonts w:ascii="宋体" w:hAnsi="Courier New" w:eastAsia="宋体"/>
      <w:sz w:val="21"/>
    </w:rPr>
  </w:style>
  <w:style w:type="paragraph" w:customStyle="1" w:styleId="5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
    <w:name w:val="列出段落1"/>
    <w:basedOn w:val="1"/>
    <w:qFormat/>
    <w:uiPriority w:val="99"/>
    <w:pPr>
      <w:spacing w:line="360" w:lineRule="auto"/>
      <w:ind w:firstLine="200" w:firstLineChars="200"/>
    </w:pPr>
    <w:rPr>
      <w:rFonts w:eastAsia="楷体_GB2312" w:cs="Lucida Sans"/>
      <w:sz w:val="24"/>
    </w:rPr>
  </w:style>
  <w:style w:type="paragraph" w:customStyle="1" w:styleId="59">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0">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2">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3">
    <w:name w:val="Char Char Char Char1"/>
    <w:basedOn w:val="1"/>
    <w:qFormat/>
    <w:uiPriority w:val="99"/>
    <w:pPr>
      <w:adjustRightInd/>
    </w:pPr>
    <w:rPr>
      <w:rFonts w:ascii="Tahoma" w:hAnsi="Tahoma"/>
      <w:sz w:val="24"/>
      <w:szCs w:val="20"/>
    </w:rPr>
  </w:style>
  <w:style w:type="paragraph" w:customStyle="1" w:styleId="64">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5">
    <w:name w:val="正文段"/>
    <w:basedOn w:val="1"/>
    <w:link w:val="71"/>
    <w:qFormat/>
    <w:uiPriority w:val="99"/>
    <w:pPr>
      <w:widowControl/>
      <w:snapToGrid w:val="0"/>
      <w:spacing w:afterLines="50"/>
      <w:ind w:firstLine="200" w:firstLineChars="200"/>
    </w:pPr>
    <w:rPr>
      <w:kern w:val="0"/>
      <w:sz w:val="24"/>
      <w:szCs w:val="20"/>
    </w:rPr>
  </w:style>
  <w:style w:type="paragraph" w:customStyle="1" w:styleId="66">
    <w:name w:val="正文2"/>
    <w:basedOn w:val="1"/>
    <w:link w:val="70"/>
    <w:qFormat/>
    <w:uiPriority w:val="99"/>
    <w:pPr>
      <w:spacing w:before="156" w:line="360" w:lineRule="auto"/>
      <w:ind w:firstLine="510" w:firstLineChars="200"/>
    </w:pPr>
    <w:rPr>
      <w:sz w:val="24"/>
      <w:szCs w:val="20"/>
    </w:rPr>
  </w:style>
  <w:style w:type="paragraph" w:customStyle="1" w:styleId="67">
    <w:name w:val="表正文"/>
    <w:basedOn w:val="1"/>
    <w:next w:val="14"/>
    <w:qFormat/>
    <w:uiPriority w:val="99"/>
    <w:rPr>
      <w:rFonts w:ascii="宋体" w:hAnsi="Courier New"/>
      <w:szCs w:val="20"/>
    </w:rPr>
  </w:style>
  <w:style w:type="character" w:customStyle="1" w:styleId="68">
    <w:name w:val="文档结构图 Char"/>
    <w:semiHidden/>
    <w:qFormat/>
    <w:uiPriority w:val="99"/>
    <w:rPr>
      <w:kern w:val="2"/>
      <w:sz w:val="24"/>
      <w:shd w:val="clear" w:color="auto" w:fill="000080"/>
    </w:rPr>
  </w:style>
  <w:style w:type="character" w:customStyle="1" w:styleId="69">
    <w:name w:val="日期 Char2"/>
    <w:qFormat/>
    <w:uiPriority w:val="99"/>
    <w:rPr>
      <w:rFonts w:ascii="楷体_GB2312" w:eastAsia="楷体_GB2312"/>
      <w:b/>
      <w:kern w:val="2"/>
      <w:sz w:val="28"/>
      <w:lang w:val="en-US" w:eastAsia="zh-CN"/>
    </w:rPr>
  </w:style>
  <w:style w:type="character" w:customStyle="1" w:styleId="70">
    <w:name w:val="正文2 Char"/>
    <w:link w:val="66"/>
    <w:qFormat/>
    <w:locked/>
    <w:uiPriority w:val="99"/>
    <w:rPr>
      <w:rFonts w:ascii="Times New Roman" w:hAnsi="Times New Roman"/>
      <w:kern w:val="2"/>
      <w:sz w:val="24"/>
    </w:rPr>
  </w:style>
  <w:style w:type="character" w:customStyle="1" w:styleId="71">
    <w:name w:val="正文段 Char"/>
    <w:link w:val="65"/>
    <w:qFormat/>
    <w:locked/>
    <w:uiPriority w:val="99"/>
    <w:rPr>
      <w:rFonts w:ascii="Times New Roman" w:hAnsi="Times New Roman"/>
      <w:sz w:val="24"/>
    </w:rPr>
  </w:style>
  <w:style w:type="paragraph" w:styleId="72">
    <w:name w:val="List Paragraph"/>
    <w:basedOn w:val="1"/>
    <w:qFormat/>
    <w:uiPriority w:val="99"/>
    <w:pPr>
      <w:ind w:left="720"/>
      <w:contextualSpacing/>
    </w:pPr>
  </w:style>
  <w:style w:type="paragraph" w:customStyle="1" w:styleId="73">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4">
    <w:name w:val="px_10"/>
    <w:qFormat/>
    <w:uiPriority w:val="99"/>
    <w:rPr>
      <w:lang w:val="zh-TW" w:eastAsia="zh-TW"/>
    </w:rPr>
  </w:style>
  <w:style w:type="paragraph" w:customStyle="1" w:styleId="75">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6">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7">
    <w:name w:val="列出段落11"/>
    <w:basedOn w:val="1"/>
    <w:qFormat/>
    <w:uiPriority w:val="99"/>
    <w:pPr>
      <w:spacing w:line="360" w:lineRule="auto"/>
      <w:ind w:firstLine="200" w:firstLineChars="200"/>
    </w:pPr>
    <w:rPr>
      <w:rFonts w:eastAsia="楷体_GB2312" w:cs="Lucida Sans"/>
      <w:sz w:val="24"/>
    </w:rPr>
  </w:style>
  <w:style w:type="paragraph" w:customStyle="1" w:styleId="78">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9">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0">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1">
    <w:name w:val="批注框文本 字符"/>
    <w:basedOn w:val="28"/>
    <w:link w:val="17"/>
    <w:semiHidden/>
    <w:qFormat/>
    <w:locked/>
    <w:uiPriority w:val="99"/>
    <w:rPr>
      <w:rFonts w:cs="Times New Roman"/>
      <w:sz w:val="2"/>
    </w:rPr>
  </w:style>
  <w:style w:type="paragraph" w:customStyle="1" w:styleId="82">
    <w:name w:val="列出段落5"/>
    <w:basedOn w:val="1"/>
    <w:qFormat/>
    <w:uiPriority w:val="34"/>
    <w:pPr>
      <w:ind w:firstLine="420" w:firstLineChars="200"/>
    </w:pPr>
    <w:rPr>
      <w:rFonts w:ascii="Calibri" w:hAnsi="Calibri"/>
      <w:sz w:val="24"/>
    </w:rPr>
  </w:style>
  <w:style w:type="paragraph" w:customStyle="1" w:styleId="83">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4">
    <w:name w:val="unnamed11"/>
    <w:basedOn w:val="28"/>
    <w:qFormat/>
    <w:uiPriority w:val="0"/>
    <w:rPr>
      <w:rFonts w:hint="eastAsia" w:ascii="宋体" w:hAnsi="宋体" w:eastAsia="宋体"/>
      <w:sz w:val="21"/>
      <w:szCs w:val="21"/>
    </w:rPr>
  </w:style>
  <w:style w:type="paragraph" w:customStyle="1" w:styleId="85">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6">
    <w:name w:val="font11"/>
    <w:basedOn w:val="28"/>
    <w:qFormat/>
    <w:uiPriority w:val="0"/>
    <w:rPr>
      <w:rFonts w:hint="default" w:ascii="微软雅黑" w:hAnsi="微软雅黑" w:eastAsia="微软雅黑" w:cs="微软雅黑"/>
      <w:color w:val="000000"/>
      <w:sz w:val="20"/>
      <w:szCs w:val="20"/>
      <w:u w:val="none"/>
    </w:rPr>
  </w:style>
  <w:style w:type="paragraph" w:customStyle="1" w:styleId="87">
    <w:name w:val="样式 首行缩进:  0.74 厘米"/>
    <w:basedOn w:val="1"/>
    <w:qFormat/>
    <w:uiPriority w:val="0"/>
    <w:pPr>
      <w:ind w:firstLine="420"/>
    </w:pPr>
    <w:rPr>
      <w:rFonts w:ascii="Arial" w:hAnsi="Arial" w:eastAsia="仿宋_GB2312" w:cs="Arial"/>
      <w:bCs/>
      <w:sz w:val="28"/>
      <w:szCs w:val="28"/>
    </w:rPr>
  </w:style>
  <w:style w:type="paragraph" w:customStyle="1" w:styleId="88">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9">
    <w:name w:val="_Style 1"/>
    <w:basedOn w:val="1"/>
    <w:qFormat/>
    <w:uiPriority w:val="99"/>
    <w:pPr>
      <w:ind w:firstLine="420" w:firstLineChars="200"/>
    </w:pPr>
  </w:style>
  <w:style w:type="paragraph" w:customStyle="1" w:styleId="90">
    <w:name w:val="_Style 2"/>
    <w:basedOn w:val="1"/>
    <w:qFormat/>
    <w:uiPriority w:val="99"/>
    <w:pPr>
      <w:ind w:firstLine="420" w:firstLineChars="200"/>
    </w:pPr>
  </w:style>
  <w:style w:type="paragraph" w:customStyle="1" w:styleId="91">
    <w:name w:val="（1）"/>
    <w:basedOn w:val="1"/>
    <w:qFormat/>
    <w:uiPriority w:val="0"/>
    <w:pPr>
      <w:numPr>
        <w:ilvl w:val="0"/>
        <w:numId w:val="5"/>
      </w:numPr>
      <w:tabs>
        <w:tab w:val="left" w:pos="961"/>
      </w:tabs>
      <w:spacing w:line="360" w:lineRule="auto"/>
    </w:pPr>
    <w:rPr>
      <w:sz w:val="24"/>
    </w:rPr>
  </w:style>
  <w:style w:type="paragraph" w:customStyle="1" w:styleId="9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CM18"/>
    <w:basedOn w:val="92"/>
    <w:next w:val="92"/>
    <w:qFormat/>
    <w:uiPriority w:val="99"/>
    <w:rPr>
      <w:rFonts w:ascii="ST Xihei" w:hAnsi="Calibri" w:eastAsia="ST Xihei"/>
      <w:color w:val="auto"/>
    </w:rPr>
  </w:style>
  <w:style w:type="character" w:customStyle="1" w:styleId="94">
    <w:name w:val="qxdate"/>
    <w:basedOn w:val="28"/>
    <w:qFormat/>
    <w:uiPriority w:val="0"/>
    <w:rPr>
      <w:color w:val="333333"/>
      <w:sz w:val="18"/>
      <w:szCs w:val="18"/>
    </w:rPr>
  </w:style>
  <w:style w:type="character" w:customStyle="1" w:styleId="95">
    <w:name w:val="cfdate"/>
    <w:basedOn w:val="28"/>
    <w:qFormat/>
    <w:uiPriority w:val="0"/>
    <w:rPr>
      <w:color w:val="333333"/>
      <w:sz w:val="18"/>
      <w:szCs w:val="18"/>
    </w:rPr>
  </w:style>
  <w:style w:type="character" w:customStyle="1" w:styleId="96">
    <w:name w:val="redfilefwwh"/>
    <w:basedOn w:val="28"/>
    <w:qFormat/>
    <w:uiPriority w:val="0"/>
    <w:rPr>
      <w:color w:val="BA2636"/>
      <w:sz w:val="18"/>
      <w:szCs w:val="18"/>
    </w:rPr>
  </w:style>
  <w:style w:type="character" w:customStyle="1" w:styleId="97">
    <w:name w:val="displayarti"/>
    <w:basedOn w:val="28"/>
    <w:qFormat/>
    <w:uiPriority w:val="0"/>
    <w:rPr>
      <w:color w:val="FFFFFF"/>
      <w:shd w:val="clear" w:color="auto" w:fill="A00000"/>
    </w:rPr>
  </w:style>
  <w:style w:type="character" w:customStyle="1" w:styleId="98">
    <w:name w:val="gjfg"/>
    <w:basedOn w:val="28"/>
    <w:qFormat/>
    <w:uiPriority w:val="0"/>
  </w:style>
  <w:style w:type="character" w:customStyle="1" w:styleId="99">
    <w:name w:val="redfilenumber"/>
    <w:basedOn w:val="28"/>
    <w:qFormat/>
    <w:uiPriority w:val="0"/>
    <w:rPr>
      <w:color w:val="BA2636"/>
      <w:sz w:val="18"/>
      <w:szCs w:val="18"/>
    </w:rPr>
  </w:style>
  <w:style w:type="character" w:customStyle="1" w:styleId="100">
    <w:name w:val="15"/>
    <w:qFormat/>
    <w:uiPriority w:val="0"/>
    <w:rPr>
      <w:rFonts w:hint="eastAsia" w:ascii="宋体" w:hAnsi="宋体" w:eastAsia="宋体" w:cs="宋体"/>
      <w:color w:val="000000"/>
      <w:sz w:val="24"/>
      <w:szCs w:val="24"/>
    </w:rPr>
  </w:style>
  <w:style w:type="paragraph" w:customStyle="1" w:styleId="101">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2">
    <w:name w:val="网格型1"/>
    <w:basedOn w:val="26"/>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3">
    <w:name w:val="0正文"/>
    <w:basedOn w:val="1"/>
    <w:qFormat/>
    <w:uiPriority w:val="0"/>
    <w:pPr>
      <w:spacing w:line="360" w:lineRule="auto"/>
      <w:ind w:firstLine="200" w:firstLineChars="200"/>
    </w:pPr>
  </w:style>
  <w:style w:type="paragraph" w:customStyle="1" w:styleId="10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5">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6">
    <w:name w:val="样式2"/>
    <w:basedOn w:val="1"/>
    <w:qFormat/>
    <w:uiPriority w:val="0"/>
    <w:pPr>
      <w:spacing w:line="360" w:lineRule="auto"/>
      <w:ind w:firstLine="200" w:firstLineChars="200"/>
    </w:pPr>
    <w:rPr>
      <w:rFonts w:ascii="仿宋_GB2312" w:eastAsia="仿宋_GB2312"/>
      <w:sz w:val="24"/>
    </w:rPr>
  </w:style>
  <w:style w:type="paragraph" w:styleId="10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正文文本1"/>
    <w:basedOn w:val="1"/>
    <w:qFormat/>
    <w:uiPriority w:val="0"/>
    <w:pPr>
      <w:spacing w:after="120"/>
    </w:pPr>
  </w:style>
  <w:style w:type="paragraph" w:customStyle="1" w:styleId="109">
    <w:name w:val="p0"/>
    <w:basedOn w:val="1"/>
    <w:qFormat/>
    <w:uiPriority w:val="0"/>
    <w:pPr>
      <w:widowControl/>
    </w:pPr>
    <w:rPr>
      <w:rFonts w:ascii="Calibri" w:hAnsi="Calibri" w:cs="Calibri"/>
      <w:kern w:val="0"/>
      <w:szCs w:val="21"/>
    </w:rPr>
  </w:style>
  <w:style w:type="paragraph" w:customStyle="1" w:styleId="110">
    <w:name w:val="正文1"/>
    <w:basedOn w:val="1"/>
    <w:next w:val="1"/>
    <w:qFormat/>
    <w:uiPriority w:val="0"/>
    <w:pPr>
      <w:tabs>
        <w:tab w:val="left" w:pos="1980"/>
        <w:tab w:val="left" w:pos="2160"/>
      </w:tabs>
      <w:spacing w:line="360" w:lineRule="auto"/>
      <w:ind w:left="2160"/>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185158-6F8C-4916-BFC3-EC90838C082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59</Pages>
  <Words>6684</Words>
  <Characters>38105</Characters>
  <Lines>317</Lines>
  <Paragraphs>89</Paragraphs>
  <TotalTime>2</TotalTime>
  <ScaleCrop>false</ScaleCrop>
  <LinksUpToDate>false</LinksUpToDate>
  <CharactersWithSpaces>44700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2020-11-05T16:05:00Z</dcterms:created>
  <dc:creator>Ting</dc:creator>
  <cp:lastModifiedBy>囍多多</cp:lastModifiedBy>
  <cp:lastPrinted>2020-08-07T08:05:00Z</cp:lastPrinted>
  <dcterms:modified xsi:type="dcterms:W3CDTF">2021-07-07T02:11:45Z</dcterms:modified>
  <dc:title>绍兴市公安局交通警察支队交警互联网支付及罚缴平台二期项目 </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5959D7E7BAE94747A9445AFA89F02736</vt:lpwstr>
  </property>
</Properties>
</file>