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241" w:firstLineChars="50"/>
        <w:jc w:val="center"/>
        <w:outlineLvl w:val="0"/>
        <w:rPr>
          <w:rFonts w:hint="eastAsia" w:ascii="隶书" w:hAnsi="Arial" w:eastAsia="隶书" w:cs="Arial"/>
          <w:b/>
          <w:sz w:val="48"/>
          <w:szCs w:val="48"/>
          <w:lang w:eastAsia="zh-CN"/>
        </w:rPr>
      </w:pPr>
      <w:r>
        <w:rPr>
          <w:rFonts w:hint="eastAsia" w:ascii="隶书" w:hAnsi="Arial" w:eastAsia="隶书" w:cs="Arial"/>
          <w:b/>
          <w:sz w:val="48"/>
          <w:szCs w:val="48"/>
          <w:lang w:eastAsia="zh-CN"/>
        </w:rPr>
        <w:t>绍兴科技馆2021年度全馆展品展项年度维保服务采购项目</w:t>
      </w:r>
    </w:p>
    <w:p>
      <w:pPr>
        <w:spacing w:line="312" w:lineRule="auto"/>
        <w:outlineLvl w:val="0"/>
        <w:rPr>
          <w:rFonts w:ascii="隶书" w:hAnsi="Arial" w:eastAsia="隶书" w:cs="Arial"/>
          <w:b/>
          <w:sz w:val="36"/>
          <w:szCs w:val="36"/>
        </w:rPr>
      </w:pPr>
    </w:p>
    <w:p>
      <w:pPr>
        <w:spacing w:line="312" w:lineRule="auto"/>
        <w:jc w:val="center"/>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jc w:val="center"/>
        <w:rPr>
          <w:rFonts w:ascii="隶书" w:eastAsia="隶书"/>
          <w:b/>
          <w:sz w:val="28"/>
          <w:szCs w:val="28"/>
        </w:rPr>
      </w:pPr>
    </w:p>
    <w:p>
      <w:pPr>
        <w:spacing w:line="312" w:lineRule="auto"/>
        <w:jc w:val="center"/>
        <w:rPr>
          <w:rFonts w:ascii="隶书" w:eastAsia="隶书"/>
          <w:b/>
          <w:sz w:val="28"/>
          <w:szCs w:val="28"/>
        </w:rPr>
      </w:pPr>
    </w:p>
    <w:p>
      <w:pPr>
        <w:spacing w:line="312" w:lineRule="auto"/>
        <w:jc w:val="center"/>
        <w:rPr>
          <w:rFonts w:hint="default" w:ascii="隶书" w:eastAsia="隶书"/>
          <w:b/>
          <w:sz w:val="28"/>
          <w:szCs w:val="28"/>
          <w:lang w:val="en-US" w:eastAsia="zh-CN"/>
        </w:rPr>
      </w:pPr>
      <w:r>
        <w:rPr>
          <w:rFonts w:hint="eastAsia" w:ascii="隶书" w:eastAsia="隶书"/>
          <w:b/>
          <w:sz w:val="28"/>
          <w:szCs w:val="28"/>
        </w:rPr>
        <w:t>招标编号:YH2021-</w:t>
      </w:r>
      <w:r>
        <w:rPr>
          <w:rFonts w:hint="eastAsia" w:ascii="隶书" w:eastAsia="隶书"/>
          <w:b/>
          <w:sz w:val="28"/>
          <w:szCs w:val="28"/>
          <w:lang w:val="en-US" w:eastAsia="zh-CN"/>
        </w:rPr>
        <w:t>06059</w:t>
      </w:r>
    </w:p>
    <w:tbl>
      <w:tblPr>
        <w:tblStyle w:val="26"/>
        <w:tblW w:w="7800" w:type="dxa"/>
        <w:jc w:val="center"/>
        <w:tblLayout w:type="fixed"/>
        <w:tblCellMar>
          <w:top w:w="0" w:type="dxa"/>
          <w:left w:w="108" w:type="dxa"/>
          <w:bottom w:w="0" w:type="dxa"/>
          <w:right w:w="108" w:type="dxa"/>
        </w:tblCellMar>
      </w:tblPr>
      <w:tblGrid>
        <w:gridCol w:w="2356"/>
        <w:gridCol w:w="5444"/>
      </w:tblGrid>
      <w:tr>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hint="eastAsia" w:ascii="隶书" w:hAnsi="宋体" w:eastAsia="隶书"/>
                <w:sz w:val="28"/>
                <w:szCs w:val="28"/>
                <w:lang w:eastAsia="zh-CN"/>
              </w:rPr>
            </w:pPr>
            <w:r>
              <w:rPr>
                <w:rFonts w:hint="eastAsia" w:ascii="隶书" w:hAnsi="宋体" w:eastAsia="隶书"/>
                <w:sz w:val="28"/>
                <w:szCs w:val="28"/>
                <w:lang w:eastAsia="zh-CN"/>
              </w:rPr>
              <w:t>绍兴科技馆</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sz w:val="28"/>
                <w:szCs w:val="28"/>
              </w:rPr>
              <w:t>二</w:t>
            </w:r>
            <w:r>
              <w:rPr>
                <w:rFonts w:ascii="隶书" w:eastAsia="隶书"/>
                <w:b/>
                <w:sz w:val="28"/>
                <w:szCs w:val="28"/>
              </w:rPr>
              <w:t>0</w:t>
            </w:r>
            <w:r>
              <w:rPr>
                <w:rFonts w:hint="eastAsia" w:ascii="隶书" w:eastAsia="隶书"/>
                <w:b/>
                <w:sz w:val="28"/>
                <w:szCs w:val="28"/>
              </w:rPr>
              <w:t>二一年</w:t>
            </w:r>
            <w:r>
              <w:rPr>
                <w:rFonts w:hint="eastAsia" w:ascii="隶书" w:eastAsia="隶书"/>
                <w:b/>
                <w:sz w:val="28"/>
                <w:szCs w:val="28"/>
                <w:lang w:eastAsia="zh-CN"/>
              </w:rPr>
              <w:t>六</w:t>
            </w:r>
            <w:r>
              <w:rPr>
                <w:rFonts w:hint="eastAsia" w:ascii="隶书" w:eastAsia="隶书"/>
                <w:b/>
                <w:sz w:val="28"/>
                <w:szCs w:val="28"/>
              </w:rPr>
              <w:t>月</w:t>
            </w:r>
          </w:p>
        </w:tc>
      </w:tr>
    </w:tbl>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288" w:lineRule="auto"/>
        <w:rPr>
          <w:rFonts w:ascii="仿宋" w:hAnsi="仿宋" w:eastAsia="仿宋" w:cs="仿宋"/>
          <w:b/>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26"/>
        <w:tblW w:w="5000" w:type="pct"/>
        <w:tblInd w:w="0" w:type="dxa"/>
        <w:tblLayout w:type="autofit"/>
        <w:tblCellMar>
          <w:top w:w="0" w:type="dxa"/>
          <w:left w:w="0" w:type="dxa"/>
          <w:bottom w:w="0" w:type="dxa"/>
          <w:right w:w="0" w:type="dxa"/>
        </w:tblCellMar>
      </w:tblPr>
      <w:tblGrid>
        <w:gridCol w:w="9026"/>
      </w:tblGrid>
      <w:tr>
        <w:tblPrEx>
          <w:tblCellMar>
            <w:top w:w="0" w:type="dxa"/>
            <w:left w:w="0" w:type="dxa"/>
            <w:bottom w:w="0" w:type="dxa"/>
            <w:right w:w="0" w:type="dxa"/>
          </w:tblCellMar>
        </w:tblPrEx>
        <w:tc>
          <w:tcPr>
            <w:tcW w:w="5000" w:type="pct"/>
            <w:vAlign w:val="center"/>
          </w:tcPr>
          <w:p>
            <w:pPr>
              <w:spacing w:line="288" w:lineRule="auto"/>
              <w:rPr>
                <w:rFonts w:ascii="仿宋" w:hAnsi="仿宋" w:eastAsia="仿宋" w:cs="仿宋"/>
                <w:sz w:val="24"/>
              </w:rPr>
            </w:pPr>
            <w:r>
              <w:rPr>
                <w:rFonts w:hint="eastAsia" w:ascii="仿宋" w:hAnsi="仿宋" w:eastAsia="仿宋" w:cs="仿宋"/>
                <w:sz w:val="24"/>
              </w:rPr>
              <w:br w:type="page"/>
            </w:r>
          </w:p>
          <w:tbl>
            <w:tblPr>
              <w:tblStyle w:val="26"/>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项目概况：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lang w:eastAsia="zh-CN"/>
                    </w:rPr>
                    <w:t>绍兴科技馆2021年度全馆展品展项年度维保服务采购项目</w:t>
                  </w:r>
                  <w:r>
                    <w:rPr>
                      <w:rFonts w:hint="eastAsia" w:ascii="仿宋" w:hAnsi="仿宋" w:eastAsia="仿宋" w:cs="仿宋"/>
                      <w:kern w:val="0"/>
                      <w:sz w:val="24"/>
                    </w:rPr>
                    <w:t>的潜在供应商应在http://www.zcygov.cn/ 获取（下载）采购文件，并于2021年</w:t>
                  </w:r>
                  <w:r>
                    <w:rPr>
                      <w:rFonts w:hint="eastAsia" w:ascii="仿宋" w:hAnsi="仿宋" w:eastAsia="仿宋" w:cs="仿宋"/>
                      <w:kern w:val="0"/>
                      <w:sz w:val="24"/>
                      <w:lang w:val="en-US" w:eastAsia="zh-CN"/>
                    </w:rPr>
                    <w:t>7</w:t>
                  </w:r>
                  <w:r>
                    <w:rPr>
                      <w:rFonts w:hint="eastAsia" w:ascii="仿宋" w:hAnsi="仿宋" w:eastAsia="仿宋" w:cs="仿宋"/>
                      <w:kern w:val="0"/>
                      <w:sz w:val="24"/>
                    </w:rPr>
                    <w:t>月</w:t>
                  </w:r>
                  <w:r>
                    <w:rPr>
                      <w:rFonts w:hint="eastAsia" w:ascii="仿宋" w:hAnsi="仿宋" w:eastAsia="仿宋" w:cs="仿宋"/>
                      <w:kern w:val="0"/>
                      <w:sz w:val="24"/>
                      <w:lang w:val="en-US" w:eastAsia="zh-CN"/>
                    </w:rPr>
                    <w:t>19</w:t>
                  </w:r>
                  <w:r>
                    <w:rPr>
                      <w:rFonts w:hint="eastAsia" w:ascii="仿宋" w:hAnsi="仿宋" w:eastAsia="仿宋" w:cs="仿宋"/>
                      <w:kern w:val="0"/>
                      <w:sz w:val="24"/>
                    </w:rPr>
                    <w:t>日</w:t>
                  </w:r>
                  <w:r>
                    <w:rPr>
                      <w:rFonts w:hint="eastAsia" w:ascii="仿宋" w:hAnsi="仿宋" w:eastAsia="仿宋" w:cs="仿宋"/>
                      <w:kern w:val="0"/>
                      <w:sz w:val="24"/>
                      <w:lang w:val="en-US" w:eastAsia="zh-CN"/>
                    </w:rPr>
                    <w:t>9</w:t>
                  </w:r>
                  <w:r>
                    <w:rPr>
                      <w:rFonts w:hint="eastAsia" w:ascii="仿宋" w:hAnsi="仿宋" w:eastAsia="仿宋" w:cs="仿宋"/>
                      <w:kern w:val="0"/>
                      <w:sz w:val="24"/>
                    </w:rPr>
                    <w:t>:</w:t>
                  </w:r>
                  <w:r>
                    <w:rPr>
                      <w:rFonts w:hint="eastAsia" w:ascii="仿宋" w:hAnsi="仿宋" w:eastAsia="仿宋" w:cs="仿宋"/>
                      <w:kern w:val="0"/>
                      <w:sz w:val="24"/>
                      <w:lang w:val="en-US" w:eastAsia="zh-CN"/>
                    </w:rPr>
                    <w:t>0</w:t>
                  </w:r>
                  <w:r>
                    <w:rPr>
                      <w:rFonts w:hint="eastAsia" w:ascii="仿宋" w:hAnsi="仿宋" w:eastAsia="仿宋" w:cs="仿宋"/>
                      <w:kern w:val="0"/>
                      <w:sz w:val="24"/>
                    </w:rPr>
                    <w:t>0（北京时间）前递交（上传）投标文件。</w:t>
                  </w:r>
                </w:p>
              </w:tc>
            </w:tr>
          </w:tbl>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一、项目基本情况 </w:t>
            </w:r>
          </w:p>
          <w:p>
            <w:pPr>
              <w:widowControl/>
              <w:snapToGrid w:val="0"/>
              <w:spacing w:line="288" w:lineRule="auto"/>
              <w:ind w:firstLine="480" w:firstLineChars="200"/>
              <w:rPr>
                <w:rFonts w:hint="default" w:ascii="仿宋" w:hAnsi="仿宋" w:eastAsia="仿宋" w:cs="仿宋"/>
                <w:kern w:val="0"/>
                <w:sz w:val="24"/>
                <w:lang w:val="en-US" w:eastAsia="zh-CN"/>
              </w:rPr>
            </w:pPr>
            <w:r>
              <w:rPr>
                <w:rFonts w:hint="eastAsia" w:ascii="仿宋" w:hAnsi="仿宋" w:eastAsia="仿宋" w:cs="仿宋"/>
                <w:kern w:val="0"/>
                <w:sz w:val="24"/>
              </w:rPr>
              <w:t>项目编号：YH2021-</w:t>
            </w:r>
            <w:r>
              <w:rPr>
                <w:rFonts w:hint="eastAsia" w:ascii="仿宋" w:hAnsi="仿宋" w:eastAsia="仿宋" w:cs="仿宋"/>
                <w:kern w:val="0"/>
                <w:sz w:val="24"/>
                <w:lang w:val="en-US" w:eastAsia="zh-CN"/>
              </w:rPr>
              <w:t>06059</w:t>
            </w:r>
          </w:p>
          <w:p>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rPr>
              <w:t>项目名称：</w:t>
            </w:r>
            <w:r>
              <w:rPr>
                <w:rFonts w:hint="eastAsia" w:ascii="仿宋" w:hAnsi="仿宋" w:eastAsia="仿宋" w:cs="仿宋"/>
                <w:kern w:val="0"/>
                <w:sz w:val="24"/>
                <w:lang w:eastAsia="zh-CN"/>
              </w:rPr>
              <w:t>绍兴科技馆2021年度全馆展品展项年度维保服务采购项目</w:t>
            </w:r>
          </w:p>
          <w:p>
            <w:pPr>
              <w:widowControl/>
              <w:snapToGrid w:val="0"/>
              <w:spacing w:line="288" w:lineRule="auto"/>
              <w:ind w:firstLine="480" w:firstLineChars="200"/>
              <w:rPr>
                <w:rFonts w:hint="eastAsia" w:ascii="仿宋" w:hAnsi="仿宋" w:eastAsia="仿宋" w:cs="仿宋"/>
                <w:kern w:val="0"/>
                <w:sz w:val="24"/>
                <w:lang w:eastAsia="zh-CN"/>
              </w:rPr>
            </w:pPr>
            <w:r>
              <w:rPr>
                <w:rFonts w:hint="eastAsia" w:ascii="仿宋" w:hAnsi="仿宋" w:eastAsia="仿宋" w:cs="仿宋"/>
                <w:kern w:val="0"/>
                <w:sz w:val="24"/>
                <w:lang w:eastAsia="zh-CN"/>
              </w:rPr>
              <w:t>采购方式：公开招标</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预算金额（元）：</w:t>
            </w:r>
            <w:r>
              <w:rPr>
                <w:rFonts w:hint="eastAsia" w:ascii="仿宋" w:hAnsi="仿宋" w:eastAsia="仿宋" w:cs="仿宋"/>
                <w:kern w:val="0"/>
                <w:sz w:val="24"/>
                <w:lang w:val="en-US" w:eastAsia="zh-CN"/>
              </w:rPr>
              <w:t>560000</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最高限价（元）：</w:t>
            </w:r>
            <w:r>
              <w:rPr>
                <w:rFonts w:hint="eastAsia" w:ascii="仿宋" w:hAnsi="仿宋" w:eastAsia="仿宋" w:cs="仿宋"/>
                <w:kern w:val="0"/>
                <w:sz w:val="24"/>
                <w:lang w:val="en-US" w:eastAsia="zh-CN"/>
              </w:rPr>
              <w:t>560000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采购需求：详见采购文件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标项一:</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标项名称:</w:t>
            </w:r>
            <w:r>
              <w:rPr>
                <w:rFonts w:hint="eastAsia" w:ascii="仿宋" w:hAnsi="仿宋" w:eastAsia="仿宋" w:cs="仿宋"/>
                <w:kern w:val="0"/>
                <w:sz w:val="24"/>
                <w:lang w:eastAsia="zh-CN"/>
              </w:rPr>
              <w:t>绍兴科技馆2021年度全馆展品展项年度维保服务采购项目</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数量:不限</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预算金额（元）：</w:t>
            </w:r>
            <w:r>
              <w:rPr>
                <w:rFonts w:hint="eastAsia" w:ascii="仿宋" w:hAnsi="仿宋" w:eastAsia="仿宋" w:cs="仿宋"/>
                <w:kern w:val="0"/>
                <w:sz w:val="24"/>
                <w:lang w:val="en-US" w:eastAsia="zh-CN"/>
              </w:rPr>
              <w:t>560000</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简要规格描述或项目基本概况介绍、用途：详见采购文件。 </w:t>
            </w:r>
          </w:p>
          <w:p>
            <w:pPr>
              <w:pStyle w:val="65"/>
              <w:spacing w:afterLines="0" w:line="288" w:lineRule="auto"/>
              <w:ind w:left="479" w:leftChars="228" w:firstLine="0" w:firstLineChars="0"/>
              <w:rPr>
                <w:rFonts w:ascii="仿宋" w:hAnsi="仿宋" w:eastAsia="仿宋" w:cs="仿宋"/>
                <w:szCs w:val="24"/>
              </w:rPr>
            </w:pPr>
            <w:r>
              <w:rPr>
                <w:rFonts w:hint="eastAsia" w:ascii="仿宋" w:hAnsi="仿宋" w:eastAsia="仿宋" w:cs="仿宋"/>
                <w:szCs w:val="24"/>
              </w:rPr>
              <w:t>备注：无。</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合同履约期限：按双方合同约定条款执行。</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本项目（否）接受联合体投标。</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二、申请人的资格要求：</w:t>
            </w:r>
          </w:p>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2.落实政府采购政策需满足的资格要求：无。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3.本项目的特定资格要求：无。</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时间：/至2021年</w:t>
            </w:r>
            <w:r>
              <w:rPr>
                <w:rFonts w:hint="eastAsia" w:ascii="仿宋" w:hAnsi="仿宋" w:eastAsia="仿宋" w:cs="仿宋"/>
                <w:kern w:val="0"/>
                <w:sz w:val="24"/>
                <w:lang w:val="en-US" w:eastAsia="zh-CN"/>
              </w:rPr>
              <w:t>7</w:t>
            </w:r>
            <w:r>
              <w:rPr>
                <w:rFonts w:hint="eastAsia" w:ascii="仿宋" w:hAnsi="仿宋" w:eastAsia="仿宋" w:cs="仿宋"/>
                <w:kern w:val="0"/>
                <w:sz w:val="24"/>
              </w:rPr>
              <w:t>月</w:t>
            </w:r>
            <w:r>
              <w:rPr>
                <w:rFonts w:hint="eastAsia" w:ascii="仿宋" w:hAnsi="仿宋" w:eastAsia="仿宋" w:cs="仿宋"/>
                <w:kern w:val="0"/>
                <w:sz w:val="24"/>
                <w:lang w:val="en-US" w:eastAsia="zh-CN"/>
              </w:rPr>
              <w:t>19</w:t>
            </w:r>
            <w:r>
              <w:rPr>
                <w:rFonts w:hint="eastAsia" w:ascii="仿宋" w:hAnsi="仿宋" w:eastAsia="仿宋" w:cs="仿宋"/>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地点（网址）：</w:t>
            </w:r>
            <w:r>
              <w:rPr>
                <w:rFonts w:hint="eastAsia" w:ascii="仿宋" w:hAnsi="仿宋" w:eastAsia="仿宋" w:cs="仿宋"/>
                <w:bCs/>
                <w:kern w:val="0"/>
                <w:sz w:val="24"/>
              </w:rPr>
              <w:t>http://www.zcygov.cn/</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方式：</w:t>
            </w:r>
            <w:r>
              <w:rPr>
                <w:rFonts w:hint="eastAsia" w:ascii="仿宋" w:hAnsi="仿宋" w:eastAsia="仿宋" w:cs="仿宋"/>
                <w:bCs/>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售价（元）：0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四、提交投标文件截止时间、开标时间和地点</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提交投标文件截止时间：2021年</w:t>
            </w:r>
            <w:r>
              <w:rPr>
                <w:rFonts w:hint="eastAsia" w:ascii="仿宋" w:hAnsi="仿宋" w:eastAsia="仿宋" w:cs="仿宋"/>
                <w:kern w:val="0"/>
                <w:sz w:val="24"/>
                <w:lang w:val="en-US" w:eastAsia="zh-CN"/>
              </w:rPr>
              <w:t>7</w:t>
            </w:r>
            <w:r>
              <w:rPr>
                <w:rFonts w:hint="eastAsia" w:ascii="仿宋" w:hAnsi="仿宋" w:eastAsia="仿宋" w:cs="仿宋"/>
                <w:kern w:val="0"/>
                <w:sz w:val="24"/>
              </w:rPr>
              <w:t>月</w:t>
            </w:r>
            <w:r>
              <w:rPr>
                <w:rFonts w:hint="eastAsia" w:ascii="仿宋" w:hAnsi="仿宋" w:eastAsia="仿宋" w:cs="仿宋"/>
                <w:kern w:val="0"/>
                <w:sz w:val="24"/>
                <w:lang w:val="en-US" w:eastAsia="zh-CN"/>
              </w:rPr>
              <w:t>19</w:t>
            </w:r>
            <w:r>
              <w:rPr>
                <w:rFonts w:hint="eastAsia" w:ascii="仿宋" w:hAnsi="仿宋" w:eastAsia="仿宋" w:cs="仿宋"/>
                <w:kern w:val="0"/>
                <w:sz w:val="24"/>
              </w:rPr>
              <w:t>日</w:t>
            </w:r>
            <w:r>
              <w:rPr>
                <w:rFonts w:hint="eastAsia" w:ascii="仿宋" w:hAnsi="仿宋" w:eastAsia="仿宋" w:cs="仿宋"/>
                <w:kern w:val="0"/>
                <w:sz w:val="24"/>
                <w:lang w:val="en-US" w:eastAsia="zh-CN"/>
              </w:rPr>
              <w:t>9</w:t>
            </w:r>
            <w:r>
              <w:rPr>
                <w:rFonts w:hint="eastAsia" w:ascii="仿宋" w:hAnsi="仿宋" w:eastAsia="仿宋" w:cs="仿宋"/>
                <w:kern w:val="0"/>
                <w:sz w:val="24"/>
              </w:rPr>
              <w:t>:</w:t>
            </w:r>
            <w:r>
              <w:rPr>
                <w:rFonts w:hint="eastAsia" w:ascii="仿宋" w:hAnsi="仿宋" w:eastAsia="仿宋" w:cs="仿宋"/>
                <w:kern w:val="0"/>
                <w:sz w:val="24"/>
                <w:lang w:val="en-US" w:eastAsia="zh-CN"/>
              </w:rPr>
              <w:t>0</w:t>
            </w:r>
            <w:r>
              <w:rPr>
                <w:rFonts w:hint="eastAsia" w:ascii="仿宋" w:hAnsi="仿宋" w:eastAsia="仿宋" w:cs="仿宋"/>
                <w:kern w:val="0"/>
                <w:sz w:val="24"/>
              </w:rPr>
              <w:t>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投标地点（网址）：</w:t>
            </w:r>
            <w:r>
              <w:rPr>
                <w:rFonts w:hint="eastAsia" w:ascii="仿宋" w:hAnsi="仿宋" w:eastAsia="仿宋" w:cs="仿宋"/>
                <w:bCs/>
                <w:kern w:val="0"/>
                <w:sz w:val="24"/>
              </w:rPr>
              <w:t>http://www.zcygov.cn/</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开标时间：2021年</w:t>
            </w:r>
            <w:r>
              <w:rPr>
                <w:rFonts w:hint="eastAsia" w:ascii="仿宋" w:hAnsi="仿宋" w:eastAsia="仿宋" w:cs="仿宋"/>
                <w:kern w:val="0"/>
                <w:sz w:val="24"/>
                <w:lang w:val="en-US" w:eastAsia="zh-CN"/>
              </w:rPr>
              <w:t>7</w:t>
            </w:r>
            <w:r>
              <w:rPr>
                <w:rFonts w:hint="eastAsia" w:ascii="仿宋" w:hAnsi="仿宋" w:eastAsia="仿宋" w:cs="仿宋"/>
                <w:kern w:val="0"/>
                <w:sz w:val="24"/>
              </w:rPr>
              <w:t>月</w:t>
            </w:r>
            <w:r>
              <w:rPr>
                <w:rFonts w:hint="eastAsia" w:ascii="仿宋" w:hAnsi="仿宋" w:eastAsia="仿宋" w:cs="仿宋"/>
                <w:kern w:val="0"/>
                <w:sz w:val="24"/>
                <w:lang w:val="en-US" w:eastAsia="zh-CN"/>
              </w:rPr>
              <w:t>19</w:t>
            </w:r>
            <w:r>
              <w:rPr>
                <w:rFonts w:hint="eastAsia" w:ascii="仿宋" w:hAnsi="仿宋" w:eastAsia="仿宋" w:cs="仿宋"/>
                <w:kern w:val="0"/>
                <w:sz w:val="24"/>
              </w:rPr>
              <w:t>日</w:t>
            </w:r>
            <w:r>
              <w:rPr>
                <w:rFonts w:hint="eastAsia" w:ascii="仿宋" w:hAnsi="仿宋" w:eastAsia="仿宋" w:cs="仿宋"/>
                <w:kern w:val="0"/>
                <w:sz w:val="24"/>
                <w:lang w:val="en-US" w:eastAsia="zh-CN"/>
              </w:rPr>
              <w:t>9</w:t>
            </w:r>
            <w:r>
              <w:rPr>
                <w:rFonts w:hint="eastAsia" w:ascii="仿宋" w:hAnsi="仿宋" w:eastAsia="仿宋" w:cs="仿宋"/>
                <w:kern w:val="0"/>
                <w:sz w:val="24"/>
              </w:rPr>
              <w:t>:</w:t>
            </w:r>
            <w:r>
              <w:rPr>
                <w:rFonts w:hint="eastAsia" w:ascii="仿宋" w:hAnsi="仿宋" w:eastAsia="仿宋" w:cs="仿宋"/>
                <w:kern w:val="0"/>
                <w:sz w:val="24"/>
                <w:lang w:val="en-US" w:eastAsia="zh-CN"/>
              </w:rPr>
              <w:t>0</w:t>
            </w:r>
            <w:r>
              <w:rPr>
                <w:rFonts w:hint="eastAsia" w:ascii="仿宋" w:hAnsi="仿宋" w:eastAsia="仿宋" w:cs="仿宋"/>
                <w:kern w:val="0"/>
                <w:sz w:val="24"/>
              </w:rPr>
              <w:t>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开标地点（网址）：</w:t>
            </w:r>
            <w:r>
              <w:rPr>
                <w:rFonts w:hint="eastAsia" w:ascii="仿宋" w:hAnsi="仿宋" w:eastAsia="仿宋" w:cs="仿宋"/>
                <w:bCs/>
                <w:sz w:val="24"/>
              </w:rPr>
              <w:t>耀华建设管理有限公司绍兴迪荡分公司（</w:t>
            </w:r>
            <w:r>
              <w:rPr>
                <w:rFonts w:hint="eastAsia" w:ascii="仿宋" w:hAnsi="仿宋" w:eastAsia="仿宋" w:cs="仿宋"/>
                <w:kern w:val="0"/>
                <w:sz w:val="24"/>
              </w:rPr>
              <w:t>绍兴市越城区阳明北路80号滨江大厦C楼3楼9/10号</w:t>
            </w:r>
            <w:r>
              <w:rPr>
                <w:rFonts w:hint="eastAsia" w:ascii="仿宋" w:hAnsi="仿宋" w:eastAsia="仿宋" w:cs="仿宋"/>
                <w:bCs/>
                <w:sz w:val="24"/>
              </w:rPr>
              <w:t>）开标室</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五、公告期限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自本公告发布之日起5个工作日。</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六、其他补充事宜</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2.其他事项：无。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名称：</w:t>
            </w:r>
            <w:r>
              <w:rPr>
                <w:rFonts w:hint="eastAsia" w:ascii="仿宋" w:hAnsi="仿宋" w:eastAsia="仿宋" w:cs="仿宋"/>
                <w:kern w:val="0"/>
                <w:sz w:val="24"/>
                <w:lang w:eastAsia="zh-CN"/>
              </w:rPr>
              <w:t>绍兴科技馆</w:t>
            </w:r>
            <w:r>
              <w:rPr>
                <w:rFonts w:hint="eastAsia" w:ascii="仿宋" w:hAnsi="仿宋" w:eastAsia="仿宋" w:cs="仿宋"/>
                <w:kern w:val="0"/>
                <w:sz w:val="24"/>
              </w:rPr>
              <w:t xml:space="preserve">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地址：绍兴市洋江西路528号 </w:t>
            </w:r>
          </w:p>
          <w:p>
            <w:pPr>
              <w:widowControl/>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eastAsia="zh-CN"/>
              </w:rPr>
              <w:t>项目联系人（询问）：冯春兰</w:t>
            </w:r>
          </w:p>
          <w:p>
            <w:pPr>
              <w:widowControl/>
              <w:snapToGrid w:val="0"/>
              <w:spacing w:line="288" w:lineRule="auto"/>
              <w:ind w:firstLine="480" w:firstLineChars="200"/>
              <w:rPr>
                <w:rFonts w:hint="eastAsia" w:ascii="仿宋" w:hAnsi="仿宋" w:eastAsia="仿宋" w:cs="仿宋"/>
                <w:kern w:val="0"/>
                <w:sz w:val="24"/>
                <w:highlight w:val="none"/>
                <w:lang w:val="en-US" w:eastAsia="zh-CN"/>
              </w:rPr>
            </w:pPr>
            <w:r>
              <w:rPr>
                <w:rFonts w:hint="eastAsia" w:ascii="仿宋" w:hAnsi="仿宋" w:eastAsia="仿宋" w:cs="仿宋"/>
                <w:kern w:val="0"/>
                <w:sz w:val="24"/>
                <w:highlight w:val="none"/>
                <w:lang w:eastAsia="zh-CN"/>
              </w:rPr>
              <w:t>项目联系方式（询问）：</w:t>
            </w:r>
            <w:r>
              <w:rPr>
                <w:rFonts w:hint="eastAsia" w:ascii="仿宋" w:hAnsi="仿宋" w:eastAsia="仿宋" w:cs="仿宋"/>
                <w:kern w:val="0"/>
                <w:sz w:val="24"/>
                <w:highlight w:val="none"/>
                <w:lang w:val="en-US" w:eastAsia="zh-CN"/>
              </w:rPr>
              <w:t>0575-88009626</w:t>
            </w:r>
          </w:p>
          <w:p>
            <w:pPr>
              <w:widowControl/>
              <w:snapToGrid w:val="0"/>
              <w:spacing w:line="288" w:lineRule="auto"/>
              <w:ind w:firstLine="480" w:firstLineChars="200"/>
              <w:rPr>
                <w:rFonts w:hint="eastAsia" w:ascii="仿宋" w:hAnsi="仿宋" w:eastAsia="仿宋" w:cs="仿宋"/>
                <w:kern w:val="0"/>
                <w:sz w:val="24"/>
                <w:highlight w:val="none"/>
                <w:lang w:eastAsia="zh-CN"/>
              </w:rPr>
            </w:pPr>
            <w:r>
              <w:rPr>
                <w:rFonts w:hint="eastAsia" w:ascii="仿宋" w:hAnsi="仿宋" w:eastAsia="仿宋" w:cs="仿宋"/>
                <w:kern w:val="0"/>
                <w:sz w:val="24"/>
                <w:highlight w:val="none"/>
                <w:lang w:eastAsia="zh-CN"/>
              </w:rPr>
              <w:t>质疑联系人：劳奇奇</w:t>
            </w:r>
          </w:p>
          <w:p>
            <w:pPr>
              <w:widowControl/>
              <w:snapToGrid w:val="0"/>
              <w:spacing w:line="288" w:lineRule="auto"/>
              <w:ind w:firstLine="480" w:firstLineChars="200"/>
              <w:rPr>
                <w:rFonts w:hint="default" w:ascii="仿宋" w:hAnsi="仿宋" w:eastAsia="仿宋" w:cs="仿宋"/>
                <w:kern w:val="0"/>
                <w:sz w:val="24"/>
                <w:highlight w:val="none"/>
                <w:lang w:val="en-US" w:eastAsia="zh-CN"/>
              </w:rPr>
            </w:pPr>
            <w:r>
              <w:rPr>
                <w:rFonts w:hint="eastAsia" w:ascii="仿宋" w:hAnsi="仿宋" w:eastAsia="仿宋" w:cs="仿宋"/>
                <w:kern w:val="0"/>
                <w:sz w:val="24"/>
                <w:highlight w:val="none"/>
                <w:lang w:eastAsia="zh-CN"/>
              </w:rPr>
              <w:t>质疑联系方式：</w:t>
            </w:r>
            <w:r>
              <w:rPr>
                <w:rFonts w:hint="eastAsia" w:ascii="仿宋" w:hAnsi="仿宋" w:eastAsia="仿宋" w:cs="仿宋"/>
                <w:kern w:val="0"/>
                <w:sz w:val="24"/>
                <w:highlight w:val="none"/>
                <w:lang w:val="en-US" w:eastAsia="zh-CN"/>
              </w:rPr>
              <w:t>0575-88009617</w:t>
            </w:r>
            <w:bookmarkStart w:id="7" w:name="_GoBack"/>
            <w:bookmarkEnd w:id="7"/>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2.采购代理机构信息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名称：耀华建设管理有限公司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项目联系人（询问）：栾雪明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项目联系方式（询问）：0575-88776697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质疑联系人：单成燕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质疑联系方式：0575-88336881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3.同级政府采购监督管理部门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名称：绍兴市财政局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地址：绍兴市越城区凤林西路151号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联系人 ：应春兴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监督投诉电话：0575-85209806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tc>
      </w:tr>
    </w:tbl>
    <w:p>
      <w:pPr>
        <w:widowControl/>
        <w:spacing w:line="288" w:lineRule="auto"/>
        <w:jc w:val="left"/>
        <w:rPr>
          <w:rFonts w:ascii="仿宋" w:hAnsi="仿宋" w:eastAsia="仿宋" w:cs="仿宋"/>
          <w:kern w:val="0"/>
          <w:sz w:val="24"/>
        </w:rPr>
      </w:pPr>
    </w:p>
    <w:p>
      <w:pPr>
        <w:widowControl/>
        <w:spacing w:line="288" w:lineRule="auto"/>
        <w:jc w:val="left"/>
        <w:rPr>
          <w:rFonts w:ascii="仿宋" w:hAnsi="仿宋" w:eastAsia="仿宋" w:cs="仿宋"/>
          <w:kern w:val="0"/>
          <w:sz w:val="24"/>
        </w:rPr>
      </w:pPr>
      <w:r>
        <w:rPr>
          <w:rFonts w:hint="eastAsia" w:ascii="仿宋" w:hAnsi="仿宋" w:eastAsia="仿宋" w:cs="仿宋"/>
          <w:sz w:val="24"/>
        </w:rPr>
        <w:br w:type="page"/>
      </w: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第二部分 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26"/>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营业执照复印件、2020年度资产负债表等财务报表资料文件、依法缴纳税收和社会保障资金的良好记录证明、参加本次政府采购活动前三年内，在经营活动中没有重大违法记录的声明（详见格式范例）。</w:t>
            </w:r>
          </w:p>
          <w:p>
            <w:pPr>
              <w:snapToGrid w:val="0"/>
              <w:spacing w:line="288" w:lineRule="auto"/>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288" w:lineRule="auto"/>
              <w:rPr>
                <w:rFonts w:ascii="仿宋" w:hAnsi="仿宋" w:eastAsia="仿宋" w:cs="仿宋"/>
                <w:sz w:val="24"/>
                <w:u w:val="single"/>
              </w:rPr>
            </w:pPr>
            <w:r>
              <w:rPr>
                <w:rFonts w:hint="eastAsia" w:ascii="仿宋" w:hAnsi="仿宋" w:eastAsia="仿宋" w:cs="仿宋"/>
                <w:b/>
                <w:sz w:val="24"/>
              </w:rPr>
              <w:t>（3）特许资格、资信证明文件（如果有）：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288" w:lineRule="auto"/>
              <w:jc w:val="center"/>
              <w:rPr>
                <w:rFonts w:ascii="仿宋" w:hAnsi="仿宋" w:eastAsia="仿宋" w:cs="仿宋"/>
                <w:sz w:val="24"/>
                <w:highlight w:val="none"/>
              </w:rPr>
            </w:pPr>
            <w:r>
              <w:rPr>
                <w:rFonts w:hint="eastAsia" w:ascii="仿宋" w:hAnsi="仿宋" w:eastAsia="仿宋" w:cs="仿宋"/>
                <w:sz w:val="24"/>
                <w:highlight w:val="none"/>
              </w:rPr>
              <w:t>8</w:t>
            </w:r>
          </w:p>
        </w:tc>
        <w:tc>
          <w:tcPr>
            <w:tcW w:w="8371" w:type="dxa"/>
            <w:gridSpan w:val="2"/>
            <w:vAlign w:val="center"/>
          </w:tcPr>
          <w:p>
            <w:pPr>
              <w:spacing w:line="288" w:lineRule="auto"/>
              <w:rPr>
                <w:rFonts w:hint="eastAsia" w:ascii="仿宋" w:hAnsi="仿宋" w:eastAsia="仿宋" w:cs="仿宋"/>
                <w:sz w:val="24"/>
                <w:highlight w:val="none"/>
                <w:lang w:eastAsia="zh-CN"/>
              </w:rPr>
            </w:pPr>
            <w:r>
              <w:rPr>
                <w:rFonts w:hint="eastAsia" w:ascii="仿宋" w:hAnsi="仿宋" w:eastAsia="仿宋" w:cs="仿宋"/>
                <w:b/>
                <w:color w:val="auto"/>
                <w:sz w:val="24"/>
                <w:highlight w:val="none"/>
              </w:rPr>
              <w:t>演示(讲解)：</w:t>
            </w:r>
            <w:r>
              <w:rPr>
                <w:rFonts w:hint="eastAsia" w:ascii="仿宋" w:hAnsi="仿宋" w:eastAsia="仿宋" w:cs="仿宋"/>
                <w:b/>
                <w:color w:val="auto"/>
                <w:sz w:val="24"/>
                <w:highlight w:val="none"/>
                <w:lang w:eastAsia="zh-CN"/>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55"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869"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855"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288" w:lineRule="auto"/>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288" w:lineRule="auto"/>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napToGrid w:val="0"/>
              <w:spacing w:line="288" w:lineRule="auto"/>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napToGrid w:val="0"/>
              <w:spacing w:line="288" w:lineRule="auto"/>
              <w:rPr>
                <w:rFonts w:ascii="仿宋" w:hAnsi="仿宋" w:eastAsia="仿宋" w:cs="仿宋"/>
                <w:sz w:val="24"/>
              </w:rPr>
            </w:pPr>
            <w:r>
              <w:rPr>
                <w:rFonts w:hint="eastAsia" w:ascii="仿宋" w:hAnsi="仿宋" w:eastAsia="仿宋" w:cs="仿宋"/>
                <w:sz w:val="24"/>
              </w:rPr>
              <w:t>《CA驱动和申领流程》:</w:t>
            </w:r>
          </w:p>
          <w:p>
            <w:pPr>
              <w:snapToGrid w:val="0"/>
              <w:spacing w:line="288" w:lineRule="auto"/>
              <w:rPr>
                <w:rFonts w:ascii="仿宋" w:hAnsi="仿宋" w:eastAsia="仿宋" w:cs="仿宋"/>
                <w:sz w:val="24"/>
              </w:rPr>
            </w:pPr>
            <w:r>
              <w:rPr>
                <w:rFonts w:hint="eastAsia" w:ascii="仿宋" w:hAnsi="仿宋" w:eastAsia="仿宋" w:cs="仿宋"/>
                <w:sz w:val="24"/>
              </w:rPr>
              <w:t>http://zfcg.czt.zj.gov.cn//bidClientTemplate/2019-05-27/12945.html</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33"/>
                <w:rFonts w:hint="eastAsia" w:ascii="仿宋" w:hAnsi="仿宋" w:eastAsia="仿宋" w:cs="仿宋"/>
                <w:color w:val="auto"/>
                <w:sz w:val="24"/>
              </w:rPr>
              <w:t>https://help.zcygov.cn/web/site_2/2018/12-28/2573.html</w:t>
            </w:r>
            <w:r>
              <w:rPr>
                <w:rStyle w:val="33"/>
                <w:rFonts w:hint="eastAsia" w:ascii="仿宋" w:hAnsi="仿宋" w:eastAsia="仿宋" w:cs="仿宋"/>
                <w:color w:val="auto"/>
                <w:sz w:val="24"/>
              </w:rPr>
              <w:fldChar w:fldCharType="end"/>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1" w:type="dxa"/>
            <w:gridSpan w:val="2"/>
            <w:vAlign w:val="center"/>
          </w:tcPr>
          <w:p>
            <w:pPr>
              <w:spacing w:line="340" w:lineRule="exact"/>
              <w:rPr>
                <w:rFonts w:ascii="仿宋" w:hAnsi="仿宋" w:eastAsia="仿宋" w:cs="仿宋"/>
                <w:b/>
                <w:bCs/>
                <w:sz w:val="24"/>
                <w:highlight w:val="none"/>
              </w:rPr>
            </w:pPr>
            <w:r>
              <w:rPr>
                <w:rFonts w:hint="eastAsia" w:ascii="仿宋" w:hAnsi="仿宋" w:eastAsia="仿宋" w:cs="仿宋"/>
                <w:b/>
                <w:bCs/>
                <w:sz w:val="24"/>
                <w:highlight w:val="none"/>
              </w:rPr>
              <w:t>其他：代理服务费等</w:t>
            </w:r>
          </w:p>
          <w:p>
            <w:pPr>
              <w:spacing w:line="340" w:lineRule="exact"/>
              <w:rPr>
                <w:rFonts w:hint="eastAsia" w:ascii="仿宋" w:hAnsi="仿宋" w:eastAsia="仿宋" w:cs="仿宋"/>
                <w:sz w:val="24"/>
                <w:highlight w:val="none"/>
              </w:rPr>
            </w:pPr>
            <w:r>
              <w:rPr>
                <w:rFonts w:hint="eastAsia" w:ascii="仿宋" w:hAnsi="仿宋" w:eastAsia="仿宋" w:cs="仿宋"/>
                <w:sz w:val="24"/>
                <w:highlight w:val="none"/>
              </w:rPr>
              <w:t>中标人须向招标代理机构交纳代理服务费：</w:t>
            </w:r>
          </w:p>
          <w:p>
            <w:pPr>
              <w:spacing w:line="340" w:lineRule="exact"/>
              <w:rPr>
                <w:rFonts w:ascii="仿宋" w:hAnsi="仿宋" w:eastAsia="仿宋" w:cs="仿宋"/>
                <w:sz w:val="24"/>
                <w:highlight w:val="none"/>
              </w:rPr>
            </w:pPr>
            <w:r>
              <w:rPr>
                <w:rFonts w:hint="eastAsia" w:ascii="仿宋" w:hAnsi="仿宋" w:eastAsia="仿宋" w:cs="仿宋"/>
                <w:sz w:val="24"/>
                <w:highlight w:val="none"/>
              </w:rPr>
              <w:t>（</w:t>
            </w:r>
            <w:r>
              <w:rPr>
                <w:rFonts w:ascii="仿宋" w:hAnsi="仿宋" w:eastAsia="仿宋" w:cs="仿宋"/>
                <w:sz w:val="24"/>
                <w:highlight w:val="none"/>
              </w:rPr>
              <w:t>1</w:t>
            </w:r>
            <w:r>
              <w:rPr>
                <w:rFonts w:hint="eastAsia" w:ascii="仿宋" w:hAnsi="仿宋" w:eastAsia="仿宋" w:cs="仿宋"/>
                <w:sz w:val="24"/>
                <w:highlight w:val="none"/>
              </w:rPr>
              <w:t>）以中标通知中确定的中标总金额作为服务费的计算基数，收费标准参照《国家计委关于印发</w:t>
            </w:r>
            <w:r>
              <w:rPr>
                <w:rFonts w:ascii="仿宋" w:hAnsi="仿宋" w:eastAsia="仿宋" w:cs="仿宋"/>
                <w:sz w:val="24"/>
                <w:highlight w:val="none"/>
              </w:rPr>
              <w:t>&lt;</w:t>
            </w:r>
            <w:r>
              <w:rPr>
                <w:rFonts w:hint="eastAsia" w:ascii="仿宋" w:hAnsi="仿宋" w:eastAsia="仿宋" w:cs="仿宋"/>
                <w:sz w:val="24"/>
                <w:highlight w:val="none"/>
              </w:rPr>
              <w:t>招标代理服务收费管理暂行办法</w:t>
            </w:r>
            <w:r>
              <w:rPr>
                <w:rFonts w:ascii="仿宋" w:hAnsi="仿宋" w:eastAsia="仿宋" w:cs="仿宋"/>
                <w:sz w:val="24"/>
                <w:highlight w:val="none"/>
              </w:rPr>
              <w:t>&gt;</w:t>
            </w:r>
            <w:r>
              <w:rPr>
                <w:rFonts w:hint="eastAsia" w:ascii="仿宋" w:hAnsi="仿宋" w:eastAsia="仿宋" w:cs="仿宋"/>
                <w:sz w:val="24"/>
                <w:highlight w:val="none"/>
              </w:rPr>
              <w:t>的通知》（计价格</w:t>
            </w:r>
            <w:r>
              <w:rPr>
                <w:rFonts w:ascii="仿宋" w:hAnsi="仿宋" w:eastAsia="仿宋" w:cs="仿宋"/>
                <w:sz w:val="24"/>
                <w:highlight w:val="none"/>
              </w:rPr>
              <w:t>[2002]1980</w:t>
            </w:r>
            <w:r>
              <w:rPr>
                <w:rFonts w:hint="eastAsia" w:ascii="仿宋" w:hAnsi="仿宋" w:eastAsia="仿宋" w:cs="仿宋"/>
                <w:sz w:val="24"/>
                <w:highlight w:val="none"/>
              </w:rPr>
              <w:t>号）</w:t>
            </w:r>
            <w:r>
              <w:rPr>
                <w:rFonts w:hint="eastAsia" w:ascii="仿宋" w:hAnsi="仿宋" w:eastAsia="仿宋" w:cs="仿宋"/>
                <w:b/>
                <w:bCs/>
                <w:sz w:val="24"/>
                <w:highlight w:val="none"/>
                <w:u w:val="single"/>
              </w:rPr>
              <w:t>五折</w:t>
            </w:r>
            <w:r>
              <w:rPr>
                <w:rFonts w:hint="eastAsia" w:ascii="仿宋" w:hAnsi="仿宋" w:eastAsia="仿宋" w:cs="仿宋"/>
                <w:sz w:val="24"/>
                <w:highlight w:val="none"/>
              </w:rPr>
              <w:t>收取。收费标准：中标金额在</w:t>
            </w:r>
            <w:r>
              <w:rPr>
                <w:rFonts w:ascii="仿宋" w:hAnsi="仿宋" w:eastAsia="仿宋" w:cs="仿宋"/>
                <w:sz w:val="24"/>
                <w:highlight w:val="none"/>
              </w:rPr>
              <w:t>100</w:t>
            </w:r>
            <w:r>
              <w:rPr>
                <w:rFonts w:hint="eastAsia" w:ascii="仿宋" w:hAnsi="仿宋" w:eastAsia="仿宋" w:cs="仿宋"/>
                <w:sz w:val="24"/>
                <w:highlight w:val="none"/>
              </w:rPr>
              <w:t>万以下部分为</w:t>
            </w:r>
            <w:r>
              <w:rPr>
                <w:rFonts w:ascii="仿宋" w:hAnsi="仿宋" w:eastAsia="仿宋" w:cs="仿宋"/>
                <w:sz w:val="24"/>
                <w:highlight w:val="none"/>
              </w:rPr>
              <w:t>1.5%</w:t>
            </w:r>
            <w:r>
              <w:rPr>
                <w:rFonts w:hint="eastAsia" w:ascii="仿宋" w:hAnsi="仿宋" w:eastAsia="仿宋" w:cs="仿宋"/>
                <w:sz w:val="24"/>
                <w:highlight w:val="none"/>
              </w:rPr>
              <w:t>。</w:t>
            </w:r>
          </w:p>
          <w:p>
            <w:pPr>
              <w:spacing w:line="340" w:lineRule="exac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2</w:t>
            </w:r>
            <w:r>
              <w:rPr>
                <w:rFonts w:hint="eastAsia" w:ascii="仿宋" w:hAnsi="仿宋" w:eastAsia="仿宋" w:cs="仿宋"/>
                <w:sz w:val="24"/>
                <w:highlight w:val="none"/>
              </w:rPr>
              <w:t>）代理服务费的交纳方式：</w:t>
            </w:r>
          </w:p>
          <w:p>
            <w:pPr>
              <w:spacing w:line="340" w:lineRule="exact"/>
              <w:rPr>
                <w:rFonts w:ascii="仿宋" w:hAnsi="仿宋" w:eastAsia="仿宋" w:cs="仿宋"/>
                <w:sz w:val="24"/>
                <w:highlight w:val="none"/>
              </w:rPr>
            </w:pPr>
            <w:r>
              <w:rPr>
                <w:rFonts w:hint="eastAsia" w:ascii="仿宋" w:hAnsi="仿宋" w:eastAsia="仿宋" w:cs="仿宋"/>
                <w:sz w:val="24"/>
                <w:highlight w:val="none"/>
              </w:rPr>
              <w:t>用银行支票、汇票、电汇、现金等付款方式直接交纳代理服务费。</w:t>
            </w:r>
          </w:p>
          <w:p>
            <w:pPr>
              <w:spacing w:line="340" w:lineRule="exact"/>
              <w:rPr>
                <w:rFonts w:ascii="仿宋" w:hAnsi="仿宋" w:eastAsia="仿宋" w:cs="仿宋"/>
                <w:sz w:val="24"/>
                <w:highlight w:val="none"/>
              </w:rPr>
            </w:pPr>
            <w:r>
              <w:rPr>
                <w:rFonts w:hint="eastAsia" w:ascii="仿宋" w:hAnsi="仿宋" w:eastAsia="仿宋" w:cs="仿宋"/>
                <w:sz w:val="24"/>
                <w:highlight w:val="none"/>
              </w:rPr>
              <w:t>公司名称：耀华建设管理有限公司绍兴迪荡分公司</w:t>
            </w:r>
          </w:p>
          <w:p>
            <w:pPr>
              <w:spacing w:line="340" w:lineRule="exact"/>
              <w:rPr>
                <w:rFonts w:ascii="仿宋" w:hAnsi="仿宋" w:eastAsia="仿宋" w:cs="仿宋"/>
                <w:sz w:val="24"/>
                <w:highlight w:val="none"/>
              </w:rPr>
            </w:pPr>
            <w:r>
              <w:rPr>
                <w:rFonts w:hint="eastAsia" w:ascii="仿宋" w:hAnsi="仿宋" w:eastAsia="仿宋" w:cs="仿宋"/>
                <w:sz w:val="24"/>
                <w:highlight w:val="none"/>
              </w:rPr>
              <w:t>账    号：336006190018819003083</w:t>
            </w:r>
          </w:p>
          <w:p>
            <w:pPr>
              <w:spacing w:line="340" w:lineRule="exact"/>
              <w:rPr>
                <w:rFonts w:ascii="仿宋" w:hAnsi="仿宋" w:eastAsia="仿宋" w:cs="仿宋"/>
                <w:sz w:val="24"/>
                <w:highlight w:val="none"/>
              </w:rPr>
            </w:pPr>
            <w:r>
              <w:rPr>
                <w:rFonts w:hint="eastAsia" w:ascii="仿宋" w:hAnsi="仿宋" w:eastAsia="仿宋" w:cs="仿宋"/>
                <w:sz w:val="24"/>
                <w:highlight w:val="none"/>
              </w:rPr>
              <w:t>开 户 行：交通银行股份有限公司绍兴迪荡支行</w:t>
            </w:r>
          </w:p>
          <w:p>
            <w:pPr>
              <w:snapToGrid w:val="0"/>
              <w:spacing w:line="288" w:lineRule="auto"/>
              <w:rPr>
                <w:rFonts w:ascii="仿宋" w:hAnsi="仿宋" w:eastAsia="仿宋" w:cs="仿宋"/>
                <w:sz w:val="24"/>
              </w:rPr>
            </w:pPr>
            <w:r>
              <w:rPr>
                <w:rFonts w:hint="eastAsia" w:ascii="仿宋" w:hAnsi="仿宋" w:eastAsia="仿宋" w:cs="仿宋"/>
                <w:sz w:val="24"/>
                <w:highlight w:val="none"/>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rPr>
          <w:rFonts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hint="eastAsia" w:ascii="仿宋" w:hAnsi="仿宋" w:eastAsia="仿宋" w:cs="仿宋"/>
          <w:b/>
          <w:sz w:val="36"/>
          <w:szCs w:val="36"/>
        </w:rPr>
      </w:pPr>
    </w:p>
    <w:p>
      <w:pPr>
        <w:snapToGrid w:val="0"/>
        <w:spacing w:line="288" w:lineRule="auto"/>
        <w:jc w:val="center"/>
        <w:rPr>
          <w:rFonts w:ascii="仿宋" w:hAnsi="仿宋" w:eastAsia="仿宋" w:cs="仿宋"/>
          <w:b/>
          <w:sz w:val="36"/>
          <w:szCs w:val="36"/>
        </w:rPr>
      </w:pPr>
      <w:r>
        <w:rPr>
          <w:rFonts w:hint="eastAsia" w:ascii="仿宋" w:hAnsi="仿宋" w:eastAsia="仿宋" w:cs="仿宋"/>
          <w:b/>
          <w:sz w:val="36"/>
          <w:szCs w:val="36"/>
        </w:rPr>
        <w:t>一、总则</w:t>
      </w:r>
    </w:p>
    <w:p>
      <w:pPr>
        <w:snapToGrid w:val="0"/>
        <w:spacing w:line="288" w:lineRule="auto"/>
        <w:jc w:val="left"/>
        <w:rPr>
          <w:rFonts w:ascii="仿宋" w:hAnsi="仿宋" w:eastAsia="仿宋" w:cs="仿宋"/>
          <w:sz w:val="24"/>
        </w:rPr>
      </w:pPr>
      <w:r>
        <w:rPr>
          <w:rFonts w:hint="eastAsia" w:ascii="仿宋" w:hAnsi="仿宋" w:eastAsia="仿宋" w:cs="仿宋"/>
          <w:b/>
          <w:bCs/>
          <w:sz w:val="24"/>
        </w:rPr>
        <w:t>1. 项目说明</w:t>
      </w:r>
    </w:p>
    <w:p>
      <w:pPr>
        <w:snapToGrid w:val="0"/>
        <w:spacing w:line="288" w:lineRule="auto"/>
        <w:jc w:val="left"/>
        <w:rPr>
          <w:rFonts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snapToGrid w:val="0"/>
        <w:spacing w:line="288" w:lineRule="auto"/>
        <w:jc w:val="left"/>
        <w:rPr>
          <w:rFonts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snapToGrid w:val="0"/>
        <w:spacing w:line="288" w:lineRule="auto"/>
        <w:jc w:val="left"/>
        <w:rPr>
          <w:rFonts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288" w:lineRule="auto"/>
        <w:jc w:val="left"/>
        <w:rPr>
          <w:rFonts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snapToGrid w:val="0"/>
        <w:spacing w:line="288" w:lineRule="auto"/>
        <w:jc w:val="left"/>
        <w:rPr>
          <w:rFonts w:ascii="仿宋" w:hAnsi="仿宋" w:eastAsia="仿宋" w:cs="仿宋"/>
          <w:b/>
          <w:sz w:val="24"/>
        </w:rPr>
      </w:pPr>
      <w:r>
        <w:rPr>
          <w:rFonts w:hint="eastAsia" w:ascii="仿宋" w:hAnsi="仿宋" w:eastAsia="仿宋" w:cs="仿宋"/>
          <w:b/>
          <w:sz w:val="24"/>
        </w:rPr>
        <w:t>2.定义</w:t>
      </w:r>
    </w:p>
    <w:p>
      <w:pPr>
        <w:snapToGrid w:val="0"/>
        <w:spacing w:line="288" w:lineRule="auto"/>
        <w:jc w:val="left"/>
        <w:rPr>
          <w:rFonts w:ascii="仿宋" w:hAnsi="仿宋" w:eastAsia="仿宋" w:cs="仿宋"/>
          <w:sz w:val="24"/>
        </w:rPr>
      </w:pPr>
      <w:r>
        <w:rPr>
          <w:rFonts w:hint="eastAsia" w:ascii="仿宋" w:hAnsi="仿宋" w:eastAsia="仿宋" w:cs="仿宋"/>
          <w:sz w:val="24"/>
        </w:rPr>
        <w:t>2.1政府采购当事人及监管部门：</w:t>
      </w:r>
      <w:r>
        <w:rPr>
          <w:rFonts w:hint="eastAsia" w:ascii="仿宋" w:hAnsi="仿宋" w:eastAsia="仿宋" w:cs="仿宋"/>
          <w:sz w:val="24"/>
          <w:lang w:eastAsia="zh-CN"/>
        </w:rPr>
        <w:t>绍兴科技馆</w:t>
      </w:r>
      <w:r>
        <w:rPr>
          <w:rFonts w:hint="eastAsia" w:ascii="仿宋" w:hAnsi="仿宋" w:eastAsia="仿宋" w:cs="仿宋"/>
          <w:sz w:val="24"/>
        </w:rPr>
        <w:t>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2.2“产品”系指供方按招标文件规定，经合法途径取得的，须向采购人提供的一切产品、保险、税金、安装、施工、调试、备品备件、工具、手册及其它有关技术资料和材料。</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2.3“服务”系指招标文件规定投标人须承担的安装、调试、技术协助、校准、培训、技术指导以及其他类似的义务。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2.4“项目”系指投标人按招标文件规定向采购人提供的产品和服务。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2.5“授权代表”系指法定代表人的被授权委托人。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pPr>
        <w:spacing w:line="288" w:lineRule="auto"/>
        <w:rPr>
          <w:rFonts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 节能环保要求</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288" w:lineRule="auto"/>
        <w:rPr>
          <w:rFonts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spacing w:line="288" w:lineRule="auto"/>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pPr>
        <w:spacing w:line="288" w:lineRule="auto"/>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pPr>
        <w:spacing w:line="288" w:lineRule="auto"/>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pPr>
        <w:spacing w:line="288" w:lineRule="auto"/>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pPr>
        <w:spacing w:line="288" w:lineRule="auto"/>
        <w:rPr>
          <w:rFonts w:ascii="仿宋" w:hAnsi="仿宋" w:eastAsia="仿宋" w:cs="仿宋"/>
          <w:sz w:val="24"/>
        </w:rPr>
      </w:pPr>
      <w:r>
        <w:rPr>
          <w:rFonts w:hint="eastAsia" w:ascii="仿宋" w:hAnsi="仿宋" w:eastAsia="仿宋" w:cs="仿宋"/>
          <w:sz w:val="24"/>
        </w:rPr>
        <w:t>3.3.4小微企业应按照招标文件格式要求提供《中小企业声明函》。</w:t>
      </w:r>
    </w:p>
    <w:p>
      <w:pPr>
        <w:spacing w:line="288" w:lineRule="auto"/>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288" w:lineRule="auto"/>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pPr>
        <w:spacing w:line="288" w:lineRule="auto"/>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3.3.7符合《关于促进残疾人就业政府采购政策的通知》（财库〔2017〕141号）规定的条件并提供《残疾人福利性单位声明函》（附件1）的残疾人福利性单位视同小微企业；</w:t>
      </w:r>
    </w:p>
    <w:p>
      <w:pPr>
        <w:spacing w:line="288" w:lineRule="auto"/>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★4.特别说明：</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spacing w:line="288" w:lineRule="auto"/>
        <w:rPr>
          <w:rFonts w:ascii="仿宋" w:hAnsi="仿宋" w:eastAsia="仿宋" w:cs="仿宋"/>
          <w:color w:val="000000" w:themeColor="text1"/>
          <w:sz w:val="24"/>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napToGrid w:val="0"/>
        <w:spacing w:line="288" w:lineRule="auto"/>
        <w:jc w:val="center"/>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8"/>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4.1 招标文件包括本招标文件及所有的招标答疑记录（澄清、修改）和发出的补充通知。</w:t>
      </w:r>
    </w:p>
    <w:p>
      <w:pPr>
        <w:snapToGrid w:val="0"/>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snapToGrid w:val="0"/>
        <w:spacing w:line="284" w:lineRule="auto"/>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4" w:lineRule="auto"/>
        <w:jc w:val="left"/>
        <w:rPr>
          <w:rFonts w:ascii="仿宋" w:hAnsi="仿宋" w:eastAsia="仿宋" w:cs="仿宋"/>
          <w:sz w:val="24"/>
        </w:rPr>
      </w:pPr>
      <w:r>
        <w:rPr>
          <w:rFonts w:hint="eastAsia" w:ascii="仿宋" w:hAnsi="仿宋" w:eastAsia="仿宋" w:cs="仿宋"/>
          <w:sz w:val="24"/>
        </w:rPr>
        <w:t>4.3招标文件的修改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ind w:firstLine="480" w:firstLineChars="200"/>
        <w:jc w:val="left"/>
        <w:rPr>
          <w:rFonts w:ascii="仿宋" w:hAnsi="仿宋" w:eastAsia="仿宋" w:cs="仿宋"/>
          <w:b/>
          <w:sz w:val="36"/>
          <w:szCs w:val="36"/>
        </w:rPr>
      </w:pPr>
      <w:r>
        <w:rPr>
          <w:rFonts w:hint="eastAsia" w:ascii="仿宋" w:hAnsi="仿宋" w:eastAsia="仿宋" w:cs="仿宋"/>
          <w:bCs/>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三、投标文件</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1.投标文件的语言、计量单位、形式及效力</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pPr>
        <w:snapToGrid w:val="0"/>
        <w:spacing w:line="288" w:lineRule="auto"/>
        <w:ind w:firstLine="472" w:firstLineChars="196"/>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2.投标文件的组成</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投标文件由“报价文件资料”、“商务技术（资信）文件资料”两部分组成，其中</w:t>
      </w:r>
      <w:r>
        <w:rPr>
          <w:rFonts w:hint="eastAsia" w:ascii="仿宋" w:hAnsi="仿宋" w:eastAsia="仿宋" w:cs="仿宋"/>
          <w:b/>
          <w:color w:val="000000" w:themeColor="text1"/>
          <w:sz w:val="24"/>
        </w:rPr>
        <w:t>电子投标文件中所须加盖公章部分均应采用电子签章。</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 “报价文件资料”应包含以下内容：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2.1.1投标响应函（格式见第六部分附件）； </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2.1.2开标一览表（格式见第六部分附件）；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2.1.3中小企业声明函（如有，格式见第六部分附件）；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2.1.4残疾人福利性单位声明函（如有，格式见第六部分附件）。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 “商务技术（资信）文件资料”应包括以下内容（正本用原件）：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2.2.1法定代表人授权委托书(格式见第六部分附件)；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2.2.2授权代表社保证明（格式见第六部分附件）；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2.2.3法定代表人身份证明书（格式见第六部分附件）；</w:t>
      </w:r>
    </w:p>
    <w:p>
      <w:pPr>
        <w:snapToGrid w:val="0"/>
        <w:spacing w:line="288" w:lineRule="auto"/>
        <w:rPr>
          <w:rFonts w:ascii="仿宋" w:hAnsi="仿宋" w:eastAsia="仿宋" w:cs="仿宋"/>
          <w:kern w:val="0"/>
          <w:sz w:val="24"/>
        </w:rPr>
      </w:pPr>
      <w:r>
        <w:rPr>
          <w:rFonts w:hint="eastAsia" w:ascii="仿宋" w:hAnsi="仿宋" w:eastAsia="仿宋" w:cs="仿宋"/>
          <w:sz w:val="24"/>
        </w:rPr>
        <w:t>2.2.4相关资质证明或文件复印件（均需加盖公章）：</w:t>
      </w:r>
      <w:r>
        <w:rPr>
          <w:rFonts w:hint="eastAsia" w:ascii="仿宋" w:hAnsi="仿宋" w:eastAsia="仿宋" w:cs="仿宋"/>
          <w:kern w:val="0"/>
          <w:sz w:val="24"/>
        </w:rPr>
        <w:t>证明其符合《中华人民共和国政府采购法》规定的供应商基本条件和采购项目对供应商的特定要求</w:t>
      </w:r>
      <w:r>
        <w:rPr>
          <w:rFonts w:hint="eastAsia" w:ascii="仿宋" w:hAnsi="仿宋" w:eastAsia="仿宋" w:cs="仿宋"/>
          <w:sz w:val="24"/>
        </w:rPr>
        <w:t>（如果项目要求）</w:t>
      </w:r>
      <w:r>
        <w:rPr>
          <w:rFonts w:hint="eastAsia" w:ascii="仿宋" w:hAnsi="仿宋" w:eastAsia="仿宋" w:cs="仿宋"/>
          <w:kern w:val="0"/>
          <w:sz w:val="24"/>
        </w:rPr>
        <w:t>的有关资格证明文件。</w:t>
      </w:r>
    </w:p>
    <w:p>
      <w:pPr>
        <w:pStyle w:val="14"/>
        <w:spacing w:line="288" w:lineRule="auto"/>
        <w:ind w:firstLine="480" w:firstLineChars="200"/>
        <w:rPr>
          <w:rFonts w:ascii="仿宋" w:hAnsi="仿宋" w:eastAsia="仿宋" w:cs="仿宋"/>
          <w:sz w:val="24"/>
        </w:rPr>
      </w:pPr>
      <w:bookmarkStart w:id="0" w:name="_Hlt68403820"/>
      <w:bookmarkEnd w:id="0"/>
      <w:bookmarkStart w:id="1" w:name="_Hlt68072998"/>
      <w:bookmarkEnd w:id="1"/>
      <w:bookmarkStart w:id="2" w:name="_Hlt68073093"/>
      <w:bookmarkEnd w:id="2"/>
      <w:r>
        <w:rPr>
          <w:rFonts w:hint="eastAsia" w:ascii="仿宋" w:hAnsi="仿宋" w:eastAsia="仿宋" w:cs="仿宋"/>
          <w:sz w:val="24"/>
        </w:rPr>
        <w:t>（1）营业执照(或事业法人登记证或其他工商等登记证明材料)复印件，实施“五证合一、一照一码”登记制度改革的，只需提供改革后取得的营业执照复印件 ；</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（2）2020年度资产负债表等财务报表资料文件(新成立的公司提供情况证明)；</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（3）具有履行合同所必需的设备和专业技术能力的承诺函；</w:t>
      </w:r>
    </w:p>
    <w:p>
      <w:pPr>
        <w:spacing w:line="288" w:lineRule="auto"/>
        <w:ind w:firstLine="480" w:firstLineChars="200"/>
        <w:rPr>
          <w:rFonts w:ascii="仿宋" w:hAnsi="仿宋" w:eastAsia="仿宋" w:cs="仿宋"/>
          <w:sz w:val="24"/>
          <w:szCs w:val="20"/>
        </w:rPr>
      </w:pPr>
      <w:r>
        <w:rPr>
          <w:rFonts w:hint="eastAsia" w:ascii="仿宋" w:hAnsi="仿宋" w:eastAsia="仿宋" w:cs="仿宋"/>
          <w:sz w:val="24"/>
        </w:rPr>
        <w:t>（4）参加本次政府采购活动前三年内，在经营活动中没有重大违法记录的声明（</w:t>
      </w:r>
      <w:r>
        <w:rPr>
          <w:rFonts w:hint="eastAsia" w:ascii="仿宋" w:hAnsi="仿宋" w:eastAsia="仿宋" w:cs="仿宋"/>
          <w:sz w:val="24"/>
          <w:szCs w:val="20"/>
        </w:rPr>
        <w:t>需要特别声明“没有因违反《浙江省政府采购供应商注册及诚信管理暂行办法》被列入‘黑名单’，在处罚有效期”）；</w:t>
      </w:r>
    </w:p>
    <w:p>
      <w:pPr>
        <w:spacing w:line="288" w:lineRule="auto"/>
        <w:ind w:firstLine="480" w:firstLineChars="200"/>
        <w:rPr>
          <w:rFonts w:ascii="仿宋" w:hAnsi="仿宋" w:eastAsia="仿宋" w:cs="仿宋"/>
          <w:sz w:val="24"/>
          <w:szCs w:val="20"/>
        </w:rPr>
      </w:pPr>
      <w:r>
        <w:rPr>
          <w:rFonts w:hint="eastAsia" w:ascii="仿宋" w:hAnsi="仿宋" w:eastAsia="仿宋" w:cs="仿宋"/>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8" w:lineRule="auto"/>
        <w:ind w:firstLine="480" w:firstLineChars="200"/>
        <w:rPr>
          <w:rFonts w:ascii="仿宋" w:hAnsi="仿宋" w:eastAsia="仿宋" w:cs="仿宋"/>
          <w:sz w:val="24"/>
          <w:szCs w:val="20"/>
        </w:rPr>
      </w:pPr>
      <w:r>
        <w:rPr>
          <w:rFonts w:hint="eastAsia" w:ascii="仿宋" w:hAnsi="仿宋" w:eastAsia="仿宋" w:cs="仿宋"/>
          <w:kern w:val="0"/>
          <w:sz w:val="24"/>
        </w:rPr>
        <w:t>(6</w:t>
      </w:r>
      <w:r>
        <w:rPr>
          <w:rFonts w:hint="eastAsia" w:ascii="仿宋" w:hAnsi="仿宋" w:eastAsia="仿宋" w:cs="仿宋"/>
          <w:sz w:val="24"/>
        </w:rPr>
        <w:t>)</w:t>
      </w:r>
      <w:r>
        <w:rPr>
          <w:rFonts w:hint="eastAsia" w:ascii="仿宋" w:hAnsi="仿宋" w:eastAsia="仿宋" w:cs="仿宋"/>
          <w:sz w:val="24"/>
          <w:szCs w:val="20"/>
        </w:rPr>
        <w:t>提供依法缴纳税收和社会保障资金的良好记录证明，税收和社保证明打印时间不得早于投标截止时间前1个月；</w:t>
      </w:r>
    </w:p>
    <w:p>
      <w:pPr>
        <w:snapToGrid w:val="0"/>
        <w:spacing w:line="288" w:lineRule="auto"/>
        <w:ind w:firstLine="480" w:firstLineChars="200"/>
        <w:rPr>
          <w:rFonts w:ascii="仿宋" w:hAnsi="仿宋" w:eastAsia="仿宋" w:cs="仿宋"/>
          <w:sz w:val="24"/>
        </w:rPr>
      </w:pPr>
      <w:r>
        <w:rPr>
          <w:rFonts w:hint="eastAsia" w:ascii="仿宋" w:hAnsi="仿宋" w:eastAsia="仿宋" w:cs="仿宋"/>
          <w:kern w:val="0"/>
          <w:sz w:val="24"/>
        </w:rPr>
        <w:t>(7</w:t>
      </w:r>
      <w:r>
        <w:rPr>
          <w:rFonts w:hint="eastAsia" w:ascii="仿宋" w:hAnsi="仿宋" w:eastAsia="仿宋" w:cs="仿宋"/>
          <w:sz w:val="24"/>
        </w:rPr>
        <w:t>)符合特定资格条件（如果项目要求）的有关证明材料（复印件）；</w:t>
      </w:r>
    </w:p>
    <w:p>
      <w:pPr>
        <w:pStyle w:val="14"/>
        <w:snapToGrid w:val="0"/>
        <w:spacing w:line="288" w:lineRule="auto"/>
        <w:rPr>
          <w:rFonts w:ascii="仿宋" w:hAnsi="仿宋" w:eastAsia="仿宋" w:cs="仿宋"/>
          <w:sz w:val="24"/>
          <w:lang w:val="zh-CN"/>
        </w:rPr>
      </w:pPr>
      <w:r>
        <w:rPr>
          <w:rFonts w:hint="eastAsia" w:ascii="仿宋" w:hAnsi="仿宋" w:eastAsia="仿宋" w:cs="仿宋"/>
          <w:sz w:val="24"/>
        </w:rPr>
        <w:t>2.2.5</w:t>
      </w:r>
      <w:r>
        <w:rPr>
          <w:rFonts w:hint="eastAsia" w:ascii="仿宋" w:hAnsi="仿宋" w:eastAsia="仿宋" w:cs="仿宋"/>
          <w:sz w:val="24"/>
          <w:lang w:val="zh-CN"/>
        </w:rPr>
        <w:t>投标人应提供针对项目的完整技术解决方案：</w:t>
      </w:r>
    </w:p>
    <w:p>
      <w:pPr>
        <w:snapToGrid w:val="0"/>
        <w:spacing w:line="288" w:lineRule="auto"/>
        <w:ind w:firstLine="480" w:firstLineChars="200"/>
        <w:rPr>
          <w:rFonts w:ascii="仿宋" w:hAnsi="仿宋" w:eastAsia="仿宋" w:cs="仿宋"/>
          <w:kern w:val="0"/>
          <w:sz w:val="24"/>
          <w:lang w:val="zh-CN"/>
        </w:rPr>
      </w:pPr>
      <w:r>
        <w:rPr>
          <w:rFonts w:hint="eastAsia" w:ascii="仿宋" w:hAnsi="仿宋" w:eastAsia="仿宋" w:cs="仿宋"/>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cs="仿宋"/>
          <w:sz w:val="24"/>
        </w:rPr>
      </w:pPr>
      <w:r>
        <w:rPr>
          <w:rFonts w:hint="eastAsia" w:ascii="仿宋" w:hAnsi="仿宋" w:eastAsia="仿宋" w:cs="仿宋"/>
          <w:b/>
          <w:sz w:val="24"/>
        </w:rPr>
        <w:t>如果本项目涉及硬件设备采购，还需提供相关设备完整配置方案（设备名称、品牌、规格型号、数量、主要技术参数等）</w:t>
      </w:r>
      <w:r>
        <w:rPr>
          <w:rFonts w:hint="eastAsia" w:ascii="仿宋" w:hAnsi="仿宋" w:eastAsia="仿宋" w:cs="仿宋"/>
          <w:sz w:val="24"/>
        </w:rPr>
        <w:t>，</w:t>
      </w:r>
      <w:r>
        <w:rPr>
          <w:rFonts w:hint="eastAsia" w:ascii="仿宋" w:hAnsi="仿宋" w:eastAsia="仿宋" w:cs="仿宋"/>
          <w:b/>
          <w:sz w:val="24"/>
        </w:rPr>
        <w:t>提供主要投标产品的技术参数证明材料（如原厂技术说明、官网截图、产品彩页等），</w:t>
      </w:r>
      <w:r>
        <w:rPr>
          <w:rFonts w:hint="eastAsia" w:ascii="仿宋" w:hAnsi="仿宋" w:eastAsia="仿宋" w:cs="仿宋"/>
          <w:sz w:val="24"/>
        </w:rPr>
        <w:t>明确表示该项指标所涉及的软硬件是标准配置还是选择配置</w:t>
      </w:r>
      <w:r>
        <w:rPr>
          <w:rFonts w:hint="eastAsia" w:ascii="仿宋" w:hAnsi="仿宋" w:eastAsia="仿宋" w:cs="仿宋"/>
          <w:b/>
          <w:sz w:val="24"/>
        </w:rPr>
        <w:t>（所有技术指标表述均应采用中文，如当前公布的技术指标只有英文表述的，必须由投标人作出中文注释，否则</w:t>
      </w:r>
      <w:r>
        <w:rPr>
          <w:rFonts w:hint="eastAsia" w:ascii="仿宋" w:hAnsi="仿宋" w:eastAsia="仿宋" w:cs="仿宋"/>
          <w:b/>
          <w:kern w:val="0"/>
          <w:sz w:val="24"/>
          <w:lang w:val="zh-CN"/>
        </w:rPr>
        <w:t>任何含糊不清的</w:t>
      </w:r>
      <w:r>
        <w:rPr>
          <w:rFonts w:hint="eastAsia" w:ascii="仿宋" w:hAnsi="仿宋" w:eastAsia="仿宋" w:cs="仿宋"/>
          <w:b/>
          <w:sz w:val="24"/>
        </w:rPr>
        <w:t>表述导致</w:t>
      </w:r>
      <w:r>
        <w:rPr>
          <w:rFonts w:hint="eastAsia" w:ascii="仿宋" w:hAnsi="仿宋" w:eastAsia="仿宋" w:cs="仿宋"/>
          <w:b/>
          <w:kern w:val="0"/>
          <w:sz w:val="24"/>
          <w:lang w:val="zh-CN"/>
        </w:rPr>
        <w:t>评标委员会技术扣分直至认定为投标无效都将是投标人的责任）</w:t>
      </w:r>
      <w:r>
        <w:rPr>
          <w:rFonts w:hint="eastAsia" w:ascii="仿宋" w:hAnsi="仿宋" w:eastAsia="仿宋" w:cs="仿宋"/>
          <w:sz w:val="24"/>
        </w:rPr>
        <w:t>。</w:t>
      </w:r>
    </w:p>
    <w:p>
      <w:pPr>
        <w:tabs>
          <w:tab w:val="left" w:pos="3870"/>
          <w:tab w:val="left" w:pos="4085"/>
        </w:tabs>
        <w:snapToGrid w:val="0"/>
        <w:spacing w:line="288" w:lineRule="auto"/>
        <w:ind w:firstLine="470" w:firstLineChars="196"/>
        <w:jc w:val="left"/>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2.2.6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cs="仿宋"/>
          <w:sz w:val="24"/>
        </w:rPr>
      </w:pPr>
      <w:r>
        <w:rPr>
          <w:rFonts w:hint="eastAsia" w:ascii="仿宋" w:hAnsi="仿宋" w:eastAsia="仿宋" w:cs="仿宋"/>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rPr>
          <w:rFonts w:ascii="仿宋" w:hAnsi="仿宋" w:eastAsia="仿宋" w:cs="仿宋"/>
          <w:kern w:val="0"/>
          <w:sz w:val="24"/>
          <w:lang w:val="zh-CN"/>
        </w:rPr>
      </w:pPr>
      <w:r>
        <w:rPr>
          <w:rFonts w:hint="eastAsia" w:ascii="仿宋" w:hAnsi="仿宋" w:eastAsia="仿宋" w:cs="仿宋"/>
          <w:kern w:val="0"/>
          <w:sz w:val="24"/>
        </w:rPr>
        <w:t>2.2.8</w:t>
      </w:r>
      <w:r>
        <w:rPr>
          <w:rFonts w:hint="eastAsia" w:ascii="仿宋" w:hAnsi="仿宋" w:eastAsia="仿宋" w:cs="仿宋"/>
          <w:sz w:val="24"/>
        </w:rPr>
        <w:t>投标人在投标文件技术偏离说明表中，</w:t>
      </w:r>
      <w:r>
        <w:rPr>
          <w:rFonts w:hint="eastAsia" w:ascii="仿宋" w:hAnsi="仿宋" w:eastAsia="仿宋" w:cs="仿宋"/>
          <w:kern w:val="0"/>
          <w:sz w:val="24"/>
          <w:lang w:val="zh-CN"/>
        </w:rPr>
        <w:t>应对</w:t>
      </w:r>
      <w:r>
        <w:rPr>
          <w:rFonts w:hint="eastAsia" w:ascii="仿宋" w:hAnsi="仿宋" w:eastAsia="仿宋" w:cs="仿宋"/>
          <w:sz w:val="24"/>
        </w:rPr>
        <w:t>项目技术规范和服务要求</w:t>
      </w:r>
      <w:r>
        <w:rPr>
          <w:rFonts w:hint="eastAsia" w:ascii="仿宋" w:hAnsi="仿宋" w:eastAsia="仿宋" w:cs="仿宋"/>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288" w:lineRule="auto"/>
        <w:rPr>
          <w:rFonts w:ascii="仿宋" w:hAnsi="仿宋" w:eastAsia="仿宋" w:cs="仿宋"/>
          <w:color w:val="000000" w:themeColor="text1"/>
          <w:kern w:val="0"/>
          <w:sz w:val="24"/>
          <w:highlight w:val="none"/>
          <w:lang w:val="zh-CN"/>
        </w:rPr>
      </w:pPr>
      <w:r>
        <w:rPr>
          <w:rFonts w:hint="eastAsia" w:ascii="仿宋" w:hAnsi="仿宋" w:eastAsia="仿宋" w:cs="仿宋"/>
          <w:kern w:val="0"/>
          <w:sz w:val="24"/>
          <w:lang w:val="zh-CN"/>
        </w:rPr>
        <w:t>2.2.9针对本项目建设的详细实施计划。本项目详细工作实施组织方案，包括(但不限于)以</w:t>
      </w:r>
      <w:r>
        <w:rPr>
          <w:rFonts w:hint="eastAsia" w:ascii="仿宋" w:hAnsi="仿宋" w:eastAsia="仿宋" w:cs="仿宋"/>
          <w:kern w:val="0"/>
          <w:sz w:val="24"/>
          <w:highlight w:val="none"/>
          <w:lang w:val="zh-CN"/>
        </w:rPr>
        <w:t>下内容：组织机构、工作时间进度表、工作程序和步骤、管理和协调方法、关键步骤的思路和要点。（如果有）</w:t>
      </w:r>
    </w:p>
    <w:p>
      <w:pPr>
        <w:snapToGrid w:val="0"/>
        <w:spacing w:line="288"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如果有）</w:t>
      </w:r>
    </w:p>
    <w:p>
      <w:pPr>
        <w:snapToGrid w:val="0"/>
        <w:spacing w:line="288"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果有）</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2.2.13培训计划；（如果有）</w:t>
      </w:r>
    </w:p>
    <w:p>
      <w:pPr>
        <w:snapToGrid w:val="0"/>
        <w:spacing w:line="288"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2.2.14验收方案；</w:t>
      </w:r>
    </w:p>
    <w:p>
      <w:pPr>
        <w:snapToGrid w:val="0"/>
        <w:spacing w:line="288"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2.2.15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如果有）</w:t>
      </w:r>
    </w:p>
    <w:p>
      <w:pPr>
        <w:snapToGrid w:val="0"/>
        <w:spacing w:line="288" w:lineRule="auto"/>
        <w:rPr>
          <w:rFonts w:ascii="仿宋" w:hAnsi="仿宋" w:eastAsia="仿宋" w:cs="仿宋"/>
          <w:kern w:val="0"/>
          <w:sz w:val="24"/>
          <w:highlight w:val="none"/>
        </w:rPr>
      </w:pPr>
      <w:r>
        <w:rPr>
          <w:rFonts w:hint="eastAsia" w:ascii="仿宋" w:hAnsi="仿宋" w:eastAsia="仿宋" w:cs="仿宋"/>
          <w:sz w:val="24"/>
          <w:highlight w:val="none"/>
          <w:lang w:val="zh-CN"/>
        </w:rPr>
        <w:t>2.2.16廉政承诺书</w:t>
      </w:r>
      <w:r>
        <w:rPr>
          <w:rFonts w:hint="eastAsia" w:ascii="仿宋" w:hAnsi="仿宋" w:eastAsia="仿宋" w:cs="仿宋"/>
          <w:sz w:val="24"/>
          <w:highlight w:val="none"/>
        </w:rPr>
        <w:t>（格式见第六部分附件）；</w:t>
      </w:r>
    </w:p>
    <w:p>
      <w:pPr>
        <w:snapToGrid w:val="0"/>
        <w:spacing w:line="288" w:lineRule="auto"/>
        <w:jc w:val="left"/>
        <w:rPr>
          <w:rFonts w:ascii="仿宋" w:hAnsi="仿宋" w:eastAsia="仿宋" w:cs="仿宋"/>
          <w:sz w:val="24"/>
        </w:rPr>
      </w:pPr>
      <w:r>
        <w:rPr>
          <w:rFonts w:hint="eastAsia" w:ascii="仿宋" w:hAnsi="仿宋" w:eastAsia="仿宋" w:cs="仿宋"/>
          <w:sz w:val="24"/>
        </w:rPr>
        <w:t>2.2.17</w:t>
      </w:r>
      <w:r>
        <w:rPr>
          <w:rFonts w:hint="eastAsia" w:ascii="仿宋" w:hAnsi="仿宋" w:eastAsia="仿宋" w:cs="仿宋"/>
          <w:sz w:val="24"/>
          <w:u w:val="wave"/>
        </w:rPr>
        <w:t>未尽事宜请各投标单位按评分细则和相对应标项相关要求制作(重要)</w:t>
      </w:r>
      <w:r>
        <w:rPr>
          <w:rFonts w:hint="eastAsia" w:ascii="仿宋" w:hAnsi="仿宋" w:eastAsia="仿宋" w:cs="仿宋"/>
          <w:sz w:val="24"/>
        </w:rPr>
        <w:t>；</w:t>
      </w:r>
    </w:p>
    <w:p>
      <w:pPr>
        <w:snapToGrid w:val="0"/>
        <w:spacing w:line="288" w:lineRule="auto"/>
        <w:rPr>
          <w:rFonts w:ascii="仿宋" w:hAnsi="仿宋" w:eastAsia="仿宋" w:cs="仿宋"/>
          <w:sz w:val="24"/>
          <w:lang w:val="zh-CN"/>
        </w:rPr>
      </w:pPr>
      <w:r>
        <w:rPr>
          <w:rFonts w:hint="eastAsia" w:ascii="仿宋" w:hAnsi="仿宋" w:eastAsia="仿宋" w:cs="仿宋"/>
          <w:sz w:val="24"/>
          <w:lang w:val="zh-CN"/>
        </w:rPr>
        <w:t>2.2.18投标人需要说明的其他文件和说明（格式自拟）。</w:t>
      </w:r>
    </w:p>
    <w:p>
      <w:pPr>
        <w:tabs>
          <w:tab w:val="left" w:pos="3870"/>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cs="仿宋"/>
          <w:kern w:val="0"/>
          <w:sz w:val="24"/>
          <w:lang w:val="zh-CN"/>
        </w:rPr>
      </w:pPr>
      <w:r>
        <w:rPr>
          <w:rFonts w:hint="eastAsia" w:ascii="仿宋" w:hAnsi="仿宋" w:eastAsia="仿宋" w:cs="仿宋"/>
          <w:sz w:val="24"/>
        </w:rPr>
        <w:t>投标人不按招标文件的要求提供的投标文件，可能会被评标委员会视为未实质性响应，其风险应由投标人自行承担。</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3.投标报价</w:t>
      </w:r>
    </w:p>
    <w:p>
      <w:pPr>
        <w:pStyle w:val="14"/>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3.1投标人应按招标文件中《开标一览表》等附表要求填写。</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3.2报价为采购人可以合格使用产品的价格，包括货款、包装、运输、保险、货到就位以及安装、调试、培训、保修及产品知识产权等一切费用。</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3.3招标文件未列明，而投标人认为必需的费用也需列入报价。</w:t>
      </w:r>
    </w:p>
    <w:p>
      <w:pPr>
        <w:tabs>
          <w:tab w:val="left" w:pos="525"/>
        </w:tabs>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
          <w:i/>
          <w:color w:val="000000" w:themeColor="text1"/>
          <w:sz w:val="24"/>
        </w:rPr>
        <w:t>投标报价只允许有一个报价，有选择的报价将不予接受（除指定外）。</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4.投标文件的有效期</w:t>
      </w:r>
    </w:p>
    <w:p>
      <w:pPr>
        <w:pStyle w:val="14"/>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4.1投标有效期为从提交投标文件的截止之日起90天。</w:t>
      </w:r>
      <w:r>
        <w:rPr>
          <w:rFonts w:hint="eastAsia" w:ascii="仿宋" w:hAnsi="仿宋" w:eastAsia="仿宋" w:cs="仿宋"/>
          <w:b/>
          <w:bCs/>
          <w:color w:val="000000" w:themeColor="text1"/>
          <w:sz w:val="24"/>
        </w:rPr>
        <w:t>投标人的投标文件中承诺的投标有效期少于招标文件中载明的投标有效期的，投标无效。</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4.2在特殊情况下，招标人可与投标人协商延长投标书的有效期，这种要求和答复均以书面形式进行。</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4.3投标人可拒绝接受延期要求而不会导致投标保证金被没收。同意延长有效期的投标人不能修改投标文件。</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5.投标文件的规定</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5.1投标文件由“商务技术（资信）文件资料”、“报价文件资料”两部分文件组成，应按统一格式填写。</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5.2投标文件须按附件格式要求进行电子签章，投标人应写全称。</w:t>
      </w:r>
    </w:p>
    <w:p>
      <w:pPr>
        <w:pStyle w:val="14"/>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5.3投标文件不得涂改，若有修改错漏处，须加盖单位公章或者法定代表人或其授权代表签字或盖章。</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5.4投标文件因字迹潦草或表达不清所引起的后果由投标人负责。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6.投标文件的提交</w:t>
      </w:r>
    </w:p>
    <w:p>
      <w:pPr>
        <w:snapToGrid w:val="0"/>
        <w:spacing w:line="288" w:lineRule="auto"/>
        <w:ind w:firstLine="480" w:firstLineChars="200"/>
        <w:jc w:val="left"/>
        <w:rPr>
          <w:rFonts w:ascii="仿宋" w:hAnsi="仿宋" w:eastAsia="仿宋" w:cs="仿宋"/>
          <w:b/>
          <w:color w:val="000000" w:themeColor="text1"/>
          <w:sz w:val="24"/>
        </w:rPr>
      </w:pPr>
      <w:r>
        <w:rPr>
          <w:rFonts w:hint="eastAsia" w:ascii="仿宋" w:hAnsi="仿宋" w:eastAsia="仿宋" w:cs="仿宋"/>
          <w:color w:val="000000" w:themeColor="text1"/>
          <w:sz w:val="24"/>
        </w:rPr>
        <w:t>投标人应按“招标公告”规定的时间、方式将投标文件提交给采购代理机构，</w:t>
      </w:r>
      <w:r>
        <w:rPr>
          <w:rFonts w:hint="eastAsia" w:ascii="仿宋" w:hAnsi="仿宋" w:eastAsia="仿宋" w:cs="仿宋"/>
          <w:b/>
          <w:color w:val="000000" w:themeColor="text1"/>
          <w:sz w:val="24"/>
        </w:rPr>
        <w:t>采购代理机构将拒绝接受逾期提交的投标文件。</w:t>
      </w:r>
    </w:p>
    <w:p>
      <w:pPr>
        <w:widowControl/>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7.</w:t>
      </w:r>
      <w:r>
        <w:rPr>
          <w:rFonts w:hint="eastAsia" w:ascii="仿宋" w:hAnsi="仿宋" w:eastAsia="仿宋" w:cs="仿宋"/>
          <w:b/>
          <w:color w:val="000000" w:themeColor="text1"/>
          <w:kern w:val="0"/>
          <w:sz w:val="24"/>
        </w:rPr>
        <w:t>投标文件的补充和修改</w:t>
      </w:r>
    </w:p>
    <w:p>
      <w:pPr>
        <w:spacing w:line="288" w:lineRule="auto"/>
        <w:ind w:firstLine="480" w:firstLineChars="200"/>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四、开标和评标</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1.3评标委员会对资格和商务技术响应文件进行评审；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1.7主持人公布评标结果。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3.评标</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3.2评标委员会由采购人代表和有关方面的专家组成，成员人数为五人以上单数。</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3.5</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对投标文件的判定，只依据投标文件和招标文件内容本身，不依据任何外来证明。</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3.6评标委员会不向落标方解释落标的原因。</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4.1资格性审查</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4.1.1依据法律、法规和招标文件规定，评标委员会对投标人进行资格审查，以确定投标人是否具备投标资格。</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4.2符合性审查</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5.3单价金额小数点或者百分比有明显错位的，以开标一览表的总价为准，并修改单价；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pPr>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w:t>
      </w:r>
      <w:r>
        <w:rPr>
          <w:rFonts w:hint="eastAsia" w:ascii="仿宋" w:hAnsi="仿宋" w:eastAsia="仿宋" w:cs="仿宋"/>
          <w:bCs/>
          <w:color w:val="000000" w:themeColor="text1"/>
          <w:sz w:val="24"/>
        </w:rPr>
        <w:t>修正后的报价按照财政部公布第87号令 《政府采购货物和服务招标投标管理办法》</w:t>
      </w:r>
      <w:r>
        <w:rPr>
          <w:rFonts w:hint="eastAsia" w:ascii="仿宋" w:hAnsi="仿宋" w:eastAsia="仿宋" w:cs="仿宋"/>
          <w:color w:val="000000" w:themeColor="text1"/>
          <w:sz w:val="24"/>
        </w:rPr>
        <w:t>第五十一条第二款的规定经投标人确认后产生约束力，投标人不确认的，其投标无效。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6.8评标委员会依据招标文件规定的评标标准和方法，对投标文件进行评审和比较后，向耀华建设管理有限公司提供书面评标报告，并按得分高低排序推荐中标候选供应商。</w:t>
      </w:r>
    </w:p>
    <w:p>
      <w:pPr>
        <w:spacing w:line="288" w:lineRule="auto"/>
        <w:jc w:val="left"/>
        <w:rPr>
          <w:rFonts w:ascii="仿宋" w:hAnsi="仿宋" w:eastAsia="仿宋" w:cs="仿宋"/>
          <w:b/>
          <w:color w:val="000000" w:themeColor="text1"/>
          <w:sz w:val="24"/>
          <w:highlight w:val="none"/>
        </w:rPr>
      </w:pPr>
      <w:r>
        <w:rPr>
          <w:rFonts w:hint="eastAsia" w:ascii="仿宋" w:hAnsi="仿宋" w:eastAsia="仿宋" w:cs="仿宋"/>
          <w:b/>
          <w:color w:val="000000" w:themeColor="text1"/>
          <w:sz w:val="24"/>
          <w:highlight w:val="none"/>
          <w:lang w:val="en-US" w:eastAsia="zh-CN"/>
        </w:rPr>
        <w:t>7</w:t>
      </w:r>
      <w:r>
        <w:rPr>
          <w:rFonts w:hint="eastAsia" w:ascii="仿宋" w:hAnsi="仿宋" w:eastAsia="仿宋" w:cs="仿宋"/>
          <w:b/>
          <w:color w:val="000000" w:themeColor="text1"/>
          <w:sz w:val="24"/>
          <w:highlight w:val="none"/>
        </w:rPr>
        <w:t>.投标文件的澄清</w:t>
      </w:r>
    </w:p>
    <w:p>
      <w:pPr>
        <w:spacing w:line="288" w:lineRule="auto"/>
        <w:ind w:firstLine="480" w:firstLineChars="200"/>
        <w:jc w:val="left"/>
        <w:rPr>
          <w:rFonts w:ascii="仿宋" w:hAnsi="仿宋" w:eastAsia="仿宋" w:cs="仿宋"/>
          <w:color w:val="000000" w:themeColor="text1"/>
          <w:sz w:val="24"/>
          <w:highlight w:val="none"/>
        </w:rPr>
      </w:pPr>
      <w:r>
        <w:rPr>
          <w:rFonts w:hint="eastAsia" w:ascii="仿宋" w:hAnsi="仿宋" w:eastAsia="仿宋" w:cs="仿宋"/>
          <w:color w:val="000000" w:themeColor="text1"/>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highlight w:val="none"/>
          <w:lang w:val="en-US" w:eastAsia="zh-CN"/>
        </w:rPr>
        <w:t>8</w:t>
      </w:r>
      <w:r>
        <w:rPr>
          <w:rFonts w:hint="eastAsia" w:ascii="仿宋" w:hAnsi="仿宋" w:eastAsia="仿宋" w:cs="仿宋"/>
          <w:b/>
          <w:color w:val="000000" w:themeColor="text1"/>
          <w:sz w:val="24"/>
          <w:szCs w:val="24"/>
          <w:highlight w:val="none"/>
        </w:rPr>
        <w:t>．无效投标的情形</w:t>
      </w:r>
    </w:p>
    <w:p>
      <w:pPr>
        <w:tabs>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.1未按照招标文件规定要求签署、盖章的；</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 xml:space="preserve">.3为采购项目提供整体设计、规范编制或者项目管理、监理、检测等服务的供应商参加该采购项目的其他采购活动的；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lang w:val="en-US" w:eastAsia="zh-CN"/>
        </w:rPr>
        <w:t>8</w:t>
      </w:r>
      <w:r>
        <w:rPr>
          <w:rFonts w:hint="eastAsia" w:ascii="仿宋" w:hAnsi="仿宋" w:eastAsia="仿宋" w:cs="仿宋"/>
          <w:b/>
          <w:color w:val="000000" w:themeColor="text1"/>
          <w:kern w:val="0"/>
          <w:sz w:val="24"/>
        </w:rPr>
        <w:t>.5《法定代表人身份证明书》与提供的身份证复印件信息不符的；《法定代表人授权委托书》与提供的身份证复印件信息不符的；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lang w:val="en-US" w:eastAsia="zh-CN"/>
        </w:rPr>
        <w:t>8</w:t>
      </w:r>
      <w:r>
        <w:rPr>
          <w:rFonts w:hint="eastAsia" w:ascii="仿宋" w:hAnsi="仿宋" w:eastAsia="仿宋" w:cs="仿宋"/>
          <w:b/>
          <w:color w:val="000000" w:themeColor="text1"/>
          <w:kern w:val="0"/>
          <w:sz w:val="24"/>
        </w:rPr>
        <w:t>.6《法定代表人授权委托书》或《法定代表人身份证明书》填写不全、错误、未加盖公章(《法定代表人授权委托书》要求“公章”和“签字或盖章”缺一不可）的；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lang w:val="en-US" w:eastAsia="zh-CN"/>
        </w:rPr>
        <w:t>8</w:t>
      </w:r>
      <w:r>
        <w:rPr>
          <w:rFonts w:hint="eastAsia" w:ascii="仿宋" w:hAnsi="仿宋" w:eastAsia="仿宋" w:cs="仿宋"/>
          <w:b/>
          <w:color w:val="000000" w:themeColor="text1"/>
          <w:kern w:val="0"/>
          <w:sz w:val="24"/>
        </w:rPr>
        <w:t>.7授权代表非投标单位正式职工的（以社保证明为准，如授权代表为离退休返聘人员的，需提供退休证明及单位聘用证明）；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.8投标文件中的投标函未加盖投标人的企业公章或填写不全的；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lang w:val="en-US" w:eastAsia="zh-CN"/>
        </w:rPr>
        <w:t>8</w:t>
      </w:r>
      <w:r>
        <w:rPr>
          <w:rFonts w:hint="eastAsia" w:ascii="仿宋" w:hAnsi="仿宋" w:eastAsia="仿宋" w:cs="仿宋"/>
          <w:b/>
          <w:color w:val="000000" w:themeColor="text1"/>
          <w:kern w:val="0"/>
          <w:sz w:val="24"/>
        </w:rPr>
        <w:t>.9报</w:t>
      </w:r>
      <w:r>
        <w:rPr>
          <w:rFonts w:hint="eastAsia" w:ascii="仿宋" w:hAnsi="仿宋" w:eastAsia="仿宋" w:cs="仿宋"/>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lang w:val="en-US" w:eastAsia="zh-CN"/>
        </w:rPr>
        <w:t>8</w:t>
      </w:r>
      <w:r>
        <w:rPr>
          <w:rFonts w:hint="eastAsia" w:ascii="仿宋" w:hAnsi="仿宋" w:eastAsia="仿宋" w:cs="仿宋"/>
          <w:b/>
          <w:color w:val="000000" w:themeColor="text1"/>
          <w:kern w:val="0"/>
          <w:sz w:val="24"/>
        </w:rPr>
        <w:t>.10</w:t>
      </w:r>
      <w:r>
        <w:rPr>
          <w:rFonts w:hint="eastAsia" w:ascii="仿宋" w:hAnsi="仿宋" w:eastAsia="仿宋" w:cs="仿宋"/>
          <w:b/>
          <w:color w:val="000000" w:themeColor="text1"/>
          <w:sz w:val="24"/>
        </w:rPr>
        <w:t>未按招标文件规定的格式填写，或</w:t>
      </w:r>
      <w:r>
        <w:rPr>
          <w:rFonts w:hint="eastAsia" w:ascii="仿宋" w:hAnsi="仿宋" w:eastAsia="仿宋" w:cs="仿宋"/>
          <w:b/>
          <w:color w:val="000000" w:themeColor="text1"/>
          <w:sz w:val="24"/>
          <w:szCs w:val="20"/>
        </w:rPr>
        <w:t>对招标</w:t>
      </w:r>
      <w:r>
        <w:rPr>
          <w:rFonts w:hint="eastAsia" w:ascii="仿宋" w:hAnsi="仿宋" w:eastAsia="仿宋" w:cs="仿宋"/>
          <w:b/>
          <w:color w:val="000000" w:themeColor="text1"/>
          <w:sz w:val="24"/>
        </w:rPr>
        <w:t>服务或技术或产品等要求</w:t>
      </w:r>
      <w:r>
        <w:rPr>
          <w:rFonts w:hint="eastAsia" w:ascii="仿宋" w:hAnsi="仿宋" w:eastAsia="仿宋" w:cs="仿宋"/>
          <w:b/>
          <w:color w:val="000000" w:themeColor="text1"/>
          <w:sz w:val="24"/>
          <w:szCs w:val="20"/>
        </w:rPr>
        <w:t>未详细应答或应答</w:t>
      </w:r>
      <w:r>
        <w:rPr>
          <w:rFonts w:hint="eastAsia" w:ascii="仿宋" w:hAnsi="仿宋" w:eastAsia="仿宋" w:cs="仿宋"/>
          <w:b/>
          <w:color w:val="000000" w:themeColor="text1"/>
          <w:sz w:val="24"/>
        </w:rPr>
        <w:t>内容不全、有缺失的,经评标委员会认定为无法评审的；</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lang w:val="en-US" w:eastAsia="zh-CN"/>
        </w:rPr>
        <w:t>8</w:t>
      </w:r>
      <w:r>
        <w:rPr>
          <w:rFonts w:hint="eastAsia" w:ascii="仿宋" w:hAnsi="仿宋" w:eastAsia="仿宋" w:cs="仿宋"/>
          <w:b/>
          <w:color w:val="000000" w:themeColor="text1"/>
          <w:sz w:val="24"/>
          <w:szCs w:val="24"/>
        </w:rPr>
        <w:t>.11出现同一标的物或本次招标产品(服务)内的主要产品(重要组成部分)出现</w:t>
      </w:r>
      <w:r>
        <w:rPr>
          <w:rFonts w:hint="eastAsia" w:ascii="仿宋" w:hAnsi="仿宋" w:eastAsia="仿宋" w:cs="仿宋"/>
          <w:b/>
          <w:color w:val="000000" w:themeColor="text1"/>
          <w:sz w:val="24"/>
        </w:rPr>
        <w:t>商务技术（资信）文件资料</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报价文件资料</w:t>
      </w:r>
      <w:r>
        <w:rPr>
          <w:rFonts w:hint="eastAsia" w:ascii="仿宋" w:hAnsi="仿宋" w:eastAsia="仿宋" w:cs="仿宋"/>
          <w:b/>
          <w:color w:val="000000" w:themeColor="text1"/>
          <w:sz w:val="24"/>
          <w:szCs w:val="24"/>
        </w:rPr>
        <w:t>描述不一致或前后描述不一致，经评标委员会认定后为无法评审的；</w:t>
      </w:r>
    </w:p>
    <w:p>
      <w:pPr>
        <w:pStyle w:val="14"/>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lang w:val="en-US" w:eastAsia="zh-CN"/>
        </w:rPr>
        <w:t>8</w:t>
      </w:r>
      <w:r>
        <w:rPr>
          <w:rFonts w:hint="eastAsia" w:ascii="仿宋" w:hAnsi="仿宋" w:eastAsia="仿宋" w:cs="仿宋"/>
          <w:b/>
          <w:color w:val="000000" w:themeColor="text1"/>
          <w:sz w:val="24"/>
          <w:szCs w:val="24"/>
        </w:rPr>
        <w:t>.12《技</w:t>
      </w:r>
      <w:r>
        <w:rPr>
          <w:rFonts w:hint="eastAsia" w:ascii="仿宋" w:hAnsi="仿宋" w:eastAsia="仿宋" w:cs="仿宋"/>
          <w:b/>
          <w:color w:val="000000" w:themeColor="text1"/>
          <w:sz w:val="24"/>
        </w:rPr>
        <w:t>术偏离说明表</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不真实填写或弄虚作假的；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.13投</w:t>
      </w:r>
      <w:r>
        <w:rPr>
          <w:rFonts w:hint="eastAsia" w:ascii="仿宋" w:hAnsi="仿宋" w:eastAsia="仿宋" w:cs="仿宋"/>
          <w:b/>
          <w:color w:val="000000" w:themeColor="text1"/>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lang w:val="en-US" w:eastAsia="zh-CN"/>
        </w:rPr>
        <w:t>8</w:t>
      </w:r>
      <w:r>
        <w:rPr>
          <w:rFonts w:hint="eastAsia" w:ascii="仿宋" w:hAnsi="仿宋" w:eastAsia="仿宋" w:cs="仿宋"/>
          <w:b/>
          <w:color w:val="000000" w:themeColor="text1"/>
          <w:kern w:val="0"/>
          <w:sz w:val="24"/>
        </w:rPr>
        <w:t>.14评</w:t>
      </w:r>
      <w:r>
        <w:rPr>
          <w:rFonts w:hint="eastAsia" w:ascii="仿宋" w:hAnsi="仿宋" w:eastAsia="仿宋" w:cs="仿宋"/>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.15报价超过招标文件中规定的预算金额或最高限价的；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.16投标文件“商务技术（资信）文件资料”部分中出现《开标一览表》相关内容的；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color w:val="000000" w:themeColor="text1"/>
          <w:sz w:val="24"/>
          <w:szCs w:val="21"/>
        </w:rPr>
      </w:pPr>
      <w:r>
        <w:rPr>
          <w:rFonts w:hint="eastAsia" w:ascii="仿宋" w:hAnsi="仿宋" w:eastAsia="仿宋" w:cs="仿宋"/>
          <w:b/>
          <w:color w:val="000000" w:themeColor="text1"/>
          <w:sz w:val="24"/>
          <w:szCs w:val="21"/>
          <w:lang w:val="en-US" w:eastAsia="zh-CN"/>
        </w:rPr>
        <w:t>8</w:t>
      </w:r>
      <w:r>
        <w:rPr>
          <w:rFonts w:hint="eastAsia" w:ascii="仿宋" w:hAnsi="仿宋" w:eastAsia="仿宋" w:cs="仿宋"/>
          <w:b/>
          <w:color w:val="000000" w:themeColor="text1"/>
          <w:sz w:val="24"/>
          <w:szCs w:val="21"/>
        </w:rPr>
        <w:t>.17采购人拟采购的产品属于政府强制采购的节能产品品目清单范围的，投标人未按招标文件要求提供国家确定的认证机构出具的、处于有效期之内的节能产品认证证书的；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.18《开标一览表》填写不完整或字迹不能辨认或有漏项的，经评标委员会认定属于重大偏差的；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.19投标人对根据修正原则修正后的报价不确认的；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.20投标人提供虚假材料投标的（包括但不限于以下情节）；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.20.1使用伪造、变造的许可证件；</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w:t>
      </w: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.20.2提供虚假的财务状况或者业绩；</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w:t>
      </w: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.20.3提供虚假的项目负责人或者主要技术人员简历、劳动关系证明；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w:t>
      </w: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.20.4提供虚假的信用状况；</w:t>
      </w:r>
    </w:p>
    <w:p>
      <w:pPr>
        <w:tabs>
          <w:tab w:val="left" w:pos="3870"/>
          <w:tab w:val="left" w:pos="4085"/>
        </w:tabs>
        <w:snapToGrid w:val="0"/>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.20.5其他弄虚作假的行为。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.21下列情形之一的，视为投标人串通投标，其投标无效：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.21.1不同投标人的投标文件由同一单位或者个人编制；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.21.2不同投标人委托同一单位或者个人办理投标事宜；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.21.3不同投标人的投标文件载明的项目管理成员或者联系人员为同一人；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.21.4不同投标人的投标文件异常一致或者投标报价呈规律性差异；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.21.5不同投标人的投标文件相互混装；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.22有下列情形之一的，属于恶意串通，其投标无效：</w:t>
      </w:r>
    </w:p>
    <w:p>
      <w:pPr>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lang w:val="en-US" w:eastAsia="zh-CN"/>
        </w:rPr>
        <w:t>8</w:t>
      </w:r>
      <w:r>
        <w:rPr>
          <w:rFonts w:hint="eastAsia" w:ascii="仿宋" w:hAnsi="仿宋" w:eastAsia="仿宋" w:cs="仿宋"/>
          <w:color w:val="000000" w:themeColor="text1"/>
          <w:sz w:val="24"/>
        </w:rPr>
        <w:t>.22.1供应商直接或者间接从采购人或者采购代理机构处获得其他供应商的相关情况并修改其投标文件或者响应文件；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lang w:val="en-US" w:eastAsia="zh-CN"/>
        </w:rPr>
        <w:t>8</w:t>
      </w:r>
      <w:r>
        <w:rPr>
          <w:rFonts w:hint="eastAsia" w:ascii="仿宋" w:hAnsi="仿宋" w:eastAsia="仿宋" w:cs="仿宋"/>
          <w:color w:val="000000" w:themeColor="text1"/>
          <w:sz w:val="24"/>
          <w:szCs w:val="21"/>
        </w:rPr>
        <w:t>.22.2供应商按照采购人或者采购代理机构的授意撤换、修改投标文件或者响应文件；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lang w:val="en-US" w:eastAsia="zh-CN"/>
        </w:rPr>
        <w:t>8</w:t>
      </w:r>
      <w:r>
        <w:rPr>
          <w:rFonts w:hint="eastAsia" w:ascii="仿宋" w:hAnsi="仿宋" w:eastAsia="仿宋" w:cs="仿宋"/>
          <w:color w:val="000000" w:themeColor="text1"/>
          <w:sz w:val="24"/>
          <w:szCs w:val="21"/>
        </w:rPr>
        <w:t>.22.3供应商之间协商报价、技术方案等投标文件或者响应文件的实质性内容；</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lang w:val="en-US" w:eastAsia="zh-CN"/>
        </w:rPr>
        <w:t>8</w:t>
      </w:r>
      <w:r>
        <w:rPr>
          <w:rFonts w:hint="eastAsia" w:ascii="仿宋" w:hAnsi="仿宋" w:eastAsia="仿宋" w:cs="仿宋"/>
          <w:color w:val="000000" w:themeColor="text1"/>
          <w:sz w:val="24"/>
          <w:szCs w:val="21"/>
        </w:rPr>
        <w:t>.22.4属于同一集团、协会、商会等组织成员的供应商按照该组织要求协同参加政府采购活动；</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lang w:val="en-US" w:eastAsia="zh-CN"/>
        </w:rPr>
        <w:t>8</w:t>
      </w:r>
      <w:r>
        <w:rPr>
          <w:rFonts w:hint="eastAsia" w:ascii="仿宋" w:hAnsi="仿宋" w:eastAsia="仿宋" w:cs="仿宋"/>
          <w:color w:val="000000" w:themeColor="text1"/>
          <w:sz w:val="24"/>
          <w:szCs w:val="21"/>
        </w:rPr>
        <w:t>.22.5供应商之间事先约定由某一特定供应商中标、成交；</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lang w:val="en-US" w:eastAsia="zh-CN"/>
        </w:rPr>
        <w:t>8</w:t>
      </w:r>
      <w:r>
        <w:rPr>
          <w:rFonts w:hint="eastAsia" w:ascii="仿宋" w:hAnsi="仿宋" w:eastAsia="仿宋" w:cs="仿宋"/>
          <w:color w:val="000000" w:themeColor="text1"/>
          <w:sz w:val="24"/>
          <w:szCs w:val="21"/>
        </w:rPr>
        <w:t>.22.6供应商之间商定部分供应商放弃参加政府采购活动或者放弃中标、成交；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szCs w:val="21"/>
        </w:rPr>
      </w:pPr>
      <w:r>
        <w:rPr>
          <w:rFonts w:hint="eastAsia" w:ascii="仿宋" w:hAnsi="仿宋" w:eastAsia="仿宋" w:cs="仿宋"/>
          <w:color w:val="000000" w:themeColor="text1"/>
          <w:sz w:val="24"/>
          <w:szCs w:val="21"/>
          <w:lang w:val="en-US" w:eastAsia="zh-CN"/>
        </w:rPr>
        <w:t>8</w:t>
      </w:r>
      <w:r>
        <w:rPr>
          <w:rFonts w:hint="eastAsia" w:ascii="仿宋" w:hAnsi="仿宋" w:eastAsia="仿宋" w:cs="仿宋"/>
          <w:color w:val="000000" w:themeColor="text1"/>
          <w:sz w:val="24"/>
          <w:szCs w:val="21"/>
        </w:rPr>
        <w:t>.22.7供应商与采购人或者采购代理机构之间、供应商相互之间，为谋求特定供应商中标、成交或者排斥其他供应商的其他串通行为。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szCs w:val="21"/>
          <w:lang w:val="en-US" w:eastAsia="zh-CN"/>
        </w:rPr>
        <w:t>8</w:t>
      </w:r>
      <w:r>
        <w:rPr>
          <w:rFonts w:hint="eastAsia" w:ascii="仿宋" w:hAnsi="仿宋" w:eastAsia="仿宋" w:cs="仿宋"/>
          <w:b/>
          <w:color w:val="000000" w:themeColor="text1"/>
          <w:sz w:val="24"/>
          <w:szCs w:val="21"/>
        </w:rPr>
        <w:t>.23</w:t>
      </w:r>
      <w:r>
        <w:rPr>
          <w:rFonts w:hint="eastAsia" w:ascii="仿宋" w:hAnsi="仿宋" w:eastAsia="仿宋" w:cs="仿宋"/>
          <w:b/>
          <w:color w:val="000000" w:themeColor="text1"/>
          <w:sz w:val="24"/>
        </w:rPr>
        <w:t>评标委员会认定有重大偏差或实质性不响应招标文件要求的；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.24报价文件中出现2个(含)以上的报价或方案的；</w:t>
      </w:r>
    </w:p>
    <w:p>
      <w:pPr>
        <w:spacing w:line="288" w:lineRule="auto"/>
        <w:rPr>
          <w:rFonts w:ascii="仿宋" w:hAnsi="仿宋" w:eastAsia="仿宋" w:cs="仿宋"/>
          <w:color w:val="000000" w:themeColor="text1"/>
        </w:rPr>
      </w:pPr>
      <w:r>
        <w:rPr>
          <w:rFonts w:hint="eastAsia" w:ascii="仿宋" w:hAnsi="仿宋" w:eastAsia="仿宋" w:cs="仿宋"/>
          <w:b/>
          <w:color w:val="000000" w:themeColor="text1"/>
          <w:sz w:val="24"/>
          <w:lang w:val="en-US" w:eastAsia="zh-CN"/>
        </w:rPr>
        <w:t>8</w:t>
      </w:r>
      <w:r>
        <w:rPr>
          <w:rFonts w:hint="eastAsia" w:ascii="仿宋" w:hAnsi="仿宋" w:eastAsia="仿宋" w:cs="仿宋"/>
          <w:b/>
          <w:color w:val="000000" w:themeColor="text1"/>
          <w:sz w:val="24"/>
        </w:rPr>
        <w:t>.25其他违反法律、法规的情形。</w:t>
      </w:r>
    </w:p>
    <w:p>
      <w:pPr>
        <w:snapToGrid w:val="0"/>
        <w:spacing w:line="288" w:lineRule="auto"/>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lang w:val="en-US" w:eastAsia="zh-CN"/>
        </w:rPr>
        <w:t>9</w:t>
      </w:r>
      <w:r>
        <w:rPr>
          <w:rFonts w:hint="eastAsia" w:ascii="仿宋" w:hAnsi="仿宋" w:eastAsia="仿宋" w:cs="仿宋"/>
          <w:b/>
          <w:color w:val="000000" w:themeColor="text1"/>
          <w:kern w:val="0"/>
          <w:sz w:val="24"/>
        </w:rPr>
        <w:t>. 评标过程保密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lang w:val="en-US" w:eastAsia="zh-CN"/>
        </w:rPr>
        <w:t>9</w:t>
      </w:r>
      <w:r>
        <w:rPr>
          <w:rFonts w:hint="eastAsia" w:ascii="仿宋" w:hAnsi="仿宋" w:eastAsia="仿宋" w:cs="仿宋"/>
          <w:color w:val="000000" w:themeColor="text1"/>
          <w:kern w:val="0"/>
          <w:sz w:val="24"/>
        </w:rPr>
        <w:t>.1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lang w:val="en-US" w:eastAsia="zh-CN"/>
        </w:rPr>
        <w:t>9</w:t>
      </w:r>
      <w:r>
        <w:rPr>
          <w:rFonts w:hint="eastAsia" w:ascii="仿宋" w:hAnsi="仿宋" w:eastAsia="仿宋" w:cs="仿宋"/>
          <w:color w:val="000000" w:themeColor="text1"/>
          <w:kern w:val="0"/>
          <w:sz w:val="24"/>
        </w:rPr>
        <w:t>.2 在评标期间，投标人企图影响招标人或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pPr>
        <w:pStyle w:val="14"/>
        <w:spacing w:line="288" w:lineRule="auto"/>
        <w:ind w:firstLine="726"/>
        <w:jc w:val="center"/>
        <w:rPr>
          <w:rFonts w:ascii="仿宋" w:hAnsi="仿宋" w:eastAsia="仿宋" w:cs="仿宋"/>
          <w:b/>
          <w:color w:val="000000" w:themeColor="text1"/>
          <w:sz w:val="36"/>
          <w:szCs w:val="36"/>
        </w:rPr>
      </w:pPr>
      <w:bookmarkStart w:id="3" w:name="_Toc81372953"/>
      <w:bookmarkStart w:id="4" w:name="_Toc84325929"/>
      <w:bookmarkStart w:id="5" w:name="_Toc81372776"/>
      <w:r>
        <w:rPr>
          <w:rFonts w:hint="eastAsia" w:ascii="仿宋" w:hAnsi="仿宋" w:eastAsia="仿宋" w:cs="仿宋"/>
          <w:b/>
          <w:color w:val="000000" w:themeColor="text1"/>
          <w:sz w:val="36"/>
          <w:szCs w:val="36"/>
        </w:rPr>
        <w:t>五、授予合同</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1.中标条件</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1.1投标文件基本符合招标文件要求；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1.2投标人有很好的执行合同的能力；</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1.3实施方案最合理并对招标人最为有利，最大限度满足招标文件的要求；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1.4投标人能够提供质量技术、商务经济占综合优势的系统及服务。</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1.5招标人将把中标通知书授予最佳投标者，但最低价不是中标的绝对保证。</w:t>
      </w:r>
    </w:p>
    <w:bookmarkEnd w:id="3"/>
    <w:bookmarkEnd w:id="4"/>
    <w:bookmarkEnd w:id="5"/>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2.中标确认</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3.中标通知</w:t>
      </w:r>
    </w:p>
    <w:p>
      <w:pPr>
        <w:pStyle w:val="66"/>
        <w:tabs>
          <w:tab w:val="left" w:pos="0"/>
        </w:tabs>
        <w:spacing w:before="0" w:line="288" w:lineRule="auto"/>
        <w:ind w:firstLine="0" w:firstLineChars="0"/>
        <w:rPr>
          <w:rFonts w:ascii="仿宋" w:hAnsi="仿宋" w:eastAsia="仿宋" w:cs="仿宋"/>
          <w:color w:val="000000" w:themeColor="text1"/>
          <w:szCs w:val="24"/>
        </w:rPr>
      </w:pPr>
      <w:r>
        <w:rPr>
          <w:rFonts w:hint="eastAsia" w:ascii="仿宋" w:hAnsi="仿宋" w:eastAsia="仿宋" w:cs="仿宋"/>
          <w:color w:val="000000" w:themeColor="text1"/>
          <w:szCs w:val="24"/>
        </w:rPr>
        <w:t>3.1</w:t>
      </w:r>
      <w:r>
        <w:rPr>
          <w:rFonts w:hint="eastAsia" w:ascii="仿宋" w:hAnsi="仿宋" w:eastAsia="仿宋" w:cs="仿宋"/>
          <w:color w:val="000000" w:themeColor="text1"/>
          <w:kern w:val="0"/>
        </w:rPr>
        <w:t>采购代理机构</w:t>
      </w:r>
      <w:r>
        <w:rPr>
          <w:rFonts w:hint="eastAsia" w:ascii="仿宋" w:hAnsi="仿宋" w:eastAsia="仿宋" w:cs="仿宋"/>
          <w:color w:val="000000" w:themeColor="text1"/>
        </w:rPr>
        <w:t>对中标结果在指定媒体</w:t>
      </w:r>
      <w:r>
        <w:rPr>
          <w:rFonts w:hint="eastAsia" w:ascii="仿宋" w:hAnsi="仿宋" w:eastAsia="仿宋" w:cs="仿宋"/>
          <w:color w:val="000000" w:themeColor="text1"/>
          <w:kern w:val="0"/>
        </w:rPr>
        <w:t>（浙江政府采购网</w:t>
      </w:r>
      <w:r>
        <w:fldChar w:fldCharType="begin"/>
      </w:r>
      <w:r>
        <w:instrText xml:space="preserve"> HYPERLINK "http://zfcg.czt.zj.gov.cn/" </w:instrText>
      </w:r>
      <w:r>
        <w:fldChar w:fldCharType="separate"/>
      </w:r>
      <w:r>
        <w:rPr>
          <w:rStyle w:val="33"/>
          <w:rFonts w:hint="eastAsia" w:ascii="仿宋" w:hAnsi="仿宋" w:eastAsia="仿宋" w:cs="仿宋"/>
          <w:color w:val="000000" w:themeColor="text1"/>
          <w:szCs w:val="24"/>
        </w:rPr>
        <w:t>http://zfcg.czt.zj.gov.cn</w:t>
      </w:r>
      <w:r>
        <w:rPr>
          <w:rStyle w:val="33"/>
          <w:rFonts w:hint="eastAsia" w:ascii="仿宋" w:hAnsi="仿宋" w:eastAsia="仿宋" w:cs="仿宋"/>
          <w:color w:val="000000" w:themeColor="text1"/>
          <w:szCs w:val="24"/>
        </w:rPr>
        <w:fldChar w:fldCharType="end"/>
      </w:r>
      <w:r>
        <w:rPr>
          <w:rFonts w:hint="eastAsia" w:ascii="仿宋" w:hAnsi="仿宋" w:eastAsia="仿宋" w:cs="仿宋"/>
          <w:color w:val="000000" w:themeColor="text1"/>
          <w:kern w:val="0"/>
        </w:rPr>
        <w:t>、绍兴公共资源交易网</w:t>
      </w:r>
      <w:r>
        <w:fldChar w:fldCharType="begin"/>
      </w:r>
      <w:r>
        <w:instrText xml:space="preserve"> HYPERLINK "http://ggb.sx.gov.cn" </w:instrText>
      </w:r>
      <w:r>
        <w:fldChar w:fldCharType="separate"/>
      </w:r>
      <w:r>
        <w:rPr>
          <w:rStyle w:val="33"/>
          <w:rFonts w:hint="eastAsia" w:ascii="仿宋" w:hAnsi="仿宋" w:eastAsia="仿宋" w:cs="仿宋"/>
          <w:color w:val="000000" w:themeColor="text1"/>
        </w:rPr>
        <w:t>http://ggb.sx.gov.cn</w:t>
      </w:r>
      <w:r>
        <w:rPr>
          <w:rStyle w:val="33"/>
          <w:rFonts w:hint="eastAsia" w:ascii="仿宋" w:hAnsi="仿宋" w:eastAsia="仿宋" w:cs="仿宋"/>
          <w:color w:val="000000" w:themeColor="text1"/>
        </w:rPr>
        <w:fldChar w:fldCharType="end"/>
      </w:r>
      <w:r>
        <w:rPr>
          <w:rFonts w:hint="eastAsia" w:ascii="仿宋" w:hAnsi="仿宋" w:eastAsia="仿宋" w:cs="仿宋"/>
          <w:color w:val="000000" w:themeColor="text1"/>
          <w:kern w:val="0"/>
        </w:rPr>
        <w:t>）发布中标公告，中标公告期限为1个工作日。</w:t>
      </w:r>
    </w:p>
    <w:p>
      <w:pPr>
        <w:tabs>
          <w:tab w:val="left" w:pos="0"/>
        </w:tabs>
        <w:spacing w:line="288" w:lineRule="auto"/>
        <w:rPr>
          <w:rFonts w:ascii="仿宋" w:hAnsi="仿宋" w:eastAsia="仿宋" w:cs="仿宋"/>
          <w:kern w:val="0"/>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pPr>
        <w:spacing w:line="288" w:lineRule="auto"/>
        <w:jc w:val="left"/>
        <w:rPr>
          <w:rFonts w:ascii="仿宋" w:hAnsi="仿宋" w:eastAsia="仿宋" w:cs="仿宋"/>
          <w:b/>
          <w:sz w:val="24"/>
        </w:rPr>
      </w:pPr>
      <w:r>
        <w:rPr>
          <w:rFonts w:hint="eastAsia" w:ascii="仿宋" w:hAnsi="仿宋" w:eastAsia="仿宋" w:cs="仿宋"/>
          <w:b/>
          <w:sz w:val="24"/>
        </w:rPr>
        <w:t>4.履约保证金</w:t>
      </w:r>
    </w:p>
    <w:p>
      <w:pPr>
        <w:spacing w:line="288" w:lineRule="auto"/>
        <w:jc w:val="left"/>
        <w:rPr>
          <w:rFonts w:ascii="仿宋" w:hAnsi="仿宋" w:eastAsia="仿宋" w:cs="仿宋"/>
          <w:sz w:val="24"/>
        </w:rPr>
      </w:pPr>
      <w:r>
        <w:rPr>
          <w:rFonts w:hint="eastAsia" w:ascii="仿宋" w:hAnsi="仿宋" w:eastAsia="仿宋" w:cs="仿宋"/>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4.2供应商在履行完合同约定事项后，采购人应及时退还履约保证金。</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4.3供应商以银行、保险公司出具保函形式提交履约保证金的，采购人不得拒收。</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5.合同备案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w:t>
      </w:r>
      <w:r>
        <w:rPr>
          <w:rFonts w:hint="eastAsia" w:ascii="仿宋" w:hAnsi="仿宋" w:eastAsia="仿宋" w:cs="仿宋"/>
          <w:b/>
          <w:color w:val="000000" w:themeColor="text1"/>
          <w:sz w:val="24"/>
        </w:rPr>
        <w:t>3个工作日内</w:t>
      </w:r>
      <w:r>
        <w:rPr>
          <w:rFonts w:hint="eastAsia" w:ascii="仿宋" w:hAnsi="仿宋" w:eastAsia="仿宋" w:cs="仿宋"/>
          <w:color w:val="000000" w:themeColor="text1"/>
          <w:sz w:val="24"/>
        </w:rPr>
        <w:t>，将</w:t>
      </w:r>
      <w:r>
        <w:rPr>
          <w:rFonts w:hint="eastAsia" w:ascii="仿宋" w:hAnsi="仿宋" w:eastAsia="仿宋" w:cs="仿宋"/>
          <w:b/>
          <w:color w:val="000000" w:themeColor="text1"/>
          <w:sz w:val="24"/>
        </w:rPr>
        <w:t>采购合同原件</w:t>
      </w:r>
      <w:r>
        <w:rPr>
          <w:rFonts w:hint="eastAsia" w:ascii="仿宋" w:hAnsi="仿宋" w:eastAsia="仿宋" w:cs="仿宋"/>
          <w:color w:val="000000" w:themeColor="text1"/>
          <w:sz w:val="24"/>
        </w:rPr>
        <w:t>报耀华建设管理有限公司备案。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5.2未领取中标通知书，采购双方自行签订的合同不予备案。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6.验收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7. 售后服务考核</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六、质疑与投诉</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88"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1.供应商询问</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供应商对政府采购活动事项有疑问的，可以向采购机构提出询问，采购机构将对供应商依法提出的询问作出答复，但答复的内容不得涉及商业秘密。</w:t>
      </w:r>
    </w:p>
    <w:p>
      <w:pPr>
        <w:autoSpaceDE w:val="0"/>
        <w:autoSpaceDN w:val="0"/>
        <w:spacing w:line="288" w:lineRule="auto"/>
        <w:ind w:firstLine="472" w:firstLineChars="196"/>
        <w:jc w:val="left"/>
        <w:rPr>
          <w:rFonts w:ascii="仿宋" w:hAnsi="仿宋" w:eastAsia="仿宋" w:cs="仿宋"/>
          <w:b/>
          <w:kern w:val="0"/>
          <w:sz w:val="24"/>
          <w:lang w:val="zh-CN"/>
        </w:rPr>
      </w:pPr>
      <w:r>
        <w:rPr>
          <w:rFonts w:hint="eastAsia" w:ascii="仿宋" w:hAnsi="仿宋" w:eastAsia="仿宋" w:cs="仿宋"/>
          <w:b/>
          <w:kern w:val="0"/>
          <w:sz w:val="24"/>
          <w:lang w:val="zh-CN"/>
        </w:rPr>
        <w:t>2.供应商质疑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（2）对采购过程提出质疑的，质疑期限为各采购程序环节结束之日起计算。</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（3）对采购结果提出质疑的，质疑期限自采购结果公告（包括公示、预公告、结果变更公告等）期限届满之日起计算。</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（4）供应商应在法定质疑期内一次性提出针对同一采购程序环节的质疑。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3.供应商提交提出质疑应当提交质疑书和必要的证明材料，质疑书需一式三份，质疑书至少应包括下列主要内容：</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（1）质疑人的名称、地址、邮政编码、联系人、联系电话，以及被质疑人名称及联系方式；</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（2）被质疑采购项目名称、编号及采购内容；</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（3）具体、明确的质疑事项和与质疑事项相关的请求</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（4）事实依据；</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（5）必要的法律依据；</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（6）认为自己合法权益受到损害或可能受到损害的相关证据材料；</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（7）提出质疑的日期。</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（8） 质疑书应当署名。质疑人为自然人的，应当由本人签字并附有效身份证明；质疑人为法人或其他组织的，应当由法定代表人或主要负责人签字（或盖章）并加盖单位公章。</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（9） 质疑人因故不能自行办理质疑事项的，可以委托代理人办理质疑事宜，但应当向被质疑人提交授权委托书，并载明委托代理的具体权限和事项。</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（10）质疑人提供的相关材料中有外文资料的，应当将与质疑相关的外文资料完整、客观、真实地翻译为中文，并注明翻译人员姓名、工作单位、联系方式等信息。</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rPr>
        <w:tab/>
      </w:r>
      <w:r>
        <w:rPr>
          <w:rFonts w:hint="eastAsia" w:ascii="仿宋" w:hAnsi="仿宋" w:eastAsia="仿宋" w:cs="仿宋"/>
          <w:sz w:val="24"/>
        </w:rPr>
        <w:t>原则上由采购人回复的质疑：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（1）对采购文件中特定资格条件、采购需求、评分办法提出的质疑；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（2）对采购过程中有关现场考察或开标前答疑会事项提出的质疑。</w:t>
      </w:r>
    </w:p>
    <w:p>
      <w:pPr>
        <w:pStyle w:val="14"/>
        <w:spacing w:line="288" w:lineRule="auto"/>
        <w:ind w:firstLine="720" w:firstLineChars="300"/>
        <w:rPr>
          <w:rFonts w:ascii="仿宋" w:hAnsi="仿宋" w:eastAsia="仿宋" w:cs="仿宋"/>
          <w:sz w:val="24"/>
        </w:rPr>
      </w:pPr>
      <w:r>
        <w:rPr>
          <w:rFonts w:hint="eastAsia" w:ascii="仿宋" w:hAnsi="仿宋" w:eastAsia="仿宋" w:cs="仿宋"/>
          <w:sz w:val="24"/>
        </w:rPr>
        <w:t>原则上由采购代理机构回复的质疑：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（1）除特定资格条件、采购需求、评分办法外，对采购文件中其他内容提出的质疑；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（2）除有关现场考察或开标前答疑会事项外，对采购过程中其它事项提出的质疑；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（3）对采购结果提出的质疑。</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5.采购机构应当在收到供应商的书面质疑后七个工作日内作出答复，并以书面形式通知质疑供应商和其他与质疑处理结果有利害关系的政府采购当事人，但答复的内容不得涉及商业秘密。</w:t>
      </w:r>
    </w:p>
    <w:p>
      <w:pPr>
        <w:pStyle w:val="14"/>
        <w:spacing w:line="288" w:lineRule="auto"/>
        <w:ind w:firstLine="480" w:firstLineChars="200"/>
        <w:rPr>
          <w:rFonts w:ascii="仿宋" w:hAnsi="仿宋" w:eastAsia="仿宋" w:cs="仿宋"/>
          <w:sz w:val="24"/>
        </w:rPr>
      </w:pPr>
      <w:r>
        <w:rPr>
          <w:rFonts w:hint="eastAsia" w:ascii="仿宋" w:hAnsi="仿宋" w:eastAsia="仿宋" w:cs="仿宋"/>
          <w:sz w:val="24"/>
        </w:rPr>
        <w:t>6.询问或者质疑事项可能影响采购结果的，采购人应当暂停签订合同，已经签订合同的，应当中止履行合同。</w:t>
      </w:r>
    </w:p>
    <w:p>
      <w:pPr>
        <w:pStyle w:val="14"/>
        <w:adjustRightInd/>
        <w:spacing w:line="288" w:lineRule="auto"/>
        <w:ind w:firstLine="480" w:firstLineChars="200"/>
        <w:rPr>
          <w:rFonts w:ascii="仿宋" w:hAnsi="仿宋" w:eastAsia="仿宋" w:cs="仿宋"/>
          <w:b/>
          <w:sz w:val="36"/>
          <w:szCs w:val="36"/>
        </w:rPr>
      </w:pPr>
      <w:r>
        <w:rPr>
          <w:rFonts w:hint="eastAsia" w:ascii="仿宋" w:hAnsi="仿宋" w:eastAsia="仿宋" w:cs="仿宋"/>
          <w:sz w:val="24"/>
        </w:rPr>
        <w:t>7.质疑函范本、投诉书范本请到浙江政府采购网下载专区下载。</w:t>
      </w:r>
    </w:p>
    <w:p>
      <w:pPr>
        <w:pStyle w:val="14"/>
        <w:adjustRightInd/>
        <w:spacing w:line="288" w:lineRule="auto"/>
        <w:jc w:val="center"/>
        <w:rPr>
          <w:rFonts w:ascii="仿宋" w:hAnsi="仿宋" w:eastAsia="仿宋" w:cs="仿宋"/>
          <w:b/>
          <w:sz w:val="36"/>
          <w:szCs w:val="36"/>
        </w:rPr>
      </w:pPr>
    </w:p>
    <w:p>
      <w:pPr>
        <w:pStyle w:val="14"/>
        <w:adjustRightInd/>
        <w:spacing w:line="288" w:lineRule="auto"/>
        <w:jc w:val="both"/>
        <w:rPr>
          <w:rFonts w:hint="eastAsia" w:ascii="仿宋" w:hAnsi="仿宋" w:eastAsia="仿宋" w:cs="仿宋"/>
          <w:b/>
          <w:sz w:val="36"/>
          <w:szCs w:val="36"/>
        </w:rPr>
      </w:pPr>
    </w:p>
    <w:p>
      <w:pPr>
        <w:pStyle w:val="14"/>
        <w:adjustRightInd/>
        <w:spacing w:line="288" w:lineRule="auto"/>
        <w:jc w:val="center"/>
        <w:rPr>
          <w:rFonts w:ascii="仿宋" w:hAnsi="仿宋" w:eastAsia="仿宋" w:cs="仿宋"/>
          <w:b/>
          <w:sz w:val="36"/>
          <w:szCs w:val="36"/>
        </w:rPr>
      </w:pPr>
      <w:r>
        <w:rPr>
          <w:rFonts w:hint="eastAsia" w:ascii="仿宋" w:hAnsi="仿宋" w:eastAsia="仿宋" w:cs="仿宋"/>
          <w:b/>
          <w:sz w:val="36"/>
          <w:szCs w:val="36"/>
        </w:rPr>
        <w:t>第三部分 项目技术规范和服务要求</w:t>
      </w:r>
    </w:p>
    <w:p>
      <w:pPr>
        <w:keepNext w:val="0"/>
        <w:keepLines w:val="0"/>
        <w:pageBreakBefore w:val="0"/>
        <w:kinsoku/>
        <w:wordWrap/>
        <w:overflowPunct/>
        <w:topLinePunct w:val="0"/>
        <w:bidi w:val="0"/>
        <w:adjustRightInd w:val="0"/>
        <w:snapToGrid/>
        <w:spacing w:line="288" w:lineRule="auto"/>
        <w:rPr>
          <w:rFonts w:ascii="仿宋_GB2312"/>
          <w:b/>
          <w:bCs/>
          <w:sz w:val="24"/>
        </w:rPr>
      </w:pPr>
      <w:r>
        <w:rPr>
          <w:rFonts w:hint="eastAsia" w:ascii="仿宋_GB2312" w:eastAsia="仿宋_GB2312"/>
          <w:b/>
          <w:bCs/>
          <w:sz w:val="24"/>
        </w:rPr>
        <w:t>一、服务时间</w:t>
      </w:r>
      <w:r>
        <w:rPr>
          <w:rFonts w:hint="eastAsia" w:ascii="仿宋_GB2312"/>
          <w:b/>
          <w:bCs/>
          <w:sz w:val="24"/>
        </w:rPr>
        <w:t>：</w:t>
      </w:r>
      <w:r>
        <w:rPr>
          <w:rFonts w:ascii="仿宋_GB2312"/>
          <w:b/>
          <w:bCs/>
          <w:sz w:val="24"/>
        </w:rPr>
        <w:t>12</w:t>
      </w:r>
      <w:r>
        <w:rPr>
          <w:rFonts w:hint="eastAsia" w:ascii="仿宋_GB2312"/>
          <w:b/>
          <w:bCs/>
          <w:sz w:val="24"/>
        </w:rPr>
        <w:t>个月。</w:t>
      </w:r>
    </w:p>
    <w:p>
      <w:pPr>
        <w:keepNext w:val="0"/>
        <w:keepLines w:val="0"/>
        <w:pageBreakBefore w:val="0"/>
        <w:kinsoku/>
        <w:wordWrap/>
        <w:overflowPunct/>
        <w:topLinePunct w:val="0"/>
        <w:bidi w:val="0"/>
        <w:adjustRightInd w:val="0"/>
        <w:snapToGrid/>
        <w:spacing w:line="288" w:lineRule="auto"/>
        <w:rPr>
          <w:rFonts w:ascii="仿宋_GB2312" w:eastAsia="仿宋_GB2312"/>
          <w:b/>
          <w:bCs/>
          <w:sz w:val="24"/>
        </w:rPr>
      </w:pPr>
      <w:r>
        <w:rPr>
          <w:rFonts w:hint="eastAsia" w:ascii="仿宋_GB2312" w:eastAsia="仿宋_GB2312"/>
          <w:b/>
          <w:bCs/>
          <w:sz w:val="24"/>
        </w:rPr>
        <w:t>二、维保要求：</w:t>
      </w:r>
    </w:p>
    <w:p>
      <w:pPr>
        <w:keepNext w:val="0"/>
        <w:keepLines w:val="0"/>
        <w:pageBreakBefore w:val="0"/>
        <w:kinsoku/>
        <w:wordWrap/>
        <w:overflowPunct/>
        <w:topLinePunct w:val="0"/>
        <w:bidi w:val="0"/>
        <w:adjustRightInd w:val="0"/>
        <w:snapToGrid/>
        <w:spacing w:line="288" w:lineRule="auto"/>
        <w:rPr>
          <w:rFonts w:ascii="Calibri" w:hAnsi="Calibri" w:eastAsia="仿宋_GB2312"/>
          <w:sz w:val="24"/>
        </w:rPr>
      </w:pPr>
      <w:r>
        <w:rPr>
          <w:rFonts w:ascii="仿宋_GB2312" w:eastAsia="仿宋_GB2312"/>
          <w:sz w:val="24"/>
        </w:rPr>
        <w:t>1</w:t>
      </w:r>
      <w:r>
        <w:rPr>
          <w:rFonts w:hint="eastAsia" w:ascii="仿宋_GB2312" w:eastAsia="仿宋_GB2312"/>
          <w:sz w:val="24"/>
        </w:rPr>
        <w:t>、</w:t>
      </w:r>
      <w:r>
        <w:rPr>
          <w:rFonts w:hint="eastAsia" w:ascii="Calibri" w:hAnsi="Calibri" w:eastAsia="仿宋_GB2312"/>
          <w:sz w:val="24"/>
        </w:rPr>
        <w:t>维保内容：</w:t>
      </w:r>
    </w:p>
    <w:p>
      <w:pPr>
        <w:keepNext w:val="0"/>
        <w:keepLines w:val="0"/>
        <w:pageBreakBefore w:val="0"/>
        <w:kinsoku/>
        <w:wordWrap/>
        <w:overflowPunct/>
        <w:topLinePunct w:val="0"/>
        <w:bidi w:val="0"/>
        <w:adjustRightInd w:val="0"/>
        <w:snapToGrid/>
        <w:spacing w:line="288" w:lineRule="auto"/>
        <w:ind w:firstLine="360" w:firstLineChars="150"/>
        <w:rPr>
          <w:rFonts w:ascii="Calibri" w:hAnsi="Calibri" w:eastAsia="仿宋_GB2312"/>
          <w:sz w:val="24"/>
        </w:rPr>
      </w:pPr>
      <w:r>
        <w:rPr>
          <w:rFonts w:hint="eastAsia" w:ascii="Calibri" w:hAnsi="Calibri" w:eastAsia="仿宋_GB2312"/>
          <w:sz w:val="24"/>
        </w:rPr>
        <w:t>全馆常设展厅和公共区域内的所有常设展品（组）及合同期内新增或改造的展项和大篷车展项及合同期内新采购的其他大篷车展项的日常维修维护（包括软硬件、机械结构、电气设备等）和重要展项定期保养以及零配件和耗材的制作、采购、更换，投影机灯泡、电脑主机整机、显示器采购以及专业性清洁消毒不在维保范围内。</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ascii="仿宋_GB2312" w:eastAsia="仿宋_GB2312"/>
          <w:sz w:val="24"/>
        </w:rPr>
        <w:t>2</w:t>
      </w:r>
      <w:r>
        <w:rPr>
          <w:rFonts w:hint="eastAsia" w:ascii="仿宋_GB2312" w:eastAsia="仿宋_GB2312"/>
          <w:sz w:val="24"/>
        </w:rPr>
        <w:t>、人员服务要求</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hint="eastAsia" w:ascii="仿宋_GB2312" w:eastAsia="仿宋_GB2312"/>
          <w:sz w:val="22"/>
        </w:rPr>
        <w:t>★</w:t>
      </w:r>
      <w:r>
        <w:rPr>
          <w:rFonts w:ascii="仿宋_GB2312" w:eastAsia="仿宋_GB2312"/>
          <w:sz w:val="22"/>
        </w:rPr>
        <w:t>2.1</w:t>
      </w:r>
      <w:r>
        <w:rPr>
          <w:rFonts w:hint="eastAsia" w:ascii="仿宋_GB2312" w:eastAsia="仿宋_GB2312"/>
          <w:sz w:val="24"/>
        </w:rPr>
        <w:t>现场人员配备要求</w:t>
      </w:r>
    </w:p>
    <w:p>
      <w:pPr>
        <w:keepNext w:val="0"/>
        <w:keepLines w:val="0"/>
        <w:pageBreakBefore w:val="0"/>
        <w:kinsoku/>
        <w:wordWrap/>
        <w:overflowPunct/>
        <w:topLinePunct w:val="0"/>
        <w:bidi w:val="0"/>
        <w:adjustRightInd w:val="0"/>
        <w:snapToGrid/>
        <w:spacing w:line="288" w:lineRule="auto"/>
        <w:ind w:firstLine="360" w:firstLineChars="150"/>
        <w:rPr>
          <w:rFonts w:ascii="仿宋_GB2312" w:eastAsia="仿宋_GB2312"/>
          <w:sz w:val="24"/>
        </w:rPr>
      </w:pPr>
      <w:r>
        <w:rPr>
          <w:rFonts w:hint="eastAsia" w:ascii="仿宋_GB2312" w:eastAsia="仿宋_GB2312"/>
          <w:sz w:val="24"/>
        </w:rPr>
        <w:t>驻场机电类工程师至少</w:t>
      </w:r>
      <w:r>
        <w:rPr>
          <w:rFonts w:ascii="仿宋_GB2312" w:eastAsia="仿宋_GB2312"/>
          <w:sz w:val="24"/>
        </w:rPr>
        <w:t>2</w:t>
      </w:r>
      <w:r>
        <w:rPr>
          <w:rFonts w:hint="eastAsia" w:ascii="仿宋_GB2312" w:eastAsia="仿宋_GB2312"/>
          <w:sz w:val="24"/>
        </w:rPr>
        <w:t>人，并自行提供维修工作必需的设备和工具。服务团队人员需具备机械类或电器类等展品的维修、维护经验。负责为绍兴科技馆常设展品和大篷车展品提供巡检、维护、维修服务，保证其安全、正常、可靠运行，达到或优于其原来展示效果。</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hint="eastAsia" w:ascii="仿宋_GB2312" w:eastAsia="仿宋_GB2312"/>
          <w:sz w:val="22"/>
        </w:rPr>
        <w:t>★</w:t>
      </w:r>
      <w:r>
        <w:rPr>
          <w:rFonts w:ascii="仿宋_GB2312" w:eastAsia="仿宋_GB2312"/>
          <w:sz w:val="22"/>
        </w:rPr>
        <w:t>2.2</w:t>
      </w:r>
      <w:r>
        <w:rPr>
          <w:rFonts w:hint="eastAsia" w:ascii="仿宋_GB2312" w:eastAsia="仿宋_GB2312"/>
          <w:sz w:val="24"/>
        </w:rPr>
        <w:t>工作时间遵照绍兴科技馆工作时间（含节假日）</w:t>
      </w:r>
      <w:r>
        <w:rPr>
          <w:rFonts w:hint="eastAsia" w:ascii="Calibri" w:hAnsi="Calibri" w:eastAsia="仿宋_GB2312"/>
          <w:sz w:val="24"/>
        </w:rPr>
        <w:t>。</w:t>
      </w:r>
      <w:r>
        <w:rPr>
          <w:rFonts w:hint="eastAsia" w:ascii="仿宋_GB2312" w:eastAsia="仿宋_GB2312"/>
          <w:sz w:val="24"/>
        </w:rPr>
        <w:t>上下班时间与开闭馆时间一致，根据按期维修的需要，经馆方同意后维保服务公司可以自行安排加班时间。</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ascii="仿宋_GB2312" w:eastAsia="仿宋_GB2312"/>
          <w:sz w:val="22"/>
        </w:rPr>
        <w:t>2.3</w:t>
      </w:r>
      <w:r>
        <w:rPr>
          <w:rFonts w:hint="eastAsia" w:ascii="仿宋_GB2312" w:eastAsia="仿宋_GB2312"/>
          <w:sz w:val="24"/>
        </w:rPr>
        <w:t>现场驻馆工作人员每天不间断对展品运行情况和环境附属设施进行巡查，填写《展品展项维保服务每日工作日志》，如发现故障及安全隐患，在半小时内达到现场，及时维修。</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ascii="仿宋_GB2312" w:eastAsia="仿宋_GB2312"/>
          <w:sz w:val="24"/>
        </w:rPr>
        <w:t>2.4</w:t>
      </w:r>
      <w:r>
        <w:rPr>
          <w:rFonts w:hint="eastAsia" w:ascii="仿宋_GB2312" w:eastAsia="仿宋_GB2312"/>
          <w:sz w:val="24"/>
        </w:rPr>
        <w:t>维保单位应遵循安全生产、文明施工的有关规定，在维修维护过程中，采取严格的安全措施，如发生人身安全事故，责任与费用由维保单位承担。</w:t>
      </w:r>
    </w:p>
    <w:p>
      <w:pPr>
        <w:pStyle w:val="92"/>
        <w:keepNext w:val="0"/>
        <w:keepLines w:val="0"/>
        <w:pageBreakBefore w:val="0"/>
        <w:kinsoku/>
        <w:wordWrap/>
        <w:overflowPunct/>
        <w:topLinePunct w:val="0"/>
        <w:bidi w:val="0"/>
        <w:adjustRightInd w:val="0"/>
        <w:snapToGrid/>
        <w:spacing w:line="288" w:lineRule="auto"/>
        <w:rPr>
          <w:rFonts w:ascii="仿宋_GB2312" w:eastAsia="仿宋_GB2312"/>
          <w:color w:val="auto"/>
        </w:rPr>
      </w:pPr>
      <w:r>
        <w:rPr>
          <w:rFonts w:ascii="仿宋_GB2312" w:eastAsia="仿宋_GB2312"/>
          <w:color w:val="auto"/>
          <w:kern w:val="2"/>
          <w:sz w:val="22"/>
        </w:rPr>
        <w:t>2.5</w:t>
      </w:r>
      <w:r>
        <w:rPr>
          <w:rFonts w:hint="eastAsia" w:ascii="仿宋_GB2312" w:eastAsia="仿宋_GB2312"/>
          <w:color w:val="auto"/>
          <w:kern w:val="2"/>
        </w:rPr>
        <w:t>维护分为日常维护和定期维护。日常维护主要对展品</w:t>
      </w:r>
      <w:r>
        <w:rPr>
          <w:rFonts w:hint="eastAsia" w:ascii="仿宋_GB2312" w:eastAsia="仿宋_GB2312"/>
          <w:color w:val="auto"/>
        </w:rPr>
        <w:t>内部进行除尘、除锈、整理、紧固、润滑等，检查零配件、活动部件、承力结构、易损件等是否完好，检查接地线、热继电器、保险、安全带等安全措施是否正常。</w:t>
      </w:r>
    </w:p>
    <w:p>
      <w:pPr>
        <w:pStyle w:val="92"/>
        <w:keepNext w:val="0"/>
        <w:keepLines w:val="0"/>
        <w:pageBreakBefore w:val="0"/>
        <w:kinsoku/>
        <w:wordWrap/>
        <w:overflowPunct/>
        <w:topLinePunct w:val="0"/>
        <w:bidi w:val="0"/>
        <w:adjustRightInd w:val="0"/>
        <w:snapToGrid/>
        <w:spacing w:line="288" w:lineRule="auto"/>
        <w:rPr>
          <w:rFonts w:ascii="仿宋_GB2312" w:eastAsia="仿宋_GB2312"/>
          <w:color w:val="auto"/>
        </w:rPr>
      </w:pPr>
      <w:r>
        <w:rPr>
          <w:rFonts w:ascii="仿宋_GB2312" w:eastAsia="仿宋_GB2312"/>
          <w:color w:val="auto"/>
        </w:rPr>
        <w:t>2.6</w:t>
      </w:r>
      <w:r>
        <w:rPr>
          <w:rFonts w:hint="eastAsia" w:ascii="仿宋_GB2312" w:eastAsia="仿宋_GB2312"/>
          <w:color w:val="auto"/>
        </w:rPr>
        <w:t>定期维护主要由维保单位每季度派遣专业维保组前来维护所有展品一次。</w:t>
      </w:r>
    </w:p>
    <w:p>
      <w:pPr>
        <w:pStyle w:val="92"/>
        <w:keepNext w:val="0"/>
        <w:keepLines w:val="0"/>
        <w:pageBreakBefore w:val="0"/>
        <w:kinsoku/>
        <w:wordWrap/>
        <w:overflowPunct/>
        <w:topLinePunct w:val="0"/>
        <w:bidi w:val="0"/>
        <w:adjustRightInd w:val="0"/>
        <w:snapToGrid/>
        <w:spacing w:line="288" w:lineRule="auto"/>
        <w:rPr>
          <w:rFonts w:ascii="仿宋_GB2312" w:eastAsia="仿宋_GB2312"/>
          <w:color w:val="auto"/>
        </w:rPr>
      </w:pPr>
      <w:r>
        <w:rPr>
          <w:rFonts w:hint="eastAsia" w:ascii="新宋体" w:hAnsi="新宋体" w:eastAsia="新宋体" w:cs="新宋体"/>
          <w:color w:val="auto"/>
        </w:rPr>
        <w:t>▲</w:t>
      </w:r>
      <w:r>
        <w:rPr>
          <w:rFonts w:ascii="仿宋_GB2312" w:eastAsia="仿宋_GB2312"/>
          <w:color w:val="auto"/>
        </w:rPr>
        <w:t>2.7</w:t>
      </w:r>
      <w:r>
        <w:rPr>
          <w:rFonts w:hint="eastAsia" w:ascii="仿宋_GB2312" w:eastAsia="仿宋_GB2312"/>
          <w:color w:val="auto"/>
        </w:rPr>
        <w:t>市域内大篷车随车一人服务，一年不高于</w:t>
      </w:r>
      <w:r>
        <w:rPr>
          <w:rFonts w:ascii="仿宋_GB2312" w:eastAsia="仿宋_GB2312"/>
          <w:color w:val="auto"/>
        </w:rPr>
        <w:t>20</w:t>
      </w:r>
      <w:r>
        <w:rPr>
          <w:rFonts w:hint="eastAsia" w:ascii="仿宋_GB2312" w:eastAsia="仿宋_GB2312"/>
          <w:color w:val="auto"/>
        </w:rPr>
        <w:t>次，维修服务工作可延期一日完成（馆内第二天有重大项目活动除外）。</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ascii="仿宋_GB2312" w:eastAsia="仿宋_GB2312"/>
          <w:sz w:val="24"/>
        </w:rPr>
        <w:t>3</w:t>
      </w:r>
      <w:r>
        <w:rPr>
          <w:rFonts w:hint="eastAsia" w:ascii="仿宋_GB2312" w:eastAsia="仿宋_GB2312"/>
          <w:sz w:val="24"/>
        </w:rPr>
        <w:t>、维修服务要求</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hint="eastAsia" w:ascii="新宋体" w:hAnsi="新宋体" w:eastAsia="新宋体" w:cs="新宋体"/>
        </w:rPr>
        <w:t>▲</w:t>
      </w:r>
      <w:r>
        <w:rPr>
          <w:rFonts w:ascii="仿宋_GB2312" w:eastAsia="仿宋_GB2312"/>
          <w:sz w:val="22"/>
        </w:rPr>
        <w:t>3.1</w:t>
      </w:r>
      <w:r>
        <w:rPr>
          <w:rFonts w:hint="eastAsia" w:ascii="仿宋_GB2312" w:eastAsia="仿宋_GB2312"/>
          <w:sz w:val="24"/>
        </w:rPr>
        <w:t>小型维修（无需更换配件）工作当天完成；</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hint="eastAsia" w:ascii="新宋体" w:hAnsi="新宋体" w:eastAsia="新宋体" w:cs="新宋体"/>
        </w:rPr>
        <w:t>▲</w:t>
      </w:r>
      <w:r>
        <w:rPr>
          <w:rFonts w:ascii="仿宋_GB2312" w:eastAsia="仿宋_GB2312"/>
          <w:sz w:val="22"/>
        </w:rPr>
        <w:t>3.2</w:t>
      </w:r>
      <w:r>
        <w:rPr>
          <w:rFonts w:hint="eastAsia" w:ascii="仿宋_GB2312" w:eastAsia="仿宋_GB2312"/>
          <w:sz w:val="24"/>
        </w:rPr>
        <w:t>需采购通用型配件的维修工作</w:t>
      </w:r>
      <w:r>
        <w:rPr>
          <w:rFonts w:ascii="仿宋_GB2312" w:eastAsia="仿宋_GB2312"/>
          <w:sz w:val="24"/>
        </w:rPr>
        <w:t>5</w:t>
      </w:r>
      <w:r>
        <w:rPr>
          <w:rFonts w:hint="eastAsia" w:ascii="仿宋_GB2312" w:eastAsia="仿宋_GB2312"/>
          <w:sz w:val="24"/>
        </w:rPr>
        <w:t>个工作日内完成，现场维保主管在向维保公司报备后，可自行采购通用型配件，若因快递迟发等不可抗力因素未能按期完成，须以书面形式提供证明材料报馆方确认，并在到货后</w:t>
      </w:r>
      <w:r>
        <w:rPr>
          <w:rFonts w:ascii="仿宋_GB2312" w:eastAsia="仿宋_GB2312"/>
          <w:sz w:val="24"/>
        </w:rPr>
        <w:t>2</w:t>
      </w:r>
      <w:r>
        <w:rPr>
          <w:rFonts w:hint="eastAsia" w:ascii="仿宋_GB2312" w:eastAsia="仿宋_GB2312"/>
          <w:sz w:val="24"/>
        </w:rPr>
        <w:t>个工作日内完成；</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hint="eastAsia" w:ascii="新宋体" w:hAnsi="新宋体" w:eastAsia="新宋体" w:cs="新宋体"/>
        </w:rPr>
        <w:t>▲</w:t>
      </w:r>
      <w:r>
        <w:rPr>
          <w:rFonts w:ascii="仿宋_GB2312" w:eastAsia="仿宋_GB2312"/>
          <w:sz w:val="22"/>
        </w:rPr>
        <w:t>3.3</w:t>
      </w:r>
      <w:r>
        <w:rPr>
          <w:rFonts w:hint="eastAsia" w:ascii="仿宋_GB2312" w:eastAsia="仿宋_GB2312"/>
          <w:sz w:val="24"/>
        </w:rPr>
        <w:t>定制配件的维保工作</w:t>
      </w:r>
      <w:r>
        <w:rPr>
          <w:rFonts w:ascii="仿宋_GB2312" w:eastAsia="仿宋_GB2312"/>
          <w:sz w:val="24"/>
        </w:rPr>
        <w:t>10</w:t>
      </w:r>
      <w:r>
        <w:rPr>
          <w:rFonts w:hint="eastAsia" w:ascii="仿宋_GB2312" w:eastAsia="仿宋_GB2312"/>
          <w:sz w:val="24"/>
        </w:rPr>
        <w:t>个工作日内完成。若确实无法完成，需提前</w:t>
      </w:r>
      <w:r>
        <w:rPr>
          <w:rFonts w:ascii="仿宋_GB2312" w:eastAsia="仿宋_GB2312"/>
          <w:sz w:val="24"/>
        </w:rPr>
        <w:t>3</w:t>
      </w:r>
      <w:r>
        <w:rPr>
          <w:rFonts w:hint="eastAsia" w:ascii="仿宋_GB2312" w:eastAsia="仿宋_GB2312"/>
          <w:sz w:val="24"/>
        </w:rPr>
        <w:t>个工作日以书面方案形式报馆方确认。</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hint="eastAsia" w:ascii="新宋体" w:hAnsi="新宋体" w:eastAsia="新宋体" w:cs="新宋体"/>
        </w:rPr>
        <w:t>▲</w:t>
      </w:r>
      <w:r>
        <w:rPr>
          <w:rFonts w:ascii="仿宋_GB2312" w:eastAsia="仿宋_GB2312"/>
          <w:sz w:val="24"/>
        </w:rPr>
        <w:t>3.4</w:t>
      </w:r>
      <w:r>
        <w:rPr>
          <w:rFonts w:hint="eastAsia" w:ascii="仿宋_GB2312" w:eastAsia="仿宋_GB2312"/>
          <w:sz w:val="24"/>
        </w:rPr>
        <w:t>单件展品同一问题维修率不高于</w:t>
      </w:r>
      <w:r>
        <w:rPr>
          <w:rFonts w:ascii="仿宋_GB2312" w:eastAsia="仿宋_GB2312"/>
          <w:sz w:val="24"/>
        </w:rPr>
        <w:t>2</w:t>
      </w:r>
      <w:r>
        <w:rPr>
          <w:rFonts w:hint="eastAsia" w:ascii="仿宋_GB2312" w:eastAsia="仿宋_GB2312"/>
          <w:sz w:val="24"/>
        </w:rPr>
        <w:t>次</w:t>
      </w:r>
      <w:r>
        <w:rPr>
          <w:rFonts w:ascii="仿宋_GB2312" w:eastAsia="仿宋_GB2312"/>
          <w:sz w:val="24"/>
        </w:rPr>
        <w:t>/</w:t>
      </w:r>
      <w:r>
        <w:rPr>
          <w:rFonts w:hint="eastAsia" w:ascii="仿宋_GB2312" w:eastAsia="仿宋_GB2312"/>
          <w:sz w:val="24"/>
        </w:rPr>
        <w:t>月</w:t>
      </w:r>
      <w:r>
        <w:rPr>
          <w:rFonts w:hint="eastAsia" w:ascii="Calibri" w:hAnsi="Calibri" w:eastAsia="仿宋_GB2312"/>
          <w:sz w:val="24"/>
        </w:rPr>
        <w:t>，维保期内总修复率</w:t>
      </w:r>
      <w:r>
        <w:rPr>
          <w:rFonts w:hint="eastAsia" w:ascii="仿宋_GB2312" w:eastAsia="仿宋_GB2312"/>
          <w:sz w:val="24"/>
        </w:rPr>
        <w:t>不低于</w:t>
      </w:r>
      <w:r>
        <w:rPr>
          <w:rFonts w:ascii="仿宋_GB2312" w:eastAsia="仿宋_GB2312"/>
          <w:sz w:val="24"/>
        </w:rPr>
        <w:t>99%</w:t>
      </w:r>
      <w:r>
        <w:rPr>
          <w:rFonts w:hint="eastAsia" w:ascii="仿宋_GB2312" w:eastAsia="仿宋_GB2312"/>
          <w:sz w:val="24"/>
        </w:rPr>
        <w:t>，否则即视为不合格。</w:t>
      </w:r>
    </w:p>
    <w:p>
      <w:pPr>
        <w:keepNext w:val="0"/>
        <w:keepLines w:val="0"/>
        <w:pageBreakBefore w:val="0"/>
        <w:kinsoku/>
        <w:wordWrap/>
        <w:overflowPunct/>
        <w:topLinePunct w:val="0"/>
        <w:bidi w:val="0"/>
        <w:adjustRightInd w:val="0"/>
        <w:snapToGrid/>
        <w:spacing w:line="288" w:lineRule="auto"/>
        <w:rPr>
          <w:rFonts w:ascii="仿宋_GB2312" w:eastAsia="仿宋_GB2312"/>
          <w:b/>
          <w:bCs/>
          <w:sz w:val="24"/>
        </w:rPr>
      </w:pPr>
      <w:r>
        <w:rPr>
          <w:rFonts w:hint="eastAsia" w:ascii="仿宋_GB2312" w:eastAsia="仿宋_GB2312"/>
          <w:b/>
          <w:bCs/>
          <w:sz w:val="24"/>
        </w:rPr>
        <w:t>三、付款方式：</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ascii="仿宋_GB2312" w:eastAsia="仿宋_GB2312"/>
          <w:sz w:val="24"/>
        </w:rPr>
        <w:t>1</w:t>
      </w:r>
      <w:r>
        <w:rPr>
          <w:rFonts w:hint="eastAsia" w:ascii="仿宋_GB2312" w:eastAsia="仿宋_GB2312"/>
          <w:sz w:val="24"/>
        </w:rPr>
        <w:t>、中标人在签订合同时交纳中标额的</w:t>
      </w:r>
      <w:r>
        <w:rPr>
          <w:rFonts w:ascii="仿宋_GB2312" w:eastAsia="仿宋_GB2312"/>
          <w:sz w:val="24"/>
        </w:rPr>
        <w:t>5</w:t>
      </w:r>
      <w:r>
        <w:rPr>
          <w:rFonts w:hint="eastAsia" w:ascii="仿宋_GB2312" w:eastAsia="仿宋_GB2312"/>
          <w:sz w:val="24"/>
        </w:rPr>
        <w:t>％的履约保证金给采购人。</w:t>
      </w:r>
    </w:p>
    <w:p>
      <w:pPr>
        <w:keepNext w:val="0"/>
        <w:keepLines w:val="0"/>
        <w:pageBreakBefore w:val="0"/>
        <w:kinsoku/>
        <w:wordWrap/>
        <w:overflowPunct/>
        <w:topLinePunct w:val="0"/>
        <w:bidi w:val="0"/>
        <w:adjustRightInd w:val="0"/>
        <w:snapToGrid/>
        <w:spacing w:line="288" w:lineRule="auto"/>
        <w:rPr>
          <w:rFonts w:ascii="仿宋_GB2312" w:eastAsia="仿宋_GB2312"/>
          <w:b/>
          <w:bCs/>
          <w:sz w:val="24"/>
        </w:rPr>
      </w:pPr>
      <w:r>
        <w:rPr>
          <w:rFonts w:ascii="仿宋_GB2312" w:eastAsia="仿宋_GB2312"/>
          <w:sz w:val="24"/>
        </w:rPr>
        <w:t>2</w:t>
      </w:r>
      <w:r>
        <w:rPr>
          <w:rFonts w:hint="eastAsia" w:ascii="仿宋_GB2312" w:eastAsia="仿宋_GB2312"/>
          <w:sz w:val="24"/>
        </w:rPr>
        <w:t>、合同签订生效人员及设备到位后甲方向乙方支付合同总价的</w:t>
      </w:r>
      <w:r>
        <w:rPr>
          <w:rFonts w:ascii="仿宋_GB2312" w:eastAsia="仿宋_GB2312"/>
          <w:sz w:val="24"/>
        </w:rPr>
        <w:t>40%</w:t>
      </w:r>
      <w:r>
        <w:rPr>
          <w:rFonts w:hint="eastAsia" w:ascii="仿宋_GB2312" w:eastAsia="仿宋_GB2312"/>
          <w:sz w:val="24"/>
        </w:rPr>
        <w:t>；合同签订</w:t>
      </w:r>
      <w:r>
        <w:rPr>
          <w:rFonts w:ascii="仿宋_GB2312" w:eastAsia="仿宋_GB2312"/>
          <w:bCs/>
          <w:sz w:val="24"/>
        </w:rPr>
        <w:t>3</w:t>
      </w:r>
      <w:r>
        <w:rPr>
          <w:rFonts w:hint="eastAsia" w:ascii="仿宋_GB2312" w:eastAsia="仿宋_GB2312"/>
          <w:bCs/>
          <w:sz w:val="24"/>
        </w:rPr>
        <w:t>个月</w:t>
      </w:r>
      <w:r>
        <w:rPr>
          <w:rFonts w:hint="eastAsia" w:ascii="仿宋_GB2312" w:eastAsia="仿宋_GB2312"/>
          <w:sz w:val="24"/>
        </w:rPr>
        <w:t>后</w:t>
      </w:r>
      <w:r>
        <w:rPr>
          <w:rFonts w:ascii="仿宋_GB2312" w:eastAsia="仿宋_GB2312"/>
          <w:sz w:val="24"/>
        </w:rPr>
        <w:t xml:space="preserve">, </w:t>
      </w:r>
      <w:r>
        <w:rPr>
          <w:rFonts w:hint="eastAsia" w:ascii="仿宋_GB2312" w:eastAsia="仿宋_GB2312"/>
          <w:sz w:val="24"/>
        </w:rPr>
        <w:t>甲方将对乙方三个月维保期内的服务进行考核统计，考核统计合格后，甲方凭乙方开具的有效发票七个工作日内支付合同总价</w:t>
      </w:r>
      <w:r>
        <w:rPr>
          <w:rFonts w:ascii="仿宋_GB2312" w:eastAsia="仿宋_GB2312"/>
          <w:sz w:val="24"/>
        </w:rPr>
        <w:t>30%</w:t>
      </w:r>
      <w:r>
        <w:rPr>
          <w:rFonts w:hint="eastAsia" w:ascii="仿宋_GB2312" w:eastAsia="仿宋_GB2312"/>
          <w:sz w:val="24"/>
        </w:rPr>
        <w:t>，考核统计不合格，甲方有权按合同条款扣除相应履约保证金，乙方在达到考核要求之后，甲方凭乙方开具的有效发票七个工作日内支付合同总价</w:t>
      </w:r>
      <w:r>
        <w:rPr>
          <w:rFonts w:ascii="仿宋_GB2312" w:eastAsia="仿宋_GB2312"/>
          <w:sz w:val="24"/>
        </w:rPr>
        <w:t>30%</w:t>
      </w:r>
      <w:r>
        <w:rPr>
          <w:rFonts w:hint="eastAsia" w:ascii="仿宋_GB2312" w:eastAsia="仿宋_GB2312"/>
          <w:sz w:val="24"/>
        </w:rPr>
        <w:t>；到</w:t>
      </w:r>
      <w:r>
        <w:rPr>
          <w:rFonts w:ascii="仿宋_GB2312" w:eastAsia="仿宋_GB2312"/>
          <w:sz w:val="24"/>
        </w:rPr>
        <w:t>2021</w:t>
      </w:r>
      <w:r>
        <w:rPr>
          <w:rFonts w:hint="eastAsia" w:ascii="仿宋_GB2312" w:eastAsia="仿宋_GB2312"/>
          <w:sz w:val="24"/>
        </w:rPr>
        <w:t>年底，甲方将对乙方之前维保期内的服务进行考核统计，考核统计合格后，甲方凭乙方开具的有效发票七个工作日内支付合同尾款。考核统计不合格，甲方有权按合同条款扣除相应履约保证金，乙方在达到考核要求之后，甲方凭乙方开具的有效发票七个工作日内支付合同尾款。在服务期满后，由乙方向甲方提出书面申请，甲方将对乙方维保期内的服务进行全年考核，考核合格的，无息退还履约保证金，考核统计不合格的，甲方有权根据第二条维保条款考核酌情扣除部分甚至全部履约保证金。若在合同期间履约保证金被扣完，乙方须在</w:t>
      </w:r>
      <w:r>
        <w:rPr>
          <w:rFonts w:ascii="仿宋_GB2312" w:eastAsia="仿宋_GB2312"/>
          <w:sz w:val="24"/>
        </w:rPr>
        <w:t>15</w:t>
      </w:r>
      <w:r>
        <w:rPr>
          <w:rFonts w:hint="eastAsia" w:ascii="仿宋_GB2312" w:eastAsia="仿宋_GB2312"/>
          <w:sz w:val="24"/>
        </w:rPr>
        <w:t>个工作日内补交合同总价</w:t>
      </w:r>
      <w:r>
        <w:rPr>
          <w:rFonts w:ascii="仿宋_GB2312" w:eastAsia="仿宋_GB2312"/>
          <w:sz w:val="24"/>
        </w:rPr>
        <w:t>5%</w:t>
      </w:r>
      <w:r>
        <w:rPr>
          <w:rFonts w:hint="eastAsia" w:ascii="仿宋_GB2312" w:eastAsia="仿宋_GB2312"/>
          <w:sz w:val="24"/>
        </w:rPr>
        <w:t>的金额作为新的履约保证金，否则甲方有权解除合同，并由乙方承担相应责任。</w:t>
      </w:r>
    </w:p>
    <w:p>
      <w:pPr>
        <w:keepNext w:val="0"/>
        <w:keepLines w:val="0"/>
        <w:pageBreakBefore w:val="0"/>
        <w:kinsoku/>
        <w:wordWrap/>
        <w:overflowPunct/>
        <w:topLinePunct w:val="0"/>
        <w:bidi w:val="0"/>
        <w:adjustRightInd w:val="0"/>
        <w:snapToGrid/>
        <w:spacing w:line="288" w:lineRule="auto"/>
        <w:rPr>
          <w:rFonts w:ascii="仿宋_GB2312" w:eastAsia="仿宋_GB2312"/>
          <w:b/>
          <w:bCs/>
          <w:sz w:val="24"/>
        </w:rPr>
      </w:pPr>
      <w:r>
        <w:rPr>
          <w:rFonts w:hint="eastAsia" w:ascii="仿宋_GB2312" w:eastAsia="仿宋_GB2312"/>
          <w:b/>
          <w:bCs/>
          <w:sz w:val="24"/>
        </w:rPr>
        <w:t>四、违约扣款：</w:t>
      </w:r>
    </w:p>
    <w:p>
      <w:pPr>
        <w:keepNext w:val="0"/>
        <w:keepLines w:val="0"/>
        <w:pageBreakBefore w:val="0"/>
        <w:kinsoku/>
        <w:wordWrap/>
        <w:overflowPunct/>
        <w:topLinePunct w:val="0"/>
        <w:bidi w:val="0"/>
        <w:adjustRightInd w:val="0"/>
        <w:snapToGrid/>
        <w:spacing w:line="288" w:lineRule="auto"/>
        <w:rPr>
          <w:rFonts w:ascii="仿宋_GB2312" w:eastAsia="仿宋_GB2312"/>
          <w:sz w:val="24"/>
        </w:rPr>
      </w:pPr>
      <w:r>
        <w:rPr>
          <w:rFonts w:ascii="宋体" w:hAnsi="宋体" w:eastAsia="仿宋_GB2312" w:cs="宋体"/>
          <w:b/>
          <w:bCs/>
          <w:kern w:val="0"/>
          <w:sz w:val="28"/>
          <w:szCs w:val="28"/>
        </w:rPr>
        <w:t xml:space="preserve">  </w:t>
      </w:r>
      <w:r>
        <w:rPr>
          <w:rFonts w:ascii="仿宋_GB2312" w:eastAsia="仿宋_GB2312"/>
          <w:sz w:val="24"/>
        </w:rPr>
        <w:t xml:space="preserve"> 1.</w:t>
      </w:r>
      <w:r>
        <w:rPr>
          <w:rFonts w:hint="eastAsia" w:ascii="仿宋_GB2312" w:eastAsia="仿宋_GB2312"/>
          <w:sz w:val="24"/>
        </w:rPr>
        <w:t>单件展品同一问题维修率连续两个月高于</w:t>
      </w:r>
      <w:r>
        <w:rPr>
          <w:rFonts w:ascii="仿宋_GB2312" w:eastAsia="仿宋_GB2312"/>
          <w:sz w:val="24"/>
        </w:rPr>
        <w:t>2</w:t>
      </w:r>
      <w:r>
        <w:rPr>
          <w:rFonts w:hint="eastAsia" w:ascii="仿宋_GB2312" w:eastAsia="仿宋_GB2312"/>
          <w:sz w:val="24"/>
        </w:rPr>
        <w:t>次</w:t>
      </w:r>
      <w:r>
        <w:rPr>
          <w:rFonts w:ascii="仿宋_GB2312" w:eastAsia="仿宋_GB2312"/>
          <w:sz w:val="24"/>
        </w:rPr>
        <w:t>/</w:t>
      </w:r>
      <w:r>
        <w:rPr>
          <w:rFonts w:hint="eastAsia" w:ascii="仿宋_GB2312" w:eastAsia="仿宋_GB2312"/>
          <w:sz w:val="24"/>
        </w:rPr>
        <w:t>月的，甲方有权解除合同，并乙方应承担合同由此解除的全部责任。</w:t>
      </w:r>
    </w:p>
    <w:p>
      <w:pPr>
        <w:keepNext w:val="0"/>
        <w:keepLines w:val="0"/>
        <w:pageBreakBefore w:val="0"/>
        <w:kinsoku/>
        <w:wordWrap/>
        <w:overflowPunct/>
        <w:topLinePunct w:val="0"/>
        <w:bidi w:val="0"/>
        <w:adjustRightInd w:val="0"/>
        <w:snapToGrid/>
        <w:spacing w:line="288" w:lineRule="auto"/>
        <w:ind w:firstLine="480" w:firstLineChars="200"/>
        <w:rPr>
          <w:rFonts w:ascii="仿宋_GB2312" w:eastAsia="仿宋_GB2312"/>
          <w:sz w:val="24"/>
        </w:rPr>
      </w:pPr>
      <w:r>
        <w:rPr>
          <w:rFonts w:ascii="仿宋_GB2312" w:eastAsia="仿宋_GB2312"/>
          <w:sz w:val="24"/>
        </w:rPr>
        <w:t>2.</w:t>
      </w:r>
      <w:r>
        <w:rPr>
          <w:rFonts w:hint="eastAsia" w:ascii="仿宋_GB2312" w:eastAsia="仿宋_GB2312"/>
          <w:sz w:val="24"/>
        </w:rPr>
        <w:t>乙方在甲方指定的时间内未解决相关问题的，每一件展品每迟延一日，应向甲方支付合同总价的万分之五的违约金，每日累加，直至履约保证金扣完为止。</w:t>
      </w:r>
    </w:p>
    <w:p>
      <w:pPr>
        <w:pStyle w:val="36"/>
        <w:keepNext w:val="0"/>
        <w:keepLines w:val="0"/>
        <w:pageBreakBefore w:val="0"/>
        <w:kinsoku/>
        <w:wordWrap/>
        <w:overflowPunct/>
        <w:topLinePunct w:val="0"/>
        <w:bidi w:val="0"/>
        <w:adjustRightInd w:val="0"/>
        <w:snapToGrid/>
        <w:spacing w:line="288" w:lineRule="auto"/>
        <w:ind w:firstLine="0" w:firstLineChars="0"/>
        <w:rPr>
          <w:rFonts w:ascii="仿宋" w:hAnsi="仿宋" w:eastAsia="仿宋" w:cs="仿宋"/>
          <w:szCs w:val="24"/>
        </w:rPr>
      </w:pPr>
    </w:p>
    <w:p>
      <w:pPr>
        <w:keepNext w:val="0"/>
        <w:keepLines w:val="0"/>
        <w:pageBreakBefore w:val="0"/>
        <w:kinsoku/>
        <w:wordWrap/>
        <w:overflowPunct/>
        <w:topLinePunct w:val="0"/>
        <w:bidi w:val="0"/>
        <w:adjustRightInd w:val="0"/>
        <w:snapToGrid/>
        <w:spacing w:line="288" w:lineRule="auto"/>
        <w:rPr>
          <w:rFonts w:ascii="仿宋_GB2312" w:eastAsia="仿宋_GB2312"/>
          <w:b/>
          <w:bCs/>
          <w:sz w:val="24"/>
        </w:rPr>
      </w:pPr>
      <w:r>
        <w:rPr>
          <w:rFonts w:hint="eastAsia" w:ascii="仿宋_GB2312" w:eastAsia="仿宋_GB2312"/>
          <w:b/>
          <w:bCs/>
          <w:sz w:val="24"/>
        </w:rPr>
        <w:t>附展项清单参考：</w:t>
      </w:r>
    </w:p>
    <w:tbl>
      <w:tblPr>
        <w:tblStyle w:val="26"/>
        <w:tblW w:w="8967" w:type="dxa"/>
        <w:jc w:val="center"/>
        <w:tblLayout w:type="fixed"/>
        <w:tblCellMar>
          <w:top w:w="0" w:type="dxa"/>
          <w:left w:w="0" w:type="dxa"/>
          <w:bottom w:w="0" w:type="dxa"/>
          <w:right w:w="0" w:type="dxa"/>
        </w:tblCellMar>
      </w:tblPr>
      <w:tblGrid>
        <w:gridCol w:w="2301"/>
        <w:gridCol w:w="2134"/>
        <w:gridCol w:w="4532"/>
      </w:tblGrid>
      <w:tr>
        <w:tblPrEx>
          <w:tblCellMar>
            <w:top w:w="0" w:type="dxa"/>
            <w:left w:w="0" w:type="dxa"/>
            <w:bottom w:w="0" w:type="dxa"/>
            <w:right w:w="0" w:type="dxa"/>
          </w:tblCellMar>
        </w:tblPrEx>
        <w:trPr>
          <w:trHeight w:val="90" w:hRule="atLeast"/>
          <w:jc w:val="center"/>
        </w:trPr>
        <w:tc>
          <w:tcPr>
            <w:tcW w:w="230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b/>
                <w:bCs/>
                <w:color w:val="000000"/>
                <w:kern w:val="0"/>
                <w:sz w:val="24"/>
                <w:highlight w:val="none"/>
              </w:rPr>
              <w:t>展区</w:t>
            </w: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b/>
                <w:bCs/>
                <w:color w:val="000000"/>
                <w:kern w:val="0"/>
                <w:sz w:val="24"/>
                <w:highlight w:val="none"/>
              </w:rPr>
              <w:t>序号</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b/>
                <w:bCs/>
                <w:color w:val="000000"/>
                <w:kern w:val="0"/>
                <w:sz w:val="24"/>
                <w:highlight w:val="none"/>
              </w:rPr>
              <w:t>展品名称</w:t>
            </w:r>
          </w:p>
        </w:tc>
      </w:tr>
      <w:tr>
        <w:tblPrEx>
          <w:tblCellMar>
            <w:top w:w="0" w:type="dxa"/>
            <w:left w:w="0" w:type="dxa"/>
            <w:bottom w:w="0" w:type="dxa"/>
            <w:right w:w="0" w:type="dxa"/>
          </w:tblCellMar>
        </w:tblPrEx>
        <w:trPr>
          <w:trHeight w:val="90" w:hRule="atLeast"/>
          <w:jc w:val="center"/>
        </w:trPr>
        <w:tc>
          <w:tcPr>
            <w:tcW w:w="230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儿童乐园</w:t>
            </w: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小球的旅程</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伯努利悬浮球</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小球的旅程</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打气筒吹球</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小球的旅程</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大炮</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小球的旅程</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交叉轨道</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小球的旅程</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螺旋轨道</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小球的旅程</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魔幻轨道</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小球的旅程</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坡道滚落</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小球的旅程</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投篮射球</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小球的旅程</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小球组合</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制作涡旋</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水从哪里来？</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阿基米德螺旋</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向日葵压力泵</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链子水车</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八音琴水车</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压力水车</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水中隧道</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水力发电</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叮叮咚咚响不停</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水枪</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喊泉</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大齿轮</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光栅画</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身高与体重</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谁跳得高</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谁蹦得远</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谁跑得快</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谁站得稳</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谁的力气大</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谁的动作准</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今天你刷牙了吗</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让管道唱歌</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影子为什么是倒着的</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神奇的电</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影子为什么是彩色的</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系好你的鞋带</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缝扣子</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钓鱼</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万丈深渊</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从天而降的蜘蛛</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多变的天气</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里面是什么</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兔子慢点跑</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森林中谁在唱歌</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谁住在洞里</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谁在夜晚不睡觉</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根娃娃的故事</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好饿的毛毛虫</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活体养殖</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看得见，听得到</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你能爬多高</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谁投得准</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会唱歌的楼梯</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数一数，有多少个自己</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形形色色的桥</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小小建筑师</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给自己搭一个房子</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谁盖得歪房子</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摇摇晃晃的小房子</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隐形的城市</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森林探秘</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攀爬筒</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翻山越岭</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看谁滑得快</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不同材质的滑梯</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会唱歌的花朵</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大自然中的万千景象</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让气滚动起来</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树洞里的悄悄话</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拆装车间</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谁的反应快</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童话森林</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你会正确求救吗</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龟兔赛跑</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行走中国</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与小鱼嬉戏</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动物的眼睛</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水上单车</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疯狂飙车</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交通小警察</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智能</w:t>
            </w:r>
            <w:r>
              <w:rPr>
                <w:rFonts w:ascii="仿宋" w:hAnsi="仿宋" w:eastAsia="仿宋" w:cs="仿宋"/>
                <w:color w:val="000000"/>
                <w:kern w:val="0"/>
                <w:sz w:val="24"/>
                <w:highlight w:val="none"/>
              </w:rPr>
              <w:t>ABC</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80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精灵王国</w:t>
            </w:r>
          </w:p>
        </w:tc>
      </w:tr>
      <w:tr>
        <w:tblPrEx>
          <w:tblCellMar>
            <w:top w:w="0" w:type="dxa"/>
            <w:left w:w="0" w:type="dxa"/>
            <w:bottom w:w="0" w:type="dxa"/>
            <w:right w:w="0" w:type="dxa"/>
          </w:tblCellMar>
        </w:tblPrEx>
        <w:trPr>
          <w:trHeight w:val="90" w:hRule="atLeast"/>
          <w:jc w:val="center"/>
        </w:trPr>
        <w:tc>
          <w:tcPr>
            <w:tcW w:w="230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探索与发现</w:t>
            </w: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电磁感应（含</w:t>
            </w:r>
            <w:r>
              <w:rPr>
                <w:rFonts w:ascii="仿宋" w:hAnsi="仿宋" w:eastAsia="仿宋" w:cs="仿宋"/>
                <w:color w:val="000000"/>
                <w:kern w:val="0"/>
                <w:sz w:val="24"/>
                <w:highlight w:val="none"/>
              </w:rPr>
              <w:t>9</w:t>
            </w:r>
            <w:r>
              <w:rPr>
                <w:rFonts w:hint="eastAsia" w:ascii="仿宋" w:hAnsi="仿宋" w:eastAsia="仿宋" w:cs="仿宋"/>
                <w:color w:val="000000"/>
                <w:kern w:val="0"/>
                <w:sz w:val="24"/>
                <w:highlight w:val="none"/>
              </w:rPr>
              <w:t>件）</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光立方（跳跃的光线）</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滤射光（光线轻舞）</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波的干涉（含</w:t>
            </w:r>
            <w:r>
              <w:rPr>
                <w:rFonts w:ascii="仿宋" w:hAnsi="仿宋" w:eastAsia="仿宋" w:cs="仿宋"/>
                <w:color w:val="000000"/>
                <w:kern w:val="0"/>
                <w:sz w:val="24"/>
                <w:highlight w:val="none"/>
              </w:rPr>
              <w:t>3</w:t>
            </w:r>
            <w:r>
              <w:rPr>
                <w:rFonts w:hint="eastAsia" w:ascii="仿宋" w:hAnsi="仿宋" w:eastAsia="仿宋" w:cs="仿宋"/>
                <w:sz w:val="24"/>
                <w:highlight w:val="none"/>
              </w:rPr>
              <w:t>件）</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各种各样的电磁波（含</w:t>
            </w:r>
            <w:r>
              <w:rPr>
                <w:rFonts w:ascii="仿宋" w:hAnsi="仿宋" w:eastAsia="仿宋" w:cs="仿宋"/>
                <w:color w:val="000000"/>
                <w:kern w:val="0"/>
                <w:sz w:val="24"/>
                <w:highlight w:val="none"/>
              </w:rPr>
              <w:t>7</w:t>
            </w:r>
            <w:r>
              <w:rPr>
                <w:rFonts w:hint="eastAsia" w:ascii="仿宋" w:hAnsi="仿宋" w:eastAsia="仿宋" w:cs="仿宋"/>
                <w:sz w:val="24"/>
                <w:highlight w:val="none"/>
              </w:rPr>
              <w:t>件）</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菲尼尔透镜</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原子光谱</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8</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是你还是我</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镜子世界（含</w:t>
            </w:r>
            <w:r>
              <w:rPr>
                <w:rFonts w:ascii="仿宋" w:hAnsi="仿宋" w:eastAsia="仿宋" w:cs="仿宋"/>
                <w:color w:val="000000"/>
                <w:kern w:val="0"/>
                <w:sz w:val="24"/>
                <w:highlight w:val="none"/>
              </w:rPr>
              <w:t>15</w:t>
            </w:r>
            <w:r>
              <w:rPr>
                <w:rFonts w:hint="eastAsia" w:ascii="仿宋" w:hAnsi="仿宋" w:eastAsia="仿宋" w:cs="仿宋"/>
                <w:sz w:val="24"/>
                <w:highlight w:val="none"/>
              </w:rPr>
              <w:t>件）</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10</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我们听到的声音</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传声管</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声驻波</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鱼洗</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莫比乌斯带</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数学角（含</w:t>
            </w:r>
            <w:r>
              <w:rPr>
                <w:rFonts w:ascii="仿宋" w:hAnsi="仿宋" w:eastAsia="仿宋" w:cs="仿宋"/>
                <w:color w:val="000000"/>
                <w:kern w:val="0"/>
                <w:sz w:val="24"/>
                <w:highlight w:val="none"/>
              </w:rPr>
              <w:t>8</w:t>
            </w:r>
            <w:r>
              <w:rPr>
                <w:rFonts w:hint="eastAsia" w:ascii="仿宋" w:hAnsi="仿宋" w:eastAsia="仿宋" w:cs="仿宋"/>
                <w:color w:val="000000"/>
                <w:kern w:val="0"/>
                <w:sz w:val="24"/>
                <w:highlight w:val="none"/>
              </w:rPr>
              <w:t>件）</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极小曲面</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双曲狭缝</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勾股定理</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圆锥曲线</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圆柱与圆锥</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周长与半径</w:t>
            </w:r>
            <w:r>
              <w:rPr>
                <w:rFonts w:ascii="仿宋" w:hAnsi="仿宋" w:eastAsia="仿宋" w:cs="仿宋"/>
                <w:color w:val="000000"/>
                <w:kern w:val="0"/>
                <w:sz w:val="24"/>
                <w:highlight w:val="none"/>
              </w:rPr>
              <w:t>1</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周长与半径</w:t>
            </w:r>
            <w:r>
              <w:rPr>
                <w:rFonts w:ascii="仿宋" w:hAnsi="仿宋" w:eastAsia="仿宋" w:cs="仿宋"/>
                <w:color w:val="000000"/>
                <w:kern w:val="0"/>
                <w:sz w:val="24"/>
                <w:highlight w:val="none"/>
              </w:rPr>
              <w:t>2</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形状记忆合金（魔力水车）</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锥体上滚</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弹射球</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机翼的升力</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气流投篮</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马德堡半球</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操作热气球</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杠杆称体重</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重力实验</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自己拉自己</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陀螺仪</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万有引力</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星球称重</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钉床</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电磁大舞台</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38</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静电表演</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辉光盘</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40</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旋转的金蛋</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铁粒舞蹈</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磁悬浮灯泡</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舞剑机器人</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下棋机器人</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45</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魔方机器人</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46</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sz w:val="24"/>
                <w:highlight w:val="none"/>
              </w:rPr>
              <w:t>机器人表演</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画像机器人</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48</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机械滚球</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典型传动机构</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50</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ascii="仿宋" w:hAnsi="仿宋" w:eastAsia="仿宋" w:cs="仿宋"/>
                <w:color w:val="000000"/>
                <w:kern w:val="0"/>
                <w:sz w:val="24"/>
                <w:highlight w:val="none"/>
              </w:rPr>
              <w:t>360</w:t>
            </w:r>
            <w:r>
              <w:rPr>
                <w:rFonts w:hint="eastAsia" w:ascii="仿宋" w:hAnsi="仿宋" w:eastAsia="仿宋" w:cs="仿宋"/>
                <w:sz w:val="24"/>
                <w:highlight w:val="none"/>
              </w:rPr>
              <w:t>度自行车</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全息音效</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百发百中</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高空自行车</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视觉与经验</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55</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混沌摆</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56</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hint="eastAsia" w:ascii="仿宋" w:hAnsi="仿宋" w:eastAsia="仿宋" w:cs="仿宋"/>
                <w:color w:val="000000"/>
                <w:kern w:val="0"/>
                <w:sz w:val="24"/>
                <w:highlight w:val="none"/>
              </w:rPr>
              <w:t>力量对抗</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top"/>
              <w:rPr>
                <w:highlight w:val="none"/>
              </w:rPr>
            </w:pPr>
            <w:r>
              <w:rPr>
                <w:rFonts w:ascii="仿宋" w:hAnsi="仿宋" w:eastAsia="仿宋" w:cs="仿宋"/>
                <w:color w:val="000000"/>
                <w:kern w:val="0"/>
                <w:sz w:val="24"/>
                <w:highlight w:val="none"/>
              </w:rPr>
              <w:t>3D</w:t>
            </w:r>
            <w:r>
              <w:rPr>
                <w:rFonts w:hint="eastAsia" w:ascii="仿宋" w:hAnsi="仿宋" w:eastAsia="仿宋" w:cs="仿宋"/>
                <w:color w:val="000000"/>
                <w:kern w:val="0"/>
                <w:sz w:val="24"/>
                <w:highlight w:val="none"/>
              </w:rPr>
              <w:t>光栅画</w:t>
            </w:r>
          </w:p>
        </w:tc>
      </w:tr>
      <w:tr>
        <w:tblPrEx>
          <w:tblCellMar>
            <w:top w:w="0" w:type="dxa"/>
            <w:left w:w="0" w:type="dxa"/>
            <w:bottom w:w="0" w:type="dxa"/>
            <w:right w:w="0" w:type="dxa"/>
          </w:tblCellMar>
        </w:tblPrEx>
        <w:trPr>
          <w:trHeight w:val="90" w:hRule="atLeast"/>
          <w:jc w:val="center"/>
        </w:trPr>
        <w:tc>
          <w:tcPr>
            <w:tcW w:w="230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地球与生命</w:t>
            </w: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序厅标志性展项</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地球历史</w:t>
            </w:r>
            <w:r>
              <w:rPr>
                <w:rFonts w:ascii="仿宋" w:hAnsi="仿宋" w:eastAsia="仿宋" w:cs="仿宋"/>
                <w:color w:val="000000"/>
                <w:kern w:val="0"/>
                <w:sz w:val="24"/>
                <w:highlight w:val="none"/>
              </w:rPr>
              <w:t>(</w:t>
            </w:r>
            <w:r>
              <w:rPr>
                <w:rFonts w:hint="eastAsia" w:ascii="仿宋" w:hAnsi="仿宋" w:eastAsia="仿宋" w:cs="仿宋"/>
                <w:color w:val="000000"/>
                <w:kern w:val="0"/>
                <w:sz w:val="24"/>
                <w:highlight w:val="none"/>
              </w:rPr>
              <w:t>蓝色星球</w:t>
            </w:r>
            <w:r>
              <w:rPr>
                <w:rFonts w:ascii="仿宋" w:hAnsi="仿宋" w:eastAsia="仿宋" w:cs="仿宋"/>
                <w:color w:val="000000"/>
                <w:kern w:val="0"/>
                <w:sz w:val="24"/>
                <w:highlight w:val="none"/>
              </w:rPr>
              <w:t>)</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生命历史</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生命演化</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人之由来</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地球家园</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生命多样性</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生命乐章</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美丽的矿石</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地球宝藏（宝石矿）</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岩石形成</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荧光矿石</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雨林缸</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宇宙剧场</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前言、结束语</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AR</w:t>
            </w:r>
            <w:r>
              <w:rPr>
                <w:rFonts w:hint="eastAsia" w:ascii="仿宋" w:hAnsi="仿宋" w:eastAsia="仿宋" w:cs="仿宋"/>
                <w:color w:val="000000"/>
                <w:kern w:val="0"/>
                <w:sz w:val="24"/>
                <w:highlight w:val="none"/>
              </w:rPr>
              <w:t>互动</w:t>
            </w:r>
          </w:p>
        </w:tc>
      </w:tr>
      <w:tr>
        <w:tblPrEx>
          <w:tblCellMar>
            <w:top w:w="0" w:type="dxa"/>
            <w:left w:w="0" w:type="dxa"/>
            <w:bottom w:w="0" w:type="dxa"/>
            <w:right w:w="0" w:type="dxa"/>
          </w:tblCellMar>
        </w:tblPrEx>
        <w:trPr>
          <w:trHeight w:val="90" w:hRule="atLeast"/>
          <w:jc w:val="center"/>
        </w:trPr>
        <w:tc>
          <w:tcPr>
            <w:tcW w:w="230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科技与生活</w:t>
            </w: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优生优育和受精过程游戏</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生命的孕育与诞生</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五官剧场</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人体关节</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人体拼图</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数字人体</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人体生物钟</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科学饮食</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心血管病，癌症，糖尿病</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细菌，传染病</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远离毒品</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艾滋病防治</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健康测试</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投篮练习</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食物之旅</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趣味射击</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拳击测试</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虚拟足球射门</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体感游戏组（含</w:t>
            </w:r>
            <w:r>
              <w:rPr>
                <w:rFonts w:ascii="仿宋" w:hAnsi="仿宋" w:eastAsia="仿宋" w:cs="仿宋"/>
                <w:color w:val="000000"/>
                <w:kern w:val="0"/>
                <w:sz w:val="24"/>
                <w:highlight w:val="none"/>
              </w:rPr>
              <w:t>3</w:t>
            </w:r>
            <w:r>
              <w:rPr>
                <w:rFonts w:hint="eastAsia" w:ascii="仿宋" w:hAnsi="仿宋" w:eastAsia="仿宋" w:cs="仿宋"/>
                <w:color w:val="000000"/>
                <w:kern w:val="0"/>
                <w:sz w:val="24"/>
                <w:highlight w:val="none"/>
              </w:rPr>
              <w:t>件）</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模拟汽车驾驶（含</w:t>
            </w:r>
            <w:r>
              <w:rPr>
                <w:rFonts w:ascii="仿宋" w:hAnsi="仿宋" w:eastAsia="仿宋" w:cs="仿宋"/>
                <w:color w:val="000000"/>
                <w:kern w:val="0"/>
                <w:sz w:val="24"/>
                <w:highlight w:val="none"/>
              </w:rPr>
              <w:t>2</w:t>
            </w:r>
            <w:r>
              <w:rPr>
                <w:rFonts w:hint="eastAsia" w:ascii="仿宋" w:hAnsi="仿宋" w:eastAsia="仿宋" w:cs="仿宋"/>
                <w:color w:val="000000"/>
                <w:kern w:val="0"/>
                <w:sz w:val="24"/>
                <w:highlight w:val="none"/>
              </w:rPr>
              <w:t>件）</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模拟飞行（含</w:t>
            </w:r>
            <w:r>
              <w:rPr>
                <w:rFonts w:ascii="仿宋" w:hAnsi="仿宋" w:eastAsia="仿宋" w:cs="仿宋"/>
                <w:color w:val="000000"/>
                <w:kern w:val="0"/>
                <w:sz w:val="24"/>
                <w:highlight w:val="none"/>
              </w:rPr>
              <w:t>1</w:t>
            </w:r>
            <w:r>
              <w:rPr>
                <w:rFonts w:hint="eastAsia" w:ascii="仿宋" w:hAnsi="仿宋" w:eastAsia="仿宋" w:cs="仿宋"/>
                <w:color w:val="000000"/>
                <w:kern w:val="0"/>
                <w:sz w:val="24"/>
                <w:highlight w:val="none"/>
              </w:rPr>
              <w:t>件）</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太阳能飞机</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新能源汽车展示</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安全带的安全性能</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挑战更换轮胎</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飞机结构展示</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中国的高速铁路技术</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地震体验</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门禁系统</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30</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虚拟讲解员</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智能化客厅</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可视化透明餐桌</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透明冰箱</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智能灶台</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35</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智能窗户（通电玻璃）</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36</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富媒体桌</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智能书架</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38</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智慧随心而亮</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物联网智慧镜子</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40</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智能卫浴</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智能盆景</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前沿智能设备</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留言墙</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44</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火灾引起的原因</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45</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灭火器选择</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46</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消防器材简介</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47</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打绳结</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48</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火场逃生体验</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49</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乘车安全</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50</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CPR</w:t>
            </w:r>
            <w:r>
              <w:rPr>
                <w:rFonts w:hint="eastAsia" w:ascii="仿宋" w:hAnsi="仿宋" w:eastAsia="仿宋" w:cs="仿宋"/>
                <w:color w:val="000000"/>
                <w:kern w:val="0"/>
                <w:sz w:val="24"/>
                <w:highlight w:val="none"/>
              </w:rPr>
              <w:t>（心肺复苏）救助</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互动闯关迷宫</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水游绍兴</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53</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势能舱</w:t>
            </w:r>
          </w:p>
        </w:tc>
      </w:tr>
      <w:tr>
        <w:tblPrEx>
          <w:tblCellMar>
            <w:top w:w="0" w:type="dxa"/>
            <w:left w:w="0" w:type="dxa"/>
            <w:bottom w:w="0" w:type="dxa"/>
            <w:right w:w="0" w:type="dxa"/>
          </w:tblCellMar>
        </w:tblPrEx>
        <w:trPr>
          <w:trHeight w:val="90" w:hRule="atLeast"/>
          <w:jc w:val="center"/>
        </w:trPr>
        <w:tc>
          <w:tcPr>
            <w:tcW w:w="230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青春期展区</w:t>
            </w: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青春期小剧场</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青春期日记</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身高预测及体质评价</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青春期电话亭</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青春期测试</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青春期知识墙</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青春期自我保护</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8</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青春期恋爱讨论</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给家长的一封信</w:t>
            </w:r>
          </w:p>
        </w:tc>
      </w:tr>
      <w:tr>
        <w:tblPrEx>
          <w:tblCellMar>
            <w:top w:w="0" w:type="dxa"/>
            <w:left w:w="0" w:type="dxa"/>
            <w:bottom w:w="0" w:type="dxa"/>
            <w:right w:w="0" w:type="dxa"/>
          </w:tblCellMar>
        </w:tblPrEx>
        <w:trPr>
          <w:trHeight w:val="90" w:hRule="atLeast"/>
          <w:jc w:val="center"/>
        </w:trPr>
        <w:tc>
          <w:tcPr>
            <w:tcW w:w="230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绍籍院士展区</w:t>
            </w: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超高清拼接屏互动显示系统</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院士手印造型台（</w:t>
            </w:r>
            <w:r>
              <w:rPr>
                <w:rFonts w:ascii="仿宋" w:hAnsi="仿宋" w:eastAsia="仿宋" w:cs="仿宋"/>
                <w:color w:val="000000"/>
                <w:kern w:val="0"/>
                <w:sz w:val="24"/>
                <w:highlight w:val="none"/>
              </w:rPr>
              <w:t>35</w:t>
            </w:r>
            <w:r>
              <w:rPr>
                <w:rFonts w:hint="eastAsia" w:ascii="仿宋" w:hAnsi="仿宋" w:eastAsia="仿宋" w:cs="仿宋"/>
                <w:color w:val="000000"/>
                <w:kern w:val="0"/>
                <w:sz w:val="24"/>
                <w:highlight w:val="none"/>
              </w:rPr>
              <w:t>件）</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寄语墙</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实物柜（</w:t>
            </w:r>
            <w:r>
              <w:rPr>
                <w:rFonts w:ascii="仿宋" w:hAnsi="仿宋" w:eastAsia="仿宋" w:cs="仿宋"/>
                <w:color w:val="000000"/>
                <w:kern w:val="0"/>
                <w:sz w:val="24"/>
                <w:highlight w:val="none"/>
              </w:rPr>
              <w:t>20</w:t>
            </w:r>
            <w:r>
              <w:rPr>
                <w:rFonts w:hint="eastAsia" w:ascii="仿宋" w:hAnsi="仿宋" w:eastAsia="仿宋" w:cs="仿宋"/>
                <w:color w:val="000000"/>
                <w:kern w:val="0"/>
                <w:sz w:val="24"/>
                <w:highlight w:val="none"/>
              </w:rPr>
              <w:t>件）</w:t>
            </w:r>
          </w:p>
        </w:tc>
      </w:tr>
      <w:tr>
        <w:tblPrEx>
          <w:tblCellMar>
            <w:top w:w="0" w:type="dxa"/>
            <w:left w:w="0" w:type="dxa"/>
            <w:bottom w:w="0" w:type="dxa"/>
            <w:right w:w="0" w:type="dxa"/>
          </w:tblCellMar>
        </w:tblPrEx>
        <w:trPr>
          <w:trHeight w:val="90" w:hRule="atLeast"/>
          <w:jc w:val="center"/>
        </w:trPr>
        <w:tc>
          <w:tcPr>
            <w:tcW w:w="230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渔业展区</w:t>
            </w: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绍兴大型鱼类</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绍兴鱼类知多少</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保护渔业资源</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水下生态卫士</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鱼类生长过程</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水下竞技</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3D</w:t>
            </w:r>
            <w:r>
              <w:rPr>
                <w:rFonts w:hint="eastAsia" w:ascii="仿宋" w:hAnsi="仿宋" w:eastAsia="仿宋" w:cs="仿宋"/>
                <w:color w:val="000000"/>
                <w:kern w:val="0"/>
                <w:sz w:val="24"/>
                <w:highlight w:val="none"/>
              </w:rPr>
              <w:t>动画透明屏</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8</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鱼类洄游</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LED</w:t>
            </w:r>
            <w:r>
              <w:rPr>
                <w:rFonts w:hint="eastAsia" w:ascii="仿宋" w:hAnsi="仿宋" w:eastAsia="仿宋" w:cs="仿宋"/>
                <w:color w:val="000000"/>
                <w:kern w:val="0"/>
                <w:sz w:val="24"/>
                <w:highlight w:val="none"/>
              </w:rPr>
              <w:t>大屏</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10</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江湖天堂（</w:t>
            </w:r>
            <w:r>
              <w:rPr>
                <w:rFonts w:ascii="仿宋" w:hAnsi="仿宋" w:eastAsia="仿宋" w:cs="仿宋"/>
                <w:color w:val="000000"/>
                <w:kern w:val="0"/>
                <w:sz w:val="24"/>
                <w:highlight w:val="none"/>
              </w:rPr>
              <w:t>AR</w:t>
            </w:r>
            <w:r>
              <w:rPr>
                <w:rFonts w:hint="eastAsia" w:ascii="仿宋" w:hAnsi="仿宋" w:eastAsia="仿宋" w:cs="仿宋"/>
                <w:color w:val="000000"/>
                <w:kern w:val="0"/>
                <w:sz w:val="24"/>
                <w:highlight w:val="none"/>
              </w:rPr>
              <w:t>互动）</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水底生命大家族</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机器鱼</w:t>
            </w:r>
          </w:p>
        </w:tc>
      </w:tr>
      <w:tr>
        <w:tblPrEx>
          <w:tblCellMar>
            <w:top w:w="0" w:type="dxa"/>
            <w:left w:w="0" w:type="dxa"/>
            <w:bottom w:w="0" w:type="dxa"/>
            <w:right w:w="0" w:type="dxa"/>
          </w:tblCellMar>
        </w:tblPrEx>
        <w:trPr>
          <w:trHeight w:val="90" w:hRule="atLeast"/>
          <w:jc w:val="center"/>
        </w:trPr>
        <w:tc>
          <w:tcPr>
            <w:tcW w:w="230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公共区域（户外）</w:t>
            </w: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火车头</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特斯拉汽车</w:t>
            </w:r>
          </w:p>
        </w:tc>
      </w:tr>
      <w:tr>
        <w:tblPrEx>
          <w:tblCellMar>
            <w:top w:w="0" w:type="dxa"/>
            <w:left w:w="0" w:type="dxa"/>
            <w:bottom w:w="0" w:type="dxa"/>
            <w:right w:w="0" w:type="dxa"/>
          </w:tblCellMar>
        </w:tblPrEx>
        <w:trPr>
          <w:trHeight w:val="90" w:hRule="atLeast"/>
          <w:jc w:val="center"/>
        </w:trPr>
        <w:tc>
          <w:tcPr>
            <w:tcW w:w="2301"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公共区域（序厅）</w:t>
            </w: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w:t>
            </w:r>
          </w:p>
        </w:tc>
        <w:tc>
          <w:tcPr>
            <w:tcW w:w="4532"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vAlign w:val="cente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智慧咨询台</w:t>
            </w:r>
          </w:p>
        </w:tc>
      </w:tr>
      <w:tr>
        <w:tblPrEx>
          <w:tblCellMar>
            <w:top w:w="0" w:type="dxa"/>
            <w:left w:w="0" w:type="dxa"/>
            <w:bottom w:w="0" w:type="dxa"/>
            <w:right w:w="0" w:type="dxa"/>
          </w:tblCellMar>
        </w:tblPrEx>
        <w:trPr>
          <w:trHeight w:val="90" w:hRule="atLeast"/>
          <w:jc w:val="center"/>
        </w:trPr>
        <w:tc>
          <w:tcPr>
            <w:tcW w:w="2301" w:type="dxa"/>
            <w:vMerge w:val="restart"/>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大篷车</w:t>
            </w: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尖端放电</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神秘的磁力</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手蓄电池</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窥视无穷</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无皮鼓</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6</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动画</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听话的小球</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8</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离心现象</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椎体上滚</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10</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最速降线</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益智数学游戏</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雅各布天梯</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静电乒乓</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无弦琴</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15</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调光玻璃</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16</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画五角星</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驻波</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18</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看谁跑得快</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19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旋转的银蛋</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20</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天鹅绒触觉</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短期记忆测试</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磁力传动摆</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声光反应测试</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空中成像</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25</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骨传导</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26</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磁力转盘</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小球运动</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28</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top"/>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勾股定理</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29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top"/>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惰性环</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30</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top"/>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磁共振</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top"/>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3D</w:t>
            </w:r>
            <w:r>
              <w:rPr>
                <w:rFonts w:hint="eastAsia" w:ascii="仿宋" w:hAnsi="仿宋" w:eastAsia="仿宋" w:cs="仿宋"/>
                <w:color w:val="000000"/>
                <w:kern w:val="0"/>
                <w:sz w:val="24"/>
                <w:highlight w:val="none"/>
              </w:rPr>
              <w:t>立体图</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top"/>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逆透视图画</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top"/>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翻转的镜像</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top"/>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光栅动画</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35</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top"/>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平衡测试</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36</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top"/>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墨镜</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top"/>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锥体上滚</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38</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top"/>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三角过曲面</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39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直纹面与双曲面</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40</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hint="eastAsia" w:ascii="仿宋" w:hAnsi="仿宋" w:eastAsia="仿宋" w:cs="仿宋"/>
                <w:color w:val="000000"/>
                <w:kern w:val="0"/>
                <w:sz w:val="24"/>
                <w:highlight w:val="none"/>
              </w:rPr>
              <w:t>异形齿轮</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不存在的间隔</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彩色影子（电）</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触觉测试（电）</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44</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概率</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45</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合作运球</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46</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看谁滚得慢</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47</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密码锁</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48</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太阳能发电（电）</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49</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无规则摆锤</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50</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协作抓球（电）</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51</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心跳（电）</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52</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噪音与健康（电）</w:t>
            </w:r>
          </w:p>
        </w:tc>
      </w:tr>
      <w:tr>
        <w:tblPrEx>
          <w:tblCellMar>
            <w:top w:w="0" w:type="dxa"/>
            <w:left w:w="0" w:type="dxa"/>
            <w:bottom w:w="0" w:type="dxa"/>
            <w:right w:w="0" w:type="dxa"/>
          </w:tblCellMar>
        </w:tblPrEx>
        <w:trPr>
          <w:trHeight w:val="90" w:hRule="atLeast"/>
          <w:jc w:val="center"/>
        </w:trPr>
        <w:tc>
          <w:tcPr>
            <w:tcW w:w="2301" w:type="dxa"/>
            <w:vMerge w:val="continue"/>
            <w:tcBorders>
              <w:top w:val="single" w:color="auto" w:sz="4" w:space="0"/>
              <w:left w:val="single" w:color="auto" w:sz="4" w:space="0"/>
              <w:bottom w:val="single" w:color="auto" w:sz="4" w:space="0"/>
              <w:right w:val="single" w:color="auto" w:sz="4" w:space="0"/>
            </w:tcBorders>
            <w:shd w:val="clear" w:color="auto" w:fill="FFFFFF"/>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p>
        </w:tc>
        <w:tc>
          <w:tcPr>
            <w:tcW w:w="2134" w:type="dxa"/>
            <w:tcBorders>
              <w:top w:val="single" w:color="auto" w:sz="4" w:space="0"/>
              <w:left w:val="single" w:color="auto" w:sz="4" w:space="0"/>
              <w:bottom w:val="single" w:color="auto" w:sz="4" w:space="0"/>
              <w:right w:val="single" w:color="auto" w:sz="4" w:space="0"/>
            </w:tcBorders>
            <w:shd w:val="clear" w:color="auto" w:fill="FFFFFF"/>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highlight w:val="none"/>
              </w:rPr>
            </w:pPr>
            <w:r>
              <w:rPr>
                <w:rFonts w:ascii="仿宋" w:hAnsi="仿宋" w:eastAsia="仿宋" w:cs="仿宋"/>
                <w:color w:val="000000"/>
                <w:kern w:val="0"/>
                <w:sz w:val="24"/>
                <w:highlight w:val="none"/>
              </w:rPr>
              <w:t>53</w:t>
            </w:r>
          </w:p>
        </w:tc>
        <w:tc>
          <w:tcPr>
            <w:tcW w:w="453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tcPr>
          <w:p>
            <w:pPr>
              <w:keepNext w:val="0"/>
              <w:keepLines w:val="0"/>
              <w:pageBreakBefore w:val="0"/>
              <w:widowControl/>
              <w:kinsoku/>
              <w:wordWrap/>
              <w:overflowPunct/>
              <w:topLinePunct w:val="0"/>
              <w:bidi w:val="0"/>
              <w:adjustRightInd w:val="0"/>
              <w:snapToGrid/>
              <w:spacing w:line="288" w:lineRule="auto"/>
              <w:jc w:val="center"/>
              <w:textAlignment w:val="center"/>
              <w:rPr>
                <w:rFonts w:hint="eastAsia" w:ascii="仿宋" w:hAnsi="仿宋" w:eastAsia="仿宋" w:cs="仿宋"/>
                <w:color w:val="000000"/>
                <w:kern w:val="0"/>
                <w:sz w:val="24"/>
                <w:highlight w:val="none"/>
                <w:lang w:eastAsia="zh-CN"/>
              </w:rPr>
            </w:pPr>
            <w:r>
              <w:rPr>
                <w:rFonts w:hint="eastAsia" w:ascii="仿宋" w:hAnsi="仿宋" w:eastAsia="仿宋" w:cs="仿宋"/>
                <w:color w:val="000000"/>
                <w:kern w:val="0"/>
                <w:sz w:val="24"/>
                <w:highlight w:val="none"/>
                <w:lang w:eastAsia="zh-CN"/>
              </w:rPr>
              <w:t>百发百中</w:t>
            </w:r>
          </w:p>
        </w:tc>
      </w:tr>
    </w:tbl>
    <w:p>
      <w:pPr>
        <w:keepNext w:val="0"/>
        <w:keepLines w:val="0"/>
        <w:pageBreakBefore w:val="0"/>
        <w:widowControl w:val="0"/>
        <w:kinsoku/>
        <w:wordWrap/>
        <w:overflowPunct/>
        <w:topLinePunct w:val="0"/>
        <w:autoSpaceDE w:val="0"/>
        <w:autoSpaceDN w:val="0"/>
        <w:bidi w:val="0"/>
        <w:adjustRightInd w:val="0"/>
        <w:spacing w:line="288" w:lineRule="auto"/>
        <w:ind w:firstLine="420" w:firstLineChars="200"/>
        <w:textAlignment w:val="auto"/>
        <w:rPr>
          <w:rFonts w:ascii="仿宋_GB2312" w:eastAsia="仿宋_GB2312"/>
          <w:kern w:val="0"/>
          <w:highlight w:val="none"/>
        </w:rPr>
      </w:pPr>
    </w:p>
    <w:p>
      <w:pPr>
        <w:autoSpaceDE w:val="0"/>
        <w:autoSpaceDN w:val="0"/>
        <w:spacing w:line="288" w:lineRule="auto"/>
        <w:ind w:firstLine="480" w:firstLineChars="200"/>
        <w:rPr>
          <w:rFonts w:ascii="仿宋" w:hAnsi="仿宋" w:eastAsia="仿宋" w:cs="仿宋"/>
          <w:kern w:val="0"/>
          <w:sz w:val="24"/>
        </w:rPr>
      </w:pPr>
    </w:p>
    <w:p>
      <w:pPr>
        <w:autoSpaceDE w:val="0"/>
        <w:autoSpaceDN w:val="0"/>
        <w:spacing w:line="288" w:lineRule="auto"/>
        <w:ind w:firstLine="420" w:firstLineChars="200"/>
        <w:rPr>
          <w:rFonts w:ascii="仿宋_GB2312" w:eastAsia="仿宋_GB2312"/>
          <w:kern w:val="0"/>
        </w:rPr>
      </w:pPr>
    </w:p>
    <w:p>
      <w:pPr>
        <w:spacing w:line="288" w:lineRule="auto"/>
        <w:rPr>
          <w:rFonts w:ascii="仿宋" w:hAnsi="仿宋" w:eastAsia="仿宋" w:cs="仿宋"/>
          <w:b/>
          <w:sz w:val="36"/>
          <w:szCs w:val="36"/>
        </w:rPr>
      </w:pPr>
    </w:p>
    <w:p>
      <w:pPr>
        <w:pStyle w:val="14"/>
        <w:spacing w:line="800" w:lineRule="exact"/>
        <w:jc w:val="center"/>
        <w:rPr>
          <w:rFonts w:ascii="仿宋" w:hAnsi="仿宋" w:eastAsia="仿宋" w:cs="仿宋"/>
          <w:b/>
          <w:sz w:val="36"/>
          <w:szCs w:val="36"/>
        </w:rPr>
      </w:pPr>
    </w:p>
    <w:p>
      <w:pPr>
        <w:pStyle w:val="14"/>
        <w:spacing w:line="800" w:lineRule="exact"/>
        <w:jc w:val="center"/>
        <w:rPr>
          <w:rFonts w:ascii="仿宋" w:hAnsi="仿宋" w:eastAsia="仿宋" w:cs="仿宋"/>
          <w:b/>
          <w:sz w:val="36"/>
          <w:szCs w:val="36"/>
        </w:rPr>
      </w:pPr>
    </w:p>
    <w:p>
      <w:pPr>
        <w:pStyle w:val="14"/>
        <w:spacing w:line="800" w:lineRule="exact"/>
        <w:jc w:val="center"/>
        <w:rPr>
          <w:rFonts w:ascii="仿宋" w:hAnsi="仿宋" w:eastAsia="仿宋" w:cs="仿宋"/>
          <w:b/>
          <w:sz w:val="36"/>
          <w:szCs w:val="36"/>
        </w:rPr>
      </w:pPr>
    </w:p>
    <w:p>
      <w:pPr>
        <w:pStyle w:val="14"/>
        <w:spacing w:line="800" w:lineRule="exact"/>
        <w:jc w:val="center"/>
        <w:rPr>
          <w:rFonts w:ascii="仿宋" w:hAnsi="仿宋" w:eastAsia="仿宋" w:cs="仿宋"/>
          <w:b/>
          <w:sz w:val="36"/>
          <w:szCs w:val="36"/>
        </w:rPr>
      </w:pPr>
    </w:p>
    <w:p>
      <w:pPr>
        <w:pStyle w:val="14"/>
        <w:spacing w:line="800" w:lineRule="exact"/>
        <w:jc w:val="center"/>
        <w:rPr>
          <w:rFonts w:ascii="仿宋" w:hAnsi="仿宋" w:eastAsia="仿宋" w:cs="仿宋"/>
          <w:b/>
          <w:sz w:val="36"/>
          <w:szCs w:val="36"/>
        </w:rPr>
      </w:pPr>
    </w:p>
    <w:p>
      <w:pPr>
        <w:pStyle w:val="14"/>
        <w:spacing w:line="800" w:lineRule="exact"/>
        <w:jc w:val="center"/>
        <w:rPr>
          <w:rFonts w:ascii="仿宋" w:hAnsi="仿宋" w:eastAsia="仿宋" w:cs="仿宋"/>
          <w:b/>
          <w:sz w:val="36"/>
          <w:szCs w:val="36"/>
        </w:rPr>
      </w:pPr>
    </w:p>
    <w:p>
      <w:pPr>
        <w:pStyle w:val="14"/>
        <w:spacing w:line="800" w:lineRule="exact"/>
        <w:jc w:val="both"/>
        <w:rPr>
          <w:rFonts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both"/>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hint="eastAsia" w:ascii="仿宋" w:hAnsi="仿宋" w:eastAsia="仿宋" w:cs="仿宋"/>
          <w:b/>
          <w:sz w:val="36"/>
          <w:szCs w:val="36"/>
        </w:rPr>
      </w:pPr>
    </w:p>
    <w:p>
      <w:pPr>
        <w:pStyle w:val="14"/>
        <w:spacing w:line="800" w:lineRule="exact"/>
        <w:jc w:val="center"/>
        <w:rPr>
          <w:rFonts w:ascii="仿宋" w:hAnsi="仿宋" w:eastAsia="仿宋" w:cs="仿宋"/>
          <w:b/>
          <w:sz w:val="36"/>
          <w:szCs w:val="36"/>
        </w:rPr>
      </w:pPr>
      <w:r>
        <w:rPr>
          <w:rFonts w:hint="eastAsia" w:ascii="仿宋" w:hAnsi="仿宋" w:eastAsia="仿宋" w:cs="仿宋"/>
          <w:b/>
          <w:sz w:val="36"/>
          <w:szCs w:val="36"/>
        </w:rPr>
        <w:t>第四部分 合同主要条款</w:t>
      </w:r>
    </w:p>
    <w:p>
      <w:pPr>
        <w:spacing w:line="288" w:lineRule="auto"/>
        <w:jc w:val="left"/>
        <w:rPr>
          <w:rFonts w:ascii="仿宋" w:hAnsi="仿宋" w:eastAsia="仿宋" w:cs="仿宋"/>
          <w:b/>
          <w:bCs/>
          <w:sz w:val="24"/>
        </w:rPr>
      </w:pPr>
      <w:r>
        <w:rPr>
          <w:rFonts w:hint="eastAsia" w:ascii="仿宋" w:hAnsi="仿宋" w:eastAsia="仿宋" w:cs="仿宋"/>
          <w:b/>
          <w:bCs/>
          <w:sz w:val="24"/>
        </w:rPr>
        <w:t>1.合同</w:t>
      </w:r>
      <w:bookmarkStart w:id="6" w:name="OLE_LINK1"/>
      <w:r>
        <w:rPr>
          <w:rFonts w:hint="eastAsia" w:ascii="仿宋" w:hAnsi="仿宋" w:eastAsia="仿宋" w:cs="仿宋"/>
          <w:b/>
          <w:bCs/>
          <w:sz w:val="24"/>
        </w:rPr>
        <w:t>范围</w:t>
      </w:r>
      <w:bookmarkEnd w:id="6"/>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合同范围应与中标通知书、招标文件及被招标人接受的技术商务规范偏离表相一致。合同范围和双方的职责在“招标文件”明确。</w:t>
      </w:r>
    </w:p>
    <w:p>
      <w:pPr>
        <w:pStyle w:val="67"/>
        <w:spacing w:line="288" w:lineRule="auto"/>
        <w:rPr>
          <w:rFonts w:ascii="仿宋" w:hAnsi="仿宋" w:eastAsia="仿宋" w:cs="仿宋"/>
          <w:b/>
          <w:bCs/>
          <w:sz w:val="24"/>
          <w:szCs w:val="24"/>
        </w:rPr>
      </w:pPr>
      <w:r>
        <w:rPr>
          <w:rFonts w:hint="eastAsia" w:ascii="仿宋" w:hAnsi="仿宋" w:eastAsia="仿宋" w:cs="仿宋"/>
          <w:b/>
          <w:bCs/>
          <w:sz w:val="24"/>
          <w:szCs w:val="24"/>
        </w:rPr>
        <w:t>2.合同的签订</w:t>
      </w:r>
    </w:p>
    <w:p>
      <w:pPr>
        <w:snapToGrid w:val="0"/>
        <w:spacing w:line="288" w:lineRule="auto"/>
        <w:jc w:val="left"/>
        <w:rPr>
          <w:rFonts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snapToGrid w:val="0"/>
        <w:spacing w:line="288" w:lineRule="auto"/>
        <w:jc w:val="left"/>
        <w:rPr>
          <w:rFonts w:ascii="仿宋" w:hAnsi="仿宋" w:eastAsia="仿宋" w:cs="仿宋"/>
          <w:sz w:val="24"/>
        </w:rPr>
      </w:pPr>
      <w:r>
        <w:rPr>
          <w:rFonts w:hint="eastAsia" w:ascii="仿宋" w:hAnsi="仿宋" w:eastAsia="仿宋" w:cs="仿宋"/>
          <w:sz w:val="24"/>
        </w:rPr>
        <w:t>2.1.1</w:t>
      </w:r>
      <w:r>
        <w:rPr>
          <w:rFonts w:hint="eastAsia" w:ascii="仿宋" w:hAnsi="仿宋" w:eastAsia="仿宋" w:cs="仿宋"/>
          <w:sz w:val="24"/>
          <w:lang w:eastAsia="zh-CN"/>
        </w:rPr>
        <w:t>服务</w:t>
      </w:r>
      <w:r>
        <w:rPr>
          <w:rFonts w:hint="eastAsia" w:ascii="仿宋" w:hAnsi="仿宋" w:eastAsia="仿宋" w:cs="仿宋"/>
          <w:sz w:val="24"/>
        </w:rPr>
        <w:t>地点：招标人指定地点</w:t>
      </w:r>
    </w:p>
    <w:p>
      <w:pPr>
        <w:snapToGrid w:val="0"/>
        <w:spacing w:line="288" w:lineRule="auto"/>
        <w:jc w:val="left"/>
        <w:rPr>
          <w:rFonts w:ascii="仿宋" w:hAnsi="仿宋" w:eastAsia="仿宋" w:cs="仿宋"/>
          <w:sz w:val="24"/>
        </w:rPr>
      </w:pPr>
      <w:r>
        <w:rPr>
          <w:rFonts w:hint="eastAsia" w:ascii="仿宋" w:hAnsi="仿宋" w:eastAsia="仿宋" w:cs="仿宋"/>
          <w:sz w:val="24"/>
        </w:rPr>
        <w:t>2.1.2</w:t>
      </w:r>
      <w:r>
        <w:rPr>
          <w:rFonts w:hint="eastAsia" w:ascii="仿宋" w:hAnsi="仿宋" w:eastAsia="仿宋" w:cs="仿宋"/>
          <w:sz w:val="24"/>
          <w:lang w:eastAsia="zh-CN"/>
        </w:rPr>
        <w:t>服务</w:t>
      </w:r>
      <w:r>
        <w:rPr>
          <w:rFonts w:hint="eastAsia" w:ascii="仿宋" w:hAnsi="仿宋" w:eastAsia="仿宋" w:cs="仿宋"/>
          <w:sz w:val="24"/>
        </w:rPr>
        <w:t>日期：按标项内具体要求执行。</w:t>
      </w:r>
    </w:p>
    <w:p>
      <w:pPr>
        <w:pStyle w:val="7"/>
        <w:numPr>
          <w:ilvl w:val="0"/>
          <w:numId w:val="0"/>
        </w:numPr>
        <w:tabs>
          <w:tab w:val="clear" w:pos="780"/>
        </w:tabs>
        <w:spacing w:line="288" w:lineRule="auto"/>
        <w:rPr>
          <w:rFonts w:ascii="仿宋" w:hAnsi="仿宋" w:eastAsia="仿宋" w:cs="仿宋"/>
          <w:color w:val="000000"/>
          <w:sz w:val="24"/>
        </w:rPr>
      </w:pPr>
      <w:r>
        <w:rPr>
          <w:rFonts w:hint="eastAsia" w:ascii="仿宋" w:hAnsi="仿宋" w:eastAsia="仿宋" w:cs="仿宋"/>
          <w:b/>
          <w:bCs/>
          <w:color w:val="000000"/>
          <w:sz w:val="24"/>
        </w:rPr>
        <w:t>3.付款方式：</w:t>
      </w:r>
      <w:r>
        <w:rPr>
          <w:rFonts w:hint="eastAsia" w:ascii="仿宋" w:hAnsi="仿宋" w:eastAsia="仿宋" w:cs="仿宋"/>
          <w:color w:val="000000"/>
          <w:sz w:val="24"/>
        </w:rPr>
        <w:t>按标项内具体要求执行。</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4.合同修改</w:t>
      </w:r>
    </w:p>
    <w:p>
      <w:pPr>
        <w:snapToGrid w:val="0"/>
        <w:spacing w:line="288" w:lineRule="auto"/>
        <w:jc w:val="left"/>
        <w:rPr>
          <w:rFonts w:ascii="仿宋" w:hAnsi="仿宋" w:eastAsia="仿宋" w:cs="仿宋"/>
          <w:sz w:val="24"/>
        </w:rPr>
      </w:pPr>
      <w:r>
        <w:rPr>
          <w:rFonts w:hint="eastAsia" w:ascii="仿宋" w:hAnsi="仿宋" w:eastAsia="仿宋" w:cs="仿宋"/>
          <w:sz w:val="24"/>
        </w:rPr>
        <w:t>4.1双方的任何一方对合同内容提出修改，均应以书面形式通知对方，并达成由双方签署的合同修改书，须报政府采购管理部门批准。</w:t>
      </w:r>
    </w:p>
    <w:p>
      <w:pPr>
        <w:snapToGrid w:val="0"/>
        <w:spacing w:line="288" w:lineRule="auto"/>
        <w:jc w:val="left"/>
        <w:rPr>
          <w:rFonts w:ascii="仿宋" w:hAnsi="仿宋" w:eastAsia="仿宋" w:cs="仿宋"/>
          <w:sz w:val="24"/>
        </w:rPr>
      </w:pPr>
      <w:r>
        <w:rPr>
          <w:rFonts w:hint="eastAsia" w:ascii="仿宋" w:hAnsi="仿宋" w:eastAsia="仿宋" w:cs="仿宋"/>
          <w:sz w:val="24"/>
        </w:rPr>
        <w:t>4.2除非招标人对产品的品牌、型号规格和涉及价格因素的技术参数提出修改，中标人不得对合同价格提出修改要求。</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5.商品包装和快递包装要求</w:t>
      </w:r>
    </w:p>
    <w:p>
      <w:pPr>
        <w:snapToGrid w:val="0"/>
        <w:spacing w:line="288" w:lineRule="auto"/>
        <w:ind w:firstLine="480" w:firstLineChars="200"/>
        <w:jc w:val="left"/>
        <w:rPr>
          <w:rFonts w:ascii="仿宋" w:hAnsi="仿宋" w:eastAsia="仿宋" w:cs="仿宋"/>
          <w:color w:val="FF0000"/>
          <w:sz w:val="24"/>
        </w:rPr>
      </w:pPr>
      <w:r>
        <w:rPr>
          <w:rFonts w:hint="eastAsia" w:ascii="仿宋" w:hAnsi="仿宋" w:eastAsia="仿宋" w:cs="仿宋"/>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288" w:lineRule="auto"/>
        <w:jc w:val="left"/>
        <w:rPr>
          <w:rFonts w:ascii="仿宋" w:hAnsi="仿宋" w:eastAsia="仿宋" w:cs="仿宋"/>
          <w:sz w:val="24"/>
        </w:rPr>
      </w:pPr>
      <w:r>
        <w:rPr>
          <w:rFonts w:hint="eastAsia" w:ascii="仿宋" w:hAnsi="仿宋" w:eastAsia="仿宋" w:cs="仿宋"/>
          <w:b/>
          <w:bCs/>
          <w:sz w:val="24"/>
        </w:rPr>
        <w:t>6.质量标准和验收</w:t>
      </w:r>
    </w:p>
    <w:p>
      <w:pPr>
        <w:snapToGrid w:val="0"/>
        <w:spacing w:line="288" w:lineRule="auto"/>
        <w:jc w:val="left"/>
        <w:rPr>
          <w:rFonts w:ascii="仿宋" w:hAnsi="仿宋" w:eastAsia="仿宋" w:cs="仿宋"/>
          <w:sz w:val="24"/>
        </w:rPr>
      </w:pPr>
      <w:r>
        <w:rPr>
          <w:rFonts w:hint="eastAsia" w:ascii="仿宋" w:hAnsi="仿宋" w:eastAsia="仿宋" w:cs="仿宋"/>
          <w:sz w:val="24"/>
        </w:rPr>
        <w:t>6.1中标人提供的产品及服务必须是经合法途径取得的。</w:t>
      </w:r>
    </w:p>
    <w:p>
      <w:pPr>
        <w:snapToGrid w:val="0"/>
        <w:spacing w:line="288" w:lineRule="auto"/>
        <w:jc w:val="left"/>
        <w:rPr>
          <w:rFonts w:ascii="仿宋" w:hAnsi="仿宋" w:eastAsia="仿宋" w:cs="仿宋"/>
          <w:sz w:val="24"/>
        </w:rPr>
      </w:pPr>
      <w:r>
        <w:rPr>
          <w:rFonts w:hint="eastAsia" w:ascii="仿宋" w:hAnsi="仿宋" w:eastAsia="仿宋" w:cs="仿宋"/>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288" w:lineRule="auto"/>
        <w:jc w:val="left"/>
        <w:rPr>
          <w:rFonts w:ascii="仿宋" w:hAnsi="仿宋" w:eastAsia="仿宋" w:cs="仿宋"/>
          <w:sz w:val="24"/>
        </w:rPr>
      </w:pPr>
      <w:r>
        <w:rPr>
          <w:rFonts w:hint="eastAsia" w:ascii="仿宋" w:hAnsi="仿宋" w:eastAsia="仿宋" w:cs="仿宋"/>
          <w:sz w:val="24"/>
        </w:rPr>
        <w:t>6.3验收由使用单位按规定组织相关人员或专家进行。</w:t>
      </w:r>
    </w:p>
    <w:p>
      <w:pPr>
        <w:snapToGrid w:val="0"/>
        <w:spacing w:line="288" w:lineRule="auto"/>
        <w:jc w:val="left"/>
        <w:rPr>
          <w:rFonts w:ascii="仿宋" w:hAnsi="仿宋" w:eastAsia="仿宋" w:cs="仿宋"/>
          <w:sz w:val="24"/>
        </w:rPr>
      </w:pPr>
      <w:r>
        <w:rPr>
          <w:rFonts w:hint="eastAsia" w:ascii="仿宋" w:hAnsi="仿宋" w:eastAsia="仿宋" w:cs="仿宋"/>
          <w:sz w:val="24"/>
        </w:rPr>
        <w:t>6.4双方对工程、货物或服务的质量有争议的，由双方同意的专业检测机构鉴定，所需费及因此造成的损失由责任方承担，双方均有责任的，双方根据其责任分别承担。</w:t>
      </w:r>
    </w:p>
    <w:p>
      <w:pPr>
        <w:snapToGrid w:val="0"/>
        <w:spacing w:line="288" w:lineRule="auto"/>
        <w:jc w:val="left"/>
        <w:rPr>
          <w:rFonts w:ascii="仿宋" w:hAnsi="仿宋" w:eastAsia="仿宋" w:cs="仿宋"/>
          <w:sz w:val="24"/>
        </w:rPr>
      </w:pPr>
      <w:r>
        <w:rPr>
          <w:rFonts w:hint="eastAsia" w:ascii="仿宋" w:hAnsi="仿宋" w:eastAsia="仿宋" w:cs="仿宋"/>
          <w:b/>
          <w:bCs/>
          <w:sz w:val="24"/>
        </w:rPr>
        <w:t>7.违约责任</w:t>
      </w:r>
    </w:p>
    <w:p>
      <w:pPr>
        <w:snapToGrid w:val="0"/>
        <w:spacing w:line="288" w:lineRule="auto"/>
        <w:jc w:val="left"/>
        <w:rPr>
          <w:rFonts w:ascii="仿宋" w:hAnsi="仿宋" w:eastAsia="仿宋" w:cs="仿宋"/>
          <w:sz w:val="24"/>
        </w:rPr>
      </w:pPr>
      <w:r>
        <w:rPr>
          <w:rFonts w:hint="eastAsia" w:ascii="仿宋" w:hAnsi="仿宋" w:eastAsia="仿宋" w:cs="仿宋"/>
          <w:sz w:val="24"/>
        </w:rPr>
        <w:t>7.1提供的货物和服务质量必须达到合格，凡安装调试、设备试运转过程中发现的设备质量问题，中标人必须无偿返工直至符合质量要求，承担返工所发生的一切费用和招标人的直接经济损失。</w:t>
      </w:r>
    </w:p>
    <w:p>
      <w:pPr>
        <w:snapToGrid w:val="0"/>
        <w:spacing w:line="288" w:lineRule="auto"/>
        <w:jc w:val="left"/>
        <w:rPr>
          <w:rFonts w:ascii="仿宋" w:hAnsi="仿宋" w:eastAsia="仿宋" w:cs="仿宋"/>
          <w:sz w:val="24"/>
        </w:rPr>
      </w:pPr>
      <w:r>
        <w:rPr>
          <w:rFonts w:hint="eastAsia" w:ascii="仿宋" w:hAnsi="仿宋" w:eastAsia="仿宋" w:cs="仿宋"/>
          <w:sz w:val="24"/>
        </w:rPr>
        <w:t>7.2由于招标人保管不善或使用不当造成设备短缺、故障或损坏，中标人协助招标人及时给予补齐或修复。</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8．违约赔偿</w:t>
      </w:r>
    </w:p>
    <w:p>
      <w:pPr>
        <w:snapToGrid w:val="0"/>
        <w:spacing w:line="288" w:lineRule="auto"/>
        <w:jc w:val="left"/>
        <w:rPr>
          <w:rFonts w:ascii="仿宋" w:hAnsi="仿宋" w:eastAsia="仿宋" w:cs="仿宋"/>
          <w:sz w:val="24"/>
        </w:rPr>
      </w:pPr>
      <w:r>
        <w:rPr>
          <w:rFonts w:hint="eastAsia" w:ascii="仿宋" w:hAnsi="仿宋" w:eastAsia="仿宋" w:cs="仿宋"/>
          <w:sz w:val="24"/>
        </w:rPr>
        <w:t>8.1除不可抗力外，如中标人发生不能按期完成供货任务，招标人发生中途变更等情况，应及时以书面形式通知对方。双方应本着友好的态度进行协商，妥善解决。如协商无效，按规定处以违约金。</w:t>
      </w:r>
    </w:p>
    <w:p>
      <w:pPr>
        <w:snapToGrid w:val="0"/>
        <w:spacing w:line="288" w:lineRule="auto"/>
        <w:jc w:val="left"/>
        <w:rPr>
          <w:rFonts w:ascii="仿宋" w:hAnsi="仿宋" w:eastAsia="仿宋" w:cs="仿宋"/>
          <w:sz w:val="24"/>
        </w:rPr>
      </w:pPr>
      <w:r>
        <w:rPr>
          <w:rFonts w:hint="eastAsia" w:ascii="仿宋" w:hAnsi="仿宋" w:eastAsia="仿宋" w:cs="仿宋"/>
          <w:sz w:val="24"/>
        </w:rPr>
        <w:t>8.2 中标人和采购人签订合同，按合同规定的供货时间供货并安装调试完毕。逾期每推迟一天，扣中标价0.1%的滞纳金给采购人。</w:t>
      </w:r>
    </w:p>
    <w:p>
      <w:pPr>
        <w:snapToGrid w:val="0"/>
        <w:spacing w:line="288" w:lineRule="auto"/>
        <w:jc w:val="left"/>
        <w:rPr>
          <w:rFonts w:ascii="仿宋" w:hAnsi="仿宋" w:eastAsia="仿宋" w:cs="仿宋"/>
          <w:sz w:val="24"/>
        </w:rPr>
      </w:pPr>
      <w:r>
        <w:rPr>
          <w:rFonts w:hint="eastAsia" w:ascii="仿宋" w:hAnsi="仿宋" w:eastAsia="仿宋" w:cs="仿宋"/>
          <w:sz w:val="24"/>
        </w:rPr>
        <w:t>8.3招标人在规定时间无正当理由拒签合同者，以招标违约处理，并赔偿中标人由此造成的直接经济损失。</w:t>
      </w:r>
    </w:p>
    <w:p>
      <w:pPr>
        <w:snapToGrid w:val="0"/>
        <w:spacing w:line="288" w:lineRule="auto"/>
        <w:jc w:val="left"/>
        <w:rPr>
          <w:rFonts w:ascii="仿宋" w:hAnsi="仿宋" w:eastAsia="仿宋" w:cs="仿宋"/>
          <w:b/>
          <w:bCs/>
          <w:sz w:val="24"/>
        </w:rPr>
      </w:pPr>
      <w:r>
        <w:rPr>
          <w:rFonts w:hint="eastAsia" w:ascii="仿宋" w:hAnsi="仿宋" w:eastAsia="仿宋" w:cs="仿宋"/>
          <w:b/>
          <w:bCs/>
          <w:sz w:val="24"/>
        </w:rPr>
        <w:t>9.不可抗力</w:t>
      </w:r>
    </w:p>
    <w:p>
      <w:pPr>
        <w:snapToGrid w:val="0"/>
        <w:spacing w:line="288" w:lineRule="auto"/>
        <w:jc w:val="left"/>
        <w:rPr>
          <w:rFonts w:ascii="仿宋" w:hAnsi="仿宋" w:eastAsia="仿宋" w:cs="仿宋"/>
          <w:sz w:val="24"/>
        </w:rPr>
      </w:pPr>
      <w:r>
        <w:rPr>
          <w:rFonts w:hint="eastAsia" w:ascii="仿宋" w:hAnsi="仿宋" w:eastAsia="仿宋" w:cs="仿宋"/>
          <w:sz w:val="24"/>
        </w:rPr>
        <w:t>9.1如果双方中任何一方由于战争、严重火灾、水灾、台风和地震以及其它经双方同意属于不可抗力的事故，致使合同履行受阻时，履行合同的期限应予延长，延长的期限应相当于事故所影响的时间。</w:t>
      </w:r>
    </w:p>
    <w:p>
      <w:pPr>
        <w:snapToGrid w:val="0"/>
        <w:spacing w:line="288" w:lineRule="auto"/>
        <w:jc w:val="left"/>
        <w:rPr>
          <w:rFonts w:ascii="仿宋" w:hAnsi="仿宋" w:eastAsia="仿宋" w:cs="仿宋"/>
          <w:sz w:val="24"/>
        </w:rPr>
      </w:pPr>
      <w:r>
        <w:rPr>
          <w:rFonts w:hint="eastAsia" w:ascii="仿宋" w:hAnsi="仿宋" w:eastAsia="仿宋" w:cs="仿宋"/>
          <w:sz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napToGrid w:val="0"/>
        <w:spacing w:line="288" w:lineRule="auto"/>
        <w:jc w:val="left"/>
        <w:rPr>
          <w:rFonts w:ascii="仿宋" w:hAnsi="仿宋" w:eastAsia="仿宋" w:cs="仿宋"/>
          <w:sz w:val="24"/>
        </w:rPr>
      </w:pPr>
      <w:r>
        <w:rPr>
          <w:rFonts w:hint="eastAsia" w:ascii="仿宋" w:hAnsi="仿宋" w:eastAsia="仿宋" w:cs="仿宋"/>
          <w:b/>
          <w:bCs/>
          <w:sz w:val="24"/>
        </w:rPr>
        <w:t>10.解决合同纠纷的方式</w:t>
      </w:r>
    </w:p>
    <w:p>
      <w:pPr>
        <w:snapToGrid w:val="0"/>
        <w:spacing w:line="288" w:lineRule="auto"/>
        <w:jc w:val="left"/>
        <w:rPr>
          <w:rFonts w:ascii="仿宋" w:hAnsi="仿宋" w:eastAsia="仿宋" w:cs="仿宋"/>
          <w:sz w:val="24"/>
        </w:rPr>
      </w:pPr>
      <w:r>
        <w:rPr>
          <w:rFonts w:hint="eastAsia" w:ascii="仿宋" w:hAnsi="仿宋" w:eastAsia="仿宋" w:cs="仿宋"/>
          <w:sz w:val="24"/>
        </w:rPr>
        <w:t>10.1凡有关本合同或与本合同中发生的争端，双方应通过友好协商，妥善解决。如通过协商仍不能解决时，可向当地的仲裁机构申请仲裁或人民法院起诉。</w:t>
      </w:r>
    </w:p>
    <w:p>
      <w:pPr>
        <w:snapToGrid w:val="0"/>
        <w:spacing w:line="288" w:lineRule="auto"/>
        <w:jc w:val="left"/>
        <w:rPr>
          <w:rFonts w:ascii="仿宋" w:hAnsi="仿宋" w:eastAsia="仿宋" w:cs="仿宋"/>
          <w:sz w:val="24"/>
        </w:rPr>
      </w:pPr>
      <w:r>
        <w:rPr>
          <w:rFonts w:hint="eastAsia" w:ascii="仿宋" w:hAnsi="仿宋" w:eastAsia="仿宋" w:cs="仿宋"/>
          <w:sz w:val="24"/>
        </w:rPr>
        <w:t>10.2仲裁和诉讼费用除仲裁机构和人民法院另有裁决外，由败诉方承担。</w:t>
      </w:r>
    </w:p>
    <w:p>
      <w:pPr>
        <w:snapToGrid w:val="0"/>
        <w:spacing w:line="288" w:lineRule="auto"/>
        <w:jc w:val="left"/>
        <w:rPr>
          <w:rFonts w:ascii="仿宋" w:hAnsi="仿宋" w:eastAsia="仿宋" w:cs="仿宋"/>
          <w:sz w:val="24"/>
        </w:rPr>
      </w:pPr>
      <w:r>
        <w:rPr>
          <w:rFonts w:hint="eastAsia" w:ascii="仿宋" w:hAnsi="仿宋" w:eastAsia="仿宋" w:cs="仿宋"/>
          <w:sz w:val="24"/>
        </w:rPr>
        <w:t>10.3在仲裁和诉讼期间，除正在进行裁定的部分外，本合同其他部分应继续执行。</w:t>
      </w:r>
    </w:p>
    <w:p>
      <w:pPr>
        <w:snapToGrid w:val="0"/>
        <w:spacing w:line="288" w:lineRule="auto"/>
        <w:jc w:val="left"/>
        <w:rPr>
          <w:rFonts w:ascii="仿宋" w:hAnsi="仿宋" w:eastAsia="仿宋" w:cs="仿宋"/>
          <w:sz w:val="24"/>
        </w:rPr>
      </w:pPr>
      <w:r>
        <w:rPr>
          <w:rFonts w:hint="eastAsia" w:ascii="仿宋" w:hAnsi="仿宋" w:eastAsia="仿宋" w:cs="仿宋"/>
          <w:sz w:val="24"/>
        </w:rPr>
        <w:t>10.4合同应在双方签字盖章后开始生效。</w:t>
      </w:r>
    </w:p>
    <w:p>
      <w:pPr>
        <w:snapToGrid w:val="0"/>
        <w:spacing w:line="288" w:lineRule="auto"/>
        <w:jc w:val="left"/>
        <w:rPr>
          <w:rFonts w:ascii="仿宋" w:hAnsi="仿宋" w:eastAsia="仿宋" w:cs="仿宋"/>
          <w:sz w:val="24"/>
        </w:rPr>
      </w:pPr>
      <w:r>
        <w:rPr>
          <w:rFonts w:hint="eastAsia" w:ascii="仿宋" w:hAnsi="仿宋" w:eastAsia="仿宋" w:cs="仿宋"/>
          <w:sz w:val="24"/>
        </w:rPr>
        <w:t>（注：在正式签约时，根据上述精神应拟就更为详尽的合同书）</w:t>
      </w:r>
    </w:p>
    <w:p>
      <w:pPr>
        <w:spacing w:line="288" w:lineRule="auto"/>
        <w:ind w:firstLine="480" w:firstLineChars="200"/>
        <w:jc w:val="left"/>
        <w:rPr>
          <w:rFonts w:ascii="仿宋" w:hAnsi="仿宋" w:eastAsia="仿宋" w:cs="仿宋"/>
          <w:kern w:val="0"/>
          <w:sz w:val="24"/>
        </w:rPr>
      </w:pPr>
    </w:p>
    <w:p>
      <w:pPr>
        <w:spacing w:line="288" w:lineRule="auto"/>
        <w:ind w:hanging="2"/>
        <w:jc w:val="left"/>
        <w:rPr>
          <w:rFonts w:ascii="仿宋" w:hAnsi="仿宋" w:eastAsia="仿宋" w:cs="仿宋"/>
          <w:sz w:val="24"/>
        </w:rPr>
      </w:pPr>
    </w:p>
    <w:p>
      <w:pPr>
        <w:spacing w:line="288" w:lineRule="auto"/>
        <w:rPr>
          <w:rFonts w:ascii="仿宋" w:hAnsi="仿宋" w:eastAsia="仿宋" w:cs="仿宋"/>
          <w:sz w:val="24"/>
        </w:rPr>
      </w:pPr>
    </w:p>
    <w:p>
      <w:pPr>
        <w:pStyle w:val="7"/>
        <w:numPr>
          <w:ilvl w:val="0"/>
          <w:numId w:val="0"/>
        </w:numPr>
        <w:tabs>
          <w:tab w:val="clear" w:pos="780"/>
        </w:tabs>
        <w:spacing w:line="288" w:lineRule="auto"/>
        <w:rPr>
          <w:rFonts w:ascii="仿宋" w:hAnsi="仿宋" w:eastAsia="仿宋" w:cs="仿宋"/>
          <w:kern w:val="0"/>
          <w:sz w:val="24"/>
          <w:szCs w:val="20"/>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288" w:lineRule="auto"/>
        <w:jc w:val="both"/>
        <w:outlineLvl w:val="0"/>
        <w:rPr>
          <w:rFonts w:hint="eastAsia"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FF0000"/>
          <w:sz w:val="24"/>
        </w:rPr>
      </w:pPr>
      <w:r>
        <w:rPr>
          <w:rFonts w:hint="eastAsia" w:ascii="仿宋" w:hAnsi="仿宋" w:eastAsia="仿宋" w:cs="仿宋"/>
          <w:b/>
          <w:sz w:val="24"/>
        </w:rPr>
        <w:t>2.评分标准：</w:t>
      </w:r>
      <w:r>
        <w:rPr>
          <w:rFonts w:hint="eastAsia" w:ascii="仿宋" w:hAnsi="仿宋" w:eastAsia="仿宋" w:cs="仿宋"/>
          <w:sz w:val="24"/>
        </w:rPr>
        <w:t>共100分，其中商</w:t>
      </w:r>
      <w:r>
        <w:rPr>
          <w:rFonts w:hint="eastAsia" w:ascii="仿宋" w:hAnsi="仿宋" w:eastAsia="仿宋" w:cs="仿宋"/>
          <w:color w:val="auto"/>
          <w:sz w:val="24"/>
          <w:highlight w:val="none"/>
        </w:rPr>
        <w:t>务技术分</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0分，价格分</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0分。评分依下</w:t>
      </w:r>
      <w:r>
        <w:rPr>
          <w:rFonts w:hint="eastAsia" w:ascii="仿宋" w:hAnsi="仿宋" w:eastAsia="仿宋" w:cs="仿宋"/>
          <w:sz w:val="24"/>
        </w:rPr>
        <w:t>述所列为评标打分依据，分值如下（计算分值时，按其算术平均值保留小数2位）。</w:t>
      </w:r>
    </w:p>
    <w:p>
      <w:pPr>
        <w:spacing w:line="288" w:lineRule="auto"/>
        <w:rPr>
          <w:rFonts w:hint="eastAsia" w:ascii="仿宋" w:hAnsi="仿宋" w:eastAsia="仿宋" w:cs="仿宋"/>
          <w:b/>
          <w:sz w:val="24"/>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w:t>
      </w:r>
      <w:r>
        <w:rPr>
          <w:rFonts w:hint="eastAsia" w:ascii="仿宋" w:hAnsi="仿宋" w:eastAsia="仿宋" w:cs="仿宋"/>
          <w:b/>
          <w:bCs/>
          <w:sz w:val="24"/>
          <w:lang w:val="en-US" w:eastAsia="zh-CN"/>
        </w:rPr>
        <w:t>7</w:t>
      </w:r>
      <w:r>
        <w:rPr>
          <w:rFonts w:hint="eastAsia" w:ascii="仿宋" w:hAnsi="仿宋" w:eastAsia="仿宋" w:cs="仿宋"/>
          <w:b/>
          <w:bCs/>
          <w:sz w:val="24"/>
        </w:rPr>
        <w:t>0分）</w:t>
      </w:r>
      <w:r>
        <w:rPr>
          <w:rFonts w:hint="eastAsia" w:ascii="仿宋" w:hAnsi="仿宋" w:eastAsia="仿宋" w:cs="仿宋"/>
          <w:b/>
          <w:bCs/>
          <w:sz w:val="24"/>
          <w:lang w:val="en-US" w:eastAsia="zh-CN"/>
        </w:rPr>
        <w:t xml:space="preserve">   </w:t>
      </w:r>
    </w:p>
    <w:tbl>
      <w:tblPr>
        <w:tblStyle w:val="26"/>
        <w:tblW w:w="9415" w:type="dxa"/>
        <w:tblInd w:w="-93" w:type="dxa"/>
        <w:tblLayout w:type="fixed"/>
        <w:tblCellMar>
          <w:top w:w="0" w:type="dxa"/>
          <w:left w:w="0" w:type="dxa"/>
          <w:bottom w:w="0" w:type="dxa"/>
          <w:right w:w="0" w:type="dxa"/>
        </w:tblCellMar>
      </w:tblPr>
      <w:tblGrid>
        <w:gridCol w:w="885"/>
        <w:gridCol w:w="1792"/>
        <w:gridCol w:w="5861"/>
        <w:gridCol w:w="877"/>
      </w:tblGrid>
      <w:tr>
        <w:tblPrEx>
          <w:tblCellMar>
            <w:top w:w="0" w:type="dxa"/>
            <w:left w:w="0" w:type="dxa"/>
            <w:bottom w:w="0" w:type="dxa"/>
            <w:right w:w="0" w:type="dxa"/>
          </w:tblCellMar>
        </w:tblPrEx>
        <w:trPr>
          <w:trHeight w:val="398"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b/>
                <w:bCs/>
                <w:color w:val="000000"/>
                <w:kern w:val="0"/>
                <w:sz w:val="24"/>
                <w:szCs w:val="24"/>
              </w:rPr>
              <w:t>序号</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b/>
                <w:bCs/>
                <w:color w:val="000000"/>
                <w:kern w:val="0"/>
                <w:sz w:val="24"/>
                <w:szCs w:val="24"/>
              </w:rPr>
              <w:t>评分内容</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b/>
                <w:bCs/>
                <w:color w:val="000000"/>
                <w:kern w:val="0"/>
                <w:sz w:val="24"/>
                <w:szCs w:val="24"/>
              </w:rPr>
              <w:t>评分细则</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分值</w:t>
            </w:r>
          </w:p>
        </w:tc>
      </w:tr>
      <w:tr>
        <w:tblPrEx>
          <w:tblCellMar>
            <w:top w:w="0" w:type="dxa"/>
            <w:left w:w="0" w:type="dxa"/>
            <w:bottom w:w="0" w:type="dxa"/>
            <w:right w:w="0" w:type="dxa"/>
          </w:tblCellMar>
        </w:tblPrEx>
        <w:trPr>
          <w:trHeight w:val="615"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1</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rPr>
              <w:t>展品整体维护工作专项服务方案</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highlight w:val="none"/>
              </w:rPr>
            </w:pPr>
            <w:r>
              <w:rPr>
                <w:rFonts w:hint="eastAsia" w:ascii="仿宋" w:hAnsi="仿宋" w:eastAsia="仿宋" w:cs="仿宋"/>
                <w:color w:val="000000"/>
                <w:kern w:val="0"/>
                <w:sz w:val="24"/>
                <w:szCs w:val="24"/>
                <w:highlight w:val="none"/>
              </w:rPr>
              <w:t>分别从多媒体类、机械类、电气类、大型交互类共4个类型展项提供维修、维护专项服务方案，具备针对4类展项特点制定专项维修、维护措施。优的得8-6分，一般的得5</w:t>
            </w:r>
            <w:r>
              <w:rPr>
                <w:rFonts w:hint="eastAsia" w:ascii="仿宋" w:hAnsi="仿宋" w:eastAsia="仿宋" w:cs="仿宋"/>
                <w:color w:val="000000"/>
                <w:kern w:val="0"/>
                <w:sz w:val="24"/>
                <w:szCs w:val="24"/>
                <w:highlight w:val="none"/>
                <w:lang w:val="en-US" w:eastAsia="zh-CN"/>
              </w:rPr>
              <w:t>.9</w:t>
            </w:r>
            <w:r>
              <w:rPr>
                <w:rFonts w:hint="eastAsia" w:ascii="仿宋" w:hAnsi="仿宋" w:eastAsia="仿宋" w:cs="仿宋"/>
                <w:color w:val="000000"/>
                <w:kern w:val="0"/>
                <w:sz w:val="24"/>
                <w:szCs w:val="24"/>
                <w:highlight w:val="none"/>
              </w:rPr>
              <w:t>-4分，较差的得3</w:t>
            </w:r>
            <w:r>
              <w:rPr>
                <w:rFonts w:hint="eastAsia" w:ascii="仿宋" w:hAnsi="仿宋" w:eastAsia="仿宋" w:cs="仿宋"/>
                <w:color w:val="000000"/>
                <w:kern w:val="0"/>
                <w:sz w:val="24"/>
                <w:szCs w:val="24"/>
                <w:highlight w:val="none"/>
                <w:lang w:val="en-US" w:eastAsia="zh-CN"/>
              </w:rPr>
              <w:t>.9</w:t>
            </w:r>
            <w:r>
              <w:rPr>
                <w:rFonts w:hint="eastAsia" w:ascii="仿宋" w:hAnsi="仿宋" w:eastAsia="仿宋" w:cs="仿宋"/>
                <w:color w:val="000000"/>
                <w:kern w:val="0"/>
                <w:sz w:val="24"/>
                <w:szCs w:val="24"/>
                <w:highlight w:val="none"/>
              </w:rPr>
              <w:t>-1分。</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8</w:t>
            </w:r>
          </w:p>
        </w:tc>
      </w:tr>
      <w:tr>
        <w:tblPrEx>
          <w:tblCellMar>
            <w:top w:w="0" w:type="dxa"/>
            <w:left w:w="0" w:type="dxa"/>
            <w:bottom w:w="0" w:type="dxa"/>
            <w:right w:w="0" w:type="dxa"/>
          </w:tblCellMar>
        </w:tblPrEx>
        <w:trPr>
          <w:trHeight w:val="464"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2</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例行检查的内容及频率</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方案内容是否完整周详、例行检查的时间和频率有无针对性的计划和安排。优的得4-3分，一般的得2.9-2分，较差的得1.9-1分。</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CellMar>
            <w:top w:w="0" w:type="dxa"/>
            <w:left w:w="0" w:type="dxa"/>
            <w:bottom w:w="0" w:type="dxa"/>
            <w:right w:w="0" w:type="dxa"/>
          </w:tblCellMar>
        </w:tblPrEx>
        <w:trPr>
          <w:trHeight w:val="464"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3</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对人员服务要求的承诺</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对第二条人员服务要求进行承诺</w:t>
            </w:r>
            <w:r>
              <w:rPr>
                <w:rFonts w:hint="eastAsia" w:ascii="仿宋" w:hAnsi="仿宋" w:eastAsia="仿宋" w:cs="仿宋"/>
                <w:sz w:val="24"/>
                <w:szCs w:val="24"/>
              </w:rPr>
              <w:t>，★</w:t>
            </w:r>
            <w:r>
              <w:rPr>
                <w:rFonts w:hint="eastAsia" w:ascii="仿宋" w:hAnsi="仿宋" w:eastAsia="仿宋" w:cs="仿宋"/>
                <w:color w:val="000000"/>
                <w:kern w:val="0"/>
                <w:sz w:val="24"/>
                <w:szCs w:val="24"/>
              </w:rPr>
              <w:t>项必须满足，否则做无效标处理；▲项每不满足一条扣3分，其他项每不满足一条扣1分，扣完为止。</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w:t>
            </w:r>
          </w:p>
        </w:tc>
      </w:tr>
      <w:tr>
        <w:tblPrEx>
          <w:tblCellMar>
            <w:top w:w="0" w:type="dxa"/>
            <w:left w:w="0" w:type="dxa"/>
            <w:bottom w:w="0" w:type="dxa"/>
            <w:right w:w="0" w:type="dxa"/>
          </w:tblCellMar>
        </w:tblPrEx>
        <w:trPr>
          <w:trHeight w:val="464"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4</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对维修服务、故障修复响应时间的承诺</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对第三条维修服务要求进行承诺，</w:t>
            </w:r>
            <w:r>
              <w:rPr>
                <w:rFonts w:hint="eastAsia" w:ascii="仿宋" w:hAnsi="仿宋" w:eastAsia="仿宋" w:cs="仿宋"/>
                <w:sz w:val="24"/>
                <w:szCs w:val="24"/>
              </w:rPr>
              <w:t>★</w:t>
            </w:r>
            <w:r>
              <w:rPr>
                <w:rFonts w:hint="eastAsia" w:ascii="仿宋" w:hAnsi="仿宋" w:eastAsia="仿宋" w:cs="仿宋"/>
                <w:color w:val="000000"/>
                <w:kern w:val="0"/>
                <w:sz w:val="24"/>
                <w:szCs w:val="24"/>
              </w:rPr>
              <w:t>项必须满足，否则做无效标处理；▲项每不满足一条扣3分，其他项每不满足一条扣1分，扣完为止。</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9</w:t>
            </w:r>
          </w:p>
        </w:tc>
      </w:tr>
      <w:tr>
        <w:tblPrEx>
          <w:tblCellMar>
            <w:top w:w="0" w:type="dxa"/>
            <w:left w:w="0" w:type="dxa"/>
            <w:bottom w:w="0" w:type="dxa"/>
            <w:right w:w="0" w:type="dxa"/>
          </w:tblCellMar>
        </w:tblPrEx>
        <w:trPr>
          <w:trHeight w:val="469"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5</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服务总体质量控制措施</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对展品维修维护的总体服务质量控制措施合理，有效，满足绍兴科技馆展品技术服务流程、维修程序要求，能确保按招标文件技术要求达到展品设备、设施维修率、修复率和按期修复的要求。优的得4-3分，一般的得2.9-2分，较差的得1.9-1分。</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CellMar>
            <w:top w:w="0" w:type="dxa"/>
            <w:left w:w="0" w:type="dxa"/>
            <w:bottom w:w="0" w:type="dxa"/>
            <w:right w:w="0" w:type="dxa"/>
          </w:tblCellMar>
        </w:tblPrEx>
        <w:trPr>
          <w:trHeight w:val="476"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6</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项目负责人的资历和经验</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评价项目负责人的资历、从业经验、类似项目业绩等情况。优的得3-2.1分，一般的得2-1分，较差的得0.9-0分。</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p>
        </w:tc>
      </w:tr>
      <w:tr>
        <w:tblPrEx>
          <w:tblCellMar>
            <w:top w:w="0" w:type="dxa"/>
            <w:left w:w="0" w:type="dxa"/>
            <w:bottom w:w="0" w:type="dxa"/>
            <w:right w:w="0" w:type="dxa"/>
          </w:tblCellMar>
        </w:tblPrEx>
        <w:trPr>
          <w:trHeight w:val="615"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7</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拟派技术人员的经验、资历</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拟派技术人员是否具有同类型其他展馆维保经验。每具有一项得1分，最高得2分；</w:t>
            </w:r>
          </w:p>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技术人员有电工证、特种工作证等类似证照。每具有一项得1分，最高得2分。</w:t>
            </w:r>
          </w:p>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auto"/>
                <w:kern w:val="0"/>
                <w:sz w:val="24"/>
                <w:szCs w:val="24"/>
              </w:rPr>
            </w:pPr>
            <w:r>
              <w:rPr>
                <w:rFonts w:hint="eastAsia" w:ascii="仿宋" w:hAnsi="仿宋" w:eastAsia="仿宋" w:cs="仿宋"/>
                <w:color w:val="000000"/>
                <w:kern w:val="0"/>
                <w:sz w:val="24"/>
                <w:szCs w:val="24"/>
              </w:rPr>
              <w:t>专业技能是否符合采购需求，符合得2分，基本符合得1</w:t>
            </w:r>
            <w:r>
              <w:rPr>
                <w:rFonts w:hint="eastAsia" w:ascii="仿宋" w:hAnsi="仿宋" w:eastAsia="仿宋" w:cs="仿宋"/>
                <w:color w:val="auto"/>
                <w:kern w:val="0"/>
                <w:sz w:val="24"/>
                <w:szCs w:val="24"/>
              </w:rPr>
              <w:t>分，不符合得0分。</w:t>
            </w:r>
          </w:p>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color w:val="000000"/>
                <w:kern w:val="0"/>
                <w:sz w:val="24"/>
                <w:szCs w:val="24"/>
                <w:lang w:eastAsia="zh-CN"/>
              </w:rPr>
            </w:pPr>
            <w:r>
              <w:rPr>
                <w:rFonts w:hint="eastAsia" w:ascii="仿宋" w:hAnsi="仿宋" w:eastAsia="仿宋" w:cs="仿宋"/>
                <w:color w:val="auto"/>
                <w:kern w:val="0"/>
                <w:sz w:val="24"/>
                <w:szCs w:val="24"/>
                <w:lang w:eastAsia="zh-CN"/>
              </w:rPr>
              <w:t>注：上述均需提供相关证明材料复印件加盖投标单位公章。</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6</w:t>
            </w:r>
          </w:p>
        </w:tc>
      </w:tr>
      <w:tr>
        <w:tblPrEx>
          <w:tblCellMar>
            <w:top w:w="0" w:type="dxa"/>
            <w:left w:w="0" w:type="dxa"/>
            <w:bottom w:w="0" w:type="dxa"/>
            <w:right w:w="0" w:type="dxa"/>
          </w:tblCellMar>
        </w:tblPrEx>
        <w:trPr>
          <w:trHeight w:val="469"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8</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拟投入的检修设备及现场工具说明</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投标人应具备展品维护、维修的常用基本工具，满足维修、维护的服务需要。提供服务拟投入工具清单及说明。优的得5-4分，一般的得3.9-2分，较差的得1.9-1分。</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5</w:t>
            </w:r>
          </w:p>
        </w:tc>
      </w:tr>
      <w:tr>
        <w:tblPrEx>
          <w:tblCellMar>
            <w:top w:w="0" w:type="dxa"/>
            <w:left w:w="0" w:type="dxa"/>
            <w:bottom w:w="0" w:type="dxa"/>
            <w:right w:w="0" w:type="dxa"/>
          </w:tblCellMar>
        </w:tblPrEx>
        <w:trPr>
          <w:trHeight w:val="615"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9</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节假日高峰应对专项方案</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能够针对寒暑期及节假日观众流量高峰、尖峰问题，在人员投入、展品维护方面提供专项应对方案，满足展厅安全稳定运行的要求。优的得3-2分，一般的得1.9-1分，较差的得0.9-0分。</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3</w:t>
            </w:r>
          </w:p>
        </w:tc>
      </w:tr>
      <w:tr>
        <w:tblPrEx>
          <w:tblCellMar>
            <w:top w:w="0" w:type="dxa"/>
            <w:left w:w="0" w:type="dxa"/>
            <w:bottom w:w="0" w:type="dxa"/>
            <w:right w:w="0" w:type="dxa"/>
          </w:tblCellMar>
        </w:tblPrEx>
        <w:trPr>
          <w:trHeight w:val="615"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10</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项目服务团队数量、专业及职称</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拟投入本项目服务团队人员数量满足招标文件要求，且服务人员专业须为自动化、计算机软硬件、机械、电气或制造、加工相关专业，具备技术或技能职称，各服务人员岗位职责明确。注：提供项目团队专业分工说明及其相关专业毕业证书，相关职称或职业资格证书复印件并加盖单位公章，及近三个月在本单位缴纳社保证明，如不能提供以上材料，直接定为较差档次。优的得4-3分，一般的得2.9-2分，较差的得1.9-1分。</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CellMar>
            <w:top w:w="0" w:type="dxa"/>
            <w:left w:w="0" w:type="dxa"/>
            <w:bottom w:w="0" w:type="dxa"/>
            <w:right w:w="0" w:type="dxa"/>
          </w:tblCellMar>
        </w:tblPrEx>
        <w:trPr>
          <w:trHeight w:val="476"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11</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企业的综合实力</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综合评价企业的综合实力、资质、履约情况及企业声誉，由评委打分。优的得4-3分，一般的得2.9-2分，较差的得1.9-1分。</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4</w:t>
            </w:r>
          </w:p>
        </w:tc>
      </w:tr>
      <w:tr>
        <w:tblPrEx>
          <w:tblCellMar>
            <w:top w:w="0" w:type="dxa"/>
            <w:left w:w="0" w:type="dxa"/>
            <w:bottom w:w="0" w:type="dxa"/>
            <w:right w:w="0" w:type="dxa"/>
          </w:tblCellMar>
        </w:tblPrEx>
        <w:trPr>
          <w:trHeight w:val="490"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12</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投标人服务履约零配件、原料及耗材说明</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投标人应详细说明维修、维护服务中所需要的零配件、原料及耗材种类、规格、备品数量、采购来源及更换响应时间，满足项目服务需要。</w:t>
            </w:r>
          </w:p>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（1）零配件、原料及耗材种类齐全，质量、采购来源可靠，响应迅速，完全满足维修、维护的服务需要：6 分；</w:t>
            </w:r>
          </w:p>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（2）零配件、原料及耗材种类基本齐全，质量、采购来源基本可靠，能基本满足维修、维护的服务需要：4 分；</w:t>
            </w:r>
          </w:p>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（3）零配件、原料及耗材种类、质量、采购来源有欠缺，仅能部分满足维修、维护的服务需要：2 分；</w:t>
            </w:r>
          </w:p>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color w:val="000000"/>
                <w:kern w:val="0"/>
                <w:sz w:val="24"/>
                <w:szCs w:val="24"/>
              </w:rPr>
              <w:t>（4）零配件、原料及耗材种类、质量、采购来源不满足维修、维护的服务需要：0 分。</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color w:val="000000"/>
                <w:kern w:val="0"/>
                <w:sz w:val="24"/>
                <w:szCs w:val="24"/>
              </w:rPr>
            </w:pPr>
            <w:r>
              <w:rPr>
                <w:rFonts w:hint="eastAsia" w:ascii="仿宋" w:hAnsi="仿宋" w:eastAsia="仿宋" w:cs="仿宋"/>
                <w:kern w:val="0"/>
                <w:sz w:val="24"/>
                <w:szCs w:val="24"/>
              </w:rPr>
              <w:t>6</w:t>
            </w:r>
          </w:p>
        </w:tc>
      </w:tr>
      <w:tr>
        <w:tblPrEx>
          <w:tblCellMar>
            <w:top w:w="0" w:type="dxa"/>
            <w:left w:w="0" w:type="dxa"/>
            <w:bottom w:w="0" w:type="dxa"/>
            <w:right w:w="0" w:type="dxa"/>
          </w:tblCellMar>
        </w:tblPrEx>
        <w:trPr>
          <w:trHeight w:val="578" w:hRule="atLeast"/>
        </w:trPr>
        <w:tc>
          <w:tcPr>
            <w:tcW w:w="885"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sz w:val="24"/>
                <w:szCs w:val="24"/>
              </w:rPr>
            </w:pPr>
            <w:r>
              <w:rPr>
                <w:rFonts w:hint="eastAsia" w:ascii="仿宋" w:hAnsi="仿宋" w:eastAsia="仿宋" w:cs="仿宋"/>
                <w:kern w:val="0"/>
                <w:sz w:val="24"/>
                <w:szCs w:val="24"/>
              </w:rPr>
              <w:t>13</w:t>
            </w:r>
          </w:p>
        </w:tc>
        <w:tc>
          <w:tcPr>
            <w:tcW w:w="1792"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kern w:val="0"/>
                <w:sz w:val="24"/>
                <w:szCs w:val="24"/>
              </w:rPr>
              <w:t>企业的类似展馆展项维护经验</w:t>
            </w:r>
          </w:p>
        </w:tc>
        <w:tc>
          <w:tcPr>
            <w:tcW w:w="5861"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textAlignment w:val="center"/>
              <w:rPr>
                <w:rFonts w:hint="eastAsia" w:ascii="仿宋" w:hAnsi="仿宋" w:eastAsia="仿宋" w:cs="仿宋"/>
                <w:sz w:val="24"/>
                <w:szCs w:val="24"/>
              </w:rPr>
            </w:pPr>
            <w:r>
              <w:rPr>
                <w:rFonts w:hint="eastAsia" w:ascii="仿宋" w:hAnsi="仿宋" w:eastAsia="仿宋" w:cs="仿宋"/>
                <w:kern w:val="0"/>
                <w:sz w:val="24"/>
                <w:szCs w:val="24"/>
              </w:rPr>
              <w:t>投标截止日前五年内，投标人独立承担完成类似展馆维</w:t>
            </w:r>
            <w:r>
              <w:rPr>
                <w:rFonts w:hint="eastAsia" w:ascii="仿宋" w:hAnsi="仿宋" w:eastAsia="仿宋" w:cs="仿宋"/>
                <w:color w:val="auto"/>
                <w:kern w:val="0"/>
                <w:sz w:val="24"/>
                <w:szCs w:val="24"/>
              </w:rPr>
              <w:t>保业绩（非制作业绩），每份得1分，本项最高得5分。（</w:t>
            </w:r>
            <w:r>
              <w:rPr>
                <w:rFonts w:hint="eastAsia" w:ascii="仿宋" w:hAnsi="仿宋" w:eastAsia="仿宋" w:cs="仿宋"/>
                <w:color w:val="auto"/>
                <w:kern w:val="0"/>
                <w:sz w:val="24"/>
                <w:szCs w:val="24"/>
                <w:lang w:eastAsia="zh-CN"/>
              </w:rPr>
              <w:t>同时</w:t>
            </w:r>
            <w:r>
              <w:rPr>
                <w:rFonts w:hint="eastAsia" w:ascii="仿宋" w:hAnsi="仿宋" w:eastAsia="仿宋" w:cs="仿宋"/>
                <w:color w:val="auto"/>
                <w:kern w:val="0"/>
                <w:sz w:val="24"/>
                <w:szCs w:val="24"/>
              </w:rPr>
              <w:t>提供中标通知书及合同复印件</w:t>
            </w:r>
            <w:r>
              <w:rPr>
                <w:rFonts w:hint="eastAsia" w:ascii="仿宋" w:hAnsi="仿宋" w:eastAsia="仿宋" w:cs="仿宋"/>
                <w:color w:val="auto"/>
                <w:kern w:val="0"/>
                <w:sz w:val="24"/>
                <w:szCs w:val="24"/>
                <w:lang w:eastAsia="zh-CN"/>
              </w:rPr>
              <w:t>加盖投标单位公章</w:t>
            </w:r>
            <w:r>
              <w:rPr>
                <w:rFonts w:hint="eastAsia" w:ascii="仿宋" w:hAnsi="仿宋" w:eastAsia="仿宋" w:cs="仿宋"/>
                <w:color w:val="auto"/>
                <w:kern w:val="0"/>
                <w:sz w:val="24"/>
                <w:szCs w:val="24"/>
              </w:rPr>
              <w:t>）</w:t>
            </w:r>
          </w:p>
        </w:tc>
        <w:tc>
          <w:tcPr>
            <w:tcW w:w="877" w:type="dxa"/>
            <w:tcBorders>
              <w:top w:val="single" w:color="auto" w:sz="4" w:space="0"/>
              <w:left w:val="single" w:color="auto" w:sz="4" w:space="0"/>
              <w:bottom w:val="single" w:color="auto" w:sz="4" w:space="0"/>
              <w:right w:val="single" w:color="auto" w:sz="4" w:space="0"/>
            </w:tcBorders>
            <w:tcMar>
              <w:top w:w="15" w:type="dxa"/>
              <w:left w:w="15" w:type="dxa"/>
              <w:bottom w:w="0" w:type="dxa"/>
              <w:right w:w="15" w:type="dxa"/>
            </w:tcMar>
            <w:vAlign w:val="center"/>
          </w:tcPr>
          <w:p>
            <w:pPr>
              <w:keepNext w:val="0"/>
              <w:keepLines w:val="0"/>
              <w:pageBreakBefore w:val="0"/>
              <w:widowControl/>
              <w:kinsoku/>
              <w:wordWrap/>
              <w:overflowPunct/>
              <w:topLinePunct w:val="0"/>
              <w:autoSpaceDE/>
              <w:autoSpaceDN/>
              <w:bidi w:val="0"/>
              <w:adjustRightInd w:val="0"/>
              <w:snapToGrid/>
              <w:spacing w:line="288" w:lineRule="auto"/>
              <w:jc w:val="center"/>
              <w:textAlignment w:val="center"/>
              <w:rPr>
                <w:rFonts w:hint="eastAsia" w:ascii="仿宋" w:hAnsi="仿宋" w:eastAsia="仿宋" w:cs="仿宋"/>
                <w:kern w:val="0"/>
                <w:sz w:val="24"/>
                <w:szCs w:val="24"/>
              </w:rPr>
            </w:pPr>
            <w:r>
              <w:rPr>
                <w:rFonts w:hint="eastAsia" w:ascii="仿宋" w:hAnsi="仿宋" w:eastAsia="仿宋" w:cs="仿宋"/>
                <w:kern w:val="0"/>
                <w:sz w:val="24"/>
                <w:szCs w:val="24"/>
              </w:rPr>
              <w:t>5</w:t>
            </w:r>
          </w:p>
        </w:tc>
      </w:tr>
    </w:tbl>
    <w:p>
      <w:pPr>
        <w:spacing w:line="288"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pacing w:line="288" w:lineRule="auto"/>
        <w:rPr>
          <w:rFonts w:ascii="仿宋" w:hAnsi="仿宋" w:eastAsia="仿宋" w:cs="仿宋"/>
          <w:b/>
          <w:bCs/>
          <w:iCs/>
          <w:sz w:val="24"/>
          <w:highlight w:val="cyan"/>
        </w:rPr>
      </w:pPr>
      <w:r>
        <w:rPr>
          <w:rFonts w:hint="eastAsia" w:ascii="仿宋" w:hAnsi="仿宋" w:eastAsia="仿宋" w:cs="仿宋"/>
          <w:b/>
          <w:bCs/>
          <w:iCs/>
          <w:sz w:val="24"/>
        </w:rPr>
        <w:t>2.2价格分（</w:t>
      </w:r>
      <w:r>
        <w:rPr>
          <w:rFonts w:hint="eastAsia" w:ascii="仿宋" w:hAnsi="仿宋" w:eastAsia="仿宋" w:cs="仿宋"/>
          <w:b/>
          <w:bCs/>
          <w:iCs/>
          <w:sz w:val="24"/>
          <w:lang w:val="en-US" w:eastAsia="zh-CN"/>
        </w:rPr>
        <w:t>3</w:t>
      </w:r>
      <w:r>
        <w:rPr>
          <w:rFonts w:hint="eastAsia" w:ascii="仿宋" w:hAnsi="仿宋" w:eastAsia="仿宋" w:cs="仿宋"/>
          <w:b/>
          <w:bCs/>
          <w:iCs/>
          <w:sz w:val="24"/>
        </w:rPr>
        <w:t>0分）</w:t>
      </w:r>
    </w:p>
    <w:p>
      <w:pPr>
        <w:spacing w:line="288" w:lineRule="auto"/>
        <w:jc w:val="left"/>
        <w:rPr>
          <w:rFonts w:ascii="仿宋" w:hAnsi="仿宋" w:eastAsia="仿宋" w:cs="仿宋"/>
          <w:sz w:val="24"/>
        </w:rPr>
      </w:pPr>
      <w:r>
        <w:rPr>
          <w:rFonts w:hint="eastAsia" w:ascii="仿宋" w:hAnsi="仿宋" w:eastAsia="仿宋" w:cs="仿宋"/>
          <w:sz w:val="24"/>
        </w:rPr>
        <w:t>2.2.1评标基准价：即满足招标文件要求且投标价格最低的投标报价为评标基准价，其价格分为满分。</w:t>
      </w:r>
    </w:p>
    <w:p>
      <w:pPr>
        <w:spacing w:line="288" w:lineRule="auto"/>
        <w:jc w:val="left"/>
        <w:rPr>
          <w:rFonts w:ascii="仿宋" w:hAnsi="仿宋" w:eastAsia="仿宋" w:cs="仿宋"/>
          <w:sz w:val="24"/>
        </w:rPr>
      </w:pPr>
      <w:r>
        <w:rPr>
          <w:rFonts w:hint="eastAsia" w:ascii="仿宋" w:hAnsi="仿宋" w:eastAsia="仿宋" w:cs="仿宋"/>
          <w:sz w:val="24"/>
        </w:rPr>
        <w:t>2.2.2其他投标人的价格分统一按照下列公式计算：</w:t>
      </w:r>
    </w:p>
    <w:p>
      <w:pPr>
        <w:spacing w:line="288" w:lineRule="auto"/>
        <w:jc w:val="left"/>
        <w:rPr>
          <w:rFonts w:ascii="仿宋" w:hAnsi="仿宋" w:eastAsia="仿宋" w:cs="仿宋"/>
          <w:sz w:val="24"/>
        </w:rPr>
      </w:pPr>
      <w:r>
        <w:rPr>
          <w:rFonts w:hint="eastAsia" w:ascii="仿宋" w:hAnsi="仿宋" w:eastAsia="仿宋" w:cs="仿宋"/>
          <w:sz w:val="24"/>
        </w:rPr>
        <w:t>投标报价得分=(评标基准价／投标报价)×价格权值×100</w:t>
      </w:r>
    </w:p>
    <w:p>
      <w:pPr>
        <w:spacing w:line="288" w:lineRule="auto"/>
        <w:jc w:val="left"/>
        <w:rPr>
          <w:rFonts w:ascii="仿宋" w:hAnsi="仿宋" w:eastAsia="仿宋" w:cs="仿宋"/>
          <w:sz w:val="24"/>
        </w:rPr>
      </w:pPr>
      <w:r>
        <w:rPr>
          <w:rFonts w:hint="eastAsia" w:ascii="仿宋" w:hAnsi="仿宋" w:eastAsia="仿宋" w:cs="仿宋"/>
          <w:sz w:val="24"/>
        </w:rPr>
        <w:t>即：投标报价得分=(评标基准价／投标报价)×</w:t>
      </w:r>
      <w:r>
        <w:rPr>
          <w:rFonts w:hint="eastAsia" w:ascii="仿宋" w:hAnsi="仿宋" w:eastAsia="仿宋" w:cs="仿宋"/>
          <w:sz w:val="24"/>
          <w:lang w:val="en-US" w:eastAsia="zh-CN"/>
        </w:rPr>
        <w:t>3</w:t>
      </w:r>
      <w:r>
        <w:rPr>
          <w:rFonts w:hint="eastAsia" w:ascii="仿宋" w:hAnsi="仿宋" w:eastAsia="仿宋" w:cs="仿宋"/>
          <w:sz w:val="24"/>
        </w:rPr>
        <w:t>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 w:hAnsi="仿宋" w:eastAsia="仿宋" w:cs="仿宋"/>
          <w:sz w:val="24"/>
          <w:lang w:val="zh-CN"/>
        </w:rPr>
        <w:t>制作加密电子投标文件时做好关联点设置。</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（3）中小企业声明函（二选一）…………………………………（页码）</w:t>
      </w:r>
    </w:p>
    <w:p>
      <w:pPr>
        <w:spacing w:line="288" w:lineRule="auto"/>
        <w:outlineLvl w:val="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pStyle w:val="12"/>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1、投标响应函（格式）</w:t>
      </w:r>
    </w:p>
    <w:p>
      <w:pPr>
        <w:pStyle w:val="65"/>
        <w:spacing w:afterLines="0" w:line="288" w:lineRule="auto"/>
        <w:ind w:firstLine="0" w:firstLineChars="0"/>
        <w:rPr>
          <w:rFonts w:ascii="仿宋" w:hAnsi="仿宋" w:eastAsia="仿宋" w:cs="仿宋"/>
          <w:szCs w:val="24"/>
        </w:rPr>
      </w:pPr>
    </w:p>
    <w:p>
      <w:pPr>
        <w:pStyle w:val="65"/>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lang w:eastAsia="zh-CN"/>
        </w:rPr>
        <w:t>绍兴科技馆</w:t>
      </w:r>
      <w:r>
        <w:rPr>
          <w:rFonts w:hint="eastAsia" w:ascii="仿宋" w:hAnsi="仿宋" w:eastAsia="仿宋" w:cs="仿宋"/>
          <w:szCs w:val="24"/>
          <w:u w:val="single"/>
        </w:rPr>
        <w:t xml:space="preserve">、耀华建设管理有限公司 </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5"/>
        <w:spacing w:afterLines="0" w:line="288" w:lineRule="auto"/>
        <w:ind w:firstLine="480"/>
        <w:rPr>
          <w:rFonts w:ascii="仿宋" w:hAnsi="仿宋" w:eastAsia="仿宋" w:cs="仿宋"/>
          <w:szCs w:val="24"/>
        </w:rPr>
      </w:pP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法定代表人或其授权代表(签字或盖章)：</w:t>
      </w:r>
    </w:p>
    <w:p>
      <w:pPr>
        <w:pStyle w:val="65"/>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ageBreakBefore/>
        <w:spacing w:line="288" w:lineRule="auto"/>
        <w:rPr>
          <w:rFonts w:ascii="仿宋" w:hAnsi="仿宋" w:eastAsia="仿宋" w:cs="仿宋"/>
          <w:sz w:val="24"/>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    项：</w:t>
      </w:r>
    </w:p>
    <w:p>
      <w:pPr>
        <w:snapToGrid w:val="0"/>
        <w:spacing w:line="288" w:lineRule="auto"/>
        <w:rPr>
          <w:rFonts w:ascii="仿宋" w:hAnsi="仿宋" w:eastAsia="仿宋" w:cs="仿宋"/>
          <w:sz w:val="24"/>
        </w:rPr>
      </w:pPr>
      <w:r>
        <w:rPr>
          <w:rFonts w:hint="eastAsia" w:ascii="仿宋" w:hAnsi="仿宋" w:eastAsia="仿宋" w:cs="仿宋"/>
          <w:sz w:val="24"/>
        </w:rPr>
        <w:t xml:space="preserve">招标编号：                                                        </w:t>
      </w:r>
    </w:p>
    <w:p>
      <w:pPr>
        <w:spacing w:line="288" w:lineRule="auto"/>
        <w:jc w:val="center"/>
        <w:rPr>
          <w:rFonts w:ascii="仿宋" w:hAnsi="仿宋" w:eastAsia="仿宋" w:cs="仿宋"/>
          <w:sz w:val="24"/>
        </w:rPr>
      </w:pPr>
      <w:r>
        <w:rPr>
          <w:rFonts w:hint="eastAsia" w:ascii="仿宋" w:hAnsi="仿宋" w:eastAsia="仿宋" w:cs="仿宋"/>
          <w:sz w:val="24"/>
        </w:rPr>
        <w:t xml:space="preserve">                                                             单位：元</w:t>
      </w:r>
    </w:p>
    <w:tbl>
      <w:tblPr>
        <w:tblStyle w:val="26"/>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rPr>
        <w:t>3</w:t>
      </w:r>
      <w:r>
        <w:rPr>
          <w:rFonts w:hint="eastAsia" w:ascii="仿宋" w:hAnsi="仿宋" w:eastAsia="仿宋" w:cs="仿宋"/>
          <w:kern w:val="0"/>
          <w:sz w:val="24"/>
          <w:lang w:val="zh-CN"/>
        </w:rPr>
        <w:t>.投标人需按本表格式填写，如无对应内容，则填写：“无或/”。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rPr>
        <w:t>4</w:t>
      </w:r>
      <w:r>
        <w:rPr>
          <w:rFonts w:hint="eastAsia" w:ascii="仿宋" w:hAnsi="仿宋" w:eastAsia="仿宋" w:cs="仿宋"/>
          <w:kern w:val="0"/>
          <w:sz w:val="24"/>
          <w:lang w:val="zh-CN"/>
        </w:rPr>
        <w:t>.有关本项目实施所涉及的一切费用均计入报价。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rPr>
        <w:t>5</w:t>
      </w:r>
      <w:r>
        <w:rPr>
          <w:rFonts w:hint="eastAsia" w:ascii="仿宋" w:hAnsi="仿宋" w:eastAsia="仿宋" w:cs="仿宋"/>
          <w:kern w:val="0"/>
          <w:sz w:val="24"/>
          <w:lang w:val="zh-CN"/>
        </w:rPr>
        <w:t>.以上表格要求细分项目及报价，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rPr>
        <w:t>7</w:t>
      </w:r>
      <w:r>
        <w:rPr>
          <w:rFonts w:hint="eastAsia" w:ascii="仿宋" w:hAnsi="仿宋" w:eastAsia="仿宋" w:cs="仿宋"/>
          <w:b/>
          <w:kern w:val="0"/>
          <w:sz w:val="24"/>
          <w:lang w:val="zh-CN"/>
        </w:rPr>
        <w:t>.特别提示：采购代理机构将对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pageBreakBefore/>
        <w:spacing w:line="288" w:lineRule="auto"/>
        <w:rPr>
          <w:rFonts w:ascii="仿宋" w:hAnsi="仿宋" w:eastAsia="仿宋" w:cs="仿宋"/>
          <w:b/>
          <w:sz w:val="32"/>
          <w:szCs w:val="32"/>
        </w:rPr>
      </w:pPr>
      <w:r>
        <w:rPr>
          <w:rFonts w:hint="eastAsia" w:ascii="仿宋" w:hAnsi="仿宋" w:eastAsia="仿宋" w:cs="仿宋"/>
          <w:b/>
          <w:sz w:val="32"/>
          <w:szCs w:val="32"/>
        </w:rPr>
        <w:t>3、中小企业声明函（二选一）</w:t>
      </w:r>
    </w:p>
    <w:p>
      <w:pPr>
        <w:spacing w:line="288" w:lineRule="auto"/>
        <w:jc w:val="center"/>
        <w:rPr>
          <w:rFonts w:ascii="仿宋" w:hAnsi="仿宋" w:eastAsia="仿宋" w:cs="仿宋"/>
          <w:b/>
          <w:sz w:val="32"/>
        </w:rPr>
      </w:pPr>
      <w:r>
        <w:rPr>
          <w:rFonts w:hint="eastAsia" w:ascii="仿宋" w:hAnsi="仿宋" w:eastAsia="仿宋" w:cs="仿宋"/>
          <w:b/>
          <w:sz w:val="32"/>
        </w:rPr>
        <w:t>中小企业声明函（货物）</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w:t>
      </w:r>
      <w:r>
        <w:rPr>
          <w:rFonts w:hint="eastAsia" w:ascii="仿宋" w:hAnsi="仿宋" w:eastAsia="仿宋" w:cs="仿宋"/>
          <w:sz w:val="24"/>
          <w:u w:val="single"/>
          <w:lang w:eastAsia="zh-CN"/>
        </w:rPr>
        <w:t>绍兴科技馆</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lang w:eastAsia="zh-CN"/>
        </w:rPr>
        <w:t>2021年度全馆展品展项年度维保服务采购项目</w:t>
      </w:r>
      <w:r>
        <w:rPr>
          <w:rFonts w:hint="eastAsia" w:ascii="仿宋" w:hAnsi="仿宋" w:eastAsia="仿宋" w:cs="仿宋"/>
          <w:sz w:val="24"/>
        </w:rPr>
        <w:t>采购活动，提供的货物全部由符合政策要求的中小企业制造。相关企业（含联合体中的中小企业、签订分包意向协议的中小企业）的具体情况如下：</w:t>
      </w:r>
    </w:p>
    <w:p>
      <w:pPr>
        <w:spacing w:line="288" w:lineRule="auto"/>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行业 ；制造商为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288" w:lineRule="auto"/>
        <w:ind w:right="420" w:firstLine="5880" w:firstLineChars="2450"/>
        <w:jc w:val="left"/>
        <w:rPr>
          <w:rFonts w:ascii="仿宋" w:hAnsi="仿宋" w:eastAsia="仿宋" w:cs="仿宋"/>
          <w:sz w:val="24"/>
        </w:rPr>
      </w:pPr>
    </w:p>
    <w:p>
      <w:pPr>
        <w:spacing w:line="288" w:lineRule="auto"/>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spacing w:line="288" w:lineRule="auto"/>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spacing w:line="288" w:lineRule="auto"/>
        <w:jc w:val="center"/>
        <w:rPr>
          <w:rFonts w:ascii="仿宋" w:hAnsi="仿宋" w:eastAsia="仿宋" w:cs="仿宋"/>
          <w:b/>
          <w:sz w:val="18"/>
        </w:rPr>
      </w:pPr>
    </w:p>
    <w:p>
      <w:pPr>
        <w:spacing w:line="288" w:lineRule="auto"/>
        <w:jc w:val="center"/>
        <w:rPr>
          <w:rFonts w:ascii="仿宋" w:hAnsi="仿宋" w:eastAsia="仿宋" w:cs="仿宋"/>
          <w:b/>
          <w:sz w:val="32"/>
        </w:rPr>
      </w:pPr>
      <w:r>
        <w:rPr>
          <w:rFonts w:hint="eastAsia" w:ascii="仿宋" w:hAnsi="仿宋" w:eastAsia="仿宋" w:cs="仿宋"/>
          <w:b/>
          <w:sz w:val="32"/>
        </w:rPr>
        <w:t>中小企业声明函（工程、服务）</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本公司（联合体）郑重声明，根据《政府采购促进中小企业发展管理办法》 （财库﹝2020﹞46 号）的规定，本公司（联合体）参加</w:t>
      </w:r>
      <w:r>
        <w:rPr>
          <w:rFonts w:hint="eastAsia" w:ascii="仿宋" w:hAnsi="仿宋" w:eastAsia="仿宋" w:cs="仿宋"/>
          <w:sz w:val="24"/>
          <w:u w:val="single"/>
        </w:rPr>
        <w:t xml:space="preserve"> </w:t>
      </w:r>
      <w:r>
        <w:rPr>
          <w:rFonts w:hint="eastAsia" w:ascii="仿宋" w:hAnsi="仿宋" w:eastAsia="仿宋" w:cs="仿宋"/>
          <w:sz w:val="24"/>
          <w:u w:val="single"/>
          <w:lang w:eastAsia="zh-CN"/>
        </w:rPr>
        <w:t>绍兴科技馆</w:t>
      </w:r>
      <w:r>
        <w:rPr>
          <w:rFonts w:hint="eastAsia" w:ascii="仿宋" w:hAnsi="仿宋" w:eastAsia="仿宋" w:cs="仿宋"/>
          <w:sz w:val="24"/>
          <w:u w:val="single"/>
        </w:rPr>
        <w:t xml:space="preserve"> </w:t>
      </w:r>
      <w:r>
        <w:rPr>
          <w:rFonts w:hint="eastAsia" w:ascii="仿宋" w:hAnsi="仿宋" w:eastAsia="仿宋" w:cs="仿宋"/>
          <w:sz w:val="24"/>
        </w:rPr>
        <w:t>的</w:t>
      </w:r>
      <w:r>
        <w:rPr>
          <w:rFonts w:hint="eastAsia" w:ascii="仿宋" w:hAnsi="仿宋" w:eastAsia="仿宋" w:cs="仿宋"/>
          <w:sz w:val="24"/>
          <w:u w:val="single"/>
          <w:lang w:eastAsia="zh-CN"/>
        </w:rPr>
        <w:t>2021年度全馆展品展项年度维保服务采购项目</w:t>
      </w:r>
      <w:r>
        <w:rPr>
          <w:rFonts w:hint="eastAsia" w:ascii="仿宋" w:hAnsi="仿宋" w:eastAsia="仿宋" w:cs="仿宋"/>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288" w:lineRule="auto"/>
        <w:jc w:val="left"/>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jc w:val="left"/>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；承建（承接）企业为</w:t>
      </w:r>
      <w:r>
        <w:rPr>
          <w:rFonts w:hint="eastAsia" w:ascii="仿宋" w:hAnsi="仿宋" w:eastAsia="仿宋" w:cs="仿宋"/>
          <w:sz w:val="24"/>
          <w:u w:val="single"/>
        </w:rPr>
        <w:t xml:space="preserve">           （企业名称） </w:t>
      </w:r>
      <w:r>
        <w:rPr>
          <w:rFonts w:hint="eastAsia" w:ascii="仿宋" w:hAnsi="仿宋" w:eastAsia="仿宋" w:cs="仿宋"/>
          <w:sz w:val="24"/>
        </w:rPr>
        <w:t>，从业人员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 ，属于</w:t>
      </w:r>
      <w:r>
        <w:rPr>
          <w:rFonts w:hint="eastAsia" w:ascii="仿宋" w:hAnsi="仿宋" w:eastAsia="仿宋" w:cs="仿宋"/>
          <w:sz w:val="24"/>
          <w:u w:val="single"/>
        </w:rPr>
        <w:t xml:space="preserve">       （中型企业、小型企业、微型企业）</w:t>
      </w:r>
      <w:r>
        <w:rPr>
          <w:rFonts w:hint="eastAsia" w:ascii="仿宋" w:hAnsi="仿宋" w:eastAsia="仿宋" w:cs="仿宋"/>
          <w:sz w:val="24"/>
        </w:rPr>
        <w:t xml:space="preserve"> ；</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pacing w:line="288" w:lineRule="auto"/>
        <w:ind w:right="420" w:firstLine="5880" w:firstLineChars="2450"/>
        <w:jc w:val="left"/>
        <w:rPr>
          <w:rFonts w:ascii="仿宋" w:hAnsi="仿宋" w:eastAsia="仿宋" w:cs="仿宋"/>
          <w:sz w:val="24"/>
        </w:rPr>
      </w:pPr>
    </w:p>
    <w:p>
      <w:pPr>
        <w:spacing w:line="288" w:lineRule="auto"/>
        <w:ind w:right="420" w:firstLine="5880" w:firstLineChars="2450"/>
        <w:rPr>
          <w:rFonts w:ascii="仿宋" w:hAnsi="仿宋" w:eastAsia="仿宋" w:cs="仿宋"/>
          <w:sz w:val="24"/>
        </w:rPr>
      </w:pPr>
      <w:r>
        <w:rPr>
          <w:rFonts w:hint="eastAsia" w:ascii="仿宋" w:hAnsi="仿宋" w:eastAsia="仿宋" w:cs="仿宋"/>
          <w:sz w:val="24"/>
        </w:rPr>
        <w:t xml:space="preserve">企业名称（盖章）： </w:t>
      </w:r>
    </w:p>
    <w:p>
      <w:pPr>
        <w:spacing w:line="288" w:lineRule="auto"/>
        <w:ind w:right="420" w:firstLine="5520" w:firstLineChars="2300"/>
        <w:rPr>
          <w:rFonts w:ascii="仿宋" w:hAnsi="仿宋" w:eastAsia="仿宋" w:cs="仿宋"/>
        </w:rPr>
      </w:pPr>
      <w:r>
        <w:rPr>
          <w:rFonts w:hint="eastAsia" w:ascii="仿宋" w:hAnsi="仿宋" w:eastAsia="仿宋" w:cs="仿宋"/>
          <w:sz w:val="24"/>
        </w:rPr>
        <w:t xml:space="preserve">日期：   年     月 </w:t>
      </w:r>
      <w:r>
        <w:rPr>
          <w:rFonts w:hint="eastAsia" w:ascii="仿宋" w:hAnsi="仿宋" w:eastAsia="仿宋" w:cs="仿宋"/>
        </w:rPr>
        <w:t xml:space="preserve">    日</w:t>
      </w:r>
    </w:p>
    <w:p>
      <w:pPr>
        <w:spacing w:line="288" w:lineRule="auto"/>
        <w:rPr>
          <w:rFonts w:ascii="仿宋" w:hAnsi="仿宋" w:eastAsia="仿宋" w:cs="仿宋"/>
          <w:b/>
          <w:bCs/>
          <w:sz w:val="24"/>
        </w:rPr>
      </w:pPr>
      <w:r>
        <w:rPr>
          <w:rFonts w:hint="eastAsia" w:ascii="仿宋" w:hAnsi="仿宋" w:eastAsia="仿宋" w:cs="仿宋"/>
          <w:b/>
          <w:bCs/>
          <w:sz w:val="24"/>
        </w:rPr>
        <w:t>注：</w:t>
      </w:r>
    </w:p>
    <w:p>
      <w:pPr>
        <w:spacing w:line="288" w:lineRule="auto"/>
        <w:rPr>
          <w:rFonts w:ascii="仿宋" w:hAnsi="仿宋" w:eastAsia="仿宋" w:cs="仿宋"/>
          <w:b/>
          <w:sz w:val="24"/>
        </w:rPr>
      </w:pPr>
      <w:r>
        <w:rPr>
          <w:rFonts w:hint="eastAsia" w:ascii="仿宋" w:hAnsi="仿宋" w:eastAsia="仿宋" w:cs="仿宋"/>
          <w:b/>
          <w:sz w:val="24"/>
        </w:rPr>
        <w:t>1、投标人提供的中小企业声明函与实际情况不符的，视为投标人提供虚假材料投标，投标无效。</w:t>
      </w:r>
    </w:p>
    <w:p>
      <w:pPr>
        <w:spacing w:line="288" w:lineRule="auto"/>
        <w:rPr>
          <w:rFonts w:ascii="仿宋" w:hAnsi="仿宋" w:eastAsia="仿宋" w:cs="仿宋"/>
          <w:sz w:val="24"/>
        </w:rPr>
      </w:pPr>
      <w:r>
        <w:rPr>
          <w:rFonts w:hint="eastAsia" w:ascii="仿宋" w:hAnsi="仿宋" w:eastAsia="仿宋" w:cs="仿宋"/>
          <w:b/>
          <w:sz w:val="24"/>
        </w:rPr>
        <w:t>2、根据《政府采购促进中小企业发展管理办法》的通知（财库〔2020〕46号）规定，</w:t>
      </w:r>
      <w:r>
        <w:rPr>
          <w:rFonts w:hint="eastAsia" w:ascii="仿宋" w:hAnsi="仿宋" w:eastAsia="仿宋" w:cs="仿宋"/>
          <w:sz w:val="24"/>
        </w:rPr>
        <w:t>中标、成交供应商享受中小企业扶持政策的，采购代理机构将随中标、成交结果公开中标、成交供应商的《中小企业声明函》。</w:t>
      </w:r>
    </w:p>
    <w:p>
      <w:pPr>
        <w:spacing w:line="288" w:lineRule="auto"/>
        <w:rPr>
          <w:rFonts w:ascii="仿宋" w:hAnsi="仿宋" w:eastAsia="仿宋" w:cs="仿宋"/>
          <w:sz w:val="24"/>
        </w:rPr>
      </w:pPr>
      <w:r>
        <w:rPr>
          <w:rFonts w:hint="eastAsia" w:ascii="仿宋" w:hAnsi="仿宋" w:eastAsia="仿宋" w:cs="仿宋"/>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spacing w:line="288" w:lineRule="auto"/>
        <w:ind w:firstLine="480" w:firstLineChars="200"/>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（1）法定代表人授权书 ……………………………………………………………（页码）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（2）授权代表社保证明（复印件）…………………………………………………（页码）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（3）法定代表人及其授权代表的身份证（复印件）………………………………（页码）（4）法定代表人身份证明书…………………………………………………………（页码）</w:t>
      </w:r>
    </w:p>
    <w:p>
      <w:pPr>
        <w:spacing w:line="288" w:lineRule="auto"/>
        <w:outlineLvl w:val="0"/>
        <w:rPr>
          <w:rFonts w:ascii="仿宋" w:hAnsi="仿宋" w:eastAsia="仿宋" w:cs="仿宋"/>
          <w:color w:val="000000" w:themeColor="text1"/>
          <w:sz w:val="24"/>
        </w:rPr>
      </w:pPr>
      <w:r>
        <w:rPr>
          <w:rFonts w:hint="eastAsia" w:ascii="仿宋" w:hAnsi="仿宋" w:eastAsia="仿宋" w:cs="仿宋"/>
          <w:color w:val="000000" w:themeColor="text1"/>
          <w:sz w:val="24"/>
        </w:rPr>
        <w:t>（5）所有与符合性审查有关的资信文件（复印件）（营业执照、2020年度财务报表、纳税和社保缴纳证明</w:t>
      </w:r>
      <w:r>
        <w:rPr>
          <w:rFonts w:hint="eastAsia" w:ascii="仿宋" w:hAnsi="仿宋" w:eastAsia="仿宋" w:cs="仿宋"/>
          <w:color w:val="000000" w:themeColor="text1"/>
          <w:kern w:val="0"/>
          <w:sz w:val="24"/>
        </w:rPr>
        <w:t>）</w:t>
      </w:r>
      <w:r>
        <w:rPr>
          <w:rFonts w:hint="eastAsia" w:ascii="仿宋" w:hAnsi="仿宋" w:eastAsia="仿宋" w:cs="仿宋"/>
          <w:color w:val="000000" w:themeColor="text1"/>
          <w:lang w:val="zh-CN"/>
        </w:rPr>
        <w:t>………………………………………………………</w:t>
      </w:r>
      <w:r>
        <w:rPr>
          <w:rFonts w:hint="eastAsia" w:ascii="仿宋" w:hAnsi="仿宋" w:eastAsia="仿宋" w:cs="仿宋"/>
          <w:color w:val="000000" w:themeColor="text1"/>
        </w:rPr>
        <w:t>………………</w:t>
      </w:r>
      <w:r>
        <w:rPr>
          <w:rFonts w:hint="eastAsia" w:ascii="仿宋" w:hAnsi="仿宋" w:eastAsia="仿宋" w:cs="仿宋"/>
          <w:color w:val="000000" w:themeColor="text1"/>
          <w:lang w:val="zh-CN"/>
        </w:rPr>
        <w:t>…</w:t>
      </w:r>
      <w:r>
        <w:rPr>
          <w:rFonts w:hint="eastAsia" w:ascii="仿宋" w:hAnsi="仿宋" w:eastAsia="仿宋" w:cs="仿宋"/>
          <w:color w:val="000000" w:themeColor="text1"/>
          <w:kern w:val="0"/>
          <w:sz w:val="24"/>
        </w:rPr>
        <w:t>（页码）</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（6）具有履</w:t>
      </w:r>
      <w:r>
        <w:rPr>
          <w:rFonts w:hint="eastAsia" w:ascii="仿宋" w:hAnsi="仿宋" w:eastAsia="仿宋" w:cs="仿宋"/>
          <w:color w:val="000000" w:themeColor="text1"/>
          <w:kern w:val="0"/>
          <w:sz w:val="24"/>
        </w:rPr>
        <w:t>行合同所必需的设备和专业技术能力的承诺函……………</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pStyle w:val="78"/>
        <w:spacing w:line="288" w:lineRule="auto"/>
        <w:ind w:firstLine="0" w:firstLineChars="0"/>
        <w:rPr>
          <w:rFonts w:ascii="仿宋" w:eastAsia="仿宋" w:cs="仿宋"/>
          <w:color w:val="000000" w:themeColor="text1"/>
          <w:kern w:val="0"/>
        </w:rPr>
      </w:pPr>
      <w:r>
        <w:rPr>
          <w:rFonts w:hint="eastAsia" w:ascii="仿宋" w:eastAsia="仿宋" w:cs="仿宋"/>
          <w:color w:val="000000" w:themeColor="text1"/>
        </w:rPr>
        <w:t>（7）重大违法记录的声明</w:t>
      </w:r>
      <w:r>
        <w:rPr>
          <w:rFonts w:hint="eastAsia" w:ascii="仿宋" w:eastAsia="仿宋" w:cs="仿宋"/>
          <w:color w:val="000000" w:themeColor="text1"/>
          <w:kern w:val="0"/>
        </w:rPr>
        <w:t xml:space="preserve"> …</w:t>
      </w:r>
      <w:r>
        <w:rPr>
          <w:rFonts w:hint="eastAsia" w:ascii="仿宋" w:eastAsia="仿宋" w:cs="仿宋"/>
          <w:color w:val="000000" w:themeColor="text1"/>
        </w:rPr>
        <w:t>………………………………………………………</w:t>
      </w:r>
      <w:r>
        <w:rPr>
          <w:rFonts w:hint="eastAsia" w:ascii="仿宋" w:eastAsia="仿宋" w:cs="仿宋"/>
          <w:color w:val="000000" w:themeColor="text1"/>
          <w:kern w:val="0"/>
        </w:rPr>
        <w:t>（页码）</w:t>
      </w:r>
    </w:p>
    <w:p>
      <w:pPr>
        <w:pStyle w:val="78"/>
        <w:spacing w:line="288" w:lineRule="auto"/>
        <w:ind w:firstLine="0" w:firstLineChars="0"/>
        <w:rPr>
          <w:rFonts w:ascii="仿宋" w:eastAsia="仿宋" w:cs="仿宋"/>
          <w:color w:val="000000" w:themeColor="text1"/>
        </w:rPr>
      </w:pPr>
      <w:r>
        <w:rPr>
          <w:rFonts w:hint="eastAsia" w:ascii="仿宋" w:eastAsia="仿宋" w:cs="仿宋"/>
          <w:color w:val="000000" w:themeColor="text1"/>
        </w:rPr>
        <w:t>（8）符合特定资格条件（如果项目要求）的有关证明材料（复印件）…………（页码）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（9）</w:t>
      </w:r>
      <w:r>
        <w:rPr>
          <w:rFonts w:hint="eastAsia" w:ascii="仿宋" w:eastAsia="仿宋" w:cs="仿宋"/>
          <w:snapToGrid w:val="0"/>
          <w:color w:val="000000" w:themeColor="text1"/>
        </w:rPr>
        <w:t>非本地投标人售后服务机构证明材料</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（10）</w:t>
      </w:r>
      <w:r>
        <w:rPr>
          <w:rFonts w:hint="eastAsia" w:ascii="仿宋" w:eastAsia="仿宋" w:cs="仿宋"/>
          <w:color w:val="000000" w:themeColor="text1"/>
          <w:lang w:val="zh-CN"/>
        </w:rPr>
        <w:t>主要业绩证明…………………………………………………</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（11）廉政承诺书 ……………………………………………………………………（页码）</w:t>
      </w:r>
    </w:p>
    <w:p>
      <w:pPr>
        <w:spacing w:line="288" w:lineRule="auto"/>
        <w:outlineLvl w:val="0"/>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（12）技术解决方案…………………………………………………</w:t>
      </w:r>
      <w:r>
        <w:rPr>
          <w:rFonts w:hint="eastAsia" w:ascii="仿宋" w:hAnsi="仿宋" w:eastAsia="仿宋" w:cs="仿宋"/>
          <w:color w:val="000000" w:themeColor="text1"/>
        </w:rPr>
        <w:t>………………</w:t>
      </w:r>
      <w:r>
        <w:rPr>
          <w:rFonts w:hint="eastAsia" w:ascii="仿宋" w:hAnsi="仿宋" w:eastAsia="仿宋" w:cs="仿宋"/>
          <w:color w:val="000000" w:themeColor="text1"/>
          <w:kern w:val="0"/>
          <w:sz w:val="24"/>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kern w:val="0"/>
        </w:rPr>
        <w:t>（13）技术偏离说明表……………………</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（14）组织实施方案…………………………………………………………………（页码）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（15）售后服务方案…………………………………………………………………（页码）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（16）项目小组人员名单……………………………………………………………（页码）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（17）</w:t>
      </w:r>
      <w:r>
        <w:rPr>
          <w:rFonts w:hint="eastAsia" w:ascii="仿宋" w:eastAsia="仿宋" w:cs="仿宋"/>
          <w:color w:val="000000" w:themeColor="text1"/>
          <w:lang w:val="zh-CN"/>
        </w:rPr>
        <w:t>优惠条件及特殊承诺……………………………</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（18）</w:t>
      </w:r>
      <w:r>
        <w:rPr>
          <w:rFonts w:hint="eastAsia" w:ascii="仿宋" w:eastAsia="仿宋" w:cs="仿宋"/>
          <w:color w:val="000000" w:themeColor="text1"/>
          <w:lang w:val="zh-CN"/>
        </w:rPr>
        <w:t>备品备件及供选择的配套零部件清单………………………</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（19）</w:t>
      </w:r>
      <w:r>
        <w:rPr>
          <w:rFonts w:hint="eastAsia" w:ascii="仿宋" w:eastAsia="仿宋" w:cs="仿宋"/>
          <w:color w:val="000000" w:themeColor="text1"/>
          <w:lang w:val="zh-CN"/>
        </w:rPr>
        <w:t>培训计划……………………………………………</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（20）</w:t>
      </w:r>
      <w:r>
        <w:rPr>
          <w:rFonts w:hint="eastAsia" w:ascii="仿宋" w:eastAsia="仿宋" w:cs="仿宋"/>
          <w:color w:val="000000" w:themeColor="text1"/>
          <w:lang w:val="zh-CN"/>
        </w:rPr>
        <w:t>验收方案………………………………………………</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pStyle w:val="78"/>
        <w:spacing w:line="288" w:lineRule="auto"/>
        <w:ind w:left="0" w:firstLine="0" w:firstLineChars="0"/>
        <w:rPr>
          <w:rFonts w:ascii="仿宋" w:eastAsia="仿宋" w:cs="仿宋"/>
          <w:color w:val="000000" w:themeColor="text1"/>
        </w:rPr>
      </w:pPr>
      <w:r>
        <w:rPr>
          <w:rFonts w:hint="eastAsia" w:ascii="仿宋" w:eastAsia="仿宋" w:cs="仿宋"/>
          <w:color w:val="000000" w:themeColor="text1"/>
        </w:rPr>
        <w:t>（21）</w:t>
      </w:r>
      <w:r>
        <w:rPr>
          <w:rFonts w:hint="eastAsia" w:ascii="仿宋" w:eastAsia="仿宋" w:cs="仿宋"/>
          <w:color w:val="000000" w:themeColor="text1"/>
          <w:lang w:val="zh-CN"/>
        </w:rPr>
        <w:t>认为需要的其他商务技术（资信）文件或说明………………</w:t>
      </w:r>
      <w:r>
        <w:rPr>
          <w:rFonts w:hint="eastAsia" w:ascii="仿宋" w:eastAsia="仿宋" w:cs="仿宋"/>
          <w:color w:val="000000" w:themeColor="text1"/>
        </w:rPr>
        <w:t>…………</w:t>
      </w:r>
      <w:r>
        <w:rPr>
          <w:rFonts w:hint="eastAsia" w:ascii="仿宋" w:eastAsia="仿宋" w:cs="仿宋"/>
          <w:color w:val="000000" w:themeColor="text1"/>
          <w:lang w:val="zh-CN"/>
        </w:rPr>
        <w:t>…</w:t>
      </w:r>
      <w:r>
        <w:rPr>
          <w:rFonts w:hint="eastAsia" w:ascii="仿宋" w:eastAsia="仿宋" w:cs="仿宋"/>
          <w:color w:val="000000" w:themeColor="text1"/>
        </w:rPr>
        <w:t>（页码）</w:t>
      </w:r>
    </w:p>
    <w:p>
      <w:pPr>
        <w:snapToGrid w:val="0"/>
        <w:spacing w:line="288" w:lineRule="auto"/>
        <w:rPr>
          <w:rFonts w:ascii="仿宋" w:hAnsi="仿宋" w:eastAsia="仿宋" w:cs="仿宋"/>
          <w:sz w:val="24"/>
        </w:rPr>
      </w:pPr>
      <w:r>
        <w:rPr>
          <w:rFonts w:hint="eastAsia" w:ascii="仿宋" w:hAnsi="仿宋" w:eastAsia="仿宋" w:cs="仿宋"/>
          <w:b/>
          <w:bCs/>
          <w:color w:val="000000" w:themeColor="text1"/>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lang w:eastAsia="zh-CN"/>
        </w:rPr>
        <w:t>绍兴科技馆</w:t>
      </w:r>
      <w:r>
        <w:rPr>
          <w:rFonts w:hint="eastAsia" w:ascii="仿宋" w:hAnsi="仿宋" w:eastAsia="仿宋" w:cs="仿宋"/>
          <w:sz w:val="24"/>
          <w:u w:val="single"/>
        </w:rPr>
        <w:t>、耀华建设管理有限公司</w:t>
      </w:r>
      <w:r>
        <w:rPr>
          <w:rFonts w:hint="eastAsia" w:ascii="仿宋" w:hAnsi="仿宋" w:eastAsia="仿宋" w:cs="仿宋"/>
          <w:sz w:val="24"/>
        </w:rPr>
        <w:t>组织的</w:t>
      </w:r>
      <w:r>
        <w:rPr>
          <w:rFonts w:hint="eastAsia" w:ascii="仿宋" w:hAnsi="仿宋" w:eastAsia="仿宋" w:cs="仿宋"/>
          <w:sz w:val="24"/>
          <w:u w:val="single"/>
          <w:lang w:eastAsia="zh-CN"/>
        </w:rPr>
        <w:t>2021年度全馆展品展项年度维保服务采购项目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5、与符合性审查有关的资信文件（复印件）</w:t>
      </w:r>
      <w:r>
        <w:rPr>
          <w:rFonts w:hint="eastAsia" w:ascii="仿宋" w:hAnsi="仿宋" w:eastAsia="仿宋" w:cs="仿宋"/>
          <w:b/>
          <w:sz w:val="28"/>
          <w:szCs w:val="28"/>
        </w:rPr>
        <w:t>（1</w:t>
      </w:r>
      <w:r>
        <w:rPr>
          <w:rFonts w:hint="eastAsia" w:ascii="仿宋" w:hAnsi="仿宋" w:eastAsia="仿宋" w:cs="仿宋"/>
          <w:b/>
          <w:kern w:val="0"/>
          <w:sz w:val="28"/>
          <w:szCs w:val="28"/>
          <w:lang w:val="zh-CN"/>
        </w:rPr>
        <w:t>.</w:t>
      </w:r>
      <w:r>
        <w:rPr>
          <w:rFonts w:hint="eastAsia" w:ascii="仿宋" w:hAnsi="仿宋" w:eastAsia="仿宋" w:cs="仿宋"/>
          <w:b/>
          <w:sz w:val="28"/>
          <w:szCs w:val="28"/>
        </w:rPr>
        <w:t>营业执照（或事业法人登记证或其他登记证明材料）（复印件）；2.财务报表资料文件（2020年度资产负债表等财务报表资料文件(新成立的公司，提供情况说明，格式自拟)）；3.提供依法缴纳税收和社会保障资金的良好记录证明，税收和社保证明打印时间不得早于投标截止时间前1个月；4.其他资料由投标人根据采购需求及招标文件要求编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6、具有履行合同所必需的设备和专业技术能力的承诺函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lang w:eastAsia="zh-CN"/>
        </w:rPr>
        <w:t>绍兴科技馆</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w:t>
      </w:r>
      <w:r>
        <w:rPr>
          <w:rFonts w:hint="eastAsia" w:ascii="仿宋" w:hAnsi="仿宋" w:eastAsia="仿宋" w:cs="仿宋"/>
          <w:sz w:val="24"/>
          <w:lang w:eastAsia="zh-CN"/>
        </w:rPr>
        <w:t>绍兴科技馆2021年度全馆展品展项年度维保服务采购项目</w:t>
      </w:r>
      <w:r>
        <w:rPr>
          <w:rFonts w:hint="eastAsia" w:ascii="仿宋" w:hAnsi="仿宋" w:eastAsia="仿宋" w:cs="仿宋"/>
          <w:sz w:val="24"/>
        </w:rPr>
        <w:t>（招标编号:      ）合同所必需的设备和专业技术能力。如中标，我方将保证合同顺利履行。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7、重大违法记录的声明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lang w:eastAsia="zh-CN"/>
        </w:rPr>
        <w:t>绍兴科技馆</w:t>
      </w:r>
      <w:r>
        <w:rPr>
          <w:rFonts w:hint="eastAsia" w:ascii="仿宋" w:hAnsi="仿宋" w:eastAsia="仿宋" w:cs="仿宋"/>
          <w:sz w:val="24"/>
        </w:rPr>
        <w:t>、耀华建设管理有限公司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trike/>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8、特定资格条件要求的资质文件（复印件）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9、非本地投标人售后服务机构证明材料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10、</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6"/>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79"/>
        <w:ind w:firstLine="0"/>
        <w:jc w:val="both"/>
        <w:rPr>
          <w:rFonts w:ascii="仿宋" w:eastAsia="仿宋" w:cs="仿宋"/>
        </w:rPr>
      </w:pPr>
    </w:p>
    <w:p>
      <w:pPr>
        <w:pStyle w:val="79"/>
        <w:ind w:firstLine="0"/>
        <w:jc w:val="both"/>
        <w:rPr>
          <w:rFonts w:ascii="仿宋" w:eastAsia="仿宋" w:cs="仿宋"/>
        </w:rPr>
      </w:pPr>
    </w:p>
    <w:p>
      <w:pPr>
        <w:pStyle w:val="79"/>
        <w:pageBreakBefore/>
        <w:ind w:firstLine="0"/>
        <w:jc w:val="both"/>
        <w:rPr>
          <w:rFonts w:ascii="仿宋" w:eastAsia="仿宋" w:cs="仿宋"/>
        </w:rPr>
      </w:pPr>
      <w:r>
        <w:rPr>
          <w:rFonts w:hint="eastAsia" w:ascii="仿宋" w:eastAsia="仿宋" w:cs="仿宋"/>
        </w:rPr>
        <w:t>11、廉政承诺书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lang w:eastAsia="zh-CN"/>
        </w:rPr>
        <w:t>绍兴科技馆</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FF0000"/>
          <w:kern w:val="0"/>
          <w:sz w:val="24"/>
          <w:lang w:val="zh-CN"/>
        </w:rPr>
      </w:pPr>
      <w:r>
        <w:rPr>
          <w:rFonts w:hint="eastAsia" w:ascii="仿宋" w:hAnsi="仿宋" w:eastAsia="仿宋" w:cs="仿宋"/>
          <w:kern w:val="0"/>
          <w:sz w:val="24"/>
          <w:lang w:val="zh-CN"/>
        </w:rPr>
        <w:t>六、严格遵守政府采购法等法律，诚实守信，合法经营，坚决抵制各种违法违纪行为。</w:t>
      </w:r>
      <w:r>
        <w:rPr>
          <w:rFonts w:hint="eastAsia" w:ascii="仿宋" w:hAnsi="仿宋" w:eastAsia="仿宋" w:cs="仿宋"/>
          <w:color w:val="FF0000"/>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12、技术解决方案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6"/>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仿宋" w:hAnsi="仿宋" w:eastAsia="仿宋" w:cs="仿宋"/>
          <w:b/>
          <w:kern w:val="0"/>
          <w:sz w:val="28"/>
          <w:szCs w:val="28"/>
        </w:rPr>
        <w:object>
          <v:shape id="_x0000_i1026" o:spt="75" type="#_x0000_t75" style="height:42pt;width:443.2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13、技术偏离说明表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6"/>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288"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w:t>
      </w:r>
      <w:r>
        <w:rPr>
          <w:rFonts w:hint="eastAsia" w:ascii="仿宋" w:hAnsi="仿宋" w:eastAsia="仿宋" w:cs="仿宋"/>
          <w:b/>
          <w:bCs/>
          <w:kern w:val="0"/>
          <w:sz w:val="32"/>
          <w:szCs w:val="32"/>
        </w:rPr>
        <w:t>4</w:t>
      </w:r>
      <w:r>
        <w:rPr>
          <w:rFonts w:hint="eastAsia" w:ascii="仿宋" w:hAnsi="仿宋" w:eastAsia="仿宋" w:cs="仿宋"/>
          <w:b/>
          <w:bCs/>
          <w:kern w:val="0"/>
          <w:sz w:val="32"/>
          <w:szCs w:val="32"/>
          <w:lang w:val="zh-CN"/>
        </w:rPr>
        <w:t>、组织实施方案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288"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26"/>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  工作日</w:t>
            </w:r>
          </w:p>
          <w:p>
            <w:pPr>
              <w:spacing w:line="288" w:lineRule="auto"/>
              <w:rPr>
                <w:rFonts w:ascii="仿宋" w:hAnsi="仿宋" w:eastAsia="仿宋" w:cs="仿宋"/>
                <w:sz w:val="24"/>
              </w:rPr>
            </w:pPr>
            <w:r>
              <w:rPr>
                <w:rFonts w:hint="eastAsia" w:ascii="仿宋" w:hAnsi="仿宋" w:eastAsia="仿宋" w:cs="仿宋"/>
                <w:sz w:val="24"/>
              </w:rPr>
              <w:t>内容</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1</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2</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3</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4</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5</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6</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7</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8</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9</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10</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11</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12</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13</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14</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15</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15、售后服务方案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26"/>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spacing w:line="288" w:lineRule="auto"/>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26"/>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pageBreakBefore/>
        <w:spacing w:line="288" w:lineRule="auto"/>
        <w:rPr>
          <w:rFonts w:ascii="仿宋" w:hAnsi="仿宋" w:eastAsia="仿宋" w:cs="仿宋"/>
          <w:b/>
          <w:bCs/>
          <w:sz w:val="32"/>
          <w:szCs w:val="32"/>
        </w:rPr>
      </w:pPr>
      <w:r>
        <w:rPr>
          <w:rFonts w:hint="eastAsia" w:ascii="仿宋" w:hAnsi="仿宋" w:eastAsia="仿宋" w:cs="仿宋"/>
          <w:b/>
          <w:bCs/>
          <w:sz w:val="32"/>
          <w:szCs w:val="32"/>
        </w:rPr>
        <w:t>16、项目小组人员名单</w:t>
      </w:r>
    </w:p>
    <w:p>
      <w:pPr>
        <w:spacing w:line="288"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26"/>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26"/>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注：投标人可按上述的格式自行编制，须随表提交相应的证书复印件并注明所在投标商务技术（资信）文件页码。</w:t>
      </w:r>
    </w:p>
    <w:p>
      <w:pPr>
        <w:spacing w:line="288" w:lineRule="auto"/>
        <w:rPr>
          <w:rFonts w:ascii="仿宋" w:hAnsi="仿宋" w:eastAsia="仿宋" w:cs="仿宋"/>
          <w:b/>
          <w:bCs/>
          <w:sz w:val="24"/>
        </w:rPr>
      </w:pPr>
      <w:r>
        <w:rPr>
          <w:rFonts w:hint="eastAsia" w:ascii="仿宋" w:hAnsi="仿宋" w:eastAsia="仿宋" w:cs="仿宋"/>
          <w:b/>
          <w:sz w:val="24"/>
        </w:rPr>
        <w:t>附表C:本项目的项目经理和小组人员提供近3个月交纳社保记录情况表</w:t>
      </w:r>
      <w:r>
        <w:rPr>
          <w:rFonts w:hint="eastAsia" w:ascii="仿宋" w:hAnsi="仿宋" w:eastAsia="仿宋" w:cs="仿宋"/>
          <w:sz w:val="24"/>
        </w:rPr>
        <w:t>（以社保局缴纳凭证作附件）</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17、</w:t>
      </w:r>
      <w:r>
        <w:rPr>
          <w:rFonts w:hint="eastAsia" w:ascii="仿宋" w:hAnsi="仿宋" w:eastAsia="仿宋" w:cs="仿宋"/>
          <w:b/>
          <w:kern w:val="0"/>
          <w:sz w:val="32"/>
          <w:szCs w:val="32"/>
          <w:lang w:val="zh-CN"/>
        </w:rPr>
        <w:t>优惠条件及特殊承诺</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18"/>
          <w:szCs w:val="18"/>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18"/>
          <w:szCs w:val="18"/>
        </w:rPr>
      </w:pPr>
    </w:p>
    <w:p>
      <w:pPr>
        <w:spacing w:line="288" w:lineRule="auto"/>
        <w:rPr>
          <w:rFonts w:ascii="仿宋" w:hAnsi="仿宋" w:eastAsia="仿宋" w:cs="仿宋"/>
          <w:b/>
          <w:bCs/>
          <w:sz w:val="32"/>
          <w:szCs w:val="32"/>
        </w:rPr>
      </w:pPr>
    </w:p>
    <w:p>
      <w:pPr>
        <w:spacing w:line="288" w:lineRule="auto"/>
        <w:rPr>
          <w:rFonts w:ascii="仿宋" w:hAnsi="仿宋" w:eastAsia="仿宋" w:cs="仿宋"/>
          <w:b/>
          <w:bCs/>
          <w:sz w:val="32"/>
          <w:szCs w:val="32"/>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18、</w:t>
      </w:r>
      <w:r>
        <w:rPr>
          <w:rFonts w:hint="eastAsia" w:ascii="仿宋" w:hAnsi="仿宋" w:eastAsia="仿宋" w:cs="仿宋"/>
          <w:b/>
          <w:kern w:val="0"/>
          <w:sz w:val="32"/>
          <w:szCs w:val="32"/>
          <w:lang w:val="zh-CN"/>
        </w:rPr>
        <w:t>备品备件及供选择的配套零部件清单</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19、</w:t>
      </w:r>
      <w:r>
        <w:rPr>
          <w:rFonts w:hint="eastAsia" w:ascii="仿宋" w:hAnsi="仿宋" w:eastAsia="仿宋" w:cs="仿宋"/>
          <w:b/>
          <w:kern w:val="0"/>
          <w:sz w:val="32"/>
          <w:szCs w:val="32"/>
          <w:lang w:val="zh-CN"/>
        </w:rPr>
        <w:t>培训计划</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288"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26"/>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288"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288"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课程概要</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课程目的</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教学方式</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先决条件</w:t>
      </w:r>
    </w:p>
    <w:p>
      <w:pPr>
        <w:numPr>
          <w:ilvl w:val="0"/>
          <w:numId w:val="6"/>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教材目录</w:t>
      </w:r>
    </w:p>
    <w:p>
      <w:pPr>
        <w:autoSpaceDE w:val="0"/>
        <w:autoSpaceDN w:val="0"/>
        <w:spacing w:line="288"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autoSpaceDE w:val="0"/>
        <w:autoSpaceDN w:val="0"/>
        <w:spacing w:line="288" w:lineRule="auto"/>
        <w:ind w:firstLine="120"/>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24"/>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20、验收方案</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jc w:val="center"/>
        <w:rPr>
          <w:rFonts w:ascii="仿宋" w:hAnsi="仿宋" w:eastAsia="仿宋" w:cs="仿宋"/>
          <w:sz w:val="24"/>
        </w:rPr>
      </w:pP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(签字或盖章)</w:t>
      </w:r>
      <w:r>
        <w:rPr>
          <w:rFonts w:hint="eastAsia" w:ascii="仿宋" w:hAnsi="仿宋" w:eastAsia="仿宋" w:cs="仿宋"/>
          <w:kern w:val="0"/>
          <w:sz w:val="24"/>
        </w:rPr>
        <w:t xml:space="preserve">：                   </w:t>
      </w:r>
    </w:p>
    <w:p>
      <w:pPr>
        <w:spacing w:line="288" w:lineRule="auto"/>
        <w:jc w:val="center"/>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kern w:val="0"/>
          <w:sz w:val="24"/>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21、认为需要的</w:t>
      </w:r>
      <w:r>
        <w:rPr>
          <w:rFonts w:hint="eastAsia" w:ascii="仿宋" w:hAnsi="仿宋" w:eastAsia="仿宋" w:cs="仿宋"/>
          <w:b/>
          <w:kern w:val="0"/>
          <w:sz w:val="32"/>
          <w:szCs w:val="32"/>
          <w:lang w:val="zh-CN"/>
        </w:rPr>
        <w:t>其他商务技术（资信）文件或说明</w:t>
      </w:r>
    </w:p>
    <w:p>
      <w:pPr>
        <w:spacing w:line="288"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288" w:lineRule="auto"/>
        <w:rPr>
          <w:rFonts w:ascii="仿宋" w:hAnsi="仿宋" w:eastAsia="仿宋" w:cs="仿宋"/>
          <w:kern w:val="0"/>
          <w:sz w:val="24"/>
          <w:lang w:val="zh-CN"/>
        </w:rPr>
      </w:pP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(签字或盖章)</w:t>
      </w:r>
      <w:r>
        <w:rPr>
          <w:rFonts w:hint="eastAsia" w:ascii="仿宋" w:hAnsi="仿宋" w:eastAsia="仿宋" w:cs="仿宋"/>
          <w:kern w:val="0"/>
          <w:sz w:val="24"/>
          <w:lang w:val="zh-CN"/>
        </w:rPr>
        <w:t xml:space="preserve">： </w:t>
      </w:r>
    </w:p>
    <w:p>
      <w:pPr>
        <w:spacing w:line="288" w:lineRule="auto"/>
        <w:jc w:val="right"/>
        <w:rPr>
          <w:rFonts w:ascii="仿宋" w:hAnsi="仿宋" w:eastAsia="仿宋" w:cs="仿宋"/>
          <w:kern w:val="0"/>
          <w:sz w:val="24"/>
          <w:lang w:val="zh-CN"/>
        </w:rPr>
      </w:pPr>
      <w:r>
        <w:rPr>
          <w:rFonts w:hint="eastAsia" w:ascii="仿宋" w:hAnsi="仿宋" w:eastAsia="仿宋" w:cs="仿宋"/>
          <w:sz w:val="24"/>
        </w:rPr>
        <w:t>日期： 年 月 日</w:t>
      </w:r>
    </w:p>
    <w:p/>
    <w:p>
      <w:pPr>
        <w:spacing w:line="288" w:lineRule="auto"/>
        <w:jc w:val="right"/>
        <w:rPr>
          <w:rFonts w:ascii="仿宋" w:hAnsi="仿宋" w:eastAsia="仿宋" w:cs="仿宋"/>
          <w:kern w:val="0"/>
          <w:sz w:val="24"/>
          <w:lang w:val="zh-CN"/>
        </w:rPr>
      </w:pPr>
    </w:p>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libri Light">
    <w:altName w:val="Calibri"/>
    <w:panose1 w:val="020F0302020204030204"/>
    <w:charset w:val="00"/>
    <w:family w:val="swiss"/>
    <w:pitch w:val="default"/>
    <w:sig w:usb0="00000000" w:usb1="00000000" w:usb2="00000009" w:usb3="00000000" w:csb0="000001FF" w:csb1="0000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w:panose1 w:val="020B0602030504020204"/>
    <w:charset w:val="00"/>
    <w:family w:val="swiss"/>
    <w:pitch w:val="default"/>
    <w:sig w:usb0="00000003" w:usb1="00000000" w:usb2="00000000" w:usb3="00000000" w:csb0="2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auto"/>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pict>
        <v:shape id="Text Box 1025" o:spid="_x0000_s4097" o:spt="202" type="#_x0000_t202" style="position:absolute;left:0pt;margin-top:0pt;height:11.65pt;width:31.55pt;mso-position-horizontal:center;mso-position-horizontal-relative:margin;mso-wrap-style:none;z-index:251659264;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UOo8tEAAAADAQAADwAAAAAA&#10;AAABACAAAAAiAAAAZHJzL2Rvd25yZXYueG1sUEsBAhQAFAAAAAgAh07iQKUO8LfhAQAAtgMAAA4A&#10;AAAAAAAAAQAgAAAAIAEAAGRycy9lMm9Eb2MueG1sUEsFBgAAAAAGAAYAWQEAAHMFAAAAAA==&#10;">
          <v:path/>
          <v:fill on="f" focussize="0,0"/>
          <v:stroke on="f" joinstyle="miter"/>
          <v:imagedata o:title=""/>
          <o:lock v:ext="edit"/>
          <v:textbox inset="0mm,0mm,0mm,0mm" style="mso-fit-shape-to-text:t;">
            <w:txbxContent>
              <w:p>
                <w:pPr>
                  <w:pStyle w:val="18"/>
                </w:pPr>
                <w:r>
                  <w:rPr>
                    <w:rFonts w:hint="eastAsia"/>
                  </w:rPr>
                  <w:t>第</w:t>
                </w:r>
                <w:r>
                  <w:fldChar w:fldCharType="begin"/>
                </w:r>
                <w:r>
                  <w:instrText xml:space="preserve"> PAGE  \* MERGEFORMAT </w:instrText>
                </w:r>
                <w:r>
                  <w:fldChar w:fldCharType="separate"/>
                </w:r>
                <w:r>
                  <w:t>30</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right" w:y="1"/>
      <w:rPr>
        <w:rStyle w:val="30"/>
        <w:rFonts w:cs="Arial"/>
        <w:sz w:val="18"/>
        <w:szCs w:val="21"/>
      </w:rPr>
    </w:pPr>
    <w:r>
      <w:rPr>
        <w:rStyle w:val="30"/>
        <w:rFonts w:cs="Arial"/>
        <w:sz w:val="18"/>
        <w:szCs w:val="21"/>
      </w:rPr>
      <w:fldChar w:fldCharType="begin"/>
    </w:r>
    <w:r>
      <w:rPr>
        <w:rStyle w:val="30"/>
        <w:rFonts w:cs="Arial"/>
        <w:sz w:val="18"/>
        <w:szCs w:val="21"/>
      </w:rPr>
      <w:instrText xml:space="preserve">PAGE  </w:instrText>
    </w:r>
    <w:r>
      <w:rPr>
        <w:rStyle w:val="30"/>
        <w:rFonts w:cs="Arial"/>
        <w:sz w:val="18"/>
        <w:szCs w:val="21"/>
      </w:rPr>
      <w:fldChar w:fldCharType="end"/>
    </w:r>
  </w:p>
  <w:p>
    <w:pPr>
      <w:pStyle w:val="1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91"/>
      <w:lvlText w:val="%1."/>
      <w:lvlJc w:val="left"/>
      <w:pPr>
        <w:tabs>
          <w:tab w:val="left" w:pos="1200"/>
        </w:tabs>
        <w:ind w:left="1200" w:leftChars="400" w:hanging="360" w:hangingChars="200"/>
      </w:pPr>
    </w:lvl>
  </w:abstractNum>
  <w:abstractNum w:abstractNumId="1">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5A02C129"/>
    <w:multiLevelType w:val="singleLevel"/>
    <w:tmpl w:val="5A02C129"/>
    <w:lvl w:ilvl="0" w:tentative="0">
      <w:start w:val="1"/>
      <w:numFmt w:val="decimal"/>
      <w:pStyle w:val="7"/>
      <w:lvlText w:val="%1."/>
      <w:lvlJc w:val="left"/>
      <w:pPr>
        <w:tabs>
          <w:tab w:val="left" w:pos="780"/>
        </w:tabs>
        <w:ind w:left="780" w:hanging="360"/>
      </w:pPr>
      <w:rPr>
        <w:rFonts w:cs="Times New Roman"/>
      </w:rPr>
    </w:lvl>
  </w:abstractNum>
  <w:abstractNum w:abstractNumId="3">
    <w:nsid w:val="5A02C13F"/>
    <w:multiLevelType w:val="singleLevel"/>
    <w:tmpl w:val="5A02C13F"/>
    <w:lvl w:ilvl="0" w:tentative="0">
      <w:start w:val="1"/>
      <w:numFmt w:val="decimal"/>
      <w:pStyle w:val="8"/>
      <w:lvlText w:val="%1."/>
      <w:lvlJc w:val="left"/>
      <w:pPr>
        <w:tabs>
          <w:tab w:val="left" w:pos="360"/>
        </w:tabs>
        <w:ind w:left="360" w:hanging="360"/>
      </w:pPr>
      <w:rPr>
        <w:rFonts w:cs="Times New Roman"/>
      </w:rPr>
    </w:lvl>
  </w:abstractNum>
  <w:abstractNum w:abstractNumId="4">
    <w:nsid w:val="5A02C160"/>
    <w:multiLevelType w:val="singleLevel"/>
    <w:tmpl w:val="5A02C160"/>
    <w:lvl w:ilvl="0" w:tentative="0">
      <w:start w:val="1"/>
      <w:numFmt w:val="decimal"/>
      <w:pStyle w:val="13"/>
      <w:lvlText w:val="%1."/>
      <w:lvlJc w:val="left"/>
      <w:pPr>
        <w:tabs>
          <w:tab w:val="left" w:pos="1200"/>
        </w:tabs>
        <w:ind w:left="1200" w:hanging="360"/>
      </w:pPr>
      <w:rPr>
        <w:rFonts w:cs="Times New Roman"/>
      </w:rPr>
    </w:lvl>
  </w:abstractNum>
  <w:abstractNum w:abstractNumId="5">
    <w:nsid w:val="5CB017FC"/>
    <w:multiLevelType w:val="multilevel"/>
    <w:tmpl w:val="5CB017FC"/>
    <w:lvl w:ilvl="0" w:tentative="0">
      <w:start w:val="1"/>
      <w:numFmt w:val="decimal"/>
      <w:pStyle w:val="2"/>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0E05"/>
    <w:rsid w:val="000040C1"/>
    <w:rsid w:val="00004555"/>
    <w:rsid w:val="00012685"/>
    <w:rsid w:val="00017DAE"/>
    <w:rsid w:val="0002017B"/>
    <w:rsid w:val="0002428C"/>
    <w:rsid w:val="00024AD2"/>
    <w:rsid w:val="00030F1E"/>
    <w:rsid w:val="00042AE2"/>
    <w:rsid w:val="00050028"/>
    <w:rsid w:val="00051731"/>
    <w:rsid w:val="00055CDF"/>
    <w:rsid w:val="0006767A"/>
    <w:rsid w:val="00067735"/>
    <w:rsid w:val="00072A6B"/>
    <w:rsid w:val="0007439E"/>
    <w:rsid w:val="00080F79"/>
    <w:rsid w:val="000813EC"/>
    <w:rsid w:val="00093879"/>
    <w:rsid w:val="00094A82"/>
    <w:rsid w:val="000C38DF"/>
    <w:rsid w:val="000D2908"/>
    <w:rsid w:val="000D5692"/>
    <w:rsid w:val="000D7240"/>
    <w:rsid w:val="000F70F7"/>
    <w:rsid w:val="00114135"/>
    <w:rsid w:val="0012034D"/>
    <w:rsid w:val="0012425A"/>
    <w:rsid w:val="001311E4"/>
    <w:rsid w:val="00142376"/>
    <w:rsid w:val="0014517B"/>
    <w:rsid w:val="001559EF"/>
    <w:rsid w:val="001570A5"/>
    <w:rsid w:val="00171C91"/>
    <w:rsid w:val="0017463C"/>
    <w:rsid w:val="001814F1"/>
    <w:rsid w:val="0018495F"/>
    <w:rsid w:val="001A1325"/>
    <w:rsid w:val="001A687C"/>
    <w:rsid w:val="001A7144"/>
    <w:rsid w:val="001B3B8E"/>
    <w:rsid w:val="001D1DA3"/>
    <w:rsid w:val="001E5FDC"/>
    <w:rsid w:val="001E78A2"/>
    <w:rsid w:val="001F02A1"/>
    <w:rsid w:val="00217753"/>
    <w:rsid w:val="00220DF0"/>
    <w:rsid w:val="0023053A"/>
    <w:rsid w:val="0023098F"/>
    <w:rsid w:val="002322BF"/>
    <w:rsid w:val="0023264D"/>
    <w:rsid w:val="00236AB9"/>
    <w:rsid w:val="002476B8"/>
    <w:rsid w:val="00251CE8"/>
    <w:rsid w:val="00261F2A"/>
    <w:rsid w:val="00262064"/>
    <w:rsid w:val="00262448"/>
    <w:rsid w:val="00273B10"/>
    <w:rsid w:val="00275656"/>
    <w:rsid w:val="00286944"/>
    <w:rsid w:val="00294D3C"/>
    <w:rsid w:val="002A2838"/>
    <w:rsid w:val="002A2E37"/>
    <w:rsid w:val="002B2B5E"/>
    <w:rsid w:val="002B54E5"/>
    <w:rsid w:val="002B67ED"/>
    <w:rsid w:val="002B6E84"/>
    <w:rsid w:val="002B77DD"/>
    <w:rsid w:val="002C0AB1"/>
    <w:rsid w:val="002F25A8"/>
    <w:rsid w:val="0031163B"/>
    <w:rsid w:val="00330C22"/>
    <w:rsid w:val="003403EB"/>
    <w:rsid w:val="003411E7"/>
    <w:rsid w:val="00345DE3"/>
    <w:rsid w:val="003542AC"/>
    <w:rsid w:val="00387522"/>
    <w:rsid w:val="003A2766"/>
    <w:rsid w:val="003A5C0F"/>
    <w:rsid w:val="003B2510"/>
    <w:rsid w:val="003B25FB"/>
    <w:rsid w:val="003B5CB4"/>
    <w:rsid w:val="003D237E"/>
    <w:rsid w:val="003D2443"/>
    <w:rsid w:val="003F0B46"/>
    <w:rsid w:val="003F5CF0"/>
    <w:rsid w:val="003F73CE"/>
    <w:rsid w:val="00412A3B"/>
    <w:rsid w:val="0042535C"/>
    <w:rsid w:val="0043244B"/>
    <w:rsid w:val="00432DDD"/>
    <w:rsid w:val="00440162"/>
    <w:rsid w:val="0044140D"/>
    <w:rsid w:val="00450F81"/>
    <w:rsid w:val="00455CD4"/>
    <w:rsid w:val="00455DAB"/>
    <w:rsid w:val="00461886"/>
    <w:rsid w:val="00465752"/>
    <w:rsid w:val="00467496"/>
    <w:rsid w:val="00467DC5"/>
    <w:rsid w:val="004706A2"/>
    <w:rsid w:val="00481099"/>
    <w:rsid w:val="0048467F"/>
    <w:rsid w:val="0048770F"/>
    <w:rsid w:val="0049223A"/>
    <w:rsid w:val="004B065D"/>
    <w:rsid w:val="004C0A50"/>
    <w:rsid w:val="004C27D1"/>
    <w:rsid w:val="004D6606"/>
    <w:rsid w:val="004E47C3"/>
    <w:rsid w:val="004E6356"/>
    <w:rsid w:val="004F2C71"/>
    <w:rsid w:val="004F3245"/>
    <w:rsid w:val="0050684D"/>
    <w:rsid w:val="005117F3"/>
    <w:rsid w:val="005213B8"/>
    <w:rsid w:val="00522EF7"/>
    <w:rsid w:val="0052572A"/>
    <w:rsid w:val="005257A9"/>
    <w:rsid w:val="00530F7C"/>
    <w:rsid w:val="00532CC9"/>
    <w:rsid w:val="00545306"/>
    <w:rsid w:val="00547532"/>
    <w:rsid w:val="005656CD"/>
    <w:rsid w:val="00566429"/>
    <w:rsid w:val="00570C24"/>
    <w:rsid w:val="0058125A"/>
    <w:rsid w:val="00583589"/>
    <w:rsid w:val="00590683"/>
    <w:rsid w:val="005A4AFA"/>
    <w:rsid w:val="005A64B3"/>
    <w:rsid w:val="005B52EC"/>
    <w:rsid w:val="005C0BB4"/>
    <w:rsid w:val="005D6812"/>
    <w:rsid w:val="005E1BF3"/>
    <w:rsid w:val="005E3D8E"/>
    <w:rsid w:val="00602260"/>
    <w:rsid w:val="006313C5"/>
    <w:rsid w:val="00633DF9"/>
    <w:rsid w:val="00636FED"/>
    <w:rsid w:val="00637621"/>
    <w:rsid w:val="006418DD"/>
    <w:rsid w:val="006451AB"/>
    <w:rsid w:val="006543AB"/>
    <w:rsid w:val="00663D9D"/>
    <w:rsid w:val="006815CE"/>
    <w:rsid w:val="006843A0"/>
    <w:rsid w:val="006940CC"/>
    <w:rsid w:val="006A4D37"/>
    <w:rsid w:val="006B047E"/>
    <w:rsid w:val="006D2193"/>
    <w:rsid w:val="006E080D"/>
    <w:rsid w:val="006E75F4"/>
    <w:rsid w:val="006F5A9E"/>
    <w:rsid w:val="006F7DA5"/>
    <w:rsid w:val="007030D1"/>
    <w:rsid w:val="00706826"/>
    <w:rsid w:val="00720ACD"/>
    <w:rsid w:val="00721DEB"/>
    <w:rsid w:val="00723CE8"/>
    <w:rsid w:val="00734EA9"/>
    <w:rsid w:val="00741A2B"/>
    <w:rsid w:val="00755F5F"/>
    <w:rsid w:val="0075665F"/>
    <w:rsid w:val="00762D7F"/>
    <w:rsid w:val="00766BFA"/>
    <w:rsid w:val="0078125A"/>
    <w:rsid w:val="007A150E"/>
    <w:rsid w:val="007A32A7"/>
    <w:rsid w:val="007B3644"/>
    <w:rsid w:val="007B364B"/>
    <w:rsid w:val="007B7DB8"/>
    <w:rsid w:val="007C3048"/>
    <w:rsid w:val="007D3ADA"/>
    <w:rsid w:val="007D534C"/>
    <w:rsid w:val="007D74F8"/>
    <w:rsid w:val="007E3668"/>
    <w:rsid w:val="007E571E"/>
    <w:rsid w:val="007F3B1E"/>
    <w:rsid w:val="00801A53"/>
    <w:rsid w:val="0082182E"/>
    <w:rsid w:val="00825E11"/>
    <w:rsid w:val="0084468D"/>
    <w:rsid w:val="00851A0E"/>
    <w:rsid w:val="00851D0E"/>
    <w:rsid w:val="00851E94"/>
    <w:rsid w:val="008702F4"/>
    <w:rsid w:val="00872AA9"/>
    <w:rsid w:val="00884208"/>
    <w:rsid w:val="0089216A"/>
    <w:rsid w:val="008943BB"/>
    <w:rsid w:val="008A197E"/>
    <w:rsid w:val="008A7E46"/>
    <w:rsid w:val="008D1D22"/>
    <w:rsid w:val="008D38D9"/>
    <w:rsid w:val="008D6072"/>
    <w:rsid w:val="008D6DC8"/>
    <w:rsid w:val="008D7DDA"/>
    <w:rsid w:val="00923FCF"/>
    <w:rsid w:val="009333E3"/>
    <w:rsid w:val="00933431"/>
    <w:rsid w:val="00937337"/>
    <w:rsid w:val="00945D15"/>
    <w:rsid w:val="00950791"/>
    <w:rsid w:val="00955273"/>
    <w:rsid w:val="00957F9C"/>
    <w:rsid w:val="00962E86"/>
    <w:rsid w:val="009660EE"/>
    <w:rsid w:val="009A4CEF"/>
    <w:rsid w:val="009C76A2"/>
    <w:rsid w:val="009D2FED"/>
    <w:rsid w:val="009E0533"/>
    <w:rsid w:val="00A1598B"/>
    <w:rsid w:val="00A16944"/>
    <w:rsid w:val="00A17F42"/>
    <w:rsid w:val="00A27EBF"/>
    <w:rsid w:val="00A30EAA"/>
    <w:rsid w:val="00A35A34"/>
    <w:rsid w:val="00A41BE4"/>
    <w:rsid w:val="00A5075A"/>
    <w:rsid w:val="00A56A1E"/>
    <w:rsid w:val="00A63825"/>
    <w:rsid w:val="00A63FBA"/>
    <w:rsid w:val="00A67091"/>
    <w:rsid w:val="00A831F9"/>
    <w:rsid w:val="00A86515"/>
    <w:rsid w:val="00A929F0"/>
    <w:rsid w:val="00A95926"/>
    <w:rsid w:val="00AA1B38"/>
    <w:rsid w:val="00AA527A"/>
    <w:rsid w:val="00AB3AF5"/>
    <w:rsid w:val="00AD0587"/>
    <w:rsid w:val="00AD18FF"/>
    <w:rsid w:val="00AD270F"/>
    <w:rsid w:val="00AE1471"/>
    <w:rsid w:val="00AE1493"/>
    <w:rsid w:val="00AE3AB9"/>
    <w:rsid w:val="00AE6A3D"/>
    <w:rsid w:val="00B01CF7"/>
    <w:rsid w:val="00B1333D"/>
    <w:rsid w:val="00B22626"/>
    <w:rsid w:val="00B251FC"/>
    <w:rsid w:val="00B51325"/>
    <w:rsid w:val="00B61CF4"/>
    <w:rsid w:val="00B62E53"/>
    <w:rsid w:val="00B63DE9"/>
    <w:rsid w:val="00B67DBD"/>
    <w:rsid w:val="00B71876"/>
    <w:rsid w:val="00B76EC0"/>
    <w:rsid w:val="00BA30DB"/>
    <w:rsid w:val="00C071C6"/>
    <w:rsid w:val="00C135A8"/>
    <w:rsid w:val="00C207BF"/>
    <w:rsid w:val="00C249E6"/>
    <w:rsid w:val="00C33170"/>
    <w:rsid w:val="00C460C2"/>
    <w:rsid w:val="00C5693F"/>
    <w:rsid w:val="00C60D63"/>
    <w:rsid w:val="00C7051D"/>
    <w:rsid w:val="00C72E38"/>
    <w:rsid w:val="00C750A5"/>
    <w:rsid w:val="00C85041"/>
    <w:rsid w:val="00C8551C"/>
    <w:rsid w:val="00C90C86"/>
    <w:rsid w:val="00C94F88"/>
    <w:rsid w:val="00CB14BF"/>
    <w:rsid w:val="00CB3AAD"/>
    <w:rsid w:val="00CB4467"/>
    <w:rsid w:val="00CB5B52"/>
    <w:rsid w:val="00CC5263"/>
    <w:rsid w:val="00CE206D"/>
    <w:rsid w:val="00D036B1"/>
    <w:rsid w:val="00D14706"/>
    <w:rsid w:val="00D23DF7"/>
    <w:rsid w:val="00D3383B"/>
    <w:rsid w:val="00D445B3"/>
    <w:rsid w:val="00D95393"/>
    <w:rsid w:val="00D9689D"/>
    <w:rsid w:val="00D96BD9"/>
    <w:rsid w:val="00DA2B91"/>
    <w:rsid w:val="00DA5951"/>
    <w:rsid w:val="00DA619B"/>
    <w:rsid w:val="00DA73D0"/>
    <w:rsid w:val="00DB0FE3"/>
    <w:rsid w:val="00DD1F2E"/>
    <w:rsid w:val="00DF1356"/>
    <w:rsid w:val="00E02CE4"/>
    <w:rsid w:val="00E064B8"/>
    <w:rsid w:val="00E077A7"/>
    <w:rsid w:val="00E27EAE"/>
    <w:rsid w:val="00E4050A"/>
    <w:rsid w:val="00E408E0"/>
    <w:rsid w:val="00E60A3E"/>
    <w:rsid w:val="00E62AFA"/>
    <w:rsid w:val="00E710CD"/>
    <w:rsid w:val="00E76BEC"/>
    <w:rsid w:val="00E81842"/>
    <w:rsid w:val="00EA43CE"/>
    <w:rsid w:val="00EA6ED5"/>
    <w:rsid w:val="00EB2D90"/>
    <w:rsid w:val="00EC30D7"/>
    <w:rsid w:val="00ED3842"/>
    <w:rsid w:val="00ED38B5"/>
    <w:rsid w:val="00F216D1"/>
    <w:rsid w:val="00F56126"/>
    <w:rsid w:val="00F63769"/>
    <w:rsid w:val="00F63FA6"/>
    <w:rsid w:val="00F720FA"/>
    <w:rsid w:val="00F852DE"/>
    <w:rsid w:val="00F854BD"/>
    <w:rsid w:val="00F962A2"/>
    <w:rsid w:val="00FA3C13"/>
    <w:rsid w:val="00FA6E82"/>
    <w:rsid w:val="00FB06C5"/>
    <w:rsid w:val="00FB28A6"/>
    <w:rsid w:val="00FB744B"/>
    <w:rsid w:val="00FC0CF4"/>
    <w:rsid w:val="00FC1A98"/>
    <w:rsid w:val="00FC3D34"/>
    <w:rsid w:val="00FD25D7"/>
    <w:rsid w:val="00FD729F"/>
    <w:rsid w:val="00FE7019"/>
    <w:rsid w:val="00FF20E1"/>
    <w:rsid w:val="01073442"/>
    <w:rsid w:val="0135256E"/>
    <w:rsid w:val="017F0419"/>
    <w:rsid w:val="0202557A"/>
    <w:rsid w:val="02455361"/>
    <w:rsid w:val="026B7D9D"/>
    <w:rsid w:val="02746F0F"/>
    <w:rsid w:val="02B0326C"/>
    <w:rsid w:val="02E03D80"/>
    <w:rsid w:val="02FF6323"/>
    <w:rsid w:val="03166C95"/>
    <w:rsid w:val="033742BA"/>
    <w:rsid w:val="0352039E"/>
    <w:rsid w:val="0432047D"/>
    <w:rsid w:val="044736CF"/>
    <w:rsid w:val="04AB653B"/>
    <w:rsid w:val="04B306B5"/>
    <w:rsid w:val="04BB2CB1"/>
    <w:rsid w:val="04CE269C"/>
    <w:rsid w:val="052202A5"/>
    <w:rsid w:val="052D2EBC"/>
    <w:rsid w:val="05612999"/>
    <w:rsid w:val="05B40EB1"/>
    <w:rsid w:val="05B75E5D"/>
    <w:rsid w:val="06E4135A"/>
    <w:rsid w:val="07DA186C"/>
    <w:rsid w:val="084E3C8A"/>
    <w:rsid w:val="08C922E5"/>
    <w:rsid w:val="08DC6D2E"/>
    <w:rsid w:val="08E27460"/>
    <w:rsid w:val="08FA3C1C"/>
    <w:rsid w:val="097A3B63"/>
    <w:rsid w:val="0A0A25D7"/>
    <w:rsid w:val="0A5915D0"/>
    <w:rsid w:val="0ADE6281"/>
    <w:rsid w:val="0B3869A1"/>
    <w:rsid w:val="0B637A3A"/>
    <w:rsid w:val="0B9713AA"/>
    <w:rsid w:val="0BF4331C"/>
    <w:rsid w:val="0D2D522C"/>
    <w:rsid w:val="0D917941"/>
    <w:rsid w:val="0DD1638B"/>
    <w:rsid w:val="0E45263B"/>
    <w:rsid w:val="0EA54C7F"/>
    <w:rsid w:val="0ED21131"/>
    <w:rsid w:val="0EE1261E"/>
    <w:rsid w:val="0F6303AF"/>
    <w:rsid w:val="104D6387"/>
    <w:rsid w:val="10C92ED0"/>
    <w:rsid w:val="10F654D7"/>
    <w:rsid w:val="114664CC"/>
    <w:rsid w:val="11564EC4"/>
    <w:rsid w:val="11B07BD6"/>
    <w:rsid w:val="11CB3B70"/>
    <w:rsid w:val="11D91565"/>
    <w:rsid w:val="125750F6"/>
    <w:rsid w:val="127542AA"/>
    <w:rsid w:val="12F15FC0"/>
    <w:rsid w:val="13AD3C35"/>
    <w:rsid w:val="144A5C4D"/>
    <w:rsid w:val="14685E9F"/>
    <w:rsid w:val="148167F9"/>
    <w:rsid w:val="14952F7C"/>
    <w:rsid w:val="149C53ED"/>
    <w:rsid w:val="14A17E3B"/>
    <w:rsid w:val="151F45C4"/>
    <w:rsid w:val="1553718A"/>
    <w:rsid w:val="1557079B"/>
    <w:rsid w:val="15661BF2"/>
    <w:rsid w:val="16955330"/>
    <w:rsid w:val="169F1555"/>
    <w:rsid w:val="16C339B4"/>
    <w:rsid w:val="17E0367B"/>
    <w:rsid w:val="180E0AFF"/>
    <w:rsid w:val="181C3543"/>
    <w:rsid w:val="183550AA"/>
    <w:rsid w:val="1887170A"/>
    <w:rsid w:val="18BE625E"/>
    <w:rsid w:val="18F64FE1"/>
    <w:rsid w:val="193E2714"/>
    <w:rsid w:val="197D38E8"/>
    <w:rsid w:val="198960E3"/>
    <w:rsid w:val="199F0C8D"/>
    <w:rsid w:val="19A857C8"/>
    <w:rsid w:val="19C025F8"/>
    <w:rsid w:val="19CE48C9"/>
    <w:rsid w:val="19D9355D"/>
    <w:rsid w:val="1A0C3B58"/>
    <w:rsid w:val="1A761D5D"/>
    <w:rsid w:val="1A8B44E3"/>
    <w:rsid w:val="1AA07E89"/>
    <w:rsid w:val="1AC253A6"/>
    <w:rsid w:val="1B1C0F2A"/>
    <w:rsid w:val="1B1F3315"/>
    <w:rsid w:val="1B5003E0"/>
    <w:rsid w:val="1B632526"/>
    <w:rsid w:val="1B765B82"/>
    <w:rsid w:val="1B965EA6"/>
    <w:rsid w:val="1BE62BE0"/>
    <w:rsid w:val="1D155786"/>
    <w:rsid w:val="1DC00357"/>
    <w:rsid w:val="1DDC590A"/>
    <w:rsid w:val="1DE200F1"/>
    <w:rsid w:val="1E335181"/>
    <w:rsid w:val="1E542B3C"/>
    <w:rsid w:val="1E6472D8"/>
    <w:rsid w:val="1EE4458C"/>
    <w:rsid w:val="1EE90359"/>
    <w:rsid w:val="1F131A30"/>
    <w:rsid w:val="1F3A2255"/>
    <w:rsid w:val="1F7362DF"/>
    <w:rsid w:val="1FB74E43"/>
    <w:rsid w:val="1FC70F79"/>
    <w:rsid w:val="1FD44083"/>
    <w:rsid w:val="1FDB4036"/>
    <w:rsid w:val="209A7B6A"/>
    <w:rsid w:val="20B53FC7"/>
    <w:rsid w:val="20BE6021"/>
    <w:rsid w:val="211076E8"/>
    <w:rsid w:val="214A627F"/>
    <w:rsid w:val="216D4A99"/>
    <w:rsid w:val="2173797E"/>
    <w:rsid w:val="218642C5"/>
    <w:rsid w:val="218B4CE9"/>
    <w:rsid w:val="21D37273"/>
    <w:rsid w:val="21E26C36"/>
    <w:rsid w:val="220D6D28"/>
    <w:rsid w:val="22110656"/>
    <w:rsid w:val="22C65437"/>
    <w:rsid w:val="2304797C"/>
    <w:rsid w:val="231942C4"/>
    <w:rsid w:val="238A7522"/>
    <w:rsid w:val="23BA6B13"/>
    <w:rsid w:val="23BE0F28"/>
    <w:rsid w:val="23CB6CF7"/>
    <w:rsid w:val="23E17F6F"/>
    <w:rsid w:val="240053EC"/>
    <w:rsid w:val="24097FEF"/>
    <w:rsid w:val="242F6C37"/>
    <w:rsid w:val="249D31FD"/>
    <w:rsid w:val="24C720CA"/>
    <w:rsid w:val="24CA6AC2"/>
    <w:rsid w:val="24D972C4"/>
    <w:rsid w:val="24E92B02"/>
    <w:rsid w:val="251D6BC3"/>
    <w:rsid w:val="252565D6"/>
    <w:rsid w:val="25272087"/>
    <w:rsid w:val="253216FD"/>
    <w:rsid w:val="256D4AB4"/>
    <w:rsid w:val="25A13331"/>
    <w:rsid w:val="25A57D1C"/>
    <w:rsid w:val="2603124F"/>
    <w:rsid w:val="26294A1D"/>
    <w:rsid w:val="26CC410D"/>
    <w:rsid w:val="27903546"/>
    <w:rsid w:val="284D434A"/>
    <w:rsid w:val="291E1DAE"/>
    <w:rsid w:val="292C3247"/>
    <w:rsid w:val="298F4DC5"/>
    <w:rsid w:val="29DA29ED"/>
    <w:rsid w:val="2A083150"/>
    <w:rsid w:val="2A523300"/>
    <w:rsid w:val="2AE2680C"/>
    <w:rsid w:val="2AFA300F"/>
    <w:rsid w:val="2B02463D"/>
    <w:rsid w:val="2BB712A2"/>
    <w:rsid w:val="2BD668A3"/>
    <w:rsid w:val="2BF305D1"/>
    <w:rsid w:val="2C3A3C8A"/>
    <w:rsid w:val="2C446861"/>
    <w:rsid w:val="2CB83AD9"/>
    <w:rsid w:val="2CD53511"/>
    <w:rsid w:val="2D2A61CE"/>
    <w:rsid w:val="2D7314ED"/>
    <w:rsid w:val="2D80707D"/>
    <w:rsid w:val="2DE2488D"/>
    <w:rsid w:val="2E083145"/>
    <w:rsid w:val="2ECF77AC"/>
    <w:rsid w:val="2ED5521A"/>
    <w:rsid w:val="2ED619F5"/>
    <w:rsid w:val="2F8C4BD5"/>
    <w:rsid w:val="2F9F3A1B"/>
    <w:rsid w:val="303322BF"/>
    <w:rsid w:val="303B0264"/>
    <w:rsid w:val="304B5E64"/>
    <w:rsid w:val="30730BA2"/>
    <w:rsid w:val="30782F4C"/>
    <w:rsid w:val="3091213D"/>
    <w:rsid w:val="30ED1CE2"/>
    <w:rsid w:val="31487038"/>
    <w:rsid w:val="31AF70A8"/>
    <w:rsid w:val="31C6513D"/>
    <w:rsid w:val="32221E3A"/>
    <w:rsid w:val="328D7C02"/>
    <w:rsid w:val="32B05C3D"/>
    <w:rsid w:val="32B65903"/>
    <w:rsid w:val="32C97243"/>
    <w:rsid w:val="32D758ED"/>
    <w:rsid w:val="33012007"/>
    <w:rsid w:val="33AD15F4"/>
    <w:rsid w:val="33F65183"/>
    <w:rsid w:val="34842703"/>
    <w:rsid w:val="348450B4"/>
    <w:rsid w:val="34A065F2"/>
    <w:rsid w:val="35653C58"/>
    <w:rsid w:val="359C1A91"/>
    <w:rsid w:val="3627707A"/>
    <w:rsid w:val="365C2844"/>
    <w:rsid w:val="36763EFF"/>
    <w:rsid w:val="37186BCB"/>
    <w:rsid w:val="37251CAF"/>
    <w:rsid w:val="373660AC"/>
    <w:rsid w:val="37604E39"/>
    <w:rsid w:val="378D5403"/>
    <w:rsid w:val="37C02DA1"/>
    <w:rsid w:val="37D43997"/>
    <w:rsid w:val="38042CE6"/>
    <w:rsid w:val="38285B2C"/>
    <w:rsid w:val="38387BC2"/>
    <w:rsid w:val="38945642"/>
    <w:rsid w:val="38A11738"/>
    <w:rsid w:val="38CF2698"/>
    <w:rsid w:val="38D4603A"/>
    <w:rsid w:val="38F76EE1"/>
    <w:rsid w:val="392E3D2B"/>
    <w:rsid w:val="3A4719E4"/>
    <w:rsid w:val="3A5F0E06"/>
    <w:rsid w:val="3A685313"/>
    <w:rsid w:val="3B813EB2"/>
    <w:rsid w:val="3B9F7E10"/>
    <w:rsid w:val="3BA40ED7"/>
    <w:rsid w:val="3BE67851"/>
    <w:rsid w:val="3C025073"/>
    <w:rsid w:val="3C0D4D62"/>
    <w:rsid w:val="3C7E2383"/>
    <w:rsid w:val="3CCC5F8E"/>
    <w:rsid w:val="3D0E3394"/>
    <w:rsid w:val="3DF509E6"/>
    <w:rsid w:val="3E253FC4"/>
    <w:rsid w:val="3E520C34"/>
    <w:rsid w:val="3E66686E"/>
    <w:rsid w:val="3E781CBE"/>
    <w:rsid w:val="3EF13B78"/>
    <w:rsid w:val="3F063B05"/>
    <w:rsid w:val="3F184BE9"/>
    <w:rsid w:val="3F96657B"/>
    <w:rsid w:val="3F9C4556"/>
    <w:rsid w:val="3FEF33F4"/>
    <w:rsid w:val="3FF45C27"/>
    <w:rsid w:val="3FF47659"/>
    <w:rsid w:val="40712EC2"/>
    <w:rsid w:val="40D9690C"/>
    <w:rsid w:val="4175100A"/>
    <w:rsid w:val="41A3573D"/>
    <w:rsid w:val="41B434A1"/>
    <w:rsid w:val="41B4707C"/>
    <w:rsid w:val="41E47DCF"/>
    <w:rsid w:val="41EA52BC"/>
    <w:rsid w:val="422A0C37"/>
    <w:rsid w:val="425B70E5"/>
    <w:rsid w:val="43DD0189"/>
    <w:rsid w:val="43E828F9"/>
    <w:rsid w:val="43F07929"/>
    <w:rsid w:val="442B0326"/>
    <w:rsid w:val="44625BB9"/>
    <w:rsid w:val="44A620DD"/>
    <w:rsid w:val="44E52F1C"/>
    <w:rsid w:val="451B5773"/>
    <w:rsid w:val="454753F6"/>
    <w:rsid w:val="45A339CF"/>
    <w:rsid w:val="45BB538B"/>
    <w:rsid w:val="4616050C"/>
    <w:rsid w:val="46210DBC"/>
    <w:rsid w:val="4624734D"/>
    <w:rsid w:val="47663221"/>
    <w:rsid w:val="48BF50A6"/>
    <w:rsid w:val="48C46876"/>
    <w:rsid w:val="48CA77E3"/>
    <w:rsid w:val="48E66DBF"/>
    <w:rsid w:val="49246CEA"/>
    <w:rsid w:val="49255433"/>
    <w:rsid w:val="495F22B1"/>
    <w:rsid w:val="4964544D"/>
    <w:rsid w:val="498A75F9"/>
    <w:rsid w:val="49E360AC"/>
    <w:rsid w:val="4A04095E"/>
    <w:rsid w:val="4A2E44F7"/>
    <w:rsid w:val="4A373AFF"/>
    <w:rsid w:val="4AD6257A"/>
    <w:rsid w:val="4B3C70F3"/>
    <w:rsid w:val="4B923C7B"/>
    <w:rsid w:val="4BB16E3C"/>
    <w:rsid w:val="4BF23C29"/>
    <w:rsid w:val="4D000BB8"/>
    <w:rsid w:val="4D2764E4"/>
    <w:rsid w:val="4D4F434C"/>
    <w:rsid w:val="4D553076"/>
    <w:rsid w:val="4DC16712"/>
    <w:rsid w:val="4E083898"/>
    <w:rsid w:val="4E26397C"/>
    <w:rsid w:val="4E363927"/>
    <w:rsid w:val="4E3B2D1A"/>
    <w:rsid w:val="4EA90E17"/>
    <w:rsid w:val="4EF418A3"/>
    <w:rsid w:val="4F742655"/>
    <w:rsid w:val="4F9153B3"/>
    <w:rsid w:val="4FF50BC0"/>
    <w:rsid w:val="504B2A65"/>
    <w:rsid w:val="50BB6A75"/>
    <w:rsid w:val="51D1142A"/>
    <w:rsid w:val="52521883"/>
    <w:rsid w:val="52783D74"/>
    <w:rsid w:val="52C0259A"/>
    <w:rsid w:val="52FE221E"/>
    <w:rsid w:val="53340D53"/>
    <w:rsid w:val="53A129B1"/>
    <w:rsid w:val="53ED7088"/>
    <w:rsid w:val="545E660D"/>
    <w:rsid w:val="54637050"/>
    <w:rsid w:val="555810A7"/>
    <w:rsid w:val="55902CE3"/>
    <w:rsid w:val="55A42927"/>
    <w:rsid w:val="55C124AC"/>
    <w:rsid w:val="55C422C3"/>
    <w:rsid w:val="55CD1580"/>
    <w:rsid w:val="56152A28"/>
    <w:rsid w:val="561573DE"/>
    <w:rsid w:val="56311879"/>
    <w:rsid w:val="56B87238"/>
    <w:rsid w:val="56CD28B3"/>
    <w:rsid w:val="571E2C5F"/>
    <w:rsid w:val="57351512"/>
    <w:rsid w:val="57835AC7"/>
    <w:rsid w:val="57C523F6"/>
    <w:rsid w:val="57F303AA"/>
    <w:rsid w:val="58630553"/>
    <w:rsid w:val="5863246B"/>
    <w:rsid w:val="588A53A7"/>
    <w:rsid w:val="59204E23"/>
    <w:rsid w:val="595C082B"/>
    <w:rsid w:val="596E3097"/>
    <w:rsid w:val="59773EED"/>
    <w:rsid w:val="599A244A"/>
    <w:rsid w:val="59F56D5F"/>
    <w:rsid w:val="59FE758C"/>
    <w:rsid w:val="5B14063F"/>
    <w:rsid w:val="5B293378"/>
    <w:rsid w:val="5B301B1F"/>
    <w:rsid w:val="5CEC747F"/>
    <w:rsid w:val="5D534CD8"/>
    <w:rsid w:val="5D9A2ED9"/>
    <w:rsid w:val="5DBD51C2"/>
    <w:rsid w:val="5DC236EC"/>
    <w:rsid w:val="5E277524"/>
    <w:rsid w:val="5E5506C8"/>
    <w:rsid w:val="5EA2001B"/>
    <w:rsid w:val="5F0266A3"/>
    <w:rsid w:val="5F232D5B"/>
    <w:rsid w:val="5F526F22"/>
    <w:rsid w:val="5F744292"/>
    <w:rsid w:val="5F855D12"/>
    <w:rsid w:val="5F952C60"/>
    <w:rsid w:val="5FD51C0C"/>
    <w:rsid w:val="5FF42786"/>
    <w:rsid w:val="606129E7"/>
    <w:rsid w:val="60662262"/>
    <w:rsid w:val="60F431B9"/>
    <w:rsid w:val="60F8796B"/>
    <w:rsid w:val="610B35BB"/>
    <w:rsid w:val="61731422"/>
    <w:rsid w:val="618F11E9"/>
    <w:rsid w:val="61AA1E9E"/>
    <w:rsid w:val="61CD1945"/>
    <w:rsid w:val="61EB4F88"/>
    <w:rsid w:val="620E2B02"/>
    <w:rsid w:val="624A22BB"/>
    <w:rsid w:val="62B65C75"/>
    <w:rsid w:val="62E228B8"/>
    <w:rsid w:val="633D3608"/>
    <w:rsid w:val="63487EAC"/>
    <w:rsid w:val="635349E5"/>
    <w:rsid w:val="63575F25"/>
    <w:rsid w:val="63711DD5"/>
    <w:rsid w:val="637F68CB"/>
    <w:rsid w:val="63FE2657"/>
    <w:rsid w:val="64013D86"/>
    <w:rsid w:val="64031C4A"/>
    <w:rsid w:val="642B75FC"/>
    <w:rsid w:val="643A6EA0"/>
    <w:rsid w:val="64A17E2B"/>
    <w:rsid w:val="64A849CD"/>
    <w:rsid w:val="64CF1F8E"/>
    <w:rsid w:val="64EC5A6B"/>
    <w:rsid w:val="650D77AD"/>
    <w:rsid w:val="653666D1"/>
    <w:rsid w:val="65917E54"/>
    <w:rsid w:val="6597576B"/>
    <w:rsid w:val="66090E80"/>
    <w:rsid w:val="6611701E"/>
    <w:rsid w:val="664161A9"/>
    <w:rsid w:val="66E30B4F"/>
    <w:rsid w:val="66FB308E"/>
    <w:rsid w:val="6723482A"/>
    <w:rsid w:val="673F1F48"/>
    <w:rsid w:val="67FD2A7B"/>
    <w:rsid w:val="680A1519"/>
    <w:rsid w:val="68210070"/>
    <w:rsid w:val="686A7490"/>
    <w:rsid w:val="68BB3495"/>
    <w:rsid w:val="68DB190B"/>
    <w:rsid w:val="69634496"/>
    <w:rsid w:val="69A651B9"/>
    <w:rsid w:val="69B03442"/>
    <w:rsid w:val="6A1331D9"/>
    <w:rsid w:val="6A315029"/>
    <w:rsid w:val="6AB1009A"/>
    <w:rsid w:val="6ACB360F"/>
    <w:rsid w:val="6AD25354"/>
    <w:rsid w:val="6B8860DC"/>
    <w:rsid w:val="6BAE7000"/>
    <w:rsid w:val="6BB05959"/>
    <w:rsid w:val="6BD67C2C"/>
    <w:rsid w:val="6BF91AB9"/>
    <w:rsid w:val="6C5C04D5"/>
    <w:rsid w:val="6CB13F20"/>
    <w:rsid w:val="6CCA6527"/>
    <w:rsid w:val="6D1E181B"/>
    <w:rsid w:val="6D9B2320"/>
    <w:rsid w:val="6F572D08"/>
    <w:rsid w:val="6F6858A1"/>
    <w:rsid w:val="6FB83CDB"/>
    <w:rsid w:val="6FD5142D"/>
    <w:rsid w:val="6FD548BE"/>
    <w:rsid w:val="6FE11C7C"/>
    <w:rsid w:val="6FE66B4D"/>
    <w:rsid w:val="702450BC"/>
    <w:rsid w:val="70853498"/>
    <w:rsid w:val="70FC7A0D"/>
    <w:rsid w:val="712F4D7E"/>
    <w:rsid w:val="713A67EE"/>
    <w:rsid w:val="71D613DB"/>
    <w:rsid w:val="720400C9"/>
    <w:rsid w:val="72074872"/>
    <w:rsid w:val="72BB4D4E"/>
    <w:rsid w:val="72BE4B83"/>
    <w:rsid w:val="73094A27"/>
    <w:rsid w:val="73200F6B"/>
    <w:rsid w:val="746A71CC"/>
    <w:rsid w:val="74715CA6"/>
    <w:rsid w:val="74BB1904"/>
    <w:rsid w:val="74D249BF"/>
    <w:rsid w:val="74ED4EB1"/>
    <w:rsid w:val="74F0279B"/>
    <w:rsid w:val="754358D4"/>
    <w:rsid w:val="75FF0A2F"/>
    <w:rsid w:val="762A248F"/>
    <w:rsid w:val="767F7FDC"/>
    <w:rsid w:val="76F66D3B"/>
    <w:rsid w:val="770563B7"/>
    <w:rsid w:val="770B1AE1"/>
    <w:rsid w:val="77432189"/>
    <w:rsid w:val="77DE40CB"/>
    <w:rsid w:val="77DF5581"/>
    <w:rsid w:val="781135E0"/>
    <w:rsid w:val="78305FF2"/>
    <w:rsid w:val="78694157"/>
    <w:rsid w:val="78A20774"/>
    <w:rsid w:val="78FF382D"/>
    <w:rsid w:val="792E66F3"/>
    <w:rsid w:val="796203CB"/>
    <w:rsid w:val="79B44386"/>
    <w:rsid w:val="79EE6A68"/>
    <w:rsid w:val="7A1F36B1"/>
    <w:rsid w:val="7A3E7618"/>
    <w:rsid w:val="7A5717B0"/>
    <w:rsid w:val="7AE5282F"/>
    <w:rsid w:val="7AF956FC"/>
    <w:rsid w:val="7C003A54"/>
    <w:rsid w:val="7C373DB7"/>
    <w:rsid w:val="7C4228B4"/>
    <w:rsid w:val="7C5D47C4"/>
    <w:rsid w:val="7C6B5BDD"/>
    <w:rsid w:val="7CCB7971"/>
    <w:rsid w:val="7CF851FF"/>
    <w:rsid w:val="7D173AAC"/>
    <w:rsid w:val="7D6E0D92"/>
    <w:rsid w:val="7D7E7212"/>
    <w:rsid w:val="7D842440"/>
    <w:rsid w:val="7DA94ABE"/>
    <w:rsid w:val="7DBE0C26"/>
    <w:rsid w:val="7DF243DB"/>
    <w:rsid w:val="7DF539FA"/>
    <w:rsid w:val="7E01518F"/>
    <w:rsid w:val="7E073573"/>
    <w:rsid w:val="7E3B60DE"/>
    <w:rsid w:val="7E5E1EFC"/>
    <w:rsid w:val="7EDC6139"/>
    <w:rsid w:val="7EEE135D"/>
    <w:rsid w:val="7F290C8A"/>
    <w:rsid w:val="7F3C32C9"/>
    <w:rsid w:val="7F57487B"/>
    <w:rsid w:val="7FA239C6"/>
    <w:rsid w:val="7FB7288D"/>
    <w:rsid w:val="7FB73A06"/>
    <w:rsid w:val="7FC24B9F"/>
    <w:rsid w:val="7FC56966"/>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7"/>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1"/>
    <w:link w:val="38"/>
    <w:qFormat/>
    <w:uiPriority w:val="99"/>
    <w:pPr>
      <w:keepNext/>
      <w:keepLines/>
      <w:spacing w:before="260" w:after="260" w:line="416" w:lineRule="auto"/>
      <w:outlineLvl w:val="1"/>
    </w:pPr>
    <w:rPr>
      <w:rFonts w:ascii="Calibri Light" w:hAnsi="Calibri Light"/>
      <w:b/>
      <w:bCs/>
      <w:kern w:val="0"/>
      <w:sz w:val="32"/>
      <w:szCs w:val="32"/>
    </w:rPr>
  </w:style>
  <w:style w:type="paragraph" w:styleId="4">
    <w:name w:val="heading 3"/>
    <w:basedOn w:val="1"/>
    <w:next w:val="5"/>
    <w:link w:val="39"/>
    <w:qFormat/>
    <w:uiPriority w:val="99"/>
    <w:pPr>
      <w:keepNext/>
      <w:keepLines/>
      <w:spacing w:before="260" w:after="260" w:line="416" w:lineRule="auto"/>
      <w:outlineLvl w:val="2"/>
    </w:pPr>
    <w:rPr>
      <w:b/>
      <w:bCs/>
      <w:kern w:val="0"/>
      <w:sz w:val="32"/>
      <w:szCs w:val="32"/>
    </w:rPr>
  </w:style>
  <w:style w:type="paragraph" w:styleId="6">
    <w:name w:val="heading 4"/>
    <w:basedOn w:val="1"/>
    <w:next w:val="1"/>
    <w:link w:val="40"/>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4"/>
    <w:qFormat/>
    <w:uiPriority w:val="99"/>
    <w:pPr>
      <w:widowControl/>
      <w:snapToGrid w:val="0"/>
      <w:spacing w:line="480" w:lineRule="exact"/>
      <w:ind w:firstLine="567"/>
    </w:pPr>
    <w:rPr>
      <w:rFonts w:ascii="宋体"/>
      <w:snapToGrid w:val="0"/>
      <w:color w:val="000000"/>
      <w:kern w:val="28"/>
      <w:sz w:val="28"/>
      <w:szCs w:val="20"/>
    </w:rPr>
  </w:style>
  <w:style w:type="paragraph" w:styleId="7">
    <w:name w:val="List Number 2"/>
    <w:basedOn w:val="1"/>
    <w:qFormat/>
    <w:uiPriority w:val="99"/>
    <w:pPr>
      <w:numPr>
        <w:ilvl w:val="0"/>
        <w:numId w:val="2"/>
      </w:numPr>
    </w:pPr>
  </w:style>
  <w:style w:type="paragraph" w:styleId="8">
    <w:name w:val="List Number"/>
    <w:basedOn w:val="1"/>
    <w:qFormat/>
    <w:uiPriority w:val="99"/>
    <w:pPr>
      <w:numPr>
        <w:ilvl w:val="0"/>
        <w:numId w:val="3"/>
      </w:numPr>
    </w:pPr>
  </w:style>
  <w:style w:type="paragraph" w:styleId="9">
    <w:name w:val="Document Map"/>
    <w:basedOn w:val="1"/>
    <w:link w:val="41"/>
    <w:semiHidden/>
    <w:qFormat/>
    <w:locked/>
    <w:uiPriority w:val="99"/>
    <w:pPr>
      <w:shd w:val="clear" w:color="auto" w:fill="000080"/>
      <w:adjustRightInd/>
    </w:pPr>
    <w:rPr>
      <w:rFonts w:ascii="宋体"/>
      <w:sz w:val="18"/>
      <w:szCs w:val="18"/>
    </w:rPr>
  </w:style>
  <w:style w:type="paragraph" w:styleId="10">
    <w:name w:val="annotation text"/>
    <w:basedOn w:val="1"/>
    <w:link w:val="42"/>
    <w:qFormat/>
    <w:uiPriority w:val="99"/>
    <w:pPr>
      <w:adjustRightInd/>
      <w:jc w:val="left"/>
    </w:pPr>
    <w:rPr>
      <w:kern w:val="0"/>
      <w:sz w:val="24"/>
      <w:lang w:val="zh-CN"/>
    </w:rPr>
  </w:style>
  <w:style w:type="paragraph" w:styleId="11">
    <w:name w:val="Body Text"/>
    <w:basedOn w:val="1"/>
    <w:link w:val="43"/>
    <w:qFormat/>
    <w:locked/>
    <w:uiPriority w:val="99"/>
    <w:pPr>
      <w:spacing w:line="360" w:lineRule="auto"/>
    </w:pPr>
    <w:rPr>
      <w:rFonts w:eastAsia="仿宋_GB2312"/>
      <w:sz w:val="28"/>
    </w:rPr>
  </w:style>
  <w:style w:type="paragraph" w:styleId="12">
    <w:name w:val="Body Text Indent"/>
    <w:basedOn w:val="1"/>
    <w:link w:val="44"/>
    <w:qFormat/>
    <w:uiPriority w:val="99"/>
    <w:pPr>
      <w:spacing w:after="120"/>
      <w:ind w:left="420" w:leftChars="200"/>
    </w:pPr>
    <w:rPr>
      <w:kern w:val="0"/>
      <w:sz w:val="24"/>
    </w:rPr>
  </w:style>
  <w:style w:type="paragraph" w:styleId="13">
    <w:name w:val="List Number 3"/>
    <w:basedOn w:val="1"/>
    <w:qFormat/>
    <w:uiPriority w:val="99"/>
    <w:pPr>
      <w:numPr>
        <w:ilvl w:val="0"/>
        <w:numId w:val="4"/>
      </w:numPr>
    </w:pPr>
  </w:style>
  <w:style w:type="paragraph" w:styleId="14">
    <w:name w:val="Plain Text"/>
    <w:basedOn w:val="1"/>
    <w:link w:val="45"/>
    <w:qFormat/>
    <w:uiPriority w:val="99"/>
    <w:rPr>
      <w:rFonts w:ascii="宋体" w:hAnsi="Courier New"/>
      <w:kern w:val="0"/>
      <w:szCs w:val="20"/>
    </w:rPr>
  </w:style>
  <w:style w:type="paragraph" w:styleId="15">
    <w:name w:val="Date"/>
    <w:basedOn w:val="1"/>
    <w:next w:val="1"/>
    <w:link w:val="46"/>
    <w:qFormat/>
    <w:uiPriority w:val="99"/>
    <w:pPr>
      <w:ind w:left="100" w:leftChars="2500"/>
    </w:pPr>
    <w:rPr>
      <w:rFonts w:ascii="宋体"/>
      <w:kern w:val="0"/>
      <w:szCs w:val="20"/>
      <w:lang w:val="zh-CN"/>
    </w:rPr>
  </w:style>
  <w:style w:type="paragraph" w:styleId="16">
    <w:name w:val="Body Text Indent 2"/>
    <w:basedOn w:val="1"/>
    <w:link w:val="47"/>
    <w:semiHidden/>
    <w:qFormat/>
    <w:locked/>
    <w:uiPriority w:val="99"/>
    <w:pPr>
      <w:spacing w:after="120" w:line="480" w:lineRule="auto"/>
      <w:ind w:left="420" w:leftChars="200"/>
    </w:pPr>
  </w:style>
  <w:style w:type="paragraph" w:styleId="17">
    <w:name w:val="Balloon Text"/>
    <w:basedOn w:val="1"/>
    <w:link w:val="81"/>
    <w:semiHidden/>
    <w:qFormat/>
    <w:locked/>
    <w:uiPriority w:val="99"/>
    <w:rPr>
      <w:sz w:val="18"/>
      <w:szCs w:val="18"/>
    </w:rPr>
  </w:style>
  <w:style w:type="paragraph" w:styleId="18">
    <w:name w:val="footer"/>
    <w:basedOn w:val="1"/>
    <w:link w:val="48"/>
    <w:qFormat/>
    <w:uiPriority w:val="99"/>
    <w:pPr>
      <w:tabs>
        <w:tab w:val="center" w:pos="4153"/>
        <w:tab w:val="right" w:pos="8306"/>
      </w:tabs>
      <w:snapToGrid w:val="0"/>
      <w:jc w:val="left"/>
    </w:pPr>
    <w:rPr>
      <w:kern w:val="0"/>
      <w:sz w:val="18"/>
      <w:szCs w:val="18"/>
    </w:rPr>
  </w:style>
  <w:style w:type="paragraph" w:styleId="19">
    <w:name w:val="header"/>
    <w:basedOn w:val="1"/>
    <w:link w:val="53"/>
    <w:qFormat/>
    <w:uiPriority w:val="99"/>
    <w:pPr>
      <w:pBdr>
        <w:bottom w:val="single" w:color="auto" w:sz="6" w:space="1"/>
      </w:pBdr>
      <w:tabs>
        <w:tab w:val="center" w:pos="4153"/>
        <w:tab w:val="right" w:pos="8306"/>
      </w:tabs>
      <w:snapToGrid w:val="0"/>
      <w:jc w:val="center"/>
    </w:pPr>
    <w:rPr>
      <w:kern w:val="0"/>
      <w:sz w:val="18"/>
      <w:szCs w:val="20"/>
    </w:rPr>
  </w:style>
  <w:style w:type="paragraph" w:styleId="20">
    <w:name w:val="footnote text"/>
    <w:basedOn w:val="1"/>
    <w:qFormat/>
    <w:locked/>
    <w:uiPriority w:val="0"/>
    <w:pPr>
      <w:snapToGrid w:val="0"/>
      <w:jc w:val="left"/>
    </w:pPr>
    <w:rPr>
      <w:sz w:val="18"/>
    </w:rPr>
  </w:style>
  <w:style w:type="paragraph" w:styleId="21">
    <w:name w:val="Body Text 2"/>
    <w:basedOn w:val="1"/>
    <w:link w:val="50"/>
    <w:qFormat/>
    <w:uiPriority w:val="99"/>
    <w:pPr>
      <w:widowControl/>
      <w:spacing w:afterLines="50" w:line="216" w:lineRule="auto"/>
      <w:jc w:val="center"/>
    </w:pPr>
    <w:rPr>
      <w:kern w:val="0"/>
      <w:sz w:val="24"/>
    </w:rPr>
  </w:style>
  <w:style w:type="paragraph" w:styleId="22">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3">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4">
    <w:name w:val="Title"/>
    <w:basedOn w:val="1"/>
    <w:next w:val="1"/>
    <w:link w:val="51"/>
    <w:qFormat/>
    <w:uiPriority w:val="99"/>
    <w:pPr>
      <w:spacing w:before="240" w:after="60"/>
      <w:jc w:val="center"/>
      <w:outlineLvl w:val="0"/>
    </w:pPr>
    <w:rPr>
      <w:rFonts w:ascii="Calibri Light" w:hAnsi="Calibri Light"/>
      <w:b/>
      <w:bCs/>
      <w:kern w:val="0"/>
      <w:sz w:val="32"/>
      <w:szCs w:val="32"/>
    </w:rPr>
  </w:style>
  <w:style w:type="paragraph" w:styleId="25">
    <w:name w:val="annotation subject"/>
    <w:basedOn w:val="10"/>
    <w:next w:val="10"/>
    <w:link w:val="52"/>
    <w:qFormat/>
    <w:uiPriority w:val="99"/>
    <w:pPr>
      <w:widowControl/>
      <w:spacing w:afterLines="50"/>
    </w:pPr>
    <w:rPr>
      <w:b/>
      <w:bCs/>
    </w:rPr>
  </w:style>
  <w:style w:type="table" w:styleId="27">
    <w:name w:val="Table Grid"/>
    <w:basedOn w:val="26"/>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0"/>
    <w:rPr>
      <w:b/>
      <w:bCs/>
    </w:rPr>
  </w:style>
  <w:style w:type="character" w:styleId="30">
    <w:name w:val="page number"/>
    <w:basedOn w:val="28"/>
    <w:qFormat/>
    <w:uiPriority w:val="99"/>
    <w:rPr>
      <w:rFonts w:ascii="Arial" w:hAnsi="Arial" w:eastAsia="黑体" w:cs="Times New Roman"/>
      <w:snapToGrid w:val="0"/>
      <w:kern w:val="0"/>
      <w:sz w:val="21"/>
    </w:rPr>
  </w:style>
  <w:style w:type="character" w:styleId="31">
    <w:name w:val="FollowedHyperlink"/>
    <w:basedOn w:val="28"/>
    <w:qFormat/>
    <w:locked/>
    <w:uiPriority w:val="99"/>
    <w:rPr>
      <w:rFonts w:cs="Times New Roman"/>
      <w:color w:val="800080"/>
      <w:u w:val="none"/>
    </w:rPr>
  </w:style>
  <w:style w:type="character" w:styleId="32">
    <w:name w:val="Emphasis"/>
    <w:basedOn w:val="28"/>
    <w:qFormat/>
    <w:uiPriority w:val="0"/>
    <w:rPr>
      <w:rFonts w:cs="Times New Roman"/>
      <w:color w:val="CC0000"/>
      <w:sz w:val="24"/>
      <w:szCs w:val="24"/>
    </w:rPr>
  </w:style>
  <w:style w:type="character" w:styleId="33">
    <w:name w:val="Hyperlink"/>
    <w:basedOn w:val="28"/>
    <w:qFormat/>
    <w:uiPriority w:val="99"/>
    <w:rPr>
      <w:rFonts w:cs="Times New Roman"/>
      <w:color w:val="0000FF"/>
      <w:u w:val="single"/>
    </w:rPr>
  </w:style>
  <w:style w:type="character" w:styleId="34">
    <w:name w:val="annotation reference"/>
    <w:basedOn w:val="28"/>
    <w:semiHidden/>
    <w:qFormat/>
    <w:locked/>
    <w:uiPriority w:val="99"/>
    <w:rPr>
      <w:rFonts w:cs="Times New Roman"/>
      <w:sz w:val="21"/>
      <w:szCs w:val="21"/>
    </w:rPr>
  </w:style>
  <w:style w:type="paragraph" w:customStyle="1" w:styleId="35">
    <w:name w:val="[Normal]"/>
    <w:qFormat/>
    <w:uiPriority w:val="0"/>
    <w:rPr>
      <w:rFonts w:ascii="宋体" w:hAnsi="宋体" w:eastAsia="宋体" w:cs="Times New Roman"/>
      <w:sz w:val="24"/>
      <w:szCs w:val="22"/>
      <w:lang w:val="zh-CN" w:eastAsia="zh-CN" w:bidi="ar-SA"/>
    </w:rPr>
  </w:style>
  <w:style w:type="paragraph" w:customStyle="1" w:styleId="36">
    <w:name w:val="首行缩进"/>
    <w:basedOn w:val="1"/>
    <w:next w:val="11"/>
    <w:qFormat/>
    <w:uiPriority w:val="99"/>
    <w:pPr>
      <w:spacing w:line="360" w:lineRule="auto"/>
      <w:ind w:firstLine="480" w:firstLineChars="200"/>
    </w:pPr>
    <w:rPr>
      <w:sz w:val="24"/>
      <w:szCs w:val="22"/>
      <w:lang w:val="zh-CN"/>
    </w:rPr>
  </w:style>
  <w:style w:type="character" w:customStyle="1" w:styleId="37">
    <w:name w:val="标题 1 Char"/>
    <w:basedOn w:val="28"/>
    <w:link w:val="2"/>
    <w:qFormat/>
    <w:locked/>
    <w:uiPriority w:val="99"/>
    <w:rPr>
      <w:rFonts w:eastAsia="仿宋_GB2312"/>
      <w:b/>
      <w:kern w:val="44"/>
      <w:sz w:val="44"/>
      <w:szCs w:val="20"/>
    </w:rPr>
  </w:style>
  <w:style w:type="character" w:customStyle="1" w:styleId="38">
    <w:name w:val="标题 2 Char"/>
    <w:basedOn w:val="28"/>
    <w:link w:val="3"/>
    <w:semiHidden/>
    <w:qFormat/>
    <w:locked/>
    <w:uiPriority w:val="99"/>
    <w:rPr>
      <w:rFonts w:ascii="Calibri Light" w:hAnsi="Calibri Light" w:eastAsia="宋体" w:cs="Times New Roman"/>
      <w:b/>
      <w:sz w:val="32"/>
    </w:rPr>
  </w:style>
  <w:style w:type="character" w:customStyle="1" w:styleId="39">
    <w:name w:val="标题 3 Char"/>
    <w:basedOn w:val="28"/>
    <w:link w:val="4"/>
    <w:semiHidden/>
    <w:qFormat/>
    <w:locked/>
    <w:uiPriority w:val="99"/>
    <w:rPr>
      <w:rFonts w:ascii="Times New Roman" w:hAnsi="Times New Roman" w:eastAsia="宋体" w:cs="Times New Roman"/>
      <w:b/>
      <w:sz w:val="32"/>
    </w:rPr>
  </w:style>
  <w:style w:type="character" w:customStyle="1" w:styleId="40">
    <w:name w:val="标题 4 Char"/>
    <w:basedOn w:val="28"/>
    <w:link w:val="6"/>
    <w:semiHidden/>
    <w:qFormat/>
    <w:locked/>
    <w:uiPriority w:val="99"/>
    <w:rPr>
      <w:rFonts w:ascii="Calibri Light" w:hAnsi="Calibri Light" w:eastAsia="宋体" w:cs="Times New Roman"/>
      <w:b/>
      <w:sz w:val="28"/>
    </w:rPr>
  </w:style>
  <w:style w:type="character" w:customStyle="1" w:styleId="41">
    <w:name w:val="文档结构图 Char1"/>
    <w:basedOn w:val="28"/>
    <w:link w:val="9"/>
    <w:semiHidden/>
    <w:qFormat/>
    <w:locked/>
    <w:uiPriority w:val="99"/>
    <w:rPr>
      <w:rFonts w:ascii="宋体" w:hAnsi="Times New Roman" w:cs="Times New Roman"/>
      <w:kern w:val="2"/>
      <w:sz w:val="18"/>
    </w:rPr>
  </w:style>
  <w:style w:type="character" w:customStyle="1" w:styleId="42">
    <w:name w:val="批注文字 Char"/>
    <w:basedOn w:val="28"/>
    <w:link w:val="10"/>
    <w:qFormat/>
    <w:locked/>
    <w:uiPriority w:val="99"/>
    <w:rPr>
      <w:rFonts w:ascii="Times New Roman" w:hAnsi="Times New Roman" w:eastAsia="宋体" w:cs="Times New Roman"/>
      <w:kern w:val="0"/>
      <w:sz w:val="24"/>
      <w:lang w:val="zh-CN" w:eastAsia="zh-CN"/>
    </w:rPr>
  </w:style>
  <w:style w:type="character" w:customStyle="1" w:styleId="43">
    <w:name w:val="正文文本 Char"/>
    <w:basedOn w:val="28"/>
    <w:link w:val="11"/>
    <w:semiHidden/>
    <w:qFormat/>
    <w:locked/>
    <w:uiPriority w:val="99"/>
    <w:rPr>
      <w:rFonts w:cs="Times New Roman"/>
      <w:sz w:val="24"/>
      <w:szCs w:val="24"/>
    </w:rPr>
  </w:style>
  <w:style w:type="character" w:customStyle="1" w:styleId="44">
    <w:name w:val="正文文本缩进 Char"/>
    <w:basedOn w:val="28"/>
    <w:link w:val="12"/>
    <w:semiHidden/>
    <w:qFormat/>
    <w:locked/>
    <w:uiPriority w:val="99"/>
    <w:rPr>
      <w:rFonts w:ascii="Times New Roman" w:hAnsi="Times New Roman" w:cs="Times New Roman"/>
      <w:sz w:val="24"/>
    </w:rPr>
  </w:style>
  <w:style w:type="character" w:customStyle="1" w:styleId="45">
    <w:name w:val="纯文本 Char"/>
    <w:basedOn w:val="28"/>
    <w:link w:val="14"/>
    <w:qFormat/>
    <w:locked/>
    <w:uiPriority w:val="99"/>
    <w:rPr>
      <w:rFonts w:ascii="宋体" w:hAnsi="Courier New" w:eastAsia="宋体" w:cs="Times New Roman"/>
      <w:snapToGrid w:val="0"/>
      <w:sz w:val="21"/>
    </w:rPr>
  </w:style>
  <w:style w:type="character" w:customStyle="1" w:styleId="46">
    <w:name w:val="日期 Char"/>
    <w:basedOn w:val="28"/>
    <w:link w:val="15"/>
    <w:qFormat/>
    <w:locked/>
    <w:uiPriority w:val="99"/>
    <w:rPr>
      <w:rFonts w:ascii="宋体" w:cs="Times New Roman"/>
      <w:sz w:val="21"/>
      <w:lang w:val="zh-CN"/>
    </w:rPr>
  </w:style>
  <w:style w:type="character" w:customStyle="1" w:styleId="47">
    <w:name w:val="正文文本缩进 2 Char"/>
    <w:basedOn w:val="28"/>
    <w:link w:val="16"/>
    <w:semiHidden/>
    <w:qFormat/>
    <w:locked/>
    <w:uiPriority w:val="99"/>
    <w:rPr>
      <w:rFonts w:cs="Times New Roman"/>
      <w:sz w:val="24"/>
      <w:szCs w:val="24"/>
    </w:rPr>
  </w:style>
  <w:style w:type="character" w:customStyle="1" w:styleId="48">
    <w:name w:val="页脚 Char"/>
    <w:basedOn w:val="28"/>
    <w:link w:val="18"/>
    <w:qFormat/>
    <w:locked/>
    <w:uiPriority w:val="99"/>
    <w:rPr>
      <w:rFonts w:ascii="Times New Roman" w:hAnsi="Times New Roman" w:eastAsia="宋体" w:cs="Times New Roman"/>
      <w:sz w:val="18"/>
    </w:rPr>
  </w:style>
  <w:style w:type="character" w:customStyle="1" w:styleId="49">
    <w:name w:val="Header Char"/>
    <w:basedOn w:val="28"/>
    <w:qFormat/>
    <w:locked/>
    <w:uiPriority w:val="99"/>
    <w:rPr>
      <w:rFonts w:ascii="Times New Roman" w:hAnsi="Times New Roman" w:eastAsia="宋体" w:cs="Times New Roman"/>
      <w:sz w:val="18"/>
    </w:rPr>
  </w:style>
  <w:style w:type="character" w:customStyle="1" w:styleId="50">
    <w:name w:val="正文文本 2 Char"/>
    <w:basedOn w:val="28"/>
    <w:link w:val="21"/>
    <w:semiHidden/>
    <w:qFormat/>
    <w:locked/>
    <w:uiPriority w:val="99"/>
    <w:rPr>
      <w:rFonts w:ascii="Times New Roman" w:hAnsi="Times New Roman" w:cs="Times New Roman"/>
      <w:sz w:val="24"/>
    </w:rPr>
  </w:style>
  <w:style w:type="character" w:customStyle="1" w:styleId="51">
    <w:name w:val="标题 Char"/>
    <w:basedOn w:val="28"/>
    <w:link w:val="24"/>
    <w:qFormat/>
    <w:locked/>
    <w:uiPriority w:val="99"/>
    <w:rPr>
      <w:rFonts w:ascii="Calibri Light" w:hAnsi="Calibri Light" w:eastAsia="宋体" w:cs="Times New Roman"/>
      <w:b/>
      <w:sz w:val="32"/>
    </w:rPr>
  </w:style>
  <w:style w:type="character" w:customStyle="1" w:styleId="52">
    <w:name w:val="批注主题 Char"/>
    <w:basedOn w:val="42"/>
    <w:link w:val="25"/>
    <w:semiHidden/>
    <w:qFormat/>
    <w:locked/>
    <w:uiPriority w:val="99"/>
    <w:rPr>
      <w:rFonts w:ascii="Times New Roman" w:hAnsi="Times New Roman" w:eastAsia="宋体" w:cs="Times New Roman"/>
      <w:b/>
      <w:kern w:val="0"/>
      <w:sz w:val="24"/>
      <w:lang w:val="zh-CN" w:eastAsia="zh-CN"/>
    </w:rPr>
  </w:style>
  <w:style w:type="character" w:customStyle="1" w:styleId="53">
    <w:name w:val="页眉 Char"/>
    <w:link w:val="19"/>
    <w:qFormat/>
    <w:locked/>
    <w:uiPriority w:val="99"/>
    <w:rPr>
      <w:rFonts w:ascii="Times New Roman" w:hAnsi="Times New Roman" w:eastAsia="宋体"/>
      <w:sz w:val="18"/>
    </w:rPr>
  </w:style>
  <w:style w:type="character" w:customStyle="1" w:styleId="54">
    <w:name w:val="正文缩进 Char"/>
    <w:link w:val="5"/>
    <w:qFormat/>
    <w:locked/>
    <w:uiPriority w:val="99"/>
    <w:rPr>
      <w:rFonts w:ascii="宋体" w:eastAsia="宋体"/>
      <w:snapToGrid w:val="0"/>
      <w:color w:val="000000"/>
      <w:kern w:val="28"/>
      <w:sz w:val="28"/>
    </w:rPr>
  </w:style>
  <w:style w:type="character" w:customStyle="1" w:styleId="55">
    <w:name w:val="日期 Char1"/>
    <w:semiHidden/>
    <w:qFormat/>
    <w:uiPriority w:val="99"/>
    <w:rPr>
      <w:rFonts w:ascii="Times New Roman" w:hAnsi="Times New Roman" w:eastAsia="宋体"/>
      <w:sz w:val="24"/>
    </w:rPr>
  </w:style>
  <w:style w:type="character" w:customStyle="1" w:styleId="56">
    <w:name w:val="纯文本 Char1"/>
    <w:semiHidden/>
    <w:qFormat/>
    <w:uiPriority w:val="99"/>
    <w:rPr>
      <w:rFonts w:ascii="宋体" w:hAnsi="Courier New" w:eastAsia="宋体"/>
      <w:sz w:val="21"/>
    </w:rPr>
  </w:style>
  <w:style w:type="paragraph" w:customStyle="1" w:styleId="57">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8">
    <w:name w:val="列出段落1"/>
    <w:basedOn w:val="1"/>
    <w:qFormat/>
    <w:uiPriority w:val="99"/>
    <w:pPr>
      <w:spacing w:line="360" w:lineRule="auto"/>
      <w:ind w:firstLine="200" w:firstLineChars="200"/>
    </w:pPr>
    <w:rPr>
      <w:rFonts w:eastAsia="楷体_GB2312" w:cs="Lucida Sans"/>
      <w:sz w:val="24"/>
    </w:rPr>
  </w:style>
  <w:style w:type="paragraph" w:customStyle="1" w:styleId="59">
    <w:name w:val="标题2def"/>
    <w:basedOn w:val="24"/>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60">
    <w:name w:val="标题3def"/>
    <w:basedOn w:val="4"/>
    <w:next w:val="1"/>
    <w:qFormat/>
    <w:uiPriority w:val="99"/>
    <w:pPr>
      <w:snapToGrid w:val="0"/>
      <w:spacing w:before="80" w:after="160" w:line="400" w:lineRule="exact"/>
    </w:pPr>
    <w:rPr>
      <w:rFonts w:ascii="??_GB2312" w:hAnsi="宋体" w:eastAsia="Times New Roman"/>
      <w:bCs w:val="0"/>
      <w:sz w:val="24"/>
      <w:szCs w:val="20"/>
    </w:rPr>
  </w:style>
  <w:style w:type="paragraph" w:customStyle="1" w:styleId="61">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2">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3">
    <w:name w:val="Char Char Char Char1"/>
    <w:basedOn w:val="1"/>
    <w:qFormat/>
    <w:uiPriority w:val="99"/>
    <w:pPr>
      <w:adjustRightInd/>
    </w:pPr>
    <w:rPr>
      <w:rFonts w:ascii="Tahoma" w:hAnsi="Tahoma"/>
      <w:sz w:val="24"/>
      <w:szCs w:val="20"/>
    </w:rPr>
  </w:style>
  <w:style w:type="paragraph" w:customStyle="1" w:styleId="64">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5">
    <w:name w:val="正文段"/>
    <w:basedOn w:val="1"/>
    <w:link w:val="71"/>
    <w:qFormat/>
    <w:uiPriority w:val="99"/>
    <w:pPr>
      <w:widowControl/>
      <w:snapToGrid w:val="0"/>
      <w:spacing w:afterLines="50"/>
      <w:ind w:firstLine="200" w:firstLineChars="200"/>
    </w:pPr>
    <w:rPr>
      <w:kern w:val="0"/>
      <w:sz w:val="24"/>
      <w:szCs w:val="20"/>
    </w:rPr>
  </w:style>
  <w:style w:type="paragraph" w:customStyle="1" w:styleId="66">
    <w:name w:val="正文2"/>
    <w:basedOn w:val="1"/>
    <w:link w:val="70"/>
    <w:qFormat/>
    <w:uiPriority w:val="99"/>
    <w:pPr>
      <w:spacing w:before="156" w:line="360" w:lineRule="auto"/>
      <w:ind w:firstLine="510" w:firstLineChars="200"/>
    </w:pPr>
    <w:rPr>
      <w:sz w:val="24"/>
      <w:szCs w:val="20"/>
    </w:rPr>
  </w:style>
  <w:style w:type="paragraph" w:customStyle="1" w:styleId="67">
    <w:name w:val="表正文"/>
    <w:basedOn w:val="1"/>
    <w:next w:val="14"/>
    <w:qFormat/>
    <w:uiPriority w:val="99"/>
    <w:rPr>
      <w:rFonts w:ascii="宋体" w:hAnsi="Courier New"/>
      <w:szCs w:val="20"/>
    </w:rPr>
  </w:style>
  <w:style w:type="character" w:customStyle="1" w:styleId="68">
    <w:name w:val="文档结构图 Char"/>
    <w:semiHidden/>
    <w:qFormat/>
    <w:uiPriority w:val="99"/>
    <w:rPr>
      <w:kern w:val="2"/>
      <w:sz w:val="24"/>
      <w:shd w:val="clear" w:color="auto" w:fill="000080"/>
    </w:rPr>
  </w:style>
  <w:style w:type="character" w:customStyle="1" w:styleId="69">
    <w:name w:val="日期 Char2"/>
    <w:qFormat/>
    <w:uiPriority w:val="99"/>
    <w:rPr>
      <w:rFonts w:ascii="楷体_GB2312" w:eastAsia="楷体_GB2312"/>
      <w:b/>
      <w:kern w:val="2"/>
      <w:sz w:val="28"/>
      <w:lang w:val="en-US" w:eastAsia="zh-CN"/>
    </w:rPr>
  </w:style>
  <w:style w:type="character" w:customStyle="1" w:styleId="70">
    <w:name w:val="正文2 Char"/>
    <w:link w:val="66"/>
    <w:qFormat/>
    <w:locked/>
    <w:uiPriority w:val="99"/>
    <w:rPr>
      <w:rFonts w:ascii="Times New Roman" w:hAnsi="Times New Roman"/>
      <w:kern w:val="2"/>
      <w:sz w:val="24"/>
    </w:rPr>
  </w:style>
  <w:style w:type="character" w:customStyle="1" w:styleId="71">
    <w:name w:val="正文段 Char"/>
    <w:link w:val="65"/>
    <w:qFormat/>
    <w:locked/>
    <w:uiPriority w:val="99"/>
    <w:rPr>
      <w:rFonts w:ascii="Times New Roman" w:hAnsi="Times New Roman"/>
      <w:sz w:val="24"/>
    </w:rPr>
  </w:style>
  <w:style w:type="paragraph" w:styleId="72">
    <w:name w:val="List Paragraph"/>
    <w:basedOn w:val="1"/>
    <w:qFormat/>
    <w:uiPriority w:val="99"/>
    <w:pPr>
      <w:ind w:left="720"/>
      <w:contextualSpacing/>
    </w:pPr>
  </w:style>
  <w:style w:type="paragraph" w:customStyle="1" w:styleId="73">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4">
    <w:name w:val="px_10"/>
    <w:qFormat/>
    <w:uiPriority w:val="99"/>
    <w:rPr>
      <w:lang w:val="zh-TW" w:eastAsia="zh-TW"/>
    </w:rPr>
  </w:style>
  <w:style w:type="paragraph" w:customStyle="1" w:styleId="75">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6">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7">
    <w:name w:val="列出段落11"/>
    <w:basedOn w:val="1"/>
    <w:qFormat/>
    <w:uiPriority w:val="99"/>
    <w:pPr>
      <w:spacing w:line="360" w:lineRule="auto"/>
      <w:ind w:firstLine="200" w:firstLineChars="200"/>
    </w:pPr>
    <w:rPr>
      <w:rFonts w:eastAsia="楷体_GB2312" w:cs="Lucida Sans"/>
      <w:sz w:val="24"/>
    </w:rPr>
  </w:style>
  <w:style w:type="paragraph" w:customStyle="1" w:styleId="78">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9">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80">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1">
    <w:name w:val="批注框文本 Char"/>
    <w:basedOn w:val="28"/>
    <w:link w:val="17"/>
    <w:semiHidden/>
    <w:qFormat/>
    <w:locked/>
    <w:uiPriority w:val="99"/>
    <w:rPr>
      <w:rFonts w:cs="Times New Roman"/>
      <w:sz w:val="2"/>
    </w:rPr>
  </w:style>
  <w:style w:type="paragraph" w:customStyle="1" w:styleId="82">
    <w:name w:val="列出段落5"/>
    <w:basedOn w:val="1"/>
    <w:qFormat/>
    <w:uiPriority w:val="34"/>
    <w:pPr>
      <w:ind w:firstLine="420" w:firstLineChars="200"/>
    </w:pPr>
    <w:rPr>
      <w:rFonts w:ascii="Calibri" w:hAnsi="Calibri"/>
      <w:sz w:val="24"/>
    </w:rPr>
  </w:style>
  <w:style w:type="paragraph" w:customStyle="1" w:styleId="83">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4">
    <w:name w:val="unnamed11"/>
    <w:basedOn w:val="28"/>
    <w:qFormat/>
    <w:uiPriority w:val="0"/>
    <w:rPr>
      <w:rFonts w:hint="eastAsia" w:ascii="宋体" w:hAnsi="宋体" w:eastAsia="宋体"/>
      <w:sz w:val="21"/>
      <w:szCs w:val="21"/>
    </w:rPr>
  </w:style>
  <w:style w:type="paragraph" w:customStyle="1" w:styleId="85">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6">
    <w:name w:val="font11"/>
    <w:basedOn w:val="28"/>
    <w:qFormat/>
    <w:uiPriority w:val="0"/>
    <w:rPr>
      <w:rFonts w:hint="default" w:ascii="微软雅黑" w:hAnsi="微软雅黑" w:eastAsia="微软雅黑" w:cs="微软雅黑"/>
      <w:color w:val="000000"/>
      <w:sz w:val="20"/>
      <w:szCs w:val="20"/>
      <w:u w:val="none"/>
    </w:rPr>
  </w:style>
  <w:style w:type="paragraph" w:customStyle="1" w:styleId="87">
    <w:name w:val="样式 首行缩进:  0.74 厘米"/>
    <w:basedOn w:val="1"/>
    <w:qFormat/>
    <w:uiPriority w:val="0"/>
    <w:pPr>
      <w:ind w:firstLine="420"/>
    </w:pPr>
    <w:rPr>
      <w:rFonts w:ascii="Arial" w:hAnsi="Arial" w:eastAsia="仿宋_GB2312" w:cs="Arial"/>
      <w:bCs/>
      <w:sz w:val="28"/>
      <w:szCs w:val="28"/>
    </w:rPr>
  </w:style>
  <w:style w:type="paragraph" w:customStyle="1" w:styleId="88">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9">
    <w:name w:val="_Style 1"/>
    <w:basedOn w:val="1"/>
    <w:qFormat/>
    <w:uiPriority w:val="99"/>
    <w:pPr>
      <w:ind w:firstLine="420" w:firstLineChars="200"/>
    </w:pPr>
  </w:style>
  <w:style w:type="paragraph" w:customStyle="1" w:styleId="90">
    <w:name w:val="_Style 2"/>
    <w:basedOn w:val="1"/>
    <w:qFormat/>
    <w:uiPriority w:val="99"/>
    <w:pPr>
      <w:ind w:firstLine="420" w:firstLineChars="200"/>
    </w:pPr>
  </w:style>
  <w:style w:type="paragraph" w:customStyle="1" w:styleId="91">
    <w:name w:val="（1）"/>
    <w:basedOn w:val="1"/>
    <w:qFormat/>
    <w:uiPriority w:val="0"/>
    <w:pPr>
      <w:numPr>
        <w:ilvl w:val="0"/>
        <w:numId w:val="5"/>
      </w:numPr>
      <w:tabs>
        <w:tab w:val="left" w:pos="961"/>
      </w:tabs>
      <w:spacing w:line="360" w:lineRule="auto"/>
    </w:pPr>
    <w:rPr>
      <w:sz w:val="24"/>
    </w:rPr>
  </w:style>
  <w:style w:type="paragraph" w:customStyle="1" w:styleId="9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3">
    <w:name w:val="CM18"/>
    <w:basedOn w:val="92"/>
    <w:next w:val="92"/>
    <w:qFormat/>
    <w:uiPriority w:val="99"/>
    <w:rPr>
      <w:rFonts w:ascii="ST Xihei" w:hAnsi="Calibri" w:eastAsia="ST Xihei"/>
      <w:color w:val="auto"/>
    </w:rPr>
  </w:style>
  <w:style w:type="character" w:customStyle="1" w:styleId="94">
    <w:name w:val="qxdate"/>
    <w:basedOn w:val="28"/>
    <w:qFormat/>
    <w:uiPriority w:val="0"/>
    <w:rPr>
      <w:color w:val="333333"/>
      <w:sz w:val="18"/>
      <w:szCs w:val="18"/>
    </w:rPr>
  </w:style>
  <w:style w:type="character" w:customStyle="1" w:styleId="95">
    <w:name w:val="cfdate"/>
    <w:basedOn w:val="28"/>
    <w:qFormat/>
    <w:uiPriority w:val="0"/>
    <w:rPr>
      <w:color w:val="333333"/>
      <w:sz w:val="18"/>
      <w:szCs w:val="18"/>
    </w:rPr>
  </w:style>
  <w:style w:type="character" w:customStyle="1" w:styleId="96">
    <w:name w:val="redfilefwwh"/>
    <w:basedOn w:val="28"/>
    <w:qFormat/>
    <w:uiPriority w:val="0"/>
    <w:rPr>
      <w:color w:val="BA2636"/>
      <w:sz w:val="18"/>
      <w:szCs w:val="18"/>
    </w:rPr>
  </w:style>
  <w:style w:type="character" w:customStyle="1" w:styleId="97">
    <w:name w:val="displayarti"/>
    <w:basedOn w:val="28"/>
    <w:qFormat/>
    <w:uiPriority w:val="0"/>
    <w:rPr>
      <w:color w:val="FFFFFF"/>
      <w:shd w:val="clear" w:color="auto" w:fill="A00000"/>
    </w:rPr>
  </w:style>
  <w:style w:type="character" w:customStyle="1" w:styleId="98">
    <w:name w:val="gjfg"/>
    <w:basedOn w:val="28"/>
    <w:qFormat/>
    <w:uiPriority w:val="0"/>
  </w:style>
  <w:style w:type="character" w:customStyle="1" w:styleId="99">
    <w:name w:val="redfilenumber"/>
    <w:basedOn w:val="28"/>
    <w:qFormat/>
    <w:uiPriority w:val="0"/>
    <w:rPr>
      <w:color w:val="BA2636"/>
      <w:sz w:val="18"/>
      <w:szCs w:val="18"/>
    </w:rPr>
  </w:style>
  <w:style w:type="character" w:customStyle="1" w:styleId="100">
    <w:name w:val="15"/>
    <w:qFormat/>
    <w:uiPriority w:val="0"/>
    <w:rPr>
      <w:rFonts w:hint="eastAsia" w:ascii="宋体" w:hAnsi="宋体" w:eastAsia="宋体" w:cs="宋体"/>
      <w:color w:val="000000"/>
      <w:sz w:val="24"/>
      <w:szCs w:val="24"/>
    </w:rPr>
  </w:style>
  <w:style w:type="paragraph" w:customStyle="1" w:styleId="101">
    <w:name w:val="tabletext"/>
    <w:basedOn w:val="1"/>
    <w:qFormat/>
    <w:uiPriority w:val="0"/>
    <w:pPr>
      <w:widowControl/>
      <w:spacing w:before="100" w:beforeAutospacing="1" w:after="100" w:afterAutospacing="1"/>
      <w:jc w:val="left"/>
    </w:pPr>
    <w:rPr>
      <w:rFonts w:ascii="宋体" w:hAnsi="宋体" w:cs="宋体"/>
      <w:kern w:val="0"/>
      <w:sz w:val="24"/>
    </w:rPr>
  </w:style>
  <w:style w:type="table" w:customStyle="1" w:styleId="102">
    <w:name w:val="网格型1"/>
    <w:basedOn w:val="26"/>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customStyle="1" w:styleId="103">
    <w:name w:val="0正文"/>
    <w:basedOn w:val="1"/>
    <w:qFormat/>
    <w:uiPriority w:val="0"/>
    <w:pPr>
      <w:spacing w:line="360" w:lineRule="auto"/>
      <w:ind w:firstLine="200" w:firstLineChars="200"/>
    </w:pPr>
  </w:style>
  <w:style w:type="paragraph" w:customStyle="1" w:styleId="104">
    <w:name w:val="修订1"/>
    <w:hidden/>
    <w:semiHidden/>
    <w:qFormat/>
    <w:uiPriority w:val="99"/>
    <w:rPr>
      <w:rFonts w:ascii="Times New Roman" w:hAnsi="Times New Roman" w:eastAsia="宋体" w:cs="Times New Roman"/>
      <w:kern w:val="2"/>
      <w:sz w:val="21"/>
      <w:szCs w:val="24"/>
      <w:lang w:val="en-US" w:eastAsia="zh-CN" w:bidi="ar-SA"/>
    </w:rPr>
  </w:style>
  <w:style w:type="paragraph" w:customStyle="1" w:styleId="105">
    <w:name w:val="cn7"/>
    <w:basedOn w:val="1"/>
    <w:qFormat/>
    <w:uiPriority w:val="0"/>
    <w:pPr>
      <w:widowControl/>
      <w:spacing w:before="100" w:beforeAutospacing="1" w:after="100" w:afterAutospacing="1"/>
      <w:jc w:val="left"/>
    </w:pPr>
    <w:rPr>
      <w:rFonts w:ascii="宋体" w:hAnsi="宋体"/>
      <w:b/>
      <w:bCs/>
      <w:color w:val="000000"/>
      <w:kern w:val="0"/>
      <w:sz w:val="30"/>
      <w:szCs w:val="30"/>
    </w:rPr>
  </w:style>
  <w:style w:type="paragraph" w:customStyle="1" w:styleId="106">
    <w:name w:val="样式2"/>
    <w:basedOn w:val="1"/>
    <w:qFormat/>
    <w:uiPriority w:val="0"/>
    <w:pPr>
      <w:spacing w:line="360" w:lineRule="auto"/>
      <w:ind w:firstLine="200" w:firstLineChars="200"/>
    </w:pPr>
    <w:rPr>
      <w:rFonts w:ascii="仿宋_GB2312" w:eastAsia="仿宋_GB2312"/>
      <w:sz w:val="24"/>
    </w:rPr>
  </w:style>
  <w:style w:type="paragraph" w:styleId="107">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08">
    <w:name w:val="正文文本1"/>
    <w:basedOn w:val="1"/>
    <w:qFormat/>
    <w:uiPriority w:val="0"/>
    <w:pPr>
      <w:spacing w:after="120"/>
    </w:pPr>
  </w:style>
  <w:style w:type="paragraph" w:customStyle="1" w:styleId="109">
    <w:name w:val="p0"/>
    <w:basedOn w:val="1"/>
    <w:qFormat/>
    <w:uiPriority w:val="0"/>
    <w:pPr>
      <w:widowControl/>
    </w:pPr>
    <w:rPr>
      <w:rFonts w:ascii="Calibri" w:hAnsi="Calibri" w:cs="Calibri"/>
      <w:kern w:val="0"/>
      <w:szCs w:val="21"/>
    </w:rPr>
  </w:style>
  <w:style w:type="paragraph" w:customStyle="1" w:styleId="110">
    <w:name w:val="正文1"/>
    <w:basedOn w:val="1"/>
    <w:next w:val="1"/>
    <w:qFormat/>
    <w:uiPriority w:val="0"/>
    <w:pPr>
      <w:tabs>
        <w:tab w:val="left" w:pos="1980"/>
        <w:tab w:val="left" w:pos="2160"/>
      </w:tabs>
      <w:spacing w:line="360" w:lineRule="auto"/>
      <w:ind w:left="2160"/>
    </w:pPr>
    <w:rPr>
      <w:rFonts w:ascii="宋体" w:hAnsi="宋体"/>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09C4C8-1CBD-47A7-9E9E-E2198C1469B6}">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49</Pages>
  <Words>5258</Words>
  <Characters>29976</Characters>
  <Lines>249</Lines>
  <Paragraphs>70</Paragraphs>
  <TotalTime>1</TotalTime>
  <ScaleCrop>false</ScaleCrop>
  <LinksUpToDate>false</LinksUpToDate>
  <CharactersWithSpaces>35164</CharactersWithSpaces>
  <Application>WPS Office_11.1.0.10577_F1E327BC-269C-435d-A152-05C5408002CA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2020-11-05T16:05:00Z</dcterms:created>
  <dc:creator>Ting</dc:creator>
  <cp:lastModifiedBy>郭虹</cp:lastModifiedBy>
  <cp:lastPrinted>2020-08-07T08:05:00Z</cp:lastPrinted>
  <dcterms:modified xsi:type="dcterms:W3CDTF">2021-06-28T08:52:23Z</dcterms:modified>
  <dc:title>绍兴市公安局交通警察支队交警互联网支付及罚缴平台二期项目 </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5959D7E7BAE94747A9445AFA89F02736</vt:lpwstr>
  </property>
</Properties>
</file>