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rPr>
      </w:pPr>
    </w:p>
    <w:p>
      <w:pPr>
        <w:jc w:val="center"/>
        <w:outlineLvl w:val="0"/>
        <w:rPr>
          <w:rFonts w:ascii="隶书" w:hAnsi="Arial" w:eastAsia="隶书" w:cs="Arial"/>
          <w:b/>
          <w:spacing w:val="-12"/>
          <w:sz w:val="48"/>
          <w:szCs w:val="48"/>
        </w:rPr>
      </w:pPr>
    </w:p>
    <w:p>
      <w:pPr>
        <w:jc w:val="center"/>
        <w:outlineLvl w:val="0"/>
        <w:rPr>
          <w:rFonts w:ascii="隶书" w:hAnsi="Arial" w:eastAsia="隶书" w:cs="Arial"/>
          <w:b/>
          <w:spacing w:val="-12"/>
          <w:sz w:val="48"/>
          <w:szCs w:val="48"/>
        </w:rPr>
      </w:pPr>
      <w:r>
        <w:rPr>
          <w:rFonts w:hint="eastAsia" w:ascii="隶书" w:hAnsi="Arial" w:eastAsia="隶书" w:cs="Arial"/>
          <w:b/>
          <w:spacing w:val="-12"/>
          <w:sz w:val="48"/>
          <w:szCs w:val="48"/>
        </w:rPr>
        <w:t>环保设施电力监控系统建设项目</w:t>
      </w:r>
    </w:p>
    <w:p>
      <w:pPr>
        <w:jc w:val="center"/>
        <w:outlineLvl w:val="0"/>
        <w:rPr>
          <w:rFonts w:ascii="隶书" w:hAnsi="Arial" w:eastAsia="隶书" w:cs="Arial"/>
          <w:b/>
          <w:sz w:val="72"/>
          <w:szCs w:val="72"/>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p>
    <w:p>
      <w:pPr>
        <w:jc w:val="center"/>
        <w:rPr>
          <w:rFonts w:hint="eastAsia" w:ascii="隶书" w:eastAsia="隶书"/>
          <w:b/>
          <w:sz w:val="28"/>
          <w:szCs w:val="28"/>
        </w:rPr>
      </w:pPr>
    </w:p>
    <w:p>
      <w:pPr>
        <w:jc w:val="center"/>
        <w:rPr>
          <w:rFonts w:hint="eastAsia" w:ascii="隶书" w:eastAsia="隶书"/>
          <w:b/>
          <w:sz w:val="28"/>
          <w:szCs w:val="28"/>
        </w:rPr>
      </w:pPr>
    </w:p>
    <w:p>
      <w:pPr>
        <w:jc w:val="center"/>
        <w:rPr>
          <w:rFonts w:ascii="隶书" w:eastAsia="隶书"/>
          <w:b/>
          <w:sz w:val="28"/>
          <w:szCs w:val="28"/>
        </w:rPr>
      </w:pPr>
      <w:r>
        <w:rPr>
          <w:rFonts w:hint="eastAsia" w:ascii="隶书" w:eastAsia="隶书"/>
          <w:b/>
          <w:sz w:val="28"/>
          <w:szCs w:val="28"/>
        </w:rPr>
        <w:t>招标编号:YH2021-02012</w:t>
      </w:r>
    </w:p>
    <w:tbl>
      <w:tblPr>
        <w:tblStyle w:val="41"/>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Borders>
              <w:top w:val="nil"/>
              <w:left w:val="nil"/>
              <w:bottom w:val="nil"/>
              <w:right w:val="nil"/>
            </w:tcBorders>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tcBorders>
              <w:top w:val="nil"/>
              <w:left w:val="nil"/>
              <w:bottom w:val="nil"/>
              <w:right w:val="nil"/>
            </w:tcBorders>
            <w:vAlign w:val="center"/>
          </w:tcPr>
          <w:p>
            <w:pPr>
              <w:spacing w:line="320" w:lineRule="exact"/>
              <w:outlineLvl w:val="0"/>
              <w:rPr>
                <w:rFonts w:ascii="隶书" w:hAnsi="宋体" w:eastAsia="隶书"/>
                <w:b/>
                <w:sz w:val="28"/>
                <w:szCs w:val="28"/>
              </w:rPr>
            </w:pPr>
            <w:r>
              <w:rPr>
                <w:rFonts w:hint="eastAsia" w:ascii="隶书" w:hAnsi="宋体" w:eastAsia="隶书"/>
                <w:sz w:val="28"/>
                <w:szCs w:val="28"/>
              </w:rPr>
              <w:t>绍兴市生态环境局本级</w:t>
            </w:r>
          </w:p>
        </w:tc>
      </w:tr>
      <w:tr>
        <w:tblPrEx>
          <w:tblCellMar>
            <w:top w:w="0" w:type="dxa"/>
            <w:left w:w="108" w:type="dxa"/>
            <w:bottom w:w="0" w:type="dxa"/>
            <w:right w:w="108" w:type="dxa"/>
          </w:tblCellMar>
        </w:tblPrEx>
        <w:trPr>
          <w:trHeight w:val="494" w:hRule="atLeast"/>
          <w:jc w:val="center"/>
        </w:trPr>
        <w:tc>
          <w:tcPr>
            <w:tcW w:w="2356" w:type="dxa"/>
            <w:tcBorders>
              <w:top w:val="nil"/>
              <w:left w:val="nil"/>
              <w:bottom w:val="nil"/>
              <w:right w:val="nil"/>
            </w:tcBorders>
          </w:tcPr>
          <w:p>
            <w:pPr>
              <w:spacing w:after="100" w:afterAutospacing="1" w:line="440" w:lineRule="exact"/>
              <w:rPr>
                <w:rFonts w:ascii="隶书" w:hAnsi="宋体" w:eastAsia="隶书"/>
                <w:sz w:val="28"/>
                <w:szCs w:val="28"/>
              </w:rPr>
            </w:pPr>
            <w:r>
              <w:rPr>
                <w:rFonts w:hint="eastAsia" w:ascii="隶书" w:hAnsi="宋体" w:eastAsia="隶书"/>
                <w:w w:val="98"/>
                <w:kern w:val="0"/>
                <w:sz w:val="28"/>
                <w:szCs w:val="28"/>
              </w:rPr>
              <w:t>采购代理机</w:t>
            </w:r>
            <w:r>
              <w:rPr>
                <w:rFonts w:hint="eastAsia" w:ascii="隶书" w:hAnsi="宋体" w:eastAsia="隶书"/>
                <w:spacing w:val="75"/>
                <w:w w:val="98"/>
                <w:kern w:val="0"/>
                <w:sz w:val="28"/>
                <w:szCs w:val="28"/>
              </w:rPr>
              <w:t>构</w:t>
            </w:r>
            <w:r>
              <w:rPr>
                <w:rFonts w:hint="eastAsia" w:ascii="隶书" w:hAnsi="宋体" w:eastAsia="隶书"/>
                <w:sz w:val="28"/>
                <w:szCs w:val="28"/>
              </w:rPr>
              <w:t>：</w:t>
            </w:r>
          </w:p>
        </w:tc>
        <w:tc>
          <w:tcPr>
            <w:tcW w:w="5445" w:type="dxa"/>
            <w:tcBorders>
              <w:top w:val="nil"/>
              <w:left w:val="nil"/>
              <w:bottom w:val="nil"/>
              <w:right w:val="nil"/>
            </w:tcBorders>
          </w:tcPr>
          <w:p>
            <w:pPr>
              <w:spacing w:after="100" w:afterAutospacing="1" w:line="440" w:lineRule="exact"/>
              <w:rPr>
                <w:rFonts w:ascii="隶书" w:hAnsi="宋体" w:eastAsia="隶书"/>
                <w:sz w:val="28"/>
                <w:szCs w:val="28"/>
              </w:rPr>
            </w:pPr>
            <w:r>
              <w:rPr>
                <w:rFonts w:hint="eastAsia" w:ascii="隶书" w:hAnsi="宋体" w:eastAsia="隶书"/>
                <w:sz w:val="28"/>
                <w:szCs w:val="28"/>
              </w:rPr>
              <w:t>耀华建设管理有限公司</w:t>
            </w:r>
          </w:p>
        </w:tc>
      </w:tr>
      <w:tr>
        <w:tblPrEx>
          <w:tblCellMar>
            <w:top w:w="0" w:type="dxa"/>
            <w:left w:w="108" w:type="dxa"/>
            <w:bottom w:w="0" w:type="dxa"/>
            <w:right w:w="108" w:type="dxa"/>
          </w:tblCellMar>
        </w:tblPrEx>
        <w:trPr>
          <w:trHeight w:val="397" w:hRule="atLeast"/>
          <w:jc w:val="center"/>
        </w:trPr>
        <w:tc>
          <w:tcPr>
            <w:tcW w:w="2356" w:type="dxa"/>
            <w:tcBorders>
              <w:top w:val="nil"/>
              <w:left w:val="nil"/>
              <w:bottom w:val="nil"/>
              <w:right w:val="nil"/>
            </w:tcBorders>
            <w:vAlign w:val="center"/>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fitText w:val="1680" w:id="0"/>
              </w:rPr>
              <w:t>监督单</w:t>
            </w:r>
            <w:r>
              <w:rPr>
                <w:rFonts w:hint="eastAsia" w:ascii="隶书" w:hAnsi="宋体" w:eastAsia="隶书"/>
                <w:spacing w:val="1"/>
                <w:kern w:val="0"/>
                <w:sz w:val="28"/>
                <w:szCs w:val="28"/>
                <w:fitText w:val="1680" w:id="0"/>
              </w:rPr>
              <w:t>位</w:t>
            </w:r>
            <w:r>
              <w:rPr>
                <w:rFonts w:hint="eastAsia" w:ascii="隶书" w:hAnsi="宋体" w:eastAsia="隶书"/>
                <w:sz w:val="28"/>
                <w:szCs w:val="28"/>
              </w:rPr>
              <w:t>：</w:t>
            </w:r>
          </w:p>
        </w:tc>
        <w:tc>
          <w:tcPr>
            <w:tcW w:w="5445" w:type="dxa"/>
            <w:tcBorders>
              <w:top w:val="nil"/>
              <w:left w:val="nil"/>
              <w:bottom w:val="nil"/>
              <w:right w:val="nil"/>
            </w:tcBorders>
          </w:tcPr>
          <w:p>
            <w:pPr>
              <w:spacing w:after="100" w:afterAutospacing="1" w:line="440" w:lineRule="exact"/>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tcBorders>
              <w:top w:val="nil"/>
              <w:left w:val="nil"/>
              <w:bottom w:val="nil"/>
              <w:right w:val="nil"/>
            </w:tcBorders>
          </w:tcPr>
          <w:p>
            <w:pPr>
              <w:spacing w:after="100" w:afterAutospacing="1" w:line="440" w:lineRule="exact"/>
              <w:rPr>
                <w:rFonts w:ascii="隶书" w:hAnsi="宋体" w:eastAsia="隶书"/>
                <w:sz w:val="28"/>
                <w:szCs w:val="28"/>
              </w:rPr>
            </w:pPr>
          </w:p>
        </w:tc>
        <w:tc>
          <w:tcPr>
            <w:tcW w:w="5445" w:type="dxa"/>
            <w:tcBorders>
              <w:top w:val="nil"/>
              <w:left w:val="nil"/>
              <w:bottom w:val="nil"/>
              <w:right w:val="nil"/>
            </w:tcBorders>
          </w:tcPr>
          <w:p>
            <w:pPr>
              <w:spacing w:after="100" w:afterAutospacing="1" w:line="440" w:lineRule="exact"/>
              <w:rPr>
                <w:rFonts w:ascii="隶书" w:hAnsi="宋体" w:eastAsia="隶书"/>
                <w:sz w:val="28"/>
                <w:szCs w:val="28"/>
              </w:rPr>
            </w:pPr>
          </w:p>
        </w:tc>
      </w:tr>
      <w:tr>
        <w:tblPrEx>
          <w:tblCellMar>
            <w:top w:w="0" w:type="dxa"/>
            <w:left w:w="108" w:type="dxa"/>
            <w:bottom w:w="0" w:type="dxa"/>
            <w:right w:w="108" w:type="dxa"/>
          </w:tblCellMar>
        </w:tblPrEx>
        <w:trPr>
          <w:trHeight w:val="333" w:hRule="atLeast"/>
          <w:jc w:val="center"/>
        </w:trPr>
        <w:tc>
          <w:tcPr>
            <w:tcW w:w="7801" w:type="dxa"/>
            <w:gridSpan w:val="2"/>
            <w:tcBorders>
              <w:top w:val="nil"/>
            </w:tcBorders>
          </w:tcPr>
          <w:p>
            <w:pPr>
              <w:spacing w:after="100" w:afterAutospacing="1" w:line="440" w:lineRule="exact"/>
              <w:jc w:val="center"/>
              <w:rPr>
                <w:rFonts w:ascii="隶书" w:hAnsi="宋体" w:eastAsia="隶书"/>
                <w:sz w:val="28"/>
                <w:szCs w:val="28"/>
              </w:rPr>
            </w:pPr>
            <w:r>
              <w:rPr>
                <w:rFonts w:hint="eastAsia" w:ascii="隶书" w:eastAsia="隶书"/>
                <w:sz w:val="28"/>
                <w:szCs w:val="28"/>
              </w:rPr>
              <w:t>二○二○年</w:t>
            </w:r>
            <w:r>
              <w:rPr>
                <w:rFonts w:hint="eastAsia" w:ascii="隶书" w:eastAsia="隶书"/>
                <w:sz w:val="28"/>
                <w:szCs w:val="28"/>
                <w:lang w:eastAsia="zh-CN"/>
              </w:rPr>
              <w:t>三</w:t>
            </w:r>
            <w:r>
              <w:rPr>
                <w:rFonts w:hint="eastAsia" w:ascii="隶书" w:eastAsia="隶书"/>
                <w:sz w:val="28"/>
                <w:szCs w:val="28"/>
              </w:rPr>
              <w:t>月</w:t>
            </w:r>
          </w:p>
        </w:tc>
      </w:tr>
    </w:tbl>
    <w:p>
      <w:pPr>
        <w:jc w:val="center"/>
        <w:rPr>
          <w:rFonts w:ascii="隶书" w:eastAsia="隶书"/>
          <w:b/>
          <w:sz w:val="44"/>
          <w:szCs w:val="44"/>
        </w:rPr>
      </w:pPr>
    </w:p>
    <w:p>
      <w:pPr>
        <w:ind w:firstLine="3092" w:firstLineChars="700"/>
        <w:rPr>
          <w:rFonts w:ascii="仿宋_GB2312" w:eastAsia="仿宋_GB2312"/>
          <w:b/>
          <w:sz w:val="44"/>
          <w:szCs w:val="44"/>
        </w:rPr>
      </w:pPr>
    </w:p>
    <w:p>
      <w:pPr>
        <w:ind w:firstLine="3092" w:firstLineChars="700"/>
        <w:rPr>
          <w:rFonts w:ascii="仿宋_GB2312" w:eastAsia="仿宋_GB2312"/>
          <w:b/>
          <w:sz w:val="44"/>
          <w:szCs w:val="44"/>
        </w:rPr>
      </w:pPr>
    </w:p>
    <w:p>
      <w:pPr>
        <w:ind w:firstLine="3092" w:firstLineChars="700"/>
        <w:rPr>
          <w:rFonts w:ascii="仿宋_GB2312" w:eastAsia="仿宋_GB2312"/>
          <w:b/>
          <w:sz w:val="44"/>
          <w:szCs w:val="44"/>
        </w:rPr>
      </w:pPr>
    </w:p>
    <w:p>
      <w:pPr>
        <w:ind w:firstLine="3092" w:firstLineChars="700"/>
        <w:rPr>
          <w:rFonts w:ascii="仿宋_GB2312" w:eastAsia="仿宋_GB2312"/>
          <w:b/>
          <w:sz w:val="44"/>
          <w:szCs w:val="44"/>
        </w:rPr>
      </w:pPr>
    </w:p>
    <w:p>
      <w:pPr>
        <w:ind w:firstLine="3092" w:firstLineChars="700"/>
        <w:rPr>
          <w:rFonts w:ascii="仿宋_GB2312" w:eastAsia="仿宋_GB2312"/>
          <w:b/>
          <w:sz w:val="44"/>
          <w:szCs w:val="44"/>
        </w:rPr>
      </w:pPr>
      <w:r>
        <w:rPr>
          <w:rFonts w:hint="eastAsia" w:ascii="仿宋_GB2312" w:eastAsia="仿宋_GB2312"/>
          <w:b/>
          <w:sz w:val="44"/>
          <w:szCs w:val="44"/>
        </w:rPr>
        <w:t>目</w:t>
      </w:r>
      <w:r>
        <w:rPr>
          <w:rFonts w:hint="eastAsia" w:ascii="仿宋_GB2312" w:eastAsia="仿宋_GB2312"/>
          <w:b/>
          <w:sz w:val="44"/>
          <w:szCs w:val="44"/>
          <w:lang w:val="en-US" w:eastAsia="zh-CN"/>
        </w:rPr>
        <w:t xml:space="preserve">  </w:t>
      </w:r>
      <w:r>
        <w:rPr>
          <w:rFonts w:hint="eastAsia" w:ascii="仿宋_GB2312" w:eastAsia="仿宋_GB2312"/>
          <w:b/>
          <w:sz w:val="44"/>
          <w:szCs w:val="44"/>
        </w:rPr>
        <w:t>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tbl>
      <w:tblPr>
        <w:tblStyle w:val="41"/>
        <w:tblW w:w="8742" w:type="dxa"/>
        <w:tblInd w:w="0" w:type="dxa"/>
        <w:tblLayout w:type="fixed"/>
        <w:tblCellMar>
          <w:top w:w="0" w:type="dxa"/>
          <w:left w:w="0" w:type="dxa"/>
          <w:bottom w:w="0" w:type="dxa"/>
          <w:right w:w="0" w:type="dxa"/>
        </w:tblCellMar>
      </w:tblPr>
      <w:tblGrid>
        <w:gridCol w:w="8742"/>
      </w:tblGrid>
      <w:tr>
        <w:tblPrEx>
          <w:tblCellMar>
            <w:top w:w="0" w:type="dxa"/>
            <w:left w:w="0" w:type="dxa"/>
            <w:bottom w:w="0" w:type="dxa"/>
            <w:right w:w="0" w:type="dxa"/>
          </w:tblCellMar>
        </w:tblPrEx>
        <w:trPr>
          <w:trHeight w:val="13892" w:hRule="atLeast"/>
        </w:trPr>
        <w:tc>
          <w:tcPr>
            <w:tcW w:w="8742" w:type="dxa"/>
            <w:vAlign w:val="center"/>
          </w:tcPr>
          <w:p>
            <w:pPr>
              <w:pageBreakBefore/>
              <w:widowControl/>
              <w:jc w:val="center"/>
              <w:rPr>
                <w:rFonts w:ascii="仿宋_GB2312" w:eastAsia="仿宋_GB2312"/>
                <w:b/>
                <w:sz w:val="36"/>
                <w:szCs w:val="36"/>
              </w:rPr>
            </w:pPr>
            <w:r>
              <w:rPr>
                <w:rFonts w:ascii="仿宋_GB2312" w:hAnsi="新宋体" w:eastAsia="仿宋_GB2312"/>
                <w:color w:val="000000" w:themeColor="text1"/>
                <w14:textFill>
                  <w14:solidFill>
                    <w14:schemeClr w14:val="tx1"/>
                  </w14:solidFill>
                </w14:textFill>
              </w:rPr>
              <w:br w:type="page"/>
            </w:r>
            <w:r>
              <w:rPr>
                <w:rFonts w:hint="eastAsia" w:ascii="仿宋_GB2312" w:eastAsia="仿宋_GB2312"/>
                <w:b/>
                <w:sz w:val="36"/>
                <w:szCs w:val="36"/>
              </w:rPr>
              <w:t>第一部分 招标公告</w:t>
            </w:r>
          </w:p>
          <w:p>
            <w:pPr>
              <w:rPr>
                <w:color w:val="000000" w:themeColor="text1"/>
                <w14:textFill>
                  <w14:solidFill>
                    <w14:schemeClr w14:val="tx1"/>
                  </w14:solidFill>
                </w14:textFill>
              </w:rPr>
            </w:pPr>
          </w:p>
          <w:tbl>
            <w:tblPr>
              <w:tblStyle w:val="41"/>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项目概况：</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0" w:firstLineChars="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环保设施电力监控系统建设项目的潜在投标人应在网上报名获取（下载）招标文件，并于2021年</w:t>
                  </w:r>
                  <w:r>
                    <w:rPr>
                      <w:rFonts w:hint="eastAsia" w:ascii="仿宋_GB2312" w:hAnsi="新宋体" w:eastAsia="仿宋_GB2312"/>
                      <w:color w:val="000000" w:themeColor="text1"/>
                      <w:szCs w:val="24"/>
                      <w:lang w:val="en-US" w:eastAsia="zh-CN"/>
                      <w14:textFill>
                        <w14:solidFill>
                          <w14:schemeClr w14:val="tx1"/>
                        </w14:solidFill>
                      </w14:textFill>
                    </w:rPr>
                    <w:t>3</w:t>
                  </w:r>
                  <w:r>
                    <w:rPr>
                      <w:rFonts w:hint="eastAsia" w:ascii="仿宋_GB2312" w:hAnsi="新宋体" w:eastAsia="仿宋_GB2312"/>
                      <w:color w:val="000000" w:themeColor="text1"/>
                      <w:szCs w:val="24"/>
                      <w14:textFill>
                        <w14:solidFill>
                          <w14:schemeClr w14:val="tx1"/>
                        </w14:solidFill>
                      </w14:textFill>
                    </w:rPr>
                    <w:t>月</w:t>
                  </w:r>
                  <w:r>
                    <w:rPr>
                      <w:rFonts w:hint="eastAsia" w:ascii="仿宋_GB2312" w:hAnsi="新宋体" w:eastAsia="仿宋_GB2312"/>
                      <w:color w:val="000000" w:themeColor="text1"/>
                      <w:szCs w:val="24"/>
                      <w:lang w:val="en-US" w:eastAsia="zh-CN"/>
                      <w14:textFill>
                        <w14:solidFill>
                          <w14:schemeClr w14:val="tx1"/>
                        </w14:solidFill>
                      </w14:textFill>
                    </w:rPr>
                    <w:t>26</w:t>
                  </w:r>
                  <w:r>
                    <w:rPr>
                      <w:rFonts w:hint="eastAsia" w:ascii="仿宋_GB2312" w:hAnsi="新宋体" w:eastAsia="仿宋_GB2312"/>
                      <w:color w:val="000000" w:themeColor="text1"/>
                      <w:szCs w:val="24"/>
                      <w14:textFill>
                        <w14:solidFill>
                          <w14:schemeClr w14:val="tx1"/>
                        </w14:solidFill>
                      </w14:textFill>
                    </w:rPr>
                    <w:t>日 09:00（北京时间）前递交（上传）投标文件。</w:t>
                  </w:r>
                </w:p>
              </w:tc>
            </w:tr>
          </w:tbl>
          <w:p>
            <w:pPr>
              <w:pStyle w:val="67"/>
              <w:spacing w:afterLines="0" w:line="440" w:lineRule="exact"/>
              <w:ind w:firstLine="480"/>
              <w:jc w:val="left"/>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一、项目基本情况</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项目编号：</w:t>
            </w:r>
            <w:r>
              <w:rPr>
                <w:rFonts w:hint="eastAsia" w:ascii="仿宋_GB2312" w:hAnsi="新宋体" w:eastAsia="仿宋_GB2312"/>
                <w:b/>
                <w:color w:val="000000" w:themeColor="text1"/>
                <w:szCs w:val="24"/>
                <w14:textFill>
                  <w14:solidFill>
                    <w14:schemeClr w14:val="tx1"/>
                  </w14:solidFill>
                </w14:textFill>
              </w:rPr>
              <w:t>YH2021-02012</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项目名称：绍兴市生态环境局本级环保设施电力监控系统建设项目</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预算金额（元）：465000</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最高限价（元）：465000</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采购需求：详见采购文件</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标项一:</w:t>
            </w:r>
            <w:r>
              <w:rPr>
                <w:rFonts w:hint="eastAsia" w:ascii="仿宋_GB2312" w:hAnsi="新宋体" w:eastAsia="仿宋_GB2312"/>
                <w:color w:val="000000" w:themeColor="text1"/>
                <w:szCs w:val="24"/>
                <w14:textFill>
                  <w14:solidFill>
                    <w14:schemeClr w14:val="tx1"/>
                  </w14:solidFill>
                </w14:textFill>
              </w:rPr>
              <w:br w:type="textWrapping"/>
            </w: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标项名称:</w:t>
            </w: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环保设施电力监控系统建设项目</w:t>
            </w: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br w:type="textWrapping"/>
            </w: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数量:1</w:t>
            </w:r>
            <w:r>
              <w:rPr>
                <w:rFonts w:hint="eastAsia" w:ascii="仿宋_GB2312" w:hAnsi="新宋体" w:eastAsia="仿宋_GB2312"/>
                <w:color w:val="000000" w:themeColor="text1"/>
                <w:szCs w:val="24"/>
                <w14:textFill>
                  <w14:solidFill>
                    <w14:schemeClr w14:val="tx1"/>
                  </w14:solidFill>
                </w14:textFill>
              </w:rPr>
              <w:br w:type="textWrapping"/>
            </w: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预算金额（元）:</w:t>
            </w: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465000</w:t>
            </w:r>
            <w:r>
              <w:rPr>
                <w:rFonts w:hint="eastAsia" w:ascii="仿宋_GB2312" w:hAnsi="新宋体" w:eastAsia="仿宋_GB2312"/>
                <w:color w:val="000000" w:themeColor="text1"/>
                <w:szCs w:val="24"/>
                <w14:textFill>
                  <w14:solidFill>
                    <w14:schemeClr w14:val="tx1"/>
                  </w14:solidFill>
                </w14:textFill>
              </w:rPr>
              <w:br w:type="textWrapping"/>
            </w: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简要规格描述或项目基本概况介绍、用途：详见采购文件</w:t>
            </w: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br w:type="textWrapping"/>
            </w: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备注：</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合同履约期限：按双方合同约定条款执行。</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本项目（否）接受联合体投标。</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二、申请人的资格要求：</w:t>
            </w:r>
          </w:p>
          <w:p>
            <w:pPr>
              <w:pStyle w:val="67"/>
              <w:spacing w:afterLines="0" w:line="440" w:lineRule="exact"/>
              <w:ind w:firstLine="480"/>
              <w:jc w:val="left"/>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1.满足《中华人民共和国政府采购法》第二十二条规定；</w:t>
            </w:r>
            <w:r>
              <w:rPr>
                <w:rFonts w:hint="eastAsia" w:ascii="仿宋_GB2312" w:hAnsi="新宋体" w:eastAsia="仿宋_GB2312"/>
              </w:rPr>
              <w:t>未被“信用中国”（www.creditchina.gov.cn)、中国政府采购网（www.ccgp.gov.cn）列入失信被执行人、重大税收违法案件当事人名单、政府采购严重违法失信行为记录名单。</w:t>
            </w:r>
          </w:p>
          <w:p>
            <w:pPr>
              <w:pStyle w:val="67"/>
              <w:spacing w:afterLines="0" w:line="440" w:lineRule="exact"/>
              <w:ind w:firstLine="480"/>
              <w:jc w:val="left"/>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szCs w:val="24"/>
              </w:rPr>
              <w:t>2.落实政府采购政策需满足的资格要求</w:t>
            </w:r>
            <w:r>
              <w:rPr>
                <w:rFonts w:hint="eastAsia" w:ascii="仿宋_GB2312" w:hAnsi="新宋体" w:eastAsia="仿宋_GB2312"/>
                <w:color w:val="000000" w:themeColor="text1"/>
                <w:szCs w:val="24"/>
                <w14:textFill>
                  <w14:solidFill>
                    <w14:schemeClr w14:val="tx1"/>
                  </w14:solidFill>
                </w14:textFill>
              </w:rPr>
              <w:t>：</w:t>
            </w:r>
            <w:r>
              <w:rPr>
                <w:rFonts w:hint="eastAsia" w:ascii="仿宋" w:hAnsi="仿宋" w:eastAsia="仿宋"/>
                <w:color w:val="000000" w:themeColor="text1"/>
                <w14:textFill>
                  <w14:solidFill>
                    <w14:schemeClr w14:val="tx1"/>
                  </w14:solidFill>
                </w14:textFill>
              </w:rPr>
              <w:t>无</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3.本项目的特定资格要求：无</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三、获取招标文件</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时间：</w:t>
            </w:r>
            <w:r>
              <w:rPr>
                <w:rFonts w:ascii="仿宋_GB2312" w:hAnsi="新宋体" w:eastAsia="仿宋_GB2312"/>
                <w:color w:val="000000" w:themeColor="text1"/>
                <w:szCs w:val="24"/>
                <w14:textFill>
                  <w14:solidFill>
                    <w14:schemeClr w14:val="tx1"/>
                  </w14:solidFill>
                </w14:textFill>
              </w:rPr>
              <w:t>202</w:t>
            </w:r>
            <w:r>
              <w:rPr>
                <w:rFonts w:hint="eastAsia" w:ascii="仿宋_GB2312" w:hAnsi="新宋体" w:eastAsia="仿宋_GB2312"/>
                <w:color w:val="000000" w:themeColor="text1"/>
                <w:szCs w:val="24"/>
                <w14:textFill>
                  <w14:solidFill>
                    <w14:schemeClr w14:val="tx1"/>
                  </w14:solidFill>
                </w14:textFill>
              </w:rPr>
              <w:t>1</w:t>
            </w:r>
            <w:r>
              <w:rPr>
                <w:rFonts w:ascii="仿宋_GB2312" w:hAnsi="新宋体" w:eastAsia="仿宋_GB2312"/>
                <w:color w:val="000000" w:themeColor="text1"/>
                <w:szCs w:val="24"/>
                <w14:textFill>
                  <w14:solidFill>
                    <w14:schemeClr w14:val="tx1"/>
                  </w14:solidFill>
                </w14:textFill>
              </w:rPr>
              <w:t>年</w:t>
            </w:r>
            <w:r>
              <w:rPr>
                <w:rFonts w:hint="eastAsia" w:ascii="仿宋_GB2312" w:hAnsi="新宋体" w:eastAsia="仿宋_GB2312"/>
                <w:color w:val="000000" w:themeColor="text1"/>
                <w:szCs w:val="24"/>
                <w:lang w:val="en-US" w:eastAsia="zh-CN"/>
                <w14:textFill>
                  <w14:solidFill>
                    <w14:schemeClr w14:val="tx1"/>
                  </w14:solidFill>
                </w14:textFill>
              </w:rPr>
              <w:t>3</w:t>
            </w:r>
            <w:r>
              <w:rPr>
                <w:rFonts w:ascii="仿宋_GB2312" w:hAnsi="新宋体" w:eastAsia="仿宋_GB2312"/>
                <w:color w:val="000000" w:themeColor="text1"/>
                <w:szCs w:val="24"/>
                <w14:textFill>
                  <w14:solidFill>
                    <w14:schemeClr w14:val="tx1"/>
                  </w14:solidFill>
                </w14:textFill>
              </w:rPr>
              <w:t>月</w:t>
            </w:r>
            <w:r>
              <w:rPr>
                <w:rFonts w:hint="eastAsia" w:ascii="仿宋_GB2312" w:hAnsi="新宋体" w:eastAsia="仿宋_GB2312"/>
                <w:color w:val="000000" w:themeColor="text1"/>
                <w:szCs w:val="24"/>
                <w:lang w:val="en-US" w:eastAsia="zh-CN"/>
                <w14:textFill>
                  <w14:solidFill>
                    <w14:schemeClr w14:val="tx1"/>
                  </w14:solidFill>
                </w14:textFill>
              </w:rPr>
              <w:t>5</w:t>
            </w:r>
            <w:r>
              <w:rPr>
                <w:rFonts w:ascii="仿宋_GB2312" w:hAnsi="新宋体" w:eastAsia="仿宋_GB2312"/>
                <w:color w:val="000000" w:themeColor="text1"/>
                <w:szCs w:val="24"/>
                <w14:textFill>
                  <w14:solidFill>
                    <w14:schemeClr w14:val="tx1"/>
                  </w14:solidFill>
                </w14:textFill>
              </w:rPr>
              <w:t>日</w:t>
            </w:r>
            <w:r>
              <w:rPr>
                <w:rFonts w:hint="eastAsia" w:ascii="仿宋_GB2312" w:hAnsi="新宋体" w:eastAsia="仿宋_GB2312"/>
                <w:color w:val="000000" w:themeColor="text1"/>
                <w:szCs w:val="24"/>
                <w14:textFill>
                  <w14:solidFill>
                    <w14:schemeClr w14:val="tx1"/>
                  </w14:solidFill>
                </w14:textFill>
              </w:rPr>
              <w:t>/至2021年</w:t>
            </w:r>
            <w:r>
              <w:rPr>
                <w:rFonts w:hint="eastAsia" w:ascii="仿宋_GB2312" w:hAnsi="新宋体" w:eastAsia="仿宋_GB2312"/>
                <w:color w:val="000000" w:themeColor="text1"/>
                <w:szCs w:val="24"/>
                <w:lang w:val="en-US" w:eastAsia="zh-CN"/>
                <w14:textFill>
                  <w14:solidFill>
                    <w14:schemeClr w14:val="tx1"/>
                  </w14:solidFill>
                </w14:textFill>
              </w:rPr>
              <w:t>3</w:t>
            </w:r>
            <w:r>
              <w:rPr>
                <w:rFonts w:hint="eastAsia" w:ascii="仿宋_GB2312" w:hAnsi="新宋体" w:eastAsia="仿宋_GB2312"/>
                <w:color w:val="000000" w:themeColor="text1"/>
                <w:szCs w:val="24"/>
                <w14:textFill>
                  <w14:solidFill>
                    <w14:schemeClr w14:val="tx1"/>
                  </w14:solidFill>
                </w14:textFill>
              </w:rPr>
              <w:t>月</w:t>
            </w:r>
            <w:r>
              <w:rPr>
                <w:rFonts w:hint="eastAsia" w:ascii="仿宋_GB2312" w:hAnsi="新宋体" w:eastAsia="仿宋_GB2312"/>
                <w:color w:val="000000" w:themeColor="text1"/>
                <w:szCs w:val="24"/>
                <w:lang w:val="en-US" w:eastAsia="zh-CN"/>
                <w14:textFill>
                  <w14:solidFill>
                    <w14:schemeClr w14:val="tx1"/>
                  </w14:solidFill>
                </w14:textFill>
              </w:rPr>
              <w:t>26</w:t>
            </w:r>
            <w:r>
              <w:rPr>
                <w:rFonts w:hint="eastAsia" w:ascii="仿宋_GB2312" w:hAnsi="新宋体" w:eastAsia="仿宋_GB2312"/>
                <w:color w:val="000000" w:themeColor="text1"/>
                <w:szCs w:val="24"/>
                <w14:textFill>
                  <w14:solidFill>
                    <w14:schemeClr w14:val="tx1"/>
                  </w14:solidFill>
                </w14:textFill>
              </w:rPr>
              <w:t>日，每天上午00:00至12:00</w:t>
            </w: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，下午12:00至23:59（北京时间，线上获取法定节假日均可，线下获取文件法定节假日除外）</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地点（网址）：</w:t>
            </w:r>
            <w:r>
              <w:rPr>
                <w:rFonts w:ascii="仿宋_GB2312" w:hAnsi="新宋体" w:eastAsia="仿宋_GB2312" w:cs="Arial"/>
                <w:bCs/>
                <w:color w:val="000000" w:themeColor="text1"/>
                <w14:textFill>
                  <w14:solidFill>
                    <w14:schemeClr w14:val="tx1"/>
                  </w14:solidFill>
                </w14:textFill>
              </w:rPr>
              <w:t>http://www</w:t>
            </w:r>
            <w:r>
              <w:rPr>
                <w:rFonts w:hint="eastAsia" w:ascii="仿宋_GB2312" w:hAnsi="新宋体" w:eastAsia="仿宋_GB2312" w:cs="Arial"/>
                <w:bCs/>
                <w:color w:val="000000" w:themeColor="text1"/>
                <w14:textFill>
                  <w14:solidFill>
                    <w14:schemeClr w14:val="tx1"/>
                  </w14:solidFill>
                </w14:textFill>
              </w:rPr>
              <w:t>.</w:t>
            </w:r>
            <w:r>
              <w:rPr>
                <w:rFonts w:ascii="仿宋_GB2312" w:hAnsi="新宋体" w:eastAsia="仿宋_GB2312" w:cs="Arial"/>
                <w:bCs/>
                <w:color w:val="000000" w:themeColor="text1"/>
                <w14:textFill>
                  <w14:solidFill>
                    <w14:schemeClr w14:val="tx1"/>
                  </w14:solidFill>
                </w14:textFill>
              </w:rPr>
              <w:t>zcygov.cn/</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方式：</w:t>
            </w:r>
            <w:r>
              <w:rPr>
                <w:rFonts w:hint="eastAsia" w:ascii="仿宋_GB2312" w:hAnsi="新宋体" w:eastAsia="仿宋_GB2312" w:cs="Arial"/>
                <w:bCs/>
                <w:color w:val="000000" w:themeColor="text1"/>
                <w14:textFill>
                  <w14:solidFill>
                    <w14:schemeClr w14:val="tx1"/>
                  </w14:solidFill>
                </w14:textFill>
              </w:rPr>
              <w:t>供应商登陆政采云平台</w:t>
            </w:r>
            <w:r>
              <w:rPr>
                <w:rFonts w:ascii="仿宋_GB2312" w:hAnsi="新宋体" w:eastAsia="仿宋_GB2312" w:cs="Arial"/>
                <w:bCs/>
                <w:color w:val="000000" w:themeColor="text1"/>
                <w14:textFill>
                  <w14:solidFill>
                    <w14:schemeClr w14:val="tx1"/>
                  </w14:solidFill>
                </w14:textFill>
              </w:rPr>
              <w:t>http://www</w:t>
            </w:r>
            <w:r>
              <w:rPr>
                <w:rFonts w:hint="eastAsia" w:ascii="仿宋_GB2312" w:hAnsi="新宋体" w:eastAsia="仿宋_GB2312" w:cs="Arial"/>
                <w:bCs/>
                <w:color w:val="000000" w:themeColor="text1"/>
                <w14:textFill>
                  <w14:solidFill>
                    <w14:schemeClr w14:val="tx1"/>
                  </w14:solidFill>
                </w14:textFill>
              </w:rPr>
              <w:t>.</w:t>
            </w:r>
            <w:r>
              <w:rPr>
                <w:rFonts w:ascii="仿宋_GB2312" w:hAnsi="新宋体" w:eastAsia="仿宋_GB2312" w:cs="Arial"/>
                <w:bCs/>
                <w:color w:val="000000" w:themeColor="text1"/>
                <w14:textFill>
                  <w14:solidFill>
                    <w14:schemeClr w14:val="tx1"/>
                  </w14:solidFill>
                </w14:textFill>
              </w:rPr>
              <w:t>zcygov.cn/</w:t>
            </w:r>
            <w:r>
              <w:rPr>
                <w:rFonts w:hint="eastAsia" w:ascii="仿宋_GB2312" w:hAnsi="新宋体" w:eastAsia="仿宋_GB2312" w:cs="Arial"/>
                <w:bCs/>
                <w:color w:val="000000" w:themeColor="text1"/>
                <w14:textFill>
                  <w14:solidFill>
                    <w14:schemeClr w14:val="tx1"/>
                  </w14:solidFill>
                </w14:textFill>
              </w:rPr>
              <w:t>，在线申请获取采购文件（进入“项目采购”应用，在获取采购文件菜单中选择项目，申请获取采购文件）</w:t>
            </w:r>
            <w:r>
              <w:rPr>
                <w:rFonts w:ascii="仿宋_GB2312" w:hAnsi="新宋体" w:eastAsia="仿宋_GB2312" w:cs="Arial"/>
                <w:bCs/>
                <w:color w:val="000000" w:themeColor="text1"/>
                <w14:textFill>
                  <w14:solidFill>
                    <w14:schemeClr w14:val="tx1"/>
                  </w14:solidFill>
                </w14:textFill>
              </w:rPr>
              <w:t>。</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售价（元）：0</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四、提交投标文件截止时间、开标时间和地点</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提交投标文件截止时间：2021年</w:t>
            </w:r>
            <w:r>
              <w:rPr>
                <w:rFonts w:hint="eastAsia" w:ascii="仿宋_GB2312" w:hAnsi="新宋体" w:eastAsia="仿宋_GB2312"/>
                <w:color w:val="000000" w:themeColor="text1"/>
                <w:szCs w:val="24"/>
                <w:lang w:val="en-US" w:eastAsia="zh-CN"/>
                <w14:textFill>
                  <w14:solidFill>
                    <w14:schemeClr w14:val="tx1"/>
                  </w14:solidFill>
                </w14:textFill>
              </w:rPr>
              <w:t>3</w:t>
            </w:r>
            <w:r>
              <w:rPr>
                <w:rFonts w:hint="eastAsia" w:ascii="仿宋_GB2312" w:hAnsi="新宋体" w:eastAsia="仿宋_GB2312"/>
                <w:color w:val="000000" w:themeColor="text1"/>
                <w:szCs w:val="24"/>
                <w14:textFill>
                  <w14:solidFill>
                    <w14:schemeClr w14:val="tx1"/>
                  </w14:solidFill>
                </w14:textFill>
              </w:rPr>
              <w:t>月</w:t>
            </w:r>
            <w:r>
              <w:rPr>
                <w:rFonts w:hint="eastAsia" w:ascii="仿宋_GB2312" w:hAnsi="新宋体" w:eastAsia="仿宋_GB2312"/>
                <w:color w:val="000000" w:themeColor="text1"/>
                <w:szCs w:val="24"/>
                <w:lang w:val="en-US" w:eastAsia="zh-CN"/>
                <w14:textFill>
                  <w14:solidFill>
                    <w14:schemeClr w14:val="tx1"/>
                  </w14:solidFill>
                </w14:textFill>
              </w:rPr>
              <w:t>26</w:t>
            </w:r>
            <w:r>
              <w:rPr>
                <w:rFonts w:hint="eastAsia" w:ascii="仿宋_GB2312" w:hAnsi="新宋体" w:eastAsia="仿宋_GB2312"/>
                <w:color w:val="000000" w:themeColor="text1"/>
                <w:szCs w:val="24"/>
                <w14:textFill>
                  <w14:solidFill>
                    <w14:schemeClr w14:val="tx1"/>
                  </w14:solidFill>
                </w14:textFill>
              </w:rPr>
              <w:t>日</w:t>
            </w:r>
            <w:r>
              <w:rPr>
                <w:rFonts w:hint="eastAsia" w:ascii="仿宋_GB2312" w:hAnsi="新宋体" w:eastAsia="仿宋_GB2312"/>
                <w:color w:val="000000" w:themeColor="text1"/>
                <w:szCs w:val="24"/>
                <w:lang w:val="en-US" w:eastAsia="zh-CN"/>
                <w14:textFill>
                  <w14:solidFill>
                    <w14:schemeClr w14:val="tx1"/>
                  </w14:solidFill>
                </w14:textFill>
              </w:rPr>
              <w:t>9</w:t>
            </w:r>
            <w:r>
              <w:rPr>
                <w:rFonts w:hint="eastAsia" w:ascii="仿宋_GB2312" w:hAnsi="新宋体" w:eastAsia="仿宋_GB2312"/>
                <w:color w:val="000000" w:themeColor="text1"/>
                <w:szCs w:val="24"/>
                <w14:textFill>
                  <w14:solidFill>
                    <w14:schemeClr w14:val="tx1"/>
                  </w14:solidFill>
                </w14:textFill>
              </w:rPr>
              <w:t>:00（北京时间）</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投标地点（网址）：</w:t>
            </w:r>
            <w:r>
              <w:rPr>
                <w:rFonts w:hint="eastAsia" w:ascii="仿宋_GB2312" w:hAnsi="新宋体" w:eastAsia="仿宋_GB2312"/>
                <w:szCs w:val="24"/>
              </w:rPr>
              <w:t>：</w:t>
            </w:r>
            <w:r>
              <w:rPr>
                <w:rFonts w:ascii="仿宋_GB2312" w:hAnsi="新宋体" w:eastAsia="仿宋_GB2312"/>
                <w:szCs w:val="24"/>
              </w:rPr>
              <w:t>http://www.zcygov.cn/</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开标时间：2021年</w:t>
            </w:r>
            <w:r>
              <w:rPr>
                <w:rFonts w:hint="eastAsia" w:ascii="仿宋_GB2312" w:hAnsi="新宋体" w:eastAsia="仿宋_GB2312"/>
                <w:color w:val="000000" w:themeColor="text1"/>
                <w:szCs w:val="24"/>
                <w:lang w:val="en-US" w:eastAsia="zh-CN"/>
                <w14:textFill>
                  <w14:solidFill>
                    <w14:schemeClr w14:val="tx1"/>
                  </w14:solidFill>
                </w14:textFill>
              </w:rPr>
              <w:t>3</w:t>
            </w:r>
            <w:r>
              <w:rPr>
                <w:rFonts w:hint="eastAsia" w:ascii="仿宋_GB2312" w:hAnsi="新宋体" w:eastAsia="仿宋_GB2312"/>
                <w:color w:val="000000" w:themeColor="text1"/>
                <w:szCs w:val="24"/>
                <w14:textFill>
                  <w14:solidFill>
                    <w14:schemeClr w14:val="tx1"/>
                  </w14:solidFill>
                </w14:textFill>
              </w:rPr>
              <w:t>月</w:t>
            </w:r>
            <w:r>
              <w:rPr>
                <w:rFonts w:hint="eastAsia" w:ascii="仿宋_GB2312" w:hAnsi="新宋体" w:eastAsia="仿宋_GB2312"/>
                <w:color w:val="000000" w:themeColor="text1"/>
                <w:szCs w:val="24"/>
                <w:lang w:val="en-US" w:eastAsia="zh-CN"/>
                <w14:textFill>
                  <w14:solidFill>
                    <w14:schemeClr w14:val="tx1"/>
                  </w14:solidFill>
                </w14:textFill>
              </w:rPr>
              <w:t>26</w:t>
            </w:r>
            <w:r>
              <w:rPr>
                <w:rFonts w:hint="eastAsia" w:ascii="仿宋_GB2312" w:hAnsi="新宋体" w:eastAsia="仿宋_GB2312"/>
                <w:color w:val="000000" w:themeColor="text1"/>
                <w:szCs w:val="24"/>
                <w14:textFill>
                  <w14:solidFill>
                    <w14:schemeClr w14:val="tx1"/>
                  </w14:solidFill>
                </w14:textFill>
              </w:rPr>
              <w:t>日</w:t>
            </w:r>
            <w:r>
              <w:rPr>
                <w:rFonts w:hint="eastAsia" w:ascii="仿宋_GB2312" w:hAnsi="新宋体" w:eastAsia="仿宋_GB2312"/>
                <w:color w:val="000000" w:themeColor="text1"/>
                <w:szCs w:val="24"/>
                <w:lang w:val="en-US" w:eastAsia="zh-CN"/>
                <w14:textFill>
                  <w14:solidFill>
                    <w14:schemeClr w14:val="tx1"/>
                  </w14:solidFill>
                </w14:textFill>
              </w:rPr>
              <w:t>9</w:t>
            </w:r>
            <w:r>
              <w:rPr>
                <w:rFonts w:hint="eastAsia" w:ascii="仿宋_GB2312" w:hAnsi="新宋体" w:eastAsia="仿宋_GB2312"/>
                <w:color w:val="000000" w:themeColor="text1"/>
                <w:szCs w:val="24"/>
                <w14:textFill>
                  <w14:solidFill>
                    <w14:schemeClr w14:val="tx1"/>
                  </w14:solidFill>
                </w14:textFill>
              </w:rPr>
              <w:t>:00</w:t>
            </w:r>
          </w:p>
          <w:p>
            <w:pPr>
              <w:pStyle w:val="67"/>
              <w:spacing w:afterLines="0" w:line="440" w:lineRule="exact"/>
              <w:ind w:firstLine="480"/>
              <w:rPr>
                <w:rFonts w:ascii="仿宋" w:hAnsi="仿宋" w:eastAsia="仿宋" w:cs="仿宋"/>
                <w:bCs/>
              </w:rPr>
            </w:pPr>
            <w:r>
              <w:rPr>
                <w:rFonts w:hint="eastAsia" w:ascii="仿宋_GB2312" w:hAnsi="新宋体" w:eastAsia="仿宋_GB2312"/>
                <w:color w:val="000000" w:themeColor="text1"/>
                <w:szCs w:val="24"/>
                <w14:textFill>
                  <w14:solidFill>
                    <w14:schemeClr w14:val="tx1"/>
                  </w14:solidFill>
                </w14:textFill>
              </w:rPr>
              <w:t>开标地点：</w:t>
            </w:r>
            <w:r>
              <w:rPr>
                <w:rFonts w:hint="eastAsia" w:ascii="仿宋" w:hAnsi="仿宋" w:eastAsia="仿宋" w:cs="仿宋"/>
                <w:bCs/>
              </w:rPr>
              <w:t>耀华建设管理有限公司绍兴迪荡分公司（</w:t>
            </w:r>
            <w:r>
              <w:rPr>
                <w:rFonts w:hint="eastAsia" w:ascii="仿宋" w:hAnsi="仿宋" w:eastAsia="仿宋" w:cs="仿宋"/>
              </w:rPr>
              <w:t>绍兴市越城区阳明北路80号滨江大厦C楼3楼9/10号</w:t>
            </w:r>
            <w:r>
              <w:rPr>
                <w:rFonts w:hint="eastAsia" w:ascii="仿宋" w:hAnsi="仿宋" w:eastAsia="仿宋" w:cs="仿宋"/>
                <w:bCs/>
              </w:rPr>
              <w:t>）开标室</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五、公告期限</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自本公告发布之日起5个工作日。</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六、其他补充事宜</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2.其他事项：无</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七、对本次采购提出询问、质疑、投诉，请按以下方式联系</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1.采购人信息</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名称：绍兴市生态环境局本级</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地址：绍兴市越城区树下王</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传真：0575-89180223</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项目联系人（询问）：钱弘</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项目联系方式（询问）：0575-89180223</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质疑联系人：钱弘</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质疑联系方式：0575-89180223</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 xml:space="preserve">2.采购代理机构信息 </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名称：耀华建设管理有限公司</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地址：绍兴市越城区</w:t>
            </w:r>
            <w:r>
              <w:rPr>
                <w:rFonts w:hint="eastAsia" w:ascii="仿宋" w:hAnsi="仿宋" w:eastAsia="仿宋" w:cs="仿宋"/>
                <w:color w:val="000000" w:themeColor="text1"/>
                <w14:textFill>
                  <w14:solidFill>
                    <w14:schemeClr w14:val="tx1"/>
                  </w14:solidFill>
                </w14:textFill>
              </w:rPr>
              <w:t>越城区阳明北路80号滨江大厦C楼3楼9/10号</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传真：0575-88336881</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项目联系人（询问）：郭虹</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项目联系方式（询问）：0575-88776697</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质疑联系人：郭虹</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质疑联系方式：0575-88776697　　　　　　</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 xml:space="preserve">3.同级政府采购监督管理部门 </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名称：绍兴市财政局</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地址：绍兴市越城区凤林西路151号</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传真：0575-85209806</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联系人 ：应春兴</w:t>
            </w:r>
            <w:r>
              <w:rPr>
                <w:rFonts w:ascii="仿宋_GB2312" w:hAnsi="新宋体" w:eastAsia="仿宋_GB2312"/>
                <w:color w:val="000000" w:themeColor="text1"/>
                <w:szCs w:val="24"/>
                <w14:textFill>
                  <w14:solidFill>
                    <w14:schemeClr w14:val="tx1"/>
                  </w14:solidFill>
                </w14:textFill>
              </w:rPr>
              <w:t>       </w:t>
            </w:r>
          </w:p>
          <w:p>
            <w:pPr>
              <w:pStyle w:val="67"/>
              <w:spacing w:afterLines="0" w:line="440" w:lineRule="exact"/>
              <w:ind w:firstLine="480"/>
              <w:jc w:val="left"/>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监督投诉电话：0575-85209806</w:t>
            </w: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br w:type="textWrapping"/>
            </w: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若对项目采购电子交易系统操作有疑问，可登录政采云（https://www.zcygov.cn/），点击右侧咨询小采，获取采小蜜智能服务管家帮助，或拨打政采云服务热线400-881-7190获取热线服务帮助。</w:t>
            </w:r>
          </w:p>
          <w:p>
            <w:pPr>
              <w:pStyle w:val="67"/>
              <w:spacing w:afterLines="0" w:line="440" w:lineRule="exact"/>
              <w:ind w:firstLine="480"/>
              <w:jc w:val="left"/>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CA问题联系电话（人工）：汇信CA 400-888-4636；天谷CA 400-087-8198。</w:t>
            </w:r>
          </w:p>
          <w:p>
            <w:pPr>
              <w:pStyle w:val="67"/>
              <w:spacing w:afterLines="0" w:line="440" w:lineRule="exact"/>
              <w:ind w:firstLine="480"/>
              <w:rPr>
                <w:rFonts w:ascii="仿宋_GB2312" w:hAnsi="新宋体" w:eastAsia="仿宋_GB2312"/>
                <w:color w:val="000000" w:themeColor="text1"/>
                <w:szCs w:val="24"/>
                <w14:textFill>
                  <w14:solidFill>
                    <w14:schemeClr w14:val="tx1"/>
                  </w14:solidFill>
                </w14:textFill>
              </w:rPr>
            </w:pPr>
          </w:p>
        </w:tc>
      </w:tr>
    </w:tbl>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0" w:name="_Hlk47616320"/>
      <w:r>
        <w:rPr>
          <w:rFonts w:hint="eastAsia" w:ascii="仿宋_GB2312" w:hAnsi="宋体" w:eastAsia="仿宋_GB2312"/>
          <w:b/>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1"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1" w:type="dxa"/>
            <w:gridSpan w:val="2"/>
            <w:vAlign w:val="center"/>
          </w:tcPr>
          <w:p>
            <w:pPr>
              <w:snapToGrid w:val="0"/>
              <w:spacing w:line="420" w:lineRule="exact"/>
              <w:rPr>
                <w:rFonts w:ascii="仿宋_GB2312" w:hAnsi="仿宋_GB2312" w:eastAsia="仿宋_GB2312" w:cs="仿宋_GB2312"/>
                <w:sz w:val="24"/>
              </w:rPr>
            </w:pPr>
            <w:r>
              <w:rPr>
                <w:rFonts w:hint="eastAsia" w:ascii="仿宋_GB2312" w:hAnsi="仿宋_GB2312" w:eastAsia="仿宋_GB2312" w:cs="仿宋_GB2312"/>
                <w:b/>
                <w:sz w:val="24"/>
              </w:rPr>
              <w:t>投标人应当提交的资格、资信证明文件</w:t>
            </w:r>
            <w:r>
              <w:rPr>
                <w:rFonts w:hint="eastAsia" w:ascii="仿宋_GB2312" w:hAnsi="仿宋_GB2312" w:eastAsia="仿宋_GB2312" w:cs="仿宋_GB2312"/>
                <w:sz w:val="24"/>
              </w:rPr>
              <w:t>：</w:t>
            </w:r>
          </w:p>
          <w:p>
            <w:pPr>
              <w:snapToGrid w:val="0"/>
              <w:spacing w:line="420" w:lineRule="exact"/>
              <w:rPr>
                <w:rFonts w:ascii="仿宋_GB2312" w:hAnsi="仿宋_GB2312" w:eastAsia="仿宋_GB2312" w:cs="仿宋_GB2312"/>
                <w:sz w:val="24"/>
              </w:rPr>
            </w:pPr>
            <w:r>
              <w:rPr>
                <w:rFonts w:hint="eastAsia" w:ascii="仿宋_GB2312" w:hAnsi="仿宋_GB2312" w:eastAsia="仿宋_GB2312" w:cs="仿宋_GB2312"/>
                <w:b/>
                <w:sz w:val="24"/>
              </w:rPr>
              <w:t>（1）相关证明文件：</w:t>
            </w:r>
            <w:r>
              <w:rPr>
                <w:rFonts w:hint="eastAsia" w:ascii="仿宋_GB2312" w:hAnsi="仿宋_GB2312" w:eastAsia="仿宋_GB2312" w:cs="仿宋_GB2312"/>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_GB2312" w:hAnsi="仿宋_GB2312" w:eastAsia="仿宋_GB2312" w:cs="仿宋_GB2312"/>
                <w:sz w:val="24"/>
              </w:rPr>
            </w:pPr>
            <w:r>
              <w:rPr>
                <w:rFonts w:hint="eastAsia" w:ascii="仿宋_GB2312" w:hAnsi="仿宋_GB2312" w:eastAsia="仿宋_GB2312" w:cs="仿宋_GB2312"/>
                <w:b/>
                <w:sz w:val="24"/>
              </w:rPr>
              <w:t>（2）资信证明文件（如果有，按招标文件第三部分招标项目范围及要求和第五部分评分标准提供）。</w:t>
            </w:r>
          </w:p>
          <w:p>
            <w:pPr>
              <w:snapToGrid w:val="0"/>
              <w:spacing w:line="420" w:lineRule="exact"/>
              <w:rPr>
                <w:rFonts w:ascii="仿宋_GB2312" w:hAnsi="仿宋_GB2312" w:eastAsia="仿宋_GB2312" w:cs="仿宋_GB2312"/>
                <w:sz w:val="24"/>
                <w:u w:val="single"/>
              </w:rPr>
            </w:pPr>
            <w:r>
              <w:rPr>
                <w:rFonts w:hint="eastAsia" w:ascii="仿宋_GB2312" w:hAnsi="仿宋_GB2312" w:eastAsia="仿宋_GB2312" w:cs="仿宋_GB2312"/>
                <w:b/>
                <w:sz w:val="24"/>
              </w:rPr>
              <w:t>（3）特许资格、资信证明文件（如果有）：</w:t>
            </w:r>
          </w:p>
          <w:p>
            <w:pPr>
              <w:spacing w:line="42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1" w:type="dxa"/>
            <w:gridSpan w:val="2"/>
            <w:vAlign w:val="center"/>
          </w:tcPr>
          <w:p>
            <w:pPr>
              <w:snapToGrid w:val="0"/>
              <w:spacing w:line="42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2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2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1" w:type="dxa"/>
            <w:gridSpan w:val="2"/>
            <w:vAlign w:val="center"/>
          </w:tcPr>
          <w:p>
            <w:pPr>
              <w:autoSpaceDE w:val="0"/>
              <w:autoSpaceDN w:val="0"/>
              <w:spacing w:line="42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 w:hAnsi="仿宋" w:eastAsia="仿宋" w:cs="仿宋_GB2312"/>
                <w:sz w:val="24"/>
              </w:rPr>
              <w:t>投标有效期为从提交投标文件的截止之日起90天。</w:t>
            </w:r>
            <w:r>
              <w:rPr>
                <w:rFonts w:hint="eastAsia" w:ascii="仿宋" w:hAnsi="仿宋" w:eastAsia="仿宋" w:cs="仿宋_GB2312"/>
                <w:b/>
                <w:sz w:val="24"/>
              </w:rPr>
              <w:t>投标人的投标文件中承</w:t>
            </w:r>
            <w:r>
              <w:rPr>
                <w:rFonts w:hint="eastAsia" w:ascii="仿宋" w:hAnsi="仿宋" w:eastAsia="仿宋"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1" w:type="dxa"/>
            <w:gridSpan w:val="2"/>
            <w:vAlign w:val="center"/>
          </w:tcPr>
          <w:p>
            <w:pPr>
              <w:spacing w:line="420" w:lineRule="exact"/>
              <w:rPr>
                <w:rFonts w:ascii="仿宋_GB2312" w:hAnsi="宋体" w:eastAsia="仿宋_GB2312"/>
                <w:sz w:val="24"/>
              </w:rPr>
            </w:pPr>
            <w:r>
              <w:rPr>
                <w:rFonts w:hint="eastAsia" w:ascii="仿宋" w:hAnsi="仿宋" w:eastAsia="仿宋" w:cs="仿宋_GB2312"/>
                <w:b/>
                <w:sz w:val="24"/>
              </w:rPr>
              <w:t>分包或转包：</w:t>
            </w:r>
            <w:r>
              <w:rPr>
                <w:rFonts w:hint="eastAsia" w:ascii="仿宋" w:hAnsi="仿宋" w:eastAsia="仿宋" w:cs="仿宋_GB2312"/>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1" w:type="dxa"/>
            <w:gridSpan w:val="2"/>
            <w:vAlign w:val="center"/>
          </w:tcPr>
          <w:p>
            <w:pPr>
              <w:spacing w:line="42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1" w:type="dxa"/>
            <w:gridSpan w:val="2"/>
            <w:vAlign w:val="center"/>
          </w:tcPr>
          <w:p>
            <w:pPr>
              <w:autoSpaceDE w:val="0"/>
              <w:autoSpaceDN w:val="0"/>
              <w:spacing w:line="420" w:lineRule="exact"/>
              <w:textAlignment w:val="bottom"/>
              <w:rPr>
                <w:rFonts w:ascii="仿宋_GB2312" w:hAnsi="宋体" w:eastAsia="仿宋_GB2312"/>
                <w:b/>
                <w:sz w:val="24"/>
              </w:rPr>
            </w:pPr>
            <w:r>
              <w:rPr>
                <w:rFonts w:hint="eastAsia" w:ascii="仿宋" w:hAnsi="仿宋" w:eastAsia="仿宋" w:cs="仿宋_GB2312"/>
                <w:b/>
                <w:sz w:val="24"/>
              </w:rPr>
              <w:t>开标前答疑会或现场考察：无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1" w:type="dxa"/>
            <w:gridSpan w:val="2"/>
            <w:vAlign w:val="center"/>
          </w:tcPr>
          <w:p>
            <w:pPr>
              <w:spacing w:line="288" w:lineRule="auto"/>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样品提供：</w:t>
            </w:r>
            <w:r>
              <w:rPr>
                <w:rFonts w:hint="eastAsia" w:ascii="仿宋_GB2312" w:eastAsia="仿宋_GB2312"/>
                <w:color w:val="000000" w:themeColor="text1"/>
                <w:kern w:val="0"/>
                <w:sz w:val="24"/>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1" w:type="dxa"/>
            <w:gridSpan w:val="2"/>
            <w:vAlign w:val="center"/>
          </w:tcPr>
          <w:p>
            <w:pPr>
              <w:spacing w:line="420" w:lineRule="exact"/>
              <w:rPr>
                <w:rFonts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演示(讲解)：</w:t>
            </w:r>
            <w:r>
              <w:rPr>
                <w:rFonts w:hint="eastAsia" w:ascii="仿宋" w:hAnsi="仿宋" w:eastAsia="仿宋" w:cs="仿宋"/>
                <w:bCs/>
                <w:iCs/>
                <w:sz w:val="24"/>
              </w:rPr>
              <w:t>供应商在202</w:t>
            </w:r>
            <w:r>
              <w:rPr>
                <w:rFonts w:hint="eastAsia" w:ascii="仿宋" w:hAnsi="仿宋" w:eastAsia="仿宋" w:cs="仿宋"/>
                <w:bCs/>
                <w:iCs/>
                <w:sz w:val="24"/>
                <w:lang w:val="en-US" w:eastAsia="zh-CN"/>
              </w:rPr>
              <w:t>1</w:t>
            </w:r>
            <w:r>
              <w:rPr>
                <w:rFonts w:hint="eastAsia" w:ascii="仿宋" w:hAnsi="仿宋" w:eastAsia="仿宋" w:cs="仿宋"/>
                <w:bCs/>
                <w:iCs/>
                <w:sz w:val="24"/>
              </w:rPr>
              <w:t>年</w:t>
            </w:r>
            <w:r>
              <w:rPr>
                <w:rFonts w:hint="eastAsia" w:ascii="仿宋" w:hAnsi="仿宋" w:eastAsia="仿宋" w:cs="仿宋"/>
                <w:bCs/>
                <w:iCs/>
                <w:sz w:val="24"/>
                <w:lang w:val="en-US" w:eastAsia="zh-CN"/>
              </w:rPr>
              <w:t>3</w:t>
            </w:r>
            <w:r>
              <w:rPr>
                <w:rFonts w:hint="eastAsia" w:ascii="仿宋" w:hAnsi="仿宋" w:eastAsia="仿宋" w:cs="仿宋"/>
                <w:bCs/>
                <w:iCs/>
                <w:sz w:val="24"/>
              </w:rPr>
              <w:t>月</w:t>
            </w:r>
            <w:r>
              <w:rPr>
                <w:rFonts w:hint="eastAsia" w:ascii="仿宋" w:hAnsi="仿宋" w:eastAsia="仿宋" w:cs="仿宋"/>
                <w:bCs/>
                <w:iCs/>
                <w:sz w:val="24"/>
                <w:lang w:val="en-US" w:eastAsia="zh-CN"/>
              </w:rPr>
              <w:t>26</w:t>
            </w:r>
            <w:r>
              <w:rPr>
                <w:rFonts w:hint="eastAsia" w:ascii="仿宋" w:hAnsi="仿宋" w:eastAsia="仿宋" w:cs="仿宋"/>
                <w:bCs/>
                <w:iCs/>
                <w:sz w:val="24"/>
              </w:rPr>
              <w:t>日</w:t>
            </w:r>
            <w:r>
              <w:rPr>
                <w:rFonts w:hint="eastAsia" w:ascii="仿宋" w:hAnsi="仿宋" w:eastAsia="仿宋" w:cs="仿宋"/>
                <w:bCs/>
                <w:iCs/>
                <w:sz w:val="24"/>
                <w:lang w:val="en-US" w:eastAsia="zh-CN"/>
              </w:rPr>
              <w:t>9</w:t>
            </w:r>
            <w:r>
              <w:rPr>
                <w:rFonts w:hint="eastAsia" w:ascii="仿宋" w:hAnsi="仿宋" w:eastAsia="仿宋" w:cs="仿宋"/>
                <w:bCs/>
                <w:iCs/>
                <w:sz w:val="24"/>
              </w:rPr>
              <w:t>：00之前到</w:t>
            </w:r>
            <w:r>
              <w:rPr>
                <w:rFonts w:hint="eastAsia" w:ascii="仿宋" w:hAnsi="仿宋" w:eastAsia="仿宋" w:cs="Arial"/>
                <w:color w:val="000000"/>
                <w:sz w:val="24"/>
                <w:lang w:eastAsia="zh-CN"/>
              </w:rPr>
              <w:t>耀华建设管理有限公司（绍兴市阳明北路</w:t>
            </w:r>
            <w:r>
              <w:rPr>
                <w:rFonts w:hint="eastAsia" w:ascii="仿宋" w:hAnsi="仿宋" w:eastAsia="仿宋" w:cs="Arial"/>
                <w:color w:val="000000"/>
                <w:sz w:val="24"/>
                <w:lang w:val="en-US" w:eastAsia="zh-CN"/>
              </w:rPr>
              <w:t>80号滨江大厦C楼3楼9-10号</w:t>
            </w:r>
            <w:r>
              <w:rPr>
                <w:rFonts w:hint="eastAsia" w:ascii="仿宋" w:hAnsi="仿宋" w:eastAsia="仿宋" w:cs="Arial"/>
                <w:color w:val="000000"/>
                <w:sz w:val="24"/>
                <w:lang w:eastAsia="zh-CN"/>
              </w:rPr>
              <w:t>）会议室</w:t>
            </w:r>
            <w:r>
              <w:rPr>
                <w:rFonts w:hint="eastAsia" w:ascii="仿宋" w:hAnsi="仿宋" w:eastAsia="仿宋" w:cs="仿宋"/>
                <w:bCs/>
                <w:sz w:val="24"/>
              </w:rPr>
              <w:t>进行</w:t>
            </w:r>
            <w:r>
              <w:rPr>
                <w:rFonts w:hint="eastAsia" w:ascii="仿宋" w:hAnsi="仿宋" w:eastAsia="仿宋" w:cs="仿宋"/>
                <w:bCs/>
                <w:iCs/>
                <w:sz w:val="24"/>
              </w:rPr>
              <w:t>现场演示，每个供应商演示时间</w:t>
            </w:r>
            <w:r>
              <w:rPr>
                <w:rFonts w:hint="eastAsia" w:ascii="仿宋" w:hAnsi="仿宋" w:eastAsia="仿宋" w:cs="仿宋"/>
                <w:bCs/>
                <w:iCs/>
                <w:sz w:val="24"/>
                <w:lang w:val="en-US" w:eastAsia="zh-CN"/>
              </w:rPr>
              <w:t>15</w:t>
            </w:r>
            <w:r>
              <w:rPr>
                <w:rFonts w:hint="eastAsia" w:ascii="仿宋" w:hAnsi="仿宋" w:eastAsia="仿宋" w:cs="仿宋"/>
                <w:bCs/>
                <w:iCs/>
                <w:sz w:val="24"/>
              </w:rPr>
              <w:t>分钟</w:t>
            </w:r>
            <w:r>
              <w:rPr>
                <w:rFonts w:hint="eastAsia" w:ascii="仿宋" w:hAnsi="仿宋" w:eastAsia="仿宋" w:cs="仿宋"/>
                <w:bCs/>
                <w:iCs/>
                <w:sz w:val="24"/>
                <w:lang w:eastAsia="zh-CN"/>
              </w:rPr>
              <w:t>（含评委提问）</w:t>
            </w:r>
            <w:r>
              <w:rPr>
                <w:rFonts w:hint="eastAsia" w:ascii="仿宋" w:hAnsi="仿宋" w:eastAsia="仿宋" w:cs="仿宋"/>
                <w:bCs/>
                <w:iCs/>
                <w:sz w:val="24"/>
              </w:rPr>
              <w:t>。未在规定时间到达现场参加演示的供应商相应的评分项则不得分</w:t>
            </w:r>
            <w:r>
              <w:rPr>
                <w:rFonts w:hint="eastAsia" w:ascii="仿宋" w:hAnsi="仿宋" w:eastAsia="仿宋" w:cs="仿宋"/>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sz w:val="24"/>
              </w:rPr>
            </w:pPr>
            <w:r>
              <w:rPr>
                <w:rFonts w:ascii="仿宋_GB2312" w:hAnsi="宋体" w:eastAsia="仿宋_GB2312"/>
                <w:sz w:val="24"/>
              </w:rPr>
              <w:t>9</w:t>
            </w:r>
          </w:p>
        </w:tc>
        <w:tc>
          <w:tcPr>
            <w:tcW w:w="855" w:type="dxa"/>
            <w:vAlign w:val="center"/>
          </w:tcPr>
          <w:p>
            <w:pPr>
              <w:snapToGrid w:val="0"/>
              <w:spacing w:line="42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进口产品</w:t>
            </w:r>
          </w:p>
        </w:tc>
        <w:tc>
          <w:tcPr>
            <w:tcW w:w="7516" w:type="dxa"/>
            <w:vAlign w:val="center"/>
          </w:tcPr>
          <w:p>
            <w:pPr>
              <w:snapToGrid w:val="0"/>
              <w:spacing w:line="42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10</w:t>
            </w:r>
          </w:p>
        </w:tc>
        <w:tc>
          <w:tcPr>
            <w:tcW w:w="855" w:type="dxa"/>
            <w:vMerge w:val="restart"/>
            <w:vAlign w:val="center"/>
          </w:tcPr>
          <w:p>
            <w:pPr>
              <w:snapToGrid w:val="0"/>
              <w:spacing w:line="42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投标人信用信息事项</w:t>
            </w:r>
          </w:p>
        </w:tc>
        <w:tc>
          <w:tcPr>
            <w:tcW w:w="7516" w:type="dxa"/>
            <w:vAlign w:val="center"/>
          </w:tcPr>
          <w:p>
            <w:pPr>
              <w:snapToGrid w:val="0"/>
              <w:spacing w:line="42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信用信息查询渠道及截止时间：</w:t>
            </w:r>
            <w:r>
              <w:rPr>
                <w:rFonts w:hint="eastAsia" w:ascii="仿宋_GB2312" w:hAnsi="宋体" w:eastAsia="仿宋_GB2312"/>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000000" w:themeColor="text1"/>
                <w:sz w:val="24"/>
                <w14:textFill>
                  <w14:solidFill>
                    <w14:schemeClr w14:val="tx1"/>
                  </w14:solidFill>
                </w14:textFill>
              </w:rPr>
              <w:t>投标截止时间前</w:t>
            </w:r>
            <w:r>
              <w:rPr>
                <w:rFonts w:hint="eastAsia" w:ascii="仿宋_GB2312" w:hAnsi="宋体" w:eastAsia="仿宋_GB2312"/>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20" w:lineRule="exact"/>
              <w:rPr>
                <w:rFonts w:ascii="仿宋_GB2312" w:hAnsi="仿宋_GB2312" w:eastAsia="仿宋_GB2312" w:cs="仿宋_GB2312"/>
                <w:b/>
                <w:color w:val="000000" w:themeColor="text1"/>
                <w:sz w:val="24"/>
                <w14:textFill>
                  <w14:solidFill>
                    <w14:schemeClr w14:val="tx1"/>
                  </w14:solidFill>
                </w14:textFill>
              </w:rPr>
            </w:pPr>
          </w:p>
        </w:tc>
        <w:tc>
          <w:tcPr>
            <w:tcW w:w="7516" w:type="dxa"/>
            <w:vAlign w:val="center"/>
          </w:tcPr>
          <w:p>
            <w:pPr>
              <w:snapToGrid w:val="0"/>
              <w:spacing w:line="42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信用信息查询记录和证据留存的具体方式：</w:t>
            </w:r>
            <w:r>
              <w:rPr>
                <w:rFonts w:hint="eastAsia" w:ascii="仿宋_GB2312" w:hAnsi="宋体" w:eastAsia="仿宋_GB2312"/>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20" w:lineRule="exact"/>
              <w:rPr>
                <w:rFonts w:ascii="仿宋_GB2312" w:hAnsi="仿宋_GB2312" w:eastAsia="仿宋_GB2312" w:cs="仿宋_GB2312"/>
                <w:b/>
                <w:color w:val="000000" w:themeColor="text1"/>
                <w:sz w:val="24"/>
                <w14:textFill>
                  <w14:solidFill>
                    <w14:schemeClr w14:val="tx1"/>
                  </w14:solidFill>
                </w14:textFill>
              </w:rPr>
            </w:pPr>
          </w:p>
        </w:tc>
        <w:tc>
          <w:tcPr>
            <w:tcW w:w="7516" w:type="dxa"/>
            <w:vAlign w:val="center"/>
          </w:tcPr>
          <w:p>
            <w:pPr>
              <w:snapToGrid w:val="0"/>
              <w:spacing w:line="42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信用信息的使用规则：</w:t>
            </w:r>
            <w:r>
              <w:rPr>
                <w:rFonts w:hint="eastAsia" w:ascii="仿宋_GB2312" w:hAnsi="宋体" w:eastAsia="仿宋_GB2312"/>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w:t>
            </w:r>
            <w:r>
              <w:rPr>
                <w:rFonts w:ascii="仿宋_GB2312" w:hAnsi="宋体" w:eastAsia="仿宋_GB2312"/>
                <w:color w:val="000000" w:themeColor="text1"/>
                <w:sz w:val="24"/>
                <w14:textFill>
                  <w14:solidFill>
                    <w14:schemeClr w14:val="tx1"/>
                  </w14:solidFill>
                </w14:textFill>
              </w:rPr>
              <w:t>1</w:t>
            </w:r>
          </w:p>
        </w:tc>
        <w:tc>
          <w:tcPr>
            <w:tcW w:w="8371" w:type="dxa"/>
            <w:gridSpan w:val="2"/>
            <w:vAlign w:val="center"/>
          </w:tcPr>
          <w:p>
            <w:pPr>
              <w:snapToGrid w:val="0"/>
              <w:spacing w:line="24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扰乱公共资源交易市场秩序行为：</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w:t>
            </w:r>
            <w:r>
              <w:rPr>
                <w:rFonts w:ascii="仿宋_GB2312" w:hAnsi="宋体" w:eastAsia="仿宋_GB2312"/>
                <w:color w:val="000000" w:themeColor="text1"/>
                <w:sz w:val="24"/>
                <w14:textFill>
                  <w14:solidFill>
                    <w14:schemeClr w14:val="tx1"/>
                  </w14:solidFill>
                </w14:textFill>
              </w:rPr>
              <w:t>2</w:t>
            </w:r>
          </w:p>
        </w:tc>
        <w:tc>
          <w:tcPr>
            <w:tcW w:w="8371" w:type="dxa"/>
            <w:gridSpan w:val="2"/>
            <w:vAlign w:val="center"/>
          </w:tcPr>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w:t>
            </w:r>
            <w:r>
              <w:rPr>
                <w:rFonts w:ascii="仿宋_GB2312" w:hAnsi="宋体" w:eastAsia="仿宋_GB2312"/>
                <w:color w:val="000000" w:themeColor="text1"/>
                <w:sz w:val="24"/>
                <w14:textFill>
                  <w14:solidFill>
                    <w14:schemeClr w14:val="tx1"/>
                  </w14:solidFill>
                </w14:textFill>
              </w:rPr>
              <w:t>3</w:t>
            </w:r>
          </w:p>
        </w:tc>
        <w:tc>
          <w:tcPr>
            <w:tcW w:w="8371" w:type="dxa"/>
            <w:gridSpan w:val="2"/>
            <w:vAlign w:val="center"/>
          </w:tcPr>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7" w:hRule="atLeast"/>
        </w:trPr>
        <w:tc>
          <w:tcPr>
            <w:tcW w:w="869" w:type="dxa"/>
            <w:vAlign w:val="center"/>
          </w:tcPr>
          <w:p>
            <w:pPr>
              <w:spacing w:line="40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w:t>
            </w:r>
            <w:r>
              <w:rPr>
                <w:rFonts w:ascii="仿宋_GB2312" w:hAnsi="宋体" w:eastAsia="仿宋_GB2312"/>
                <w:color w:val="000000" w:themeColor="text1"/>
                <w:sz w:val="24"/>
                <w14:textFill>
                  <w14:solidFill>
                    <w14:schemeClr w14:val="tx1"/>
                  </w14:solidFill>
                </w14:textFill>
              </w:rPr>
              <w:t>4</w:t>
            </w:r>
          </w:p>
        </w:tc>
        <w:tc>
          <w:tcPr>
            <w:tcW w:w="8371" w:type="dxa"/>
            <w:gridSpan w:val="2"/>
            <w:vAlign w:val="center"/>
          </w:tcPr>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投标与开标注意事项：</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1.本项目实行网上投标，采用电子投标文件。若供应商参与投标，自行承担投标一切费用。</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0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《CA申领操作指南》：https://help.zcygov.cn/web/site_2/2018/11-29/2452.html</w:t>
            </w:r>
          </w:p>
          <w:p>
            <w:pPr>
              <w:snapToGrid w:val="0"/>
              <w:spacing w:line="40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《CA管理操作指南》：https://help.zcygov.cn/web/site_2/2019/08-20/3405.html</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《CA驱动和申领流程》:</w:t>
            </w:r>
          </w:p>
          <w:p>
            <w:pPr>
              <w:snapToGrid w:val="0"/>
              <w:spacing w:line="400" w:lineRule="exac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http://zfcg.czt.zj.gov.cn//bidClientTemplate/2019-05-27/12945.html</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3.投标文件制作、递交、解密：</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48"/>
                <w:rFonts w:hint="eastAsia" w:ascii="仿宋" w:hAnsi="仿宋" w:eastAsia="仿宋"/>
                <w:color w:val="000000" w:themeColor="text1"/>
                <w:sz w:val="24"/>
                <w14:textFill>
                  <w14:solidFill>
                    <w14:schemeClr w14:val="tx1"/>
                  </w14:solidFill>
                </w14:textFill>
              </w:rPr>
              <w:t>https://help.zcygov.cn/web/site_2/2018/12-28/2573.html</w:t>
            </w:r>
            <w:r>
              <w:rPr>
                <w:rStyle w:val="48"/>
                <w:rFonts w:hint="eastAsia" w:ascii="仿宋" w:hAnsi="仿宋" w:eastAsia="仿宋"/>
                <w:color w:val="000000" w:themeColor="text1"/>
                <w:sz w:val="24"/>
                <w14:textFill>
                  <w14:solidFill>
                    <w14:schemeClr w14:val="tx1"/>
                  </w14:solidFill>
                </w14:textFill>
              </w:rPr>
              <w:fldChar w:fldCharType="end"/>
            </w:r>
            <w:r>
              <w:rPr>
                <w:rFonts w:hint="eastAsia" w:ascii="仿宋" w:hAnsi="仿宋" w:eastAsia="仿宋"/>
                <w:color w:val="000000" w:themeColor="text1"/>
                <w:sz w:val="24"/>
                <w14:textFill>
                  <w14:solidFill>
                    <w14:schemeClr w14:val="tx1"/>
                  </w14:solidFill>
                </w14:textFill>
              </w:rPr>
              <w:t>”。</w:t>
            </w:r>
          </w:p>
          <w:p>
            <w:pPr>
              <w:snapToGrid w:val="0"/>
              <w:spacing w:line="400" w:lineRule="exact"/>
              <w:rPr>
                <w:rFonts w:ascii="仿宋_GB2312" w:hAnsi="新宋体" w:eastAsia="仿宋_GB2312" w:cs="Arial"/>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3.3</w:t>
            </w:r>
            <w:r>
              <w:rPr>
                <w:rFonts w:hint="eastAsia" w:ascii="仿宋_GB2312" w:hAnsi="新宋体" w:eastAsia="仿宋_GB2312" w:cs="Arial"/>
                <w:color w:val="000000" w:themeColor="text1"/>
                <w:sz w:val="24"/>
                <w14:textFill>
                  <w14:solidFill>
                    <w14:schemeClr w14:val="tx1"/>
                  </w14:solidFill>
                </w14:textFill>
              </w:rPr>
              <w:t>开标时间后</w:t>
            </w:r>
            <w:r>
              <w:rPr>
                <w:rFonts w:hint="eastAsia" w:ascii="仿宋_GB2312" w:hAnsi="新宋体" w:eastAsia="仿宋_GB2312" w:cs="Arial"/>
                <w:sz w:val="24"/>
              </w:rPr>
              <w:t>30分钟</w:t>
            </w:r>
            <w:r>
              <w:rPr>
                <w:rFonts w:hint="eastAsia" w:ascii="仿宋_GB2312" w:hAnsi="新宋体" w:eastAsia="仿宋_GB2312" w:cs="Arial"/>
                <w:color w:val="000000" w:themeColor="text1"/>
                <w:sz w:val="24"/>
                <w14:textFill>
                  <w14:solidFill>
                    <w14:schemeClr w14:val="tx1"/>
                  </w14:solidFill>
                </w14:textFill>
              </w:rPr>
              <w:t>内供应商可以登录“政采云”平台，用“项目采购-开标评标”功能进行解密投标文件。若供应商</w:t>
            </w:r>
            <w:r>
              <w:rPr>
                <w:rFonts w:hint="eastAsia" w:ascii="仿宋_GB2312" w:hAnsi="宋体" w:eastAsia="仿宋_GB2312"/>
                <w:b/>
                <w:color w:val="000000" w:themeColor="text1"/>
                <w:sz w:val="24"/>
                <w:u w:val="single"/>
                <w14:textFill>
                  <w14:solidFill>
                    <w14:schemeClr w14:val="tx1"/>
                  </w14:solidFill>
                </w14:textFill>
              </w:rPr>
              <w:t>未按时解密的</w:t>
            </w:r>
            <w:r>
              <w:rPr>
                <w:rFonts w:hint="eastAsia" w:ascii="仿宋_GB2312" w:hAnsi="新宋体" w:eastAsia="仿宋_GB2312" w:cs="Arial"/>
                <w:color w:val="000000" w:themeColor="text1"/>
                <w:sz w:val="24"/>
                <w14:textFill>
                  <w14:solidFill>
                    <w14:schemeClr w14:val="tx1"/>
                  </w14:solidFill>
                </w14:textFill>
              </w:rPr>
              <w:t>，</w:t>
            </w:r>
            <w:r>
              <w:rPr>
                <w:rFonts w:hint="eastAsia" w:ascii="仿宋_GB2312" w:hAnsi="宋体" w:eastAsia="仿宋_GB2312"/>
                <w:b/>
                <w:color w:val="000000" w:themeColor="text1"/>
                <w:sz w:val="24"/>
                <w:u w:val="single"/>
                <w14:textFill>
                  <w14:solidFill>
                    <w14:schemeClr w14:val="tx1"/>
                  </w14:solidFill>
                </w14:textFill>
              </w:rPr>
              <w:t>视为投标文件撤回。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869" w:type="dxa"/>
            <w:vAlign w:val="center"/>
          </w:tcPr>
          <w:p>
            <w:pPr>
              <w:spacing w:line="40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15</w:t>
            </w:r>
          </w:p>
        </w:tc>
        <w:tc>
          <w:tcPr>
            <w:tcW w:w="8371" w:type="dxa"/>
            <w:gridSpan w:val="2"/>
            <w:vAlign w:val="center"/>
          </w:tcPr>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869" w:type="dxa"/>
            <w:vAlign w:val="center"/>
          </w:tcPr>
          <w:p>
            <w:pPr>
              <w:spacing w:line="40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16</w:t>
            </w:r>
          </w:p>
        </w:tc>
        <w:tc>
          <w:tcPr>
            <w:tcW w:w="8371" w:type="dxa"/>
            <w:gridSpan w:val="2"/>
            <w:vAlign w:val="center"/>
          </w:tcPr>
          <w:p>
            <w:pPr>
              <w:spacing w:line="340" w:lineRule="exact"/>
              <w:rPr>
                <w:rFonts w:ascii="仿宋" w:hAnsi="仿宋" w:eastAsia="仿宋" w:cs="仿宋"/>
                <w:sz w:val="24"/>
              </w:rPr>
            </w:pPr>
            <w:r>
              <w:rPr>
                <w:rFonts w:hint="eastAsia" w:ascii="仿宋" w:hAnsi="仿宋" w:eastAsia="仿宋" w:cs="仿宋"/>
                <w:sz w:val="24"/>
              </w:rPr>
              <w:t>中标人须向招标代理机构交纳代理服务费：</w:t>
            </w:r>
          </w:p>
          <w:p>
            <w:pPr>
              <w:spacing w:line="340" w:lineRule="exact"/>
              <w:rPr>
                <w:rFonts w:ascii="仿宋" w:hAnsi="仿宋" w:eastAsia="仿宋" w:cs="仿宋"/>
                <w:sz w:val="24"/>
              </w:rPr>
            </w:pPr>
            <w:r>
              <w:rPr>
                <w:rFonts w:hint="eastAsia" w:ascii="仿宋" w:hAnsi="仿宋" w:eastAsia="仿宋" w:cs="仿宋"/>
                <w:sz w:val="24"/>
              </w:rPr>
              <w:t>（1）以中标通知中确定的中标总金额作为服务费的计算基数，收费标准参照《国家计委关于印发&lt;招标代理服务费管理暂行办法&gt;的通知》（计价格[2002]1980号）。</w:t>
            </w:r>
          </w:p>
          <w:p>
            <w:pPr>
              <w:spacing w:line="340" w:lineRule="exact"/>
              <w:rPr>
                <w:rFonts w:ascii="仿宋" w:hAnsi="仿宋" w:eastAsia="仿宋" w:cs="仿宋"/>
                <w:sz w:val="24"/>
              </w:rPr>
            </w:pPr>
            <w:r>
              <w:rPr>
                <w:rFonts w:hint="eastAsia" w:ascii="仿宋" w:hAnsi="仿宋" w:eastAsia="仿宋" w:cs="仿宋"/>
                <w:sz w:val="24"/>
              </w:rPr>
              <w:t>收费标准：中标金额在100万以下部分为1.5%，不足5000元按5000元收取。</w:t>
            </w:r>
          </w:p>
          <w:p>
            <w:pPr>
              <w:spacing w:line="340" w:lineRule="exact"/>
              <w:rPr>
                <w:rFonts w:ascii="仿宋" w:hAnsi="仿宋" w:eastAsia="仿宋" w:cs="仿宋"/>
                <w:sz w:val="24"/>
              </w:rPr>
            </w:pPr>
            <w:r>
              <w:rPr>
                <w:rFonts w:hint="eastAsia" w:ascii="仿宋" w:hAnsi="仿宋" w:eastAsia="仿宋" w:cs="仿宋"/>
                <w:sz w:val="24"/>
              </w:rPr>
              <w:t>（2）本项目招标评审所产生的评审费用由中标单位支付。（备注：评审费不提供发票，只提供评委签收单据）。</w:t>
            </w:r>
          </w:p>
          <w:p>
            <w:pPr>
              <w:spacing w:line="340" w:lineRule="exact"/>
              <w:rPr>
                <w:rFonts w:ascii="仿宋" w:hAnsi="仿宋" w:eastAsia="仿宋" w:cs="仿宋"/>
                <w:sz w:val="24"/>
              </w:rPr>
            </w:pPr>
            <w:r>
              <w:rPr>
                <w:rFonts w:hint="eastAsia" w:ascii="仿宋" w:hAnsi="仿宋" w:eastAsia="仿宋" w:cs="仿宋"/>
                <w:sz w:val="24"/>
              </w:rPr>
              <w:t>（3）代理服务费的交纳方式：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pacing w:line="340" w:lineRule="exact"/>
              <w:rPr>
                <w:rFonts w:ascii="仿宋" w:hAnsi="仿宋" w:eastAsia="仿宋" w:cs="仿宋"/>
                <w:sz w:val="24"/>
              </w:rPr>
            </w:pPr>
            <w:r>
              <w:rPr>
                <w:rFonts w:hint="eastAsia" w:ascii="仿宋" w:hAnsi="仿宋" w:eastAsia="仿宋" w:cs="仿宋"/>
                <w:sz w:val="24"/>
              </w:rPr>
              <w:t>公司名称：耀华建设管理有限公司绍兴迪荡分公司</w:t>
            </w:r>
          </w:p>
          <w:p>
            <w:pPr>
              <w:spacing w:line="340" w:lineRule="exact"/>
              <w:rPr>
                <w:rFonts w:ascii="仿宋" w:hAnsi="仿宋" w:eastAsia="仿宋" w:cs="仿宋"/>
                <w:sz w:val="24"/>
              </w:rPr>
            </w:pPr>
            <w:r>
              <w:rPr>
                <w:rFonts w:hint="eastAsia" w:ascii="仿宋" w:hAnsi="仿宋" w:eastAsia="仿宋" w:cs="仿宋"/>
                <w:sz w:val="24"/>
              </w:rPr>
              <w:t>账    号：336006190018819003083</w:t>
            </w:r>
          </w:p>
          <w:p>
            <w:pPr>
              <w:spacing w:line="340" w:lineRule="exact"/>
              <w:rPr>
                <w:rFonts w:ascii="仿宋" w:hAnsi="仿宋" w:eastAsia="仿宋" w:cs="仿宋"/>
                <w:sz w:val="24"/>
              </w:rPr>
            </w:pPr>
            <w:r>
              <w:rPr>
                <w:rFonts w:hint="eastAsia" w:ascii="仿宋" w:hAnsi="仿宋" w:eastAsia="仿宋" w:cs="仿宋"/>
                <w:sz w:val="24"/>
              </w:rPr>
              <w:t>开 户 行：交通银行股份有限公司绍兴迪荡支行</w:t>
            </w:r>
          </w:p>
          <w:p>
            <w:pPr>
              <w:snapToGrid w:val="0"/>
              <w:spacing w:line="400" w:lineRule="exact"/>
              <w:rPr>
                <w:rFonts w:ascii="仿宋" w:hAnsi="仿宋" w:eastAsia="仿宋"/>
                <w:sz w:val="24"/>
              </w:rPr>
            </w:pPr>
            <w:r>
              <w:rPr>
                <w:rFonts w:hint="eastAsia" w:ascii="仿宋" w:hAnsi="仿宋" w:eastAsia="仿宋" w:cs="仿宋"/>
                <w:sz w:val="24"/>
              </w:rPr>
              <w:t>（4）领取中标通知书前交纳。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_GB2312" w:hAnsi="宋体" w:eastAsia="仿宋_GB2312"/>
                <w:sz w:val="24"/>
              </w:rPr>
            </w:pPr>
            <w:r>
              <w:rPr>
                <w:rFonts w:hint="eastAsia" w:ascii="仿宋_GB2312" w:hAnsi="宋体" w:eastAsia="仿宋_GB2312"/>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w:t>
      </w:r>
      <w:r>
        <w:rPr>
          <w:rFonts w:hint="eastAsia" w:ascii="仿宋" w:hAnsi="仿宋" w:eastAsia="仿宋"/>
          <w:sz w:val="24"/>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jc w:val="left"/>
        <w:rPr>
          <w:rFonts w:ascii="仿宋_GB2312" w:hAnsi="宋体" w:eastAsia="仿宋_GB2312"/>
          <w:sz w:val="24"/>
        </w:rPr>
      </w:pPr>
      <w:r>
        <w:rPr>
          <w:rFonts w:hint="eastAsia" w:ascii="仿宋_GB2312" w:hAnsi="仿宋_GB2312" w:eastAsia="仿宋_GB2312" w:cs="仿宋_GB2312"/>
          <w:sz w:val="24"/>
        </w:rPr>
        <w:t>2.1政府采购当事人及监管部门：绍兴市生态环境局本级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宋体" w:eastAsia="仿宋_GB2312"/>
          <w:sz w:val="24"/>
        </w:rPr>
      </w:pPr>
      <w:r>
        <w:rPr>
          <w:rFonts w:hint="eastAsia" w:ascii="仿宋" w:hAnsi="仿宋" w:eastAsia="仿宋"/>
          <w:sz w:val="24"/>
        </w:rPr>
        <w:t>2.6</w:t>
      </w:r>
      <w:r>
        <w:rPr>
          <w:rFonts w:hint="eastAsia" w:ascii="仿宋_GB2312" w:hAnsi="宋体" w:eastAsia="仿宋_GB2312"/>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sz w:val="24"/>
        </w:rPr>
      </w:pPr>
      <w:r>
        <w:rPr>
          <w:rFonts w:hint="eastAsia" w:ascii="仿宋" w:hAnsi="仿宋" w:eastAsia="仿宋"/>
          <w:b/>
          <w:sz w:val="24"/>
        </w:rPr>
        <w:t>3.采购项目需要落实的政府采购政策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sz w:val="24"/>
        </w:rPr>
      </w:pPr>
      <w:r>
        <w:rPr>
          <w:rFonts w:hint="eastAsia" w:ascii="仿宋" w:hAnsi="仿宋" w:eastAsia="仿宋"/>
          <w:sz w:val="24"/>
        </w:rPr>
        <w:t>3.2 节能环保要求</w:t>
      </w:r>
    </w:p>
    <w:p>
      <w:pPr>
        <w:spacing w:line="440" w:lineRule="exact"/>
        <w:rPr>
          <w:rFonts w:ascii="仿宋" w:hAnsi="仿宋" w:eastAsia="仿宋"/>
          <w:sz w:val="24"/>
        </w:rPr>
      </w:pPr>
      <w:r>
        <w:rPr>
          <w:rFonts w:hint="eastAsia" w:ascii="仿宋" w:hAnsi="仿宋" w:eastAsia="仿宋"/>
          <w:sz w:val="24"/>
        </w:rPr>
        <w:t>3.2.1</w:t>
      </w:r>
      <w:r>
        <w:rPr>
          <w:rFonts w:ascii="仿宋" w:hAnsi="仿宋" w:eastAsia="仿宋"/>
          <w:sz w:val="24"/>
        </w:rPr>
        <w:t>采购人拟采购的产品属于品目清单范围的，采购人及其委托的采购代理机构</w:t>
      </w:r>
      <w:r>
        <w:rPr>
          <w:rFonts w:hint="eastAsia" w:ascii="仿宋" w:hAnsi="仿宋" w:eastAsia="仿宋"/>
          <w:sz w:val="24"/>
        </w:rPr>
        <w:t>将</w:t>
      </w:r>
      <w:r>
        <w:rPr>
          <w:rFonts w:ascii="仿宋" w:hAnsi="仿宋" w:eastAsia="仿宋"/>
          <w:sz w:val="24"/>
        </w:rPr>
        <w:t>依据国家确定的认证机构出具的、处于有效期之内的节能产品、环境标志产品认证证书，对获得证书的产品实施政府优先采购或强制采购。</w:t>
      </w:r>
      <w:r>
        <w:rPr>
          <w:rFonts w:hint="eastAsia" w:ascii="仿宋" w:hAnsi="仿宋" w:eastAsia="仿宋"/>
          <w:sz w:val="24"/>
        </w:rPr>
        <w:t>投标人须按招标文件要求提供相关产品认证证书。</w:t>
      </w:r>
    </w:p>
    <w:p>
      <w:pPr>
        <w:spacing w:line="440" w:lineRule="exact"/>
        <w:rPr>
          <w:rFonts w:ascii="仿宋" w:hAnsi="仿宋" w:eastAsia="仿宋"/>
          <w:b/>
          <w:sz w:val="24"/>
        </w:rPr>
      </w:pPr>
      <w:r>
        <w:rPr>
          <w:rFonts w:hint="eastAsia" w:ascii="仿宋" w:hAnsi="仿宋" w:eastAsia="仿宋"/>
          <w:sz w:val="24"/>
        </w:rPr>
        <w:t>3.2.2</w:t>
      </w:r>
      <w:r>
        <w:rPr>
          <w:rFonts w:ascii="仿宋" w:hAnsi="仿宋" w:eastAsia="仿宋"/>
          <w:b/>
          <w:sz w:val="24"/>
        </w:rPr>
        <w:t>采购人拟采购的产品属于</w:t>
      </w:r>
      <w:r>
        <w:rPr>
          <w:rFonts w:hint="eastAsia" w:ascii="仿宋" w:hAnsi="仿宋" w:eastAsia="仿宋"/>
          <w:b/>
          <w:sz w:val="24"/>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w:t>
      </w:r>
      <w:r>
        <w:rPr>
          <w:rFonts w:hint="eastAsia" w:ascii="仿宋" w:hAnsi="仿宋" w:eastAsia="仿宋"/>
          <w:bCs/>
          <w:color w:val="000000" w:themeColor="text1"/>
          <w:sz w:val="24"/>
          <w14:textFill>
            <w14:solidFill>
              <w14:schemeClr w14:val="tx1"/>
            </w14:solidFill>
          </w14:textFill>
        </w:rPr>
        <w:t>小微</w:t>
      </w:r>
      <w:r>
        <w:rPr>
          <w:rFonts w:hint="eastAsia" w:ascii="仿宋" w:hAnsi="仿宋" w:eastAsia="仿宋"/>
          <w:color w:val="000000" w:themeColor="text1"/>
          <w:sz w:val="24"/>
          <w14:textFill>
            <w14:solidFill>
              <w14:schemeClr w14:val="tx1"/>
            </w14:solidFill>
          </w14:textFill>
        </w:rPr>
        <w:t>企业价格扣除。</w:t>
      </w:r>
    </w:p>
    <w:p>
      <w:pPr>
        <w:spacing w:line="440" w:lineRule="exact"/>
        <w:rPr>
          <w:rFonts w:ascii="仿宋" w:hAnsi="仿宋" w:eastAsia="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3.3.1小微企业是指</w:t>
      </w:r>
      <w:r>
        <w:rPr>
          <w:rFonts w:hint="eastAsia" w:ascii="仿宋" w:hAnsi="仿宋" w:eastAsia="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符合中小企业划分标准的个体工商户，在政府采购活动中视同中小企业。</w:t>
      </w:r>
    </w:p>
    <w:p>
      <w:pPr>
        <w:spacing w:line="440" w:lineRule="exac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b/>
          <w:bCs/>
          <w:color w:val="000000" w:themeColor="text1"/>
          <w:sz w:val="24"/>
          <w14:textFill>
            <w14:solidFill>
              <w14:schemeClr w14:val="tx1"/>
            </w14:solidFill>
          </w14:textFill>
        </w:rPr>
        <w:t>供应商提供的货物既有中小企业制造货物，也有大型企业制造货物的，不享受中小企业扶持政策。</w:t>
      </w:r>
    </w:p>
    <w:p>
      <w:pPr>
        <w:spacing w:line="440" w:lineRule="exac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3.3.4小微企业应按照招标文件格式要求提供《中小企业声明函》。</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sz w:val="24"/>
        </w:rPr>
        <w:t>3.3.7符合《关于促进残疾人就业政府采购政策的通知》（财库〔2017〕141号）规定的条件并提供《残疾人福利性单位声明函》（附件1）的残疾人福利性单位视</w:t>
      </w:r>
      <w:r>
        <w:rPr>
          <w:rFonts w:hint="eastAsia" w:ascii="仿宋" w:hAnsi="仿宋" w:eastAsia="仿宋"/>
          <w:color w:val="000000" w:themeColor="text1"/>
          <w:sz w:val="24"/>
          <w14:textFill>
            <w14:solidFill>
              <w14:schemeClr w14:val="tx1"/>
            </w14:solidFill>
          </w14:textFill>
        </w:rPr>
        <w:t>同小微企业；</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sz w:val="24"/>
        </w:rPr>
      </w:pPr>
      <w:r>
        <w:rPr>
          <w:rFonts w:hint="eastAsia" w:ascii="仿宋_GB2312" w:hAnsi="宋体" w:eastAsia="仿宋_GB2312"/>
          <w:sz w:val="24"/>
        </w:rPr>
        <w:t>★</w:t>
      </w:r>
      <w:r>
        <w:rPr>
          <w:rFonts w:hint="eastAsia" w:ascii="仿宋" w:hAnsi="仿宋" w:eastAsia="仿宋"/>
          <w:sz w:val="24"/>
        </w:rPr>
        <w:t>4.特别说明：</w:t>
      </w:r>
    </w:p>
    <w:p>
      <w:pPr>
        <w:spacing w:line="440" w:lineRule="exact"/>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sz w:val="24"/>
        </w:rPr>
      </w:pPr>
      <w:r>
        <w:rPr>
          <w:rFonts w:hint="eastAsia" w:ascii="仿宋" w:hAnsi="仿宋" w:eastAsia="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156" w:beforeLines="50" w:after="156"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2.授权委托</w:t>
      </w:r>
    </w:p>
    <w:p>
      <w:pPr>
        <w:pStyle w:val="13"/>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本项目为电子投标项目，</w:t>
      </w:r>
      <w:r>
        <w:rPr>
          <w:rFonts w:hint="eastAsia" w:ascii="仿宋_GB2312" w:hAnsi="宋体" w:eastAsia="仿宋_GB2312"/>
          <w:color w:val="000000" w:themeColor="text1"/>
          <w14:textFill>
            <w14:solidFill>
              <w14:schemeClr w14:val="tx1"/>
            </w14:solidFill>
          </w14:textFill>
        </w:rPr>
        <w:t>投标人的法定代表人或其授权代表或个体工商户</w:t>
      </w:r>
      <w:r>
        <w:rPr>
          <w:rFonts w:hint="eastAsia" w:ascii="仿宋_GB2312" w:hAnsi="宋体" w:eastAsia="仿宋_GB2312"/>
        </w:rPr>
        <w:t>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3"/>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3"/>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5"/>
        </w:numPr>
        <w:snapToGrid w:val="0"/>
        <w:spacing w:line="440" w:lineRule="exact"/>
        <w:jc w:val="left"/>
        <w:rPr>
          <w:rFonts w:ascii="仿宋_GB2312" w:hAnsi="宋体" w:eastAsia="仿宋_GB2312"/>
          <w:b/>
          <w:sz w:val="24"/>
        </w:rPr>
      </w:pPr>
      <w:r>
        <w:rPr>
          <w:rFonts w:hint="eastAsia" w:ascii="仿宋_GB2312" w:hAnsi="宋体" w:eastAsia="仿宋_GB2312"/>
          <w:b/>
          <w:sz w:val="24"/>
        </w:rPr>
        <w:t>投标文件的语言、计量单位、形式及效力</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rPr>
      </w:pPr>
      <w:r>
        <w:rPr>
          <w:rFonts w:hint="eastAsia" w:ascii="仿宋_GB2312" w:hAnsi="宋体" w:eastAsia="仿宋_GB2312"/>
          <w:sz w:val="24"/>
        </w:rPr>
        <w:t>1.4不按招标文件的要求提供的投标文件可能导致被拒绝。</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1.5投标文件的形式和效力</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1.5.2投标文件的效力：</w:t>
      </w:r>
    </w:p>
    <w:p>
      <w:pPr>
        <w:snapToGrid w:val="0"/>
        <w:spacing w:line="440" w:lineRule="exact"/>
        <w:ind w:firstLine="472" w:firstLineChars="196"/>
        <w:jc w:val="left"/>
        <w:rPr>
          <w:rFonts w:ascii="仿宋_GB2312" w:hAnsi="宋体" w:eastAsia="仿宋_GB2312"/>
          <w:b/>
          <w:sz w:val="24"/>
          <w:u w:val="single"/>
        </w:rPr>
      </w:pPr>
      <w:r>
        <w:rPr>
          <w:rFonts w:hint="eastAsia" w:ascii="仿宋_GB2312" w:hAnsi="宋体" w:eastAsia="仿宋_GB2312"/>
          <w:b/>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投标文件的组成</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投标文件由“报价文件资料”、“商务技术（资信）文件资料”两部分组成，</w:t>
      </w:r>
      <w:r>
        <w:rPr>
          <w:rFonts w:hint="eastAsia" w:ascii="仿宋" w:hAnsi="仿宋" w:eastAsia="仿宋"/>
          <w:sz w:val="24"/>
        </w:rPr>
        <w:t>其中</w:t>
      </w:r>
      <w:r>
        <w:rPr>
          <w:rFonts w:hint="eastAsia" w:ascii="仿宋" w:hAnsi="仿宋" w:eastAsia="仿宋"/>
          <w:b/>
          <w:sz w:val="24"/>
        </w:rPr>
        <w:t>电子投标文件中所须加盖公章部分均应采用电子签章。</w:t>
      </w:r>
    </w:p>
    <w:p>
      <w:pPr>
        <w:spacing w:line="440" w:lineRule="exact"/>
        <w:jc w:val="left"/>
        <w:rPr>
          <w:rFonts w:ascii="仿宋_GB2312" w:hAnsi="宋体" w:eastAsia="仿宋_GB2312"/>
          <w:sz w:val="24"/>
        </w:rPr>
      </w:pPr>
      <w:r>
        <w:rPr>
          <w:rFonts w:hint="eastAsia" w:ascii="仿宋_GB2312" w:hAnsi="宋体" w:eastAsia="仿宋_GB2312"/>
          <w:sz w:val="24"/>
        </w:rPr>
        <w:t>2.1 “报价文件资料”应包含以下内容：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2.1.1投标响应函（格式见第六部分附件）； </w:t>
      </w:r>
    </w:p>
    <w:p>
      <w:pPr>
        <w:snapToGrid w:val="0"/>
        <w:spacing w:line="440" w:lineRule="exact"/>
        <w:jc w:val="left"/>
        <w:rPr>
          <w:rFonts w:ascii="仿宋_GB2312" w:hAnsi="宋体" w:eastAsia="仿宋_GB2312"/>
          <w:sz w:val="24"/>
        </w:rPr>
      </w:pPr>
      <w:r>
        <w:rPr>
          <w:rFonts w:hint="eastAsia" w:ascii="仿宋_GB2312" w:hAnsi="宋体" w:eastAsia="仿宋_GB2312"/>
          <w:sz w:val="24"/>
        </w:rPr>
        <w:t>2.1.2开标一览表（格式见第六部分附件）；</w:t>
      </w:r>
    </w:p>
    <w:p>
      <w:pPr>
        <w:pStyle w:val="23"/>
        <w:spacing w:line="440" w:lineRule="exact"/>
        <w:rPr>
          <w:rFonts w:ascii="仿宋_GB2312" w:hAnsi="宋体" w:eastAsia="仿宋_GB2312"/>
          <w:b w:val="0"/>
          <w:sz w:val="24"/>
        </w:rPr>
      </w:pPr>
      <w:r>
        <w:rPr>
          <w:rFonts w:hint="eastAsia" w:ascii="仿宋_GB2312" w:hAnsi="宋体" w:eastAsia="仿宋_GB2312"/>
          <w:b w:val="0"/>
          <w:sz w:val="24"/>
        </w:rPr>
        <w:t>2.1.3小微企业声明函（如有，格式见第六部分附件）；</w:t>
      </w:r>
    </w:p>
    <w:p>
      <w:pPr>
        <w:pStyle w:val="23"/>
        <w:spacing w:line="440" w:lineRule="exact"/>
        <w:rPr>
          <w:rFonts w:ascii="仿宋_GB2312" w:hAnsi="宋体" w:eastAsia="仿宋_GB2312"/>
          <w:b w:val="0"/>
          <w:sz w:val="24"/>
        </w:rPr>
      </w:pPr>
      <w:r>
        <w:rPr>
          <w:rFonts w:hint="eastAsia" w:ascii="仿宋_GB2312" w:hAnsi="宋体" w:eastAsia="仿宋_GB2312"/>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 “商务技术（资信）文件资料”应包括以下内容（正本用原件）：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2.2.3法定代表人身份证明书（格式见第六部分附件）；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2.2.4 企业法人营业执照副本复印件（加盖单位公章）；</w:t>
      </w:r>
    </w:p>
    <w:p>
      <w:pPr>
        <w:snapToGrid w:val="0"/>
        <w:spacing w:line="440" w:lineRule="exact"/>
        <w:rPr>
          <w:rFonts w:ascii="仿宋_GB2312" w:hAnsi="Arial" w:eastAsia="仿宋_GB2312" w:cs="Arial"/>
          <w:kern w:val="0"/>
          <w:sz w:val="24"/>
        </w:rPr>
      </w:pPr>
      <w:r>
        <w:rPr>
          <w:rFonts w:hint="eastAsia" w:ascii="仿宋_GB2312" w:hAnsi="宋体" w:eastAsia="仿宋_GB2312"/>
          <w:sz w:val="24"/>
        </w:rPr>
        <w:t>2.2.5相关资质证明或文件复印件（加盖单位公章）；</w:t>
      </w:r>
      <w:r>
        <w:rPr>
          <w:rFonts w:hint="eastAsia" w:ascii="仿宋_GB2312" w:hAnsi="仿宋_GB2312" w:eastAsia="仿宋_GB2312" w:cs="仿宋_GB2312"/>
          <w:sz w:val="24"/>
        </w:rPr>
        <w:t>（均需加盖公章）：</w:t>
      </w:r>
      <w:r>
        <w:rPr>
          <w:rFonts w:hint="eastAsia" w:ascii="仿宋_GB2312" w:hAnsi="仿宋_GB2312" w:eastAsia="仿宋_GB2312" w:cs="仿宋_GB2312"/>
          <w:kern w:val="0"/>
          <w:sz w:val="24"/>
        </w:rPr>
        <w:t>证明其符合《中华人民共和国政府采购法》</w:t>
      </w:r>
      <w:r>
        <w:rPr>
          <w:rFonts w:hint="eastAsia" w:ascii="仿宋_GB2312" w:hAnsi="Arial" w:eastAsia="仿宋_GB2312" w:cs="Arial"/>
          <w:kern w:val="0"/>
          <w:sz w:val="24"/>
        </w:rPr>
        <w:t>规定的供应商基本条件和采购项目对供应商的特定要求</w:t>
      </w:r>
      <w:r>
        <w:rPr>
          <w:rFonts w:hint="eastAsia" w:ascii="仿宋_GB2312" w:hAnsi="仿宋_GB2312" w:eastAsia="仿宋_GB2312" w:cs="仿宋_GB2312"/>
          <w:sz w:val="24"/>
        </w:rPr>
        <w:t>（如果项目要求）</w:t>
      </w:r>
      <w:r>
        <w:rPr>
          <w:rFonts w:hint="eastAsia" w:ascii="仿宋_GB2312" w:hAnsi="仿宋_GB2312" w:eastAsia="仿宋_GB2312" w:cs="仿宋_GB2312"/>
          <w:kern w:val="0"/>
          <w:sz w:val="24"/>
        </w:rPr>
        <w:t>的有关资格证明文件。</w:t>
      </w:r>
    </w:p>
    <w:p>
      <w:pPr>
        <w:pStyle w:val="22"/>
        <w:spacing w:line="440" w:lineRule="exact"/>
        <w:ind w:firstLine="480" w:firstLineChars="200"/>
        <w:rPr>
          <w:rFonts w:ascii="仿宋_GB2312" w:hAnsi="仿宋" w:eastAsia="仿宋_GB2312"/>
          <w:sz w:val="24"/>
        </w:rPr>
      </w:pPr>
      <w:bookmarkStart w:id="1" w:name="_Hlt68072998"/>
      <w:bookmarkEnd w:id="1"/>
      <w:bookmarkStart w:id="2" w:name="_Hlt68403820"/>
      <w:bookmarkEnd w:id="2"/>
      <w:bookmarkStart w:id="3" w:name="_Hlt68073093"/>
      <w:bookmarkEnd w:id="3"/>
      <w:r>
        <w:rPr>
          <w:rFonts w:hint="eastAsia" w:ascii="仿宋_GB2312" w:hAnsi="仿宋" w:eastAsia="仿宋_GB2312"/>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2"/>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（2）2019年度资产负债表等财务报表资料文件(新成立的公司提供情况证明)；</w:t>
      </w:r>
    </w:p>
    <w:p>
      <w:pPr>
        <w:pStyle w:val="22"/>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（3）具有履行合同所必需的设备和专业技术能力的承诺函；</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sz w:val="24"/>
        </w:rPr>
        <w:t>（4）参加本次政府采购活动前三年内，在经营活动中没有重大违法记录的声明（</w:t>
      </w:r>
      <w:r>
        <w:rPr>
          <w:rFonts w:hint="eastAsia" w:ascii="仿宋_GB2312" w:hAnsi="仿宋_GB2312" w:eastAsia="仿宋_GB2312" w:cs="仿宋_GB2312"/>
          <w:sz w:val="24"/>
          <w:szCs w:val="20"/>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(6</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t>(7</w:t>
      </w:r>
      <w:r>
        <w:rPr>
          <w:rFonts w:hint="eastAsia" w:ascii="仿宋_GB2312" w:hAnsi="仿宋_GB2312" w:eastAsia="仿宋_GB2312" w:cs="仿宋_GB2312"/>
          <w:sz w:val="24"/>
        </w:rPr>
        <w:t>)符合特定资格条件（如果项目要求）的有关证明材料（复印件）；</w:t>
      </w:r>
    </w:p>
    <w:p>
      <w:pPr>
        <w:pStyle w:val="22"/>
        <w:snapToGrid w:val="0"/>
        <w:spacing w:line="440" w:lineRule="exact"/>
        <w:rPr>
          <w:rFonts w:ascii="仿宋_GB2312" w:hAnsi="仿宋_GB2312" w:eastAsia="仿宋_GB2312" w:cs="仿宋_GB2312"/>
          <w:sz w:val="24"/>
          <w:lang w:val="zh-CN"/>
        </w:rPr>
      </w:pPr>
      <w:r>
        <w:rPr>
          <w:rFonts w:hint="eastAsia" w:ascii="仿宋_GB2312" w:hAnsi="宋体" w:eastAsia="仿宋_GB2312"/>
          <w:sz w:val="24"/>
        </w:rPr>
        <w:t>2.2.6</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 w:hAnsi="仿宋" w:eastAsia="仿宋" w:cs="仿宋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2.2.9</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2.2.14</w:t>
      </w:r>
      <w:r>
        <w:rPr>
          <w:rFonts w:hint="eastAsia" w:ascii="仿宋_GB2312" w:hAnsi="仿宋_GB2312" w:eastAsia="仿宋_GB2312" w:cs="仿宋_GB2312"/>
          <w:kern w:val="0"/>
          <w:sz w:val="24"/>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2.2.15验收方案；</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2.2.16</w:t>
      </w:r>
      <w:r>
        <w:rPr>
          <w:rFonts w:hint="eastAsia" w:ascii="仿宋_GB2312" w:hAnsi="仿宋_GB2312" w:eastAsia="仿宋_GB2312" w:cs="仿宋_GB2312"/>
          <w:snapToGrid w:val="0"/>
          <w:sz w:val="24"/>
        </w:rPr>
        <w:t>非本地投标人售后服务机构证明材料。非本地投标人</w:t>
      </w:r>
      <w:r>
        <w:rPr>
          <w:rFonts w:hint="eastAsia" w:ascii="仿宋_GB2312" w:hAnsi="仿宋_GB2312" w:eastAsia="仿宋_GB2312" w:cs="仿宋_GB2312"/>
          <w:sz w:val="24"/>
          <w:lang w:val="zh-CN"/>
        </w:rPr>
        <w:t>在绍兴的分公司</w:t>
      </w:r>
      <w:r>
        <w:rPr>
          <w:rFonts w:hint="eastAsia" w:ascii="仿宋_GB2312" w:hAnsi="仿宋_GB2312" w:eastAsia="仿宋_GB2312" w:cs="仿宋_GB2312"/>
          <w:kern w:val="0"/>
          <w:sz w:val="24"/>
        </w:rPr>
        <w:t>（</w:t>
      </w:r>
      <w:r>
        <w:rPr>
          <w:rFonts w:hint="eastAsia" w:ascii="仿宋_GB2312" w:hAnsi="仿宋_GB2312" w:eastAsia="仿宋_GB2312" w:cs="仿宋_GB2312"/>
          <w:sz w:val="24"/>
          <w:lang w:val="zh-CN"/>
        </w:rPr>
        <w:t>需提供本地工商注册</w:t>
      </w:r>
      <w:r>
        <w:rPr>
          <w:rFonts w:hint="eastAsia" w:ascii="仿宋_GB2312" w:hAnsi="仿宋_GB2312" w:eastAsia="仿宋_GB2312" w:cs="仿宋_GB2312"/>
          <w:sz w:val="24"/>
        </w:rPr>
        <w:t>登记</w:t>
      </w:r>
      <w:r>
        <w:rPr>
          <w:rFonts w:hint="eastAsia" w:ascii="仿宋_GB2312" w:hAnsi="仿宋_GB2312" w:eastAsia="仿宋_GB2312" w:cs="仿宋_GB2312"/>
          <w:sz w:val="24"/>
          <w:lang w:val="zh-CN"/>
        </w:rPr>
        <w:t>资料）或办事处</w:t>
      </w:r>
      <w:r>
        <w:rPr>
          <w:rFonts w:hint="eastAsia" w:ascii="仿宋_GB2312" w:hAnsi="仿宋_GB2312" w:eastAsia="仿宋_GB2312" w:cs="仿宋_GB2312"/>
          <w:kern w:val="0"/>
          <w:sz w:val="24"/>
        </w:rPr>
        <w:t>（</w:t>
      </w:r>
      <w:r>
        <w:rPr>
          <w:rFonts w:hint="eastAsia" w:ascii="仿宋_GB2312" w:hAnsi="仿宋_GB2312" w:eastAsia="仿宋_GB2312" w:cs="仿宋_GB2312"/>
          <w:sz w:val="24"/>
          <w:lang w:val="zh-CN"/>
        </w:rPr>
        <w:t>需提供本地国内经济合作办注册资料</w:t>
      </w:r>
      <w:r>
        <w:rPr>
          <w:rFonts w:hint="eastAsia" w:ascii="仿宋_GB2312" w:hAnsi="仿宋_GB2312" w:eastAsia="仿宋_GB2312" w:cs="仿宋_GB2312"/>
          <w:kern w:val="0"/>
          <w:sz w:val="24"/>
        </w:rPr>
        <w:t>）或符合本项目服务能力并签订合作协议的第三方机构或者在中标（成交）公示后在本地设立售后服务机构作</w:t>
      </w:r>
      <w:r>
        <w:rPr>
          <w:rFonts w:hint="eastAsia" w:ascii="仿宋_GB2312" w:hAnsi="仿宋_GB2312" w:eastAsia="仿宋_GB2312" w:cs="仿宋_GB2312"/>
          <w:sz w:val="24"/>
          <w:lang w:val="zh-CN"/>
        </w:rPr>
        <w:t>为常驻服务和技术支持机构；</w:t>
      </w:r>
    </w:p>
    <w:p>
      <w:pPr>
        <w:snapToGrid w:val="0"/>
        <w:spacing w:line="440" w:lineRule="exact"/>
        <w:jc w:val="left"/>
        <w:rPr>
          <w:rFonts w:ascii="仿宋_GB2312" w:hAnsi="宋体" w:eastAsia="仿宋_GB2312"/>
          <w:sz w:val="24"/>
        </w:rPr>
      </w:pPr>
      <w:r>
        <w:rPr>
          <w:rFonts w:hint="eastAsia" w:ascii="仿宋_GB2312" w:hAnsi="宋体" w:eastAsia="仿宋_GB2312"/>
          <w:sz w:val="24"/>
        </w:rPr>
        <w:t>2.2.17</w:t>
      </w:r>
      <w:r>
        <w:rPr>
          <w:rFonts w:hint="eastAsia" w:ascii="仿宋_GB2312" w:hAnsi="宋体" w:eastAsia="仿宋_GB2312"/>
          <w:sz w:val="24"/>
          <w:u w:val="wave"/>
        </w:rPr>
        <w:t>未尽事宜请各投标单位按评分细则和相对应标项相关要求制作(重要)</w:t>
      </w:r>
      <w:r>
        <w:rPr>
          <w:rFonts w:hint="eastAsia" w:ascii="仿宋_GB2312" w:hAnsi="宋体" w:eastAsia="仿宋_GB2312"/>
          <w:sz w:val="24"/>
        </w:rPr>
        <w:t>；</w:t>
      </w:r>
    </w:p>
    <w:p>
      <w:pPr>
        <w:pStyle w:val="19"/>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2.2.18投标人需要说明的其他文件和说明（格式自拟）。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ascii="仿宋_GB2312" w:hAnsi="宋体" w:eastAsia="仿宋_GB2312"/>
          <w:b/>
        </w:rPr>
      </w:pPr>
      <w:r>
        <w:rPr>
          <w:rFonts w:hint="eastAsia" w:ascii="仿宋_GB2312" w:hAnsi="宋体" w:eastAsia="仿宋_GB2312"/>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2"/>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i/>
          <w:sz w:val="24"/>
        </w:rPr>
        <w:t>投标报价只允许有一个报价，有选择的报价将不予接受（除指定外）。</w:t>
      </w:r>
    </w:p>
    <w:p>
      <w:pPr>
        <w:pStyle w:val="13"/>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3"/>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 w:hAnsi="仿宋" w:eastAsia="仿宋" w:cs="仿宋_GB2312"/>
        </w:rPr>
        <w:t>投标有效期为从提交投标文件的截止之日起90天。</w:t>
      </w:r>
      <w:r>
        <w:rPr>
          <w:rFonts w:hint="eastAsia" w:ascii="仿宋" w:hAnsi="仿宋" w:eastAsia="仿宋" w:cs="仿宋_GB2312"/>
          <w:b/>
        </w:rPr>
        <w:t>投标人的投标文件中承</w:t>
      </w:r>
      <w:r>
        <w:rPr>
          <w:rFonts w:hint="eastAsia" w:ascii="仿宋" w:hAnsi="仿宋" w:eastAsia="仿宋" w:cs="仿宋_GB2312"/>
          <w:b/>
          <w:szCs w:val="21"/>
        </w:rPr>
        <w:t>诺的投标有效期少于招标文件中载明的投标有效期的，投标无效。</w:t>
      </w:r>
    </w:p>
    <w:p>
      <w:pPr>
        <w:pStyle w:val="13"/>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3"/>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5.投标文件的规定</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5.1投标文件由“商务技术（资信）文件资料”、“报价文件资料”两部分文件组成，应按统一格式填写。</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5.2投标文件须按附件格式要求进行电子签章，投标人应写全称。</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sz w:val="24"/>
        </w:rPr>
      </w:pPr>
      <w:r>
        <w:rPr>
          <w:rFonts w:hint="eastAsia" w:ascii="仿宋_GB2312" w:hAnsi="宋体" w:eastAsia="仿宋_GB2312"/>
          <w:sz w:val="24"/>
        </w:rPr>
        <w:t>5.4投标文件因字迹潦草或表达不清所引起的后果由投标人负责。</w:t>
      </w:r>
    </w:p>
    <w:p>
      <w:pPr>
        <w:spacing w:line="440" w:lineRule="exact"/>
        <w:jc w:val="left"/>
        <w:rPr>
          <w:rFonts w:ascii="仿宋_GB2312" w:hAnsi="宋体" w:eastAsia="仿宋_GB2312"/>
          <w:sz w:val="24"/>
        </w:rPr>
      </w:pPr>
      <w:r>
        <w:rPr>
          <w:rFonts w:hint="eastAsia" w:ascii="仿宋_GB2312" w:hAnsi="宋体" w:eastAsia="仿宋_GB2312"/>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sz w:val="24"/>
        </w:rPr>
      </w:pPr>
      <w:r>
        <w:rPr>
          <w:rFonts w:hint="eastAsia" w:ascii="仿宋_GB2312" w:hAnsi="仿宋_GB2312" w:eastAsia="仿宋_GB2312" w:cs="仿宋_GB2312"/>
          <w:b/>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_GB2312" w:hAnsi="宋体" w:eastAsia="仿宋_GB2312"/>
          <w:b/>
          <w:kern w:val="0"/>
          <w:sz w:val="24"/>
        </w:rPr>
      </w:pPr>
      <w:r>
        <w:rPr>
          <w:rFonts w:hint="eastAsia" w:ascii="仿宋_GB2312" w:hAnsi="宋体" w:eastAsia="仿宋_GB2312"/>
          <w:b/>
          <w:sz w:val="24"/>
        </w:rPr>
        <w:t>7．</w:t>
      </w:r>
      <w:r>
        <w:rPr>
          <w:rFonts w:hint="eastAsia" w:ascii="仿宋_GB2312" w:hAnsi="宋体" w:eastAsia="仿宋_GB2312"/>
          <w:b/>
          <w:kern w:val="0"/>
          <w:sz w:val="24"/>
        </w:rPr>
        <w:t>投标文件的补充和修改</w:t>
      </w:r>
    </w:p>
    <w:p>
      <w:pPr>
        <w:spacing w:line="440" w:lineRule="exact"/>
        <w:ind w:firstLine="480" w:firstLineChars="200"/>
        <w:jc w:val="left"/>
        <w:rPr>
          <w:rFonts w:ascii="仿宋_GB2312" w:hAnsi="宋体" w:eastAsia="仿宋_GB2312"/>
          <w:kern w:val="0"/>
          <w:sz w:val="24"/>
        </w:rPr>
      </w:pPr>
      <w:r>
        <w:rPr>
          <w:rFonts w:hint="eastAsia" w:ascii="仿宋_GB2312" w:hAnsi="宋体" w:eastAsia="仿宋_GB2312"/>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1．电子招投标开标及评审程序</w:t>
      </w:r>
    </w:p>
    <w:p>
      <w:pPr>
        <w:snapToGrid w:val="0"/>
        <w:spacing w:line="480" w:lineRule="exact"/>
        <w:jc w:val="left"/>
        <w:rPr>
          <w:rFonts w:ascii="仿宋_GB2312" w:hAnsi="宋体" w:eastAsia="仿宋_GB2312"/>
          <w:sz w:val="24"/>
        </w:rPr>
      </w:pPr>
      <w:r>
        <w:rPr>
          <w:rFonts w:hint="eastAsia" w:ascii="仿宋_GB2312" w:hAnsi="宋体" w:eastAsia="仿宋_GB2312"/>
          <w:sz w:val="24"/>
        </w:rPr>
        <w:t>1.1投标截止时间后，主持人宣布开标会开始。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1.2投标人登录政采云平台，用“项目采购-开标评标”功能对电子投标文件进行在线解密。在线解密电子投标文件时间为开标时间起1个小时内。</w:t>
      </w:r>
    </w:p>
    <w:p>
      <w:pPr>
        <w:snapToGrid w:val="0"/>
        <w:spacing w:line="480" w:lineRule="exact"/>
        <w:jc w:val="left"/>
        <w:rPr>
          <w:rFonts w:ascii="仿宋_GB2312" w:hAnsi="宋体" w:eastAsia="仿宋_GB2312"/>
          <w:sz w:val="24"/>
        </w:rPr>
      </w:pPr>
      <w:r>
        <w:rPr>
          <w:rFonts w:hint="eastAsia" w:ascii="仿宋_GB2312" w:hAnsi="宋体" w:eastAsia="仿宋_GB2312"/>
          <w:sz w:val="24"/>
        </w:rPr>
        <w:t>1.3评标委员会对资格和商务技术响应文件进行评审；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1.4主持人宣布商务技术得分及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公布经商务技术（资信）评审符合招标文件要求的投标人名单及其商务技术得分。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1.5</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1.6评标委员会对投标文件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w:t>
      </w:r>
    </w:p>
    <w:p>
      <w:pPr>
        <w:snapToGrid w:val="0"/>
        <w:spacing w:line="480" w:lineRule="exact"/>
        <w:jc w:val="left"/>
        <w:rPr>
          <w:rFonts w:ascii="仿宋_GB2312" w:hAnsi="宋体" w:eastAsia="仿宋_GB2312"/>
          <w:sz w:val="24"/>
        </w:rPr>
      </w:pPr>
      <w:r>
        <w:rPr>
          <w:rFonts w:hint="eastAsia" w:ascii="仿宋_GB2312" w:hAnsi="宋体" w:eastAsia="仿宋_GB2312"/>
          <w:sz w:val="24"/>
        </w:rPr>
        <w:t>1.7主持人公布评标结果。</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特别说明：政采云公司如对电子化开标及评审程序有调整的，按调整后的程序操作。</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sz w:val="24"/>
        </w:rPr>
      </w:pPr>
      <w:r>
        <w:rPr>
          <w:rFonts w:hint="eastAsia" w:ascii="仿宋_GB2312" w:hAnsi="宋体" w:eastAsia="仿宋_GB2312"/>
          <w:sz w:val="24"/>
        </w:rPr>
        <w:t xml:space="preserve">2.1电子交易平台发生故障而无法登录访问的； </w:t>
      </w:r>
    </w:p>
    <w:p>
      <w:pPr>
        <w:snapToGrid w:val="0"/>
        <w:spacing w:line="480" w:lineRule="exact"/>
        <w:jc w:val="left"/>
        <w:rPr>
          <w:rFonts w:ascii="仿宋_GB2312" w:hAnsi="宋体" w:eastAsia="仿宋_GB2312"/>
          <w:sz w:val="24"/>
        </w:rPr>
      </w:pPr>
      <w:r>
        <w:rPr>
          <w:rFonts w:hint="eastAsia" w:ascii="仿宋_GB2312" w:hAnsi="宋体" w:eastAsia="仿宋_GB2312"/>
          <w:sz w:val="24"/>
        </w:rPr>
        <w:t>2.2电子交易平台应用或数据库出现错误，不能进行正常操作的；</w:t>
      </w:r>
    </w:p>
    <w:p>
      <w:pPr>
        <w:snapToGrid w:val="0"/>
        <w:spacing w:line="480" w:lineRule="exact"/>
        <w:jc w:val="left"/>
        <w:rPr>
          <w:rFonts w:ascii="仿宋_GB2312" w:hAnsi="宋体" w:eastAsia="仿宋_GB2312"/>
          <w:sz w:val="24"/>
        </w:rPr>
      </w:pPr>
      <w:r>
        <w:rPr>
          <w:rFonts w:hint="eastAsia" w:ascii="仿宋_GB2312" w:hAnsi="宋体" w:eastAsia="仿宋_GB2312"/>
          <w:sz w:val="24"/>
        </w:rPr>
        <w:t>2.3电子交易平台发现严重安全漏洞，有潜在泄密危险的；</w:t>
      </w:r>
    </w:p>
    <w:p>
      <w:pPr>
        <w:snapToGrid w:val="0"/>
        <w:spacing w:line="480" w:lineRule="exact"/>
        <w:jc w:val="left"/>
        <w:rPr>
          <w:rFonts w:ascii="仿宋_GB2312" w:hAnsi="宋体" w:eastAsia="仿宋_GB2312"/>
          <w:sz w:val="24"/>
        </w:rPr>
      </w:pPr>
      <w:r>
        <w:rPr>
          <w:rFonts w:hint="eastAsia" w:ascii="仿宋_GB2312" w:hAnsi="宋体" w:eastAsia="仿宋_GB2312"/>
          <w:sz w:val="24"/>
        </w:rPr>
        <w:t xml:space="preserve">2.4病毒发作导致不能进行正常操作的； </w:t>
      </w:r>
    </w:p>
    <w:p>
      <w:pPr>
        <w:snapToGrid w:val="0"/>
        <w:spacing w:line="480" w:lineRule="exact"/>
        <w:jc w:val="left"/>
        <w:rPr>
          <w:rFonts w:ascii="仿宋_GB2312" w:hAnsi="宋体" w:eastAsia="仿宋_GB2312"/>
          <w:sz w:val="24"/>
        </w:rPr>
      </w:pPr>
      <w:r>
        <w:rPr>
          <w:rFonts w:hint="eastAsia" w:ascii="仿宋_GB2312" w:hAnsi="宋体" w:eastAsia="仿宋_GB2312"/>
          <w:sz w:val="24"/>
        </w:rPr>
        <w:t>2.5其他无法保证电子交易的公平、公正和安全的情况。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3．评标</w:t>
      </w:r>
    </w:p>
    <w:p>
      <w:pPr>
        <w:spacing w:line="480" w:lineRule="exact"/>
        <w:jc w:val="left"/>
        <w:rPr>
          <w:rFonts w:ascii="仿宋_GB2312" w:hAnsi="宋体" w:eastAsia="仿宋_GB2312" w:cs="宋体"/>
          <w:sz w:val="24"/>
        </w:rPr>
      </w:pPr>
      <w:r>
        <w:rPr>
          <w:rFonts w:hint="eastAsia" w:ascii="仿宋_GB2312" w:hAnsi="宋体" w:eastAsia="仿宋_GB2312"/>
          <w:sz w:val="24"/>
        </w:rPr>
        <w:t>3.1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3.2评标委员会由采购人代表和有关方面的专家组成，成员人数为五人以上单数。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3.3评标委员会负责对投标人资格的最终审定。</w:t>
      </w:r>
    </w:p>
    <w:p>
      <w:pPr>
        <w:spacing w:line="480" w:lineRule="exact"/>
        <w:jc w:val="left"/>
        <w:rPr>
          <w:rFonts w:ascii="仿宋_GB2312" w:hAnsi="宋体" w:eastAsia="仿宋_GB2312"/>
          <w:sz w:val="24"/>
        </w:rPr>
      </w:pPr>
      <w:r>
        <w:rPr>
          <w:rFonts w:hint="eastAsia" w:ascii="仿宋_GB2312" w:hAnsi="宋体" w:eastAsia="仿宋_GB2312"/>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sz w:val="24"/>
        </w:rPr>
      </w:pPr>
      <w:r>
        <w:rPr>
          <w:rFonts w:hint="eastAsia" w:ascii="仿宋_GB2312" w:hAnsi="宋体" w:eastAsia="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sz w:val="24"/>
        </w:rPr>
      </w:pPr>
      <w:r>
        <w:rPr>
          <w:rFonts w:hint="eastAsia" w:ascii="仿宋_GB2312" w:hAnsi="宋体" w:eastAsia="仿宋_GB2312"/>
          <w:sz w:val="24"/>
        </w:rPr>
        <w:t>供应商通过政采云平台交换的数据电文必须进行电子签章。</w:t>
      </w:r>
    </w:p>
    <w:p>
      <w:pPr>
        <w:widowControl/>
        <w:snapToGrid w:val="0"/>
        <w:spacing w:line="480" w:lineRule="exact"/>
        <w:rPr>
          <w:rFonts w:ascii="仿宋_GB2312" w:hAnsi="宋体" w:eastAsia="仿宋_GB2312"/>
          <w:kern w:val="0"/>
          <w:sz w:val="24"/>
        </w:rPr>
      </w:pPr>
      <w:r>
        <w:rPr>
          <w:rFonts w:hint="eastAsia" w:ascii="仿宋_GB2312" w:hAnsi="宋体" w:eastAsia="仿宋_GB2312"/>
          <w:kern w:val="0"/>
          <w:sz w:val="24"/>
        </w:rPr>
        <w:t>3.5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3.6评标委员会不向落标方解释落标的原因。</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4．投标文件的初审鉴定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4.1资格性审查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4.1.1依据法律、法规和招标文件规定，采购人或采购人代表对投标人进行资格审查，以确定投标人是否具备投标资格。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4.2符合性审查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sz w:val="24"/>
        </w:rPr>
      </w:pPr>
      <w:r>
        <w:rPr>
          <w:rFonts w:hint="eastAsia" w:ascii="仿宋_GB2312" w:hAnsi="宋体" w:eastAsia="仿宋_GB2312"/>
          <w:b/>
          <w:kern w:val="0"/>
          <w:sz w:val="24"/>
        </w:rPr>
        <w:t xml:space="preserve">5.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5.4总价金额与按单价汇总金额不一致的，以单价金额计算结果为准。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6.投标文件的评审、比较和否决</w:t>
      </w:r>
    </w:p>
    <w:p>
      <w:pPr>
        <w:spacing w:line="480" w:lineRule="exact"/>
        <w:jc w:val="left"/>
        <w:rPr>
          <w:rFonts w:ascii="仿宋_GB2312" w:hAnsi="宋体" w:eastAsia="仿宋_GB2312" w:cs="宋体"/>
          <w:sz w:val="24"/>
        </w:rPr>
      </w:pPr>
      <w:r>
        <w:rPr>
          <w:rFonts w:hint="eastAsia" w:ascii="仿宋_GB2312" w:hAnsi="宋体" w:eastAsia="仿宋_GB2312" w:cs="宋体"/>
          <w:sz w:val="24"/>
        </w:rPr>
        <w:t>6.1评标委员会将对在实质上响应招标文件要求的投标文件进行评估和比较。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sz w:val="24"/>
        </w:rPr>
        <w:t>不得超过投标文件的范围或者改变投标文件的实质性内容。</w:t>
      </w:r>
    </w:p>
    <w:p>
      <w:pPr>
        <w:spacing w:line="480" w:lineRule="exact"/>
        <w:jc w:val="left"/>
        <w:rPr>
          <w:rFonts w:ascii="仿宋_GB2312" w:hAnsi="宋体" w:eastAsia="仿宋_GB2312" w:cs="宋体"/>
          <w:sz w:val="24"/>
        </w:rPr>
      </w:pPr>
      <w:r>
        <w:rPr>
          <w:rFonts w:hint="eastAsia" w:ascii="仿宋_GB2312" w:hAnsi="宋体" w:eastAsia="仿宋_GB2312" w:cs="宋体"/>
          <w:sz w:val="24"/>
        </w:rPr>
        <w:t>6.3在评标过程中，如发现与招标文件要求相偏离的，评标委员会可对其偏离情形进行必要的核实。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sz w:val="24"/>
        </w:rPr>
      </w:pPr>
      <w:r>
        <w:rPr>
          <w:rFonts w:hint="eastAsia" w:ascii="仿宋_GB2312" w:hAnsi="宋体" w:eastAsia="仿宋_GB2312" w:cs="宋体"/>
          <w:sz w:val="24"/>
        </w:rPr>
        <w:t>6.5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80" w:lineRule="exact"/>
        <w:jc w:val="left"/>
        <w:rPr>
          <w:rFonts w:ascii="仿宋_GB2312" w:hAnsi="宋体" w:eastAsia="仿宋_GB2312" w:cs="宋体"/>
          <w:sz w:val="24"/>
        </w:rPr>
      </w:pPr>
      <w:r>
        <w:rPr>
          <w:rFonts w:hint="eastAsia" w:ascii="仿宋_GB2312" w:hAnsi="宋体" w:eastAsia="仿宋_GB2312" w:cs="宋体"/>
          <w:sz w:val="24"/>
        </w:rPr>
        <w:t>6.6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80" w:lineRule="exact"/>
        <w:jc w:val="left"/>
        <w:rPr>
          <w:rFonts w:ascii="仿宋_GB2312" w:hAnsi="宋体" w:eastAsia="仿宋_GB2312" w:cs="宋体"/>
          <w:sz w:val="24"/>
        </w:rPr>
      </w:pPr>
      <w:r>
        <w:rPr>
          <w:rFonts w:hint="eastAsia" w:ascii="仿宋_GB2312" w:hAnsi="宋体" w:eastAsia="仿宋_GB2312" w:cs="宋体"/>
          <w:sz w:val="24"/>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sz w:val="24"/>
        </w:rPr>
      </w:pPr>
      <w:r>
        <w:rPr>
          <w:rFonts w:hint="eastAsia" w:ascii="仿宋_GB2312" w:hAnsi="宋体" w:eastAsia="仿宋_GB2312" w:cs="宋体"/>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sz w:val="24"/>
        </w:rPr>
      </w:pPr>
      <w:r>
        <w:rPr>
          <w:rFonts w:hint="eastAsia" w:ascii="仿宋_GB2312" w:hAnsi="宋体" w:eastAsia="仿宋_GB2312" w:cs="宋体"/>
          <w:sz w:val="24"/>
        </w:rPr>
        <w:t>6.7.3如需投标价格修正，按财政部87号令第五十九条的规定对投标价格进行修正。</w:t>
      </w:r>
    </w:p>
    <w:p>
      <w:pPr>
        <w:spacing w:line="480" w:lineRule="exact"/>
        <w:jc w:val="left"/>
        <w:rPr>
          <w:rFonts w:ascii="仿宋_GB2312" w:hAnsi="宋体" w:eastAsia="仿宋_GB2312" w:cs="宋体"/>
          <w:sz w:val="24"/>
        </w:rPr>
      </w:pPr>
      <w:r>
        <w:rPr>
          <w:rFonts w:hint="eastAsia" w:ascii="仿宋_GB2312" w:hAnsi="宋体" w:eastAsia="仿宋_GB2312" w:cs="宋体"/>
          <w:sz w:val="24"/>
        </w:rPr>
        <w:t>6.8评标委员会依据招标文件规定的评标标准和方法，对投标文件进行评审和比较后，向本中心提供书面评标报告，并按得分高低排序推荐中标候选供应商。</w:t>
      </w:r>
    </w:p>
    <w:p>
      <w:pPr>
        <w:pStyle w:val="13"/>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7.投标文件的澄清</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8.1未按照招标文件规定要求签署、盖章的；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8.10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8.13投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8.14评</w:t>
      </w:r>
      <w:r>
        <w:rPr>
          <w:rFonts w:hint="eastAsia" w:ascii="仿宋_GB2312" w:hAnsi="宋体" w:eastAsia="仿宋_GB2312"/>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8.15报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rPr>
      </w:pPr>
      <w:r>
        <w:rPr>
          <w:rFonts w:hint="eastAsia" w:ascii="仿宋_GB2312" w:hAnsi="仿宋" w:eastAsia="仿宋_GB2312" w:cs="仿宋_GB2312"/>
          <w:b/>
          <w:sz w:val="24"/>
          <w:szCs w:val="21"/>
        </w:rPr>
        <w:t>8.17采</w:t>
      </w:r>
      <w:r>
        <w:rPr>
          <w:rFonts w:ascii="仿宋" w:hAnsi="仿宋" w:eastAsia="仿宋" w:cs="仿宋_GB2312"/>
          <w:b/>
          <w:sz w:val="24"/>
          <w:szCs w:val="21"/>
        </w:rPr>
        <w:t>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8.20.1使用伪造、变造的许可证件；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8.20.2提供虚假的财务状况或者业绩；</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8.20.4提供虚假的信用状况；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8.20.5其他弄虚作假的行为。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8.22有下列情形之一的，属于恶意串通，其投标无效：</w:t>
      </w:r>
    </w:p>
    <w:p>
      <w:pPr>
        <w:spacing w:line="360" w:lineRule="auto"/>
        <w:ind w:firstLine="480" w:firstLineChars="200"/>
        <w:rPr>
          <w:rFonts w:ascii="仿宋_GB2312" w:hAnsi="仿宋" w:eastAsia="仿宋_GB2312" w:cs="仿宋_GB2312"/>
          <w:sz w:val="24"/>
        </w:rPr>
      </w:pPr>
      <w:r>
        <w:rPr>
          <w:rFonts w:hint="eastAsia" w:ascii="仿宋_GB2312" w:hAnsi="仿宋" w:eastAsia="仿宋_GB2312"/>
          <w:sz w:val="24"/>
        </w:rPr>
        <w:t>8.22.1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8.22.2供应商按照采购人或者采购机构的授意撤换、修改投标文件或者响应文件；</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8.22.3供应商之间协商报价、技术方案等投标文件或者响应文件的实质性内容；</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8.22.5供应商之间事先约定由某一特定供应商中标、成交；</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8.23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8.24报价文件中出现2个(含)以上的报价或方案的；</w:t>
      </w:r>
    </w:p>
    <w:p>
      <w:pPr>
        <w:spacing w:line="440" w:lineRule="exact"/>
      </w:pPr>
      <w:r>
        <w:rPr>
          <w:rFonts w:hint="eastAsia" w:ascii="仿宋_GB2312" w:eastAsia="仿宋_GB2312"/>
          <w:b/>
          <w:sz w:val="24"/>
        </w:rPr>
        <w:t>8.25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9.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2"/>
        <w:spacing w:line="800" w:lineRule="exact"/>
        <w:ind w:firstLine="726"/>
        <w:jc w:val="center"/>
        <w:rPr>
          <w:rFonts w:ascii="仿宋_GB2312" w:hAnsi="宋体" w:eastAsia="仿宋_GB2312"/>
          <w:b/>
          <w:sz w:val="36"/>
          <w:szCs w:val="36"/>
        </w:rPr>
      </w:pPr>
      <w:bookmarkStart w:id="4" w:name="_Toc81372953"/>
      <w:bookmarkStart w:id="5" w:name="_Toc84325929"/>
      <w:bookmarkStart w:id="6" w:name="_Toc81372776"/>
      <w:r>
        <w:rPr>
          <w:rFonts w:hint="eastAsia" w:ascii="仿宋_GB2312" w:hAnsi="宋体" w:eastAsia="仿宋_GB2312"/>
          <w:b/>
          <w:sz w:val="36"/>
          <w:szCs w:val="36"/>
        </w:rPr>
        <w:t>五、授予合同</w:t>
      </w:r>
    </w:p>
    <w:p>
      <w:pPr>
        <w:pStyle w:val="13"/>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1"/>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对中标结果在指定媒体</w:t>
      </w:r>
      <w:r>
        <w:rPr>
          <w:rFonts w:hint="eastAsia" w:ascii="仿宋_GB2312" w:hAnsi="Helvetica" w:eastAsia="仿宋_GB2312" w:cs="Helvetica"/>
          <w:kern w:val="0"/>
        </w:rPr>
        <w:t>（浙江政府采购网</w:t>
      </w:r>
      <w:r>
        <w:fldChar w:fldCharType="begin"/>
      </w:r>
      <w:r>
        <w:instrText xml:space="preserve"> HYPERLINK "http://www.zjzfcg.gov.cn" </w:instrText>
      </w:r>
      <w:r>
        <w:fldChar w:fldCharType="separate"/>
      </w:r>
      <w:r>
        <w:rPr>
          <w:rStyle w:val="48"/>
          <w:rFonts w:hint="eastAsia" w:ascii="仿宋_GB2312" w:hAnsi="Helvetica" w:eastAsia="仿宋_GB2312" w:cs="Helvetica"/>
          <w:color w:val="auto"/>
          <w:kern w:val="0"/>
        </w:rPr>
        <w:t>http://zfcg.czt.zj.gov.cn/</w:t>
      </w:r>
      <w:r>
        <w:rPr>
          <w:rStyle w:val="48"/>
          <w:rFonts w:hint="eastAsia" w:ascii="仿宋_GB2312" w:hAnsi="Helvetica" w:eastAsia="仿宋_GB2312" w:cs="Helvetica"/>
          <w:color w:val="auto"/>
          <w:kern w:val="0"/>
        </w:rPr>
        <w:fldChar w:fldCharType="end"/>
      </w:r>
      <w:r>
        <w:rPr>
          <w:rFonts w:hint="eastAsia" w:ascii="仿宋_GB2312" w:hAnsi="Helvetica" w:eastAsia="仿宋_GB2312" w:cs="Helvetica"/>
          <w:kern w:val="0"/>
        </w:rPr>
        <w:t>、绍兴公共资源交易网</w:t>
      </w:r>
      <w:r>
        <w:fldChar w:fldCharType="begin"/>
      </w:r>
      <w:r>
        <w:instrText xml:space="preserve"> HYPERLINK "http://ggb.sx.gov.cn" </w:instrText>
      </w:r>
      <w:r>
        <w:fldChar w:fldCharType="separate"/>
      </w:r>
      <w:r>
        <w:rPr>
          <w:rStyle w:val="48"/>
          <w:rFonts w:hint="eastAsia" w:ascii="仿宋_GB2312"/>
          <w:color w:val="auto"/>
        </w:rPr>
        <w:t>http://ggb.sx.gov.cn</w:t>
      </w:r>
      <w:r>
        <w:rPr>
          <w:rStyle w:val="48"/>
          <w:rFonts w:hint="eastAsia" w:ascii="仿宋_GB2312"/>
          <w:color w:val="auto"/>
        </w:rPr>
        <w:fldChar w:fldCharType="end"/>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3.2采购机构通过政采云平台向中标供应商签发中标通知书。请中标供应商自行登录政采云平台下载并打印中标通知书。在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4.1采购人在签订合同时，按合同法规定可向中标人收取不高于中标</w:t>
      </w:r>
      <w:r>
        <w:rPr>
          <w:rFonts w:hint="eastAsia" w:ascii="仿宋_GB2312" w:hAnsi="宋体" w:eastAsia="仿宋_GB2312"/>
          <w:color w:val="000000" w:themeColor="text1"/>
          <w:sz w:val="24"/>
          <w14:textFill>
            <w14:solidFill>
              <w14:schemeClr w14:val="tx1"/>
            </w14:solidFill>
          </w14:textFill>
        </w:rPr>
        <w:t>额的5％的履</w:t>
      </w:r>
      <w:r>
        <w:rPr>
          <w:rFonts w:hint="eastAsia" w:ascii="仿宋_GB2312" w:hAnsi="宋体" w:eastAsia="仿宋_GB2312"/>
          <w:sz w:val="24"/>
        </w:rPr>
        <w:t>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4.2供应商在履行完合同约定事项后，采购人应及时退还履约保证金。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b/>
          <w:sz w:val="24"/>
        </w:rPr>
      </w:pPr>
      <w:r>
        <w:rPr>
          <w:rFonts w:hint="eastAsia" w:ascii="仿宋_GB2312" w:hAnsi="宋体" w:eastAsia="仿宋_GB2312"/>
          <w:b/>
          <w:sz w:val="24"/>
        </w:rPr>
        <w:t>5．合同备案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，将</w:t>
      </w:r>
      <w:r>
        <w:rPr>
          <w:rFonts w:hint="eastAsia" w:ascii="仿宋_GB2312" w:hAnsi="宋体" w:eastAsia="仿宋_GB2312"/>
          <w:b/>
          <w:sz w:val="24"/>
        </w:rPr>
        <w:t>采购合同原件</w:t>
      </w:r>
      <w:r>
        <w:rPr>
          <w:rFonts w:hint="eastAsia" w:ascii="仿宋_GB2312" w:hAnsi="宋体" w:eastAsia="仿宋_GB2312"/>
          <w:sz w:val="24"/>
        </w:rPr>
        <w:t>报耀华建设管理有限公司备案。</w:t>
      </w:r>
    </w:p>
    <w:p>
      <w:pPr>
        <w:spacing w:line="440" w:lineRule="exact"/>
        <w:jc w:val="left"/>
        <w:rPr>
          <w:rFonts w:ascii="仿宋_GB2312" w:hAnsi="宋体" w:eastAsia="仿宋_GB2312"/>
          <w:sz w:val="24"/>
        </w:rPr>
      </w:pPr>
      <w:r>
        <w:rPr>
          <w:rFonts w:hint="eastAsia" w:ascii="仿宋_GB2312" w:hAnsi="宋体" w:eastAsia="仿宋_GB2312"/>
          <w:sz w:val="24"/>
        </w:rPr>
        <w:t>5.2未领取中标通知书，采购双方自行签订的合同不予备案。</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5.询问或者质疑事项可能影响采购结果的，采购人应当暂停签订合同，已经签订合同的，应当中止履行合同。</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autoSpaceDE w:val="0"/>
        <w:autoSpaceDN w:val="0"/>
        <w:spacing w:line="360" w:lineRule="exact"/>
        <w:ind w:firstLine="241" w:firstLineChars="100"/>
        <w:jc w:val="left"/>
        <w:rPr>
          <w:rFonts w:ascii="仿宋_GB2312" w:hAnsi="宋体" w:eastAsia="仿宋_GB2312" w:cs="仿宋_GB2312"/>
          <w:b/>
          <w:color w:val="000000"/>
          <w:sz w:val="24"/>
        </w:rPr>
      </w:pPr>
      <w:bookmarkStart w:id="7" w:name="_Toc81372787"/>
      <w:bookmarkStart w:id="8" w:name="_Toc81372964"/>
      <w:bookmarkStart w:id="9" w:name="_Toc80157775"/>
      <w:bookmarkStart w:id="10" w:name="_Toc84325981"/>
      <w:r>
        <w:rPr>
          <w:rFonts w:hint="eastAsia" w:ascii="仿宋_GB2312" w:hAnsi="宋体" w:eastAsia="仿宋_GB2312" w:cs="仿宋_GB2312"/>
          <w:b/>
          <w:color w:val="000000"/>
          <w:sz w:val="24"/>
        </w:rPr>
        <w:t>一、项目概况</w:t>
      </w:r>
    </w:p>
    <w:p>
      <w:pPr>
        <w:spacing w:line="400" w:lineRule="exact"/>
        <w:ind w:firstLine="360" w:firstLineChars="150"/>
        <w:rPr>
          <w:rFonts w:ascii="仿宋_GB2312" w:hAnsi="宋体" w:eastAsia="仿宋_GB2312" w:cs="宋体"/>
          <w:bCs/>
          <w:color w:val="000000"/>
          <w:sz w:val="24"/>
        </w:rPr>
      </w:pPr>
      <w:r>
        <w:rPr>
          <w:rFonts w:hint="eastAsia" w:ascii="仿宋_GB2312" w:hAnsi="宋体" w:eastAsia="仿宋_GB2312" w:cs="宋体"/>
          <w:bCs/>
          <w:color w:val="000000"/>
          <w:sz w:val="24"/>
        </w:rPr>
        <w:t>污染企业在生产过程中会产生大量的污染物，近年来虽然企业大都安装了污染治理设备，但企业为了追求更高利润、降低设备运行成本，私自关停环保治理设备，造成违规偷排事件仍然屡禁不止。同时，由于目前市场上针对污染治理设备运行的监管方式主要是通过对企业污染治理设备的运行情况进行分析，而未将污染产生设备和治理设备进行关联，客观上也容易发生污染偷排现象而造成监管缺失。为解决上述问题，按采购方需求在环保用户治污产污设备对应回路侧安装运行数据监测装置，通过对污染产生设备和治理设备的负荷、电流、电量等相关运行参数的关联分析，以判定产生污染的设备运行时，企业是否正常开启污染治理设备来确定企业是否存在偷排行为。</w:t>
      </w:r>
    </w:p>
    <w:p>
      <w:pPr>
        <w:autoSpaceDE w:val="0"/>
        <w:autoSpaceDN w:val="0"/>
        <w:spacing w:line="360" w:lineRule="exact"/>
        <w:jc w:val="left"/>
        <w:rPr>
          <w:rFonts w:ascii="仿宋_GB2312" w:hAnsi="宋体" w:eastAsia="仿宋_GB2312" w:cs="仿宋_GB2312"/>
          <w:b/>
          <w:color w:val="000000"/>
          <w:sz w:val="24"/>
        </w:rPr>
      </w:pPr>
      <w:r>
        <w:rPr>
          <w:rFonts w:hint="eastAsia" w:ascii="仿宋_GB2312" w:hAnsi="宋体" w:eastAsia="仿宋_GB2312" w:cs="仿宋_GB2312"/>
          <w:b/>
          <w:color w:val="000000"/>
          <w:sz w:val="24"/>
        </w:rPr>
        <w:t>2.项目建设原则</w:t>
      </w:r>
    </w:p>
    <w:p>
      <w:pPr>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所有投标方案至少满足下列原则：</w:t>
      </w:r>
    </w:p>
    <w:p>
      <w:pPr>
        <w:autoSpaceDE w:val="0"/>
        <w:autoSpaceDN w:val="0"/>
        <w:spacing w:line="360" w:lineRule="auto"/>
        <w:ind w:firstLine="482" w:firstLineChars="200"/>
        <w:rPr>
          <w:rFonts w:ascii="仿宋" w:hAnsi="仿宋" w:eastAsia="仿宋" w:cs="仿宋"/>
          <w:sz w:val="24"/>
        </w:rPr>
      </w:pPr>
      <w:r>
        <w:rPr>
          <w:rFonts w:hint="eastAsia" w:ascii="仿宋" w:hAnsi="仿宋" w:eastAsia="仿宋" w:cs="仿宋"/>
          <w:b/>
          <w:sz w:val="24"/>
        </w:rPr>
        <w:t>技术先进：</w:t>
      </w:r>
      <w:r>
        <w:rPr>
          <w:rFonts w:hint="eastAsia" w:ascii="仿宋" w:hAnsi="仿宋" w:eastAsia="仿宋" w:cs="仿宋"/>
          <w:sz w:val="24"/>
        </w:rPr>
        <w:t>应当采用当今主流技术，并适度超前，既要考虑应用平台和工具的先进，更要考虑系统结构和应用设计理念的先进性，以适应平台信息化发展的不断增加的需求。</w:t>
      </w:r>
    </w:p>
    <w:p>
      <w:pPr>
        <w:autoSpaceDE w:val="0"/>
        <w:autoSpaceDN w:val="0"/>
        <w:spacing w:line="360" w:lineRule="auto"/>
        <w:ind w:firstLine="482" w:firstLineChars="200"/>
        <w:rPr>
          <w:rFonts w:ascii="仿宋" w:hAnsi="仿宋" w:eastAsia="仿宋" w:cs="仿宋"/>
          <w:sz w:val="24"/>
        </w:rPr>
      </w:pPr>
      <w:r>
        <w:rPr>
          <w:rFonts w:hint="eastAsia" w:ascii="仿宋" w:hAnsi="仿宋" w:eastAsia="仿宋" w:cs="仿宋"/>
          <w:b/>
          <w:sz w:val="24"/>
        </w:rPr>
        <w:t>高度可靠：</w:t>
      </w:r>
      <w:r>
        <w:rPr>
          <w:rFonts w:hint="eastAsia" w:ascii="仿宋" w:hAnsi="仿宋" w:eastAsia="仿宋" w:cs="仿宋"/>
          <w:sz w:val="24"/>
        </w:rPr>
        <w:t>系统设计应采用成熟、稳定、可靠的软件技术，保证系统在大数据量、高并发的情况下长时间不间断地安全运行，出现极端故障可快速重建和恢复。</w:t>
      </w:r>
    </w:p>
    <w:p>
      <w:pPr>
        <w:autoSpaceDE w:val="0"/>
        <w:autoSpaceDN w:val="0"/>
        <w:spacing w:line="360" w:lineRule="auto"/>
        <w:ind w:firstLine="482" w:firstLineChars="200"/>
        <w:rPr>
          <w:rFonts w:ascii="仿宋" w:hAnsi="仿宋" w:eastAsia="仿宋" w:cs="仿宋"/>
          <w:sz w:val="24"/>
        </w:rPr>
      </w:pPr>
      <w:r>
        <w:rPr>
          <w:rFonts w:hint="eastAsia" w:ascii="仿宋" w:hAnsi="仿宋" w:eastAsia="仿宋" w:cs="仿宋"/>
          <w:b/>
          <w:sz w:val="24"/>
        </w:rPr>
        <w:t>实用性：</w:t>
      </w:r>
      <w:r>
        <w:rPr>
          <w:rFonts w:hint="eastAsia" w:ascii="仿宋" w:hAnsi="仿宋" w:eastAsia="仿宋" w:cs="仿宋"/>
          <w:sz w:val="24"/>
        </w:rPr>
        <w:t>根据业务需求和业务流程，从方便用户使用的角度进行系统设计、功能和模块划分。</w:t>
      </w:r>
    </w:p>
    <w:p>
      <w:pPr>
        <w:autoSpaceDE w:val="0"/>
        <w:autoSpaceDN w:val="0"/>
        <w:spacing w:line="360" w:lineRule="auto"/>
        <w:ind w:firstLine="482" w:firstLineChars="200"/>
        <w:rPr>
          <w:rFonts w:ascii="仿宋" w:hAnsi="仿宋" w:eastAsia="仿宋" w:cs="仿宋"/>
          <w:sz w:val="24"/>
        </w:rPr>
      </w:pPr>
      <w:r>
        <w:rPr>
          <w:rFonts w:hint="eastAsia" w:ascii="仿宋" w:hAnsi="仿宋" w:eastAsia="仿宋" w:cs="仿宋"/>
          <w:b/>
          <w:sz w:val="24"/>
        </w:rPr>
        <w:t>安全性：</w:t>
      </w:r>
      <w:r>
        <w:rPr>
          <w:rFonts w:hint="eastAsia" w:ascii="仿宋" w:hAnsi="仿宋" w:eastAsia="仿宋" w:cs="仿宋"/>
          <w:sz w:val="24"/>
        </w:rPr>
        <w:t>系统建设要符合用户对信息安全管理的要求，建立完善可靠的安全保障体系，对非法入侵、非法攻击和网络计算机病毒应具有很强的防范能力，确保系统具有严格的身份认证功能，并有相应的技术手段对数据安全和操作安全加以保护。</w:t>
      </w:r>
    </w:p>
    <w:p>
      <w:pPr>
        <w:autoSpaceDE w:val="0"/>
        <w:autoSpaceDN w:val="0"/>
        <w:spacing w:line="360" w:lineRule="auto"/>
        <w:ind w:firstLine="482" w:firstLineChars="200"/>
        <w:rPr>
          <w:rFonts w:ascii="仿宋" w:hAnsi="仿宋" w:eastAsia="仿宋" w:cs="仿宋"/>
          <w:sz w:val="24"/>
        </w:rPr>
      </w:pPr>
      <w:r>
        <w:rPr>
          <w:rFonts w:hint="eastAsia" w:ascii="仿宋" w:hAnsi="仿宋" w:eastAsia="仿宋" w:cs="仿宋"/>
          <w:b/>
          <w:sz w:val="24"/>
        </w:rPr>
        <w:t>易使用性：</w:t>
      </w:r>
      <w:r>
        <w:rPr>
          <w:rFonts w:hint="eastAsia" w:ascii="仿宋" w:hAnsi="仿宋" w:eastAsia="仿宋" w:cs="仿宋"/>
          <w:sz w:val="24"/>
        </w:rPr>
        <w:t>主要体现在两个方面：一是应用界面简捷、直观，尽量减少菜单的层次和不必要的点击过程，使用户在使用时一目了然，便于快速掌握系统操作方法，特别是要符合工作人员的思维方式和工作习惯，方便非计算机专业人员的使用；二是应提供联机的或脱机的帮助手段。</w:t>
      </w:r>
    </w:p>
    <w:p>
      <w:pPr>
        <w:autoSpaceDE w:val="0"/>
        <w:autoSpaceDN w:val="0"/>
        <w:spacing w:line="360" w:lineRule="exact"/>
        <w:jc w:val="left"/>
        <w:rPr>
          <w:rFonts w:ascii="仿宋_GB2312" w:hAnsi="宋体" w:eastAsia="仿宋_GB2312" w:cs="仿宋_GB2312"/>
          <w:b/>
          <w:color w:val="000000"/>
          <w:sz w:val="24"/>
        </w:rPr>
      </w:pPr>
      <w:r>
        <w:rPr>
          <w:rFonts w:hint="eastAsia" w:ascii="仿宋_GB2312" w:hAnsi="宋体" w:eastAsia="仿宋_GB2312" w:cs="仿宋_GB2312"/>
          <w:b/>
          <w:color w:val="000000"/>
          <w:sz w:val="24"/>
        </w:rPr>
        <w:t>3.项目W</w:t>
      </w:r>
      <w:r>
        <w:rPr>
          <w:rFonts w:ascii="仿宋_GB2312" w:hAnsi="宋体" w:eastAsia="仿宋_GB2312" w:cs="仿宋_GB2312"/>
          <w:b/>
          <w:color w:val="000000"/>
          <w:sz w:val="24"/>
        </w:rPr>
        <w:t>eb端</w:t>
      </w:r>
      <w:r>
        <w:rPr>
          <w:rFonts w:hint="eastAsia" w:ascii="仿宋_GB2312" w:hAnsi="宋体" w:eastAsia="仿宋_GB2312" w:cs="仿宋_GB2312"/>
          <w:b/>
          <w:color w:val="000000"/>
          <w:sz w:val="24"/>
        </w:rPr>
        <w:t>主要技术要求及应用模块</w:t>
      </w:r>
    </w:p>
    <w:p>
      <w:pPr>
        <w:autoSpaceDE w:val="0"/>
        <w:autoSpaceDN w:val="0"/>
        <w:spacing w:line="360" w:lineRule="exact"/>
        <w:jc w:val="left"/>
        <w:rPr>
          <w:rFonts w:ascii="仿宋" w:hAnsi="仿宋" w:eastAsia="仿宋" w:cs="仿宋"/>
          <w:b/>
          <w:bCs/>
          <w:sz w:val="24"/>
        </w:rPr>
      </w:pPr>
      <w:r>
        <w:rPr>
          <w:rFonts w:hint="eastAsia" w:ascii="仿宋" w:hAnsi="仿宋" w:eastAsia="仿宋" w:cs="仿宋"/>
          <w:b/>
          <w:bCs/>
          <w:sz w:val="24"/>
        </w:rPr>
        <w:t>3.1 项目主要技术要求</w:t>
      </w:r>
    </w:p>
    <w:p>
      <w:pPr>
        <w:pStyle w:val="2"/>
        <w:pageBreakBefore w:val="0"/>
        <w:widowControl w:val="0"/>
        <w:numPr>
          <w:ilvl w:val="0"/>
          <w:numId w:val="0"/>
        </w:numPr>
        <w:kinsoku/>
        <w:wordWrap/>
        <w:overflowPunct/>
        <w:topLinePunct w:val="0"/>
        <w:bidi w:val="0"/>
        <w:adjustRightInd/>
        <w:snapToGrid/>
        <w:spacing w:before="0" w:after="0" w:line="360" w:lineRule="auto"/>
        <w:ind w:firstLine="480" w:firstLineChars="200"/>
        <w:textAlignment w:val="auto"/>
        <w:rPr>
          <w:rFonts w:ascii="仿宋" w:hAnsi="仿宋" w:eastAsia="仿宋" w:cs="仿宋"/>
          <w:b w:val="0"/>
          <w:kern w:val="2"/>
          <w:sz w:val="24"/>
        </w:rPr>
      </w:pPr>
      <w:r>
        <w:rPr>
          <w:rFonts w:hint="eastAsia" w:ascii="仿宋" w:hAnsi="仿宋" w:eastAsia="仿宋" w:cs="仿宋"/>
          <w:b w:val="0"/>
          <w:kern w:val="2"/>
          <w:sz w:val="24"/>
        </w:rPr>
        <w:t>环保设施用电监控信息管理平台系统通过与第三方检测认证的电能表对接，实时采集企业生产设备用电和对应污染治理设备用电数据，对企业生产用电情况进行分析比对，即时输出分析结果，方便市生态环境局根据工作需要随时开展针对性执法检查。</w:t>
      </w:r>
    </w:p>
    <w:p>
      <w:pPr>
        <w:pageBreakBefore w:val="0"/>
        <w:widowControl w:val="0"/>
        <w:kinsoku/>
        <w:wordWrap/>
        <w:overflowPunct/>
        <w:topLinePunct w:val="0"/>
        <w:autoSpaceDE w:val="0"/>
        <w:autoSpaceDN w:val="0"/>
        <w:bidi w:val="0"/>
        <w:adjustRightInd/>
        <w:snapToGrid/>
        <w:spacing w:line="360" w:lineRule="auto"/>
        <w:jc w:val="left"/>
        <w:textAlignment w:val="auto"/>
        <w:rPr>
          <w:rFonts w:ascii="仿宋" w:hAnsi="仿宋" w:eastAsia="仿宋" w:cs="仿宋"/>
          <w:b/>
          <w:color w:val="000000"/>
          <w:sz w:val="24"/>
        </w:rPr>
      </w:pPr>
      <w:r>
        <w:rPr>
          <w:rFonts w:hint="eastAsia" w:ascii="仿宋" w:hAnsi="仿宋" w:eastAsia="仿宋" w:cs="仿宋"/>
          <w:b/>
          <w:bCs/>
          <w:sz w:val="24"/>
        </w:rPr>
        <w:t xml:space="preserve">3.2 </w:t>
      </w:r>
      <w:r>
        <w:rPr>
          <w:rFonts w:hint="eastAsia" w:ascii="仿宋" w:hAnsi="仿宋" w:eastAsia="仿宋" w:cs="仿宋"/>
          <w:b/>
          <w:color w:val="000000"/>
          <w:sz w:val="24"/>
        </w:rPr>
        <w:t>应用模块</w:t>
      </w:r>
    </w:p>
    <w:p>
      <w:pPr>
        <w:pageBreakBefore w:val="0"/>
        <w:widowControl w:val="0"/>
        <w:kinsoku/>
        <w:wordWrap/>
        <w:overflowPunct/>
        <w:topLinePunct w:val="0"/>
        <w:autoSpaceDE w:val="0"/>
        <w:autoSpaceDN w:val="0"/>
        <w:bidi w:val="0"/>
        <w:adjustRightInd/>
        <w:snapToGrid/>
        <w:spacing w:line="360" w:lineRule="auto"/>
        <w:jc w:val="left"/>
        <w:textAlignment w:val="auto"/>
        <w:rPr>
          <w:rFonts w:ascii="仿宋" w:hAnsi="仿宋" w:eastAsia="仿宋" w:cs="仿宋"/>
          <w:b/>
          <w:bCs/>
          <w:sz w:val="24"/>
        </w:rPr>
      </w:pPr>
      <w:r>
        <w:rPr>
          <w:rFonts w:hint="eastAsia" w:ascii="仿宋" w:hAnsi="仿宋" w:eastAsia="仿宋" w:cs="仿宋"/>
          <w:b/>
          <w:bCs/>
          <w:sz w:val="24"/>
        </w:rPr>
        <w:t>3.2.1 登录页面</w:t>
      </w:r>
    </w:p>
    <w:p>
      <w:pPr>
        <w:pStyle w:val="2"/>
        <w:pageBreakBefore w:val="0"/>
        <w:widowControl w:val="0"/>
        <w:numPr>
          <w:ilvl w:val="0"/>
          <w:numId w:val="0"/>
        </w:numPr>
        <w:kinsoku/>
        <w:wordWrap/>
        <w:overflowPunct/>
        <w:topLinePunct w:val="0"/>
        <w:bidi w:val="0"/>
        <w:adjustRightInd/>
        <w:snapToGrid/>
        <w:spacing w:before="0" w:after="0" w:line="360" w:lineRule="auto"/>
        <w:ind w:firstLine="480" w:firstLineChars="200"/>
        <w:textAlignment w:val="auto"/>
        <w:rPr>
          <w:rFonts w:ascii="仿宋" w:hAnsi="仿宋" w:eastAsia="仿宋" w:cs="仿宋"/>
          <w:b w:val="0"/>
          <w:kern w:val="2"/>
          <w:sz w:val="24"/>
        </w:rPr>
      </w:pPr>
      <w:r>
        <w:rPr>
          <w:rFonts w:hint="eastAsia" w:ascii="仿宋" w:hAnsi="仿宋" w:eastAsia="仿宋" w:cs="仿宋"/>
          <w:b w:val="0"/>
          <w:kern w:val="2"/>
          <w:sz w:val="24"/>
        </w:rPr>
        <w:t>登录成功后，页面默认显示的是“首页”的界面；</w:t>
      </w:r>
    </w:p>
    <w:p>
      <w:pPr>
        <w:pStyle w:val="2"/>
        <w:pageBreakBefore w:val="0"/>
        <w:widowControl w:val="0"/>
        <w:numPr>
          <w:ilvl w:val="0"/>
          <w:numId w:val="0"/>
        </w:numPr>
        <w:kinsoku/>
        <w:wordWrap/>
        <w:overflowPunct/>
        <w:topLinePunct w:val="0"/>
        <w:bidi w:val="0"/>
        <w:adjustRightInd/>
        <w:snapToGrid/>
        <w:spacing w:before="0" w:after="0" w:line="360" w:lineRule="auto"/>
        <w:ind w:firstLine="480" w:firstLineChars="200"/>
        <w:textAlignment w:val="auto"/>
        <w:rPr>
          <w:rFonts w:ascii="仿宋" w:hAnsi="仿宋" w:eastAsia="仿宋" w:cs="仿宋"/>
          <w:b w:val="0"/>
          <w:kern w:val="2"/>
          <w:sz w:val="24"/>
        </w:rPr>
      </w:pPr>
      <w:r>
        <w:rPr>
          <w:rFonts w:hint="eastAsia" w:ascii="仿宋" w:hAnsi="仿宋" w:eastAsia="仿宋" w:cs="仿宋"/>
          <w:b w:val="0"/>
          <w:kern w:val="2"/>
          <w:sz w:val="24"/>
        </w:rPr>
        <w:t>首页分为上下两大部分展示：点击上方的“环保企业”、“用电耗能”、“节能减排”、“产污设备”、“治污设备”任意一个，均可进入到“环保监控”界面。</w:t>
      </w:r>
    </w:p>
    <w:p>
      <w:pPr>
        <w:pStyle w:val="2"/>
        <w:pageBreakBefore w:val="0"/>
        <w:widowControl w:val="0"/>
        <w:numPr>
          <w:ilvl w:val="0"/>
          <w:numId w:val="0"/>
        </w:numPr>
        <w:kinsoku/>
        <w:wordWrap/>
        <w:overflowPunct/>
        <w:topLinePunct w:val="0"/>
        <w:bidi w:val="0"/>
        <w:adjustRightInd/>
        <w:snapToGrid/>
        <w:spacing w:before="0" w:after="0" w:line="360" w:lineRule="auto"/>
        <w:ind w:firstLine="480" w:firstLineChars="200"/>
        <w:textAlignment w:val="auto"/>
        <w:rPr>
          <w:rFonts w:ascii="仿宋" w:hAnsi="仿宋" w:eastAsia="仿宋" w:cs="仿宋"/>
          <w:b w:val="0"/>
          <w:kern w:val="2"/>
          <w:sz w:val="24"/>
        </w:rPr>
      </w:pPr>
      <w:r>
        <w:rPr>
          <w:rFonts w:hint="eastAsia" w:ascii="仿宋" w:hAnsi="仿宋" w:eastAsia="仿宋" w:cs="仿宋"/>
          <w:b w:val="0"/>
          <w:kern w:val="2"/>
          <w:sz w:val="24"/>
        </w:rPr>
        <w:t>下方的地图显示的是各个行政区域，点击任意一个行政区域，均可进入到“企业监控”界面。</w:t>
      </w:r>
    </w:p>
    <w:p>
      <w:pPr>
        <w:pageBreakBefore w:val="0"/>
        <w:widowControl w:val="0"/>
        <w:kinsoku/>
        <w:wordWrap/>
        <w:overflowPunct/>
        <w:topLinePunct w:val="0"/>
        <w:autoSpaceDE w:val="0"/>
        <w:autoSpaceDN w:val="0"/>
        <w:bidi w:val="0"/>
        <w:adjustRightInd/>
        <w:snapToGrid/>
        <w:spacing w:line="360" w:lineRule="auto"/>
        <w:jc w:val="left"/>
        <w:textAlignment w:val="auto"/>
        <w:rPr>
          <w:rFonts w:ascii="仿宋" w:hAnsi="仿宋" w:eastAsia="仿宋" w:cs="仿宋"/>
          <w:b/>
          <w:bCs/>
          <w:sz w:val="24"/>
        </w:rPr>
      </w:pPr>
      <w:bookmarkStart w:id="11" w:name="_Toc22134"/>
      <w:r>
        <w:rPr>
          <w:rFonts w:hint="eastAsia" w:ascii="仿宋" w:hAnsi="仿宋" w:eastAsia="仿宋" w:cs="仿宋"/>
          <w:b/>
          <w:bCs/>
          <w:sz w:val="24"/>
        </w:rPr>
        <w:t>3.2.2 环保监控</w:t>
      </w:r>
      <w:bookmarkEnd w:id="11"/>
      <w:r>
        <w:rPr>
          <w:rFonts w:hint="eastAsia" w:ascii="仿宋" w:hAnsi="仿宋" w:eastAsia="仿宋" w:cs="仿宋"/>
          <w:b/>
          <w:bCs/>
          <w:sz w:val="24"/>
        </w:rPr>
        <w:t>页面</w:t>
      </w:r>
    </w:p>
    <w:p>
      <w:pPr>
        <w:pStyle w:val="2"/>
        <w:pageBreakBefore w:val="0"/>
        <w:widowControl w:val="0"/>
        <w:numPr>
          <w:ilvl w:val="0"/>
          <w:numId w:val="0"/>
        </w:numPr>
        <w:kinsoku/>
        <w:wordWrap/>
        <w:overflowPunct/>
        <w:topLinePunct w:val="0"/>
        <w:bidi w:val="0"/>
        <w:adjustRightInd/>
        <w:snapToGrid/>
        <w:spacing w:before="0" w:after="0" w:line="360" w:lineRule="auto"/>
        <w:ind w:firstLine="480" w:firstLineChars="200"/>
        <w:textAlignment w:val="auto"/>
        <w:rPr>
          <w:rFonts w:ascii="仿宋" w:hAnsi="仿宋" w:eastAsia="仿宋" w:cs="仿宋"/>
          <w:b w:val="0"/>
          <w:kern w:val="2"/>
          <w:sz w:val="24"/>
        </w:rPr>
      </w:pPr>
      <w:r>
        <w:rPr>
          <w:rFonts w:hint="eastAsia" w:ascii="仿宋" w:hAnsi="仿宋" w:eastAsia="仿宋" w:cs="仿宋"/>
          <w:b w:val="0"/>
          <w:kern w:val="2"/>
          <w:sz w:val="24"/>
        </w:rPr>
        <w:t>展示企业概览、告警信息、能耗统计、负荷统计、区域异常企业、行业异常企业、设备运行、设备运行情况的数据信息和行政区域地图异常显示。</w:t>
      </w:r>
    </w:p>
    <w:p>
      <w:pPr>
        <w:pageBreakBefore w:val="0"/>
        <w:widowControl w:val="0"/>
        <w:kinsoku/>
        <w:wordWrap/>
        <w:overflowPunct/>
        <w:topLinePunct w:val="0"/>
        <w:autoSpaceDE w:val="0"/>
        <w:autoSpaceDN w:val="0"/>
        <w:bidi w:val="0"/>
        <w:adjustRightInd/>
        <w:snapToGrid/>
        <w:spacing w:line="360" w:lineRule="auto"/>
        <w:jc w:val="left"/>
        <w:textAlignment w:val="auto"/>
        <w:rPr>
          <w:rFonts w:ascii="仿宋" w:hAnsi="仿宋" w:eastAsia="仿宋" w:cs="仿宋"/>
          <w:b/>
          <w:bCs/>
          <w:sz w:val="24"/>
        </w:rPr>
      </w:pPr>
      <w:bookmarkStart w:id="12" w:name="_Toc11074"/>
      <w:r>
        <w:rPr>
          <w:rFonts w:hint="eastAsia" w:ascii="仿宋" w:hAnsi="仿宋" w:eastAsia="仿宋" w:cs="仿宋"/>
          <w:b/>
          <w:bCs/>
          <w:sz w:val="24"/>
        </w:rPr>
        <w:t>3.2.3 企业监控</w:t>
      </w:r>
      <w:bookmarkEnd w:id="12"/>
      <w:r>
        <w:rPr>
          <w:rFonts w:hint="eastAsia" w:ascii="仿宋" w:hAnsi="仿宋" w:eastAsia="仿宋" w:cs="仿宋"/>
          <w:b/>
          <w:bCs/>
          <w:sz w:val="24"/>
        </w:rPr>
        <w:t>页面</w:t>
      </w:r>
      <w:bookmarkStart w:id="13" w:name="_Toc4569"/>
    </w:p>
    <w:p>
      <w:pPr>
        <w:pageBreakBefore w:val="0"/>
        <w:widowControl w:val="0"/>
        <w:kinsoku/>
        <w:wordWrap/>
        <w:overflowPunct/>
        <w:topLinePunct w:val="0"/>
        <w:autoSpaceDE w:val="0"/>
        <w:autoSpaceDN w:val="0"/>
        <w:bidi w:val="0"/>
        <w:adjustRightInd/>
        <w:snapToGrid/>
        <w:spacing w:line="360" w:lineRule="auto"/>
        <w:jc w:val="left"/>
        <w:textAlignment w:val="auto"/>
        <w:rPr>
          <w:rFonts w:ascii="仿宋" w:hAnsi="仿宋" w:eastAsia="仿宋" w:cs="仿宋"/>
          <w:sz w:val="24"/>
        </w:rPr>
      </w:pPr>
      <w:r>
        <w:rPr>
          <w:rFonts w:hint="eastAsia" w:ascii="仿宋" w:hAnsi="仿宋" w:eastAsia="仿宋" w:cs="仿宋"/>
          <w:sz w:val="24"/>
        </w:rPr>
        <w:t>1.地图功能</w:t>
      </w:r>
      <w:bookmarkEnd w:id="13"/>
    </w:p>
    <w:p>
      <w:pPr>
        <w:autoSpaceDE w:val="0"/>
        <w:autoSpaceDN w:val="0"/>
        <w:spacing w:line="360" w:lineRule="auto"/>
        <w:jc w:val="left"/>
        <w:rPr>
          <w:rFonts w:ascii="仿宋" w:hAnsi="仿宋" w:eastAsia="仿宋" w:cs="仿宋"/>
          <w:sz w:val="24"/>
        </w:rPr>
      </w:pPr>
      <w:r>
        <w:rPr>
          <w:rFonts w:hint="eastAsia" w:ascii="仿宋" w:hAnsi="仿宋" w:eastAsia="仿宋" w:cs="仿宋"/>
          <w:sz w:val="24"/>
        </w:rPr>
        <w:t>选择不同的日期、区县、乡镇街道、行业，地图中会生成相对应的企业信息。</w:t>
      </w:r>
      <w:bookmarkStart w:id="14" w:name="_Toc31888"/>
    </w:p>
    <w:p>
      <w:pPr>
        <w:autoSpaceDE w:val="0"/>
        <w:autoSpaceDN w:val="0"/>
        <w:spacing w:line="360" w:lineRule="auto"/>
        <w:jc w:val="left"/>
        <w:rPr>
          <w:rFonts w:ascii="仿宋" w:hAnsi="仿宋" w:eastAsia="仿宋" w:cs="仿宋"/>
          <w:sz w:val="24"/>
        </w:rPr>
      </w:pPr>
      <w:r>
        <w:rPr>
          <w:rFonts w:hint="eastAsia" w:ascii="仿宋" w:hAnsi="仿宋" w:eastAsia="仿宋" w:cs="仿宋"/>
          <w:sz w:val="24"/>
        </w:rPr>
        <w:t>2.企业运行监控</w:t>
      </w:r>
      <w:bookmarkEnd w:id="14"/>
      <w:r>
        <w:rPr>
          <w:rFonts w:hint="eastAsia" w:ascii="仿宋" w:hAnsi="仿宋" w:eastAsia="仿宋" w:cs="仿宋"/>
          <w:sz w:val="24"/>
        </w:rPr>
        <w:t>功能</w:t>
      </w:r>
    </w:p>
    <w:p>
      <w:pPr>
        <w:autoSpaceDE w:val="0"/>
        <w:autoSpaceDN w:val="0"/>
        <w:spacing w:line="360" w:lineRule="auto"/>
        <w:jc w:val="left"/>
        <w:rPr>
          <w:rFonts w:ascii="仿宋" w:hAnsi="仿宋" w:eastAsia="仿宋" w:cs="仿宋"/>
          <w:sz w:val="24"/>
        </w:rPr>
      </w:pPr>
      <w:r>
        <w:rPr>
          <w:rFonts w:hint="eastAsia" w:ascii="仿宋" w:hAnsi="仿宋" w:eastAsia="仿宋" w:cs="仿宋"/>
          <w:sz w:val="24"/>
        </w:rPr>
        <w:t>显示企业的运行监控信息，可进行企业名称和异常状态进行筛选搜索查看。</w:t>
      </w:r>
    </w:p>
    <w:p>
      <w:pPr>
        <w:autoSpaceDE w:val="0"/>
        <w:autoSpaceDN w:val="0"/>
        <w:spacing w:line="360" w:lineRule="auto"/>
        <w:jc w:val="left"/>
        <w:rPr>
          <w:rFonts w:ascii="仿宋" w:hAnsi="仿宋" w:eastAsia="仿宋" w:cs="仿宋"/>
          <w:sz w:val="24"/>
        </w:rPr>
      </w:pPr>
      <w:bookmarkStart w:id="15" w:name="_Toc21357"/>
      <w:r>
        <w:rPr>
          <w:rFonts w:hint="eastAsia" w:ascii="仿宋" w:hAnsi="仿宋" w:eastAsia="仿宋" w:cs="仿宋"/>
          <w:sz w:val="24"/>
        </w:rPr>
        <w:t>3.设备运行监控</w:t>
      </w:r>
      <w:bookmarkEnd w:id="15"/>
      <w:r>
        <w:rPr>
          <w:rFonts w:hint="eastAsia" w:ascii="仿宋" w:hAnsi="仿宋" w:eastAsia="仿宋" w:cs="仿宋"/>
          <w:sz w:val="24"/>
        </w:rPr>
        <w:t>功能</w:t>
      </w:r>
    </w:p>
    <w:p>
      <w:pPr>
        <w:autoSpaceDE w:val="0"/>
        <w:autoSpaceDN w:val="0"/>
        <w:spacing w:line="360" w:lineRule="auto"/>
        <w:jc w:val="left"/>
        <w:rPr>
          <w:rFonts w:ascii="仿宋" w:hAnsi="仿宋" w:eastAsia="仿宋" w:cs="仿宋"/>
          <w:sz w:val="24"/>
        </w:rPr>
      </w:pPr>
      <w:r>
        <w:rPr>
          <w:rFonts w:hint="eastAsia" w:ascii="仿宋" w:hAnsi="仿宋" w:eastAsia="仿宋" w:cs="仿宋"/>
          <w:sz w:val="24"/>
        </w:rPr>
        <w:t>显示设备的运行监控信息，可进行企业名称和异常状态进行筛选搜索查看。</w:t>
      </w:r>
    </w:p>
    <w:p>
      <w:pPr>
        <w:autoSpaceDE w:val="0"/>
        <w:autoSpaceDN w:val="0"/>
        <w:spacing w:line="360" w:lineRule="exact"/>
        <w:jc w:val="left"/>
        <w:rPr>
          <w:rFonts w:ascii="仿宋_GB2312" w:hAnsi="宋体" w:eastAsia="仿宋_GB2312" w:cs="仿宋_GB2312"/>
          <w:bCs/>
          <w:color w:val="000000"/>
          <w:sz w:val="24"/>
          <w:szCs w:val="28"/>
        </w:rPr>
      </w:pPr>
      <w:r>
        <w:rPr>
          <w:rFonts w:ascii="仿宋_GB2312" w:hAnsi="宋体" w:eastAsia="仿宋_GB2312" w:cs="仿宋_GB2312"/>
          <w:b/>
          <w:color w:val="000000"/>
          <w:sz w:val="24"/>
        </w:rPr>
        <w:t>4.</w:t>
      </w:r>
      <w:bookmarkStart w:id="16" w:name="_Toc11395"/>
      <w:bookmarkStart w:id="17" w:name="_Toc51669313"/>
      <w:r>
        <w:rPr>
          <w:rFonts w:ascii="仿宋_GB2312" w:hAnsi="宋体" w:eastAsia="仿宋_GB2312" w:cs="仿宋_GB2312"/>
          <w:b/>
          <w:bCs/>
          <w:color w:val="000000"/>
          <w:sz w:val="24"/>
          <w:szCs w:val="28"/>
        </w:rPr>
        <w:t xml:space="preserve"> </w:t>
      </w:r>
      <w:r>
        <w:rPr>
          <w:rFonts w:hint="eastAsia" w:ascii="仿宋_GB2312" w:hAnsi="宋体" w:eastAsia="仿宋_GB2312" w:cs="仿宋_GB2312"/>
          <w:b/>
          <w:bCs/>
          <w:color w:val="000000"/>
          <w:sz w:val="24"/>
          <w:szCs w:val="28"/>
        </w:rPr>
        <w:t>移动</w:t>
      </w:r>
      <w:r>
        <w:rPr>
          <w:rFonts w:ascii="仿宋_GB2312" w:hAnsi="宋体" w:eastAsia="仿宋_GB2312" w:cs="仿宋_GB2312"/>
          <w:b/>
          <w:bCs/>
          <w:color w:val="000000"/>
          <w:sz w:val="24"/>
          <w:szCs w:val="28"/>
        </w:rPr>
        <w:t>APP端</w:t>
      </w:r>
      <w:bookmarkEnd w:id="16"/>
      <w:bookmarkEnd w:id="17"/>
    </w:p>
    <w:p>
      <w:pPr>
        <w:autoSpaceDE w:val="0"/>
        <w:autoSpaceDN w:val="0"/>
        <w:spacing w:line="360" w:lineRule="auto"/>
        <w:ind w:firstLine="0" w:firstLineChars="0"/>
        <w:jc w:val="left"/>
        <w:outlineLvl w:val="9"/>
        <w:rPr>
          <w:rFonts w:ascii="仿宋" w:hAnsi="仿宋" w:eastAsia="仿宋" w:cs="仿宋"/>
          <w:b/>
          <w:bCs/>
          <w:sz w:val="24"/>
          <w:szCs w:val="24"/>
        </w:rPr>
      </w:pPr>
      <w:bookmarkStart w:id="18" w:name="_Toc22354"/>
      <w:bookmarkStart w:id="19" w:name="_Toc51669314"/>
      <w:r>
        <w:rPr>
          <w:rFonts w:ascii="仿宋" w:hAnsi="仿宋" w:eastAsia="仿宋" w:cs="仿宋"/>
          <w:b/>
          <w:bCs/>
          <w:sz w:val="24"/>
          <w:szCs w:val="24"/>
        </w:rPr>
        <w:t>4.1</w:t>
      </w:r>
      <w:r>
        <w:rPr>
          <w:rFonts w:hint="eastAsia" w:ascii="仿宋" w:hAnsi="仿宋" w:eastAsia="仿宋" w:cs="仿宋"/>
          <w:b/>
          <w:bCs/>
          <w:sz w:val="24"/>
          <w:szCs w:val="24"/>
        </w:rPr>
        <w:t>登录</w:t>
      </w:r>
      <w:bookmarkEnd w:id="18"/>
      <w:bookmarkEnd w:id="19"/>
    </w:p>
    <w:p>
      <w:pPr>
        <w:autoSpaceDE w:val="0"/>
        <w:autoSpaceDN w:val="0"/>
        <w:spacing w:line="360" w:lineRule="auto"/>
        <w:ind w:firstLine="0" w:firstLineChars="0"/>
        <w:jc w:val="left"/>
        <w:rPr>
          <w:rFonts w:ascii="仿宋" w:hAnsi="仿宋" w:eastAsia="仿宋" w:cs="仿宋"/>
          <w:bCs w:val="0"/>
          <w:sz w:val="24"/>
          <w:szCs w:val="24"/>
        </w:rPr>
      </w:pPr>
      <w:r>
        <w:rPr>
          <w:rFonts w:hint="eastAsia" w:ascii="仿宋" w:hAnsi="仿宋" w:eastAsia="仿宋" w:cs="仿宋"/>
          <w:bCs w:val="0"/>
          <w:sz w:val="24"/>
          <w:szCs w:val="24"/>
        </w:rPr>
        <w:t>输入账号密码登陆录，进入应用</w:t>
      </w:r>
    </w:p>
    <w:p>
      <w:pPr>
        <w:autoSpaceDE w:val="0"/>
        <w:autoSpaceDN w:val="0"/>
        <w:spacing w:line="360" w:lineRule="auto"/>
        <w:ind w:firstLine="0" w:firstLineChars="0"/>
        <w:jc w:val="left"/>
        <w:outlineLvl w:val="9"/>
        <w:rPr>
          <w:rFonts w:ascii="仿宋" w:hAnsi="仿宋" w:eastAsia="仿宋" w:cs="仿宋"/>
          <w:b/>
          <w:bCs/>
          <w:sz w:val="24"/>
          <w:szCs w:val="24"/>
        </w:rPr>
      </w:pPr>
      <w:bookmarkStart w:id="20" w:name="_Toc32569"/>
      <w:bookmarkStart w:id="21" w:name="_Toc51669315"/>
      <w:r>
        <w:rPr>
          <w:rFonts w:ascii="仿宋" w:hAnsi="仿宋" w:eastAsia="仿宋" w:cs="仿宋"/>
          <w:b/>
          <w:bCs/>
          <w:sz w:val="24"/>
          <w:szCs w:val="24"/>
        </w:rPr>
        <w:t>4.2</w:t>
      </w:r>
      <w:r>
        <w:rPr>
          <w:rFonts w:hint="eastAsia" w:ascii="仿宋" w:hAnsi="仿宋" w:eastAsia="仿宋" w:cs="仿宋"/>
          <w:b/>
          <w:bCs/>
          <w:sz w:val="24"/>
          <w:szCs w:val="24"/>
        </w:rPr>
        <w:t>首页</w:t>
      </w:r>
      <w:bookmarkEnd w:id="20"/>
      <w:bookmarkEnd w:id="21"/>
    </w:p>
    <w:p>
      <w:pPr>
        <w:autoSpaceDE w:val="0"/>
        <w:autoSpaceDN w:val="0"/>
        <w:spacing w:line="360" w:lineRule="auto"/>
        <w:jc w:val="left"/>
        <w:rPr>
          <w:rFonts w:ascii="仿宋" w:hAnsi="仿宋" w:eastAsia="仿宋" w:cs="仿宋"/>
          <w:b w:val="0"/>
          <w:sz w:val="24"/>
          <w:szCs w:val="24"/>
        </w:rPr>
      </w:pPr>
      <w:r>
        <w:rPr>
          <w:rFonts w:hint="eastAsia" w:ascii="仿宋" w:hAnsi="仿宋" w:eastAsia="仿宋" w:cs="仿宋"/>
          <w:bCs w:val="0"/>
          <w:sz w:val="24"/>
          <w:szCs w:val="24"/>
        </w:rPr>
        <w:t>首页显示监控信息、设备运行、地图展示环保企业的详细信息，蓝色表示正常运行，黄色表示异常企业</w:t>
      </w:r>
    </w:p>
    <w:p>
      <w:pPr>
        <w:autoSpaceDE w:val="0"/>
        <w:autoSpaceDN w:val="0"/>
        <w:spacing w:line="360" w:lineRule="auto"/>
        <w:ind w:firstLine="0" w:firstLineChars="0"/>
        <w:jc w:val="left"/>
        <w:outlineLvl w:val="9"/>
        <w:rPr>
          <w:rFonts w:ascii="仿宋" w:hAnsi="仿宋" w:eastAsia="仿宋" w:cs="仿宋"/>
          <w:b/>
          <w:bCs/>
          <w:sz w:val="24"/>
          <w:szCs w:val="24"/>
        </w:rPr>
      </w:pPr>
      <w:bookmarkStart w:id="22" w:name="_Toc1465"/>
      <w:bookmarkStart w:id="23" w:name="_Toc51669316"/>
      <w:r>
        <w:rPr>
          <w:rFonts w:ascii="仿宋" w:hAnsi="仿宋" w:eastAsia="仿宋" w:cs="仿宋"/>
          <w:b/>
          <w:bCs/>
          <w:sz w:val="24"/>
          <w:szCs w:val="24"/>
        </w:rPr>
        <w:t>4.3</w:t>
      </w:r>
      <w:r>
        <w:rPr>
          <w:rFonts w:hint="eastAsia" w:ascii="仿宋" w:hAnsi="仿宋" w:eastAsia="仿宋" w:cs="仿宋"/>
          <w:b/>
          <w:bCs/>
          <w:sz w:val="24"/>
          <w:szCs w:val="24"/>
        </w:rPr>
        <w:t>监控信息</w:t>
      </w:r>
      <w:bookmarkEnd w:id="22"/>
      <w:bookmarkEnd w:id="23"/>
    </w:p>
    <w:p>
      <w:pPr>
        <w:autoSpaceDE w:val="0"/>
        <w:autoSpaceDN w:val="0"/>
        <w:spacing w:line="360" w:lineRule="auto"/>
        <w:jc w:val="left"/>
        <w:rPr>
          <w:rFonts w:ascii="仿宋" w:hAnsi="仿宋" w:eastAsia="仿宋" w:cs="仿宋"/>
          <w:b w:val="0"/>
          <w:sz w:val="24"/>
        </w:rPr>
      </w:pPr>
      <w:r>
        <w:rPr>
          <w:rFonts w:hint="eastAsia" w:ascii="仿宋" w:hAnsi="仿宋" w:eastAsia="仿宋" w:cs="仿宋"/>
          <w:bCs w:val="0"/>
          <w:sz w:val="24"/>
          <w:szCs w:val="24"/>
        </w:rPr>
        <w:t>对每个监测的企业可以实现“实时用电数据”、“日用电数据”、“月用电数据”、“年用电数据”“异常信息”等相关功能。</w:t>
      </w:r>
    </w:p>
    <w:p>
      <w:pPr>
        <w:autoSpaceDE w:val="0"/>
        <w:autoSpaceDN w:val="0"/>
        <w:spacing w:line="360" w:lineRule="auto"/>
        <w:ind w:firstLine="0" w:firstLineChars="0"/>
        <w:jc w:val="left"/>
        <w:outlineLvl w:val="9"/>
        <w:rPr>
          <w:rFonts w:ascii="仿宋" w:hAnsi="仿宋" w:eastAsia="仿宋" w:cs="仿宋"/>
          <w:b/>
          <w:bCs/>
          <w:sz w:val="24"/>
          <w:szCs w:val="24"/>
        </w:rPr>
      </w:pPr>
      <w:bookmarkStart w:id="24" w:name="_Toc21007"/>
      <w:bookmarkStart w:id="25" w:name="_Toc51669317"/>
      <w:r>
        <w:rPr>
          <w:rFonts w:ascii="仿宋" w:hAnsi="仿宋" w:eastAsia="仿宋" w:cs="仿宋"/>
          <w:b/>
          <w:bCs/>
          <w:sz w:val="24"/>
          <w:szCs w:val="24"/>
        </w:rPr>
        <w:t>4.4</w:t>
      </w:r>
      <w:r>
        <w:rPr>
          <w:rFonts w:hint="eastAsia" w:ascii="仿宋" w:hAnsi="仿宋" w:eastAsia="仿宋" w:cs="仿宋"/>
          <w:b/>
          <w:bCs/>
          <w:sz w:val="24"/>
          <w:szCs w:val="24"/>
        </w:rPr>
        <w:t>设备运行</w:t>
      </w:r>
      <w:bookmarkEnd w:id="24"/>
      <w:bookmarkEnd w:id="25"/>
    </w:p>
    <w:p>
      <w:pPr>
        <w:autoSpaceDE w:val="0"/>
        <w:autoSpaceDN w:val="0"/>
        <w:spacing w:line="360" w:lineRule="auto"/>
        <w:jc w:val="left"/>
        <w:rPr>
          <w:rFonts w:ascii="仿宋" w:hAnsi="仿宋" w:eastAsia="仿宋" w:cs="仿宋"/>
          <w:sz w:val="24"/>
        </w:rPr>
      </w:pPr>
      <w:r>
        <w:rPr>
          <w:rFonts w:hint="eastAsia" w:ascii="仿宋" w:hAnsi="仿宋" w:eastAsia="仿宋" w:cs="仿宋"/>
          <w:bCs/>
          <w:sz w:val="24"/>
          <w:szCs w:val="28"/>
        </w:rPr>
        <w:t>展示企业产污，治污的用电负荷情况</w:t>
      </w:r>
      <w:bookmarkStart w:id="26" w:name="_Toc51669318"/>
    </w:p>
    <w:p>
      <w:pPr>
        <w:autoSpaceDE w:val="0"/>
        <w:autoSpaceDN w:val="0"/>
        <w:spacing w:line="360" w:lineRule="auto"/>
        <w:jc w:val="left"/>
        <w:rPr>
          <w:rFonts w:ascii="仿宋" w:hAnsi="仿宋" w:eastAsia="仿宋" w:cs="仿宋"/>
          <w:bCs/>
          <w:sz w:val="24"/>
          <w:szCs w:val="28"/>
        </w:rPr>
      </w:pPr>
      <w:r>
        <w:rPr>
          <w:rFonts w:ascii="仿宋_GB2312" w:hAnsi="宋体" w:eastAsia="仿宋_GB2312" w:cs="仿宋_GB2312"/>
          <w:b/>
          <w:bCs/>
          <w:color w:val="000000"/>
          <w:sz w:val="24"/>
          <w:szCs w:val="28"/>
        </w:rPr>
        <w:t>5.</w:t>
      </w:r>
      <w:r>
        <w:rPr>
          <w:rFonts w:hint="eastAsia" w:ascii="仿宋_GB2312" w:hAnsi="宋体" w:eastAsia="仿宋_GB2312" w:cs="仿宋_GB2312"/>
          <w:b/>
          <w:bCs/>
          <w:color w:val="000000"/>
          <w:sz w:val="24"/>
          <w:szCs w:val="28"/>
        </w:rPr>
        <w:t>平台数据采集分析及成果</w:t>
      </w:r>
      <w:bookmarkEnd w:id="26"/>
    </w:p>
    <w:p>
      <w:pPr>
        <w:autoSpaceDE w:val="0"/>
        <w:autoSpaceDN w:val="0"/>
        <w:spacing w:line="360" w:lineRule="auto"/>
        <w:ind w:firstLine="480" w:firstLineChars="200"/>
        <w:jc w:val="left"/>
        <w:rPr>
          <w:rFonts w:ascii="仿宋" w:hAnsi="仿宋" w:eastAsia="仿宋" w:cs="仿宋"/>
          <w:bCs w:val="0"/>
          <w:sz w:val="24"/>
          <w:szCs w:val="24"/>
        </w:rPr>
      </w:pPr>
      <w:r>
        <w:rPr>
          <w:rFonts w:hint="eastAsia" w:ascii="仿宋" w:hAnsi="仿宋" w:eastAsia="仿宋" w:cs="仿宋"/>
          <w:bCs w:val="0"/>
          <w:sz w:val="24"/>
          <w:szCs w:val="24"/>
        </w:rPr>
        <w:t>企业端在生产设备和污染治理设备的用电线路上安装电力参数采集装置，通过无线联网方式，将数据上传到服务器。环保设施用电监控信息管理平台从服务器读取企业生产设备和环保设备运行数据，并与企业总体用电数据进行比对分析、出具报告，供市生态环境局决策、开展监管执法。</w:t>
      </w:r>
    </w:p>
    <w:p>
      <w:pPr>
        <w:autoSpaceDE w:val="0"/>
        <w:autoSpaceDN w:val="0"/>
        <w:spacing w:line="360" w:lineRule="auto"/>
        <w:ind w:firstLine="480" w:firstLineChars="200"/>
        <w:jc w:val="left"/>
        <w:rPr>
          <w:rFonts w:ascii="仿宋" w:hAnsi="仿宋" w:eastAsia="仿宋" w:cs="仿宋"/>
          <w:bCs/>
          <w:sz w:val="24"/>
          <w:szCs w:val="28"/>
        </w:rPr>
      </w:pPr>
      <w:r>
        <w:rPr>
          <w:rFonts w:hint="eastAsia" w:ascii="仿宋" w:hAnsi="仿宋" w:eastAsia="仿宋" w:cs="仿宋"/>
          <w:bCs/>
          <w:sz w:val="24"/>
          <w:szCs w:val="28"/>
        </w:rPr>
        <w:t>（1）环保设备用电数据与企业用电总量比对，生成比对数据，每月出具分析报告；</w:t>
      </w:r>
    </w:p>
    <w:p>
      <w:pPr>
        <w:autoSpaceDE w:val="0"/>
        <w:autoSpaceDN w:val="0"/>
        <w:spacing w:line="360" w:lineRule="auto"/>
        <w:ind w:firstLine="480" w:firstLineChars="200"/>
        <w:jc w:val="left"/>
        <w:rPr>
          <w:rFonts w:ascii="仿宋" w:hAnsi="仿宋" w:eastAsia="仿宋" w:cs="仿宋"/>
          <w:bCs/>
          <w:sz w:val="24"/>
          <w:szCs w:val="28"/>
        </w:rPr>
      </w:pPr>
      <w:r>
        <w:rPr>
          <w:rFonts w:hint="eastAsia" w:ascii="仿宋" w:hAnsi="仿宋" w:eastAsia="仿宋" w:cs="仿宋"/>
          <w:bCs/>
          <w:sz w:val="24"/>
          <w:szCs w:val="28"/>
        </w:rPr>
        <w:t>（2）设置监控中心，集中监控系统运行情况；</w:t>
      </w:r>
    </w:p>
    <w:p>
      <w:pPr>
        <w:autoSpaceDE w:val="0"/>
        <w:autoSpaceDN w:val="0"/>
        <w:spacing w:line="360" w:lineRule="auto"/>
        <w:ind w:firstLine="480" w:firstLineChars="200"/>
        <w:jc w:val="left"/>
        <w:rPr>
          <w:rFonts w:ascii="仿宋" w:hAnsi="仿宋" w:eastAsia="仿宋" w:cs="仿宋"/>
          <w:bCs/>
          <w:sz w:val="24"/>
          <w:szCs w:val="28"/>
        </w:rPr>
      </w:pPr>
      <w:r>
        <w:rPr>
          <w:rFonts w:hint="eastAsia" w:ascii="仿宋" w:hAnsi="仿宋" w:eastAsia="仿宋" w:cs="仿宋"/>
          <w:bCs/>
          <w:sz w:val="24"/>
          <w:szCs w:val="28"/>
        </w:rPr>
        <w:t>（3）通过网页、移动端APP等途径提供异常数据告警；</w:t>
      </w:r>
    </w:p>
    <w:p>
      <w:pPr>
        <w:autoSpaceDE w:val="0"/>
        <w:autoSpaceDN w:val="0"/>
        <w:spacing w:line="360" w:lineRule="auto"/>
        <w:ind w:firstLine="480" w:firstLineChars="200"/>
        <w:jc w:val="left"/>
        <w:rPr>
          <w:rFonts w:ascii="仿宋" w:hAnsi="仿宋" w:eastAsia="仿宋" w:cs="仿宋"/>
          <w:bCs/>
          <w:sz w:val="24"/>
          <w:szCs w:val="28"/>
        </w:rPr>
      </w:pPr>
      <w:r>
        <w:rPr>
          <w:rFonts w:hint="eastAsia" w:ascii="仿宋" w:hAnsi="仿宋" w:eastAsia="仿宋" w:cs="仿宋"/>
          <w:bCs/>
          <w:sz w:val="24"/>
          <w:szCs w:val="28"/>
        </w:rPr>
        <w:t>（4）定期提供企业个性化分析报告，供市生态环境局和企业分析使用。</w:t>
      </w:r>
    </w:p>
    <w:p>
      <w:pPr>
        <w:autoSpaceDE w:val="0"/>
        <w:autoSpaceDN w:val="0"/>
        <w:spacing w:line="360" w:lineRule="exact"/>
        <w:jc w:val="left"/>
        <w:rPr>
          <w:rFonts w:ascii="仿宋_GB2312" w:hAnsi="宋体" w:eastAsia="仿宋_GB2312" w:cs="仿宋_GB2312"/>
          <w:b/>
          <w:color w:val="000000"/>
          <w:sz w:val="24"/>
        </w:rPr>
      </w:pPr>
      <w:r>
        <w:rPr>
          <w:rFonts w:ascii="仿宋_GB2312" w:hAnsi="宋体" w:eastAsia="仿宋_GB2312" w:cs="仿宋_GB2312"/>
          <w:b/>
          <w:color w:val="000000"/>
          <w:sz w:val="24"/>
        </w:rPr>
        <w:t>6</w:t>
      </w:r>
      <w:r>
        <w:rPr>
          <w:rFonts w:hint="eastAsia" w:ascii="仿宋_GB2312" w:hAnsi="宋体" w:eastAsia="仿宋_GB2312" w:cs="仿宋_GB2312"/>
          <w:b/>
          <w:color w:val="000000"/>
          <w:sz w:val="24"/>
        </w:rPr>
        <w:t>.监测数据类型表</w:t>
      </w:r>
    </w:p>
    <w:tbl>
      <w:tblPr>
        <w:tblStyle w:val="41"/>
        <w:tblW w:w="8764" w:type="dxa"/>
        <w:tblInd w:w="0" w:type="dxa"/>
        <w:tblLayout w:type="fixed"/>
        <w:tblCellMar>
          <w:top w:w="0" w:type="dxa"/>
          <w:left w:w="0" w:type="dxa"/>
          <w:bottom w:w="0" w:type="dxa"/>
          <w:right w:w="0" w:type="dxa"/>
        </w:tblCellMar>
      </w:tblPr>
      <w:tblGrid>
        <w:gridCol w:w="1462"/>
        <w:gridCol w:w="1462"/>
        <w:gridCol w:w="1052"/>
        <w:gridCol w:w="851"/>
        <w:gridCol w:w="355"/>
        <w:gridCol w:w="270"/>
        <w:gridCol w:w="265"/>
        <w:gridCol w:w="744"/>
        <w:gridCol w:w="504"/>
        <w:gridCol w:w="504"/>
        <w:gridCol w:w="671"/>
        <w:gridCol w:w="624"/>
      </w:tblGrid>
      <w:tr>
        <w:tblPrEx>
          <w:tblCellMar>
            <w:top w:w="0" w:type="dxa"/>
            <w:left w:w="0" w:type="dxa"/>
            <w:bottom w:w="0" w:type="dxa"/>
            <w:right w:w="0" w:type="dxa"/>
          </w:tblCellMar>
        </w:tblPrEx>
        <w:trPr>
          <w:trHeight w:val="312" w:hRule="atLeast"/>
        </w:trPr>
        <w:tc>
          <w:tcPr>
            <w:tcW w:w="1464" w:type="dxa"/>
            <w:vMerge w:val="restart"/>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widowControl/>
              <w:jc w:val="center"/>
              <w:textAlignment w:val="center"/>
              <w:rPr>
                <w:rFonts w:ascii="仿宋" w:hAnsi="仿宋" w:eastAsia="仿宋" w:cs="仿宋"/>
                <w:b/>
                <w:color w:val="000000"/>
                <w:sz w:val="24"/>
              </w:rPr>
            </w:pPr>
            <w:r>
              <w:rPr>
                <w:rFonts w:hint="eastAsia" w:ascii="仿宋" w:hAnsi="仿宋" w:eastAsia="仿宋" w:cs="仿宋"/>
                <w:b/>
                <w:color w:val="000000"/>
                <w:kern w:val="0"/>
                <w:sz w:val="24"/>
              </w:rPr>
              <w:t>业务内容</w:t>
            </w:r>
          </w:p>
        </w:tc>
        <w:tc>
          <w:tcPr>
            <w:tcW w:w="3988" w:type="dxa"/>
            <w:gridSpan w:val="5"/>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widowControl/>
              <w:jc w:val="center"/>
              <w:textAlignment w:val="center"/>
              <w:rPr>
                <w:rFonts w:ascii="仿宋" w:hAnsi="仿宋" w:eastAsia="仿宋" w:cs="仿宋"/>
                <w:b/>
                <w:color w:val="000000"/>
                <w:sz w:val="24"/>
              </w:rPr>
            </w:pPr>
            <w:r>
              <w:rPr>
                <w:rFonts w:hint="eastAsia" w:ascii="仿宋" w:hAnsi="仿宋" w:eastAsia="仿宋" w:cs="仿宋"/>
                <w:b/>
                <w:color w:val="000000"/>
                <w:kern w:val="0"/>
                <w:sz w:val="24"/>
              </w:rPr>
              <w:t>业务数据</w:t>
            </w:r>
          </w:p>
        </w:tc>
        <w:tc>
          <w:tcPr>
            <w:tcW w:w="3312" w:type="dxa"/>
            <w:gridSpan w:val="6"/>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widowControl/>
              <w:jc w:val="center"/>
              <w:textAlignment w:val="center"/>
              <w:rPr>
                <w:rFonts w:ascii="仿宋" w:hAnsi="仿宋" w:eastAsia="仿宋" w:cs="仿宋"/>
                <w:b/>
                <w:color w:val="000000"/>
                <w:sz w:val="24"/>
              </w:rPr>
            </w:pPr>
            <w:r>
              <w:rPr>
                <w:rFonts w:hint="eastAsia" w:ascii="仿宋" w:hAnsi="仿宋" w:eastAsia="仿宋" w:cs="仿宋"/>
                <w:b/>
                <w:color w:val="000000"/>
                <w:kern w:val="0"/>
                <w:sz w:val="24"/>
              </w:rPr>
              <w:t>业务指标</w:t>
            </w:r>
          </w:p>
        </w:tc>
      </w:tr>
      <w:tr>
        <w:tblPrEx>
          <w:tblCellMar>
            <w:top w:w="0" w:type="dxa"/>
            <w:left w:w="0" w:type="dxa"/>
            <w:bottom w:w="0" w:type="dxa"/>
            <w:right w:w="0" w:type="dxa"/>
          </w:tblCellMar>
        </w:tblPrEx>
        <w:trPr>
          <w:trHeight w:val="312"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jc w:val="center"/>
              <w:rPr>
                <w:rFonts w:ascii="仿宋" w:hAnsi="仿宋" w:eastAsia="仿宋" w:cs="仿宋"/>
                <w:b/>
                <w:color w:val="000000"/>
                <w:sz w:val="24"/>
              </w:rPr>
            </w:pPr>
          </w:p>
        </w:tc>
        <w:tc>
          <w:tcPr>
            <w:tcW w:w="1464"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widowControl/>
              <w:jc w:val="center"/>
              <w:textAlignment w:val="center"/>
              <w:rPr>
                <w:rFonts w:ascii="仿宋" w:hAnsi="仿宋" w:eastAsia="仿宋" w:cs="仿宋"/>
                <w:b/>
                <w:color w:val="000000"/>
                <w:sz w:val="24"/>
              </w:rPr>
            </w:pPr>
            <w:r>
              <w:rPr>
                <w:rFonts w:hint="eastAsia" w:ascii="仿宋" w:hAnsi="仿宋" w:eastAsia="仿宋" w:cs="仿宋"/>
                <w:b/>
                <w:color w:val="000000"/>
                <w:kern w:val="0"/>
                <w:sz w:val="24"/>
              </w:rPr>
              <w:t>数据名称</w:t>
            </w:r>
          </w:p>
        </w:tc>
        <w:tc>
          <w:tcPr>
            <w:tcW w:w="1053"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widowControl/>
              <w:jc w:val="center"/>
              <w:textAlignment w:val="center"/>
              <w:rPr>
                <w:rFonts w:ascii="仿宋" w:hAnsi="仿宋" w:eastAsia="仿宋" w:cs="仿宋"/>
                <w:b/>
                <w:color w:val="000000"/>
                <w:sz w:val="24"/>
              </w:rPr>
            </w:pPr>
            <w:r>
              <w:rPr>
                <w:rFonts w:hint="eastAsia" w:ascii="仿宋" w:hAnsi="仿宋" w:eastAsia="仿宋" w:cs="仿宋"/>
                <w:b/>
                <w:color w:val="000000"/>
                <w:kern w:val="0"/>
                <w:sz w:val="24"/>
              </w:rPr>
              <w:t>统计口径</w:t>
            </w:r>
          </w:p>
        </w:tc>
        <w:tc>
          <w:tcPr>
            <w:tcW w:w="846"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widowControl/>
              <w:jc w:val="center"/>
              <w:textAlignment w:val="center"/>
              <w:rPr>
                <w:rFonts w:ascii="仿宋" w:hAnsi="仿宋" w:eastAsia="仿宋" w:cs="仿宋"/>
                <w:b/>
                <w:color w:val="000000"/>
                <w:sz w:val="24"/>
              </w:rPr>
            </w:pPr>
            <w:r>
              <w:rPr>
                <w:rFonts w:hint="eastAsia" w:ascii="仿宋" w:hAnsi="仿宋" w:eastAsia="仿宋" w:cs="仿宋"/>
                <w:b/>
                <w:color w:val="000000"/>
                <w:kern w:val="0"/>
                <w:sz w:val="24"/>
              </w:rPr>
              <w:t>刷新周期</w:t>
            </w:r>
          </w:p>
        </w:tc>
        <w:tc>
          <w:tcPr>
            <w:tcW w:w="625" w:type="dxa"/>
            <w:gridSpan w:val="2"/>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widowControl/>
              <w:jc w:val="center"/>
              <w:textAlignment w:val="center"/>
              <w:rPr>
                <w:rFonts w:ascii="仿宋" w:hAnsi="仿宋" w:eastAsia="仿宋" w:cs="仿宋"/>
                <w:b/>
                <w:color w:val="000000"/>
                <w:sz w:val="24"/>
              </w:rPr>
            </w:pPr>
            <w:r>
              <w:rPr>
                <w:rFonts w:hint="eastAsia" w:ascii="仿宋" w:hAnsi="仿宋" w:eastAsia="仿宋" w:cs="仿宋"/>
                <w:b/>
                <w:color w:val="000000"/>
                <w:kern w:val="0"/>
                <w:sz w:val="24"/>
              </w:rPr>
              <w:t>计量单位</w:t>
            </w:r>
          </w:p>
        </w:tc>
        <w:tc>
          <w:tcPr>
            <w:tcW w:w="265"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widowControl/>
              <w:jc w:val="center"/>
              <w:textAlignment w:val="center"/>
              <w:rPr>
                <w:rFonts w:ascii="仿宋" w:hAnsi="仿宋" w:eastAsia="仿宋" w:cs="仿宋"/>
                <w:b/>
                <w:color w:val="000000"/>
                <w:sz w:val="24"/>
              </w:rPr>
            </w:pPr>
            <w:r>
              <w:rPr>
                <w:rFonts w:hint="eastAsia" w:ascii="仿宋" w:hAnsi="仿宋" w:eastAsia="仿宋" w:cs="仿宋"/>
                <w:b/>
                <w:color w:val="000000"/>
                <w:kern w:val="0"/>
                <w:sz w:val="24"/>
              </w:rPr>
              <w:t>指标名称</w:t>
            </w:r>
          </w:p>
        </w:tc>
        <w:tc>
          <w:tcPr>
            <w:tcW w:w="744" w:type="dxa"/>
            <w:tcBorders>
              <w:top w:val="single" w:color="000000" w:sz="4" w:space="0"/>
              <w:left w:val="nil"/>
              <w:bottom w:val="single" w:color="000000" w:sz="4" w:space="0"/>
              <w:right w:val="single" w:color="000000" w:sz="4" w:space="0"/>
            </w:tcBorders>
            <w:shd w:val="clear" w:color="auto" w:fill="DDEBF7"/>
            <w:tcMar>
              <w:top w:w="12" w:type="dxa"/>
              <w:left w:w="12" w:type="dxa"/>
              <w:right w:w="12" w:type="dxa"/>
            </w:tcMar>
            <w:vAlign w:val="center"/>
          </w:tcPr>
          <w:p>
            <w:pPr>
              <w:widowControl/>
              <w:jc w:val="center"/>
              <w:textAlignment w:val="center"/>
              <w:rPr>
                <w:rFonts w:ascii="仿宋" w:hAnsi="仿宋" w:eastAsia="仿宋" w:cs="仿宋"/>
                <w:b/>
                <w:color w:val="000000"/>
                <w:sz w:val="24"/>
              </w:rPr>
            </w:pPr>
            <w:r>
              <w:rPr>
                <w:rFonts w:hint="eastAsia" w:ascii="仿宋" w:hAnsi="仿宋" w:eastAsia="仿宋" w:cs="仿宋"/>
                <w:b/>
                <w:color w:val="000000"/>
                <w:kern w:val="0"/>
                <w:sz w:val="24"/>
              </w:rPr>
              <w:t>指标定义</w:t>
            </w:r>
          </w:p>
        </w:tc>
        <w:tc>
          <w:tcPr>
            <w:tcW w:w="1008" w:type="dxa"/>
            <w:gridSpan w:val="2"/>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widowControl/>
              <w:jc w:val="center"/>
              <w:textAlignment w:val="center"/>
              <w:rPr>
                <w:rFonts w:ascii="仿宋" w:hAnsi="仿宋" w:eastAsia="仿宋" w:cs="仿宋"/>
                <w:b/>
                <w:color w:val="000000"/>
                <w:sz w:val="24"/>
              </w:rPr>
            </w:pPr>
            <w:r>
              <w:rPr>
                <w:rFonts w:hint="eastAsia" w:ascii="仿宋" w:hAnsi="仿宋" w:eastAsia="仿宋" w:cs="仿宋"/>
                <w:b/>
                <w:color w:val="000000"/>
                <w:kern w:val="0"/>
                <w:sz w:val="24"/>
              </w:rPr>
              <w:t>统计口径</w:t>
            </w:r>
          </w:p>
        </w:tc>
        <w:tc>
          <w:tcPr>
            <w:tcW w:w="671"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widowControl/>
              <w:jc w:val="center"/>
              <w:textAlignment w:val="center"/>
              <w:rPr>
                <w:rFonts w:ascii="仿宋" w:hAnsi="仿宋" w:eastAsia="仿宋" w:cs="仿宋"/>
                <w:b/>
                <w:color w:val="000000"/>
                <w:sz w:val="24"/>
              </w:rPr>
            </w:pPr>
            <w:r>
              <w:rPr>
                <w:rFonts w:hint="eastAsia" w:ascii="仿宋" w:hAnsi="仿宋" w:eastAsia="仿宋" w:cs="仿宋"/>
                <w:b/>
                <w:color w:val="000000"/>
                <w:kern w:val="0"/>
                <w:sz w:val="24"/>
              </w:rPr>
              <w:t>统计周期</w:t>
            </w:r>
          </w:p>
        </w:tc>
        <w:tc>
          <w:tcPr>
            <w:tcW w:w="624"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widowControl/>
              <w:jc w:val="center"/>
              <w:textAlignment w:val="center"/>
              <w:rPr>
                <w:rFonts w:ascii="仿宋" w:hAnsi="仿宋" w:eastAsia="仿宋" w:cs="仿宋"/>
                <w:b/>
                <w:color w:val="000000"/>
                <w:sz w:val="24"/>
              </w:rPr>
            </w:pPr>
            <w:r>
              <w:rPr>
                <w:rFonts w:hint="eastAsia" w:ascii="仿宋" w:hAnsi="仿宋" w:eastAsia="仿宋" w:cs="仿宋"/>
                <w:b/>
                <w:color w:val="000000"/>
                <w:kern w:val="0"/>
                <w:sz w:val="24"/>
              </w:rPr>
              <w:t>计量单位</w:t>
            </w:r>
          </w:p>
        </w:tc>
      </w:tr>
      <w:tr>
        <w:tblPrEx>
          <w:tblCellMar>
            <w:top w:w="0" w:type="dxa"/>
            <w:left w:w="0" w:type="dxa"/>
            <w:bottom w:w="0" w:type="dxa"/>
            <w:right w:w="0" w:type="dxa"/>
          </w:tblCellMar>
        </w:tblPrEx>
        <w:trPr>
          <w:trHeight w:val="552" w:hRule="atLeast"/>
        </w:trPr>
        <w:tc>
          <w:tcPr>
            <w:tcW w:w="14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环保数据监测</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站点数量</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单位：省、市、县时间：实时</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按需</w:t>
            </w:r>
          </w:p>
        </w:tc>
        <w:tc>
          <w:tcPr>
            <w:tcW w:w="625"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个</w:t>
            </w:r>
          </w:p>
        </w:tc>
        <w:tc>
          <w:tcPr>
            <w:tcW w:w="2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展示权限内站点数量</w:t>
            </w:r>
          </w:p>
        </w:tc>
        <w:tc>
          <w:tcPr>
            <w:tcW w:w="100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单位：省、市、县时间：年</w:t>
            </w:r>
          </w:p>
        </w:tc>
        <w:tc>
          <w:tcPr>
            <w:tcW w:w="6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小时</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个</w:t>
            </w:r>
          </w:p>
        </w:tc>
      </w:tr>
      <w:tr>
        <w:tblPrEx>
          <w:tblCellMar>
            <w:top w:w="0" w:type="dxa"/>
            <w:left w:w="0" w:type="dxa"/>
            <w:bottom w:w="0" w:type="dxa"/>
            <w:right w:w="0" w:type="dxa"/>
          </w:tblCellMar>
        </w:tblPrEx>
        <w:trPr>
          <w:trHeight w:val="552"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治污点位</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单位：省、市、县时间：实时</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按需</w:t>
            </w:r>
          </w:p>
        </w:tc>
        <w:tc>
          <w:tcPr>
            <w:tcW w:w="625"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个</w:t>
            </w:r>
          </w:p>
        </w:tc>
        <w:tc>
          <w:tcPr>
            <w:tcW w:w="2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展示站点内治污设备数量</w:t>
            </w:r>
          </w:p>
        </w:tc>
        <w:tc>
          <w:tcPr>
            <w:tcW w:w="100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单位：省、市、县时间：年</w:t>
            </w:r>
          </w:p>
        </w:tc>
        <w:tc>
          <w:tcPr>
            <w:tcW w:w="6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小时</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个</w:t>
            </w:r>
          </w:p>
        </w:tc>
      </w:tr>
      <w:tr>
        <w:tblPrEx>
          <w:tblCellMar>
            <w:top w:w="0" w:type="dxa"/>
            <w:left w:w="0" w:type="dxa"/>
            <w:bottom w:w="0" w:type="dxa"/>
            <w:right w:w="0" w:type="dxa"/>
          </w:tblCellMar>
        </w:tblPrEx>
        <w:trPr>
          <w:trHeight w:val="552"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产污点位</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单位：省、市、县时间：实时</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按需</w:t>
            </w:r>
          </w:p>
        </w:tc>
        <w:tc>
          <w:tcPr>
            <w:tcW w:w="625"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个</w:t>
            </w:r>
          </w:p>
        </w:tc>
        <w:tc>
          <w:tcPr>
            <w:tcW w:w="2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展示站点内产污设备数量</w:t>
            </w:r>
          </w:p>
        </w:tc>
        <w:tc>
          <w:tcPr>
            <w:tcW w:w="100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单位：省、市、县时间：年</w:t>
            </w:r>
          </w:p>
        </w:tc>
        <w:tc>
          <w:tcPr>
            <w:tcW w:w="6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小时</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个</w:t>
            </w:r>
          </w:p>
        </w:tc>
      </w:tr>
      <w:tr>
        <w:tblPrEx>
          <w:tblCellMar>
            <w:top w:w="0" w:type="dxa"/>
            <w:left w:w="0" w:type="dxa"/>
            <w:bottom w:w="0" w:type="dxa"/>
            <w:right w:w="0" w:type="dxa"/>
          </w:tblCellMar>
        </w:tblPrEx>
        <w:trPr>
          <w:trHeight w:val="552"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累计用电量</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单位：省、市、县时间：实时</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按需</w:t>
            </w:r>
          </w:p>
        </w:tc>
        <w:tc>
          <w:tcPr>
            <w:tcW w:w="625"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kW·h</w:t>
            </w:r>
          </w:p>
        </w:tc>
        <w:tc>
          <w:tcPr>
            <w:tcW w:w="2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展示站点的设备累计用电量统计</w:t>
            </w:r>
          </w:p>
        </w:tc>
        <w:tc>
          <w:tcPr>
            <w:tcW w:w="100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单位：省、市、县时间：年</w:t>
            </w:r>
          </w:p>
        </w:tc>
        <w:tc>
          <w:tcPr>
            <w:tcW w:w="6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小时</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kW·h</w:t>
            </w:r>
          </w:p>
        </w:tc>
      </w:tr>
      <w:tr>
        <w:tblPrEx>
          <w:tblCellMar>
            <w:top w:w="0" w:type="dxa"/>
            <w:left w:w="0" w:type="dxa"/>
            <w:bottom w:w="0" w:type="dxa"/>
            <w:right w:w="0" w:type="dxa"/>
          </w:tblCellMar>
        </w:tblPrEx>
        <w:trPr>
          <w:trHeight w:val="552"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实时电流</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单位：省、市、县时间：实时</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小时</w:t>
            </w:r>
          </w:p>
        </w:tc>
        <w:tc>
          <w:tcPr>
            <w:tcW w:w="625"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A</w:t>
            </w:r>
          </w:p>
        </w:tc>
        <w:tc>
          <w:tcPr>
            <w:tcW w:w="2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展示站点的设备实时电流</w:t>
            </w:r>
          </w:p>
        </w:tc>
        <w:tc>
          <w:tcPr>
            <w:tcW w:w="100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单位：省、市、县时间：年</w:t>
            </w:r>
          </w:p>
        </w:tc>
        <w:tc>
          <w:tcPr>
            <w:tcW w:w="6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小时</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A</w:t>
            </w:r>
          </w:p>
        </w:tc>
      </w:tr>
      <w:tr>
        <w:tblPrEx>
          <w:tblCellMar>
            <w:top w:w="0" w:type="dxa"/>
            <w:left w:w="0" w:type="dxa"/>
            <w:bottom w:w="0" w:type="dxa"/>
            <w:right w:w="0" w:type="dxa"/>
          </w:tblCellMar>
        </w:tblPrEx>
        <w:trPr>
          <w:trHeight w:val="552"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实时电压</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单位：省、市、县时间：实时</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小时</w:t>
            </w:r>
          </w:p>
        </w:tc>
        <w:tc>
          <w:tcPr>
            <w:tcW w:w="625"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V</w:t>
            </w:r>
          </w:p>
        </w:tc>
        <w:tc>
          <w:tcPr>
            <w:tcW w:w="2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展示站点的设备实时电压</w:t>
            </w:r>
          </w:p>
        </w:tc>
        <w:tc>
          <w:tcPr>
            <w:tcW w:w="100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单位：省、市、县时间：年</w:t>
            </w:r>
          </w:p>
        </w:tc>
        <w:tc>
          <w:tcPr>
            <w:tcW w:w="6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小时</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V</w:t>
            </w:r>
          </w:p>
        </w:tc>
      </w:tr>
      <w:tr>
        <w:tblPrEx>
          <w:tblCellMar>
            <w:top w:w="0" w:type="dxa"/>
            <w:left w:w="0" w:type="dxa"/>
            <w:bottom w:w="0" w:type="dxa"/>
            <w:right w:w="0" w:type="dxa"/>
          </w:tblCellMar>
        </w:tblPrEx>
        <w:trPr>
          <w:trHeight w:val="552"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实时视在功率</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单位：省、市、县时间：实时</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小时</w:t>
            </w:r>
          </w:p>
        </w:tc>
        <w:tc>
          <w:tcPr>
            <w:tcW w:w="625"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kVA</w:t>
            </w:r>
          </w:p>
        </w:tc>
        <w:tc>
          <w:tcPr>
            <w:tcW w:w="2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b/>
                <w:color w:val="000000"/>
                <w:sz w:val="24"/>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展示站点的设备实时功率</w:t>
            </w:r>
          </w:p>
        </w:tc>
        <w:tc>
          <w:tcPr>
            <w:tcW w:w="100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单位：省、市、县时间：年</w:t>
            </w:r>
          </w:p>
        </w:tc>
        <w:tc>
          <w:tcPr>
            <w:tcW w:w="6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小时</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kVA</w:t>
            </w:r>
          </w:p>
        </w:tc>
      </w:tr>
      <w:tr>
        <w:tblPrEx>
          <w:tblCellMar>
            <w:top w:w="0" w:type="dxa"/>
            <w:left w:w="0" w:type="dxa"/>
            <w:bottom w:w="0" w:type="dxa"/>
            <w:right w:w="0" w:type="dxa"/>
          </w:tblCellMar>
        </w:tblPrEx>
        <w:trPr>
          <w:trHeight w:val="552"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实时无功功率</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单位：省、市、县时间：实时</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小时</w:t>
            </w:r>
          </w:p>
        </w:tc>
        <w:tc>
          <w:tcPr>
            <w:tcW w:w="625"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var</w:t>
            </w:r>
          </w:p>
        </w:tc>
        <w:tc>
          <w:tcPr>
            <w:tcW w:w="2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b/>
                <w:color w:val="000000"/>
                <w:sz w:val="24"/>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展示站点的设备实时功率</w:t>
            </w:r>
          </w:p>
        </w:tc>
        <w:tc>
          <w:tcPr>
            <w:tcW w:w="100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单位：省、市、县时间：年</w:t>
            </w:r>
          </w:p>
        </w:tc>
        <w:tc>
          <w:tcPr>
            <w:tcW w:w="6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小时</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var</w:t>
            </w:r>
          </w:p>
        </w:tc>
      </w:tr>
      <w:tr>
        <w:tblPrEx>
          <w:tblCellMar>
            <w:top w:w="0" w:type="dxa"/>
            <w:left w:w="0" w:type="dxa"/>
            <w:bottom w:w="0" w:type="dxa"/>
            <w:right w:w="0" w:type="dxa"/>
          </w:tblCellMar>
        </w:tblPrEx>
        <w:trPr>
          <w:trHeight w:val="552"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实时有功功率</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单位：省、市、县时间：实时</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小时</w:t>
            </w:r>
          </w:p>
        </w:tc>
        <w:tc>
          <w:tcPr>
            <w:tcW w:w="625"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kW</w:t>
            </w:r>
          </w:p>
        </w:tc>
        <w:tc>
          <w:tcPr>
            <w:tcW w:w="2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b/>
                <w:color w:val="000000"/>
                <w:sz w:val="24"/>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展示站点的设备实时功率</w:t>
            </w:r>
          </w:p>
        </w:tc>
        <w:tc>
          <w:tcPr>
            <w:tcW w:w="100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单位：省、市、县时间：年</w:t>
            </w:r>
          </w:p>
        </w:tc>
        <w:tc>
          <w:tcPr>
            <w:tcW w:w="6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小时</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kW</w:t>
            </w:r>
          </w:p>
        </w:tc>
      </w:tr>
      <w:tr>
        <w:tblPrEx>
          <w:tblCellMar>
            <w:top w:w="0" w:type="dxa"/>
            <w:left w:w="0" w:type="dxa"/>
            <w:bottom w:w="0" w:type="dxa"/>
            <w:right w:w="0" w:type="dxa"/>
          </w:tblCellMar>
        </w:tblPrEx>
        <w:trPr>
          <w:trHeight w:val="792"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14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设备运行状态</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正常运行设备</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单位：省、市、县时间：实时</w:t>
            </w:r>
          </w:p>
        </w:tc>
        <w:tc>
          <w:tcPr>
            <w:tcW w:w="3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按需</w:t>
            </w:r>
          </w:p>
        </w:tc>
        <w:tc>
          <w:tcPr>
            <w:tcW w:w="2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个</w:t>
            </w:r>
          </w:p>
        </w:tc>
        <w:tc>
          <w:tcPr>
            <w:tcW w:w="26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设备运行状态指标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展示正常、、告警、通讯异常3种设备运行状态</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比较站点治污，产污有功数据，时间，判断颜色为绿色</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单位：省、市、县时间：年</w:t>
            </w:r>
          </w:p>
        </w:tc>
        <w:tc>
          <w:tcPr>
            <w:tcW w:w="671"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小时</w:t>
            </w:r>
          </w:p>
        </w:tc>
        <w:tc>
          <w:tcPr>
            <w:tcW w:w="62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正常，异常，离线</w:t>
            </w:r>
          </w:p>
        </w:tc>
      </w:tr>
      <w:tr>
        <w:tblPrEx>
          <w:tblCellMar>
            <w:top w:w="0" w:type="dxa"/>
            <w:left w:w="0" w:type="dxa"/>
            <w:bottom w:w="0" w:type="dxa"/>
            <w:right w:w="0" w:type="dxa"/>
          </w:tblCellMar>
        </w:tblPrEx>
        <w:trPr>
          <w:trHeight w:val="792"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告警设备</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单位：省、市、县时间：实时</w:t>
            </w:r>
          </w:p>
        </w:tc>
        <w:tc>
          <w:tcPr>
            <w:tcW w:w="3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按需</w:t>
            </w:r>
          </w:p>
        </w:tc>
        <w:tc>
          <w:tcPr>
            <w:tcW w:w="2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个</w:t>
            </w:r>
          </w:p>
        </w:tc>
        <w:tc>
          <w:tcPr>
            <w:tcW w:w="2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站点产污设备开启，治污设备未开启，判断条件为红色</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单位：省、市、县时间：年</w:t>
            </w:r>
          </w:p>
        </w:tc>
        <w:tc>
          <w:tcPr>
            <w:tcW w:w="6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6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r>
      <w:tr>
        <w:tblPrEx>
          <w:tblCellMar>
            <w:top w:w="0" w:type="dxa"/>
            <w:left w:w="0" w:type="dxa"/>
            <w:bottom w:w="0" w:type="dxa"/>
            <w:right w:w="0" w:type="dxa"/>
          </w:tblCellMar>
        </w:tblPrEx>
        <w:trPr>
          <w:trHeight w:val="840"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通讯异常设备</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单位：省、市、县时间：实时</w:t>
            </w:r>
          </w:p>
        </w:tc>
        <w:tc>
          <w:tcPr>
            <w:tcW w:w="3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按需</w:t>
            </w:r>
          </w:p>
        </w:tc>
        <w:tc>
          <w:tcPr>
            <w:tcW w:w="2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个</w:t>
            </w:r>
          </w:p>
        </w:tc>
        <w:tc>
          <w:tcPr>
            <w:tcW w:w="2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站点出功数据为空，网关状态为离线</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单位：省、市、县时间：年</w:t>
            </w:r>
          </w:p>
        </w:tc>
        <w:tc>
          <w:tcPr>
            <w:tcW w:w="6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c>
          <w:tcPr>
            <w:tcW w:w="6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4"/>
              </w:rPr>
            </w:pPr>
          </w:p>
        </w:tc>
      </w:tr>
    </w:tbl>
    <w:p>
      <w:pPr>
        <w:autoSpaceDE w:val="0"/>
        <w:autoSpaceDN w:val="0"/>
        <w:spacing w:line="360" w:lineRule="exact"/>
        <w:jc w:val="left"/>
        <w:rPr>
          <w:rFonts w:ascii="仿宋_GB2312" w:hAnsi="宋体" w:eastAsia="仿宋_GB2312" w:cs="仿宋_GB2312"/>
          <w:b/>
          <w:color w:val="000000"/>
          <w:sz w:val="24"/>
        </w:rPr>
      </w:pPr>
      <w:bookmarkStart w:id="27" w:name="_Toc4526"/>
      <w:r>
        <w:rPr>
          <w:rFonts w:ascii="仿宋_GB2312" w:hAnsi="宋体" w:eastAsia="仿宋_GB2312" w:cs="仿宋_GB2312"/>
          <w:b/>
          <w:color w:val="000000"/>
          <w:sz w:val="24"/>
        </w:rPr>
        <w:t>7</w:t>
      </w:r>
      <w:r>
        <w:rPr>
          <w:rFonts w:hint="eastAsia" w:ascii="仿宋_GB2312" w:hAnsi="宋体" w:eastAsia="仿宋_GB2312" w:cs="仿宋_GB2312"/>
          <w:b/>
          <w:color w:val="000000"/>
          <w:sz w:val="24"/>
        </w:rPr>
        <w:t>.与监测设备（终端）调试</w:t>
      </w:r>
      <w:bookmarkEnd w:id="27"/>
    </w:p>
    <w:p>
      <w:pPr>
        <w:spacing w:line="560" w:lineRule="exact"/>
        <w:ind w:firstLine="480" w:firstLineChars="200"/>
        <w:outlineLvl w:val="2"/>
        <w:rPr>
          <w:rFonts w:ascii="仿宋_GB2312" w:hAnsi="宋体" w:eastAsia="仿宋_GB2312" w:cs="宋体"/>
          <w:bCs/>
          <w:color w:val="000000"/>
          <w:sz w:val="24"/>
        </w:rPr>
      </w:pPr>
      <w:r>
        <w:rPr>
          <w:rFonts w:hint="eastAsia" w:ascii="仿宋_GB2312" w:hAnsi="宋体" w:eastAsia="仿宋_GB2312" w:cs="宋体"/>
          <w:bCs/>
          <w:color w:val="000000"/>
          <w:sz w:val="24"/>
        </w:rPr>
        <w:t>为保证数据的准确、真实、可靠，同时保证检测结果的公平、公正，该平台需与符合以下条件的环保电监测设备</w:t>
      </w:r>
      <w:r>
        <w:rPr>
          <w:rFonts w:ascii="仿宋_GB2312" w:hAnsi="宋体" w:eastAsia="仿宋_GB2312" w:cs="宋体"/>
          <w:bCs/>
          <w:color w:val="000000"/>
          <w:sz w:val="24"/>
        </w:rPr>
        <w:t>做好调试</w:t>
      </w:r>
      <w:r>
        <w:rPr>
          <w:rFonts w:hint="eastAsia" w:ascii="仿宋_GB2312" w:hAnsi="宋体" w:eastAsia="仿宋_GB2312" w:cs="宋体"/>
          <w:bCs/>
          <w:color w:val="000000"/>
          <w:sz w:val="24"/>
        </w:rPr>
        <w:t>。。</w:t>
      </w:r>
      <w:bookmarkStart w:id="28" w:name="_Toc4771"/>
    </w:p>
    <w:p>
      <w:pPr>
        <w:spacing w:line="400" w:lineRule="exact"/>
        <w:ind w:firstLine="479" w:firstLineChars="199"/>
        <w:rPr>
          <w:rFonts w:ascii="仿宋_GB2312" w:hAnsi="宋体" w:eastAsia="仿宋_GB2312" w:cs="宋体"/>
          <w:b/>
          <w:bCs/>
          <w:color w:val="000000"/>
          <w:sz w:val="24"/>
        </w:rPr>
      </w:pPr>
      <w:r>
        <w:rPr>
          <w:rFonts w:hint="eastAsia" w:ascii="仿宋_GB2312" w:hAnsi="宋体" w:eastAsia="仿宋_GB2312" w:cs="宋体"/>
          <w:b/>
          <w:bCs/>
          <w:color w:val="000000"/>
          <w:sz w:val="24"/>
        </w:rPr>
        <w:t>5.1 计量性能要求</w:t>
      </w:r>
      <w:bookmarkEnd w:id="28"/>
    </w:p>
    <w:p>
      <w:pPr>
        <w:spacing w:line="560" w:lineRule="exact"/>
        <w:ind w:firstLine="480" w:firstLineChars="200"/>
        <w:outlineLvl w:val="2"/>
        <w:rPr>
          <w:rFonts w:ascii="仿宋_GB2312" w:hAnsi="宋体" w:eastAsia="仿宋_GB2312" w:cs="宋体"/>
          <w:bCs/>
          <w:color w:val="000000"/>
          <w:sz w:val="24"/>
        </w:rPr>
      </w:pPr>
      <w:r>
        <w:rPr>
          <w:rFonts w:hint="eastAsia" w:ascii="仿宋_GB2312" w:hAnsi="宋体" w:eastAsia="仿宋_GB2312" w:cs="宋体"/>
          <w:bCs/>
          <w:color w:val="000000"/>
          <w:sz w:val="24"/>
        </w:rPr>
        <w:t>准确度1.0级，电压3*220(380)V，电流3*1.5（6）A，满足三相智能电能表技术规范DL/T1485-2015、三相智能电能表型式规范DL/T 1489-2015、三相智能电能表功能规范DL/T1490-2015，并经法定计量检定机构检测合格。</w:t>
      </w:r>
    </w:p>
    <w:p>
      <w:pPr>
        <w:spacing w:line="400" w:lineRule="exact"/>
        <w:ind w:firstLine="479" w:firstLineChars="199"/>
        <w:rPr>
          <w:rFonts w:ascii="仿宋_GB2312" w:hAnsi="宋体" w:eastAsia="仿宋_GB2312" w:cs="宋体"/>
          <w:b/>
          <w:bCs/>
          <w:color w:val="000000"/>
          <w:sz w:val="24"/>
        </w:rPr>
      </w:pPr>
      <w:bookmarkStart w:id="29" w:name="_Toc32375"/>
      <w:r>
        <w:rPr>
          <w:rFonts w:hint="eastAsia" w:ascii="仿宋_GB2312" w:hAnsi="宋体" w:eastAsia="仿宋_GB2312" w:cs="宋体"/>
          <w:b/>
          <w:bCs/>
          <w:color w:val="000000"/>
          <w:sz w:val="24"/>
        </w:rPr>
        <w:t>5.2 通讯性能要求</w:t>
      </w:r>
      <w:bookmarkEnd w:id="29"/>
    </w:p>
    <w:p>
      <w:pPr>
        <w:spacing w:line="560" w:lineRule="exact"/>
        <w:ind w:firstLine="480" w:firstLineChars="200"/>
        <w:outlineLvl w:val="2"/>
        <w:rPr>
          <w:rFonts w:ascii="仿宋_GB2312" w:hAnsi="宋体" w:eastAsia="仿宋_GB2312" w:cs="宋体"/>
          <w:bCs/>
          <w:color w:val="000000"/>
          <w:sz w:val="24"/>
        </w:rPr>
      </w:pPr>
      <w:r>
        <w:rPr>
          <w:rFonts w:hint="eastAsia" w:ascii="仿宋_GB2312" w:hAnsi="宋体" w:eastAsia="仿宋_GB2312" w:cs="宋体"/>
          <w:bCs/>
          <w:color w:val="000000"/>
          <w:sz w:val="24"/>
        </w:rPr>
        <w:t>电能表的4G通信模块,无线通讯口协议满足国家电网企业标准Q / GDW  1376.1-2013《电力用户用电信息采集系统通信协议：主站与采集终端通信协议》（IP:117.149.169.164:19700），RS- 485接口满足DL/T 645-2007 多功能电能表通讯协议。</w:t>
      </w:r>
    </w:p>
    <w:p>
      <w:pPr>
        <w:spacing w:line="400" w:lineRule="exact"/>
        <w:ind w:firstLine="479" w:firstLineChars="199"/>
        <w:rPr>
          <w:rFonts w:ascii="仿宋_GB2312" w:hAnsi="宋体" w:eastAsia="仿宋_GB2312" w:cs="宋体"/>
          <w:b/>
          <w:bCs/>
          <w:color w:val="000000"/>
          <w:sz w:val="24"/>
        </w:rPr>
      </w:pPr>
      <w:bookmarkStart w:id="30" w:name="_Toc8078"/>
      <w:r>
        <w:rPr>
          <w:rFonts w:hint="eastAsia" w:ascii="仿宋_GB2312" w:hAnsi="宋体" w:eastAsia="仿宋_GB2312" w:cs="宋体"/>
          <w:b/>
          <w:bCs/>
          <w:color w:val="000000"/>
          <w:sz w:val="24"/>
        </w:rPr>
        <w:t>5.3 电流互感器规格</w:t>
      </w:r>
      <w:bookmarkEnd w:id="30"/>
    </w:p>
    <w:p>
      <w:pPr>
        <w:spacing w:line="560" w:lineRule="exact"/>
        <w:ind w:firstLine="480" w:firstLineChars="200"/>
        <w:outlineLvl w:val="2"/>
      </w:pPr>
      <w:r>
        <w:rPr>
          <w:rFonts w:hint="eastAsia" w:ascii="仿宋_GB2312" w:hAnsi="宋体" w:eastAsia="仿宋_GB2312" w:cs="宋体"/>
          <w:bCs/>
          <w:color w:val="000000"/>
          <w:sz w:val="24"/>
        </w:rPr>
        <w:t>电流互感器准确度为0.5S级的要求，并经法定计量检定机构检测合格。</w:t>
      </w:r>
    </w:p>
    <w:p>
      <w:pPr>
        <w:spacing w:line="400" w:lineRule="exact"/>
        <w:rPr>
          <w:rFonts w:ascii="仿宋_GB2312" w:hAnsi="宋体" w:eastAsia="仿宋_GB2312" w:cs="宋体"/>
          <w:b/>
          <w:color w:val="000000"/>
          <w:sz w:val="24"/>
        </w:rPr>
      </w:pPr>
      <w:r>
        <w:rPr>
          <w:rFonts w:ascii="仿宋_GB2312" w:hAnsi="宋体" w:eastAsia="仿宋_GB2312" w:cs="宋体"/>
          <w:b/>
          <w:color w:val="000000"/>
          <w:sz w:val="24"/>
        </w:rPr>
        <w:t>8</w:t>
      </w:r>
      <w:r>
        <w:rPr>
          <w:rFonts w:hint="eastAsia" w:ascii="仿宋_GB2312" w:hAnsi="宋体" w:eastAsia="仿宋_GB2312" w:cs="宋体"/>
          <w:b/>
          <w:color w:val="000000"/>
          <w:sz w:val="24"/>
        </w:rPr>
        <w:t>.验收及付款方式</w:t>
      </w:r>
    </w:p>
    <w:p>
      <w:pPr>
        <w:spacing w:line="400" w:lineRule="exact"/>
        <w:ind w:firstLine="354" w:firstLineChars="147"/>
        <w:rPr>
          <w:rFonts w:ascii="仿宋_GB2312" w:hAnsi="宋体" w:eastAsia="仿宋_GB2312" w:cs="宋体"/>
          <w:b/>
          <w:color w:val="000000"/>
          <w:sz w:val="24"/>
        </w:rPr>
      </w:pPr>
      <w:r>
        <w:rPr>
          <w:rFonts w:ascii="仿宋_GB2312" w:hAnsi="宋体" w:eastAsia="仿宋_GB2312"/>
          <w:b/>
          <w:color w:val="000000"/>
          <w:sz w:val="24"/>
        </w:rPr>
        <w:t>8</w:t>
      </w:r>
      <w:r>
        <w:rPr>
          <w:rFonts w:hint="eastAsia" w:ascii="仿宋_GB2312" w:hAnsi="宋体" w:eastAsia="仿宋_GB2312"/>
          <w:b/>
          <w:color w:val="000000"/>
          <w:sz w:val="24"/>
        </w:rPr>
        <w:t>.1验收</w:t>
      </w:r>
    </w:p>
    <w:p>
      <w:pPr>
        <w:spacing w:line="360" w:lineRule="auto"/>
        <w:ind w:firstLine="480" w:firstLineChars="200"/>
        <w:jc w:val="left"/>
        <w:rPr>
          <w:rFonts w:ascii="仿宋_GB2312" w:hAnsi="宋体" w:eastAsia="仿宋_GB2312"/>
          <w:color w:val="000000"/>
          <w:sz w:val="24"/>
        </w:rPr>
      </w:pPr>
      <w:r>
        <w:rPr>
          <w:rFonts w:ascii="仿宋_GB2312" w:hAnsi="宋体" w:eastAsia="仿宋_GB2312"/>
          <w:color w:val="000000"/>
          <w:sz w:val="24"/>
        </w:rPr>
        <w:t>8</w:t>
      </w:r>
      <w:r>
        <w:rPr>
          <w:rFonts w:hint="eastAsia" w:ascii="仿宋_GB2312" w:hAnsi="宋体" w:eastAsia="仿宋_GB2312"/>
          <w:color w:val="000000"/>
          <w:sz w:val="24"/>
        </w:rPr>
        <w:t>.1.1由采购人负责进行验收。</w:t>
      </w:r>
    </w:p>
    <w:p>
      <w:pPr>
        <w:spacing w:line="360" w:lineRule="auto"/>
        <w:ind w:firstLine="480" w:firstLineChars="200"/>
        <w:jc w:val="left"/>
        <w:rPr>
          <w:rFonts w:ascii="仿宋_GB2312" w:hAnsi="宋体" w:eastAsia="仿宋_GB2312"/>
          <w:color w:val="000000"/>
          <w:sz w:val="24"/>
        </w:rPr>
      </w:pPr>
      <w:r>
        <w:rPr>
          <w:rFonts w:ascii="仿宋_GB2312" w:hAnsi="宋体" w:eastAsia="仿宋_GB2312"/>
          <w:color w:val="000000"/>
          <w:sz w:val="24"/>
        </w:rPr>
        <w:t>8</w:t>
      </w:r>
      <w:r>
        <w:rPr>
          <w:rFonts w:hint="eastAsia" w:ascii="仿宋_GB2312" w:hAnsi="宋体" w:eastAsia="仿宋_GB2312"/>
          <w:color w:val="000000"/>
          <w:sz w:val="24"/>
        </w:rPr>
        <w:t>.1.2采购人对中标供应商的服务进行检查验收，如果发现数量不足或有质量、技术等问题，中标供应商应负责根据合同及采购人的要求采取补救措施，并承担由此发生的一切损失和费用。</w:t>
      </w:r>
    </w:p>
    <w:p>
      <w:pPr>
        <w:spacing w:line="360" w:lineRule="auto"/>
        <w:jc w:val="left"/>
        <w:rPr>
          <w:rFonts w:ascii="仿宋_GB2312" w:hAnsi="宋体" w:eastAsia="仿宋_GB2312"/>
          <w:b/>
          <w:color w:val="000000"/>
          <w:sz w:val="24"/>
        </w:rPr>
      </w:pPr>
      <w:r>
        <w:rPr>
          <w:rFonts w:hint="eastAsia" w:ascii="仿宋_GB2312" w:hAnsi="宋体" w:eastAsia="仿宋_GB2312"/>
          <w:color w:val="000000"/>
          <w:sz w:val="24"/>
        </w:rPr>
        <w:t xml:space="preserve">   </w:t>
      </w:r>
      <w:r>
        <w:rPr>
          <w:rFonts w:hint="eastAsia" w:ascii="仿宋_GB2312" w:hAnsi="宋体" w:eastAsia="仿宋_GB2312"/>
          <w:b/>
          <w:color w:val="000000"/>
          <w:sz w:val="24"/>
        </w:rPr>
        <w:t xml:space="preserve"> </w:t>
      </w:r>
      <w:r>
        <w:rPr>
          <w:rFonts w:ascii="仿宋_GB2312" w:hAnsi="宋体" w:eastAsia="仿宋_GB2312"/>
          <w:b/>
          <w:color w:val="000000"/>
          <w:sz w:val="24"/>
        </w:rPr>
        <w:t>8</w:t>
      </w:r>
      <w:r>
        <w:rPr>
          <w:rFonts w:hint="eastAsia" w:ascii="仿宋_GB2312" w:hAnsi="宋体" w:eastAsia="仿宋_GB2312"/>
          <w:b/>
          <w:color w:val="000000"/>
          <w:sz w:val="24"/>
        </w:rPr>
        <w:t>.2付款方式</w:t>
      </w:r>
    </w:p>
    <w:p>
      <w:pPr>
        <w:spacing w:line="360" w:lineRule="auto"/>
        <w:ind w:firstLine="470" w:firstLineChars="196"/>
        <w:outlineLvl w:val="1"/>
        <w:rPr>
          <w:rFonts w:ascii="仿宋_GB2312" w:hAnsi="宋体" w:eastAsia="仿宋_GB2312"/>
          <w:color w:val="000000"/>
          <w:sz w:val="24"/>
        </w:rPr>
      </w:pPr>
      <w:bookmarkStart w:id="31" w:name="_Toc397330528"/>
      <w:r>
        <w:rPr>
          <w:rFonts w:hint="eastAsia" w:ascii="仿宋_GB2312" w:hAnsi="宋体" w:eastAsia="仿宋_GB2312"/>
          <w:color w:val="000000"/>
          <w:sz w:val="24"/>
        </w:rPr>
        <w:t>按合同执行。</w:t>
      </w:r>
      <w:bookmarkEnd w:id="31"/>
    </w:p>
    <w:p>
      <w:pPr>
        <w:spacing w:line="360" w:lineRule="auto"/>
        <w:rPr>
          <w:rFonts w:ascii="仿宋_GB2312" w:hAnsi="宋体" w:eastAsia="仿宋_GB2312" w:cs="宋体"/>
          <w:b/>
          <w:color w:val="000000"/>
          <w:sz w:val="24"/>
        </w:rPr>
      </w:pPr>
      <w:r>
        <w:rPr>
          <w:rFonts w:ascii="仿宋_GB2312" w:hAnsi="宋体" w:eastAsia="仿宋_GB2312" w:cs="宋体"/>
          <w:b/>
          <w:color w:val="000000"/>
          <w:sz w:val="24"/>
        </w:rPr>
        <w:t>9</w:t>
      </w:r>
      <w:r>
        <w:rPr>
          <w:rFonts w:hint="eastAsia" w:ascii="仿宋_GB2312" w:hAnsi="宋体" w:eastAsia="仿宋_GB2312" w:cs="宋体"/>
          <w:b/>
          <w:color w:val="000000"/>
          <w:sz w:val="24"/>
        </w:rPr>
        <w:t>.报告提交要求</w:t>
      </w:r>
    </w:p>
    <w:p>
      <w:pPr>
        <w:spacing w:line="360" w:lineRule="auto"/>
        <w:ind w:firstLine="480" w:firstLineChars="200"/>
        <w:rPr>
          <w:rFonts w:ascii="仿宋_GB2312" w:hAnsi="宋体" w:eastAsia="仿宋_GB2312"/>
          <w:bCs/>
          <w:color w:val="000000"/>
          <w:sz w:val="24"/>
        </w:rPr>
      </w:pPr>
      <w:r>
        <w:rPr>
          <w:rFonts w:hint="eastAsia" w:ascii="仿宋_GB2312" w:hAnsi="宋体" w:eastAsia="仿宋_GB2312"/>
          <w:bCs/>
          <w:color w:val="000000"/>
          <w:sz w:val="24"/>
        </w:rPr>
        <w:t>在服务期内，中标单位应按标书要求定期出具平台数据分析报告.。</w:t>
      </w:r>
    </w:p>
    <w:p>
      <w:pPr>
        <w:spacing w:line="360" w:lineRule="auto"/>
        <w:rPr>
          <w:rFonts w:ascii="仿宋_GB2312" w:hAnsi="宋体" w:cs="宋体"/>
          <w:color w:val="000000"/>
          <w:sz w:val="24"/>
          <w:szCs w:val="32"/>
        </w:rPr>
      </w:pPr>
      <w:r>
        <w:rPr>
          <w:rFonts w:ascii="仿宋_GB2312" w:hAnsi="宋体" w:eastAsia="仿宋_GB2312" w:cs="宋体"/>
          <w:b/>
          <w:color w:val="000000"/>
          <w:sz w:val="24"/>
        </w:rPr>
        <w:t>10</w:t>
      </w:r>
      <w:r>
        <w:rPr>
          <w:rFonts w:hint="eastAsia" w:ascii="仿宋_GB2312" w:hAnsi="宋体" w:eastAsia="仿宋_GB2312" w:cs="宋体"/>
          <w:b/>
          <w:color w:val="000000"/>
          <w:sz w:val="24"/>
          <w:szCs w:val="32"/>
        </w:rPr>
        <w:t>、服务周期</w:t>
      </w:r>
    </w:p>
    <w:p>
      <w:pPr>
        <w:pStyle w:val="276"/>
        <w:spacing w:line="560" w:lineRule="exact"/>
        <w:ind w:firstLine="480"/>
        <w:rPr>
          <w:rFonts w:ascii="仿宋_GB2312" w:hAnsi="宋体" w:eastAsia="仿宋_GB2312"/>
          <w:bCs/>
          <w:color w:val="000000"/>
          <w:sz w:val="24"/>
          <w:szCs w:val="24"/>
          <w:lang w:val="en-US"/>
        </w:rPr>
      </w:pPr>
      <w:r>
        <w:rPr>
          <w:rFonts w:hint="eastAsia" w:ascii="仿宋_GB2312" w:hAnsi="宋体" w:eastAsia="仿宋_GB2312"/>
          <w:bCs/>
          <w:color w:val="000000"/>
          <w:sz w:val="24"/>
          <w:szCs w:val="24"/>
          <w:lang w:val="en-US"/>
        </w:rPr>
        <w:t>项目服务周期：自合同签订起一年。</w:t>
      </w:r>
    </w:p>
    <w:p>
      <w:pPr>
        <w:pStyle w:val="2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第四部分 合同主要条款</w:t>
      </w:r>
    </w:p>
    <w:p>
      <w:pPr>
        <w:spacing w:line="440" w:lineRule="exact"/>
        <w:jc w:val="left"/>
        <w:rPr>
          <w:rFonts w:ascii="仿宋_GB2312" w:hAnsi="宋体" w:eastAsia="仿宋_GB2312"/>
          <w:b/>
          <w:sz w:val="24"/>
        </w:rPr>
      </w:pPr>
      <w:r>
        <w:rPr>
          <w:rFonts w:hint="eastAsia" w:ascii="仿宋_GB2312" w:hAnsi="宋体" w:eastAsia="仿宋_GB2312"/>
          <w:b/>
          <w:sz w:val="24"/>
        </w:rPr>
        <w:t>1.合同</w:t>
      </w:r>
      <w:bookmarkStart w:id="32" w:name="OLE_LINK1"/>
      <w:r>
        <w:rPr>
          <w:rFonts w:hint="eastAsia" w:ascii="仿宋_GB2312" w:hAnsi="宋体" w:eastAsia="仿宋_GB2312"/>
          <w:b/>
          <w:sz w:val="24"/>
        </w:rPr>
        <w:t>范围</w:t>
      </w:r>
      <w:bookmarkEnd w:id="32"/>
    </w:p>
    <w:p>
      <w:pPr>
        <w:spacing w:line="440" w:lineRule="exact"/>
        <w:ind w:firstLine="480" w:firstLineChars="200"/>
        <w:jc w:val="left"/>
        <w:rPr>
          <w:rFonts w:ascii="仿宋_GB2312" w:hAnsi="宋体" w:eastAsia="仿宋_GB2312"/>
          <w:sz w:val="24"/>
        </w:rPr>
      </w:pPr>
      <w:r>
        <w:rPr>
          <w:rFonts w:hint="eastAsia" w:ascii="仿宋_GB2312" w:hAnsi="仿宋_GB2312" w:eastAsia="仿宋_GB2312" w:cs="仿宋_GB2312"/>
          <w:sz w:val="24"/>
        </w:rPr>
        <w:t>本合同条款适用与本次采购活动。项目实施范围详见附件——招标文件和投标文件及补充文件、采购设计图、承诺书等。</w:t>
      </w:r>
    </w:p>
    <w:p>
      <w:pPr>
        <w:pStyle w:val="62"/>
        <w:spacing w:line="440" w:lineRule="exact"/>
        <w:rPr>
          <w:rFonts w:ascii="仿宋_GB2312" w:hAnsi="宋体" w:eastAsia="仿宋_GB2312"/>
          <w:b/>
          <w:sz w:val="24"/>
          <w:szCs w:val="24"/>
        </w:rPr>
      </w:pPr>
      <w:r>
        <w:rPr>
          <w:rFonts w:hint="eastAsia" w:ascii="仿宋_GB2312" w:hAnsi="宋体" w:eastAsia="仿宋_GB2312"/>
          <w:b/>
          <w:sz w:val="24"/>
          <w:szCs w:val="24"/>
        </w:rPr>
        <w:t>2.合同的签订</w:t>
      </w:r>
    </w:p>
    <w:p>
      <w:pPr>
        <w:snapToGrid w:val="0"/>
        <w:spacing w:line="440" w:lineRule="exact"/>
        <w:jc w:val="left"/>
        <w:rPr>
          <w:rFonts w:ascii="仿宋_GB2312" w:hAnsi="宋体" w:eastAsia="仿宋_GB2312"/>
          <w:sz w:val="24"/>
        </w:rPr>
      </w:pPr>
      <w:r>
        <w:rPr>
          <w:rFonts w:hint="eastAsia"/>
          <w:sz w:val="24"/>
        </w:rPr>
        <w:t>2.1</w:t>
      </w:r>
      <w:r>
        <w:rPr>
          <w:rFonts w:hint="eastAsia" w:ascii="仿宋_GB2312" w:hAnsi="宋体" w:eastAsia="仿宋_GB2312"/>
          <w:sz w:val="24"/>
        </w:rPr>
        <w:t>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_GB2312" w:hAnsi="宋体" w:eastAsia="仿宋_GB2312"/>
        </w:rPr>
      </w:pPr>
      <w:r>
        <w:rPr>
          <w:rFonts w:hint="eastAsia" w:ascii="仿宋_GB2312" w:hAnsi="宋体" w:eastAsia="仿宋_GB2312"/>
        </w:rPr>
        <w:t>2.1.1交货地点：用户指定地点。</w:t>
      </w:r>
    </w:p>
    <w:p>
      <w:pPr>
        <w:pStyle w:val="12"/>
        <w:widowControl w:val="0"/>
        <w:tabs>
          <w:tab w:val="clear" w:pos="1697"/>
        </w:tabs>
        <w:spacing w:afterLines="0" w:line="440" w:lineRule="exact"/>
        <w:ind w:left="0" w:firstLine="0"/>
        <w:rPr>
          <w:rFonts w:ascii="仿宋_GB2312" w:hAnsi="宋体" w:eastAsia="仿宋_GB2312"/>
        </w:rPr>
      </w:pPr>
      <w:r>
        <w:rPr>
          <w:rFonts w:hint="eastAsia" w:ascii="仿宋_GB2312" w:hAnsi="宋体" w:eastAsia="仿宋_GB2312"/>
          <w:szCs w:val="24"/>
        </w:rPr>
        <w:t>2.1.2</w:t>
      </w:r>
      <w:r>
        <w:rPr>
          <w:rFonts w:hint="eastAsia" w:ascii="仿宋_GB2312" w:hAnsi="宋体" w:eastAsia="仿宋_GB2312"/>
        </w:rPr>
        <w:t>到货期：</w:t>
      </w:r>
      <w:r>
        <w:rPr>
          <w:rFonts w:hint="eastAsia" w:ascii="仿宋_GB2312" w:eastAsia="仿宋_GB2312"/>
        </w:rPr>
        <w:t>按标项内具体要求执行</w:t>
      </w:r>
      <w:r>
        <w:rPr>
          <w:rFonts w:hint="eastAsia" w:ascii="仿宋_GB2312" w:hAnsi="宋体" w:eastAsia="仿宋_GB2312"/>
        </w:rPr>
        <w:t>。</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b/>
          <w:szCs w:val="24"/>
        </w:rPr>
        <w:t>3.付款方式：</w:t>
      </w:r>
      <w:r>
        <w:rPr>
          <w:rFonts w:hint="eastAsia" w:ascii="仿宋_GB2312" w:eastAsia="仿宋_GB2312"/>
        </w:rPr>
        <w:t>按标项内具体要求执行。</w:t>
      </w:r>
    </w:p>
    <w:p>
      <w:pPr>
        <w:tabs>
          <w:tab w:val="left" w:pos="7950"/>
        </w:tabs>
        <w:spacing w:line="440" w:lineRule="exact"/>
        <w:jc w:val="left"/>
        <w:rPr>
          <w:rFonts w:ascii="仿宋_GB2312" w:hAnsi="宋体" w:eastAsia="仿宋_GB2312"/>
          <w:b/>
          <w:sz w:val="24"/>
        </w:rPr>
      </w:pPr>
      <w:r>
        <w:rPr>
          <w:rFonts w:hint="eastAsia" w:ascii="仿宋_GB2312" w:hAnsi="宋体" w:eastAsia="仿宋_GB2312"/>
          <w:b/>
          <w:sz w:val="24"/>
        </w:rPr>
        <w:t>4.合同修改</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5.</w:t>
      </w:r>
      <w:r>
        <w:rPr>
          <w:rFonts w:hint="eastAsia"/>
          <w:color w:val="000000" w:themeColor="text1"/>
          <w14:textFill>
            <w14:solidFill>
              <w14:schemeClr w14:val="tx1"/>
            </w14:solidFill>
          </w14:textFill>
        </w:rPr>
        <w:t xml:space="preserve"> </w:t>
      </w:r>
      <w:r>
        <w:rPr>
          <w:rFonts w:hint="eastAsia" w:ascii="仿宋_GB2312" w:hAnsi="宋体" w:eastAsia="仿宋_GB2312"/>
          <w:b/>
          <w:color w:val="000000" w:themeColor="text1"/>
          <w:sz w:val="24"/>
          <w14:textFill>
            <w14:solidFill>
              <w14:schemeClr w14:val="tx1"/>
            </w14:solidFill>
          </w14:textFill>
        </w:rPr>
        <w:t>商品包装和快递包装要求</w:t>
      </w:r>
    </w:p>
    <w:p>
      <w:pPr>
        <w:snapToGrid w:val="0"/>
        <w:spacing w:line="440" w:lineRule="exact"/>
        <w:ind w:firstLine="482" w:firstLineChars="200"/>
        <w:jc w:val="lef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本次项目采购所涉及的商品包装和快递包装要求均应符合《关于印发《商品包装政府采购需求标准（试行）》、 《快递包装政府采购需求标准（试行）》的通知》（财办库〔2020〕123号）文件要求，必要时由采购人在履约验收环节根据实际情况要求供应商出具检测报告。</w:t>
      </w:r>
    </w:p>
    <w:p>
      <w:pPr>
        <w:snapToGrid w:val="0"/>
        <w:spacing w:line="440" w:lineRule="exact"/>
        <w:jc w:val="lef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6. 质量标准和验收</w:t>
      </w:r>
    </w:p>
    <w:p>
      <w:pPr>
        <w:snapToGrid w:val="0"/>
        <w:spacing w:line="440" w:lineRule="exact"/>
        <w:jc w:val="left"/>
        <w:rPr>
          <w:rFonts w:ascii="仿宋_GB2312" w:hAnsi="宋体" w:eastAsia="仿宋_GB2312"/>
          <w:sz w:val="24"/>
        </w:rPr>
      </w:pPr>
      <w:r>
        <w:rPr>
          <w:rFonts w:hint="eastAsia" w:ascii="仿宋_GB2312" w:hAnsi="宋体" w:eastAsia="仿宋_GB2312"/>
          <w:sz w:val="24"/>
        </w:rPr>
        <w:t>6.1中标人提供的产品及服务必须是经合法途径取得的。</w:t>
      </w:r>
    </w:p>
    <w:p>
      <w:pPr>
        <w:snapToGrid w:val="0"/>
        <w:spacing w:line="440" w:lineRule="exact"/>
        <w:jc w:val="left"/>
        <w:rPr>
          <w:rFonts w:ascii="仿宋_GB2312" w:hAnsi="宋体" w:eastAsia="仿宋_GB2312"/>
          <w:sz w:val="24"/>
        </w:rPr>
      </w:pPr>
      <w:r>
        <w:rPr>
          <w:rFonts w:hint="eastAsia" w:ascii="仿宋_GB2312" w:hAnsi="宋体" w:eastAsia="仿宋_GB2312"/>
          <w:sz w:val="24"/>
        </w:rPr>
        <w:t>6.2中标人应按现行的国家或行业技术及验收标准和招标文件的规定提供工程、货物或服务，因中标人提供的工程、货物或服务达不到约定的质量标准，中标人承担违约责任。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sz w:val="24"/>
        </w:rPr>
      </w:pPr>
      <w:r>
        <w:rPr>
          <w:rFonts w:hint="eastAsia" w:ascii="仿宋_GB2312" w:hAnsi="宋体" w:eastAsia="仿宋_GB2312"/>
          <w:sz w:val="24"/>
        </w:rPr>
        <w:t>6.3验收由使用单位按规定组织相关人员或专家进行。</w:t>
      </w:r>
    </w:p>
    <w:p>
      <w:pPr>
        <w:spacing w:line="440" w:lineRule="exact"/>
        <w:ind w:hanging="2"/>
        <w:jc w:val="left"/>
        <w:rPr>
          <w:rFonts w:ascii="仿宋_GB2312" w:hAnsi="宋体" w:eastAsia="仿宋_GB2312"/>
          <w:sz w:val="24"/>
        </w:rPr>
      </w:pPr>
      <w:r>
        <w:rPr>
          <w:rFonts w:hint="eastAsia" w:ascii="仿宋_GB2312" w:hAnsi="宋体" w:eastAsia="仿宋_GB2312"/>
          <w:sz w:val="24"/>
        </w:rPr>
        <w:t>6.4双方对工程、货物或服务的质量有争议的，由双方同意的专业检测机构鉴定，所需费及因此造成的损失由责任方承担，双方均有责任的，双方根据其责任分别承担。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sz w:val="24"/>
        </w:rPr>
      </w:pPr>
      <w:r>
        <w:rPr>
          <w:rFonts w:hint="eastAsia" w:ascii="仿宋_GB2312" w:hAnsi="宋体" w:eastAsia="仿宋_GB2312"/>
          <w:b/>
          <w:sz w:val="24"/>
        </w:rPr>
        <w:t>7.违约责任</w:t>
      </w:r>
    </w:p>
    <w:p>
      <w:pPr>
        <w:pStyle w:val="19"/>
        <w:widowControl w:val="0"/>
        <w:tabs>
          <w:tab w:val="left" w:pos="1540"/>
          <w:tab w:val="clear" w:pos="482"/>
        </w:tabs>
        <w:spacing w:afterLines="0" w:line="440" w:lineRule="exact"/>
        <w:ind w:left="-2" w:leftChars="-1" w:firstLine="0"/>
        <w:rPr>
          <w:rFonts w:ascii="仿宋_GB2312" w:hAnsi="宋体" w:eastAsia="仿宋_GB2312"/>
          <w:szCs w:val="24"/>
        </w:rPr>
      </w:pPr>
      <w:r>
        <w:rPr>
          <w:rFonts w:hint="eastAsia" w:ascii="仿宋_GB2312" w:hAnsi="宋体" w:eastAsia="仿宋_GB2312"/>
          <w:szCs w:val="24"/>
        </w:rPr>
        <w:t>7.1提供的货物和服务质量必须达到合格，凡安装调试、设备试运转过程中发现的设备质量问题，中标人必须无偿返工直至符合质量要求，承担返工所发生的一切费用和招标人的直接经济损失。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_GB2312" w:hAnsi="宋体" w:eastAsia="仿宋_GB2312"/>
          <w:szCs w:val="24"/>
        </w:rPr>
      </w:pPr>
      <w:r>
        <w:rPr>
          <w:rFonts w:hint="eastAsia" w:ascii="仿宋_GB2312" w:hAnsi="宋体" w:eastAsia="仿宋_GB2312"/>
          <w:szCs w:val="24"/>
        </w:rPr>
        <w:t>7.2由于招标人保管不善或使用不当造成设备短缺、故障或损坏，中标人协助招标人及时给予补齐或修复。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_GB2312" w:hAnsi="宋体" w:eastAsia="仿宋_GB2312"/>
          <w:b/>
          <w:szCs w:val="24"/>
        </w:rPr>
      </w:pPr>
      <w:r>
        <w:rPr>
          <w:rFonts w:hint="eastAsia" w:ascii="仿宋_GB2312" w:hAnsi="宋体" w:eastAsia="仿宋_GB2312"/>
          <w:b/>
          <w:szCs w:val="24"/>
        </w:rPr>
        <w:t>8．违约赔偿</w:t>
      </w:r>
    </w:p>
    <w:p>
      <w:pPr>
        <w:spacing w:line="440" w:lineRule="exact"/>
        <w:rPr>
          <w:rFonts w:ascii="仿宋_GB2312" w:hAnsi="宋体" w:eastAsia="仿宋_GB2312"/>
          <w:sz w:val="24"/>
        </w:rPr>
      </w:pPr>
      <w:r>
        <w:rPr>
          <w:rFonts w:hint="eastAsia" w:ascii="仿宋_GB2312" w:hAnsi="宋体" w:eastAsia="仿宋_GB2312"/>
          <w:sz w:val="24"/>
        </w:rPr>
        <w:t>8.1除不可抗力外，如中标人发生不能按期完成供货任务，招标人发生中途变更等情况，应及时以书面形式通知对方。双方应本着友好的态度进行协商，妥善解决。如协商无效，按规定处以违约金。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kern w:val="0"/>
          <w:sz w:val="24"/>
        </w:rPr>
        <w:t xml:space="preserve">8.2 </w:t>
      </w:r>
      <w:r>
        <w:rPr>
          <w:rFonts w:hint="eastAsia" w:ascii="仿宋_GB2312" w:hAnsi="宋体" w:eastAsia="仿宋_GB2312"/>
          <w:sz w:val="24"/>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sz w:val="24"/>
        </w:rPr>
      </w:pPr>
      <w:r>
        <w:rPr>
          <w:rFonts w:hint="eastAsia" w:ascii="仿宋_GB2312" w:hAnsi="宋体" w:eastAsia="仿宋_GB2312"/>
          <w:sz w:val="24"/>
        </w:rPr>
        <w:t>8.3招标人在规定时间无正当理由拒签合同者，以招标违约处理，并赔偿中标人由此造成的直接经济损失。</w:t>
      </w:r>
    </w:p>
    <w:p>
      <w:pPr>
        <w:spacing w:line="440" w:lineRule="exact"/>
        <w:jc w:val="left"/>
        <w:rPr>
          <w:rFonts w:ascii="仿宋_GB2312" w:hAnsi="宋体" w:eastAsia="仿宋_GB2312"/>
          <w:b/>
          <w:sz w:val="24"/>
        </w:rPr>
      </w:pPr>
      <w:r>
        <w:rPr>
          <w:rFonts w:hint="eastAsia" w:ascii="仿宋_GB2312" w:hAnsi="宋体" w:eastAsia="仿宋_GB2312"/>
          <w:b/>
          <w:sz w:val="24"/>
        </w:rPr>
        <w:t>9.不可抗力</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9.1如果双方中任何一方由于战争、严重火灾、水灾、台风和地震以及其它经双方同意属于不可抗力的事故，致使合同履行受阻时，履行合同的期限应予延长，延长的期限应相当于事故所影响的时间。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sz w:val="24"/>
        </w:rPr>
      </w:pPr>
      <w:r>
        <w:rPr>
          <w:rFonts w:hint="eastAsia" w:ascii="仿宋_GB2312" w:hAnsi="宋体" w:eastAsia="仿宋_GB2312"/>
          <w:b/>
          <w:sz w:val="24"/>
        </w:rPr>
        <w:t>10.解决合同纠纷的方式</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10.1凡有关本合同或与本合同中发生的争端，双方应通过友好协商，妥善解决。如通过协商仍不能解决时，可向当地的仲裁机构申请仲裁或人民法院起诉。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10.2仲裁和诉讼费用除仲裁机构和人民法院另有裁决外，由败诉方承担。</w:t>
      </w:r>
    </w:p>
    <w:p>
      <w:pPr>
        <w:pStyle w:val="12"/>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10.3在仲裁和诉讼期间，除正在进行裁定的部分外，本合同其他部分应继续执行。</w:t>
      </w:r>
    </w:p>
    <w:p>
      <w:pPr>
        <w:spacing w:line="440" w:lineRule="exact"/>
        <w:jc w:val="left"/>
        <w:rPr>
          <w:rFonts w:ascii="仿宋_GB2312" w:hAnsi="宋体" w:eastAsia="仿宋_GB2312"/>
          <w:sz w:val="24"/>
        </w:rPr>
      </w:pPr>
      <w:r>
        <w:rPr>
          <w:rFonts w:hint="eastAsia" w:ascii="仿宋_GB2312" w:hAnsi="宋体" w:eastAsia="仿宋_GB2312"/>
          <w:sz w:val="24"/>
        </w:rPr>
        <w:t>10.4合同应在双方签字盖章后开始生效。</w:t>
      </w:r>
    </w:p>
    <w:p>
      <w:pPr>
        <w:spacing w:line="440" w:lineRule="exact"/>
        <w:rPr>
          <w:rFonts w:ascii="仿宋_GB2312" w:hAnsi="宋体" w:eastAsia="仿宋_GB2312"/>
          <w:sz w:val="24"/>
        </w:rPr>
      </w:pPr>
      <w:r>
        <w:rPr>
          <w:rFonts w:hint="eastAsia" w:ascii="仿宋_GB2312" w:hAnsi="宋体" w:eastAsia="仿宋_GB2312"/>
          <w:sz w:val="24"/>
        </w:rPr>
        <w:t>（注：在正式签约时，根据上述精神应拟就更为详尽的合同书）</w:t>
      </w:r>
    </w:p>
    <w:p>
      <w:pPr>
        <w:spacing w:line="380" w:lineRule="exact"/>
        <w:ind w:firstLine="480" w:firstLineChars="200"/>
        <w:jc w:val="left"/>
        <w:rPr>
          <w:rFonts w:ascii="仿宋_GB2312" w:eastAsia="仿宋_GB2312"/>
          <w:sz w:val="24"/>
        </w:rPr>
      </w:pPr>
    </w:p>
    <w:p>
      <w:pPr>
        <w:pStyle w:val="22"/>
        <w:spacing w:line="800" w:lineRule="exact"/>
        <w:ind w:firstLine="723"/>
        <w:jc w:val="center"/>
        <w:rPr>
          <w:rFonts w:ascii="仿宋_GB2312" w:hAnsi="宋体" w:eastAsia="仿宋_GB2312"/>
          <w:b/>
          <w:sz w:val="36"/>
          <w:szCs w:val="36"/>
        </w:rPr>
      </w:pPr>
    </w:p>
    <w:p>
      <w:pPr>
        <w:pStyle w:val="2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w:t>
      </w:r>
      <w:r>
        <w:rPr>
          <w:rFonts w:hint="eastAsia" w:ascii="仿宋_GB2312" w:hAnsi="宋体" w:eastAsia="仿宋_GB2312"/>
          <w:sz w:val="24"/>
          <w:lang w:val="en-US" w:eastAsia="zh-CN"/>
        </w:rPr>
        <w:t>8</w:t>
      </w:r>
      <w:r>
        <w:rPr>
          <w:rFonts w:hint="eastAsia" w:ascii="仿宋_GB2312" w:hAnsi="宋体" w:eastAsia="仿宋_GB2312"/>
          <w:sz w:val="24"/>
        </w:rPr>
        <w:t>0分，价格分</w:t>
      </w:r>
      <w:r>
        <w:rPr>
          <w:rFonts w:hint="eastAsia" w:ascii="仿宋_GB2312" w:hAnsi="宋体" w:eastAsia="仿宋_GB2312"/>
          <w:sz w:val="24"/>
          <w:lang w:val="en-US" w:eastAsia="zh-CN"/>
        </w:rPr>
        <w:t>2</w:t>
      </w:r>
      <w:r>
        <w:rPr>
          <w:rFonts w:hint="eastAsia" w:ascii="仿宋_GB2312" w:hAnsi="宋体" w:eastAsia="仿宋_GB2312"/>
          <w:sz w:val="24"/>
        </w:rPr>
        <w:t>0分。评分依下述所列为评标打分依据，分值如下（计算分值时，按其算术平均值保留小数2位）。</w:t>
      </w:r>
    </w:p>
    <w:p>
      <w:pPr>
        <w:spacing w:line="440" w:lineRule="exact"/>
        <w:rPr>
          <w:rFonts w:ascii="仿宋_GB2312" w:hAnsi="宋体" w:eastAsia="仿宋_GB2312"/>
          <w:b/>
          <w:bCs/>
          <w:iCs/>
          <w:sz w:val="24"/>
        </w:rPr>
      </w:pPr>
      <w:r>
        <w:rPr>
          <w:rFonts w:hint="eastAsia" w:ascii="仿宋_GB2312" w:hAnsi="宋体" w:eastAsia="仿宋_GB2312"/>
          <w:b/>
          <w:bCs/>
          <w:iCs/>
          <w:sz w:val="24"/>
        </w:rPr>
        <w:t>2.1.商务技术分（</w:t>
      </w:r>
      <w:r>
        <w:rPr>
          <w:rFonts w:hint="eastAsia" w:ascii="仿宋_GB2312" w:hAnsi="宋体" w:eastAsia="仿宋_GB2312"/>
          <w:b/>
          <w:bCs/>
          <w:iCs/>
          <w:sz w:val="24"/>
          <w:lang w:val="en-US" w:eastAsia="zh-CN"/>
        </w:rPr>
        <w:t>8</w:t>
      </w:r>
      <w:r>
        <w:rPr>
          <w:rFonts w:hint="eastAsia" w:ascii="仿宋_GB2312" w:hAnsi="宋体" w:eastAsia="仿宋_GB2312"/>
          <w:b/>
          <w:bCs/>
          <w:iCs/>
          <w:sz w:val="24"/>
        </w:rPr>
        <w:t>0分）</w:t>
      </w:r>
    </w:p>
    <w:tbl>
      <w:tblPr>
        <w:tblStyle w:val="41"/>
        <w:tblW w:w="97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76"/>
        <w:gridCol w:w="6787"/>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75" w:type="dxa"/>
          </w:tcPr>
          <w:p>
            <w:pPr>
              <w:pStyle w:val="30"/>
              <w:spacing w:line="360" w:lineRule="auto"/>
              <w:ind w:left="0" w:leftChars="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序号</w:t>
            </w:r>
          </w:p>
        </w:tc>
        <w:tc>
          <w:tcPr>
            <w:tcW w:w="1276" w:type="dxa"/>
            <w:vAlign w:val="center"/>
          </w:tcPr>
          <w:p>
            <w:pPr>
              <w:pStyle w:val="30"/>
              <w:spacing w:line="360" w:lineRule="auto"/>
              <w:ind w:left="0" w:leftChars="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评标项目</w:t>
            </w:r>
          </w:p>
        </w:tc>
        <w:tc>
          <w:tcPr>
            <w:tcW w:w="6787" w:type="dxa"/>
            <w:vAlign w:val="center"/>
          </w:tcPr>
          <w:p>
            <w:pPr>
              <w:pStyle w:val="30"/>
              <w:spacing w:line="360" w:lineRule="auto"/>
              <w:ind w:firstLine="482"/>
              <w:jc w:val="center"/>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评分基本规则</w:t>
            </w:r>
          </w:p>
        </w:tc>
        <w:tc>
          <w:tcPr>
            <w:tcW w:w="975" w:type="dxa"/>
            <w:vAlign w:val="center"/>
          </w:tcPr>
          <w:p>
            <w:pPr>
              <w:pStyle w:val="30"/>
              <w:spacing w:line="360" w:lineRule="auto"/>
              <w:ind w:left="0" w:leftChars="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5" w:hRule="atLeast"/>
          <w:jc w:val="center"/>
        </w:trPr>
        <w:tc>
          <w:tcPr>
            <w:tcW w:w="675" w:type="dxa"/>
            <w:vAlign w:val="center"/>
          </w:tcPr>
          <w:p>
            <w:pPr>
              <w:widowControl/>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1276" w:type="dxa"/>
            <w:vAlign w:val="center"/>
          </w:tcPr>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企业综合实力整体投标方案</w:t>
            </w:r>
          </w:p>
        </w:tc>
        <w:tc>
          <w:tcPr>
            <w:tcW w:w="6787" w:type="dxa"/>
            <w:vAlign w:val="center"/>
          </w:tcPr>
          <w:p>
            <w:pPr>
              <w:tabs>
                <w:tab w:val="left" w:pos="1200"/>
              </w:tabs>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对本招标项目的了解程度（15分）：包括对本项目所涉及到的污染源现状及实际情况的了解和调研以及针对上述关键点、难点和其他可预见问题所提出的合理化建议和相应的解决措施。评委会根据各投标人对本项目的理解程度、经验进行综合评议，酌情给分：</w:t>
            </w:r>
            <w:r>
              <w:rPr>
                <w:rFonts w:hint="eastAsia" w:ascii="仿宋" w:hAnsi="仿宋" w:eastAsia="仿宋"/>
                <w:bCs/>
                <w:color w:val="000000" w:themeColor="text1"/>
                <w:sz w:val="24"/>
                <w14:textFill>
                  <w14:solidFill>
                    <w14:schemeClr w14:val="tx1"/>
                  </w14:solidFill>
                </w14:textFill>
              </w:rPr>
              <w:t>优</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14.1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20</w:t>
            </w:r>
            <w:r>
              <w:rPr>
                <w:rFonts w:ascii="仿宋" w:hAnsi="仿宋" w:eastAsia="仿宋"/>
                <w:color w:val="000000" w:themeColor="text1"/>
                <w:sz w:val="24"/>
                <w14:textFill>
                  <w14:solidFill>
                    <w14:schemeClr w14:val="tx1"/>
                  </w14:solidFill>
                </w14:textFill>
              </w:rPr>
              <w:t>分；良:</w:t>
            </w:r>
            <w:r>
              <w:rPr>
                <w:rFonts w:hint="eastAsia" w:ascii="仿宋" w:hAnsi="仿宋" w:eastAsia="仿宋"/>
                <w:color w:val="000000" w:themeColor="text1"/>
                <w:sz w:val="24"/>
                <w:lang w:val="en-US" w:eastAsia="zh-CN"/>
                <w14:textFill>
                  <w14:solidFill>
                    <w14:schemeClr w14:val="tx1"/>
                  </w14:solidFill>
                </w14:textFill>
              </w:rPr>
              <w:t>7.1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14</w:t>
            </w:r>
            <w:r>
              <w:rPr>
                <w:rFonts w:ascii="仿宋" w:hAnsi="仿宋" w:eastAsia="仿宋"/>
                <w:color w:val="000000" w:themeColor="text1"/>
                <w:sz w:val="24"/>
                <w14:textFill>
                  <w14:solidFill>
                    <w14:schemeClr w14:val="tx1"/>
                  </w14:solidFill>
                </w14:textFill>
              </w:rPr>
              <w:t>分；一般:0-</w:t>
            </w:r>
            <w:r>
              <w:rPr>
                <w:rFonts w:hint="eastAsia" w:ascii="仿宋" w:hAnsi="仿宋" w:eastAsia="仿宋"/>
                <w:color w:val="000000" w:themeColor="text1"/>
                <w:sz w:val="24"/>
                <w:lang w:val="en-US" w:eastAsia="zh-CN"/>
                <w14:textFill>
                  <w14:solidFill>
                    <w14:schemeClr w14:val="tx1"/>
                  </w14:solidFill>
                </w14:textFill>
              </w:rPr>
              <w:t>7</w:t>
            </w:r>
            <w:r>
              <w:rPr>
                <w:rFonts w:ascii="仿宋" w:hAnsi="仿宋" w:eastAsia="仿宋"/>
                <w:color w:val="000000" w:themeColor="text1"/>
                <w:sz w:val="24"/>
                <w14:textFill>
                  <w14:solidFill>
                    <w14:schemeClr w14:val="tx1"/>
                  </w14:solidFill>
                </w14:textFill>
              </w:rPr>
              <w:t>分。</w:t>
            </w:r>
          </w:p>
        </w:tc>
        <w:tc>
          <w:tcPr>
            <w:tcW w:w="975" w:type="dxa"/>
            <w:vAlign w:val="center"/>
          </w:tcPr>
          <w:p>
            <w:pPr>
              <w:spacing w:line="360" w:lineRule="auto"/>
              <w:rPr>
                <w:rFonts w:hint="default"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675" w:type="dxa"/>
            <w:vAlign w:val="center"/>
          </w:tcPr>
          <w:p>
            <w:pPr>
              <w:widowControl/>
              <w:spacing w:line="360" w:lineRule="auto"/>
              <w:jc w:val="center"/>
              <w:rPr>
                <w:rFonts w:ascii="仿宋" w:hAnsi="仿宋" w:eastAsia="仿宋"/>
                <w:color w:val="000000" w:themeColor="text1"/>
                <w:sz w:val="24"/>
                <w14:textFill>
                  <w14:solidFill>
                    <w14:schemeClr w14:val="tx1"/>
                  </w14:solidFill>
                </w14:textFill>
              </w:rPr>
            </w:pPr>
          </w:p>
        </w:tc>
        <w:tc>
          <w:tcPr>
            <w:tcW w:w="1276" w:type="dxa"/>
            <w:vAlign w:val="center"/>
          </w:tcPr>
          <w:p>
            <w:pPr>
              <w:spacing w:line="360" w:lineRule="auto"/>
              <w:rPr>
                <w:rFonts w:ascii="仿宋" w:hAnsi="仿宋" w:eastAsia="仿宋"/>
                <w:color w:val="000000" w:themeColor="text1"/>
                <w:sz w:val="24"/>
                <w14:textFill>
                  <w14:solidFill>
                    <w14:schemeClr w14:val="tx1"/>
                  </w14:solidFill>
                </w14:textFill>
              </w:rPr>
            </w:pPr>
          </w:p>
        </w:tc>
        <w:tc>
          <w:tcPr>
            <w:tcW w:w="6787" w:type="dxa"/>
            <w:vAlign w:val="center"/>
          </w:tcPr>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企业具有电力系统服务背景的得</w:t>
            </w:r>
            <w:r>
              <w:rPr>
                <w:rFonts w:hint="eastAsia" w:ascii="仿宋" w:hAnsi="仿宋" w:eastAsia="仿宋"/>
                <w:color w:val="000000" w:themeColor="text1"/>
                <w:sz w:val="24"/>
                <w:lang w:val="en-US" w:eastAsia="zh-CN"/>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分，没有不得分。（</w:t>
            </w:r>
            <w:r>
              <w:rPr>
                <w:rFonts w:hint="eastAsia" w:ascii="仿宋" w:hAnsi="仿宋" w:eastAsia="仿宋"/>
                <w:b/>
                <w:color w:val="000000" w:themeColor="text1"/>
                <w:sz w:val="24"/>
                <w14:textFill>
                  <w14:solidFill>
                    <w14:schemeClr w14:val="tx1"/>
                  </w14:solidFill>
                </w14:textFill>
              </w:rPr>
              <w:t>投标文件中须提供证书</w:t>
            </w:r>
            <w:r>
              <w:rPr>
                <w:rFonts w:ascii="仿宋" w:hAnsi="仿宋" w:eastAsia="仿宋"/>
                <w:b/>
                <w:color w:val="000000" w:themeColor="text1"/>
                <w:sz w:val="24"/>
                <w14:textFill>
                  <w14:solidFill>
                    <w14:schemeClr w14:val="tx1"/>
                  </w14:solidFill>
                </w14:textFill>
              </w:rPr>
              <w:t>原件扫描件或彩色图片</w:t>
            </w:r>
            <w:r>
              <w:rPr>
                <w:rFonts w:hint="eastAsia" w:ascii="仿宋" w:hAnsi="仿宋" w:eastAsia="仿宋"/>
                <w:b/>
                <w:color w:val="000000" w:themeColor="text1"/>
                <w:sz w:val="24"/>
                <w14:textFill>
                  <w14:solidFill>
                    <w14:schemeClr w14:val="tx1"/>
                  </w14:solidFill>
                </w14:textFill>
              </w:rPr>
              <w:t>并加盖电子公章，采购人有权在标后对中标候选人进行原件核验。）</w:t>
            </w:r>
          </w:p>
        </w:tc>
        <w:tc>
          <w:tcPr>
            <w:tcW w:w="975" w:type="dxa"/>
            <w:vAlign w:val="center"/>
          </w:tcPr>
          <w:p>
            <w:pPr>
              <w:spacing w:line="360" w:lineRule="auto"/>
              <w:rPr>
                <w:rFonts w:hint="eastAsia" w:ascii="仿宋" w:hAnsi="仿宋" w:eastAsia="仿宋"/>
                <w:color w:val="000000" w:themeColor="text1"/>
                <w:sz w:val="24"/>
                <w:lang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3" w:hRule="atLeast"/>
          <w:jc w:val="center"/>
        </w:trPr>
        <w:tc>
          <w:tcPr>
            <w:tcW w:w="675" w:type="dxa"/>
            <w:vAlign w:val="center"/>
          </w:tcPr>
          <w:p>
            <w:pPr>
              <w:widowControl/>
              <w:spacing w:line="360"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w:t>
            </w:r>
          </w:p>
        </w:tc>
        <w:tc>
          <w:tcPr>
            <w:tcW w:w="1276" w:type="dxa"/>
            <w:vAlign w:val="center"/>
          </w:tcPr>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本地化服务能力</w:t>
            </w:r>
          </w:p>
        </w:tc>
        <w:tc>
          <w:tcPr>
            <w:tcW w:w="6787" w:type="dxa"/>
            <w:vAlign w:val="center"/>
          </w:tcPr>
          <w:p>
            <w:pPr>
              <w:widowControl/>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评委会根据各投标人售后服务机构情况，酌情打分</w:t>
            </w:r>
            <w:r>
              <w:rPr>
                <w:rFonts w:ascii="仿宋" w:hAnsi="仿宋" w:eastAsia="仿宋" w:cs="宋体"/>
                <w:color w:val="000000" w:themeColor="text1"/>
                <w:sz w:val="24"/>
                <w14:textFill>
                  <w14:solidFill>
                    <w14:schemeClr w14:val="tx1"/>
                  </w14:solidFill>
                </w14:textFill>
              </w:rPr>
              <w:t>：60分钟内能到达为优，90分钟内能到达为良，90分钟以上到达为一般，优:</w:t>
            </w:r>
            <w:r>
              <w:rPr>
                <w:rFonts w:hint="eastAsia" w:ascii="仿宋" w:hAnsi="仿宋" w:eastAsia="仿宋" w:cs="宋体"/>
                <w:color w:val="000000" w:themeColor="text1"/>
                <w:sz w:val="24"/>
                <w14:textFill>
                  <w14:solidFill>
                    <w14:schemeClr w14:val="tx1"/>
                  </w14:solidFill>
                </w14:textFill>
              </w:rPr>
              <w:t>4</w:t>
            </w:r>
            <w:r>
              <w:rPr>
                <w:rFonts w:ascii="仿宋" w:hAnsi="仿宋" w:eastAsia="仿宋" w:cs="宋体"/>
                <w:color w:val="000000" w:themeColor="text1"/>
                <w:sz w:val="24"/>
                <w14:textFill>
                  <w14:solidFill>
                    <w14:schemeClr w14:val="tx1"/>
                  </w14:solidFill>
                </w14:textFill>
              </w:rPr>
              <w:t>-</w:t>
            </w:r>
            <w:r>
              <w:rPr>
                <w:rFonts w:hint="eastAsia" w:ascii="仿宋" w:hAnsi="仿宋" w:eastAsia="仿宋" w:cs="宋体"/>
                <w:color w:val="000000" w:themeColor="text1"/>
                <w:sz w:val="24"/>
                <w14:textFill>
                  <w14:solidFill>
                    <w14:schemeClr w14:val="tx1"/>
                  </w14:solidFill>
                </w14:textFill>
              </w:rPr>
              <w:t>5</w:t>
            </w:r>
            <w:r>
              <w:rPr>
                <w:rFonts w:ascii="仿宋" w:hAnsi="仿宋" w:eastAsia="仿宋" w:cs="宋体"/>
                <w:color w:val="000000" w:themeColor="text1"/>
                <w:sz w:val="24"/>
                <w14:textFill>
                  <w14:solidFill>
                    <w14:schemeClr w14:val="tx1"/>
                  </w14:solidFill>
                </w14:textFill>
              </w:rPr>
              <w:t>分；良:</w:t>
            </w:r>
            <w:r>
              <w:rPr>
                <w:rFonts w:hint="eastAsia" w:ascii="仿宋" w:hAnsi="仿宋" w:eastAsia="仿宋" w:cs="宋体"/>
                <w:color w:val="000000" w:themeColor="text1"/>
                <w:sz w:val="24"/>
                <w14:textFill>
                  <w14:solidFill>
                    <w14:schemeClr w14:val="tx1"/>
                  </w14:solidFill>
                </w14:textFill>
              </w:rPr>
              <w:t>2</w:t>
            </w:r>
            <w:r>
              <w:rPr>
                <w:rFonts w:ascii="仿宋" w:hAnsi="仿宋" w:eastAsia="仿宋" w:cs="宋体"/>
                <w:color w:val="000000" w:themeColor="text1"/>
                <w:sz w:val="24"/>
                <w14:textFill>
                  <w14:solidFill>
                    <w14:schemeClr w14:val="tx1"/>
                  </w14:solidFill>
                </w14:textFill>
              </w:rPr>
              <w:t>-</w:t>
            </w:r>
            <w:r>
              <w:rPr>
                <w:rFonts w:hint="eastAsia" w:ascii="仿宋" w:hAnsi="仿宋" w:eastAsia="仿宋" w:cs="宋体"/>
                <w:color w:val="000000" w:themeColor="text1"/>
                <w:sz w:val="24"/>
                <w14:textFill>
                  <w14:solidFill>
                    <w14:schemeClr w14:val="tx1"/>
                  </w14:solidFill>
                </w14:textFill>
              </w:rPr>
              <w:t>3</w:t>
            </w:r>
            <w:r>
              <w:rPr>
                <w:rFonts w:ascii="仿宋" w:hAnsi="仿宋" w:eastAsia="仿宋" w:cs="宋体"/>
                <w:color w:val="000000" w:themeColor="text1"/>
                <w:sz w:val="24"/>
                <w14:textFill>
                  <w14:solidFill>
                    <w14:schemeClr w14:val="tx1"/>
                  </w14:solidFill>
                </w14:textFill>
              </w:rPr>
              <w:t>；一般:0-</w:t>
            </w:r>
            <w:r>
              <w:rPr>
                <w:rFonts w:hint="eastAsia" w:ascii="仿宋" w:hAnsi="仿宋" w:eastAsia="仿宋" w:cs="宋体"/>
                <w:color w:val="000000" w:themeColor="text1"/>
                <w:sz w:val="24"/>
                <w14:textFill>
                  <w14:solidFill>
                    <w14:schemeClr w14:val="tx1"/>
                  </w14:solidFill>
                </w14:textFill>
              </w:rPr>
              <w:t>1</w:t>
            </w:r>
            <w:r>
              <w:rPr>
                <w:rFonts w:ascii="仿宋" w:hAnsi="仿宋" w:eastAsia="仿宋" w:cs="宋体"/>
                <w:color w:val="000000" w:themeColor="text1"/>
                <w:sz w:val="24"/>
                <w14:textFill>
                  <w14:solidFill>
                    <w14:schemeClr w14:val="tx1"/>
                  </w14:solidFill>
                </w14:textFill>
              </w:rPr>
              <w:t>分；（</w:t>
            </w:r>
            <w:r>
              <w:rPr>
                <w:rFonts w:hint="eastAsia" w:ascii="仿宋" w:hAnsi="仿宋" w:eastAsia="仿宋" w:cs="宋体"/>
                <w:b/>
                <w:color w:val="000000" w:themeColor="text1"/>
                <w:sz w:val="24"/>
                <w14:textFill>
                  <w14:solidFill>
                    <w14:schemeClr w14:val="tx1"/>
                  </w14:solidFill>
                </w14:textFill>
              </w:rPr>
              <w:t>注册信息、高德地图网页完整截图原件</w:t>
            </w:r>
            <w:r>
              <w:rPr>
                <w:rFonts w:ascii="仿宋" w:hAnsi="仿宋" w:eastAsia="仿宋" w:cs="宋体"/>
                <w:b/>
                <w:color w:val="000000" w:themeColor="text1"/>
                <w:sz w:val="24"/>
                <w14:textFill>
                  <w14:solidFill>
                    <w14:schemeClr w14:val="tx1"/>
                  </w14:solidFill>
                </w14:textFill>
              </w:rPr>
              <w:t>扫描件或彩色图片</w:t>
            </w:r>
            <w:r>
              <w:rPr>
                <w:rFonts w:hint="eastAsia" w:ascii="仿宋" w:hAnsi="仿宋" w:eastAsia="仿宋" w:cs="宋体"/>
                <w:b/>
                <w:color w:val="000000" w:themeColor="text1"/>
                <w:sz w:val="24"/>
                <w14:textFill>
                  <w14:solidFill>
                    <w14:schemeClr w14:val="tx1"/>
                  </w14:solidFill>
                </w14:textFill>
              </w:rPr>
              <w:t>并加盖电子公章。</w:t>
            </w:r>
            <w:r>
              <w:rPr>
                <w:rFonts w:ascii="仿宋" w:hAnsi="仿宋" w:eastAsia="仿宋" w:cs="宋体"/>
                <w:color w:val="000000" w:themeColor="text1"/>
                <w:sz w:val="24"/>
                <w14:textFill>
                  <w14:solidFill>
                    <w14:schemeClr w14:val="tx1"/>
                  </w14:solidFill>
                </w14:textFill>
              </w:rPr>
              <w:t>）</w:t>
            </w:r>
          </w:p>
        </w:tc>
        <w:tc>
          <w:tcPr>
            <w:tcW w:w="975" w:type="dxa"/>
            <w:vAlign w:val="center"/>
          </w:tcPr>
          <w:p>
            <w:pPr>
              <w:widowControl/>
              <w:spacing w:line="360" w:lineRule="auto"/>
              <w:jc w:val="center"/>
              <w:rPr>
                <w:rFonts w:ascii="仿宋" w:hAnsi="仿宋" w:eastAsia="仿宋" w:cs="宋体"/>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2" w:hRule="exact"/>
          <w:jc w:val="center"/>
        </w:trPr>
        <w:tc>
          <w:tcPr>
            <w:tcW w:w="675" w:type="dxa"/>
            <w:vAlign w:val="center"/>
          </w:tcPr>
          <w:p>
            <w:pPr>
              <w:widowControl/>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1276" w:type="dxa"/>
            <w:vAlign w:val="center"/>
          </w:tcPr>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投标文件制作</w:t>
            </w:r>
          </w:p>
        </w:tc>
        <w:tc>
          <w:tcPr>
            <w:tcW w:w="6787" w:type="dxa"/>
            <w:vAlign w:val="center"/>
          </w:tcPr>
          <w:p>
            <w:p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编制完整，格式规范、符合招标文件要求的，得2分；投标文件有关内容前后矛盾、与招标文件要求不一致等，评标委员会允许且需要通过询标等程序进行澄清的，该项不得分；投标文件存在其他错漏的，每项（次）扣 0.2 分，扣完为止。</w:t>
            </w:r>
          </w:p>
        </w:tc>
        <w:tc>
          <w:tcPr>
            <w:tcW w:w="975" w:type="dxa"/>
            <w:vAlign w:val="center"/>
          </w:tcPr>
          <w:p>
            <w:pPr>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exact"/>
          <w:jc w:val="center"/>
        </w:trPr>
        <w:tc>
          <w:tcPr>
            <w:tcW w:w="675" w:type="dxa"/>
            <w:vAlign w:val="center"/>
          </w:tcPr>
          <w:p>
            <w:pPr>
              <w:widowControl/>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p>
        </w:tc>
        <w:tc>
          <w:tcPr>
            <w:tcW w:w="1276" w:type="dxa"/>
            <w:vAlign w:val="center"/>
          </w:tcPr>
          <w:p>
            <w:pPr>
              <w:spacing w:line="360" w:lineRule="auto"/>
              <w:ind w:firstLine="120" w:firstLineChars="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质量保证措施</w:t>
            </w:r>
          </w:p>
        </w:tc>
        <w:tc>
          <w:tcPr>
            <w:tcW w:w="6787" w:type="dxa"/>
            <w:vAlign w:val="center"/>
          </w:tcPr>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评委会根据投标人提供的针对本项目的质量保证措施等内容进行综合评议，酌情给分</w:t>
            </w:r>
            <w:r>
              <w:rPr>
                <w:rFonts w:hint="eastAsia" w:ascii="仿宋" w:hAnsi="仿宋" w:eastAsia="仿宋"/>
                <w:bCs/>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优</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6.1-10</w:t>
            </w:r>
            <w:r>
              <w:rPr>
                <w:rFonts w:ascii="仿宋" w:hAnsi="仿宋" w:eastAsia="仿宋"/>
                <w:color w:val="000000" w:themeColor="text1"/>
                <w:sz w:val="24"/>
                <w14:textFill>
                  <w14:solidFill>
                    <w14:schemeClr w14:val="tx1"/>
                  </w14:solidFill>
                </w14:textFill>
              </w:rPr>
              <w:t>分；良:</w:t>
            </w:r>
            <w:r>
              <w:rPr>
                <w:rFonts w:hint="eastAsia" w:ascii="仿宋" w:hAnsi="仿宋" w:eastAsia="仿宋"/>
                <w:color w:val="000000" w:themeColor="text1"/>
                <w:sz w:val="24"/>
                <w:lang w:val="en-US" w:eastAsia="zh-CN"/>
                <w14:textFill>
                  <w14:solidFill>
                    <w14:schemeClr w14:val="tx1"/>
                  </w14:solidFill>
                </w14:textFill>
              </w:rPr>
              <w:t>3.1-6</w:t>
            </w:r>
            <w:r>
              <w:rPr>
                <w:rFonts w:ascii="仿宋" w:hAnsi="仿宋" w:eastAsia="仿宋"/>
                <w:color w:val="000000" w:themeColor="text1"/>
                <w:sz w:val="24"/>
                <w14:textFill>
                  <w14:solidFill>
                    <w14:schemeClr w14:val="tx1"/>
                  </w14:solidFill>
                </w14:textFill>
              </w:rPr>
              <w:t>分；一般:</w:t>
            </w:r>
            <w:r>
              <w:rPr>
                <w:rFonts w:hint="eastAsia"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lang w:val="en-US" w:eastAsia="zh-CN"/>
                <w14:textFill>
                  <w14:solidFill>
                    <w14:schemeClr w14:val="tx1"/>
                  </w14:solidFill>
                </w14:textFill>
              </w:rPr>
              <w:t>-3</w:t>
            </w:r>
            <w:r>
              <w:rPr>
                <w:rFonts w:ascii="仿宋" w:hAnsi="仿宋" w:eastAsia="仿宋"/>
                <w:color w:val="000000" w:themeColor="text1"/>
                <w:sz w:val="24"/>
                <w14:textFill>
                  <w14:solidFill>
                    <w14:schemeClr w14:val="tx1"/>
                  </w14:solidFill>
                </w14:textFill>
              </w:rPr>
              <w:t>分。</w:t>
            </w:r>
          </w:p>
        </w:tc>
        <w:tc>
          <w:tcPr>
            <w:tcW w:w="975" w:type="dxa"/>
            <w:vAlign w:val="center"/>
          </w:tcPr>
          <w:p>
            <w:pPr>
              <w:spacing w:line="360" w:lineRule="auto"/>
              <w:jc w:val="center"/>
              <w:rPr>
                <w:rFonts w:hint="default" w:ascii="仿宋" w:hAnsi="仿宋" w:eastAsia="仿宋"/>
                <w:color w:val="000000" w:themeColor="text1"/>
                <w:sz w:val="24"/>
                <w:lang w:val="en-US" w:eastAsia="zh-CN"/>
                <w14:textFill>
                  <w14:solidFill>
                    <w14:schemeClr w14:val="tx1"/>
                  </w14:solidFill>
                </w14:textFill>
              </w:rPr>
            </w:pP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exact"/>
          <w:jc w:val="center"/>
        </w:trPr>
        <w:tc>
          <w:tcPr>
            <w:tcW w:w="675" w:type="dxa"/>
            <w:vAlign w:val="center"/>
          </w:tcPr>
          <w:p>
            <w:pPr>
              <w:widowControl/>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p>
        </w:tc>
        <w:tc>
          <w:tcPr>
            <w:tcW w:w="1276" w:type="dxa"/>
            <w:vAlign w:val="center"/>
          </w:tcPr>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系统运维经验及同类型项目开展情况</w:t>
            </w:r>
          </w:p>
        </w:tc>
        <w:tc>
          <w:tcPr>
            <w:tcW w:w="6787" w:type="dxa"/>
            <w:vAlign w:val="center"/>
          </w:tcPr>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s="宋体"/>
                <w:color w:val="000000" w:themeColor="text1"/>
                <w:sz w:val="24"/>
                <w:lang w:eastAsia="zh-CN"/>
                <w14:textFill>
                  <w14:solidFill>
                    <w14:schemeClr w14:val="tx1"/>
                  </w14:solidFill>
                </w14:textFill>
              </w:rPr>
              <w:t>提供自</w:t>
            </w:r>
            <w:r>
              <w:rPr>
                <w:rFonts w:hint="eastAsia" w:ascii="仿宋" w:hAnsi="仿宋" w:eastAsia="仿宋" w:cs="宋体"/>
                <w:color w:val="000000" w:themeColor="text1"/>
                <w:sz w:val="24"/>
                <w:lang w:val="en-US" w:eastAsia="zh-CN"/>
                <w14:textFill>
                  <w14:solidFill>
                    <w14:schemeClr w14:val="tx1"/>
                  </w14:solidFill>
                </w14:textFill>
              </w:rPr>
              <w:t>2018年以来</w:t>
            </w:r>
            <w:r>
              <w:rPr>
                <w:rFonts w:hint="eastAsia" w:ascii="仿宋" w:hAnsi="仿宋" w:eastAsia="仿宋" w:cs="宋体"/>
                <w:color w:val="000000" w:themeColor="text1"/>
                <w:sz w:val="24"/>
                <w:lang w:eastAsia="zh-CN"/>
                <w14:textFill>
                  <w14:solidFill>
                    <w14:schemeClr w14:val="tx1"/>
                  </w14:solidFill>
                </w14:textFill>
              </w:rPr>
              <w:t>的同类业绩合同</w:t>
            </w:r>
            <w:r>
              <w:rPr>
                <w:rFonts w:hint="eastAsia" w:ascii="仿宋" w:hAnsi="仿宋" w:eastAsia="仿宋" w:cs="宋体"/>
                <w:b w:val="0"/>
                <w:bCs w:val="0"/>
                <w:color w:val="000000" w:themeColor="text1"/>
                <w:sz w:val="24"/>
                <w:lang w:eastAsia="zh-CN"/>
                <w14:textFill>
                  <w14:solidFill>
                    <w14:schemeClr w14:val="tx1"/>
                  </w14:solidFill>
                </w14:textFill>
              </w:rPr>
              <w:t>（</w:t>
            </w:r>
            <w:r>
              <w:rPr>
                <w:rFonts w:hint="eastAsia" w:ascii="仿宋" w:hAnsi="仿宋" w:eastAsia="仿宋"/>
                <w:b w:val="0"/>
                <w:bCs w:val="0"/>
                <w:color w:val="000000" w:themeColor="text1"/>
                <w:sz w:val="24"/>
                <w14:textFill>
                  <w14:solidFill>
                    <w14:schemeClr w14:val="tx1"/>
                  </w14:solidFill>
                </w14:textFill>
              </w:rPr>
              <w:t>时间认定以合同签订时间为准</w:t>
            </w:r>
            <w:r>
              <w:rPr>
                <w:rFonts w:hint="eastAsia" w:ascii="仿宋" w:hAnsi="仿宋" w:eastAsia="仿宋"/>
                <w:b w:val="0"/>
                <w:bCs w:val="0"/>
                <w:color w:val="000000" w:themeColor="text1"/>
                <w:sz w:val="24"/>
                <w:lang w:eastAsia="zh-CN"/>
                <w14:textFill>
                  <w14:solidFill>
                    <w14:schemeClr w14:val="tx1"/>
                  </w14:solidFill>
                </w14:textFill>
              </w:rPr>
              <w:t>），</w:t>
            </w:r>
            <w:r>
              <w:rPr>
                <w:rFonts w:hint="eastAsia" w:ascii="仿宋" w:hAnsi="仿宋" w:eastAsia="仿宋"/>
                <w:color w:val="000000" w:themeColor="text1"/>
                <w:sz w:val="24"/>
                <w:lang w:eastAsia="zh-CN"/>
                <w14:textFill>
                  <w14:solidFill>
                    <w14:schemeClr w14:val="tx1"/>
                  </w14:solidFill>
                </w14:textFill>
              </w:rPr>
              <w:t>每提供一个得</w:t>
            </w:r>
            <w:r>
              <w:rPr>
                <w:rFonts w:hint="eastAsia" w:ascii="仿宋" w:hAnsi="仿宋" w:eastAsia="仿宋"/>
                <w:color w:val="000000" w:themeColor="text1"/>
                <w:sz w:val="24"/>
                <w:lang w:val="en-US" w:eastAsia="zh-CN"/>
                <w14:textFill>
                  <w14:solidFill>
                    <w14:schemeClr w14:val="tx1"/>
                  </w14:solidFill>
                </w14:textFill>
              </w:rPr>
              <w:t>3分，最高得15分</w:t>
            </w:r>
            <w:r>
              <w:rPr>
                <w:rFonts w:ascii="仿宋" w:hAnsi="仿宋" w:eastAsia="仿宋"/>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（投标文件中须提供系统截图、业绩合同</w:t>
            </w:r>
            <w:r>
              <w:rPr>
                <w:rFonts w:ascii="仿宋" w:hAnsi="仿宋" w:eastAsia="仿宋"/>
                <w:b/>
                <w:color w:val="000000" w:themeColor="text1"/>
                <w:sz w:val="24"/>
                <w14:textFill>
                  <w14:solidFill>
                    <w14:schemeClr w14:val="tx1"/>
                  </w14:solidFill>
                </w14:textFill>
              </w:rPr>
              <w:t>原件扫描件或彩色图片</w:t>
            </w:r>
            <w:r>
              <w:rPr>
                <w:rFonts w:hint="eastAsia" w:ascii="仿宋" w:hAnsi="仿宋" w:eastAsia="仿宋" w:cs="宋体"/>
                <w:b/>
                <w:color w:val="000000" w:themeColor="text1"/>
                <w:sz w:val="24"/>
                <w14:textFill>
                  <w14:solidFill>
                    <w14:schemeClr w14:val="tx1"/>
                  </w14:solidFill>
                </w14:textFill>
              </w:rPr>
              <w:t>加盖电子公章</w:t>
            </w:r>
            <w:r>
              <w:rPr>
                <w:rFonts w:hint="eastAsia" w:ascii="仿宋" w:hAnsi="仿宋" w:eastAsia="仿宋"/>
                <w:b/>
                <w:color w:val="000000" w:themeColor="text1"/>
                <w:sz w:val="24"/>
                <w14:textFill>
                  <w14:solidFill>
                    <w14:schemeClr w14:val="tx1"/>
                  </w14:solidFill>
                </w14:textFill>
              </w:rPr>
              <w:t>；若合同中未能反映项目内容的，则须提供业主证明材料，否则不得分。）</w:t>
            </w:r>
          </w:p>
        </w:tc>
        <w:tc>
          <w:tcPr>
            <w:tcW w:w="975" w:type="dxa"/>
            <w:vAlign w:val="center"/>
          </w:tcPr>
          <w:p>
            <w:pPr>
              <w:spacing w:line="360" w:lineRule="auto"/>
              <w:jc w:val="center"/>
              <w:rPr>
                <w:rFonts w:hint="eastAsia" w:ascii="仿宋" w:hAnsi="仿宋" w:eastAsia="仿宋"/>
                <w:color w:val="000000" w:themeColor="text1"/>
                <w:sz w:val="24"/>
                <w:lang w:eastAsia="zh-CN"/>
                <w14:textFill>
                  <w14:solidFill>
                    <w14:schemeClr w14:val="tx1"/>
                  </w14:solidFill>
                </w14:textFill>
              </w:rPr>
            </w:pP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697" w:hRule="atLeast"/>
          <w:jc w:val="center"/>
        </w:trPr>
        <w:tc>
          <w:tcPr>
            <w:tcW w:w="675" w:type="dxa"/>
            <w:vAlign w:val="center"/>
          </w:tcPr>
          <w:p>
            <w:pPr>
              <w:widowControl/>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w:t>
            </w:r>
          </w:p>
        </w:tc>
        <w:tc>
          <w:tcPr>
            <w:tcW w:w="1276" w:type="dxa"/>
            <w:vAlign w:val="center"/>
          </w:tcPr>
          <w:p>
            <w:pPr>
              <w:widowControl/>
              <w:spacing w:line="360" w:lineRule="auto"/>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投入本项目人员情况</w:t>
            </w:r>
          </w:p>
        </w:tc>
        <w:tc>
          <w:tcPr>
            <w:tcW w:w="6787" w:type="dxa"/>
            <w:tcBorders>
              <w:right w:val="single" w:color="000000" w:sz="4" w:space="0"/>
            </w:tcBorders>
            <w:vAlign w:val="center"/>
          </w:tcPr>
          <w:p>
            <w:pPr>
              <w:tabs>
                <w:tab w:val="left" w:pos="1200"/>
              </w:tabs>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项目组成员技能水平：项目负责人具有副高级及以上工程师职称的，得</w:t>
            </w:r>
            <w:r>
              <w:rPr>
                <w:rFonts w:hint="eastAsia" w:ascii="仿宋" w:hAnsi="仿宋" w:eastAsia="仿宋"/>
                <w:color w:val="000000" w:themeColor="text1"/>
                <w:sz w:val="24"/>
                <w:lang w:val="en-US" w:eastAsia="zh-CN"/>
                <w14:textFill>
                  <w14:solidFill>
                    <w14:schemeClr w14:val="tx1"/>
                  </w14:solidFill>
                </w14:textFill>
              </w:rPr>
              <w:t>2分</w:t>
            </w:r>
            <w:r>
              <w:rPr>
                <w:rFonts w:hint="eastAsia" w:ascii="仿宋" w:hAnsi="仿宋" w:eastAsia="仿宋"/>
                <w:color w:val="000000" w:themeColor="text1"/>
                <w:sz w:val="24"/>
                <w14:textFill>
                  <w14:solidFill>
                    <w14:schemeClr w14:val="tx1"/>
                  </w14:solidFill>
                </w14:textFill>
              </w:rPr>
              <w:t>。项目组成员需包含助理工程师及以上职称，每人得1.0分，最高得3分。（</w:t>
            </w:r>
            <w:r>
              <w:rPr>
                <w:rFonts w:hint="eastAsia" w:ascii="仿宋" w:hAnsi="仿宋" w:eastAsia="仿宋" w:cs="宋体"/>
                <w:b/>
                <w:bCs/>
                <w:color w:val="000000" w:themeColor="text1"/>
                <w:sz w:val="24"/>
                <w14:textFill>
                  <w14:solidFill>
                    <w14:schemeClr w14:val="tx1"/>
                  </w14:solidFill>
                </w14:textFill>
              </w:rPr>
              <w:t>投标文件中须提供成员证书、近</w:t>
            </w:r>
            <w:r>
              <w:rPr>
                <w:rFonts w:ascii="仿宋" w:hAnsi="仿宋" w:eastAsia="仿宋" w:cs="宋体"/>
                <w:b/>
                <w:bCs/>
                <w:color w:val="000000" w:themeColor="text1"/>
                <w:sz w:val="24"/>
                <w14:textFill>
                  <w14:solidFill>
                    <w14:schemeClr w14:val="tx1"/>
                  </w14:solidFill>
                </w14:textFill>
              </w:rPr>
              <w:t>3个月</w:t>
            </w:r>
            <w:r>
              <w:rPr>
                <w:rFonts w:hint="eastAsia" w:ascii="仿宋" w:hAnsi="仿宋" w:eastAsia="仿宋" w:cs="宋体"/>
                <w:b/>
                <w:bCs/>
                <w:color w:val="000000" w:themeColor="text1"/>
                <w:sz w:val="24"/>
                <w14:textFill>
                  <w14:solidFill>
                    <w14:schemeClr w14:val="tx1"/>
                  </w14:solidFill>
                </w14:textFill>
              </w:rPr>
              <w:t>社保证明</w:t>
            </w:r>
            <w:r>
              <w:rPr>
                <w:rFonts w:ascii="仿宋" w:hAnsi="仿宋" w:eastAsia="仿宋" w:cs="宋体"/>
                <w:b/>
                <w:bCs/>
                <w:color w:val="000000" w:themeColor="text1"/>
                <w:sz w:val="24"/>
                <w14:textFill>
                  <w14:solidFill>
                    <w14:schemeClr w14:val="tx1"/>
                  </w14:solidFill>
                </w14:textFill>
              </w:rPr>
              <w:t>原件扫描件或彩色图片</w:t>
            </w:r>
            <w:r>
              <w:rPr>
                <w:rFonts w:hint="eastAsia" w:ascii="仿宋" w:hAnsi="仿宋" w:eastAsia="仿宋" w:cs="宋体"/>
                <w:b/>
                <w:bCs/>
                <w:color w:val="000000" w:themeColor="text1"/>
                <w:sz w:val="24"/>
                <w14:textFill>
                  <w14:solidFill>
                    <w14:schemeClr w14:val="tx1"/>
                  </w14:solidFill>
                </w14:textFill>
              </w:rPr>
              <w:t>并加盖电子公章）</w:t>
            </w:r>
          </w:p>
        </w:tc>
        <w:tc>
          <w:tcPr>
            <w:tcW w:w="975" w:type="dxa"/>
            <w:tcBorders>
              <w:left w:val="single" w:color="000000" w:sz="4" w:space="0"/>
              <w:right w:val="single" w:color="000000" w:sz="4" w:space="0"/>
            </w:tcBorders>
            <w:vAlign w:val="center"/>
          </w:tcPr>
          <w:p>
            <w:pPr>
              <w:tabs>
                <w:tab w:val="left" w:pos="360"/>
              </w:tabs>
              <w:adjustRightInd w:val="0"/>
              <w:spacing w:line="360" w:lineRule="auto"/>
              <w:ind w:left="360" w:hanging="360"/>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697" w:hRule="atLeast"/>
          <w:jc w:val="center"/>
        </w:trPr>
        <w:tc>
          <w:tcPr>
            <w:tcW w:w="675" w:type="dxa"/>
            <w:tcBorders>
              <w:bottom w:val="single" w:color="auto" w:sz="4" w:space="0"/>
            </w:tcBorders>
            <w:vAlign w:val="center"/>
          </w:tcPr>
          <w:p>
            <w:pPr>
              <w:widowControl/>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p>
        </w:tc>
        <w:tc>
          <w:tcPr>
            <w:tcW w:w="1276" w:type="dxa"/>
            <w:vAlign w:val="center"/>
          </w:tcPr>
          <w:p>
            <w:pPr>
              <w:widowControl/>
              <w:spacing w:line="360" w:lineRule="auto"/>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演示（讲解）</w:t>
            </w:r>
          </w:p>
        </w:tc>
        <w:tc>
          <w:tcPr>
            <w:tcW w:w="6787" w:type="dxa"/>
            <w:tcBorders>
              <w:right w:val="single" w:color="000000" w:sz="4" w:space="0"/>
            </w:tcBorders>
            <w:vAlign w:val="center"/>
          </w:tcPr>
          <w:p>
            <w:pPr>
              <w:tabs>
                <w:tab w:val="left" w:pos="1200"/>
              </w:tabs>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评委会根据投标人提供的针对本项目平台设计方案的演示等内容进行综合评议，酌情给分</w:t>
            </w:r>
            <w:r>
              <w:rPr>
                <w:rFonts w:hint="eastAsia" w:ascii="仿宋" w:hAnsi="仿宋" w:eastAsia="仿宋"/>
                <w:bCs/>
                <w:color w:val="000000" w:themeColor="text1"/>
                <w:sz w:val="24"/>
                <w14:textFill>
                  <w14:solidFill>
                    <w14:schemeClr w14:val="tx1"/>
                  </w14:solidFill>
                </w14:textFill>
              </w:rPr>
              <w:t>：优</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14.1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20</w:t>
            </w:r>
            <w:r>
              <w:rPr>
                <w:rFonts w:ascii="仿宋" w:hAnsi="仿宋" w:eastAsia="仿宋"/>
                <w:color w:val="000000" w:themeColor="text1"/>
                <w:sz w:val="24"/>
                <w14:textFill>
                  <w14:solidFill>
                    <w14:schemeClr w14:val="tx1"/>
                  </w14:solidFill>
                </w14:textFill>
              </w:rPr>
              <w:t>分；良:</w:t>
            </w:r>
            <w:r>
              <w:rPr>
                <w:rFonts w:hint="eastAsia" w:ascii="仿宋" w:hAnsi="仿宋" w:eastAsia="仿宋"/>
                <w:color w:val="000000" w:themeColor="text1"/>
                <w:sz w:val="24"/>
                <w:lang w:val="en-US" w:eastAsia="zh-CN"/>
                <w14:textFill>
                  <w14:solidFill>
                    <w14:schemeClr w14:val="tx1"/>
                  </w14:solidFill>
                </w14:textFill>
              </w:rPr>
              <w:t>7.1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14</w:t>
            </w:r>
            <w:r>
              <w:rPr>
                <w:rFonts w:ascii="仿宋" w:hAnsi="仿宋" w:eastAsia="仿宋"/>
                <w:color w:val="000000" w:themeColor="text1"/>
                <w:sz w:val="24"/>
                <w14:textFill>
                  <w14:solidFill>
                    <w14:schemeClr w14:val="tx1"/>
                  </w14:solidFill>
                </w14:textFill>
              </w:rPr>
              <w:t>分；一般:0-</w:t>
            </w:r>
            <w:r>
              <w:rPr>
                <w:rFonts w:hint="eastAsia" w:ascii="仿宋" w:hAnsi="仿宋" w:eastAsia="仿宋"/>
                <w:color w:val="000000" w:themeColor="text1"/>
                <w:sz w:val="24"/>
                <w:lang w:val="en-US" w:eastAsia="zh-CN"/>
                <w14:textFill>
                  <w14:solidFill>
                    <w14:schemeClr w14:val="tx1"/>
                  </w14:solidFill>
                </w14:textFill>
              </w:rPr>
              <w:t>7</w:t>
            </w:r>
            <w:r>
              <w:rPr>
                <w:rFonts w:ascii="仿宋" w:hAnsi="仿宋" w:eastAsia="仿宋"/>
                <w:color w:val="000000" w:themeColor="text1"/>
                <w:sz w:val="24"/>
                <w14:textFill>
                  <w14:solidFill>
                    <w14:schemeClr w14:val="tx1"/>
                  </w14:solidFill>
                </w14:textFill>
              </w:rPr>
              <w:t>分。</w:t>
            </w:r>
          </w:p>
          <w:p>
            <w:pPr>
              <w:tabs>
                <w:tab w:val="left" w:pos="1200"/>
              </w:tabs>
              <w:spacing w:line="360" w:lineRule="auto"/>
              <w:rPr>
                <w:rFonts w:hint="eastAsia" w:ascii="仿宋" w:hAnsi="仿宋" w:eastAsia="仿宋"/>
                <w:color w:val="000000" w:themeColor="text1"/>
                <w:sz w:val="24"/>
                <w:lang w:eastAsia="zh-CN"/>
                <w14:textFill>
                  <w14:solidFill>
                    <w14:schemeClr w14:val="tx1"/>
                  </w14:solidFill>
                </w14:textFill>
              </w:rPr>
            </w:pPr>
            <w:r>
              <w:rPr>
                <w:rFonts w:hint="eastAsia" w:ascii="仿宋" w:hAnsi="仿宋" w:eastAsia="仿宋" w:cs="仿宋"/>
                <w:bCs/>
                <w:iCs/>
                <w:sz w:val="24"/>
                <w:lang w:eastAsia="zh-CN"/>
              </w:rPr>
              <w:t>（</w:t>
            </w:r>
            <w:r>
              <w:rPr>
                <w:rFonts w:hint="eastAsia" w:ascii="仿宋" w:hAnsi="仿宋" w:eastAsia="仿宋" w:cs="仿宋"/>
                <w:bCs/>
                <w:iCs/>
                <w:sz w:val="24"/>
              </w:rPr>
              <w:t>供应商在202</w:t>
            </w:r>
            <w:r>
              <w:rPr>
                <w:rFonts w:hint="eastAsia" w:ascii="仿宋" w:hAnsi="仿宋" w:eastAsia="仿宋" w:cs="仿宋"/>
                <w:bCs/>
                <w:iCs/>
                <w:sz w:val="24"/>
                <w:lang w:val="en-US" w:eastAsia="zh-CN"/>
              </w:rPr>
              <w:t>1</w:t>
            </w:r>
            <w:r>
              <w:rPr>
                <w:rFonts w:hint="eastAsia" w:ascii="仿宋" w:hAnsi="仿宋" w:eastAsia="仿宋" w:cs="仿宋"/>
                <w:bCs/>
                <w:iCs/>
                <w:sz w:val="24"/>
              </w:rPr>
              <w:t>年</w:t>
            </w:r>
            <w:r>
              <w:rPr>
                <w:rFonts w:hint="eastAsia" w:ascii="仿宋" w:hAnsi="仿宋" w:eastAsia="仿宋" w:cs="仿宋"/>
                <w:bCs/>
                <w:iCs/>
                <w:sz w:val="24"/>
                <w:lang w:val="en-US" w:eastAsia="zh-CN"/>
              </w:rPr>
              <w:t>3</w:t>
            </w:r>
            <w:r>
              <w:rPr>
                <w:rFonts w:hint="eastAsia" w:ascii="仿宋" w:hAnsi="仿宋" w:eastAsia="仿宋" w:cs="仿宋"/>
                <w:bCs/>
                <w:iCs/>
                <w:sz w:val="24"/>
              </w:rPr>
              <w:t>月</w:t>
            </w:r>
            <w:r>
              <w:rPr>
                <w:rFonts w:hint="eastAsia" w:ascii="仿宋" w:hAnsi="仿宋" w:eastAsia="仿宋" w:cs="仿宋"/>
                <w:bCs/>
                <w:iCs/>
                <w:sz w:val="24"/>
                <w:lang w:val="en-US" w:eastAsia="zh-CN"/>
              </w:rPr>
              <w:t>26</w:t>
            </w:r>
            <w:r>
              <w:rPr>
                <w:rFonts w:hint="eastAsia" w:ascii="仿宋" w:hAnsi="仿宋" w:eastAsia="仿宋" w:cs="仿宋"/>
                <w:bCs/>
                <w:iCs/>
                <w:sz w:val="24"/>
              </w:rPr>
              <w:t>日</w:t>
            </w:r>
            <w:r>
              <w:rPr>
                <w:rFonts w:hint="eastAsia" w:ascii="仿宋" w:hAnsi="仿宋" w:eastAsia="仿宋" w:cs="仿宋"/>
                <w:bCs/>
                <w:iCs/>
                <w:sz w:val="24"/>
                <w:lang w:val="en-US" w:eastAsia="zh-CN"/>
              </w:rPr>
              <w:t>9</w:t>
            </w:r>
            <w:r>
              <w:rPr>
                <w:rFonts w:hint="eastAsia" w:ascii="仿宋" w:hAnsi="仿宋" w:eastAsia="仿宋" w:cs="仿宋"/>
                <w:bCs/>
                <w:iCs/>
                <w:sz w:val="24"/>
              </w:rPr>
              <w:t>：00之前到</w:t>
            </w:r>
            <w:r>
              <w:rPr>
                <w:rFonts w:hint="eastAsia" w:ascii="仿宋" w:hAnsi="仿宋" w:eastAsia="仿宋" w:cs="Arial"/>
                <w:color w:val="000000"/>
                <w:sz w:val="24"/>
                <w:lang w:eastAsia="zh-CN"/>
              </w:rPr>
              <w:t>耀华建设管理有限公司（绍兴市阳明北路</w:t>
            </w:r>
            <w:r>
              <w:rPr>
                <w:rFonts w:hint="eastAsia" w:ascii="仿宋" w:hAnsi="仿宋" w:eastAsia="仿宋" w:cs="Arial"/>
                <w:color w:val="000000"/>
                <w:sz w:val="24"/>
                <w:lang w:val="en-US" w:eastAsia="zh-CN"/>
              </w:rPr>
              <w:t>80号滨江大厦C楼3楼9-10号</w:t>
            </w:r>
            <w:r>
              <w:rPr>
                <w:rFonts w:hint="eastAsia" w:ascii="仿宋" w:hAnsi="仿宋" w:eastAsia="仿宋" w:cs="Arial"/>
                <w:color w:val="000000"/>
                <w:sz w:val="24"/>
                <w:lang w:eastAsia="zh-CN"/>
              </w:rPr>
              <w:t>）会议室</w:t>
            </w:r>
            <w:r>
              <w:rPr>
                <w:rFonts w:hint="eastAsia" w:ascii="仿宋" w:hAnsi="仿宋" w:eastAsia="仿宋" w:cs="仿宋"/>
                <w:bCs/>
                <w:sz w:val="24"/>
              </w:rPr>
              <w:t>进行</w:t>
            </w:r>
            <w:r>
              <w:rPr>
                <w:rFonts w:hint="eastAsia" w:ascii="仿宋" w:hAnsi="仿宋" w:eastAsia="仿宋" w:cs="仿宋"/>
                <w:bCs/>
                <w:iCs/>
                <w:sz w:val="24"/>
              </w:rPr>
              <w:t>现场演示，每个供应商演示时间</w:t>
            </w:r>
            <w:r>
              <w:rPr>
                <w:rFonts w:hint="eastAsia" w:ascii="仿宋" w:hAnsi="仿宋" w:eastAsia="仿宋" w:cs="仿宋"/>
                <w:bCs/>
                <w:iCs/>
                <w:sz w:val="24"/>
                <w:lang w:val="en-US" w:eastAsia="zh-CN"/>
              </w:rPr>
              <w:t>15</w:t>
            </w:r>
            <w:r>
              <w:rPr>
                <w:rFonts w:hint="eastAsia" w:ascii="仿宋" w:hAnsi="仿宋" w:eastAsia="仿宋" w:cs="仿宋"/>
                <w:bCs/>
                <w:iCs/>
                <w:sz w:val="24"/>
              </w:rPr>
              <w:t>分钟</w:t>
            </w:r>
            <w:r>
              <w:rPr>
                <w:rFonts w:hint="eastAsia" w:ascii="仿宋" w:hAnsi="仿宋" w:eastAsia="仿宋" w:cs="仿宋"/>
                <w:bCs/>
                <w:iCs/>
                <w:sz w:val="24"/>
                <w:lang w:eastAsia="zh-CN"/>
              </w:rPr>
              <w:t>（含评委提问）</w:t>
            </w:r>
            <w:r>
              <w:rPr>
                <w:rFonts w:hint="eastAsia" w:ascii="仿宋" w:hAnsi="仿宋" w:eastAsia="仿宋" w:cs="仿宋"/>
                <w:bCs/>
                <w:iCs/>
                <w:sz w:val="24"/>
              </w:rPr>
              <w:t>。未在规定时间到达现场参加演示的供应商相应的评分项则不得分</w:t>
            </w:r>
            <w:r>
              <w:rPr>
                <w:rFonts w:hint="eastAsia" w:ascii="仿宋" w:hAnsi="仿宋" w:eastAsia="仿宋" w:cs="仿宋"/>
                <w:bCs/>
                <w:sz w:val="24"/>
              </w:rPr>
              <w:t>。</w:t>
            </w:r>
            <w:r>
              <w:rPr>
                <w:rFonts w:hint="eastAsia" w:ascii="仿宋" w:hAnsi="仿宋" w:eastAsia="仿宋" w:cs="仿宋"/>
                <w:bCs/>
                <w:sz w:val="24"/>
                <w:lang w:eastAsia="zh-CN"/>
              </w:rPr>
              <w:t>）</w:t>
            </w:r>
          </w:p>
        </w:tc>
        <w:tc>
          <w:tcPr>
            <w:tcW w:w="975" w:type="dxa"/>
            <w:tcBorders>
              <w:left w:val="single" w:color="000000" w:sz="4" w:space="0"/>
              <w:right w:val="single" w:color="000000" w:sz="4" w:space="0"/>
            </w:tcBorders>
            <w:vAlign w:val="center"/>
          </w:tcPr>
          <w:p>
            <w:pPr>
              <w:tabs>
                <w:tab w:val="left" w:pos="360"/>
              </w:tabs>
              <w:adjustRightInd w:val="0"/>
              <w:spacing w:line="360" w:lineRule="auto"/>
              <w:ind w:left="360" w:hanging="360"/>
              <w:jc w:val="center"/>
              <w:rPr>
                <w:rFonts w:hint="default"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lang w:val="en-US" w:eastAsia="zh-CN"/>
                <w14:textFill>
                  <w14:solidFill>
                    <w14:schemeClr w14:val="tx1"/>
                  </w14:solidFill>
                </w14:textFill>
              </w:rPr>
              <w:t>20</w:t>
            </w:r>
          </w:p>
        </w:tc>
      </w:tr>
    </w:tbl>
    <w:p>
      <w:pPr>
        <w:pStyle w:val="22"/>
        <w:snapToGrid w:val="0"/>
        <w:spacing w:line="440" w:lineRule="exact"/>
        <w:rPr>
          <w:rFonts w:ascii="仿宋" w:hAnsi="仿宋" w:eastAsia="仿宋" w:cs="仿宋"/>
          <w:b/>
          <w:color w:val="auto"/>
          <w:sz w:val="24"/>
        </w:rPr>
      </w:pPr>
      <w:r>
        <w:rPr>
          <w:rFonts w:hint="eastAsia" w:ascii="仿宋" w:hAnsi="仿宋" w:eastAsia="仿宋" w:cs="仿宋"/>
          <w:b/>
          <w:color w:val="auto"/>
          <w:sz w:val="24"/>
        </w:rPr>
        <w:t>注：本项目招标文件内对开标现场原件核验不作要求，招标人有权在标后对中标候选人进行原件核验。投标人对所提供的全部资料的真实性承担法律责任，如标后无法提供投标文件中复印件的相应原件的：（1）招标人有权拒绝与中标方签订合同，并追究其缔约过失责任；（2）违法违规的报</w:t>
      </w:r>
      <w:r>
        <w:rPr>
          <w:rFonts w:hint="eastAsia" w:ascii="仿宋" w:hAnsi="仿宋" w:eastAsia="仿宋" w:cs="仿宋"/>
          <w:b/>
          <w:color w:val="auto"/>
          <w:sz w:val="24"/>
          <w:lang w:val="zh-CN"/>
        </w:rPr>
        <w:t>财政</w:t>
      </w:r>
      <w:r>
        <w:rPr>
          <w:rFonts w:hint="eastAsia" w:ascii="仿宋" w:hAnsi="仿宋" w:eastAsia="仿宋" w:cs="仿宋"/>
          <w:b/>
          <w:color w:val="auto"/>
          <w:sz w:val="24"/>
        </w:rPr>
        <w:t>监管部门查处，构成犯罪的依法追究刑事责任</w:t>
      </w:r>
    </w:p>
    <w:p>
      <w:pPr>
        <w:pStyle w:val="22"/>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 减分：投标人的信誉情况：</w:t>
      </w:r>
      <w:r>
        <w:rPr>
          <w:rFonts w:hint="eastAsia" w:ascii="仿宋_GB2312" w:hAnsi="仿宋_GB2312" w:eastAsia="仿宋_GB2312" w:cs="仿宋_GB2312"/>
          <w:kern w:val="0"/>
          <w:sz w:val="24"/>
        </w:rPr>
        <w:t>政府采购领域中</w:t>
      </w:r>
      <w:r>
        <w:rPr>
          <w:rFonts w:hint="eastAsia" w:ascii="仿宋_GB2312" w:hAnsi="仿宋_GB2312" w:eastAsia="仿宋_GB2312" w:cs="仿宋_GB2312"/>
          <w:sz w:val="24"/>
        </w:rPr>
        <w:t>投标人在项目招标、投标和合同履约期间是否存在不良行为记录。</w:t>
      </w:r>
    </w:p>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●投标人参加本次政府采购活动前三年内在浙江省范围内政府采购领域中受到不良行为记录处罚的每次扣1分。</w:t>
      </w:r>
    </w:p>
    <w:p>
      <w:pPr>
        <w:spacing w:line="440" w:lineRule="exact"/>
        <w:rPr>
          <w:rFonts w:ascii="仿宋_GB2312" w:hAnsi="宋体" w:eastAsia="仿宋_GB2312"/>
          <w:b/>
          <w:bCs/>
          <w:iCs/>
          <w:sz w:val="24"/>
        </w:rPr>
      </w:pPr>
      <w:r>
        <w:rPr>
          <w:rFonts w:hint="eastAsia" w:ascii="仿宋_GB2312" w:hAnsi="宋体" w:eastAsia="仿宋_GB2312"/>
          <w:b/>
          <w:bCs/>
          <w:iCs/>
          <w:sz w:val="24"/>
        </w:rPr>
        <w:t>2.2价格分（</w:t>
      </w:r>
      <w:r>
        <w:rPr>
          <w:rFonts w:hint="eastAsia" w:ascii="仿宋_GB2312" w:hAnsi="宋体" w:eastAsia="仿宋_GB2312"/>
          <w:b/>
          <w:bCs/>
          <w:iCs/>
          <w:sz w:val="24"/>
          <w:lang w:val="en-US" w:eastAsia="zh-CN"/>
        </w:rPr>
        <w:t>2</w:t>
      </w:r>
      <w:r>
        <w:rPr>
          <w:rFonts w:hint="eastAsia" w:ascii="仿宋_GB2312" w:hAnsi="宋体" w:eastAsia="仿宋_GB2312"/>
          <w:b/>
          <w:bCs/>
          <w:iCs/>
          <w:sz w:val="24"/>
        </w:rPr>
        <w:t>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即：投标报价得分=(评标基准价／投标报价)×20</w:t>
      </w:r>
    </w:p>
    <w:p>
      <w:pPr>
        <w:snapToGrid w:val="0"/>
        <w:rPr>
          <w:rFonts w:ascii="仿宋_GB2312" w:hAnsi="宋体" w:eastAsia="仿宋_GB2312"/>
          <w:b/>
          <w:sz w:val="24"/>
          <w:u w:val="single"/>
        </w:rPr>
      </w:pPr>
    </w:p>
    <w:bookmarkEnd w:id="7"/>
    <w:bookmarkEnd w:id="8"/>
    <w:bookmarkEnd w:id="9"/>
    <w:bookmarkEnd w:id="10"/>
    <w:p>
      <w:pPr>
        <w:snapToGrid w:val="0"/>
        <w:spacing w:line="360" w:lineRule="auto"/>
        <w:jc w:val="center"/>
        <w:rPr>
          <w:rFonts w:ascii="仿宋_GB2312" w:hAnsi="仿宋_GB2312" w:eastAsia="仿宋_GB2312" w:cs="仿宋_GB2312"/>
          <w:b/>
          <w:sz w:val="36"/>
          <w:szCs w:val="20"/>
        </w:rPr>
      </w:pPr>
    </w:p>
    <w:p>
      <w:pPr>
        <w:snapToGrid w:val="0"/>
        <w:spacing w:line="360" w:lineRule="auto"/>
        <w:jc w:val="center"/>
        <w:rPr>
          <w:rFonts w:ascii="仿宋_GB2312" w:hAnsi="仿宋_GB2312" w:eastAsia="仿宋_GB2312" w:cs="仿宋_GB2312"/>
          <w:b/>
          <w:sz w:val="36"/>
          <w:szCs w:val="20"/>
        </w:rPr>
      </w:pPr>
    </w:p>
    <w:p>
      <w:pPr>
        <w:snapToGrid w:val="0"/>
        <w:spacing w:line="360" w:lineRule="auto"/>
        <w:jc w:val="center"/>
        <w:rPr>
          <w:rFonts w:ascii="仿宋_GB2312" w:hAnsi="仿宋_GB2312" w:eastAsia="仿宋_GB2312" w:cs="仿宋_GB2312"/>
          <w:b/>
          <w:sz w:val="36"/>
          <w:szCs w:val="20"/>
        </w:rPr>
      </w:pPr>
    </w:p>
    <w:p>
      <w:pPr>
        <w:snapToGrid w:val="0"/>
        <w:spacing w:line="360" w:lineRule="auto"/>
        <w:jc w:val="center"/>
        <w:rPr>
          <w:rFonts w:ascii="仿宋_GB2312" w:hAnsi="仿宋_GB2312" w:eastAsia="仿宋_GB2312" w:cs="仿宋_GB2312"/>
          <w:b/>
          <w:sz w:val="36"/>
          <w:szCs w:val="20"/>
        </w:rPr>
      </w:pP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w:t>
      </w:r>
      <w:r>
        <w:rPr>
          <w:rFonts w:hint="eastAsia" w:ascii="仿宋" w:hAnsi="仿宋" w:eastAsia="仿宋" w:cs="仿宋_GB2312"/>
          <w:kern w:val="0"/>
          <w:sz w:val="24"/>
        </w:rPr>
        <w:t>中小企业声明函</w:t>
      </w:r>
      <w:r>
        <w:rPr>
          <w:rFonts w:hint="eastAsia" w:ascii="仿宋_GB2312" w:hAnsi="仿宋_GB2312" w:eastAsia="仿宋_GB2312" w:cs="仿宋_GB2312"/>
          <w:kern w:val="0"/>
          <w:sz w:val="24"/>
        </w:rPr>
        <w:t>………………………………………………（页码）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18"/>
        <w:spacing w:line="800" w:lineRule="atLeast"/>
        <w:ind w:left="0" w:leftChars="0"/>
        <w:rPr>
          <w:rFonts w:ascii="仿宋_GB2312" w:hAnsi="宋体" w:eastAsia="仿宋_GB2312"/>
          <w:b/>
          <w:sz w:val="36"/>
          <w:szCs w:val="36"/>
        </w:rPr>
      </w:pPr>
    </w:p>
    <w:p>
      <w:pPr>
        <w:pStyle w:val="18"/>
        <w:spacing w:line="800" w:lineRule="atLeast"/>
        <w:ind w:left="0" w:leftChars="0"/>
        <w:rPr>
          <w:rFonts w:ascii="仿宋_GB2312" w:hAnsi="宋体" w:eastAsia="仿宋_GB2312"/>
          <w:b/>
          <w:sz w:val="36"/>
          <w:szCs w:val="36"/>
        </w:rPr>
      </w:pPr>
    </w:p>
    <w:p>
      <w:pPr>
        <w:pStyle w:val="18"/>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67"/>
        <w:spacing w:afterLines="0" w:line="440" w:lineRule="exact"/>
        <w:ind w:firstLine="0" w:firstLineChars="0"/>
        <w:rPr>
          <w:rFonts w:ascii="仿宋_GB2312" w:hAnsi="宋体" w:eastAsia="仿宋_GB2312"/>
          <w:szCs w:val="24"/>
        </w:rPr>
      </w:pPr>
    </w:p>
    <w:p>
      <w:pPr>
        <w:pStyle w:val="67"/>
        <w:spacing w:afterLines="0" w:line="440" w:lineRule="exact"/>
        <w:ind w:firstLine="0" w:firstLineChars="0"/>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szCs w:val="24"/>
          <w:u w:val="single"/>
        </w:rPr>
        <w:t>绍兴市生态环境局本级、耀华建设管理有限公司</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color w:val="000000" w:themeColor="text1"/>
          <w:szCs w:val="24"/>
          <w14:textFill>
            <w14:solidFill>
              <w14:schemeClr w14:val="tx1"/>
            </w14:solidFill>
          </w14:textFill>
        </w:rPr>
      </w:pPr>
      <w:r>
        <w:rPr>
          <w:rFonts w:hint="eastAsia" w:ascii="仿宋_GB2312" w:hAnsi="宋体" w:eastAsia="仿宋_GB2312"/>
          <w:color w:val="000000" w:themeColor="text1"/>
          <w:szCs w:val="24"/>
          <w14:textFill>
            <w14:solidFill>
              <w14:schemeClr w14:val="tx1"/>
            </w14:solidFill>
          </w14:textFill>
        </w:rPr>
        <w:t>1.</w:t>
      </w:r>
      <w:r>
        <w:rPr>
          <w:rFonts w:hint="eastAsia" w:ascii="仿宋_GB2312" w:hAnsi="仿宋" w:eastAsia="仿宋_GB2312" w:cs="仿宋_GB2312"/>
          <w:color w:val="000000" w:themeColor="text1"/>
          <w14:textFill>
            <w14:solidFill>
              <w14:schemeClr w14:val="tx1"/>
            </w14:solidFill>
          </w14:textFill>
        </w:rPr>
        <w:t>我方同意在投标人</w:t>
      </w:r>
      <w:r>
        <w:rPr>
          <w:rFonts w:hint="eastAsia" w:ascii="仿宋_GB2312" w:hAnsi="仿宋" w:eastAsia="仿宋_GB2312" w:cs="仿宋_GB2312"/>
          <w:color w:val="000000" w:themeColor="text1"/>
          <w:kern w:val="44"/>
          <w14:textFill>
            <w14:solidFill>
              <w14:schemeClr w14:val="tx1"/>
            </w14:solidFill>
          </w14:textFill>
        </w:rPr>
        <w:t>须知</w:t>
      </w:r>
      <w:r>
        <w:rPr>
          <w:rFonts w:hint="eastAsia" w:ascii="仿宋_GB2312" w:hAnsi="仿宋" w:eastAsia="仿宋_GB2312" w:cs="仿宋_GB2312"/>
          <w:color w:val="000000" w:themeColor="text1"/>
          <w14:textFill>
            <w14:solidFill>
              <w14:schemeClr w14:val="tx1"/>
            </w14:solidFill>
          </w14:textFill>
        </w:rPr>
        <w:t>规定的开标日期起遵守本投标文件中的承诺且在投标有效期满之前均具有约束力</w:t>
      </w:r>
      <w:r>
        <w:rPr>
          <w:rFonts w:hint="eastAsia" w:ascii="仿宋_GB2312" w:hAnsi="宋体" w:eastAsia="仿宋_GB2312"/>
          <w:color w:val="000000" w:themeColor="text1"/>
          <w:szCs w:val="24"/>
          <w14:textFill>
            <w14:solidFill>
              <w14:schemeClr w14:val="tx1"/>
            </w14:solidFill>
          </w14:textFill>
        </w:rPr>
        <w:t>。</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67"/>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67"/>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法定代表人或其授权代表(签字或签章)：</w:t>
      </w:r>
    </w:p>
    <w:p>
      <w:pPr>
        <w:pStyle w:val="67"/>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投标人(电子签章)：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spacing w:val="20"/>
                <w:sz w:val="21"/>
                <w:szCs w:val="21"/>
              </w:rPr>
            </w:pPr>
            <w:r>
              <w:rPr>
                <w:rFonts w:hint="eastAsia" w:ascii="仿宋" w:hAnsi="仿宋" w:eastAsia="仿宋" w:cs="仿宋"/>
                <w:spacing w:val="20"/>
                <w:sz w:val="21"/>
                <w:szCs w:val="21"/>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spacing w:val="20"/>
                <w:sz w:val="21"/>
                <w:szCs w:val="21"/>
              </w:rPr>
            </w:pPr>
            <w:r>
              <w:rPr>
                <w:rFonts w:hint="eastAsia" w:ascii="仿宋" w:hAnsi="仿宋" w:eastAsia="仿宋" w:cs="仿宋"/>
                <w:spacing w:val="20"/>
                <w:sz w:val="21"/>
                <w:szCs w:val="21"/>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spacing w:val="20"/>
                <w:sz w:val="21"/>
                <w:szCs w:val="21"/>
              </w:rPr>
            </w:pPr>
            <w:r>
              <w:rPr>
                <w:rFonts w:hint="eastAsia" w:ascii="仿宋" w:hAnsi="仿宋" w:eastAsia="仿宋" w:cs="仿宋"/>
                <w:spacing w:val="20"/>
                <w:sz w:val="21"/>
                <w:szCs w:val="21"/>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spacing w:val="20"/>
                <w:sz w:val="21"/>
                <w:szCs w:val="21"/>
              </w:rPr>
            </w:pPr>
            <w:r>
              <w:rPr>
                <w:rFonts w:hint="eastAsia" w:ascii="仿宋" w:hAnsi="仿宋" w:eastAsia="仿宋" w:cs="仿宋"/>
                <w:spacing w:val="20"/>
                <w:sz w:val="21"/>
                <w:szCs w:val="21"/>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spacing w:val="20"/>
                <w:sz w:val="21"/>
                <w:szCs w:val="21"/>
              </w:rPr>
            </w:pPr>
            <w:r>
              <w:rPr>
                <w:rFonts w:hint="eastAsia" w:ascii="仿宋" w:hAnsi="仿宋" w:eastAsia="仿宋" w:cs="仿宋"/>
                <w:spacing w:val="20"/>
                <w:sz w:val="21"/>
                <w:szCs w:val="21"/>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spacing w:val="20"/>
                <w:sz w:val="21"/>
                <w:szCs w:val="21"/>
              </w:rPr>
            </w:pPr>
            <w:r>
              <w:rPr>
                <w:rFonts w:hint="eastAsia" w:ascii="仿宋" w:hAnsi="仿宋" w:eastAsia="仿宋" w:cs="仿宋"/>
                <w:spacing w:val="20"/>
                <w:sz w:val="21"/>
                <w:szCs w:val="21"/>
              </w:rPr>
              <w:t>型号和规格</w:t>
            </w:r>
            <w:r>
              <w:rPr>
                <w:rFonts w:hint="eastAsia" w:ascii="仿宋" w:hAnsi="仿宋" w:eastAsia="仿宋" w:cs="仿宋"/>
                <w:b/>
                <w:sz w:val="21"/>
                <w:szCs w:val="21"/>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21"/>
                <w:szCs w:val="21"/>
              </w:rPr>
            </w:pPr>
            <w:r>
              <w:rPr>
                <w:rFonts w:hint="eastAsia" w:ascii="仿宋" w:hAnsi="仿宋" w:eastAsia="仿宋" w:cs="仿宋"/>
                <w:spacing w:val="20"/>
                <w:sz w:val="21"/>
                <w:szCs w:val="21"/>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21"/>
                <w:szCs w:val="21"/>
              </w:rPr>
            </w:pPr>
            <w:r>
              <w:rPr>
                <w:rFonts w:hint="eastAsia" w:ascii="仿宋" w:hAnsi="仿宋" w:eastAsia="仿宋" w:cs="仿宋"/>
                <w:spacing w:val="20"/>
                <w:sz w:val="21"/>
                <w:szCs w:val="21"/>
              </w:rPr>
              <w:t>总价</w:t>
            </w:r>
          </w:p>
        </w:tc>
        <w:tc>
          <w:tcPr>
            <w:tcW w:w="720" w:type="dxa"/>
            <w:vAlign w:val="center"/>
          </w:tcPr>
          <w:p>
            <w:pPr>
              <w:adjustRightInd w:val="0"/>
              <w:snapToGrid w:val="0"/>
              <w:ind w:left="15" w:leftChars="-51" w:right="-107" w:rightChars="-51" w:hanging="122" w:hangingChars="49"/>
              <w:jc w:val="center"/>
              <w:rPr>
                <w:rFonts w:hint="eastAsia" w:ascii="仿宋" w:hAnsi="仿宋" w:eastAsia="仿宋" w:cs="仿宋"/>
                <w:spacing w:val="20"/>
                <w:sz w:val="21"/>
                <w:szCs w:val="21"/>
              </w:rPr>
            </w:pPr>
            <w:r>
              <w:rPr>
                <w:rFonts w:hint="eastAsia" w:ascii="仿宋" w:hAnsi="仿宋" w:eastAsia="仿宋" w:cs="仿宋"/>
                <w:spacing w:val="20"/>
                <w:sz w:val="21"/>
                <w:szCs w:val="21"/>
              </w:rPr>
              <w:t>交货期</w:t>
            </w:r>
          </w:p>
        </w:tc>
        <w:tc>
          <w:tcPr>
            <w:tcW w:w="1078" w:type="dxa"/>
            <w:vAlign w:val="center"/>
          </w:tcPr>
          <w:p>
            <w:pPr>
              <w:tabs>
                <w:tab w:val="left" w:pos="1224"/>
              </w:tabs>
              <w:adjustRightInd w:val="0"/>
              <w:snapToGrid w:val="0"/>
              <w:ind w:right="-107" w:rightChars="-51"/>
              <w:rPr>
                <w:rFonts w:hint="eastAsia" w:ascii="仿宋" w:hAnsi="仿宋" w:eastAsia="仿宋" w:cs="仿宋"/>
                <w:spacing w:val="20"/>
                <w:sz w:val="21"/>
                <w:szCs w:val="21"/>
              </w:rPr>
            </w:pPr>
            <w:r>
              <w:rPr>
                <w:rFonts w:hint="eastAsia" w:ascii="仿宋" w:hAnsi="仿宋" w:eastAsia="仿宋" w:cs="仿宋"/>
                <w:spacing w:val="20"/>
                <w:sz w:val="21"/>
                <w:szCs w:val="21"/>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21"/>
                <w:szCs w:val="21"/>
              </w:rPr>
            </w:pPr>
            <w:r>
              <w:rPr>
                <w:rFonts w:hint="eastAsia" w:ascii="仿宋" w:hAnsi="仿宋" w:eastAsia="仿宋" w:cs="仿宋"/>
                <w:spacing w:val="20"/>
                <w:sz w:val="21"/>
                <w:szCs w:val="21"/>
              </w:rPr>
              <w:t>1</w:t>
            </w:r>
          </w:p>
        </w:tc>
        <w:tc>
          <w:tcPr>
            <w:tcW w:w="108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261"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900"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720"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440"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54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540"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720"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078" w:type="dxa"/>
          </w:tcPr>
          <w:p>
            <w:pPr>
              <w:adjustRightInd w:val="0"/>
              <w:snapToGrid w:val="0"/>
              <w:ind w:right="172" w:rightChars="82" w:firstLine="505" w:firstLineChars="202"/>
              <w:rPr>
                <w:rFonts w:hint="eastAsia" w:ascii="仿宋" w:hAnsi="仿宋" w:eastAsia="仿宋" w:cs="仿宋"/>
                <w:spacing w:val="20"/>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21"/>
                <w:szCs w:val="21"/>
              </w:rPr>
            </w:pPr>
            <w:r>
              <w:rPr>
                <w:rFonts w:hint="eastAsia" w:ascii="仿宋" w:hAnsi="仿宋" w:eastAsia="仿宋" w:cs="仿宋"/>
                <w:spacing w:val="20"/>
                <w:sz w:val="21"/>
                <w:szCs w:val="21"/>
              </w:rPr>
              <w:t>2</w:t>
            </w:r>
          </w:p>
        </w:tc>
        <w:tc>
          <w:tcPr>
            <w:tcW w:w="108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261"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900"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72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440"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54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540"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720"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078" w:type="dxa"/>
          </w:tcPr>
          <w:p>
            <w:pPr>
              <w:adjustRightInd w:val="0"/>
              <w:snapToGrid w:val="0"/>
              <w:ind w:right="172" w:rightChars="82" w:firstLine="505" w:firstLineChars="202"/>
              <w:rPr>
                <w:rFonts w:hint="eastAsia" w:ascii="仿宋" w:hAnsi="仿宋" w:eastAsia="仿宋" w:cs="仿宋"/>
                <w:spacing w:val="20"/>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21"/>
                <w:szCs w:val="21"/>
              </w:rPr>
            </w:pPr>
            <w:r>
              <w:rPr>
                <w:rFonts w:hint="eastAsia" w:ascii="仿宋" w:hAnsi="仿宋" w:eastAsia="仿宋" w:cs="仿宋"/>
                <w:spacing w:val="20"/>
                <w:sz w:val="21"/>
                <w:szCs w:val="21"/>
              </w:rPr>
              <w:t>3</w:t>
            </w:r>
          </w:p>
        </w:tc>
        <w:tc>
          <w:tcPr>
            <w:tcW w:w="108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261"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900"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72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440"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54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540"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720"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078" w:type="dxa"/>
          </w:tcPr>
          <w:p>
            <w:pPr>
              <w:adjustRightInd w:val="0"/>
              <w:snapToGrid w:val="0"/>
              <w:ind w:right="172" w:rightChars="82" w:firstLine="505" w:firstLineChars="202"/>
              <w:rPr>
                <w:rFonts w:hint="eastAsia" w:ascii="仿宋" w:hAnsi="仿宋" w:eastAsia="仿宋" w:cs="仿宋"/>
                <w:spacing w:val="20"/>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21"/>
                <w:szCs w:val="21"/>
              </w:rPr>
            </w:pPr>
            <w:r>
              <w:rPr>
                <w:rFonts w:hint="eastAsia" w:ascii="仿宋" w:hAnsi="仿宋" w:eastAsia="仿宋" w:cs="仿宋"/>
                <w:spacing w:val="20"/>
                <w:sz w:val="21"/>
                <w:szCs w:val="21"/>
              </w:rPr>
              <w:t>4</w:t>
            </w:r>
          </w:p>
        </w:tc>
        <w:tc>
          <w:tcPr>
            <w:tcW w:w="108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261"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900"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72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440"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54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540"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720"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078" w:type="dxa"/>
          </w:tcPr>
          <w:p>
            <w:pPr>
              <w:adjustRightInd w:val="0"/>
              <w:snapToGrid w:val="0"/>
              <w:ind w:right="172" w:rightChars="82" w:firstLine="505" w:firstLineChars="202"/>
              <w:rPr>
                <w:rFonts w:hint="eastAsia" w:ascii="仿宋" w:hAnsi="仿宋" w:eastAsia="仿宋" w:cs="仿宋"/>
                <w:spacing w:val="20"/>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505" w:firstLineChars="202"/>
              <w:jc w:val="center"/>
              <w:rPr>
                <w:rFonts w:hint="eastAsia" w:ascii="仿宋" w:hAnsi="仿宋" w:eastAsia="仿宋" w:cs="仿宋"/>
                <w:spacing w:val="20"/>
                <w:sz w:val="21"/>
                <w:szCs w:val="21"/>
              </w:rPr>
            </w:pPr>
            <w:r>
              <w:rPr>
                <w:rFonts w:hint="eastAsia" w:ascii="仿宋" w:hAnsi="仿宋" w:eastAsia="仿宋" w:cs="仿宋"/>
                <w:spacing w:val="20"/>
                <w:sz w:val="21"/>
                <w:szCs w:val="21"/>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spacing w:val="20"/>
                <w:sz w:val="21"/>
                <w:szCs w:val="21"/>
              </w:rPr>
            </w:pPr>
            <w:r>
              <w:rPr>
                <w:rFonts w:hint="eastAsia" w:ascii="仿宋" w:hAnsi="仿宋" w:eastAsia="仿宋" w:cs="仿宋"/>
                <w:spacing w:val="20"/>
                <w:sz w:val="21"/>
                <w:szCs w:val="21"/>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505" w:firstLineChars="202"/>
              <w:jc w:val="center"/>
              <w:rPr>
                <w:rFonts w:hint="eastAsia" w:ascii="仿宋" w:hAnsi="仿宋" w:eastAsia="仿宋" w:cs="仿宋"/>
                <w:spacing w:val="20"/>
                <w:sz w:val="21"/>
                <w:szCs w:val="21"/>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spacing w:val="20"/>
                <w:sz w:val="21"/>
                <w:szCs w:val="21"/>
              </w:rPr>
            </w:pPr>
            <w:r>
              <w:rPr>
                <w:rFonts w:hint="eastAsia" w:ascii="仿宋" w:hAnsi="仿宋" w:eastAsia="仿宋" w:cs="仿宋"/>
                <w:spacing w:val="20"/>
                <w:sz w:val="21"/>
                <w:szCs w:val="21"/>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kern w:val="0"/>
          <w:sz w:val="24"/>
          <w:lang w:val="zh-CN"/>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snapToGrid w:val="0"/>
        <w:ind w:firstLine="482" w:firstLineChars="200"/>
        <w:jc w:val="left"/>
        <w:rPr>
          <w:rFonts w:ascii="仿宋_GB2312" w:hAnsi="宋体" w:eastAsia="仿宋_GB2312"/>
          <w:b/>
          <w:kern w:val="0"/>
          <w:sz w:val="24"/>
          <w:lang w:val="zh-CN"/>
        </w:rPr>
      </w:pPr>
      <w:r>
        <w:rPr>
          <w:rFonts w:hint="eastAsia" w:ascii="仿宋_GB2312" w:hAnsi="宋体" w:eastAsia="仿宋_GB2312"/>
          <w:b/>
          <w:kern w:val="0"/>
          <w:sz w:val="24"/>
          <w:lang w:val="zh-CN"/>
        </w:rPr>
        <w:t>6.特别提示：采购机构将对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投标人（电子签章）：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rPr>
          <w:rFonts w:ascii="仿宋_GB2312" w:hAnsi="仿宋_GB2312" w:eastAsia="仿宋_GB2312" w:cs="仿宋_GB2312"/>
          <w:b/>
          <w:sz w:val="32"/>
          <w:szCs w:val="32"/>
        </w:rPr>
      </w:pPr>
      <w:r>
        <w:rPr>
          <w:rFonts w:hint="eastAsia" w:ascii="仿宋_GB2312" w:eastAsia="仿宋_GB2312"/>
          <w:b/>
          <w:sz w:val="32"/>
          <w:szCs w:val="32"/>
        </w:rPr>
        <w:t>3、中小企业声明函</w:t>
      </w:r>
      <w:r>
        <w:rPr>
          <w:rFonts w:hint="eastAsia" w:ascii="仿宋_GB2312" w:eastAsia="仿宋_GB2312"/>
          <w:b/>
          <w:color w:val="auto"/>
          <w:sz w:val="32"/>
          <w:szCs w:val="32"/>
        </w:rPr>
        <w:t>（二选一）</w:t>
      </w: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绍兴市生态环境局本级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lang w:val="en-US" w:eastAsia="zh-CN"/>
        </w:rPr>
        <w:t xml:space="preserve">     </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绍兴市生态环境局本级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lang w:val="en-US" w:eastAsia="zh-CN"/>
        </w:rPr>
        <w:t xml:space="preserve">      </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1、投标人提供的中小企业声明函与实际情况不符的，视为投标人提供虚假材料投标，投标无效。</w:t>
      </w:r>
    </w:p>
    <w:p>
      <w:pPr>
        <w:rPr>
          <w:rFonts w:ascii="仿宋_GB2312" w:hAnsi="仿宋_GB2312" w:eastAsia="仿宋_GB2312" w:cs="仿宋_GB2312"/>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2、根据《政府采购促进中小企业发展管理办法》的通知（财库〔2020〕46号）规定，</w:t>
      </w:r>
      <w:r>
        <w:rPr>
          <w:rFonts w:hint="eastAsia" w:ascii="仿宋_GB2312" w:hAnsi="仿宋_GB2312" w:eastAsia="仿宋_GB2312" w:cs="仿宋_GB2312"/>
          <w:color w:val="000000" w:themeColor="text1"/>
          <w:sz w:val="24"/>
          <w14:textFill>
            <w14:solidFill>
              <w14:schemeClr w14:val="tx1"/>
            </w14:solidFill>
          </w14:textFill>
        </w:rPr>
        <w:t>中标、成交供应商享受中小企业扶持政策的，采购代理机构将随中标、成交结果公开中标、成交供应商的《中小企业声明函》。</w:t>
      </w:r>
    </w:p>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ind w:firstLine="480" w:firstLineChars="200"/>
        <w:rPr>
          <w:rFonts w:ascii="仿宋_GB2312" w:hAnsi="仿宋_GB2312" w:eastAsia="仿宋_GB2312" w:cs="仿宋_GB2312"/>
          <w:color w:val="000000" w:themeColor="text1"/>
          <w:sz w:val="24"/>
          <w14:textFill>
            <w14:solidFill>
              <w14:schemeClr w14:val="tx1"/>
            </w14:solidFill>
          </w14:textFill>
        </w:rPr>
      </w:pPr>
    </w:p>
    <w:p>
      <w:pPr>
        <w:ind w:firstLine="420" w:firstLineChars="200"/>
        <w:rPr>
          <w:rFonts w:ascii="仿宋_GB2312" w:eastAsia="仿宋_GB2312"/>
          <w:color w:val="000000" w:themeColor="text1"/>
          <w14:textFill>
            <w14:solidFill>
              <w14:schemeClr w14:val="tx1"/>
            </w14:solidFill>
          </w14:textFill>
        </w:rPr>
      </w:pPr>
    </w:p>
    <w:p>
      <w:pPr>
        <w:spacing w:line="588" w:lineRule="exact"/>
        <w:rPr>
          <w:rFonts w:ascii="仿宋_GB2312" w:hAnsi="仿宋_GB2312" w:eastAsia="仿宋_GB2312" w:cs="仿宋_GB2312"/>
          <w:sz w:val="24"/>
        </w:rPr>
      </w:pPr>
    </w:p>
    <w:p>
      <w:pPr>
        <w:pageBreakBefore/>
        <w:spacing w:line="588" w:lineRule="exact"/>
        <w:rPr>
          <w:rFonts w:ascii="仿宋_GB2312" w:eastAsia="仿宋_GB2312"/>
          <w:b/>
          <w:spacing w:val="6"/>
          <w:sz w:val="32"/>
          <w:szCs w:val="32"/>
        </w:rPr>
      </w:pPr>
      <w:r>
        <w:rPr>
          <w:rFonts w:hint="eastAsia" w:ascii="仿宋_GB2312" w:eastAsia="仿宋_GB2312"/>
          <w:b/>
          <w:spacing w:val="6"/>
          <w:sz w:val="32"/>
          <w:szCs w:val="32"/>
        </w:rPr>
        <w:t>4、残疾人福利性单位声明函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sz w:val="24"/>
          <w:u w:val="single"/>
        </w:rPr>
        <w:t>绍兴市生态环境局本级</w:t>
      </w:r>
      <w:r>
        <w:rPr>
          <w:rFonts w:hint="eastAsia" w:ascii="仿宋_GB2312" w:hAnsi="仿宋_GB2312" w:eastAsia="仿宋_GB2312" w:cs="仿宋_GB2312"/>
          <w:sz w:val="24"/>
        </w:rPr>
        <w:t>的</w:t>
      </w:r>
      <w:r>
        <w:rPr>
          <w:rFonts w:hint="eastAsia" w:ascii="仿宋_GB2312" w:hAnsi="仿宋_GB2312" w:eastAsia="仿宋_GB2312" w:cs="仿宋_GB2312"/>
          <w:sz w:val="24"/>
          <w:u w:val="single"/>
          <w:lang w:val="en-US" w:eastAsia="zh-CN"/>
        </w:rPr>
        <w:t xml:space="preserve">                    </w:t>
      </w:r>
      <w:r>
        <w:rPr>
          <w:rFonts w:hint="eastAsia" w:ascii="仿宋_GB2312" w:hAnsi="仿宋_GB2312" w:eastAsia="仿宋_GB2312" w:cs="仿宋_GB2312"/>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eastAsia="仿宋_GB2312"/>
        </w:rPr>
      </w:pPr>
    </w:p>
    <w:p>
      <w:pPr>
        <w:tabs>
          <w:tab w:val="left" w:pos="4860"/>
        </w:tabs>
        <w:spacing w:line="588" w:lineRule="exact"/>
        <w:ind w:right="1560" w:firstLine="480" w:firstLineChars="200"/>
        <w:jc w:val="center"/>
        <w:rPr>
          <w:rFonts w:ascii="仿宋_GB2312" w:hAnsi="仿宋_GB2312" w:eastAsia="仿宋_GB2312" w:cs="仿宋_GB2312"/>
          <w:sz w:val="24"/>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800" w:lineRule="exact"/>
        <w:rPr>
          <w:rFonts w:ascii="仿宋_GB2312" w:hAnsi="宋体" w:eastAsia="仿宋_GB2312"/>
          <w:b/>
          <w:sz w:val="24"/>
        </w:rPr>
      </w:pPr>
    </w:p>
    <w:p>
      <w:pPr>
        <w:pageBreakBefore/>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商务技术（资信）文件部分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pPr>
        <w:pStyle w:val="190"/>
        <w:spacing w:line="360" w:lineRule="auto"/>
        <w:ind w:left="0" w:firstLine="0" w:firstLineChars="0"/>
        <w:rPr>
          <w:rFonts w:hAnsi="仿宋_GB2312" w:cs="仿宋_GB2312"/>
        </w:rPr>
      </w:pPr>
      <w:r>
        <w:rPr>
          <w:rFonts w:hint="eastAsia" w:hAnsi="仿宋_GB2312" w:cs="仿宋_GB2312"/>
        </w:rPr>
        <w:t>（1）法定代表人授权书 …………………………………………………………（页码）</w:t>
      </w:r>
    </w:p>
    <w:p>
      <w:pPr>
        <w:pStyle w:val="190"/>
        <w:spacing w:line="360" w:lineRule="auto"/>
        <w:ind w:left="0" w:firstLine="0" w:firstLineChars="0"/>
        <w:rPr>
          <w:rFonts w:hAnsi="仿宋_GB2312" w:cs="仿宋_GB2312"/>
        </w:rPr>
      </w:pPr>
      <w:r>
        <w:rPr>
          <w:rFonts w:hint="eastAsia" w:hAnsi="仿宋_GB2312" w:cs="仿宋_GB2312"/>
        </w:rPr>
        <w:t>（2）授权代表社保证明（复印件）………………………………………………（页码）</w:t>
      </w:r>
    </w:p>
    <w:p>
      <w:pPr>
        <w:pStyle w:val="190"/>
        <w:spacing w:line="360" w:lineRule="auto"/>
        <w:ind w:left="0" w:firstLine="0" w:firstLineChars="0"/>
        <w:rPr>
          <w:rFonts w:hAnsi="仿宋_GB2312" w:cs="仿宋_GB2312"/>
        </w:rPr>
      </w:pPr>
      <w:r>
        <w:rPr>
          <w:rFonts w:hint="eastAsia" w:hAnsi="仿宋_GB2312" w:cs="仿宋_GB2312"/>
        </w:rPr>
        <w:t>（3）法定代表人及其授权代表的身份证（复印件）……………………………（页码）（4）法定代表人身份证明书………………………………………………………（页码）</w:t>
      </w:r>
    </w:p>
    <w:p>
      <w:pPr>
        <w:spacing w:line="360" w:lineRule="auto"/>
        <w:outlineLvl w:val="0"/>
        <w:rPr>
          <w:rFonts w:ascii="仿宋_GB2312" w:hAnsi="仿宋_GB2312" w:eastAsia="仿宋_GB2312" w:cs="仿宋_GB2312"/>
          <w:sz w:val="24"/>
        </w:rPr>
      </w:pPr>
      <w:r>
        <w:rPr>
          <w:rFonts w:hint="eastAsia" w:ascii="仿宋_GB2312" w:hAnsi="仿宋_GB2312" w:eastAsia="仿宋_GB2312" w:cs="仿宋_GB2312"/>
          <w:sz w:val="24"/>
        </w:rPr>
        <w:t>（5）营业执照(或事业法人登记证或其他登记证明材料)复印件</w:t>
      </w:r>
      <w:r>
        <w:rPr>
          <w:rFonts w:hint="eastAsia" w:hAnsi="仿宋_GB2312" w:cs="仿宋_GB2312"/>
        </w:rPr>
        <w:t>…………………</w:t>
      </w:r>
      <w:r>
        <w:rPr>
          <w:rFonts w:hint="eastAsia" w:ascii="仿宋_GB2312" w:hAnsi="仿宋_GB2312" w:eastAsia="仿宋_GB2312" w:cs="仿宋_GB2312"/>
          <w:kern w:val="0"/>
          <w:sz w:val="24"/>
        </w:rPr>
        <w:t>（页码）</w:t>
      </w:r>
    </w:p>
    <w:p>
      <w:pPr>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（6）2019年度资产负债表等财务报表资料文件(新成立的公司，提供情况说明)</w:t>
      </w:r>
      <w:r>
        <w:rPr>
          <w:rFonts w:hint="eastAsia" w:ascii="仿宋_GB2312" w:hAnsi="仿宋_GB2312" w:eastAsia="仿宋_GB2312" w:cs="仿宋_GB2312"/>
          <w:kern w:val="0"/>
          <w:sz w:val="24"/>
        </w:rPr>
        <w:t>…页码）</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rPr>
        <w:t>（7）具有履</w:t>
      </w:r>
      <w:r>
        <w:rPr>
          <w:rFonts w:hint="eastAsia" w:ascii="仿宋_GB2312" w:hAnsi="仿宋_GB2312" w:eastAsia="仿宋_GB2312" w:cs="仿宋_GB2312"/>
          <w:kern w:val="0"/>
          <w:sz w:val="24"/>
        </w:rPr>
        <w:t>行合同所必需的设备和专业技术能力的承诺函……………………（页码）</w:t>
      </w:r>
    </w:p>
    <w:p>
      <w:pPr>
        <w:pStyle w:val="190"/>
        <w:spacing w:line="360" w:lineRule="auto"/>
        <w:ind w:firstLine="0" w:firstLineChars="0"/>
        <w:rPr>
          <w:rFonts w:hAnsi="仿宋_GB2312" w:cs="仿宋_GB2312"/>
        </w:rPr>
      </w:pPr>
      <w:r>
        <w:rPr>
          <w:rFonts w:hint="eastAsia" w:hAnsi="仿宋_GB2312" w:cs="仿宋_GB2312"/>
        </w:rPr>
        <w:t>（8）重大违法记录的声明</w:t>
      </w:r>
      <w:r>
        <w:rPr>
          <w:rFonts w:hint="eastAsia" w:hAnsi="仿宋_GB2312" w:cs="仿宋_GB2312"/>
          <w:kern w:val="0"/>
        </w:rPr>
        <w:t xml:space="preserve"> …</w:t>
      </w:r>
      <w:r>
        <w:rPr>
          <w:rFonts w:hint="eastAsia" w:hAnsi="仿宋_GB2312" w:cs="仿宋_GB2312"/>
        </w:rPr>
        <w:t>……………………………………………………</w:t>
      </w:r>
      <w:r>
        <w:rPr>
          <w:rFonts w:hint="eastAsia" w:hAnsi="仿宋_GB2312" w:cs="仿宋_GB2312"/>
          <w:kern w:val="0"/>
        </w:rPr>
        <w:t>（页码）</w:t>
      </w:r>
      <w:r>
        <w:rPr>
          <w:rFonts w:hint="eastAsia" w:hAnsi="仿宋_GB2312" w:cs="仿宋_GB2312"/>
        </w:rPr>
        <w:t>（9）符合特定资格条件（如果项目要求）的有关证明材料（复印件）………（页码）</w:t>
      </w:r>
    </w:p>
    <w:p>
      <w:pPr>
        <w:pStyle w:val="190"/>
        <w:spacing w:line="360" w:lineRule="auto"/>
        <w:ind w:left="0" w:firstLine="0" w:firstLineChars="0"/>
        <w:rPr>
          <w:rFonts w:hAnsi="仿宋_GB2312" w:cs="仿宋_GB2312"/>
        </w:rPr>
      </w:pPr>
      <w:r>
        <w:rPr>
          <w:rFonts w:hint="eastAsia" w:hAnsi="仿宋_GB2312" w:cs="仿宋_GB2312"/>
        </w:rPr>
        <w:t>（10）</w:t>
      </w:r>
      <w:r>
        <w:rPr>
          <w:rFonts w:hint="eastAsia" w:hAnsi="仿宋_GB2312" w:cs="仿宋_GB2312"/>
          <w:snapToGrid w:val="0"/>
        </w:rPr>
        <w:t>非本地投标人售后服务机构证明材料</w:t>
      </w:r>
      <w:r>
        <w:rPr>
          <w:rFonts w:hint="eastAsia" w:hAnsi="仿宋_GB2312" w:cs="仿宋_GB2312"/>
        </w:rPr>
        <w:t>……………………………………（页码）</w:t>
      </w:r>
    </w:p>
    <w:p>
      <w:pPr>
        <w:pStyle w:val="190"/>
        <w:spacing w:line="360" w:lineRule="auto"/>
        <w:ind w:left="0" w:firstLine="0" w:firstLineChars="0"/>
        <w:rPr>
          <w:rFonts w:hAnsi="仿宋_GB2312" w:cs="仿宋_GB2312"/>
        </w:rPr>
      </w:pPr>
      <w:r>
        <w:rPr>
          <w:rFonts w:hint="eastAsia" w:hAnsi="仿宋_GB2312" w:cs="仿宋_GB2312"/>
        </w:rPr>
        <w:t>（11）所有与符合性审查有关的资信文件（复印件） ………………………（页码）</w:t>
      </w:r>
    </w:p>
    <w:p>
      <w:pPr>
        <w:pStyle w:val="190"/>
        <w:spacing w:line="360" w:lineRule="auto"/>
        <w:ind w:left="0" w:firstLine="0" w:firstLineChars="0"/>
        <w:rPr>
          <w:rFonts w:hAnsi="仿宋_GB2312" w:cs="仿宋_GB2312"/>
        </w:rPr>
      </w:pPr>
      <w:r>
        <w:rPr>
          <w:rFonts w:hint="eastAsia" w:hAnsi="仿宋_GB2312" w:cs="仿宋_GB2312"/>
        </w:rPr>
        <w:t>（12）</w:t>
      </w:r>
      <w:r>
        <w:rPr>
          <w:rFonts w:hint="eastAsia" w:hAnsi="仿宋_GB2312" w:cs="仿宋_GB2312"/>
          <w:lang w:val="zh-CN"/>
        </w:rPr>
        <w:t>主要业绩证明… ………………………………………………</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0"/>
        <w:spacing w:line="360" w:lineRule="auto"/>
        <w:ind w:left="0" w:firstLine="0" w:firstLineChars="0"/>
        <w:rPr>
          <w:rFonts w:hAnsi="仿宋_GB2312" w:cs="仿宋_GB2312"/>
        </w:rPr>
      </w:pPr>
      <w:r>
        <w:rPr>
          <w:rFonts w:hint="eastAsia" w:hAnsi="仿宋_GB2312" w:cs="仿宋_GB2312"/>
        </w:rPr>
        <w:t>（13）廉政承诺书 …………………………………………………………………（页码）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（14）技术解决方案…………………………………………………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（15）技术偏离说明表………………………………………………</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（16）组织实施方案……………………………………………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（17）售后服务方案……………………………………………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（18）项目小组人员名单………………………………………</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（19）</w:t>
      </w:r>
      <w:r>
        <w:rPr>
          <w:rFonts w:hint="eastAsia" w:ascii="仿宋_GB2312" w:hAnsi="仿宋_GB2312" w:eastAsia="仿宋_GB2312" w:cs="仿宋_GB2312"/>
          <w:kern w:val="0"/>
          <w:sz w:val="24"/>
          <w:lang w:val="zh-CN"/>
        </w:rPr>
        <w:t>优惠条件及特殊承诺……………………………………</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（20）</w:t>
      </w:r>
      <w:r>
        <w:rPr>
          <w:rFonts w:hint="eastAsia" w:ascii="仿宋_GB2312" w:hAnsi="仿宋_GB2312" w:eastAsia="仿宋_GB2312" w:cs="仿宋_GB2312"/>
          <w:kern w:val="0"/>
          <w:sz w:val="24"/>
          <w:lang w:val="zh-CN"/>
        </w:rPr>
        <w:t>备品备件及供选择的配套零部件清单………………………</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（21）</w:t>
      </w:r>
      <w:r>
        <w:rPr>
          <w:rFonts w:hint="eastAsia" w:ascii="仿宋_GB2312" w:hAnsi="仿宋_GB2312" w:eastAsia="仿宋_GB2312" w:cs="仿宋_GB2312"/>
          <w:kern w:val="0"/>
          <w:sz w:val="24"/>
          <w:lang w:val="zh-CN"/>
        </w:rPr>
        <w:t>培训计划………………………………………………………</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（22）</w:t>
      </w:r>
      <w:r>
        <w:rPr>
          <w:rFonts w:hint="eastAsia" w:ascii="仿宋_GB2312" w:hAnsi="仿宋_GB2312" w:eastAsia="仿宋_GB2312" w:cs="仿宋_GB2312"/>
          <w:kern w:val="0"/>
          <w:sz w:val="24"/>
          <w:lang w:val="zh-CN"/>
        </w:rPr>
        <w:t>验收方案…………………………………………………………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（23）</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注：以上目录是基本格式要求，各投标人可根据自身情况进一步细化。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绍兴市生态环境局本级、耀华建设管理有限公司</w:t>
      </w:r>
      <w:r>
        <w:rPr>
          <w:rFonts w:hint="eastAsia" w:ascii="仿宋_GB2312" w:hAnsi="宋体" w:eastAsia="仿宋_GB2312"/>
          <w:sz w:val="24"/>
        </w:rPr>
        <w:t>组织的</w:t>
      </w:r>
      <w:r>
        <w:rPr>
          <w:rFonts w:hint="eastAsia" w:ascii="仿宋_GB2312" w:hAnsi="宋体" w:eastAsia="仿宋_GB2312"/>
          <w:sz w:val="24"/>
          <w:u w:val="single"/>
        </w:rPr>
        <w:t xml:space="preserve">  </w:t>
      </w:r>
      <w:r>
        <w:rPr>
          <w:rFonts w:hint="eastAsia" w:ascii="仿宋_GB2312" w:hAnsi="宋体" w:eastAsia="仿宋_GB2312"/>
          <w:sz w:val="24"/>
          <w:u w:val="single"/>
          <w:lang w:val="en-US" w:eastAsia="zh-CN"/>
        </w:rPr>
        <w:t xml:space="preserve">   </w:t>
      </w:r>
      <w:bookmarkStart w:id="33" w:name="_GoBack"/>
      <w:bookmarkEnd w:id="33"/>
      <w:r>
        <w:rPr>
          <w:rFonts w:hint="eastAsia" w:ascii="仿宋_GB2312" w:hAnsi="宋体" w:eastAsia="仿宋_GB2312"/>
          <w:sz w:val="24"/>
          <w:u w:val="single"/>
        </w:rPr>
        <w:t>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投标人（电子签章）：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（电子签章）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年月日</w:t>
      </w:r>
    </w:p>
    <w:p>
      <w:pPr>
        <w:spacing w:line="360" w:lineRule="auto"/>
        <w:jc w:val="center"/>
        <w:rPr>
          <w:rFonts w:ascii="仿宋_GB2312" w:hAnsi="宋体" w:eastAsia="仿宋_GB2312"/>
          <w:b/>
          <w:sz w:val="30"/>
          <w:szCs w:val="30"/>
        </w:rPr>
      </w:pPr>
    </w:p>
    <w:p>
      <w:pPr>
        <w:pageBreakBefore/>
        <w:spacing w:line="360" w:lineRule="auto"/>
        <w:rPr>
          <w:rFonts w:ascii="仿宋_GB2312" w:hAnsi="仿宋_GB2312" w:eastAsia="仿宋_GB2312" w:cs="仿宋_GB2312"/>
          <w:b/>
          <w:sz w:val="30"/>
          <w:szCs w:val="30"/>
        </w:rPr>
      </w:pPr>
      <w:r>
        <w:rPr>
          <w:rFonts w:hint="eastAsia" w:ascii="仿宋_GB2312" w:hAnsi="宋体" w:eastAsia="仿宋_GB2312"/>
          <w:b/>
          <w:sz w:val="30"/>
          <w:szCs w:val="30"/>
        </w:rPr>
        <w:t>5</w:t>
      </w:r>
      <w:r>
        <w:rPr>
          <w:rFonts w:hint="eastAsia" w:ascii="仿宋_GB2312" w:hAnsi="仿宋_GB2312" w:eastAsia="仿宋_GB2312" w:cs="仿宋_GB2312"/>
          <w:b/>
          <w:kern w:val="0"/>
          <w:sz w:val="30"/>
          <w:szCs w:val="30"/>
          <w:lang w:val="zh-CN"/>
        </w:rPr>
        <w:t>、</w:t>
      </w:r>
      <w:r>
        <w:rPr>
          <w:rFonts w:hint="eastAsia" w:ascii="仿宋_GB2312" w:hAnsi="仿宋_GB2312" w:eastAsia="仿宋_GB2312" w:cs="仿宋_GB2312"/>
          <w:b/>
          <w:sz w:val="30"/>
          <w:szCs w:val="30"/>
        </w:rPr>
        <w:t>营业执照（或事业法人登记证或其他登记证明材料）（复印件）</w:t>
      </w:r>
    </w:p>
    <w:p>
      <w:pPr>
        <w:spacing w:line="360" w:lineRule="auto"/>
        <w:jc w:val="center"/>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6、财务报表资料文件（2019年度资产负债表等财务报表资料文件(新成立的公司，提供情况说明，格式自拟)）</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napToGrid w:val="0"/>
        <w:spacing w:line="360" w:lineRule="auto"/>
        <w:ind w:right="480"/>
        <w:jc w:val="center"/>
        <w:rPr>
          <w:rFonts w:ascii="仿宋_GB2312" w:hAnsi="仿宋_GB2312" w:eastAsia="仿宋_GB2312" w:cs="仿宋_GB2312"/>
          <w:b/>
          <w:kern w:val="0"/>
          <w:sz w:val="32"/>
          <w:szCs w:val="32"/>
          <w:lang w:val="zh-CN"/>
        </w:rPr>
      </w:pPr>
    </w:p>
    <w:p>
      <w:pPr>
        <w:snapToGrid w:val="0"/>
        <w:spacing w:line="360" w:lineRule="auto"/>
        <w:ind w:right="480"/>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7、具有履行合同所必需的设备和专业技术能力的承诺函</w:t>
      </w:r>
    </w:p>
    <w:p>
      <w:pPr>
        <w:snapToGrid w:val="0"/>
        <w:spacing w:line="360" w:lineRule="auto"/>
        <w:rPr>
          <w:rFonts w:ascii="仿宋" w:hAnsi="仿宋" w:eastAsia="仿宋" w:cs="仿宋_GB2312"/>
          <w:sz w:val="24"/>
        </w:rPr>
      </w:pPr>
      <w:r>
        <w:rPr>
          <w:rFonts w:hint="eastAsia" w:ascii="仿宋_GB2312" w:hAnsi="仿宋_GB2312" w:eastAsia="仿宋_GB2312" w:cs="仿宋_GB2312"/>
          <w:sz w:val="24"/>
        </w:rPr>
        <w:t>绍兴市生态环境局本级、耀华建设管理有限公司</w:t>
      </w:r>
      <w:r>
        <w:rPr>
          <w:rFonts w:hint="eastAsia" w:ascii="仿宋_GB2312" w:hAnsi="仿宋_GB2312" w:eastAsia="仿宋_GB2312" w:cs="仿宋_GB2312"/>
          <w:kern w:val="0"/>
          <w:sz w:val="24"/>
          <w:lang w:val="zh-CN"/>
        </w:rPr>
        <w:t>：</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我方郑重承诺，我方具有履行绍兴市生态环境局本级环保设施电子监控系统建设项目（招标编号:   ）合同所必需的设备和专业技术能力。如中标，我方将保证合同顺利履行。</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kern w:val="0"/>
          <w:sz w:val="32"/>
          <w:szCs w:val="32"/>
        </w:rPr>
      </w:pPr>
    </w:p>
    <w:p>
      <w:pPr>
        <w:spacing w:line="360" w:lineRule="auto"/>
        <w:jc w:val="center"/>
        <w:rPr>
          <w:rFonts w:ascii="仿宋_GB2312" w:hAnsi="仿宋_GB2312" w:eastAsia="仿宋_GB2312" w:cs="仿宋_GB2312"/>
          <w:b/>
          <w:kern w:val="0"/>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rPr>
        <w:t>8、重大违法记录的声明</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rPr>
        <w:t>绍兴市生态环境局本级、耀华建设管理有限公司</w:t>
      </w:r>
      <w:r>
        <w:rPr>
          <w:rFonts w:hint="eastAsia" w:ascii="仿宋_GB2312" w:hAnsi="仿宋_GB2312" w:eastAsia="仿宋_GB2312" w:cs="仿宋_GB2312"/>
          <w:kern w:val="0"/>
          <w:sz w:val="24"/>
          <w:lang w:val="zh-CN"/>
        </w:rPr>
        <w:t>：</w:t>
      </w:r>
    </w:p>
    <w:p>
      <w:pPr>
        <w:spacing w:line="360" w:lineRule="auto"/>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声明参加本次政府采购活动前三年内，在</w:t>
      </w:r>
      <w:r>
        <w:rPr>
          <w:rFonts w:hint="eastAsia" w:ascii="仿宋_GB2312" w:hAnsi="仿宋_GB2312" w:eastAsia="仿宋_GB2312" w:cs="仿宋_GB2312"/>
          <w:kern w:val="0"/>
          <w:sz w:val="24"/>
        </w:rPr>
        <w:t>经营活动中</w:t>
      </w:r>
      <w:r>
        <w:rPr>
          <w:rFonts w:hint="eastAsia" w:ascii="仿宋_GB2312" w:hAnsi="仿宋_GB2312" w:eastAsia="仿宋_GB2312" w:cs="仿宋_GB2312"/>
          <w:sz w:val="24"/>
        </w:rPr>
        <w:t>没有重大违法记录；也</w:t>
      </w:r>
      <w:r>
        <w:rPr>
          <w:rFonts w:hint="eastAsia" w:ascii="仿宋_GB2312" w:hAnsi="仿宋_GB2312" w:eastAsia="仿宋_GB2312" w:cs="仿宋_GB2312"/>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9、特定资格条件要求的资质文件（复印件）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10、非本地投标人售后服务机构证明材料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（由非本地投标人根据采购需求及招标文件要求编制）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11、所有与符合性审查有关的资信文件（复印件）</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sz w:val="24"/>
        </w:rPr>
        <w:t>（1. 提供依法缴纳税收和社会保障资金的良好记录证明，税收和社保证明打印时间不得早于投标截止时间前1个月；2.</w:t>
      </w:r>
      <w:r>
        <w:rPr>
          <w:rFonts w:hint="eastAsia" w:ascii="仿宋_GB2312" w:hAnsi="仿宋_GB2312" w:eastAsia="仿宋_GB2312" w:cs="仿宋_GB2312"/>
          <w:sz w:val="24"/>
        </w:rPr>
        <w:t>其他资料由投标人根据采购需求及招标文件要求编制。</w:t>
      </w:r>
      <w:r>
        <w:rPr>
          <w:rFonts w:hint="eastAsia" w:ascii="仿宋_GB2312" w:hAnsi="仿宋_GB2312" w:eastAsia="仿宋_GB2312" w:cs="仿宋_GB2312"/>
          <w:b/>
          <w:sz w:val="24"/>
        </w:rPr>
        <w:t>）</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12、</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1"/>
        <w:ind w:firstLine="0"/>
        <w:jc w:val="both"/>
        <w:rPr>
          <w:rFonts w:hAnsi="仿宋_GB2312" w:cs="仿宋_GB2312"/>
        </w:rPr>
      </w:pPr>
    </w:p>
    <w:p>
      <w:pPr>
        <w:pStyle w:val="191"/>
        <w:pageBreakBefore/>
        <w:ind w:firstLine="0"/>
        <w:jc w:val="both"/>
        <w:rPr>
          <w:rFonts w:hAnsi="仿宋_GB2312" w:cs="仿宋_GB2312"/>
        </w:rPr>
      </w:pPr>
      <w:r>
        <w:rPr>
          <w:rFonts w:hint="eastAsia" w:hAnsi="仿宋_GB2312" w:cs="仿宋_GB2312"/>
        </w:rPr>
        <w:t>13、廉政承诺书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绍兴市生态环境局本级</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1.7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_GB2312" w:hAnsi="仿宋_GB2312" w:eastAsia="仿宋_GB2312" w:cs="仿宋_GB2312"/>
          <w:b/>
          <w:kern w:val="0"/>
          <w:sz w:val="28"/>
          <w:szCs w:val="28"/>
        </w:rPr>
        <w:object>
          <v:shape id="_x0000_i1026" o:spt="75" type="#_x0000_t75" style="height:42pt;width:441.7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15、技术偏离说明表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16、组织实施方案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17、售后服务方案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附表C:本项目的项目经理和小组人员近3个月交纳社保记录情况表</w:t>
      </w:r>
      <w:r>
        <w:rPr>
          <w:rFonts w:hint="eastAsia" w:ascii="仿宋_GB2312" w:hAnsi="仿宋_GB2312" w:eastAsia="仿宋_GB2312" w:cs="仿宋_GB2312"/>
          <w:sz w:val="24"/>
        </w:rPr>
        <w:t>（以社保局缴纳凭证作附件）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20、</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21、</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22、验收方案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23、认为需要的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sectPr>
      <w:headerReference r:id="rId3" w:type="default"/>
      <w:footerReference r:id="rId4" w:type="default"/>
      <w:footerReference r:id="rId5" w:type="even"/>
      <w:pgSz w:w="11906" w:h="16838"/>
      <w:pgMar w:top="1440" w:right="1406" w:bottom="1246" w:left="1758" w:header="1021" w:footer="90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altName w:val="Calibri"/>
    <w:panose1 w:val="020F0302020204030204"/>
    <w:charset w:val="00"/>
    <w:family w:val="swiss"/>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36</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5"/>
      </w:rPr>
    </w:pPr>
    <w:r>
      <w:rPr>
        <w:rStyle w:val="45"/>
      </w:rPr>
      <w:fldChar w:fldCharType="begin"/>
    </w:r>
    <w:r>
      <w:rPr>
        <w:rStyle w:val="45"/>
      </w:rPr>
      <w:instrText xml:space="preserve">PAGE  </w:instrText>
    </w:r>
    <w:r>
      <w:rPr>
        <w:rStyle w:val="45"/>
      </w:rPr>
      <w:fldChar w:fldCharType="end"/>
    </w:r>
  </w:p>
  <w:p>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09BF"/>
    <w:rsid w:val="0006344A"/>
    <w:rsid w:val="00063938"/>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A7360"/>
    <w:rsid w:val="000B0284"/>
    <w:rsid w:val="000B1744"/>
    <w:rsid w:val="000B1D0B"/>
    <w:rsid w:val="000B2A94"/>
    <w:rsid w:val="000B625B"/>
    <w:rsid w:val="000C14CF"/>
    <w:rsid w:val="000C1AFA"/>
    <w:rsid w:val="000C1F3C"/>
    <w:rsid w:val="000C3344"/>
    <w:rsid w:val="000C7D4D"/>
    <w:rsid w:val="000D0E6C"/>
    <w:rsid w:val="000D110F"/>
    <w:rsid w:val="000D1267"/>
    <w:rsid w:val="000D1D59"/>
    <w:rsid w:val="000D4D0E"/>
    <w:rsid w:val="000E1C88"/>
    <w:rsid w:val="000E378E"/>
    <w:rsid w:val="000E4069"/>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6824"/>
    <w:rsid w:val="00137525"/>
    <w:rsid w:val="0014242C"/>
    <w:rsid w:val="0014545F"/>
    <w:rsid w:val="00145D25"/>
    <w:rsid w:val="00154591"/>
    <w:rsid w:val="00154E3A"/>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0B77"/>
    <w:rsid w:val="0018130F"/>
    <w:rsid w:val="00181544"/>
    <w:rsid w:val="0018376B"/>
    <w:rsid w:val="001841D9"/>
    <w:rsid w:val="00184C15"/>
    <w:rsid w:val="0019064E"/>
    <w:rsid w:val="00190DB7"/>
    <w:rsid w:val="00191263"/>
    <w:rsid w:val="00191BE8"/>
    <w:rsid w:val="00191EE1"/>
    <w:rsid w:val="00193494"/>
    <w:rsid w:val="00194583"/>
    <w:rsid w:val="001A0C24"/>
    <w:rsid w:val="001A15C0"/>
    <w:rsid w:val="001A4A9D"/>
    <w:rsid w:val="001A6712"/>
    <w:rsid w:val="001B2770"/>
    <w:rsid w:val="001B2D2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381E"/>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1176"/>
    <w:rsid w:val="00214C2B"/>
    <w:rsid w:val="0022234F"/>
    <w:rsid w:val="00223848"/>
    <w:rsid w:val="00223A5B"/>
    <w:rsid w:val="00226041"/>
    <w:rsid w:val="002261D7"/>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35C3"/>
    <w:rsid w:val="00264FFB"/>
    <w:rsid w:val="00266447"/>
    <w:rsid w:val="00267D7C"/>
    <w:rsid w:val="00270E20"/>
    <w:rsid w:val="00271324"/>
    <w:rsid w:val="00274B01"/>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C4F86"/>
    <w:rsid w:val="002C7F65"/>
    <w:rsid w:val="002D602B"/>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2E59"/>
    <w:rsid w:val="00323B52"/>
    <w:rsid w:val="00323E60"/>
    <w:rsid w:val="003250A1"/>
    <w:rsid w:val="0032789C"/>
    <w:rsid w:val="003302F0"/>
    <w:rsid w:val="00332DA4"/>
    <w:rsid w:val="00334D83"/>
    <w:rsid w:val="003371DD"/>
    <w:rsid w:val="00342881"/>
    <w:rsid w:val="0034305B"/>
    <w:rsid w:val="00347CAD"/>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50B7"/>
    <w:rsid w:val="0043766D"/>
    <w:rsid w:val="00437B34"/>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E4E"/>
    <w:rsid w:val="0047483C"/>
    <w:rsid w:val="00475133"/>
    <w:rsid w:val="00476C0B"/>
    <w:rsid w:val="00477EFE"/>
    <w:rsid w:val="00485E04"/>
    <w:rsid w:val="00486B01"/>
    <w:rsid w:val="00487465"/>
    <w:rsid w:val="004939A7"/>
    <w:rsid w:val="00497699"/>
    <w:rsid w:val="00497DB2"/>
    <w:rsid w:val="004A0174"/>
    <w:rsid w:val="004A0A95"/>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093"/>
    <w:rsid w:val="00503425"/>
    <w:rsid w:val="00503D74"/>
    <w:rsid w:val="005041C0"/>
    <w:rsid w:val="0050629F"/>
    <w:rsid w:val="00512ACE"/>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45B3"/>
    <w:rsid w:val="0055544C"/>
    <w:rsid w:val="00555780"/>
    <w:rsid w:val="00556840"/>
    <w:rsid w:val="00557737"/>
    <w:rsid w:val="0055773A"/>
    <w:rsid w:val="00560137"/>
    <w:rsid w:val="0056065C"/>
    <w:rsid w:val="00566FBC"/>
    <w:rsid w:val="0057066B"/>
    <w:rsid w:val="00572BAD"/>
    <w:rsid w:val="00573677"/>
    <w:rsid w:val="005738F4"/>
    <w:rsid w:val="00573BCB"/>
    <w:rsid w:val="00576529"/>
    <w:rsid w:val="00576EFE"/>
    <w:rsid w:val="005770CA"/>
    <w:rsid w:val="00585918"/>
    <w:rsid w:val="00586C3A"/>
    <w:rsid w:val="005879E7"/>
    <w:rsid w:val="00591190"/>
    <w:rsid w:val="00591584"/>
    <w:rsid w:val="00594CDD"/>
    <w:rsid w:val="005A32FB"/>
    <w:rsid w:val="005A3E6E"/>
    <w:rsid w:val="005A5E08"/>
    <w:rsid w:val="005A7A4A"/>
    <w:rsid w:val="005B180C"/>
    <w:rsid w:val="005C30CF"/>
    <w:rsid w:val="005C3154"/>
    <w:rsid w:val="005C3A22"/>
    <w:rsid w:val="005C54A7"/>
    <w:rsid w:val="005C6F10"/>
    <w:rsid w:val="005D0155"/>
    <w:rsid w:val="005D2F62"/>
    <w:rsid w:val="005D4D58"/>
    <w:rsid w:val="005D6575"/>
    <w:rsid w:val="005D73EA"/>
    <w:rsid w:val="005E236C"/>
    <w:rsid w:val="005E282B"/>
    <w:rsid w:val="005E33BD"/>
    <w:rsid w:val="005E4AAF"/>
    <w:rsid w:val="005E68E7"/>
    <w:rsid w:val="005F510E"/>
    <w:rsid w:val="005F5691"/>
    <w:rsid w:val="005F6AEE"/>
    <w:rsid w:val="005F78A5"/>
    <w:rsid w:val="006029F2"/>
    <w:rsid w:val="00606ED5"/>
    <w:rsid w:val="006073C6"/>
    <w:rsid w:val="00607E60"/>
    <w:rsid w:val="006107F3"/>
    <w:rsid w:val="006120C0"/>
    <w:rsid w:val="00615BAF"/>
    <w:rsid w:val="00615BFA"/>
    <w:rsid w:val="00617775"/>
    <w:rsid w:val="00622201"/>
    <w:rsid w:val="006225CB"/>
    <w:rsid w:val="00624516"/>
    <w:rsid w:val="00624C6F"/>
    <w:rsid w:val="00625BC2"/>
    <w:rsid w:val="0062625D"/>
    <w:rsid w:val="00630ADC"/>
    <w:rsid w:val="00630CF7"/>
    <w:rsid w:val="006351A3"/>
    <w:rsid w:val="006378C9"/>
    <w:rsid w:val="006438D1"/>
    <w:rsid w:val="00643AA9"/>
    <w:rsid w:val="0064613F"/>
    <w:rsid w:val="006465FE"/>
    <w:rsid w:val="00646E44"/>
    <w:rsid w:val="00651F43"/>
    <w:rsid w:val="00665466"/>
    <w:rsid w:val="00665C19"/>
    <w:rsid w:val="00665CBD"/>
    <w:rsid w:val="00671A32"/>
    <w:rsid w:val="006744B5"/>
    <w:rsid w:val="00675C4B"/>
    <w:rsid w:val="00680B4E"/>
    <w:rsid w:val="006839B6"/>
    <w:rsid w:val="00683A7F"/>
    <w:rsid w:val="006843E1"/>
    <w:rsid w:val="0068671B"/>
    <w:rsid w:val="00686935"/>
    <w:rsid w:val="00686F48"/>
    <w:rsid w:val="00687DA3"/>
    <w:rsid w:val="006936A5"/>
    <w:rsid w:val="006948E4"/>
    <w:rsid w:val="00694B34"/>
    <w:rsid w:val="00694D00"/>
    <w:rsid w:val="00695963"/>
    <w:rsid w:val="00695B26"/>
    <w:rsid w:val="006A1906"/>
    <w:rsid w:val="006A1E0D"/>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6F4652"/>
    <w:rsid w:val="006F6E17"/>
    <w:rsid w:val="007014C0"/>
    <w:rsid w:val="00702458"/>
    <w:rsid w:val="007047D8"/>
    <w:rsid w:val="00707395"/>
    <w:rsid w:val="007122EB"/>
    <w:rsid w:val="00721675"/>
    <w:rsid w:val="00721BF4"/>
    <w:rsid w:val="007266EE"/>
    <w:rsid w:val="0072764B"/>
    <w:rsid w:val="00727936"/>
    <w:rsid w:val="00727E2C"/>
    <w:rsid w:val="00727F6F"/>
    <w:rsid w:val="007327FF"/>
    <w:rsid w:val="0073712B"/>
    <w:rsid w:val="007402C2"/>
    <w:rsid w:val="007402D5"/>
    <w:rsid w:val="00740EED"/>
    <w:rsid w:val="00741976"/>
    <w:rsid w:val="00741F19"/>
    <w:rsid w:val="007435B2"/>
    <w:rsid w:val="00743C5C"/>
    <w:rsid w:val="0075094E"/>
    <w:rsid w:val="00751DF3"/>
    <w:rsid w:val="00752F32"/>
    <w:rsid w:val="00757BAC"/>
    <w:rsid w:val="0076108E"/>
    <w:rsid w:val="00762B5C"/>
    <w:rsid w:val="007644E8"/>
    <w:rsid w:val="007715B9"/>
    <w:rsid w:val="00771654"/>
    <w:rsid w:val="00772AC2"/>
    <w:rsid w:val="00773A2C"/>
    <w:rsid w:val="00775269"/>
    <w:rsid w:val="007774FA"/>
    <w:rsid w:val="00777C1A"/>
    <w:rsid w:val="00780272"/>
    <w:rsid w:val="007804F7"/>
    <w:rsid w:val="007809BE"/>
    <w:rsid w:val="007812D5"/>
    <w:rsid w:val="007814B9"/>
    <w:rsid w:val="007822C3"/>
    <w:rsid w:val="00784810"/>
    <w:rsid w:val="00785B15"/>
    <w:rsid w:val="00787752"/>
    <w:rsid w:val="007910DD"/>
    <w:rsid w:val="0079174D"/>
    <w:rsid w:val="0079412B"/>
    <w:rsid w:val="00794F1B"/>
    <w:rsid w:val="00797A07"/>
    <w:rsid w:val="007A06F3"/>
    <w:rsid w:val="007A179B"/>
    <w:rsid w:val="007A4FF4"/>
    <w:rsid w:val="007A5361"/>
    <w:rsid w:val="007A54F9"/>
    <w:rsid w:val="007A6CC8"/>
    <w:rsid w:val="007B0001"/>
    <w:rsid w:val="007B58B1"/>
    <w:rsid w:val="007B6A7E"/>
    <w:rsid w:val="007B7257"/>
    <w:rsid w:val="007C12F6"/>
    <w:rsid w:val="007C2503"/>
    <w:rsid w:val="007C2B7A"/>
    <w:rsid w:val="007C480F"/>
    <w:rsid w:val="007C5716"/>
    <w:rsid w:val="007D0823"/>
    <w:rsid w:val="007D20D9"/>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5D35"/>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18F"/>
    <w:rsid w:val="00886234"/>
    <w:rsid w:val="008863D4"/>
    <w:rsid w:val="00886634"/>
    <w:rsid w:val="00887B85"/>
    <w:rsid w:val="00890B37"/>
    <w:rsid w:val="00890DCD"/>
    <w:rsid w:val="0089581B"/>
    <w:rsid w:val="00896287"/>
    <w:rsid w:val="00896BE8"/>
    <w:rsid w:val="008A037C"/>
    <w:rsid w:val="008A251A"/>
    <w:rsid w:val="008A5161"/>
    <w:rsid w:val="008A6135"/>
    <w:rsid w:val="008B43D4"/>
    <w:rsid w:val="008B470F"/>
    <w:rsid w:val="008B6655"/>
    <w:rsid w:val="008C1197"/>
    <w:rsid w:val="008C3401"/>
    <w:rsid w:val="008C4226"/>
    <w:rsid w:val="008C4325"/>
    <w:rsid w:val="008C4B7C"/>
    <w:rsid w:val="008C4E5B"/>
    <w:rsid w:val="008C764A"/>
    <w:rsid w:val="008D406B"/>
    <w:rsid w:val="008D4AB1"/>
    <w:rsid w:val="008D7471"/>
    <w:rsid w:val="008D7B31"/>
    <w:rsid w:val="008E19EE"/>
    <w:rsid w:val="008E316D"/>
    <w:rsid w:val="008E379F"/>
    <w:rsid w:val="008E4B80"/>
    <w:rsid w:val="008E6364"/>
    <w:rsid w:val="008F03D5"/>
    <w:rsid w:val="008F07DF"/>
    <w:rsid w:val="00900D76"/>
    <w:rsid w:val="0090287D"/>
    <w:rsid w:val="00906681"/>
    <w:rsid w:val="00907BAD"/>
    <w:rsid w:val="00910AEC"/>
    <w:rsid w:val="00911FE1"/>
    <w:rsid w:val="00912BD2"/>
    <w:rsid w:val="009175CE"/>
    <w:rsid w:val="0092030F"/>
    <w:rsid w:val="00922782"/>
    <w:rsid w:val="00926541"/>
    <w:rsid w:val="009271D3"/>
    <w:rsid w:val="00927477"/>
    <w:rsid w:val="009309E4"/>
    <w:rsid w:val="00933465"/>
    <w:rsid w:val="00933FD9"/>
    <w:rsid w:val="00934ED5"/>
    <w:rsid w:val="0093527E"/>
    <w:rsid w:val="00935678"/>
    <w:rsid w:val="00935C1D"/>
    <w:rsid w:val="00936426"/>
    <w:rsid w:val="00936632"/>
    <w:rsid w:val="00936BFE"/>
    <w:rsid w:val="009415ED"/>
    <w:rsid w:val="00942245"/>
    <w:rsid w:val="00947BAD"/>
    <w:rsid w:val="00947FE6"/>
    <w:rsid w:val="00950AAE"/>
    <w:rsid w:val="00952269"/>
    <w:rsid w:val="00952CE1"/>
    <w:rsid w:val="00953507"/>
    <w:rsid w:val="00953E87"/>
    <w:rsid w:val="009557D2"/>
    <w:rsid w:val="009568DF"/>
    <w:rsid w:val="009639DC"/>
    <w:rsid w:val="00963B11"/>
    <w:rsid w:val="0096450C"/>
    <w:rsid w:val="009700D6"/>
    <w:rsid w:val="00970329"/>
    <w:rsid w:val="00970F9E"/>
    <w:rsid w:val="009712BD"/>
    <w:rsid w:val="00975C87"/>
    <w:rsid w:val="00976585"/>
    <w:rsid w:val="00986A65"/>
    <w:rsid w:val="009924D5"/>
    <w:rsid w:val="009931AC"/>
    <w:rsid w:val="00993E50"/>
    <w:rsid w:val="00995623"/>
    <w:rsid w:val="0099775A"/>
    <w:rsid w:val="00997ACE"/>
    <w:rsid w:val="009A2940"/>
    <w:rsid w:val="009A373E"/>
    <w:rsid w:val="009A5E9D"/>
    <w:rsid w:val="009A728E"/>
    <w:rsid w:val="009B206E"/>
    <w:rsid w:val="009B24E0"/>
    <w:rsid w:val="009B2EAF"/>
    <w:rsid w:val="009B55F5"/>
    <w:rsid w:val="009C17E3"/>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2865"/>
    <w:rsid w:val="009F3AC5"/>
    <w:rsid w:val="009F51CF"/>
    <w:rsid w:val="009F55BF"/>
    <w:rsid w:val="009F5CDD"/>
    <w:rsid w:val="009F7C75"/>
    <w:rsid w:val="00A0230C"/>
    <w:rsid w:val="00A0629A"/>
    <w:rsid w:val="00A10B9C"/>
    <w:rsid w:val="00A13213"/>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62C5"/>
    <w:rsid w:val="00A66B6E"/>
    <w:rsid w:val="00A67420"/>
    <w:rsid w:val="00A7154B"/>
    <w:rsid w:val="00A746F5"/>
    <w:rsid w:val="00A773A7"/>
    <w:rsid w:val="00A773DA"/>
    <w:rsid w:val="00A84FC6"/>
    <w:rsid w:val="00A86340"/>
    <w:rsid w:val="00A864EB"/>
    <w:rsid w:val="00A9044C"/>
    <w:rsid w:val="00A90951"/>
    <w:rsid w:val="00A9106B"/>
    <w:rsid w:val="00A91C48"/>
    <w:rsid w:val="00A91DE3"/>
    <w:rsid w:val="00A91F9A"/>
    <w:rsid w:val="00A93222"/>
    <w:rsid w:val="00A94DF2"/>
    <w:rsid w:val="00A95DBC"/>
    <w:rsid w:val="00A95E12"/>
    <w:rsid w:val="00A96926"/>
    <w:rsid w:val="00A97180"/>
    <w:rsid w:val="00A97B17"/>
    <w:rsid w:val="00AA17DC"/>
    <w:rsid w:val="00AA7A18"/>
    <w:rsid w:val="00AB01E4"/>
    <w:rsid w:val="00AB1582"/>
    <w:rsid w:val="00AB29D3"/>
    <w:rsid w:val="00AB39F3"/>
    <w:rsid w:val="00AB43D4"/>
    <w:rsid w:val="00AB454D"/>
    <w:rsid w:val="00AC0148"/>
    <w:rsid w:val="00AC0A1D"/>
    <w:rsid w:val="00AC1694"/>
    <w:rsid w:val="00AC2B19"/>
    <w:rsid w:val="00AC3A1C"/>
    <w:rsid w:val="00AC4A89"/>
    <w:rsid w:val="00AC6CEC"/>
    <w:rsid w:val="00AC7411"/>
    <w:rsid w:val="00AD0DBF"/>
    <w:rsid w:val="00AD4250"/>
    <w:rsid w:val="00AD6ACB"/>
    <w:rsid w:val="00AE1B40"/>
    <w:rsid w:val="00AE2ED6"/>
    <w:rsid w:val="00AF039F"/>
    <w:rsid w:val="00AF4A99"/>
    <w:rsid w:val="00AF6325"/>
    <w:rsid w:val="00AF7A6A"/>
    <w:rsid w:val="00B00F7A"/>
    <w:rsid w:val="00B012D5"/>
    <w:rsid w:val="00B0332B"/>
    <w:rsid w:val="00B0578F"/>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2AD"/>
    <w:rsid w:val="00B73A67"/>
    <w:rsid w:val="00B8043F"/>
    <w:rsid w:val="00B8308E"/>
    <w:rsid w:val="00B85012"/>
    <w:rsid w:val="00B91124"/>
    <w:rsid w:val="00B9180C"/>
    <w:rsid w:val="00B9298C"/>
    <w:rsid w:val="00B929F6"/>
    <w:rsid w:val="00B94480"/>
    <w:rsid w:val="00B97B7B"/>
    <w:rsid w:val="00BA18A9"/>
    <w:rsid w:val="00BA2C2D"/>
    <w:rsid w:val="00BA3E5B"/>
    <w:rsid w:val="00BA4F14"/>
    <w:rsid w:val="00BB14F8"/>
    <w:rsid w:val="00BB1D3E"/>
    <w:rsid w:val="00BC02D7"/>
    <w:rsid w:val="00BC3D6F"/>
    <w:rsid w:val="00BC61AC"/>
    <w:rsid w:val="00BD0EBD"/>
    <w:rsid w:val="00BD20CF"/>
    <w:rsid w:val="00BD3984"/>
    <w:rsid w:val="00BD3B87"/>
    <w:rsid w:val="00BD4C35"/>
    <w:rsid w:val="00BE6FA5"/>
    <w:rsid w:val="00BE7853"/>
    <w:rsid w:val="00BF28ED"/>
    <w:rsid w:val="00C013D8"/>
    <w:rsid w:val="00C0150B"/>
    <w:rsid w:val="00C036EC"/>
    <w:rsid w:val="00C04347"/>
    <w:rsid w:val="00C04372"/>
    <w:rsid w:val="00C0598F"/>
    <w:rsid w:val="00C05D83"/>
    <w:rsid w:val="00C06B27"/>
    <w:rsid w:val="00C1042C"/>
    <w:rsid w:val="00C1324C"/>
    <w:rsid w:val="00C13CEC"/>
    <w:rsid w:val="00C13CF5"/>
    <w:rsid w:val="00C142D9"/>
    <w:rsid w:val="00C14BD8"/>
    <w:rsid w:val="00C17776"/>
    <w:rsid w:val="00C1781A"/>
    <w:rsid w:val="00C2059D"/>
    <w:rsid w:val="00C20DC8"/>
    <w:rsid w:val="00C23661"/>
    <w:rsid w:val="00C2561D"/>
    <w:rsid w:val="00C26C2B"/>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21C3"/>
    <w:rsid w:val="00C815B8"/>
    <w:rsid w:val="00C8216B"/>
    <w:rsid w:val="00C83068"/>
    <w:rsid w:val="00C83429"/>
    <w:rsid w:val="00C8410F"/>
    <w:rsid w:val="00C8637A"/>
    <w:rsid w:val="00C86BAA"/>
    <w:rsid w:val="00C870A4"/>
    <w:rsid w:val="00C87C97"/>
    <w:rsid w:val="00C90ECA"/>
    <w:rsid w:val="00C93022"/>
    <w:rsid w:val="00C9436C"/>
    <w:rsid w:val="00C946D2"/>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22D6"/>
    <w:rsid w:val="00D1373D"/>
    <w:rsid w:val="00D13ABF"/>
    <w:rsid w:val="00D16316"/>
    <w:rsid w:val="00D16D1C"/>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5551B"/>
    <w:rsid w:val="00D625F8"/>
    <w:rsid w:val="00D63D29"/>
    <w:rsid w:val="00D649AA"/>
    <w:rsid w:val="00D6571C"/>
    <w:rsid w:val="00D65D38"/>
    <w:rsid w:val="00D73693"/>
    <w:rsid w:val="00D74A49"/>
    <w:rsid w:val="00D74BEC"/>
    <w:rsid w:val="00D75A07"/>
    <w:rsid w:val="00D80A4D"/>
    <w:rsid w:val="00D83294"/>
    <w:rsid w:val="00D832F2"/>
    <w:rsid w:val="00D83A4D"/>
    <w:rsid w:val="00D840D8"/>
    <w:rsid w:val="00D85827"/>
    <w:rsid w:val="00D92EA4"/>
    <w:rsid w:val="00D92F0F"/>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4A84"/>
    <w:rsid w:val="00E45EE2"/>
    <w:rsid w:val="00E46623"/>
    <w:rsid w:val="00E51C1B"/>
    <w:rsid w:val="00E5260E"/>
    <w:rsid w:val="00E56E61"/>
    <w:rsid w:val="00E57296"/>
    <w:rsid w:val="00E622B2"/>
    <w:rsid w:val="00E633B5"/>
    <w:rsid w:val="00E644CD"/>
    <w:rsid w:val="00E65A9B"/>
    <w:rsid w:val="00E7134F"/>
    <w:rsid w:val="00E715C6"/>
    <w:rsid w:val="00E720E4"/>
    <w:rsid w:val="00E7370C"/>
    <w:rsid w:val="00E80AE9"/>
    <w:rsid w:val="00E83B41"/>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1955"/>
    <w:rsid w:val="00EB4FA7"/>
    <w:rsid w:val="00EB5222"/>
    <w:rsid w:val="00EB68EE"/>
    <w:rsid w:val="00EB7174"/>
    <w:rsid w:val="00EB7E69"/>
    <w:rsid w:val="00EC155E"/>
    <w:rsid w:val="00EC287E"/>
    <w:rsid w:val="00EC3182"/>
    <w:rsid w:val="00EC35BE"/>
    <w:rsid w:val="00EC3F23"/>
    <w:rsid w:val="00EC57BD"/>
    <w:rsid w:val="00EC6F64"/>
    <w:rsid w:val="00EC74CE"/>
    <w:rsid w:val="00EC7697"/>
    <w:rsid w:val="00EC77D6"/>
    <w:rsid w:val="00ED1F25"/>
    <w:rsid w:val="00ED3A71"/>
    <w:rsid w:val="00ED758C"/>
    <w:rsid w:val="00EE06ED"/>
    <w:rsid w:val="00EE4212"/>
    <w:rsid w:val="00EE54FE"/>
    <w:rsid w:val="00EE5E15"/>
    <w:rsid w:val="00EF20FA"/>
    <w:rsid w:val="00EF52D6"/>
    <w:rsid w:val="00EF7E5B"/>
    <w:rsid w:val="00F0162F"/>
    <w:rsid w:val="00F01C96"/>
    <w:rsid w:val="00F0482D"/>
    <w:rsid w:val="00F0661F"/>
    <w:rsid w:val="00F12CBB"/>
    <w:rsid w:val="00F1355C"/>
    <w:rsid w:val="00F2566F"/>
    <w:rsid w:val="00F30E51"/>
    <w:rsid w:val="00F31AD0"/>
    <w:rsid w:val="00F33527"/>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C8E"/>
    <w:rsid w:val="00F97E58"/>
    <w:rsid w:val="00FA0AAD"/>
    <w:rsid w:val="00FA1DC1"/>
    <w:rsid w:val="00FB0E70"/>
    <w:rsid w:val="00FB1EB6"/>
    <w:rsid w:val="00FB1F05"/>
    <w:rsid w:val="00FB3989"/>
    <w:rsid w:val="00FB5006"/>
    <w:rsid w:val="00FB5FF6"/>
    <w:rsid w:val="00FB67DD"/>
    <w:rsid w:val="00FB748E"/>
    <w:rsid w:val="00FC02C4"/>
    <w:rsid w:val="00FC066F"/>
    <w:rsid w:val="00FC33BC"/>
    <w:rsid w:val="00FC5B79"/>
    <w:rsid w:val="00FC7905"/>
    <w:rsid w:val="00FD0273"/>
    <w:rsid w:val="00FD423F"/>
    <w:rsid w:val="00FD6EB4"/>
    <w:rsid w:val="00FD7EDC"/>
    <w:rsid w:val="00FE10AE"/>
    <w:rsid w:val="00FE35D0"/>
    <w:rsid w:val="00FE4310"/>
    <w:rsid w:val="00FE5E89"/>
    <w:rsid w:val="00FE7260"/>
    <w:rsid w:val="00FF02E7"/>
    <w:rsid w:val="00FF0866"/>
    <w:rsid w:val="00FF0CA9"/>
    <w:rsid w:val="00FF724C"/>
    <w:rsid w:val="00FF7BD2"/>
    <w:rsid w:val="01B07261"/>
    <w:rsid w:val="0FB75F81"/>
    <w:rsid w:val="15733DC2"/>
    <w:rsid w:val="1ECD42C9"/>
    <w:rsid w:val="35B512CB"/>
    <w:rsid w:val="3C7C5956"/>
    <w:rsid w:val="3DA64F88"/>
    <w:rsid w:val="47327D2A"/>
    <w:rsid w:val="4A1D3336"/>
    <w:rsid w:val="5E8F66A2"/>
    <w:rsid w:val="7281609A"/>
    <w:rsid w:val="72E87C49"/>
    <w:rsid w:val="735C6AE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99"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3"/>
    <w:qFormat/>
    <w:uiPriority w:val="9"/>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4"/>
    <w:qFormat/>
    <w:uiPriority w:val="9"/>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6"/>
    <w:qFormat/>
    <w:uiPriority w:val="0"/>
    <w:pPr>
      <w:keepNext/>
      <w:widowControl/>
      <w:numPr>
        <w:ilvl w:val="0"/>
        <w:numId w:val="4"/>
      </w:numPr>
      <w:jc w:val="left"/>
      <w:outlineLvl w:val="4"/>
    </w:pPr>
    <w:rPr>
      <w:kern w:val="0"/>
      <w:sz w:val="24"/>
      <w:szCs w:val="20"/>
    </w:rPr>
  </w:style>
  <w:style w:type="paragraph" w:styleId="8">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1"/>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99"/>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69"/>
    <w:qFormat/>
    <w:uiPriority w:val="0"/>
    <w:pPr>
      <w:jc w:val="left"/>
    </w:pPr>
  </w:style>
  <w:style w:type="paragraph" w:styleId="17">
    <w:name w:val="Body Text"/>
    <w:basedOn w:val="1"/>
    <w:link w:val="82"/>
    <w:qFormat/>
    <w:uiPriority w:val="0"/>
    <w:pPr>
      <w:spacing w:line="360" w:lineRule="auto"/>
    </w:pPr>
    <w:rPr>
      <w:rFonts w:eastAsia="仿宋_GB2312"/>
      <w:sz w:val="28"/>
    </w:rPr>
  </w:style>
  <w:style w:type="paragraph" w:styleId="18">
    <w:name w:val="Body Text Indent"/>
    <w:basedOn w:val="1"/>
    <w:link w:val="63"/>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toc 3"/>
    <w:basedOn w:val="1"/>
    <w:next w:val="1"/>
    <w:unhideWhenUsed/>
    <w:qFormat/>
    <w:uiPriority w:val="0"/>
    <w:pPr>
      <w:ind w:left="840" w:leftChars="400"/>
    </w:pPr>
    <w:rPr>
      <w:rFonts w:ascii="Calibri" w:hAnsi="Calibri"/>
      <w:szCs w:val="22"/>
    </w:rPr>
  </w:style>
  <w:style w:type="paragraph" w:styleId="22">
    <w:name w:val="Plain Text"/>
    <w:basedOn w:val="1"/>
    <w:link w:val="61"/>
    <w:qFormat/>
    <w:uiPriority w:val="0"/>
    <w:rPr>
      <w:rFonts w:ascii="宋体" w:hAnsi="Courier New"/>
      <w:szCs w:val="20"/>
    </w:rPr>
  </w:style>
  <w:style w:type="paragraph" w:styleId="23">
    <w:name w:val="Date"/>
    <w:basedOn w:val="1"/>
    <w:next w:val="1"/>
    <w:link w:val="64"/>
    <w:qFormat/>
    <w:uiPriority w:val="0"/>
    <w:rPr>
      <w:rFonts w:ascii="楷体_GB2312" w:eastAsia="楷体_GB2312"/>
      <w:b/>
      <w:sz w:val="28"/>
      <w:szCs w:val="20"/>
    </w:rPr>
  </w:style>
  <w:style w:type="paragraph" w:styleId="24">
    <w:name w:val="Body Text Indent 2"/>
    <w:basedOn w:val="1"/>
    <w:link w:val="78"/>
    <w:qFormat/>
    <w:uiPriority w:val="0"/>
    <w:pPr>
      <w:spacing w:after="120" w:line="480" w:lineRule="auto"/>
      <w:ind w:left="420" w:leftChars="200"/>
    </w:pPr>
  </w:style>
  <w:style w:type="paragraph" w:styleId="25">
    <w:name w:val="Balloon Text"/>
    <w:basedOn w:val="1"/>
    <w:link w:val="195"/>
    <w:semiHidden/>
    <w:qFormat/>
    <w:uiPriority w:val="0"/>
    <w:rPr>
      <w:sz w:val="18"/>
      <w:szCs w:val="18"/>
    </w:rPr>
  </w:style>
  <w:style w:type="paragraph" w:styleId="26">
    <w:name w:val="footer"/>
    <w:basedOn w:val="1"/>
    <w:link w:val="66"/>
    <w:qFormat/>
    <w:uiPriority w:val="0"/>
    <w:pPr>
      <w:tabs>
        <w:tab w:val="center" w:pos="4153"/>
        <w:tab w:val="right" w:pos="8306"/>
      </w:tabs>
      <w:snapToGrid w:val="0"/>
      <w:jc w:val="left"/>
    </w:pPr>
    <w:rPr>
      <w:sz w:val="18"/>
      <w:szCs w:val="18"/>
    </w:rPr>
  </w:style>
  <w:style w:type="paragraph" w:styleId="27">
    <w:name w:val="header"/>
    <w:basedOn w:val="1"/>
    <w:link w:val="65"/>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link w:val="196"/>
    <w:qFormat/>
    <w:uiPriority w:val="99"/>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link w:val="19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Title"/>
    <w:basedOn w:val="1"/>
    <w:next w:val="1"/>
    <w:link w:val="172"/>
    <w:qFormat/>
    <w:uiPriority w:val="0"/>
    <w:pPr>
      <w:adjustRightInd w:val="0"/>
      <w:spacing w:before="240" w:after="60"/>
      <w:jc w:val="center"/>
      <w:outlineLvl w:val="0"/>
    </w:pPr>
    <w:rPr>
      <w:rFonts w:ascii="Calibri Light" w:hAnsi="Calibri Light"/>
      <w:b/>
      <w:bCs/>
      <w:sz w:val="32"/>
      <w:szCs w:val="32"/>
    </w:rPr>
  </w:style>
  <w:style w:type="paragraph" w:styleId="38">
    <w:name w:val="annotation subject"/>
    <w:basedOn w:val="16"/>
    <w:next w:val="16"/>
    <w:link w:val="198"/>
    <w:semiHidden/>
    <w:qFormat/>
    <w:uiPriority w:val="0"/>
    <w:pPr>
      <w:widowControl/>
      <w:spacing w:afterLines="50"/>
    </w:pPr>
    <w:rPr>
      <w:b/>
      <w:bCs/>
      <w:kern w:val="0"/>
      <w:sz w:val="24"/>
      <w:szCs w:val="20"/>
    </w:rPr>
  </w:style>
  <w:style w:type="paragraph" w:styleId="39">
    <w:name w:val="Body Text First Indent"/>
    <w:basedOn w:val="17"/>
    <w:link w:val="199"/>
    <w:qFormat/>
    <w:uiPriority w:val="0"/>
    <w:pPr>
      <w:spacing w:after="120" w:line="240" w:lineRule="auto"/>
      <w:ind w:firstLine="420" w:firstLineChars="100"/>
    </w:pPr>
    <w:rPr>
      <w:rFonts w:eastAsia="宋体"/>
      <w:sz w:val="21"/>
    </w:rPr>
  </w:style>
  <w:style w:type="paragraph" w:styleId="40">
    <w:name w:val="Body Text First Indent 2"/>
    <w:basedOn w:val="18"/>
    <w:link w:val="200"/>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
    <w:link w:val="2"/>
    <w:qFormat/>
    <w:uiPriority w:val="0"/>
    <w:rPr>
      <w:rFonts w:eastAsia="仿宋_GB2312"/>
      <w:b/>
      <w:kern w:val="44"/>
      <w:sz w:val="44"/>
      <w:lang w:val="en-US" w:eastAsia="zh-CN" w:bidi="ar-SA"/>
    </w:rPr>
  </w:style>
  <w:style w:type="character" w:customStyle="1" w:styleId="51">
    <w:name w:val="正文缩进 Char"/>
    <w:link w:val="4"/>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Char"/>
    <w:link w:val="3"/>
    <w:qFormat/>
    <w:uiPriority w:val="0"/>
    <w:rPr>
      <w:rFonts w:ascii="Arial" w:hAnsi="Arial" w:eastAsia="黑体"/>
      <w:b/>
      <w:kern w:val="2"/>
      <w:sz w:val="32"/>
      <w:lang w:val="en-US" w:eastAsia="zh-CN" w:bidi="ar-SA"/>
    </w:rPr>
  </w:style>
  <w:style w:type="character" w:customStyle="1" w:styleId="54">
    <w:name w:val="标题 3 Char"/>
    <w:link w:val="5"/>
    <w:qFormat/>
    <w:uiPriority w:val="0"/>
    <w:rPr>
      <w:rFonts w:eastAsia="仿宋_GB2312"/>
      <w:b/>
      <w:kern w:val="2"/>
      <w:sz w:val="32"/>
      <w:lang w:val="en-US" w:eastAsia="zh-CN" w:bidi="ar-SA"/>
    </w:rPr>
  </w:style>
  <w:style w:type="character" w:customStyle="1" w:styleId="55">
    <w:name w:val="标题 4 Char1"/>
    <w:link w:val="6"/>
    <w:qFormat/>
    <w:uiPriority w:val="0"/>
    <w:rPr>
      <w:rFonts w:ascii="Arial" w:hAnsi="Arial" w:eastAsia="黑体"/>
      <w:b/>
      <w:kern w:val="2"/>
      <w:sz w:val="28"/>
      <w:lang w:val="en-US" w:eastAsia="zh-CN" w:bidi="ar-SA"/>
    </w:rPr>
  </w:style>
  <w:style w:type="character" w:customStyle="1" w:styleId="56">
    <w:name w:val="标题 5 Char1"/>
    <w:link w:val="7"/>
    <w:qFormat/>
    <w:uiPriority w:val="0"/>
    <w:rPr>
      <w:rFonts w:eastAsia="宋体"/>
      <w:sz w:val="24"/>
      <w:lang w:val="en-US" w:eastAsia="zh-CN" w:bidi="ar-SA"/>
    </w:rPr>
  </w:style>
  <w:style w:type="character" w:customStyle="1" w:styleId="57">
    <w:name w:val="标题 6 Char1"/>
    <w:link w:val="8"/>
    <w:qFormat/>
    <w:uiPriority w:val="0"/>
    <w:rPr>
      <w:rFonts w:ascii="宋体" w:hAnsi="Arial" w:eastAsia="宋体"/>
      <w:sz w:val="24"/>
      <w:lang w:val="en-US" w:eastAsia="zh-CN" w:bidi="ar-SA"/>
    </w:rPr>
  </w:style>
  <w:style w:type="character" w:customStyle="1" w:styleId="58">
    <w:name w:val="标题 7 Char1"/>
    <w:link w:val="9"/>
    <w:qFormat/>
    <w:uiPriority w:val="0"/>
    <w:rPr>
      <w:rFonts w:ascii="宋体" w:hAnsi="Arial" w:eastAsia="宋体"/>
      <w:b/>
      <w:sz w:val="24"/>
      <w:lang w:val="en-US" w:eastAsia="zh-CN" w:bidi="ar-SA"/>
    </w:rPr>
  </w:style>
  <w:style w:type="character" w:customStyle="1" w:styleId="59">
    <w:name w:val="标题 8 Char1"/>
    <w:link w:val="10"/>
    <w:qFormat/>
    <w:uiPriority w:val="0"/>
    <w:rPr>
      <w:rFonts w:ascii="Arial" w:hAnsi="Arial" w:eastAsia="黑体"/>
      <w:sz w:val="24"/>
      <w:lang w:val="en-US" w:eastAsia="zh-CN" w:bidi="ar-SA"/>
    </w:rPr>
  </w:style>
  <w:style w:type="character" w:customStyle="1" w:styleId="60">
    <w:name w:val="标题 9 Char1"/>
    <w:link w:val="11"/>
    <w:qFormat/>
    <w:uiPriority w:val="0"/>
    <w:rPr>
      <w:rFonts w:ascii="Arial" w:hAnsi="Arial" w:eastAsia="黑体"/>
      <w:sz w:val="24"/>
      <w:lang w:val="en-US" w:eastAsia="zh-CN" w:bidi="ar-SA"/>
    </w:rPr>
  </w:style>
  <w:style w:type="character" w:customStyle="1" w:styleId="61">
    <w:name w:val="纯文本 Char"/>
    <w:link w:val="22"/>
    <w:qFormat/>
    <w:uiPriority w:val="0"/>
    <w:rPr>
      <w:rFonts w:ascii="宋体" w:hAnsi="Courier New" w:eastAsia="宋体"/>
      <w:kern w:val="2"/>
      <w:sz w:val="21"/>
      <w:lang w:val="en-US" w:eastAsia="zh-CN" w:bidi="ar-SA"/>
    </w:rPr>
  </w:style>
  <w:style w:type="paragraph" w:customStyle="1" w:styleId="62">
    <w:name w:val="表正文"/>
    <w:basedOn w:val="1"/>
    <w:next w:val="22"/>
    <w:qFormat/>
    <w:uiPriority w:val="0"/>
    <w:rPr>
      <w:rFonts w:ascii="宋体" w:hAnsi="Courier New"/>
      <w:szCs w:val="20"/>
    </w:rPr>
  </w:style>
  <w:style w:type="character" w:customStyle="1" w:styleId="63">
    <w:name w:val="正文文本缩进 Char"/>
    <w:link w:val="18"/>
    <w:qFormat/>
    <w:uiPriority w:val="0"/>
    <w:rPr>
      <w:rFonts w:eastAsia="宋体"/>
      <w:kern w:val="2"/>
      <w:sz w:val="21"/>
      <w:szCs w:val="24"/>
      <w:lang w:val="en-US" w:eastAsia="zh-CN" w:bidi="ar-SA"/>
    </w:rPr>
  </w:style>
  <w:style w:type="character" w:customStyle="1" w:styleId="64">
    <w:name w:val="日期 Char2"/>
    <w:link w:val="23"/>
    <w:qFormat/>
    <w:uiPriority w:val="0"/>
    <w:rPr>
      <w:rFonts w:ascii="楷体_GB2312" w:eastAsia="楷体_GB2312"/>
      <w:b/>
      <w:kern w:val="2"/>
      <w:sz w:val="28"/>
      <w:lang w:val="en-US" w:eastAsia="zh-CN" w:bidi="ar-SA"/>
    </w:rPr>
  </w:style>
  <w:style w:type="character" w:customStyle="1" w:styleId="65">
    <w:name w:val="页眉 Char1"/>
    <w:link w:val="27"/>
    <w:qFormat/>
    <w:uiPriority w:val="0"/>
    <w:rPr>
      <w:rFonts w:eastAsia="宋体"/>
      <w:kern w:val="2"/>
      <w:sz w:val="18"/>
      <w:szCs w:val="18"/>
      <w:lang w:val="en-US" w:eastAsia="zh-CN" w:bidi="ar-SA"/>
    </w:rPr>
  </w:style>
  <w:style w:type="character" w:customStyle="1" w:styleId="66">
    <w:name w:val="页脚 Char"/>
    <w:link w:val="26"/>
    <w:qFormat/>
    <w:locked/>
    <w:uiPriority w:val="0"/>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Char1"/>
    <w:link w:val="16"/>
    <w:qFormat/>
    <w:uiPriority w:val="0"/>
    <w:rPr>
      <w:rFonts w:eastAsia="宋体"/>
      <w:kern w:val="2"/>
      <w:sz w:val="21"/>
      <w:szCs w:val="24"/>
      <w:lang w:val="en-US" w:eastAsia="zh-CN" w:bidi="ar-SA"/>
    </w:rPr>
  </w:style>
  <w:style w:type="character" w:customStyle="1" w:styleId="70">
    <w:name w:val="正文文本 2 Char1"/>
    <w:link w:val="32"/>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78">
    <w:name w:val="正文文本缩进 2 Char1"/>
    <w:link w:val="24"/>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Char1"/>
    <w:link w:val="17"/>
    <w:qFormat/>
    <w:locked/>
    <w:uiPriority w:val="0"/>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34"/>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0"/>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5"/>
    <w:qFormat/>
    <w:uiPriority w:val="0"/>
    <w:rPr>
      <w:rFonts w:ascii="Tahoma" w:hAnsi="Tahoma"/>
      <w:sz w:val="24"/>
    </w:rPr>
  </w:style>
  <w:style w:type="paragraph" w:customStyle="1" w:styleId="137">
    <w:name w:val="Char Char Char"/>
    <w:basedOn w:val="15"/>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4"/>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0"/>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0"/>
    <w:rPr>
      <w:rFonts w:eastAsia="仿宋_GB2312"/>
      <w:kern w:val="2"/>
      <w:sz w:val="28"/>
      <w:szCs w:val="24"/>
      <w:lang w:val="en-US" w:eastAsia="zh-CN" w:bidi="ar-SA"/>
    </w:rPr>
  </w:style>
  <w:style w:type="character" w:customStyle="1" w:styleId="162">
    <w:name w:val="正文文本缩进 2 Char"/>
    <w:qFormat/>
    <w:locked/>
    <w:uiPriority w:val="0"/>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semiHidden/>
    <w:qFormat/>
    <w:uiPriority w:val="0"/>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3"/>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Char"/>
    <w:link w:val="37"/>
    <w:qFormat/>
    <w:locked/>
    <w:uiPriority w:val="0"/>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qFormat/>
    <w:uiPriority w:val="0"/>
    <w:rPr>
      <w:rFonts w:ascii="宋体" w:hAnsi="Courier New" w:eastAsia="宋体" w:cs="Courier New"/>
      <w:sz w:val="21"/>
      <w:szCs w:val="21"/>
    </w:rPr>
  </w:style>
  <w:style w:type="paragraph" w:customStyle="1" w:styleId="17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79">
    <w:name w:val="列出段落112"/>
    <w:basedOn w:val="1"/>
    <w:link w:val="203"/>
    <w:qFormat/>
    <w:uiPriority w:val="0"/>
    <w:pPr>
      <w:adjustRightInd w:val="0"/>
      <w:spacing w:line="360" w:lineRule="auto"/>
      <w:ind w:firstLine="200" w:firstLineChars="200"/>
    </w:pPr>
    <w:rPr>
      <w:rFonts w:eastAsia="楷体_GB2312" w:cs="Lucida Sans"/>
      <w:sz w:val="24"/>
    </w:rPr>
  </w:style>
  <w:style w:type="paragraph" w:customStyle="1" w:styleId="180">
    <w:name w:val="标题2def"/>
    <w:basedOn w:val="37"/>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1">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2">
    <w:name w:val="Header Char"/>
    <w:qFormat/>
    <w:locked/>
    <w:uiPriority w:val="0"/>
    <w:rPr>
      <w:rFonts w:ascii="Times New Roman" w:hAnsi="Times New Roman" w:eastAsia="宋体" w:cs="Times New Roman"/>
      <w:sz w:val="18"/>
      <w:szCs w:val="18"/>
    </w:rPr>
  </w:style>
  <w:style w:type="paragraph" w:customStyle="1" w:styleId="18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4">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5">
    <w:name w:val="Comment Text Char"/>
    <w:qFormat/>
    <w:locked/>
    <w:uiPriority w:val="0"/>
    <w:rPr>
      <w:rFonts w:ascii="Times New Roman" w:hAnsi="Times New Roman" w:eastAsia="宋体" w:cs="Times New Roman"/>
      <w:kern w:val="0"/>
      <w:sz w:val="24"/>
      <w:szCs w:val="24"/>
      <w:lang w:val="zh-CN" w:eastAsia="zh-CN"/>
    </w:rPr>
  </w:style>
  <w:style w:type="paragraph" w:customStyle="1" w:styleId="186">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8">
    <w:name w:val="Char Char Char Char1"/>
    <w:basedOn w:val="1"/>
    <w:qFormat/>
    <w:uiPriority w:val="0"/>
    <w:rPr>
      <w:rFonts w:ascii="Tahoma" w:hAnsi="Tahoma"/>
      <w:sz w:val="24"/>
      <w:szCs w:val="20"/>
    </w:rPr>
  </w:style>
  <w:style w:type="paragraph" w:customStyle="1" w:styleId="189">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0">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1">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2">
    <w:name w:val="正文2 Char Char"/>
    <w:qFormat/>
    <w:uiPriority w:val="0"/>
    <w:rPr>
      <w:kern w:val="2"/>
      <w:sz w:val="24"/>
    </w:rPr>
  </w:style>
  <w:style w:type="character" w:customStyle="1" w:styleId="193">
    <w:name w:val="普通文字 Char Char3"/>
    <w:qFormat/>
    <w:uiPriority w:val="0"/>
    <w:rPr>
      <w:rFonts w:ascii="宋体" w:hAnsi="Courier New"/>
      <w:kern w:val="2"/>
      <w:sz w:val="24"/>
      <w:szCs w:val="24"/>
    </w:rPr>
  </w:style>
  <w:style w:type="character" w:customStyle="1" w:styleId="194">
    <w:name w:val="特点 Char2"/>
    <w:qFormat/>
    <w:uiPriority w:val="0"/>
    <w:rPr>
      <w:rFonts w:ascii="Times New Roman" w:hAnsi="Times New Roman" w:eastAsia="宋体" w:cs="Times New Roman"/>
      <w:szCs w:val="24"/>
    </w:rPr>
  </w:style>
  <w:style w:type="character" w:customStyle="1" w:styleId="195">
    <w:name w:val="批注框文本 Char"/>
    <w:basedOn w:val="43"/>
    <w:link w:val="25"/>
    <w:semiHidden/>
    <w:qFormat/>
    <w:uiPriority w:val="0"/>
    <w:rPr>
      <w:kern w:val="2"/>
      <w:sz w:val="18"/>
      <w:szCs w:val="18"/>
    </w:rPr>
  </w:style>
  <w:style w:type="character" w:customStyle="1" w:styleId="196">
    <w:name w:val="正文文本缩进 3 Char"/>
    <w:basedOn w:val="43"/>
    <w:link w:val="30"/>
    <w:qFormat/>
    <w:uiPriority w:val="99"/>
    <w:rPr>
      <w:kern w:val="2"/>
      <w:sz w:val="16"/>
      <w:szCs w:val="16"/>
    </w:rPr>
  </w:style>
  <w:style w:type="character" w:customStyle="1" w:styleId="197">
    <w:name w:val="HTML 预设格式 Char"/>
    <w:basedOn w:val="43"/>
    <w:link w:val="34"/>
    <w:qFormat/>
    <w:uiPriority w:val="0"/>
    <w:rPr>
      <w:rFonts w:ascii="黑体" w:hAnsi="Courier New" w:eastAsia="黑体" w:cs="Courier New"/>
    </w:rPr>
  </w:style>
  <w:style w:type="character" w:customStyle="1" w:styleId="198">
    <w:name w:val="批注主题 Char"/>
    <w:basedOn w:val="166"/>
    <w:link w:val="38"/>
    <w:semiHidden/>
    <w:qFormat/>
    <w:uiPriority w:val="0"/>
    <w:rPr>
      <w:rFonts w:eastAsia="宋体"/>
      <w:b/>
      <w:bCs/>
      <w:kern w:val="2"/>
      <w:sz w:val="24"/>
      <w:szCs w:val="24"/>
      <w:lang w:val="en-US" w:eastAsia="zh-CN" w:bidi="ar-SA"/>
    </w:rPr>
  </w:style>
  <w:style w:type="character" w:customStyle="1" w:styleId="199">
    <w:name w:val="正文首行缩进 Char"/>
    <w:basedOn w:val="161"/>
    <w:link w:val="39"/>
    <w:qFormat/>
    <w:uiPriority w:val="0"/>
    <w:rPr>
      <w:rFonts w:eastAsia="仿宋_GB2312"/>
      <w:kern w:val="2"/>
      <w:sz w:val="21"/>
      <w:szCs w:val="24"/>
      <w:lang w:val="en-US" w:eastAsia="zh-CN" w:bidi="ar-SA"/>
    </w:rPr>
  </w:style>
  <w:style w:type="character" w:customStyle="1" w:styleId="200">
    <w:name w:val="正文首行缩进 2 Char"/>
    <w:basedOn w:val="63"/>
    <w:link w:val="40"/>
    <w:qFormat/>
    <w:uiPriority w:val="0"/>
    <w:rPr>
      <w:rFonts w:eastAsia="宋体"/>
      <w:kern w:val="2"/>
      <w:sz w:val="21"/>
      <w:szCs w:val="24"/>
      <w:lang w:val="en-US" w:eastAsia="zh-CN" w:bidi="ar-SA"/>
    </w:rPr>
  </w:style>
  <w:style w:type="paragraph" w:customStyle="1" w:styleId="201">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2">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3">
    <w:name w:val="列出段落 Char"/>
    <w:link w:val="179"/>
    <w:qFormat/>
    <w:uiPriority w:val="0"/>
    <w:rPr>
      <w:rFonts w:eastAsia="楷体_GB2312" w:cs="Lucida Sans"/>
      <w:kern w:val="2"/>
      <w:sz w:val="24"/>
      <w:szCs w:val="24"/>
    </w:rPr>
  </w:style>
  <w:style w:type="paragraph" w:customStyle="1" w:styleId="204">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5">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6">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7">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8">
    <w:name w:val="正文缩进2格"/>
    <w:basedOn w:val="1"/>
    <w:link w:val="209"/>
    <w:qFormat/>
    <w:uiPriority w:val="0"/>
    <w:pPr>
      <w:spacing w:line="600" w:lineRule="exact"/>
      <w:ind w:firstLine="639" w:firstLineChars="206"/>
    </w:pPr>
    <w:rPr>
      <w:rFonts w:ascii="仿宋_GB2312" w:hAnsi="宋体" w:eastAsia="仿宋_GB2312"/>
      <w:kern w:val="0"/>
      <w:sz w:val="31"/>
      <w:szCs w:val="20"/>
    </w:rPr>
  </w:style>
  <w:style w:type="character" w:customStyle="1" w:styleId="209">
    <w:name w:val="正文缩进2格 Char"/>
    <w:link w:val="208"/>
    <w:qFormat/>
    <w:uiPriority w:val="0"/>
    <w:rPr>
      <w:rFonts w:ascii="仿宋_GB2312" w:hAnsi="宋体" w:eastAsia="仿宋_GB2312"/>
      <w:sz w:val="31"/>
    </w:rPr>
  </w:style>
  <w:style w:type="paragraph" w:customStyle="1" w:styleId="210">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1">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2">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3">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4">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1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29">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3">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8">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9">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5">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正文1级"/>
    <w:link w:val="249"/>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49">
    <w:name w:val="正文1级 Char Char"/>
    <w:link w:val="248"/>
    <w:qFormat/>
    <w:uiPriority w:val="0"/>
    <w:rPr>
      <w:bCs/>
      <w:kern w:val="44"/>
      <w:sz w:val="24"/>
      <w:szCs w:val="44"/>
    </w:rPr>
  </w:style>
  <w:style w:type="character" w:customStyle="1" w:styleId="250">
    <w:name w:val="Char Char1"/>
    <w:qFormat/>
    <w:uiPriority w:val="0"/>
    <w:rPr>
      <w:rFonts w:ascii="宋体" w:hAnsi="Courier New" w:eastAsia="宋体"/>
      <w:kern w:val="2"/>
      <w:sz w:val="21"/>
      <w:lang w:val="en-US" w:eastAsia="zh-CN" w:bidi="ar-SA"/>
    </w:rPr>
  </w:style>
  <w:style w:type="paragraph" w:customStyle="1" w:styleId="251">
    <w:name w:val="列出段落2"/>
    <w:basedOn w:val="1"/>
    <w:qFormat/>
    <w:uiPriority w:val="34"/>
    <w:pPr>
      <w:spacing w:line="440" w:lineRule="exact"/>
      <w:ind w:firstLine="420" w:firstLineChars="200"/>
    </w:pPr>
    <w:rPr>
      <w:rFonts w:eastAsia="仿宋_GB2312"/>
      <w:sz w:val="24"/>
    </w:rPr>
  </w:style>
  <w:style w:type="paragraph" w:customStyle="1" w:styleId="252">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3">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4">
    <w:name w:val="列出段落21"/>
    <w:basedOn w:val="1"/>
    <w:qFormat/>
    <w:uiPriority w:val="0"/>
    <w:pPr>
      <w:ind w:firstLine="420" w:firstLineChars="200"/>
    </w:pPr>
    <w:rPr>
      <w:rFonts w:ascii="Calibri" w:hAnsi="Calibri"/>
      <w:szCs w:val="22"/>
    </w:rPr>
  </w:style>
  <w:style w:type="paragraph" w:customStyle="1" w:styleId="255">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7">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_Style 151"/>
    <w:basedOn w:val="1"/>
    <w:qFormat/>
    <w:uiPriority w:val="0"/>
    <w:rPr>
      <w:rFonts w:ascii="Tahoma" w:hAnsi="Tahoma"/>
      <w:sz w:val="24"/>
      <w:szCs w:val="20"/>
    </w:rPr>
  </w:style>
  <w:style w:type="paragraph" w:customStyle="1" w:styleId="261">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2">
    <w:name w:val="font01"/>
    <w:basedOn w:val="43"/>
    <w:qFormat/>
    <w:uiPriority w:val="0"/>
    <w:rPr>
      <w:rFonts w:hint="eastAsia" w:ascii="宋体" w:hAnsi="宋体" w:eastAsia="宋体" w:cs="宋体"/>
      <w:color w:val="000000"/>
      <w:sz w:val="22"/>
      <w:szCs w:val="22"/>
      <w:u w:val="none"/>
    </w:rPr>
  </w:style>
  <w:style w:type="character" w:customStyle="1" w:styleId="263">
    <w:name w:val="font11"/>
    <w:basedOn w:val="43"/>
    <w:qFormat/>
    <w:uiPriority w:val="0"/>
    <w:rPr>
      <w:rFonts w:hint="eastAsia" w:ascii="宋体" w:hAnsi="宋体" w:eastAsia="宋体" w:cs="宋体"/>
      <w:color w:val="FF0000"/>
      <w:sz w:val="22"/>
      <w:szCs w:val="22"/>
      <w:u w:val="none"/>
    </w:rPr>
  </w:style>
  <w:style w:type="character" w:customStyle="1" w:styleId="264">
    <w:name w:val="font41"/>
    <w:basedOn w:val="43"/>
    <w:qFormat/>
    <w:uiPriority w:val="0"/>
    <w:rPr>
      <w:rFonts w:hint="default" w:ascii="等线" w:hAnsi="等线" w:eastAsia="等线" w:cs="等线"/>
      <w:color w:val="FF0000"/>
      <w:sz w:val="22"/>
      <w:szCs w:val="22"/>
      <w:u w:val="none"/>
    </w:rPr>
  </w:style>
  <w:style w:type="character" w:customStyle="1" w:styleId="265">
    <w:name w:val="font21"/>
    <w:basedOn w:val="43"/>
    <w:qFormat/>
    <w:uiPriority w:val="0"/>
    <w:rPr>
      <w:rFonts w:hint="default" w:ascii="等线" w:hAnsi="等线" w:eastAsia="等线" w:cs="等线"/>
      <w:color w:val="000000"/>
      <w:sz w:val="22"/>
      <w:szCs w:val="22"/>
      <w:u w:val="none"/>
    </w:rPr>
  </w:style>
  <w:style w:type="character" w:customStyle="1" w:styleId="266">
    <w:name w:val="font51"/>
    <w:basedOn w:val="43"/>
    <w:qFormat/>
    <w:uiPriority w:val="0"/>
    <w:rPr>
      <w:rFonts w:hint="default" w:ascii="等线" w:hAnsi="等线" w:eastAsia="等线" w:cs="等线"/>
      <w:color w:val="FF0000"/>
      <w:sz w:val="22"/>
      <w:szCs w:val="22"/>
      <w:u w:val="none"/>
    </w:rPr>
  </w:style>
  <w:style w:type="character" w:customStyle="1" w:styleId="267">
    <w:name w:val="font61"/>
    <w:basedOn w:val="43"/>
    <w:qFormat/>
    <w:uiPriority w:val="0"/>
    <w:rPr>
      <w:rFonts w:hint="default" w:ascii="等线" w:hAnsi="等线" w:eastAsia="等线" w:cs="等线"/>
      <w:color w:val="000000"/>
      <w:sz w:val="22"/>
      <w:szCs w:val="22"/>
      <w:u w:val="none"/>
    </w:rPr>
  </w:style>
  <w:style w:type="paragraph" w:customStyle="1" w:styleId="268">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69">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3">
    <w:name w:val="未处理的提及1"/>
    <w:basedOn w:val="43"/>
    <w:semiHidden/>
    <w:unhideWhenUsed/>
    <w:qFormat/>
    <w:uiPriority w:val="99"/>
    <w:rPr>
      <w:color w:val="605E5C"/>
      <w:shd w:val="clear" w:color="auto" w:fill="E1DFDD"/>
    </w:rPr>
  </w:style>
  <w:style w:type="paragraph" w:customStyle="1" w:styleId="274">
    <w:name w:val="p15"/>
    <w:basedOn w:val="1"/>
    <w:qFormat/>
    <w:uiPriority w:val="0"/>
    <w:pPr>
      <w:widowControl/>
      <w:adjustRightInd w:val="0"/>
    </w:pPr>
    <w:rPr>
      <w:rFonts w:ascii="宋体" w:hAnsi="宋体" w:cs="宋体"/>
      <w:kern w:val="0"/>
      <w:sz w:val="20"/>
      <w:szCs w:val="20"/>
    </w:rPr>
  </w:style>
  <w:style w:type="paragraph" w:customStyle="1" w:styleId="275">
    <w:name w:val="[Normal]"/>
    <w:qFormat/>
    <w:uiPriority w:val="0"/>
    <w:rPr>
      <w:rFonts w:ascii="宋体" w:hAnsi="宋体" w:eastAsia="宋体" w:cs="Times New Roman"/>
      <w:sz w:val="24"/>
      <w:szCs w:val="22"/>
      <w:lang w:val="zh-CN" w:eastAsia="zh-CN" w:bidi="ar-SA"/>
    </w:rPr>
  </w:style>
  <w:style w:type="paragraph" w:customStyle="1" w:styleId="276">
    <w:name w:val="中科软正文"/>
    <w:basedOn w:val="1"/>
    <w:link w:val="277"/>
    <w:qFormat/>
    <w:uiPriority w:val="0"/>
    <w:pPr>
      <w:autoSpaceDE w:val="0"/>
      <w:autoSpaceDN w:val="0"/>
      <w:adjustRightInd w:val="0"/>
      <w:spacing w:line="360" w:lineRule="auto"/>
      <w:ind w:firstLine="200" w:firstLineChars="200"/>
    </w:pPr>
    <w:rPr>
      <w:rFonts w:asciiTheme="minorEastAsia" w:hAnsiTheme="minorEastAsia" w:eastAsiaTheme="minorEastAsia"/>
      <w:sz w:val="24"/>
      <w:lang w:val="zh-CN"/>
    </w:rPr>
  </w:style>
  <w:style w:type="character" w:customStyle="1" w:styleId="277">
    <w:name w:val="中科软正文 Char"/>
    <w:basedOn w:val="43"/>
    <w:link w:val="276"/>
    <w:qFormat/>
    <w:uiPriority w:val="0"/>
    <w:rPr>
      <w:rFonts w:asciiTheme="minorEastAsia" w:hAnsiTheme="minorEastAsia" w:eastAsiaTheme="minorEastAsia"/>
      <w:kern w:val="2"/>
      <w:sz w:val="24"/>
      <w:szCs w:val="24"/>
      <w:lang w:val="zh-C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6C932D-7231-4E51-BE9F-8EB354D9787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55</Pages>
  <Words>5458</Words>
  <Characters>31116</Characters>
  <Lines>259</Lines>
  <Paragraphs>73</Paragraphs>
  <TotalTime>7</TotalTime>
  <ScaleCrop>false</ScaleCrop>
  <LinksUpToDate>false</LinksUpToDate>
  <CharactersWithSpaces>36501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2021-01-03T14:56:00Z</dcterms:created>
  <dc:creator>USER</dc:creator>
  <cp:lastModifiedBy>郭虹</cp:lastModifiedBy>
  <cp:lastPrinted>2020-12-30T08:12:00Z</cp:lastPrinted>
  <dcterms:modified xsi:type="dcterms:W3CDTF">2021-03-05T07:55:11Z</dcterms:modified>
  <dc:title>绍兴文理学院计算机机房设备及录播系统供货项目</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