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outlineLvl w:val="0"/>
        <w:rPr>
          <w:rFonts w:ascii="隶书" w:hAnsi="Arial" w:eastAsia="隶书" w:cs="Arial"/>
          <w:b/>
          <w:sz w:val="52"/>
          <w:szCs w:val="52"/>
        </w:rPr>
      </w:pPr>
    </w:p>
    <w:p>
      <w:pPr>
        <w:spacing w:line="312" w:lineRule="auto"/>
        <w:jc w:val="center"/>
        <w:outlineLvl w:val="0"/>
      </w:pPr>
      <w:r>
        <w:rPr>
          <w:rFonts w:hint="eastAsia" w:ascii="隶书" w:hAnsi="Arial" w:eastAsia="隶书" w:cs="Arial"/>
          <w:b/>
          <w:sz w:val="52"/>
          <w:szCs w:val="52"/>
        </w:rPr>
        <w:t>绍兴市人民检察院档案整理及数字化服务采购项目</w:t>
      </w:r>
    </w:p>
    <w:p>
      <w:pPr>
        <w:spacing w:line="312" w:lineRule="auto"/>
        <w:jc w:val="center"/>
        <w:outlineLvl w:val="0"/>
        <w:rPr>
          <w:rFonts w:ascii="隶书" w:hAnsi="Arial" w:eastAsia="隶书" w:cs="Arial"/>
          <w:b/>
          <w:sz w:val="72"/>
          <w:szCs w:val="72"/>
        </w:rPr>
      </w:pP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公</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开</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招</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标</w:t>
      </w:r>
    </w:p>
    <w:p>
      <w:pPr>
        <w:spacing w:line="312" w:lineRule="auto"/>
        <w:jc w:val="center"/>
        <w:outlineLvl w:val="0"/>
        <w:rPr>
          <w:rFonts w:ascii="隶书" w:eastAsia="隶书"/>
          <w:b/>
          <w:sz w:val="72"/>
          <w:szCs w:val="72"/>
        </w:rPr>
      </w:pPr>
      <w:r>
        <w:rPr>
          <w:rFonts w:hint="eastAsia" w:ascii="隶书" w:eastAsia="隶书"/>
          <w:b/>
          <w:sz w:val="72"/>
          <w:szCs w:val="72"/>
        </w:rPr>
        <w:t>文</w:t>
      </w:r>
    </w:p>
    <w:p>
      <w:pPr>
        <w:spacing w:line="312" w:lineRule="auto"/>
        <w:jc w:val="center"/>
        <w:outlineLvl w:val="0"/>
        <w:rPr>
          <w:rFonts w:ascii="隶书" w:eastAsia="隶书"/>
          <w:b/>
          <w:sz w:val="28"/>
          <w:szCs w:val="28"/>
        </w:rPr>
      </w:pPr>
      <w:r>
        <w:rPr>
          <w:rFonts w:hint="eastAsia" w:ascii="隶书" w:eastAsia="隶书"/>
          <w:b/>
          <w:sz w:val="72"/>
          <w:szCs w:val="72"/>
        </w:rPr>
        <w:t>件</w:t>
      </w:r>
    </w:p>
    <w:p>
      <w:pPr>
        <w:spacing w:line="312" w:lineRule="auto"/>
        <w:rPr>
          <w:rFonts w:ascii="隶书" w:eastAsia="隶书"/>
          <w:b/>
          <w:sz w:val="28"/>
          <w:szCs w:val="28"/>
        </w:rPr>
      </w:pPr>
    </w:p>
    <w:p>
      <w:pPr>
        <w:spacing w:line="312" w:lineRule="auto"/>
        <w:jc w:val="center"/>
        <w:rPr>
          <w:rFonts w:hint="default" w:ascii="隶书" w:eastAsia="隶书"/>
          <w:b/>
          <w:sz w:val="28"/>
          <w:szCs w:val="28"/>
          <w:lang w:val="en-US" w:eastAsia="zh-CN"/>
        </w:rPr>
      </w:pPr>
      <w:r>
        <w:rPr>
          <w:rFonts w:hint="eastAsia" w:ascii="隶书" w:eastAsia="隶书"/>
          <w:b/>
          <w:sz w:val="28"/>
          <w:szCs w:val="28"/>
        </w:rPr>
        <w:t>招标编号:YH202</w:t>
      </w:r>
      <w:r>
        <w:rPr>
          <w:rFonts w:hint="eastAsia" w:ascii="隶书" w:eastAsia="隶书"/>
          <w:b/>
          <w:sz w:val="28"/>
          <w:szCs w:val="28"/>
          <w:lang w:val="en-US" w:eastAsia="zh-CN"/>
        </w:rPr>
        <w:t>1</w:t>
      </w:r>
      <w:r>
        <w:rPr>
          <w:rFonts w:hint="eastAsia" w:ascii="隶书" w:eastAsia="隶书"/>
          <w:b/>
          <w:sz w:val="28"/>
          <w:szCs w:val="28"/>
        </w:rPr>
        <w:t xml:space="preserve">- </w:t>
      </w:r>
      <w:r>
        <w:rPr>
          <w:rFonts w:hint="eastAsia" w:ascii="隶书" w:eastAsia="隶书"/>
          <w:b/>
          <w:sz w:val="28"/>
          <w:szCs w:val="28"/>
          <w:lang w:val="en-US" w:eastAsia="zh-CN"/>
        </w:rPr>
        <w:t>02025</w:t>
      </w:r>
    </w:p>
    <w:tbl>
      <w:tblPr>
        <w:tblStyle w:val="44"/>
        <w:tblW w:w="78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56"/>
        <w:gridCol w:w="54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vAlign w:val="center"/>
          </w:tcPr>
          <w:p>
            <w:pPr>
              <w:spacing w:after="100" w:afterAutospacing="1"/>
              <w:rPr>
                <w:rFonts w:ascii="隶书" w:hAnsi="宋体" w:eastAsia="隶书"/>
                <w:sz w:val="28"/>
                <w:szCs w:val="28"/>
              </w:rPr>
            </w:pPr>
            <w:r>
              <w:rPr>
                <w:rFonts w:hint="eastAsia" w:ascii="隶书" w:hAnsi="宋体" w:eastAsia="隶书"/>
                <w:sz w:val="28"/>
                <w:szCs w:val="28"/>
              </w:rPr>
              <w:t>绍兴市人民检察院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kern w:val="0"/>
                <w:sz w:val="28"/>
                <w:szCs w:val="28"/>
              </w:rPr>
              <w:t>采购代理机构</w:t>
            </w:r>
            <w:r>
              <w:rPr>
                <w:rFonts w:hint="eastAsia" w:ascii="隶书" w:hAnsi="宋体" w:eastAsia="隶书"/>
                <w:sz w:val="28"/>
                <w:szCs w:val="28"/>
              </w:rPr>
              <w:t>：</w:t>
            </w:r>
          </w:p>
        </w:tc>
        <w:tc>
          <w:tcPr>
            <w:tcW w:w="5444" w:type="dxa"/>
            <w:vAlign w:val="top"/>
          </w:tcPr>
          <w:p>
            <w:pPr>
              <w:spacing w:after="100" w:afterAutospacing="1"/>
              <w:rPr>
                <w:rFonts w:ascii="隶书" w:hAnsi="宋体" w:eastAsia="隶书"/>
                <w:sz w:val="28"/>
                <w:szCs w:val="28"/>
              </w:rPr>
            </w:pPr>
            <w:r>
              <w:rPr>
                <w:rFonts w:hint="eastAsia" w:ascii="隶书" w:hAnsi="宋体" w:eastAsia="隶书"/>
                <w:sz w:val="28"/>
                <w:szCs w:val="28"/>
              </w:rPr>
              <w:t>耀华建设管理有限公司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监督单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vAlign w:val="top"/>
          </w:tcPr>
          <w:p>
            <w:pPr>
              <w:spacing w:after="100" w:afterAutospacing="1"/>
              <w:rPr>
                <w:rFonts w:ascii="隶书" w:hAnsi="宋体" w:eastAsia="隶书"/>
                <w:sz w:val="28"/>
                <w:szCs w:val="28"/>
              </w:rPr>
            </w:pPr>
            <w:r>
              <w:rPr>
                <w:rFonts w:hint="eastAsia" w:ascii="隶书" w:hAnsi="宋体" w:eastAsia="隶书"/>
                <w:sz w:val="28"/>
                <w:szCs w:val="28"/>
              </w:rPr>
              <w:t>绍兴市财政局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7800" w:type="dxa"/>
            <w:gridSpan w:val="2"/>
            <w:vAlign w:val="top"/>
          </w:tcPr>
          <w:p>
            <w:pPr>
              <w:spacing w:after="100" w:afterAutospacing="1"/>
              <w:jc w:val="center"/>
              <w:rPr>
                <w:rFonts w:ascii="隶书" w:hAnsi="宋体" w:eastAsia="隶书"/>
                <w:sz w:val="28"/>
                <w:szCs w:val="28"/>
              </w:rPr>
            </w:pP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年十二月</w:t>
            </w:r>
          </w:p>
        </w:tc>
      </w:tr>
    </w:tbl>
    <w:p>
      <w:pPr>
        <w:spacing w:line="360" w:lineRule="auto"/>
        <w:rPr>
          <w:rFonts w:ascii="仿宋" w:hAnsi="仿宋" w:eastAsia="仿宋" w:cs="仿宋"/>
          <w:b/>
          <w:sz w:val="44"/>
          <w:szCs w:val="44"/>
        </w:rPr>
      </w:pPr>
    </w:p>
    <w:p>
      <w:pP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  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600" w:lineRule="exact"/>
        <w:rPr>
          <w:rFonts w:ascii="仿宋" w:hAnsi="仿宋" w:eastAsia="仿宋" w:cs="仿宋"/>
          <w:b/>
          <w:sz w:val="36"/>
          <w:szCs w:val="36"/>
        </w:rPr>
      </w:pPr>
    </w:p>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44"/>
        <w:tblW w:w="90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0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026" w:type="dxa"/>
            <w:vAlign w:val="center"/>
          </w:tcPr>
          <w:p>
            <w:pPr>
              <w:spacing w:line="288" w:lineRule="auto"/>
              <w:rPr>
                <w:rFonts w:ascii="仿宋" w:hAnsi="仿宋" w:eastAsia="仿宋" w:cs="仿宋"/>
                <w:sz w:val="24"/>
              </w:rPr>
            </w:pPr>
          </w:p>
          <w:tbl>
            <w:tblPr>
              <w:tblStyle w:val="44"/>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vAlign w:val="top"/>
                </w:tcPr>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项目概况：  </w:t>
                  </w:r>
                </w:p>
                <w:p>
                  <w:pPr>
                    <w:widowControl/>
                    <w:snapToGrid w:val="0"/>
                    <w:spacing w:line="288" w:lineRule="auto"/>
                    <w:rPr>
                      <w:rFonts w:ascii="仿宋" w:hAnsi="仿宋" w:eastAsia="仿宋" w:cs="仿宋"/>
                      <w:kern w:val="0"/>
                      <w:sz w:val="24"/>
                    </w:rPr>
                  </w:pPr>
                  <w:r>
                    <w:rPr>
                      <w:rFonts w:hint="eastAsia" w:ascii="仿宋" w:hAnsi="仿宋" w:eastAsia="仿宋" w:cs="仿宋"/>
                      <w:kern w:val="0"/>
                      <w:sz w:val="24"/>
                    </w:rPr>
                    <w:t>绍兴市人民检察院档案整理及数字化服务采购项目的潜在投标人应在网上报名获取（下载）招标文件，并于202</w:t>
                  </w:r>
                  <w:r>
                    <w:rPr>
                      <w:rFonts w:hint="eastAsia" w:ascii="仿宋" w:hAnsi="仿宋" w:eastAsia="仿宋" w:cs="仿宋"/>
                      <w:kern w:val="0"/>
                      <w:sz w:val="24"/>
                      <w:lang w:val="en-US" w:eastAsia="zh-CN"/>
                    </w:rPr>
                    <w:t>1</w:t>
                  </w:r>
                  <w:r>
                    <w:rPr>
                      <w:rFonts w:hint="eastAsia" w:ascii="仿宋" w:hAnsi="仿宋" w:eastAsia="仿宋" w:cs="仿宋"/>
                      <w:kern w:val="0"/>
                      <w:sz w:val="24"/>
                    </w:rPr>
                    <w:t>年</w:t>
                  </w:r>
                  <w:r>
                    <w:rPr>
                      <w:rFonts w:hint="eastAsia" w:ascii="仿宋" w:hAnsi="仿宋" w:eastAsia="仿宋" w:cs="仿宋"/>
                      <w:kern w:val="0"/>
                      <w:sz w:val="24"/>
                      <w:lang w:val="en-US" w:eastAsia="zh-CN"/>
                    </w:rPr>
                    <w:t>3</w:t>
                  </w:r>
                  <w:r>
                    <w:rPr>
                      <w:rFonts w:hint="eastAsia" w:ascii="仿宋" w:hAnsi="仿宋" w:eastAsia="仿宋" w:cs="仿宋"/>
                      <w:kern w:val="0"/>
                      <w:sz w:val="24"/>
                    </w:rPr>
                    <w:t>月</w:t>
                  </w:r>
                  <w:r>
                    <w:rPr>
                      <w:rFonts w:hint="eastAsia" w:ascii="仿宋" w:hAnsi="仿宋" w:eastAsia="仿宋" w:cs="仿宋"/>
                      <w:kern w:val="0"/>
                      <w:sz w:val="24"/>
                      <w:lang w:val="en-US" w:eastAsia="zh-CN"/>
                    </w:rPr>
                    <w:t>19</w:t>
                  </w:r>
                  <w:r>
                    <w:rPr>
                      <w:rFonts w:hint="eastAsia" w:ascii="仿宋" w:hAnsi="仿宋" w:eastAsia="仿宋" w:cs="仿宋"/>
                      <w:kern w:val="0"/>
                      <w:sz w:val="24"/>
                    </w:rPr>
                    <w:t>日</w:t>
                  </w:r>
                  <w:r>
                    <w:rPr>
                      <w:rFonts w:hint="eastAsia" w:ascii="仿宋" w:hAnsi="仿宋" w:eastAsia="仿宋" w:cs="仿宋"/>
                      <w:kern w:val="0"/>
                      <w:sz w:val="24"/>
                      <w:lang w:val="en-US" w:eastAsia="zh-CN"/>
                    </w:rPr>
                    <w:t>9</w:t>
                  </w:r>
                  <w:r>
                    <w:rPr>
                      <w:rFonts w:hint="eastAsia" w:ascii="仿宋" w:hAnsi="仿宋" w:eastAsia="仿宋" w:cs="仿宋"/>
                      <w:kern w:val="0"/>
                      <w:sz w:val="24"/>
                    </w:rPr>
                    <w:t>：00（北京时间）前递交（上传）投标文件。</w:t>
                  </w:r>
                </w:p>
              </w:tc>
            </w:tr>
          </w:tbl>
          <w:p>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一、项目基本情况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项目编号：YH202</w:t>
            </w:r>
            <w:r>
              <w:rPr>
                <w:rFonts w:hint="eastAsia" w:ascii="仿宋" w:hAnsi="仿宋" w:eastAsia="仿宋" w:cs="仿宋"/>
                <w:kern w:val="0"/>
                <w:sz w:val="24"/>
                <w:lang w:val="en-US" w:eastAsia="zh-CN"/>
              </w:rPr>
              <w:t>1</w:t>
            </w:r>
            <w:bookmarkStart w:id="8" w:name="_GoBack"/>
            <w:bookmarkEnd w:id="8"/>
            <w:r>
              <w:rPr>
                <w:rFonts w:hint="eastAsia" w:ascii="仿宋" w:hAnsi="仿宋" w:eastAsia="仿宋" w:cs="仿宋"/>
                <w:kern w:val="0"/>
                <w:sz w:val="24"/>
              </w:rPr>
              <w:t>-</w:t>
            </w:r>
            <w:r>
              <w:rPr>
                <w:rFonts w:hint="eastAsia" w:ascii="仿宋" w:hAnsi="仿宋" w:eastAsia="仿宋" w:cs="仿宋"/>
                <w:kern w:val="0"/>
                <w:sz w:val="24"/>
                <w:lang w:val="en-US" w:eastAsia="zh-CN"/>
              </w:rPr>
              <w:t>02025</w:t>
            </w:r>
            <w:r>
              <w:rPr>
                <w:rFonts w:hint="eastAsia"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项目名称：绍兴市人民检察院档案整理及数字化服务采购项目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预算金额（元）：350000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最高限价（元）：350000</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采购需求：详见采购文件</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标项一:</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标项名称:绍兴市人民检察院档案整理及数字化服务采购项目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数量:1</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预算金额（元）: 350000</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简要规格描述或项目基本概况介绍、用途：详见采购文件。 </w:t>
            </w:r>
          </w:p>
          <w:p>
            <w:pPr>
              <w:pStyle w:val="63"/>
              <w:spacing w:afterLines="0" w:line="288" w:lineRule="auto"/>
              <w:ind w:left="479" w:leftChars="228" w:firstLine="0" w:firstLineChars="0"/>
              <w:rPr>
                <w:rFonts w:ascii="仿宋" w:hAnsi="仿宋" w:eastAsia="仿宋" w:cs="仿宋"/>
                <w:szCs w:val="24"/>
              </w:rPr>
            </w:pPr>
            <w:r>
              <w:rPr>
                <w:rFonts w:hint="eastAsia" w:ascii="仿宋" w:hAnsi="仿宋" w:eastAsia="仿宋" w:cs="仿宋"/>
                <w:szCs w:val="24"/>
              </w:rPr>
              <w:t>备注：无。</w:t>
            </w:r>
          </w:p>
          <w:p>
            <w:pPr>
              <w:pStyle w:val="63"/>
              <w:spacing w:afterLines="0" w:line="288" w:lineRule="auto"/>
              <w:ind w:firstLine="480"/>
              <w:rPr>
                <w:rFonts w:ascii="仿宋" w:hAnsi="仿宋" w:eastAsia="仿宋" w:cs="仿宋"/>
                <w:szCs w:val="24"/>
              </w:rPr>
            </w:pPr>
            <w:r>
              <w:rPr>
                <w:rFonts w:hint="eastAsia" w:ascii="仿宋" w:hAnsi="仿宋" w:eastAsia="仿宋" w:cs="仿宋"/>
                <w:szCs w:val="24"/>
              </w:rPr>
              <w:t>合同履约期限：按双方合同约定条款执行。</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本项目（否）接受联合体投标。</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二、申请人的资格要求：</w:t>
            </w:r>
          </w:p>
          <w:p>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2.落实政府采购政策需满足的资格要求：无。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3.本项目的特定资格要求：无。</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三、获取招标文件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时间：/至202</w:t>
            </w:r>
            <w:r>
              <w:rPr>
                <w:rFonts w:hint="eastAsia" w:ascii="仿宋" w:hAnsi="仿宋" w:eastAsia="仿宋" w:cs="仿宋"/>
                <w:kern w:val="0"/>
                <w:sz w:val="24"/>
                <w:lang w:val="en-US" w:eastAsia="zh-CN"/>
              </w:rPr>
              <w:t>1</w:t>
            </w:r>
            <w:r>
              <w:rPr>
                <w:rFonts w:hint="eastAsia" w:ascii="仿宋" w:hAnsi="仿宋" w:eastAsia="仿宋" w:cs="仿宋"/>
                <w:kern w:val="0"/>
                <w:sz w:val="24"/>
              </w:rPr>
              <w:t>年</w:t>
            </w:r>
            <w:r>
              <w:rPr>
                <w:rFonts w:hint="eastAsia" w:ascii="仿宋" w:hAnsi="仿宋" w:eastAsia="仿宋" w:cs="仿宋"/>
                <w:kern w:val="0"/>
                <w:sz w:val="24"/>
                <w:lang w:val="en-US" w:eastAsia="zh-CN"/>
              </w:rPr>
              <w:t>3</w:t>
            </w:r>
            <w:r>
              <w:rPr>
                <w:rFonts w:hint="eastAsia" w:ascii="仿宋" w:hAnsi="仿宋" w:eastAsia="仿宋" w:cs="仿宋"/>
                <w:kern w:val="0"/>
                <w:sz w:val="24"/>
              </w:rPr>
              <w:t>月</w:t>
            </w:r>
            <w:r>
              <w:rPr>
                <w:rFonts w:hint="eastAsia" w:ascii="仿宋" w:hAnsi="仿宋" w:eastAsia="仿宋" w:cs="仿宋"/>
                <w:kern w:val="0"/>
                <w:sz w:val="24"/>
                <w:lang w:val="en-US" w:eastAsia="zh-CN"/>
              </w:rPr>
              <w:t>19</w:t>
            </w:r>
            <w:r>
              <w:rPr>
                <w:rFonts w:hint="eastAsia" w:ascii="仿宋" w:hAnsi="仿宋" w:eastAsia="仿宋" w:cs="仿宋"/>
                <w:kern w:val="0"/>
                <w:sz w:val="24"/>
              </w:rPr>
              <w:t>日，每天上午00:00至12:00 ，下午12:00至23:59（北京时间，线上获取法定节假日均可，线下获取文件法定节假日除外）</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地点（网址）：</w:t>
            </w:r>
            <w:r>
              <w:rPr>
                <w:rFonts w:hint="eastAsia" w:ascii="仿宋" w:hAnsi="仿宋" w:eastAsia="仿宋" w:cs="仿宋"/>
                <w:bCs/>
                <w:kern w:val="0"/>
                <w:sz w:val="24"/>
              </w:rPr>
              <w:t>http://www.zcygov.cn/</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方式：</w:t>
            </w:r>
            <w:r>
              <w:rPr>
                <w:rFonts w:hint="eastAsia" w:ascii="仿宋" w:hAnsi="仿宋" w:eastAsia="仿宋" w:cs="仿宋"/>
                <w:bCs/>
                <w:kern w:val="0"/>
                <w:sz w:val="24"/>
              </w:rPr>
              <w:t>供应商登陆政采云平台http://www.zcygov.cn/，在线申请获取采购文件（进入“项目采购”应用，在获取采购文件菜单中选择项目，申请获取采购文件）。</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售价（元）：0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四、提交投标文件截止时间、开标时间和地点</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提交投标文件截止时间：202</w:t>
            </w:r>
            <w:r>
              <w:rPr>
                <w:rFonts w:hint="eastAsia" w:ascii="仿宋" w:hAnsi="仿宋" w:eastAsia="仿宋" w:cs="仿宋"/>
                <w:kern w:val="0"/>
                <w:sz w:val="24"/>
                <w:lang w:val="en-US" w:eastAsia="zh-CN"/>
              </w:rPr>
              <w:t>1</w:t>
            </w:r>
            <w:r>
              <w:rPr>
                <w:rFonts w:hint="eastAsia" w:ascii="仿宋" w:hAnsi="仿宋" w:eastAsia="仿宋" w:cs="仿宋"/>
                <w:kern w:val="0"/>
                <w:sz w:val="24"/>
              </w:rPr>
              <w:t>年</w:t>
            </w:r>
            <w:r>
              <w:rPr>
                <w:rFonts w:hint="eastAsia" w:ascii="仿宋" w:hAnsi="仿宋" w:eastAsia="仿宋" w:cs="仿宋"/>
                <w:kern w:val="0"/>
                <w:sz w:val="24"/>
                <w:lang w:val="en-US" w:eastAsia="zh-CN"/>
              </w:rPr>
              <w:t>3</w:t>
            </w:r>
            <w:r>
              <w:rPr>
                <w:rFonts w:hint="eastAsia" w:ascii="仿宋" w:hAnsi="仿宋" w:eastAsia="仿宋" w:cs="仿宋"/>
                <w:kern w:val="0"/>
                <w:sz w:val="24"/>
              </w:rPr>
              <w:t>月</w:t>
            </w:r>
            <w:r>
              <w:rPr>
                <w:rFonts w:hint="eastAsia" w:ascii="仿宋" w:hAnsi="仿宋" w:eastAsia="仿宋" w:cs="仿宋"/>
                <w:kern w:val="0"/>
                <w:sz w:val="24"/>
                <w:lang w:val="en-US" w:eastAsia="zh-CN"/>
              </w:rPr>
              <w:t>19</w:t>
            </w:r>
            <w:r>
              <w:rPr>
                <w:rFonts w:hint="eastAsia" w:ascii="仿宋" w:hAnsi="仿宋" w:eastAsia="仿宋" w:cs="仿宋"/>
                <w:kern w:val="0"/>
                <w:sz w:val="24"/>
              </w:rPr>
              <w:t>日</w:t>
            </w:r>
            <w:r>
              <w:rPr>
                <w:rFonts w:hint="eastAsia" w:ascii="仿宋" w:hAnsi="仿宋" w:eastAsia="仿宋" w:cs="仿宋"/>
                <w:kern w:val="0"/>
                <w:sz w:val="24"/>
                <w:lang w:val="en-US" w:eastAsia="zh-CN"/>
              </w:rPr>
              <w:t>9</w:t>
            </w:r>
            <w:r>
              <w:rPr>
                <w:rFonts w:hint="eastAsia" w:ascii="仿宋" w:hAnsi="仿宋" w:eastAsia="仿宋" w:cs="仿宋"/>
                <w:kern w:val="0"/>
                <w:sz w:val="24"/>
              </w:rPr>
              <w:t>：00（北京时间）</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投标地点（网址）：</w:t>
            </w:r>
            <w:r>
              <w:rPr>
                <w:rFonts w:hint="eastAsia" w:ascii="仿宋" w:hAnsi="仿宋" w:eastAsia="仿宋" w:cs="仿宋"/>
                <w:bCs/>
                <w:kern w:val="0"/>
                <w:sz w:val="24"/>
              </w:rPr>
              <w:t>http://www.zcygov.cn/</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开标时间：202</w:t>
            </w:r>
            <w:r>
              <w:rPr>
                <w:rFonts w:hint="eastAsia" w:ascii="仿宋" w:hAnsi="仿宋" w:eastAsia="仿宋" w:cs="仿宋"/>
                <w:kern w:val="0"/>
                <w:sz w:val="24"/>
                <w:lang w:val="en-US" w:eastAsia="zh-CN"/>
              </w:rPr>
              <w:t>1</w:t>
            </w:r>
            <w:r>
              <w:rPr>
                <w:rFonts w:hint="eastAsia" w:ascii="仿宋" w:hAnsi="仿宋" w:eastAsia="仿宋" w:cs="仿宋"/>
                <w:kern w:val="0"/>
                <w:sz w:val="24"/>
              </w:rPr>
              <w:t>年</w:t>
            </w:r>
            <w:r>
              <w:rPr>
                <w:rFonts w:hint="eastAsia" w:ascii="仿宋" w:hAnsi="仿宋" w:eastAsia="仿宋" w:cs="仿宋"/>
                <w:kern w:val="0"/>
                <w:sz w:val="24"/>
                <w:lang w:val="en-US" w:eastAsia="zh-CN"/>
              </w:rPr>
              <w:t>3</w:t>
            </w:r>
            <w:r>
              <w:rPr>
                <w:rFonts w:hint="eastAsia" w:ascii="仿宋" w:hAnsi="仿宋" w:eastAsia="仿宋" w:cs="仿宋"/>
                <w:kern w:val="0"/>
                <w:sz w:val="24"/>
              </w:rPr>
              <w:t>月</w:t>
            </w:r>
            <w:r>
              <w:rPr>
                <w:rFonts w:hint="eastAsia" w:ascii="仿宋" w:hAnsi="仿宋" w:eastAsia="仿宋" w:cs="仿宋"/>
                <w:kern w:val="0"/>
                <w:sz w:val="24"/>
                <w:lang w:val="en-US" w:eastAsia="zh-CN"/>
              </w:rPr>
              <w:t>19</w:t>
            </w:r>
            <w:r>
              <w:rPr>
                <w:rFonts w:hint="eastAsia" w:ascii="仿宋" w:hAnsi="仿宋" w:eastAsia="仿宋" w:cs="仿宋"/>
                <w:kern w:val="0"/>
                <w:sz w:val="24"/>
              </w:rPr>
              <w:t>日</w:t>
            </w:r>
            <w:r>
              <w:rPr>
                <w:rFonts w:hint="eastAsia" w:ascii="仿宋" w:hAnsi="仿宋" w:eastAsia="仿宋" w:cs="仿宋"/>
                <w:kern w:val="0"/>
                <w:sz w:val="24"/>
                <w:lang w:val="en-US" w:eastAsia="zh-CN"/>
              </w:rPr>
              <w:t>9</w:t>
            </w:r>
            <w:r>
              <w:rPr>
                <w:rFonts w:hint="eastAsia" w:ascii="仿宋" w:hAnsi="仿宋" w:eastAsia="仿宋" w:cs="仿宋"/>
                <w:kern w:val="0"/>
                <w:sz w:val="24"/>
              </w:rPr>
              <w:t>：00（北京时间）</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开标地点（网址）：</w:t>
            </w:r>
            <w:r>
              <w:rPr>
                <w:rFonts w:hint="eastAsia" w:ascii="仿宋" w:hAnsi="仿宋" w:eastAsia="仿宋" w:cs="仿宋"/>
                <w:bCs/>
                <w:sz w:val="24"/>
              </w:rPr>
              <w:t>耀华建设管理有限公司绍兴迪荡分公司（</w:t>
            </w:r>
            <w:r>
              <w:rPr>
                <w:rFonts w:hint="eastAsia" w:ascii="仿宋" w:hAnsi="仿宋" w:eastAsia="仿宋" w:cs="仿宋"/>
                <w:kern w:val="0"/>
                <w:sz w:val="24"/>
              </w:rPr>
              <w:t>绍兴市越城区阳明北路80号滨江大厦C楼3楼9/10号</w:t>
            </w:r>
            <w:r>
              <w:rPr>
                <w:rFonts w:hint="eastAsia" w:ascii="仿宋" w:hAnsi="仿宋" w:eastAsia="仿宋" w:cs="仿宋"/>
                <w:bCs/>
                <w:sz w:val="24"/>
              </w:rPr>
              <w:t>）开标室</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五、公告期限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自本公告发布之日起5个工作日。</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六、其他补充事宜</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2.其他事项：无。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七、对本次采购提出询问、质疑、投诉，请按以下方式联系</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1.采购人信息</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名称：绍兴市人民检察院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地址： 绍兴市越城区人民东路310号</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hint="eastAsia" w:ascii="仿宋" w:hAnsi="仿宋" w:eastAsia="仿宋" w:cs="仿宋"/>
                <w:color w:val="auto"/>
                <w:kern w:val="0"/>
                <w:sz w:val="24"/>
                <w:lang w:eastAsia="zh-CN"/>
              </w:rPr>
            </w:pPr>
            <w:r>
              <w:rPr>
                <w:rFonts w:hint="eastAsia" w:ascii="仿宋" w:hAnsi="仿宋" w:eastAsia="仿宋" w:cs="仿宋"/>
                <w:color w:val="auto"/>
                <w:kern w:val="0"/>
                <w:sz w:val="24"/>
              </w:rPr>
              <w:t>项目联系人（询问）：</w:t>
            </w:r>
            <w:r>
              <w:rPr>
                <w:rFonts w:hint="eastAsia" w:ascii="仿宋" w:hAnsi="仿宋" w:eastAsia="仿宋" w:cs="仿宋"/>
                <w:color w:val="auto"/>
                <w:kern w:val="0"/>
                <w:sz w:val="24"/>
                <w:lang w:eastAsia="zh-CN"/>
              </w:rPr>
              <w:t>邵卓苑</w:t>
            </w:r>
          </w:p>
          <w:p>
            <w:pPr>
              <w:widowControl/>
              <w:snapToGrid w:val="0"/>
              <w:spacing w:line="288" w:lineRule="auto"/>
              <w:ind w:firstLine="480" w:firstLineChars="200"/>
              <w:rPr>
                <w:rFonts w:hint="default" w:ascii="仿宋" w:hAnsi="仿宋" w:eastAsia="仿宋" w:cs="仿宋"/>
                <w:color w:val="auto"/>
                <w:kern w:val="0"/>
                <w:sz w:val="24"/>
                <w:lang w:val="en-US" w:eastAsia="zh-CN"/>
              </w:rPr>
            </w:pPr>
            <w:r>
              <w:rPr>
                <w:rFonts w:hint="eastAsia" w:ascii="仿宋" w:hAnsi="仿宋" w:eastAsia="仿宋" w:cs="仿宋"/>
                <w:color w:val="auto"/>
                <w:kern w:val="0"/>
                <w:sz w:val="24"/>
              </w:rPr>
              <w:t>项目联系方式（询问）：</w:t>
            </w:r>
            <w:r>
              <w:rPr>
                <w:rFonts w:hint="eastAsia" w:ascii="仿宋" w:hAnsi="仿宋" w:eastAsia="仿宋" w:cs="仿宋"/>
                <w:color w:val="auto"/>
                <w:kern w:val="0"/>
                <w:sz w:val="24"/>
                <w:lang w:val="en-US" w:eastAsia="zh-CN"/>
              </w:rPr>
              <w:t>0575-88586150</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质疑联系人：</w:t>
            </w:r>
            <w:r>
              <w:rPr>
                <w:rFonts w:hint="eastAsia" w:ascii="仿宋" w:hAnsi="仿宋" w:eastAsia="仿宋" w:cs="仿宋"/>
                <w:color w:val="auto"/>
                <w:kern w:val="0"/>
                <w:sz w:val="24"/>
                <w:lang w:eastAsia="zh-CN"/>
              </w:rPr>
              <w:t>邵卓苑</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质疑联系方式：</w:t>
            </w:r>
            <w:r>
              <w:rPr>
                <w:rFonts w:hint="eastAsia" w:ascii="仿宋" w:hAnsi="仿宋" w:eastAsia="仿宋" w:cs="仿宋"/>
                <w:color w:val="auto"/>
                <w:kern w:val="0"/>
                <w:sz w:val="24"/>
                <w:lang w:val="en-US" w:eastAsia="zh-CN"/>
              </w:rPr>
              <w:t>0575-88586150</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2.采购代理机构信息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名称：耀华建设管理有限公司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地址：绍兴市越城区阳明北路80号滨江大厦C楼3楼9/10室</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传真：0575-88776697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项目联系人（询问）：郭虹</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项目联系方式（询问）：0575-88776697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质疑联系人：单成燕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质疑联系方式：0575-88336881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3.同级政府采购监督管理部门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名称：绍兴市财政局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地址：绍兴市越城区凤林西路151号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传真：0575-85209806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联系人 ：应春兴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监督投诉电话：0575-85209806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若对项目采购电子交易系统操作有疑问，可登录政采云（https://www.zcygov.cn/），点击右侧咨询小采，获取采小蜜智能服务管家帮助，或拨打政采云服务热线400-881-7190获取热线服务帮助。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CA问题联系电话（人工）：汇信CA 400-888-4636；天谷CA 400-087-8198。</w:t>
            </w:r>
          </w:p>
        </w:tc>
      </w:tr>
    </w:tbl>
    <w:p>
      <w:pPr>
        <w:widowControl/>
        <w:spacing w:line="288" w:lineRule="auto"/>
        <w:jc w:val="left"/>
        <w:rPr>
          <w:rFonts w:ascii="仿宋" w:hAnsi="仿宋" w:eastAsia="仿宋" w:cs="仿宋"/>
          <w:kern w:val="0"/>
          <w:sz w:val="24"/>
        </w:rPr>
      </w:pPr>
    </w:p>
    <w:p>
      <w:pPr>
        <w:widowControl/>
        <w:spacing w:line="288" w:lineRule="auto"/>
        <w:jc w:val="left"/>
        <w:rPr>
          <w:rFonts w:ascii="仿宋" w:hAnsi="仿宋" w:eastAsia="仿宋" w:cs="仿宋"/>
          <w:kern w:val="0"/>
          <w:sz w:val="24"/>
        </w:rPr>
      </w:pPr>
      <w:r>
        <w:rPr>
          <w:rFonts w:hint="eastAsia" w:ascii="仿宋" w:hAnsi="仿宋" w:eastAsia="仿宋" w:cs="仿宋"/>
          <w:sz w:val="24"/>
        </w:rPr>
        <w:br w:type="page"/>
      </w:r>
    </w:p>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第二部分 投标须知</w:t>
      </w:r>
    </w:p>
    <w:p>
      <w:pPr>
        <w:spacing w:line="288" w:lineRule="auto"/>
        <w:ind w:left="238"/>
        <w:jc w:val="center"/>
        <w:rPr>
          <w:rFonts w:ascii="仿宋" w:hAnsi="仿宋" w:eastAsia="仿宋" w:cs="仿宋"/>
          <w:b/>
          <w:sz w:val="24"/>
        </w:rPr>
      </w:pPr>
      <w:r>
        <w:rPr>
          <w:rFonts w:hint="eastAsia" w:ascii="仿宋" w:hAnsi="仿宋" w:eastAsia="仿宋" w:cs="仿宋"/>
          <w:b/>
          <w:sz w:val="24"/>
        </w:rPr>
        <w:t>前附表</w:t>
      </w:r>
    </w:p>
    <w:tbl>
      <w:tblPr>
        <w:tblStyle w:val="4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371"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b/>
                <w:sz w:val="24"/>
              </w:rPr>
              <w:t>投标人应当提交的资格、资信证明文件</w:t>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b/>
                <w:sz w:val="24"/>
              </w:rPr>
              <w:t>（1）相关证明文件：</w:t>
            </w:r>
            <w:r>
              <w:rPr>
                <w:rFonts w:hint="eastAsia" w:ascii="仿宋" w:hAnsi="仿宋" w:eastAsia="仿宋" w:cs="仿宋"/>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288" w:lineRule="auto"/>
              <w:rPr>
                <w:rFonts w:ascii="仿宋" w:hAnsi="仿宋" w:eastAsia="仿宋" w:cs="仿宋"/>
                <w:sz w:val="24"/>
              </w:rPr>
            </w:pPr>
            <w:r>
              <w:rPr>
                <w:rFonts w:hint="eastAsia" w:ascii="仿宋" w:hAnsi="仿宋" w:eastAsia="仿宋" w:cs="仿宋"/>
                <w:b/>
                <w:sz w:val="24"/>
              </w:rPr>
              <w:t>（2）资信证明文件（如果有，按招标文件第三部分招标项目范围及要求和第五部分评分标准提供）。</w:t>
            </w:r>
          </w:p>
          <w:p>
            <w:pPr>
              <w:snapToGrid w:val="0"/>
              <w:spacing w:line="288" w:lineRule="auto"/>
              <w:rPr>
                <w:rFonts w:ascii="仿宋" w:hAnsi="仿宋" w:eastAsia="仿宋" w:cs="仿宋"/>
                <w:sz w:val="24"/>
                <w:u w:val="single"/>
              </w:rPr>
            </w:pPr>
            <w:r>
              <w:rPr>
                <w:rFonts w:hint="eastAsia" w:ascii="仿宋" w:hAnsi="仿宋" w:eastAsia="仿宋" w:cs="仿宋"/>
                <w:b/>
                <w:sz w:val="24"/>
              </w:rPr>
              <w:t>（3）特许资格、资信证明文件（如果有）：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8371"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hint="eastAsia" w:ascii="仿宋" w:hAnsi="仿宋" w:eastAsia="仿宋" w:cs="仿宋"/>
                <w:b/>
                <w:sz w:val="24"/>
              </w:rPr>
              <w:t>1.资格后审。</w:t>
            </w:r>
          </w:p>
          <w:p>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8371" w:type="dxa"/>
            <w:gridSpan w:val="2"/>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分包或转包：</w:t>
            </w:r>
            <w:r>
              <w:rPr>
                <w:rFonts w:hint="eastAsia" w:ascii="仿宋" w:hAnsi="仿宋" w:eastAsia="仿宋" w:cs="仿宋"/>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371"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8371"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演示(讲解)：无。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55"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855"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投标截止时间前</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288" w:lineRule="auto"/>
              <w:jc w:val="center"/>
              <w:rPr>
                <w:rFonts w:ascii="仿宋" w:hAnsi="仿宋" w:eastAsia="仿宋" w:cs="仿宋"/>
                <w:sz w:val="24"/>
              </w:rPr>
            </w:pPr>
          </w:p>
        </w:tc>
        <w:tc>
          <w:tcPr>
            <w:tcW w:w="855" w:type="dxa"/>
            <w:vMerge w:val="continue"/>
            <w:vAlign w:val="center"/>
          </w:tcPr>
          <w:p>
            <w:pPr>
              <w:snapToGrid w:val="0"/>
              <w:spacing w:line="288" w:lineRule="auto"/>
              <w:rPr>
                <w:rFonts w:ascii="仿宋" w:hAnsi="仿宋" w:eastAsia="仿宋" w:cs="仿宋"/>
                <w:b/>
                <w:sz w:val="24"/>
              </w:rPr>
            </w:pP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288" w:lineRule="auto"/>
              <w:jc w:val="center"/>
              <w:rPr>
                <w:rFonts w:ascii="仿宋" w:hAnsi="仿宋" w:eastAsia="仿宋" w:cs="仿宋"/>
                <w:sz w:val="24"/>
              </w:rPr>
            </w:pPr>
          </w:p>
        </w:tc>
        <w:tc>
          <w:tcPr>
            <w:tcW w:w="855" w:type="dxa"/>
            <w:vMerge w:val="continue"/>
            <w:vAlign w:val="center"/>
          </w:tcPr>
          <w:p>
            <w:pPr>
              <w:snapToGrid w:val="0"/>
              <w:spacing w:line="288" w:lineRule="auto"/>
              <w:rPr>
                <w:rFonts w:ascii="仿宋" w:hAnsi="仿宋" w:eastAsia="仿宋" w:cs="仿宋"/>
                <w:b/>
                <w:sz w:val="24"/>
              </w:rPr>
            </w:pP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11</w:t>
            </w:r>
          </w:p>
        </w:tc>
        <w:tc>
          <w:tcPr>
            <w:tcW w:w="8371"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288" w:lineRule="auto"/>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14</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288" w:lineRule="auto"/>
              <w:rPr>
                <w:rFonts w:ascii="仿宋" w:hAnsi="仿宋" w:eastAsia="仿宋" w:cs="仿宋"/>
                <w:sz w:val="24"/>
              </w:rPr>
            </w:pPr>
            <w:r>
              <w:rPr>
                <w:rFonts w:hint="eastAsia" w:ascii="仿宋" w:hAnsi="仿宋" w:eastAsia="仿宋" w:cs="仿宋"/>
                <w:sz w:val="24"/>
              </w:rPr>
              <w:t>供应商将政采云电子交易客户端下载、安装完成后，可通过账号密码或CA登录客户端进行投标文件制作。在使用政采云投标客户端时，建议使用WIN7及以上操作系统。</w:t>
            </w:r>
          </w:p>
          <w:p>
            <w:pPr>
              <w:snapToGrid w:val="0"/>
              <w:spacing w:line="288" w:lineRule="auto"/>
              <w:rPr>
                <w:rFonts w:ascii="仿宋" w:hAnsi="仿宋" w:eastAsia="仿宋" w:cs="仿宋"/>
                <w:sz w:val="24"/>
              </w:rPr>
            </w:pPr>
            <w:r>
              <w:rPr>
                <w:rFonts w:hint="eastAsia" w:ascii="仿宋" w:hAnsi="仿宋" w:eastAsia="仿宋" w:cs="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288" w:lineRule="auto"/>
              <w:jc w:val="left"/>
              <w:rPr>
                <w:rFonts w:ascii="仿宋" w:hAnsi="仿宋" w:eastAsia="仿宋" w:cs="仿宋"/>
                <w:sz w:val="24"/>
              </w:rPr>
            </w:pPr>
            <w:r>
              <w:rPr>
                <w:rFonts w:hint="eastAsia" w:ascii="仿宋" w:hAnsi="仿宋" w:eastAsia="仿宋" w:cs="仿宋"/>
                <w:sz w:val="24"/>
              </w:rPr>
              <w:t>《CA申领操作指南》：https://help.zcygov.cn/web/site_2/2018/11-29/2452.html</w:t>
            </w:r>
          </w:p>
          <w:p>
            <w:pPr>
              <w:snapToGrid w:val="0"/>
              <w:spacing w:line="288" w:lineRule="auto"/>
              <w:jc w:val="left"/>
              <w:rPr>
                <w:rFonts w:ascii="仿宋" w:hAnsi="仿宋" w:eastAsia="仿宋" w:cs="仿宋"/>
                <w:sz w:val="24"/>
              </w:rPr>
            </w:pPr>
            <w:r>
              <w:rPr>
                <w:rFonts w:hint="eastAsia" w:ascii="仿宋" w:hAnsi="仿宋" w:eastAsia="仿宋" w:cs="仿宋"/>
                <w:sz w:val="24"/>
              </w:rPr>
              <w:t>《CA管理操作指南》：https://help.zcygov.cn/web/site_2/2019/08-20/3405.html</w:t>
            </w:r>
          </w:p>
          <w:p>
            <w:pPr>
              <w:snapToGrid w:val="0"/>
              <w:spacing w:line="288" w:lineRule="auto"/>
              <w:rPr>
                <w:rFonts w:ascii="仿宋" w:hAnsi="仿宋" w:eastAsia="仿宋" w:cs="仿宋"/>
                <w:sz w:val="24"/>
              </w:rPr>
            </w:pPr>
            <w:r>
              <w:rPr>
                <w:rFonts w:hint="eastAsia" w:ascii="仿宋" w:hAnsi="仿宋" w:eastAsia="仿宋" w:cs="仿宋"/>
                <w:sz w:val="24"/>
              </w:rPr>
              <w:t>《CA驱动和申领流程》:</w:t>
            </w:r>
          </w:p>
          <w:p>
            <w:pPr>
              <w:snapToGrid w:val="0"/>
              <w:spacing w:line="288" w:lineRule="auto"/>
              <w:rPr>
                <w:rFonts w:ascii="仿宋" w:hAnsi="仿宋" w:eastAsia="仿宋" w:cs="仿宋"/>
                <w:sz w:val="24"/>
              </w:rPr>
            </w:pPr>
            <w:r>
              <w:rPr>
                <w:rFonts w:hint="eastAsia" w:ascii="仿宋" w:hAnsi="仿宋" w:eastAsia="仿宋" w:cs="仿宋"/>
                <w:sz w:val="24"/>
              </w:rPr>
              <w:t>http://zfcg.czt.zj.gov.cn//bidClientTemplate/2019-05-27/12945.html</w:t>
            </w:r>
          </w:p>
          <w:p>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51"/>
                <w:rFonts w:hint="eastAsia" w:ascii="仿宋" w:hAnsi="仿宋" w:eastAsia="仿宋" w:cs="仿宋"/>
                <w:color w:val="auto"/>
                <w:sz w:val="24"/>
              </w:rPr>
              <w:t>https://help.zcygov.cn/web/site_2/2018/12-28/2573.html</w:t>
            </w:r>
            <w:r>
              <w:rPr>
                <w:rStyle w:val="51"/>
                <w:rFonts w:hint="eastAsia" w:ascii="仿宋" w:hAnsi="仿宋" w:eastAsia="仿宋" w:cs="仿宋"/>
                <w:color w:val="auto"/>
                <w:sz w:val="24"/>
              </w:rPr>
              <w:fldChar w:fldCharType="end"/>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15</w:t>
            </w:r>
          </w:p>
        </w:tc>
        <w:tc>
          <w:tcPr>
            <w:tcW w:w="8371" w:type="dxa"/>
            <w:gridSpan w:val="2"/>
            <w:vAlign w:val="center"/>
          </w:tcPr>
          <w:p>
            <w:pPr>
              <w:spacing w:line="340" w:lineRule="exact"/>
              <w:rPr>
                <w:rFonts w:ascii="仿宋" w:hAnsi="仿宋" w:eastAsia="仿宋" w:cs="仿宋"/>
                <w:sz w:val="24"/>
              </w:rPr>
            </w:pPr>
            <w:r>
              <w:rPr>
                <w:rFonts w:hint="eastAsia" w:ascii="仿宋" w:hAnsi="仿宋" w:eastAsia="仿宋" w:cs="仿宋"/>
                <w:sz w:val="24"/>
              </w:rPr>
              <w:t>中标人须向招标代理机构交纳代理服务费：</w:t>
            </w:r>
          </w:p>
          <w:p>
            <w:pPr>
              <w:spacing w:line="340" w:lineRule="exac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eastAsia="zh-CN"/>
              </w:rPr>
              <w:t>中标人需向招标代理机构交纳代理服务费</w:t>
            </w:r>
            <w:r>
              <w:rPr>
                <w:rFonts w:hint="eastAsia" w:ascii="仿宋" w:hAnsi="仿宋" w:eastAsia="仿宋" w:cs="仿宋"/>
                <w:sz w:val="24"/>
                <w:lang w:val="en-US" w:eastAsia="zh-CN"/>
              </w:rPr>
              <w:t>5250元</w:t>
            </w:r>
            <w:r>
              <w:rPr>
                <w:rFonts w:hint="eastAsia" w:ascii="仿宋" w:hAnsi="仿宋" w:eastAsia="仿宋" w:cs="仿宋"/>
                <w:sz w:val="24"/>
              </w:rPr>
              <w:t>。</w:t>
            </w:r>
          </w:p>
          <w:p>
            <w:pPr>
              <w:spacing w:line="340" w:lineRule="exact"/>
              <w:rPr>
                <w:rFonts w:ascii="仿宋" w:hAnsi="仿宋" w:eastAsia="仿宋" w:cs="仿宋"/>
                <w:sz w:val="24"/>
              </w:rPr>
            </w:pPr>
            <w:r>
              <w:rPr>
                <w:rFonts w:hint="eastAsia" w:ascii="仿宋" w:hAnsi="仿宋" w:eastAsia="仿宋" w:cs="仿宋"/>
                <w:sz w:val="24"/>
              </w:rPr>
              <w:t>（2）本项目招标评审所产生的评审费用由中标单位支付（备注：评审费不提供发票，只提供评委签收单据）。</w:t>
            </w:r>
          </w:p>
          <w:p>
            <w:pPr>
              <w:spacing w:line="340" w:lineRule="exact"/>
              <w:rPr>
                <w:rFonts w:ascii="仿宋" w:hAnsi="仿宋" w:eastAsia="仿宋" w:cs="仿宋"/>
                <w:sz w:val="24"/>
              </w:rPr>
            </w:pPr>
            <w:r>
              <w:rPr>
                <w:rFonts w:hint="eastAsia" w:ascii="仿宋" w:hAnsi="仿宋" w:eastAsia="仿宋" w:cs="仿宋"/>
                <w:sz w:val="24"/>
              </w:rPr>
              <w:t>（3）代理服务费的交纳方式：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用银行支票、汇票、电汇、现金等付款方式直接交纳代理服务费。</w:t>
            </w:r>
          </w:p>
          <w:p>
            <w:pPr>
              <w:spacing w:line="340" w:lineRule="exact"/>
              <w:rPr>
                <w:rFonts w:ascii="仿宋" w:hAnsi="仿宋" w:eastAsia="仿宋" w:cs="仿宋"/>
                <w:sz w:val="24"/>
              </w:rPr>
            </w:pPr>
            <w:r>
              <w:rPr>
                <w:rFonts w:hint="eastAsia" w:ascii="仿宋" w:hAnsi="仿宋" w:eastAsia="仿宋" w:cs="仿宋"/>
                <w:sz w:val="24"/>
              </w:rPr>
              <w:t>公司名称：耀华建设管理有限公司绍兴迪荡分公司</w:t>
            </w:r>
          </w:p>
          <w:p>
            <w:pPr>
              <w:spacing w:line="340" w:lineRule="exact"/>
              <w:rPr>
                <w:rFonts w:ascii="仿宋" w:hAnsi="仿宋" w:eastAsia="仿宋" w:cs="仿宋"/>
                <w:sz w:val="24"/>
              </w:rPr>
            </w:pPr>
            <w:r>
              <w:rPr>
                <w:rFonts w:hint="eastAsia" w:ascii="仿宋" w:hAnsi="仿宋" w:eastAsia="仿宋" w:cs="仿宋"/>
                <w:sz w:val="24"/>
              </w:rPr>
              <w:t>账    号：336006190018819003083</w:t>
            </w:r>
          </w:p>
          <w:p>
            <w:pPr>
              <w:spacing w:line="340" w:lineRule="exact"/>
              <w:rPr>
                <w:rFonts w:ascii="仿宋" w:hAnsi="仿宋" w:eastAsia="仿宋" w:cs="仿宋"/>
                <w:sz w:val="24"/>
              </w:rPr>
            </w:pPr>
            <w:r>
              <w:rPr>
                <w:rFonts w:hint="eastAsia" w:ascii="仿宋" w:hAnsi="仿宋" w:eastAsia="仿宋" w:cs="仿宋"/>
                <w:sz w:val="24"/>
              </w:rPr>
              <w:t>开 户 行：交通银行股份有限公司绍兴迪荡支行</w:t>
            </w:r>
          </w:p>
          <w:p>
            <w:pPr>
              <w:snapToGrid w:val="0"/>
              <w:spacing w:line="288" w:lineRule="auto"/>
              <w:rPr>
                <w:rFonts w:ascii="仿宋" w:hAnsi="仿宋" w:eastAsia="仿宋" w:cs="仿宋"/>
                <w:sz w:val="24"/>
              </w:rPr>
            </w:pPr>
            <w:r>
              <w:rPr>
                <w:rFonts w:hint="eastAsia" w:ascii="仿宋" w:hAnsi="仿宋" w:eastAsia="仿宋" w:cs="仿宋"/>
                <w:sz w:val="24"/>
              </w:rPr>
              <w:t>（4）领取中标通知书前交纳。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snapToGrid w:val="0"/>
        <w:spacing w:line="284" w:lineRule="auto"/>
        <w:rPr>
          <w:rFonts w:ascii="仿宋" w:hAnsi="仿宋" w:eastAsia="仿宋" w:cs="仿宋"/>
          <w:b/>
          <w:sz w:val="36"/>
          <w:szCs w:val="36"/>
        </w:rPr>
      </w:pPr>
    </w:p>
    <w:p>
      <w:pPr>
        <w:rPr>
          <w:rFonts w:hint="eastAsia" w:ascii="仿宋" w:hAnsi="仿宋" w:eastAsia="仿宋" w:cs="仿宋"/>
          <w:b/>
          <w:sz w:val="36"/>
          <w:szCs w:val="36"/>
        </w:rPr>
      </w:pPr>
      <w:r>
        <w:rPr>
          <w:rFonts w:hint="eastAsia" w:ascii="仿宋" w:hAnsi="仿宋" w:eastAsia="仿宋" w:cs="仿宋"/>
          <w:b/>
          <w:sz w:val="36"/>
          <w:szCs w:val="36"/>
        </w:rPr>
        <w:br w:type="page"/>
      </w: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284" w:lineRule="auto"/>
        <w:jc w:val="left"/>
        <w:rPr>
          <w:rFonts w:ascii="仿宋" w:hAnsi="仿宋" w:eastAsia="仿宋" w:cs="仿宋"/>
          <w:b/>
          <w:sz w:val="24"/>
        </w:rPr>
      </w:pPr>
      <w:r>
        <w:rPr>
          <w:rFonts w:hint="eastAsia" w:ascii="仿宋" w:hAnsi="仿宋" w:eastAsia="仿宋" w:cs="仿宋"/>
          <w:b/>
          <w:sz w:val="24"/>
        </w:rPr>
        <w:t>1.项目说明</w:t>
      </w:r>
    </w:p>
    <w:p>
      <w:pPr>
        <w:snapToGrid w:val="0"/>
        <w:spacing w:line="284" w:lineRule="auto"/>
        <w:jc w:val="left"/>
        <w:rPr>
          <w:rFonts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284" w:lineRule="auto"/>
        <w:jc w:val="left"/>
        <w:rPr>
          <w:rFonts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284" w:lineRule="auto"/>
        <w:jc w:val="left"/>
        <w:rPr>
          <w:rFonts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284" w:lineRule="auto"/>
        <w:jc w:val="left"/>
        <w:rPr>
          <w:rFonts w:ascii="仿宋" w:hAnsi="仿宋" w:eastAsia="仿宋" w:cs="仿宋"/>
          <w:sz w:val="24"/>
        </w:rPr>
      </w:pPr>
      <w:r>
        <w:rPr>
          <w:rFonts w:hint="eastAsia" w:ascii="仿宋" w:hAnsi="仿宋" w:eastAsia="仿宋" w:cs="仿宋"/>
          <w:sz w:val="24"/>
        </w:rPr>
        <w:t>1.4本招标文件所称公章是指单位法定名称章或者冠以法定名称的投标业务专用章或单位法定名称电子公章。</w:t>
      </w:r>
    </w:p>
    <w:p>
      <w:pPr>
        <w:snapToGrid w:val="0"/>
        <w:spacing w:line="284" w:lineRule="auto"/>
        <w:jc w:val="left"/>
        <w:rPr>
          <w:rFonts w:ascii="仿宋" w:hAnsi="仿宋" w:eastAsia="仿宋" w:cs="仿宋"/>
          <w:b/>
          <w:sz w:val="24"/>
        </w:rPr>
      </w:pPr>
      <w:r>
        <w:rPr>
          <w:rFonts w:hint="eastAsia" w:ascii="仿宋" w:hAnsi="仿宋" w:eastAsia="仿宋" w:cs="仿宋"/>
          <w:b/>
          <w:sz w:val="24"/>
        </w:rPr>
        <w:t>2.定义</w:t>
      </w:r>
    </w:p>
    <w:p>
      <w:pPr>
        <w:snapToGrid w:val="0"/>
        <w:spacing w:line="284" w:lineRule="auto"/>
        <w:jc w:val="left"/>
        <w:rPr>
          <w:rFonts w:ascii="仿宋" w:hAnsi="仿宋" w:eastAsia="仿宋" w:cs="仿宋"/>
          <w:sz w:val="24"/>
        </w:rPr>
      </w:pPr>
      <w:r>
        <w:rPr>
          <w:rFonts w:hint="eastAsia" w:ascii="仿宋" w:hAnsi="仿宋" w:eastAsia="仿宋" w:cs="仿宋"/>
          <w:sz w:val="24"/>
        </w:rPr>
        <w:t>2.1政府采购当事人及监管部门：绍兴市人民检察院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284" w:lineRule="auto"/>
        <w:jc w:val="left"/>
        <w:rPr>
          <w:rFonts w:ascii="仿宋" w:hAnsi="仿宋" w:eastAsia="仿宋" w:cs="仿宋"/>
          <w:sz w:val="24"/>
        </w:rPr>
      </w:pPr>
      <w:r>
        <w:rPr>
          <w:rFonts w:hint="eastAsia" w:ascii="仿宋" w:hAnsi="仿宋" w:eastAsia="仿宋" w:cs="仿宋"/>
          <w:sz w:val="24"/>
        </w:rPr>
        <w:t>2.2“产品”系指供方按招标文件规定，经合法途径取得的，须向采购人提供的一切产品、保险、税金、安装、施工、调试、备品备件、工具、手册及其它有关技术资料和材料。</w:t>
      </w:r>
    </w:p>
    <w:p>
      <w:pPr>
        <w:snapToGrid w:val="0"/>
        <w:spacing w:line="284" w:lineRule="auto"/>
        <w:jc w:val="left"/>
        <w:rPr>
          <w:rFonts w:ascii="仿宋" w:hAnsi="仿宋" w:eastAsia="仿宋" w:cs="仿宋"/>
          <w:sz w:val="24"/>
        </w:rPr>
      </w:pPr>
      <w:r>
        <w:rPr>
          <w:rFonts w:hint="eastAsia" w:ascii="仿宋" w:hAnsi="仿宋" w:eastAsia="仿宋" w:cs="仿宋"/>
          <w:sz w:val="24"/>
        </w:rPr>
        <w:t>2.3“服务”系指招标文件规定投标人须承担的安装、调试、技术协助、校准、培训、技术指导以及其他类似的义务。</w:t>
      </w:r>
    </w:p>
    <w:p>
      <w:pPr>
        <w:snapToGrid w:val="0"/>
        <w:spacing w:line="284" w:lineRule="auto"/>
        <w:jc w:val="left"/>
        <w:rPr>
          <w:rFonts w:ascii="仿宋" w:hAnsi="仿宋" w:eastAsia="仿宋" w:cs="仿宋"/>
          <w:sz w:val="24"/>
        </w:rPr>
      </w:pPr>
      <w:r>
        <w:rPr>
          <w:rFonts w:hint="eastAsia" w:ascii="仿宋" w:hAnsi="仿宋" w:eastAsia="仿宋" w:cs="仿宋"/>
          <w:sz w:val="24"/>
        </w:rPr>
        <w:t>2.4“项目”系指投标人按招标文件规定向采购人提供的产品和服务。</w:t>
      </w:r>
    </w:p>
    <w:p>
      <w:pPr>
        <w:snapToGrid w:val="0"/>
        <w:spacing w:line="284" w:lineRule="auto"/>
        <w:jc w:val="left"/>
        <w:rPr>
          <w:rFonts w:ascii="仿宋" w:hAnsi="仿宋" w:eastAsia="仿宋" w:cs="仿宋"/>
          <w:sz w:val="24"/>
        </w:rPr>
      </w:pPr>
      <w:r>
        <w:rPr>
          <w:rFonts w:hint="eastAsia" w:ascii="仿宋" w:hAnsi="仿宋" w:eastAsia="仿宋" w:cs="仿宋"/>
          <w:sz w:val="24"/>
        </w:rPr>
        <w:t>2.5“授权代表”系指法定代表人的被授权委托人。</w:t>
      </w:r>
    </w:p>
    <w:p>
      <w:pPr>
        <w:snapToGrid w:val="0"/>
        <w:spacing w:line="284" w:lineRule="auto"/>
        <w:jc w:val="left"/>
        <w:rPr>
          <w:rFonts w:ascii="仿宋" w:hAnsi="仿宋" w:eastAsia="仿宋" w:cs="仿宋"/>
          <w:sz w:val="24"/>
        </w:rPr>
      </w:pPr>
      <w:r>
        <w:rPr>
          <w:rFonts w:hint="eastAsia" w:ascii="仿宋" w:hAnsi="仿宋" w:eastAsia="仿宋" w:cs="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284" w:lineRule="auto"/>
        <w:rPr>
          <w:rFonts w:ascii="仿宋" w:hAnsi="仿宋" w:eastAsia="仿宋" w:cs="仿宋"/>
          <w:b/>
          <w:sz w:val="24"/>
        </w:rPr>
      </w:pPr>
      <w:r>
        <w:rPr>
          <w:rFonts w:hint="eastAsia" w:ascii="仿宋" w:hAnsi="仿宋" w:eastAsia="仿宋" w:cs="仿宋"/>
          <w:b/>
          <w:sz w:val="24"/>
        </w:rPr>
        <w:t>3.采购项目需要落实的政府采购政策</w:t>
      </w:r>
    </w:p>
    <w:p>
      <w:pPr>
        <w:spacing w:line="284" w:lineRule="auto"/>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pPr>
        <w:spacing w:line="284" w:lineRule="auto"/>
        <w:rPr>
          <w:rFonts w:ascii="仿宋" w:hAnsi="仿宋" w:eastAsia="仿宋" w:cs="仿宋"/>
          <w:sz w:val="24"/>
        </w:rPr>
      </w:pPr>
      <w:r>
        <w:rPr>
          <w:rFonts w:hint="eastAsia" w:ascii="仿宋" w:hAnsi="仿宋" w:eastAsia="仿宋" w:cs="仿宋"/>
          <w:sz w:val="24"/>
        </w:rPr>
        <w:t>3.2 节能环保要求</w:t>
      </w:r>
    </w:p>
    <w:p>
      <w:pPr>
        <w:spacing w:line="284"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4"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4"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小型、微型</w:t>
      </w:r>
      <w:r>
        <w:rPr>
          <w:rFonts w:hint="eastAsia" w:ascii="仿宋" w:hAnsi="仿宋" w:eastAsia="仿宋" w:cs="仿宋"/>
          <w:sz w:val="24"/>
        </w:rPr>
        <w:t>企业价格扣除。</w:t>
      </w:r>
    </w:p>
    <w:p>
      <w:pPr>
        <w:spacing w:line="284" w:lineRule="auto"/>
        <w:rPr>
          <w:rFonts w:ascii="仿宋" w:hAnsi="仿宋" w:eastAsia="仿宋" w:cs="仿宋"/>
          <w:bCs/>
          <w:sz w:val="24"/>
        </w:rPr>
      </w:pPr>
      <w:r>
        <w:rPr>
          <w:rFonts w:hint="eastAsia" w:ascii="仿宋" w:hAnsi="仿宋" w:eastAsia="仿宋" w:cs="仿宋"/>
          <w:sz w:val="24"/>
        </w:rPr>
        <w:t>3.3.1</w:t>
      </w:r>
      <w:r>
        <w:rPr>
          <w:rFonts w:hint="eastAsia" w:ascii="仿宋" w:hAnsi="仿宋" w:eastAsia="仿宋" w:cs="仿宋"/>
          <w:bCs/>
          <w:sz w:val="24"/>
        </w:rPr>
        <w:t>小型、微型企业应当同时符合以下条件：</w:t>
      </w:r>
    </w:p>
    <w:p>
      <w:pPr>
        <w:spacing w:line="284" w:lineRule="auto"/>
        <w:rPr>
          <w:rFonts w:ascii="仿宋" w:hAnsi="仿宋" w:eastAsia="仿宋" w:cs="仿宋"/>
          <w:bCs/>
          <w:sz w:val="24"/>
        </w:rPr>
      </w:pPr>
      <w:r>
        <w:rPr>
          <w:rFonts w:hint="eastAsia" w:ascii="仿宋" w:hAnsi="仿宋" w:eastAsia="仿宋" w:cs="仿宋"/>
          <w:bCs/>
          <w:sz w:val="24"/>
        </w:rPr>
        <w:t>（1）符合中小企业划分标准；</w:t>
      </w:r>
    </w:p>
    <w:p>
      <w:pPr>
        <w:spacing w:line="284" w:lineRule="auto"/>
        <w:rPr>
          <w:rFonts w:ascii="仿宋" w:hAnsi="仿宋" w:eastAsia="仿宋" w:cs="仿宋"/>
          <w:bCs/>
          <w:sz w:val="24"/>
        </w:rPr>
      </w:pPr>
      <w:r>
        <w:rPr>
          <w:rFonts w:hint="eastAsia" w:ascii="仿宋" w:hAnsi="仿宋" w:eastAsia="仿宋" w:cs="仿宋"/>
          <w:bCs/>
          <w:sz w:val="24"/>
        </w:rPr>
        <w:t>（2）</w:t>
      </w:r>
      <w:r>
        <w:rPr>
          <w:rFonts w:hint="eastAsia" w:ascii="仿宋" w:hAnsi="仿宋" w:eastAsia="仿宋" w:cs="仿宋"/>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284" w:lineRule="auto"/>
        <w:rPr>
          <w:rFonts w:ascii="仿宋" w:hAnsi="仿宋" w:eastAsia="仿宋" w:cs="仿宋"/>
          <w:sz w:val="24"/>
        </w:rPr>
      </w:pPr>
      <w:r>
        <w:rPr>
          <w:rFonts w:hint="eastAsia" w:ascii="仿宋" w:hAnsi="仿宋" w:eastAsia="仿宋" w:cs="仿宋"/>
          <w:sz w:val="24"/>
        </w:rPr>
        <w:t>3.3.2小型、微型企业应按照招标文件格式要求提供《中小企业声明函》。</w:t>
      </w:r>
    </w:p>
    <w:p>
      <w:pPr>
        <w:spacing w:line="284" w:lineRule="auto"/>
        <w:rPr>
          <w:rFonts w:ascii="仿宋" w:hAnsi="仿宋" w:eastAsia="仿宋" w:cs="仿宋"/>
          <w:sz w:val="24"/>
        </w:rPr>
      </w:pPr>
      <w:r>
        <w:rPr>
          <w:rFonts w:hint="eastAsia" w:ascii="仿宋" w:hAnsi="仿宋" w:eastAsia="仿宋" w:cs="仿宋"/>
          <w:sz w:val="24"/>
        </w:rPr>
        <w:t>3.3.3对于非专门面向此类企业的项目，对小型和微型企业产品的投标价格给予6%的扣除，用扣除后的价格参与评审。</w:t>
      </w:r>
    </w:p>
    <w:p>
      <w:pPr>
        <w:spacing w:line="284" w:lineRule="auto"/>
        <w:rPr>
          <w:rFonts w:ascii="仿宋" w:hAnsi="仿宋" w:eastAsia="仿宋" w:cs="仿宋"/>
          <w:sz w:val="24"/>
        </w:rPr>
      </w:pPr>
      <w:r>
        <w:rPr>
          <w:rFonts w:hint="eastAsia" w:ascii="仿宋" w:hAnsi="仿宋" w:eastAsia="仿宋" w:cs="仿宋"/>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284" w:lineRule="auto"/>
        <w:ind w:firstLine="480" w:firstLineChars="200"/>
        <w:rPr>
          <w:rFonts w:ascii="仿宋" w:hAnsi="仿宋" w:eastAsia="仿宋" w:cs="仿宋"/>
          <w:sz w:val="24"/>
        </w:rPr>
      </w:pPr>
      <w:r>
        <w:rPr>
          <w:rFonts w:hint="eastAsia" w:ascii="仿宋" w:hAnsi="仿宋" w:eastAsia="仿宋" w:cs="仿宋"/>
          <w:sz w:val="24"/>
        </w:rPr>
        <w:t>联合体各方均为小型、微型企业的，联合体视同为小型、微型企业。</w:t>
      </w:r>
    </w:p>
    <w:p>
      <w:pPr>
        <w:spacing w:line="284" w:lineRule="auto"/>
        <w:rPr>
          <w:rFonts w:ascii="仿宋" w:hAnsi="仿宋" w:eastAsia="仿宋" w:cs="仿宋"/>
          <w:sz w:val="24"/>
        </w:rPr>
      </w:pPr>
      <w:r>
        <w:rPr>
          <w:rFonts w:hint="eastAsia" w:ascii="仿宋" w:hAnsi="仿宋" w:eastAsia="仿宋" w:cs="仿宋"/>
          <w:sz w:val="24"/>
        </w:rPr>
        <w:t>3.3.5符合《关于促进残疾人就业政府采购政策的通知》（财库〔2017〕141号）规定的条件并提供《残疾人福利性单位声明函》（附件1）的残疾人福利性单位视同小型、微型企业；</w:t>
      </w:r>
    </w:p>
    <w:p>
      <w:pPr>
        <w:spacing w:line="284" w:lineRule="auto"/>
        <w:rPr>
          <w:rFonts w:ascii="仿宋" w:hAnsi="仿宋" w:eastAsia="仿宋" w:cs="仿宋"/>
          <w:sz w:val="24"/>
        </w:rPr>
      </w:pPr>
      <w:r>
        <w:rPr>
          <w:rFonts w:hint="eastAsia" w:ascii="仿宋" w:hAnsi="仿宋" w:eastAsia="仿宋" w:cs="仿宋"/>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284" w:lineRule="auto"/>
        <w:rPr>
          <w:rFonts w:ascii="仿宋" w:hAnsi="仿宋" w:eastAsia="仿宋" w:cs="仿宋"/>
          <w:sz w:val="24"/>
        </w:rPr>
      </w:pPr>
      <w:r>
        <w:rPr>
          <w:rFonts w:hint="eastAsia" w:ascii="仿宋" w:hAnsi="仿宋" w:eastAsia="仿宋" w:cs="仿宋"/>
          <w:sz w:val="24"/>
        </w:rPr>
        <w:t>★4.特别说明：</w:t>
      </w:r>
    </w:p>
    <w:p>
      <w:pPr>
        <w:spacing w:line="284"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284"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284" w:lineRule="auto"/>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line="284" w:lineRule="auto"/>
        <w:jc w:val="center"/>
        <w:rPr>
          <w:rFonts w:ascii="仿宋" w:hAnsi="仿宋" w:eastAsia="仿宋" w:cs="仿宋"/>
          <w:b/>
          <w:sz w:val="24"/>
        </w:rPr>
      </w:pPr>
      <w:r>
        <w:rPr>
          <w:rFonts w:hint="eastAsia" w:ascii="仿宋" w:hAnsi="仿宋" w:eastAsia="仿宋" w:cs="仿宋"/>
          <w:b/>
          <w:sz w:val="36"/>
          <w:szCs w:val="36"/>
        </w:rPr>
        <w:t>二、招标文件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1.招标方式</w:t>
      </w:r>
    </w:p>
    <w:p>
      <w:pPr>
        <w:snapToGrid w:val="0"/>
        <w:spacing w:line="284" w:lineRule="auto"/>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284" w:lineRule="auto"/>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284" w:lineRule="auto"/>
        <w:jc w:val="left"/>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snapToGrid w:val="0"/>
        <w:spacing w:line="284" w:lineRule="auto"/>
        <w:jc w:val="left"/>
        <w:rPr>
          <w:rFonts w:ascii="仿宋" w:hAnsi="仿宋" w:eastAsia="仿宋" w:cs="仿宋"/>
          <w:b/>
          <w:sz w:val="24"/>
        </w:rPr>
      </w:pPr>
      <w:r>
        <w:rPr>
          <w:rFonts w:hint="eastAsia" w:ascii="仿宋" w:hAnsi="仿宋" w:eastAsia="仿宋" w:cs="仿宋"/>
          <w:b/>
          <w:sz w:val="24"/>
        </w:rPr>
        <w:t>2.投标委托</w:t>
      </w:r>
    </w:p>
    <w:p>
      <w:pPr>
        <w:snapToGrid w:val="0"/>
        <w:spacing w:line="284" w:lineRule="auto"/>
        <w:ind w:firstLine="480" w:firstLineChars="200"/>
        <w:jc w:val="left"/>
        <w:rPr>
          <w:rFonts w:ascii="仿宋" w:hAnsi="仿宋" w:eastAsia="仿宋" w:cs="仿宋"/>
        </w:rPr>
      </w:pPr>
      <w:r>
        <w:rPr>
          <w:rFonts w:hint="eastAsia" w:ascii="仿宋" w:hAnsi="仿宋" w:eastAsia="仿宋" w:cs="仿宋"/>
          <w:sz w:val="24"/>
        </w:rPr>
        <w:t>本项目为电子投标项目，授权代表不需要参加现场投标和开标。</w:t>
      </w:r>
    </w:p>
    <w:p>
      <w:pPr>
        <w:snapToGrid w:val="0"/>
        <w:spacing w:line="284" w:lineRule="auto"/>
        <w:jc w:val="left"/>
        <w:rPr>
          <w:rFonts w:ascii="仿宋" w:hAnsi="仿宋" w:eastAsia="仿宋" w:cs="仿宋"/>
          <w:b/>
          <w:sz w:val="24"/>
        </w:rPr>
      </w:pPr>
      <w:r>
        <w:rPr>
          <w:rFonts w:hint="eastAsia" w:ascii="仿宋" w:hAnsi="仿宋" w:eastAsia="仿宋" w:cs="仿宋"/>
          <w:b/>
          <w:sz w:val="24"/>
        </w:rPr>
        <w:t>3.投标费用</w:t>
      </w:r>
    </w:p>
    <w:p>
      <w:pPr>
        <w:pStyle w:val="16"/>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招标代理服务费由采购人支付，具体详见投标人须知前附表。</w:t>
      </w:r>
    </w:p>
    <w:p>
      <w:pPr>
        <w:snapToGrid w:val="0"/>
        <w:spacing w:line="284" w:lineRule="auto"/>
        <w:jc w:val="left"/>
        <w:rPr>
          <w:rFonts w:ascii="仿宋" w:hAnsi="仿宋" w:eastAsia="仿宋" w:cs="仿宋"/>
          <w:b/>
          <w:sz w:val="24"/>
        </w:rPr>
      </w:pPr>
      <w:r>
        <w:rPr>
          <w:rFonts w:hint="eastAsia" w:ascii="仿宋" w:hAnsi="仿宋" w:eastAsia="仿宋" w:cs="仿宋"/>
          <w:b/>
          <w:sz w:val="24"/>
        </w:rPr>
        <w:t>4.招标文件的修改</w:t>
      </w:r>
    </w:p>
    <w:p>
      <w:pPr>
        <w:spacing w:line="284" w:lineRule="auto"/>
        <w:jc w:val="left"/>
        <w:rPr>
          <w:rFonts w:ascii="仿宋" w:hAnsi="仿宋" w:eastAsia="仿宋" w:cs="仿宋"/>
          <w:sz w:val="24"/>
        </w:rPr>
      </w:pPr>
      <w:r>
        <w:rPr>
          <w:rFonts w:hint="eastAsia" w:ascii="仿宋" w:hAnsi="仿宋" w:eastAsia="仿宋" w:cs="仿宋"/>
          <w:sz w:val="24"/>
        </w:rPr>
        <w:t>4.1招标文件包括本招标文件及所有所述的招标答疑记录和发出的补充通知组成。</w:t>
      </w:r>
    </w:p>
    <w:p>
      <w:pPr>
        <w:pStyle w:val="16"/>
        <w:numPr>
          <w:ilvl w:val="0"/>
          <w:numId w:val="0"/>
        </w:numPr>
        <w:spacing w:line="284" w:lineRule="auto"/>
        <w:jc w:val="left"/>
        <w:rPr>
          <w:rFonts w:ascii="仿宋" w:hAnsi="仿宋" w:eastAsia="仿宋" w:cs="仿宋"/>
          <w:sz w:val="24"/>
        </w:rPr>
      </w:pPr>
      <w:r>
        <w:rPr>
          <w:rFonts w:hint="eastAsia" w:ascii="仿宋" w:hAnsi="仿宋" w:eastAsia="仿宋" w:cs="仿宋"/>
          <w:sz w:val="24"/>
        </w:rPr>
        <w:t xml:space="preserve">4.2招标文件的澄清 </w:t>
      </w:r>
    </w:p>
    <w:p>
      <w:pPr>
        <w:pStyle w:val="16"/>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6"/>
        <w:numPr>
          <w:ilvl w:val="0"/>
          <w:numId w:val="0"/>
        </w:numPr>
        <w:spacing w:line="284" w:lineRule="auto"/>
        <w:jc w:val="left"/>
        <w:rPr>
          <w:rFonts w:ascii="仿宋" w:hAnsi="仿宋" w:eastAsia="仿宋" w:cs="仿宋"/>
          <w:sz w:val="24"/>
        </w:rPr>
      </w:pPr>
      <w:r>
        <w:rPr>
          <w:rFonts w:hint="eastAsia" w:ascii="仿宋" w:hAnsi="仿宋" w:eastAsia="仿宋" w:cs="仿宋"/>
          <w:sz w:val="24"/>
        </w:rPr>
        <w:t>4.3招标文件的修改</w:t>
      </w:r>
    </w:p>
    <w:p>
      <w:pPr>
        <w:adjustRightInd/>
        <w:spacing w:line="288" w:lineRule="auto"/>
        <w:rPr>
          <w:rFonts w:ascii="仿宋" w:hAnsi="仿宋" w:eastAsia="仿宋" w:cs="仿宋"/>
          <w:sz w:val="24"/>
        </w:rPr>
      </w:pPr>
      <w:r>
        <w:rPr>
          <w:rFonts w:hint="eastAsia" w:ascii="仿宋" w:hAnsi="仿宋" w:eastAsia="仿宋" w:cs="仿宋"/>
          <w:sz w:val="24"/>
        </w:rPr>
        <w:t>4.3.1在投标截止时间前规定时间内，招标人有权修改招标文件，并发布更正补充公告，</w:t>
      </w:r>
      <w:r>
        <w:rPr>
          <w:rFonts w:hint="eastAsia" w:ascii="仿宋" w:hAnsi="仿宋" w:eastAsia="仿宋" w:cs="仿宋"/>
          <w:bCs/>
          <w:sz w:val="24"/>
        </w:rPr>
        <w:t>更正补充公告请自行登录浙江政府采购网或绍兴公共资源交易网</w:t>
      </w:r>
      <w:r>
        <w:rPr>
          <w:rFonts w:hint="eastAsia" w:ascii="仿宋" w:hAnsi="仿宋" w:eastAsia="仿宋" w:cs="Arial"/>
          <w:bCs/>
          <w:color w:val="000000"/>
          <w:sz w:val="24"/>
        </w:rPr>
        <w:t>公告页面中下载</w:t>
      </w:r>
      <w:r>
        <w:rPr>
          <w:rFonts w:hint="eastAsia" w:ascii="仿宋" w:hAnsi="仿宋" w:eastAsia="仿宋" w:cs="仿宋"/>
          <w:bCs/>
          <w:sz w:val="24"/>
        </w:rPr>
        <w:t>。</w:t>
      </w:r>
      <w:r>
        <w:rPr>
          <w:rFonts w:hint="eastAsia" w:ascii="仿宋" w:hAnsi="仿宋" w:eastAsia="仿宋" w:cs="仿宋"/>
          <w:sz w:val="24"/>
        </w:rPr>
        <w:t>通知中没有注明更改投标截止时间的视为截止时间不变。修改的文件作为招标文件的补充和组成部分，对所有投标人均有约束力。</w:t>
      </w:r>
    </w:p>
    <w:p>
      <w:pPr>
        <w:snapToGrid w:val="0"/>
        <w:spacing w:line="284" w:lineRule="auto"/>
        <w:jc w:val="left"/>
        <w:rPr>
          <w:rFonts w:ascii="仿宋" w:hAnsi="仿宋" w:eastAsia="仿宋" w:cs="仿宋"/>
          <w:color w:val="FF0000"/>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4" w:lineRule="auto"/>
        <w:jc w:val="left"/>
        <w:rPr>
          <w:rFonts w:ascii="仿宋" w:hAnsi="仿宋" w:eastAsia="仿宋" w:cs="仿宋"/>
          <w:b/>
          <w:sz w:val="24"/>
        </w:rPr>
      </w:pPr>
      <w:r>
        <w:rPr>
          <w:rFonts w:hint="eastAsia" w:ascii="仿宋" w:hAnsi="仿宋" w:eastAsia="仿宋" w:cs="仿宋"/>
          <w:b/>
          <w:sz w:val="24"/>
        </w:rPr>
        <w:t>5.参考品牌</w:t>
      </w:r>
    </w:p>
    <w:p>
      <w:pPr>
        <w:pStyle w:val="16"/>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三、投标文件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1.投标文件的语言及计量单位</w:t>
      </w:r>
    </w:p>
    <w:p>
      <w:pPr>
        <w:snapToGrid w:val="0"/>
        <w:spacing w:line="284" w:lineRule="auto"/>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284" w:lineRule="auto"/>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284" w:lineRule="auto"/>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284" w:lineRule="auto"/>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284" w:lineRule="auto"/>
        <w:jc w:val="left"/>
        <w:rPr>
          <w:rFonts w:ascii="仿宋" w:hAnsi="仿宋" w:eastAsia="仿宋" w:cs="仿宋"/>
          <w:b/>
          <w:bCs/>
          <w:sz w:val="24"/>
        </w:rPr>
      </w:pPr>
      <w:r>
        <w:rPr>
          <w:rFonts w:hint="eastAsia" w:ascii="仿宋" w:hAnsi="仿宋" w:eastAsia="仿宋" w:cs="仿宋"/>
          <w:b/>
          <w:bCs/>
          <w:sz w:val="24"/>
        </w:rPr>
        <w:t>1.5投标文件的形式和效力</w:t>
      </w:r>
    </w:p>
    <w:p>
      <w:pPr>
        <w:snapToGrid w:val="0"/>
        <w:spacing w:line="284" w:lineRule="auto"/>
        <w:jc w:val="left"/>
        <w:rPr>
          <w:rFonts w:ascii="仿宋" w:hAnsi="仿宋" w:eastAsia="仿宋" w:cs="仿宋"/>
          <w:b/>
          <w:bCs/>
          <w:sz w:val="24"/>
        </w:rPr>
      </w:pPr>
      <w:r>
        <w:rPr>
          <w:rFonts w:hint="eastAsia" w:ascii="仿宋" w:hAnsi="仿宋" w:eastAsia="仿宋" w:cs="仿宋"/>
          <w:b/>
          <w:bCs/>
          <w:sz w:val="24"/>
        </w:rPr>
        <w:t>1.5.1投标文件为电子投标文件，电子投标文件按“政采云供应商项目采购-电子招投标操作指南”及本招标文件要求制作、加密传输。</w:t>
      </w:r>
    </w:p>
    <w:p>
      <w:pPr>
        <w:snapToGrid w:val="0"/>
        <w:spacing w:line="284" w:lineRule="auto"/>
        <w:jc w:val="left"/>
        <w:rPr>
          <w:rFonts w:ascii="仿宋" w:hAnsi="仿宋" w:eastAsia="仿宋" w:cs="仿宋"/>
          <w:b/>
          <w:bCs/>
          <w:sz w:val="24"/>
          <w:u w:val="single"/>
        </w:rPr>
      </w:pPr>
      <w:r>
        <w:rPr>
          <w:rFonts w:hint="eastAsia" w:ascii="仿宋" w:hAnsi="仿宋" w:eastAsia="仿宋" w:cs="仿宋"/>
          <w:b/>
          <w:bCs/>
          <w:sz w:val="24"/>
          <w:u w:val="single"/>
        </w:rPr>
        <w:t>1.5.2投标文件的效力：</w:t>
      </w:r>
    </w:p>
    <w:p>
      <w:pPr>
        <w:snapToGrid w:val="0"/>
        <w:spacing w:line="284" w:lineRule="auto"/>
        <w:ind w:firstLine="482" w:firstLineChars="200"/>
        <w:jc w:val="left"/>
        <w:rPr>
          <w:rFonts w:ascii="仿宋" w:hAnsi="仿宋" w:eastAsia="仿宋" w:cs="仿宋"/>
          <w:sz w:val="24"/>
        </w:rPr>
      </w:pPr>
      <w:r>
        <w:rPr>
          <w:rFonts w:hint="eastAsia" w:ascii="仿宋" w:hAnsi="仿宋" w:eastAsia="仿宋" w:cs="仿宋"/>
          <w:b/>
          <w:bCs/>
          <w:sz w:val="24"/>
          <w:u w:val="single"/>
        </w:rPr>
        <w:t>投标文件未在投标截止时间前完成传输的，视为投标文件撤回；投标文件未按时解密，亦视为投标文件撤回。</w:t>
      </w:r>
    </w:p>
    <w:p>
      <w:pPr>
        <w:snapToGrid w:val="0"/>
        <w:spacing w:line="284" w:lineRule="auto"/>
        <w:jc w:val="left"/>
        <w:rPr>
          <w:rFonts w:ascii="仿宋" w:hAnsi="仿宋" w:eastAsia="仿宋" w:cs="仿宋"/>
          <w:b/>
          <w:sz w:val="24"/>
        </w:rPr>
      </w:pPr>
      <w:r>
        <w:rPr>
          <w:rFonts w:hint="eastAsia" w:ascii="仿宋" w:hAnsi="仿宋" w:eastAsia="仿宋" w:cs="仿宋"/>
          <w:b/>
          <w:sz w:val="24"/>
        </w:rPr>
        <w:t>2.投标文件的组成</w:t>
      </w:r>
    </w:p>
    <w:p>
      <w:pPr>
        <w:spacing w:line="284" w:lineRule="auto"/>
        <w:ind w:firstLine="480" w:firstLineChars="200"/>
        <w:jc w:val="left"/>
        <w:rPr>
          <w:rFonts w:ascii="仿宋" w:hAnsi="仿宋" w:eastAsia="仿宋"/>
          <w:b/>
          <w:sz w:val="24"/>
        </w:rPr>
      </w:pPr>
      <w:r>
        <w:rPr>
          <w:rFonts w:hint="eastAsia" w:ascii="仿宋" w:hAnsi="仿宋" w:eastAsia="仿宋" w:cs="仿宋"/>
          <w:sz w:val="24"/>
        </w:rPr>
        <w:t>投标文件由“报价文件资料”、“商务技术（资信）文件资料”两部分组成</w:t>
      </w:r>
      <w:r>
        <w:rPr>
          <w:rFonts w:hint="eastAsia" w:ascii="仿宋" w:hAnsi="仿宋" w:eastAsia="仿宋"/>
          <w:b/>
          <w:sz w:val="24"/>
        </w:rPr>
        <w:t>。</w:t>
      </w:r>
    </w:p>
    <w:p>
      <w:pPr>
        <w:spacing w:line="284" w:lineRule="auto"/>
        <w:jc w:val="left"/>
        <w:rPr>
          <w:rFonts w:ascii="仿宋" w:hAnsi="仿宋" w:eastAsia="仿宋" w:cs="仿宋"/>
          <w:sz w:val="24"/>
        </w:rPr>
      </w:pPr>
      <w:r>
        <w:rPr>
          <w:rFonts w:hint="eastAsia" w:ascii="仿宋" w:hAnsi="仿宋" w:eastAsia="仿宋" w:cs="仿宋"/>
          <w:sz w:val="24"/>
        </w:rPr>
        <w:t>2.1 “报价文件资料”应包含以下内容：</w:t>
      </w:r>
    </w:p>
    <w:p>
      <w:pPr>
        <w:tabs>
          <w:tab w:val="left" w:pos="3870"/>
          <w:tab w:val="left" w:pos="4085"/>
        </w:tabs>
        <w:snapToGrid w:val="0"/>
        <w:spacing w:line="284" w:lineRule="auto"/>
        <w:jc w:val="left"/>
        <w:rPr>
          <w:rFonts w:ascii="仿宋" w:hAnsi="仿宋" w:eastAsia="仿宋" w:cs="仿宋"/>
          <w:sz w:val="24"/>
        </w:rPr>
      </w:pPr>
      <w:r>
        <w:rPr>
          <w:rFonts w:hint="eastAsia" w:ascii="仿宋" w:hAnsi="仿宋" w:eastAsia="仿宋" w:cs="仿宋"/>
          <w:sz w:val="24"/>
        </w:rPr>
        <w:t xml:space="preserve">2.1.1投标响应函（格式见第六部分附件）； </w:t>
      </w:r>
    </w:p>
    <w:p>
      <w:pPr>
        <w:snapToGrid w:val="0"/>
        <w:spacing w:line="284" w:lineRule="auto"/>
        <w:jc w:val="left"/>
        <w:rPr>
          <w:rFonts w:ascii="仿宋" w:hAnsi="仿宋" w:eastAsia="仿宋" w:cs="仿宋"/>
          <w:sz w:val="24"/>
        </w:rPr>
      </w:pPr>
      <w:r>
        <w:rPr>
          <w:rFonts w:hint="eastAsia" w:ascii="仿宋" w:hAnsi="仿宋" w:eastAsia="仿宋" w:cs="仿宋"/>
          <w:sz w:val="24"/>
        </w:rPr>
        <w:t>2.1.2开标一览表（格式见第六部分附件）；</w:t>
      </w:r>
    </w:p>
    <w:p>
      <w:pPr>
        <w:snapToGrid w:val="0"/>
        <w:spacing w:line="284" w:lineRule="auto"/>
        <w:jc w:val="left"/>
        <w:rPr>
          <w:rFonts w:ascii="仿宋" w:hAnsi="仿宋" w:eastAsia="仿宋" w:cs="仿宋"/>
          <w:bCs/>
          <w:sz w:val="24"/>
        </w:rPr>
      </w:pPr>
      <w:r>
        <w:rPr>
          <w:rFonts w:hint="eastAsia" w:ascii="仿宋" w:hAnsi="仿宋" w:eastAsia="仿宋" w:cs="仿宋"/>
          <w:bCs/>
          <w:sz w:val="24"/>
        </w:rPr>
        <w:t>2.1.3小微企业声明函及证明资料（如有，格式见第六部分附件）；</w:t>
      </w:r>
    </w:p>
    <w:p>
      <w:pPr>
        <w:snapToGrid w:val="0"/>
        <w:spacing w:line="284" w:lineRule="auto"/>
        <w:jc w:val="left"/>
        <w:rPr>
          <w:rFonts w:ascii="仿宋" w:hAnsi="仿宋" w:eastAsia="仿宋" w:cs="仿宋"/>
          <w:bCs/>
          <w:sz w:val="24"/>
        </w:rPr>
      </w:pPr>
      <w:r>
        <w:rPr>
          <w:rFonts w:hint="eastAsia" w:ascii="仿宋" w:hAnsi="仿宋" w:eastAsia="仿宋" w:cs="仿宋"/>
          <w:bCs/>
          <w:sz w:val="24"/>
        </w:rPr>
        <w:t>2.1.4残疾人福利性单位声明函（如有，格式见第六部分附件）。</w:t>
      </w:r>
    </w:p>
    <w:p>
      <w:pPr>
        <w:tabs>
          <w:tab w:val="left" w:pos="3870"/>
          <w:tab w:val="left" w:pos="4085"/>
        </w:tabs>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以上文件组成“报价文件资料”。投标人在“报价文件资料”中应对招标文件作实质性响应，该项内容将作为评标重要指标。</w:t>
      </w:r>
    </w:p>
    <w:p>
      <w:pPr>
        <w:pStyle w:val="22"/>
        <w:numPr>
          <w:ilvl w:val="0"/>
          <w:numId w:val="0"/>
        </w:numPr>
        <w:tabs>
          <w:tab w:val="left" w:pos="1854"/>
          <w:tab w:val="clear" w:pos="1200"/>
        </w:tabs>
        <w:spacing w:line="284" w:lineRule="auto"/>
        <w:rPr>
          <w:rFonts w:ascii="仿宋" w:hAnsi="仿宋" w:eastAsia="仿宋" w:cs="仿宋"/>
          <w:sz w:val="24"/>
        </w:rPr>
      </w:pPr>
      <w:r>
        <w:rPr>
          <w:rFonts w:hint="eastAsia" w:ascii="仿宋" w:hAnsi="仿宋" w:eastAsia="仿宋" w:cs="仿宋"/>
          <w:sz w:val="24"/>
        </w:rPr>
        <w:t>2.2 “商务技术（资信）文件资料”应包括以下内容：</w:t>
      </w:r>
    </w:p>
    <w:p>
      <w:pPr>
        <w:snapToGrid w:val="0"/>
        <w:spacing w:line="284" w:lineRule="auto"/>
        <w:jc w:val="left"/>
        <w:rPr>
          <w:rFonts w:ascii="仿宋" w:hAnsi="仿宋" w:eastAsia="仿宋" w:cs="仿宋"/>
          <w:sz w:val="24"/>
        </w:rPr>
      </w:pPr>
      <w:r>
        <w:rPr>
          <w:rFonts w:hint="eastAsia" w:ascii="仿宋" w:hAnsi="仿宋" w:eastAsia="仿宋" w:cs="仿宋"/>
          <w:sz w:val="24"/>
        </w:rPr>
        <w:t>2.2.1法定代表人授权委托书(个体工商户不需要提供，但经营者必须本人参加开标会，格式见第六部分附件)；</w:t>
      </w:r>
    </w:p>
    <w:p>
      <w:pPr>
        <w:snapToGrid w:val="0"/>
        <w:spacing w:line="284" w:lineRule="auto"/>
        <w:jc w:val="left"/>
        <w:rPr>
          <w:rFonts w:ascii="仿宋" w:hAnsi="仿宋" w:eastAsia="仿宋" w:cs="仿宋"/>
          <w:sz w:val="24"/>
        </w:rPr>
      </w:pPr>
      <w:r>
        <w:rPr>
          <w:rFonts w:hint="eastAsia" w:ascii="仿宋" w:hAnsi="仿宋" w:eastAsia="仿宋" w:cs="仿宋"/>
          <w:sz w:val="24"/>
        </w:rPr>
        <w:t>2.2.2授权代表社保证明（格式见第六部分附件）；</w:t>
      </w:r>
    </w:p>
    <w:p>
      <w:pPr>
        <w:snapToGrid w:val="0"/>
        <w:spacing w:line="284" w:lineRule="auto"/>
        <w:jc w:val="left"/>
        <w:rPr>
          <w:rFonts w:ascii="仿宋" w:hAnsi="仿宋" w:eastAsia="仿宋" w:cs="仿宋"/>
          <w:sz w:val="24"/>
        </w:rPr>
      </w:pPr>
      <w:r>
        <w:rPr>
          <w:rFonts w:hint="eastAsia" w:ascii="仿宋" w:hAnsi="仿宋" w:eastAsia="仿宋" w:cs="仿宋"/>
          <w:sz w:val="24"/>
        </w:rPr>
        <w:t>2.2.3法定代表人身份证明书（格式见第六部分附件）；</w:t>
      </w:r>
    </w:p>
    <w:p>
      <w:pPr>
        <w:snapToGrid w:val="0"/>
        <w:spacing w:line="284" w:lineRule="auto"/>
        <w:rPr>
          <w:rFonts w:ascii="仿宋" w:hAnsi="仿宋" w:eastAsia="仿宋" w:cs="仿宋"/>
          <w:kern w:val="0"/>
          <w:sz w:val="24"/>
        </w:rPr>
      </w:pPr>
      <w:r>
        <w:rPr>
          <w:rFonts w:hint="eastAsia" w:ascii="仿宋" w:hAnsi="仿宋" w:eastAsia="仿宋" w:cs="仿宋"/>
          <w:sz w:val="24"/>
        </w:rPr>
        <w:t>2.2.4相关资质证明或文件复印件（加盖单位公章）；（均需加盖公章）：</w:t>
      </w:r>
      <w:r>
        <w:rPr>
          <w:rFonts w:hint="eastAsia" w:ascii="仿宋" w:hAnsi="仿宋" w:eastAsia="仿宋" w:cs="仿宋"/>
          <w:kern w:val="0"/>
          <w:sz w:val="24"/>
        </w:rPr>
        <w:t>证明其符合《中华人民共和国政府采购法》规定的供应商基本条件和采购项目对供应商的特定要求</w:t>
      </w:r>
      <w:r>
        <w:rPr>
          <w:rFonts w:hint="eastAsia" w:ascii="仿宋" w:hAnsi="仿宋" w:eastAsia="仿宋" w:cs="仿宋"/>
          <w:sz w:val="24"/>
        </w:rPr>
        <w:t>（如果项目要求）</w:t>
      </w:r>
      <w:r>
        <w:rPr>
          <w:rFonts w:hint="eastAsia" w:ascii="仿宋" w:hAnsi="仿宋" w:eastAsia="仿宋" w:cs="仿宋"/>
          <w:kern w:val="0"/>
          <w:sz w:val="24"/>
        </w:rPr>
        <w:t>的有关资格证明文件。</w:t>
      </w:r>
    </w:p>
    <w:p>
      <w:pPr>
        <w:pStyle w:val="24"/>
        <w:spacing w:line="284" w:lineRule="auto"/>
        <w:ind w:firstLine="480" w:firstLineChars="200"/>
        <w:rPr>
          <w:rFonts w:ascii="仿宋" w:hAnsi="仿宋" w:eastAsia="仿宋" w:cs="仿宋"/>
          <w:sz w:val="24"/>
          <w:szCs w:val="24"/>
        </w:rPr>
      </w:pPr>
      <w:bookmarkStart w:id="0" w:name="_Hlt68072998"/>
      <w:bookmarkEnd w:id="0"/>
      <w:bookmarkStart w:id="1" w:name="_Hlt68403820"/>
      <w:bookmarkEnd w:id="1"/>
      <w:bookmarkStart w:id="2" w:name="_Hlt68073093"/>
      <w:bookmarkEnd w:id="2"/>
      <w:r>
        <w:rPr>
          <w:rFonts w:hint="eastAsia" w:ascii="仿宋" w:hAnsi="仿宋" w:eastAsia="仿宋" w:cs="仿宋"/>
          <w:sz w:val="24"/>
          <w:szCs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4"/>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284" w:lineRule="auto"/>
        <w:ind w:firstLine="480" w:firstLineChars="200"/>
        <w:rPr>
          <w:rFonts w:ascii="仿宋" w:hAnsi="仿宋" w:eastAsia="仿宋" w:cs="仿宋"/>
          <w:sz w:val="24"/>
        </w:rPr>
      </w:pPr>
      <w:r>
        <w:rPr>
          <w:rFonts w:hint="eastAsia" w:ascii="仿宋" w:hAnsi="仿宋" w:eastAsia="仿宋" w:cs="仿宋"/>
          <w:sz w:val="24"/>
        </w:rPr>
        <w:t>（2）2019年度资产负债表等财务报表资料文件(新成立的公司，必须提供情况说明)；</w:t>
      </w:r>
    </w:p>
    <w:p>
      <w:pPr>
        <w:pStyle w:val="24"/>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（3）具有履行合同所必需的设备和专业技术能力的承诺函；</w:t>
      </w:r>
    </w:p>
    <w:p>
      <w:pPr>
        <w:spacing w:line="284" w:lineRule="auto"/>
        <w:ind w:firstLine="480" w:firstLineChars="200"/>
        <w:rPr>
          <w:rFonts w:ascii="仿宋" w:hAnsi="仿宋" w:eastAsia="仿宋" w:cs="仿宋"/>
          <w:sz w:val="24"/>
        </w:rPr>
      </w:pPr>
      <w:r>
        <w:rPr>
          <w:rFonts w:hint="eastAsia" w:ascii="仿宋" w:hAnsi="仿宋" w:eastAsia="仿宋" w:cs="仿宋"/>
          <w:sz w:val="24"/>
        </w:rPr>
        <w:t>（4）参加本次政府采购活动前三年内，在经营活动中没有重大违法记录的声明（需要特别声明“没有因违反《浙江省政府采购供应商注册及诚信管理暂行办法》被列入‘黑名单’，在处罚有效期”）；</w:t>
      </w:r>
    </w:p>
    <w:p>
      <w:pPr>
        <w:spacing w:line="284" w:lineRule="auto"/>
        <w:ind w:firstLine="480" w:firstLineChars="200"/>
        <w:rPr>
          <w:rFonts w:ascii="仿宋" w:hAnsi="仿宋" w:eastAsia="仿宋" w:cs="仿宋"/>
          <w:sz w:val="24"/>
        </w:rPr>
      </w:pPr>
      <w:r>
        <w:rPr>
          <w:rFonts w:hint="eastAsia" w:ascii="仿宋" w:hAnsi="仿宋" w:eastAsia="仿宋" w:cs="仿宋"/>
          <w:sz w:val="24"/>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284" w:lineRule="auto"/>
        <w:ind w:firstLine="480" w:firstLineChars="200"/>
        <w:rPr>
          <w:rFonts w:ascii="仿宋" w:hAnsi="仿宋" w:eastAsia="仿宋" w:cs="仿宋"/>
          <w:sz w:val="24"/>
        </w:rPr>
      </w:pPr>
      <w:r>
        <w:rPr>
          <w:rFonts w:hint="eastAsia" w:ascii="仿宋" w:hAnsi="仿宋" w:eastAsia="仿宋" w:cs="仿宋"/>
          <w:sz w:val="24"/>
        </w:rPr>
        <w:t xml:space="preserve">（6）提供依法缴纳税收和社会保障资金的良好记录证明，税收和社保证明打印时间不得早于投标截止时间前1个月； </w:t>
      </w:r>
    </w:p>
    <w:p>
      <w:pPr>
        <w:snapToGrid w:val="0"/>
        <w:spacing w:line="284" w:lineRule="auto"/>
        <w:ind w:firstLine="480" w:firstLineChars="200"/>
        <w:rPr>
          <w:rFonts w:ascii="仿宋" w:hAnsi="仿宋" w:eastAsia="仿宋" w:cs="仿宋"/>
          <w:sz w:val="24"/>
        </w:rPr>
      </w:pPr>
      <w:r>
        <w:rPr>
          <w:rFonts w:hint="eastAsia" w:ascii="仿宋" w:hAnsi="仿宋" w:eastAsia="仿宋" w:cs="仿宋"/>
          <w:sz w:val="24"/>
        </w:rPr>
        <w:t>（7）符合特定资格条件（如果项目要求）的有关证明材料（复印件）；</w:t>
      </w:r>
    </w:p>
    <w:p>
      <w:pPr>
        <w:pStyle w:val="24"/>
        <w:snapToGrid w:val="0"/>
        <w:spacing w:line="284" w:lineRule="auto"/>
        <w:rPr>
          <w:rFonts w:ascii="仿宋" w:hAnsi="仿宋" w:eastAsia="仿宋" w:cs="仿宋"/>
          <w:sz w:val="24"/>
          <w:szCs w:val="24"/>
          <w:lang w:val="zh-CN"/>
        </w:rPr>
      </w:pPr>
      <w:r>
        <w:rPr>
          <w:rFonts w:hint="eastAsia" w:ascii="仿宋" w:hAnsi="仿宋" w:eastAsia="仿宋" w:cs="仿宋"/>
          <w:sz w:val="24"/>
          <w:szCs w:val="24"/>
        </w:rPr>
        <w:t>2.2.5</w:t>
      </w:r>
      <w:r>
        <w:rPr>
          <w:rFonts w:hint="eastAsia" w:ascii="仿宋" w:hAnsi="仿宋" w:eastAsia="仿宋" w:cs="仿宋"/>
          <w:sz w:val="24"/>
          <w:szCs w:val="24"/>
          <w:lang w:val="zh-CN"/>
        </w:rPr>
        <w:t>投标人应提供针对项目的完整技术解决方案：</w:t>
      </w:r>
    </w:p>
    <w:p>
      <w:pPr>
        <w:snapToGrid w:val="0"/>
        <w:spacing w:line="284" w:lineRule="auto"/>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284" w:lineRule="auto"/>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284" w:lineRule="auto"/>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284" w:lineRule="auto"/>
        <w:jc w:val="left"/>
        <w:rPr>
          <w:rFonts w:ascii="仿宋" w:hAnsi="仿宋" w:eastAsia="仿宋" w:cs="仿宋"/>
          <w:kern w:val="0"/>
          <w:sz w:val="24"/>
          <w:lang w:val="zh-CN"/>
        </w:rPr>
      </w:pPr>
      <w:r>
        <w:rPr>
          <w:rFonts w:hint="eastAsia" w:ascii="仿宋" w:hAnsi="仿宋" w:eastAsia="仿宋" w:cs="仿宋"/>
          <w:sz w:val="24"/>
        </w:rPr>
        <w:t>2.2.6优惠条件：投标人承诺给予招标人的各种优惠条件，包括设备价格、运输、保险、安装调试、付款条件、技术服务、售后服务等方面的优惠；当优惠条件涉及“报价单”中的各项费用时，必须与投标价格相统一；</w:t>
      </w:r>
      <w:r>
        <w:rPr>
          <w:rFonts w:hint="eastAsia" w:ascii="仿宋" w:hAnsi="仿宋" w:eastAsia="仿宋" w:cs="仿宋"/>
          <w:kern w:val="0"/>
          <w:sz w:val="24"/>
          <w:lang w:val="zh-CN"/>
        </w:rPr>
        <w:t>（如果有）</w:t>
      </w:r>
    </w:p>
    <w:p>
      <w:pPr>
        <w:tabs>
          <w:tab w:val="left" w:pos="3870"/>
          <w:tab w:val="left" w:pos="4085"/>
        </w:tabs>
        <w:snapToGrid w:val="0"/>
        <w:spacing w:line="284" w:lineRule="auto"/>
        <w:jc w:val="left"/>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及中标通知书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4" w:lineRule="auto"/>
        <w:rPr>
          <w:rFonts w:ascii="仿宋" w:hAnsi="仿宋" w:eastAsia="仿宋" w:cs="仿宋"/>
          <w:kern w:val="0"/>
          <w:sz w:val="24"/>
          <w:lang w:val="zh-CN"/>
        </w:rPr>
      </w:pPr>
      <w:r>
        <w:rPr>
          <w:rFonts w:hint="eastAsia" w:ascii="仿宋" w:hAnsi="仿宋" w:eastAsia="仿宋" w:cs="仿宋"/>
          <w:kern w:val="0"/>
          <w:sz w:val="24"/>
        </w:rPr>
        <w:t>2.2.8</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代理机构将把这一情况报送采购监管部门。</w:t>
      </w:r>
    </w:p>
    <w:p>
      <w:pPr>
        <w:snapToGrid w:val="0"/>
        <w:spacing w:line="284" w:lineRule="auto"/>
        <w:rPr>
          <w:rFonts w:ascii="仿宋" w:hAnsi="仿宋" w:eastAsia="仿宋" w:cs="仿宋"/>
          <w:kern w:val="0"/>
          <w:sz w:val="24"/>
          <w:lang w:val="zh-CN"/>
        </w:rPr>
      </w:pPr>
      <w:r>
        <w:rPr>
          <w:rFonts w:hint="eastAsia" w:ascii="仿宋" w:hAnsi="仿宋" w:eastAsia="仿宋" w:cs="仿宋"/>
          <w:kern w:val="0"/>
          <w:sz w:val="24"/>
          <w:lang w:val="zh-CN"/>
        </w:rPr>
        <w:t>2.2.</w:t>
      </w:r>
      <w:r>
        <w:rPr>
          <w:rFonts w:hint="eastAsia" w:ascii="仿宋" w:hAnsi="仿宋" w:eastAsia="仿宋" w:cs="仿宋"/>
          <w:kern w:val="0"/>
          <w:sz w:val="24"/>
        </w:rPr>
        <w:t>9</w:t>
      </w:r>
      <w:r>
        <w:rPr>
          <w:rFonts w:hint="eastAsia" w:ascii="仿宋" w:hAnsi="仿宋" w:eastAsia="仿宋" w:cs="仿宋"/>
          <w:kern w:val="0"/>
          <w:sz w:val="24"/>
          <w:lang w:val="zh-CN"/>
        </w:rPr>
        <w:t>针对本项目建设的详细实施计划。本项目详细工作实施组织方案，包括(但不限于)以下内容：组织机构、工作时间进度表、工作程序和步骤、管理和协调方法、关键步骤的思路和要点。（如果有）</w:t>
      </w:r>
    </w:p>
    <w:p>
      <w:pPr>
        <w:snapToGrid w:val="0"/>
        <w:spacing w:line="284" w:lineRule="auto"/>
        <w:rPr>
          <w:rFonts w:ascii="仿宋" w:hAnsi="仿宋" w:eastAsia="仿宋" w:cs="仿宋"/>
          <w:kern w:val="0"/>
          <w:sz w:val="24"/>
        </w:rPr>
      </w:pPr>
      <w:r>
        <w:rPr>
          <w:rFonts w:hint="eastAsia" w:ascii="仿宋" w:hAnsi="仿宋" w:eastAsia="仿宋" w:cs="仿宋"/>
          <w:kern w:val="0"/>
          <w:sz w:val="24"/>
        </w:rPr>
        <w:t>2.2.10</w:t>
      </w:r>
      <w:r>
        <w:rPr>
          <w:rFonts w:hint="eastAsia" w:ascii="仿宋" w:hAnsi="仿宋" w:eastAsia="仿宋" w:cs="仿宋"/>
          <w:snapToGrid w:val="0"/>
          <w:sz w:val="24"/>
        </w:rPr>
        <w:t>非本地投标人售后服务机构证明材料。非本地投标人</w:t>
      </w:r>
      <w:r>
        <w:rPr>
          <w:rFonts w:hint="eastAsia" w:ascii="仿宋" w:hAnsi="仿宋" w:eastAsia="仿宋" w:cs="仿宋"/>
          <w:sz w:val="24"/>
          <w:lang w:val="zh-CN"/>
        </w:rPr>
        <w:t>在绍兴的分公司</w:t>
      </w:r>
      <w:r>
        <w:rPr>
          <w:rFonts w:hint="eastAsia" w:ascii="仿宋" w:hAnsi="仿宋" w:eastAsia="仿宋" w:cs="仿宋"/>
          <w:kern w:val="0"/>
          <w:sz w:val="24"/>
        </w:rPr>
        <w:t>（</w:t>
      </w:r>
      <w:r>
        <w:rPr>
          <w:rFonts w:hint="eastAsia" w:ascii="仿宋" w:hAnsi="仿宋" w:eastAsia="仿宋" w:cs="仿宋"/>
          <w:sz w:val="24"/>
          <w:lang w:val="zh-CN"/>
        </w:rPr>
        <w:t>需提供本地工商注册</w:t>
      </w:r>
      <w:r>
        <w:rPr>
          <w:rFonts w:hint="eastAsia" w:ascii="仿宋" w:hAnsi="仿宋" w:eastAsia="仿宋" w:cs="仿宋"/>
          <w:sz w:val="24"/>
        </w:rPr>
        <w:t>登记</w:t>
      </w:r>
      <w:r>
        <w:rPr>
          <w:rFonts w:hint="eastAsia" w:ascii="仿宋" w:hAnsi="仿宋" w:eastAsia="仿宋" w:cs="仿宋"/>
          <w:sz w:val="24"/>
          <w:lang w:val="zh-CN"/>
        </w:rPr>
        <w:t>资料）或办事处</w:t>
      </w:r>
      <w:r>
        <w:rPr>
          <w:rFonts w:hint="eastAsia" w:ascii="仿宋" w:hAnsi="仿宋" w:eastAsia="仿宋" w:cs="仿宋"/>
          <w:kern w:val="0"/>
          <w:sz w:val="24"/>
        </w:rPr>
        <w:t>（</w:t>
      </w:r>
      <w:r>
        <w:rPr>
          <w:rFonts w:hint="eastAsia" w:ascii="仿宋" w:hAnsi="仿宋" w:eastAsia="仿宋" w:cs="仿宋"/>
          <w:sz w:val="24"/>
          <w:lang w:val="zh-CN"/>
        </w:rPr>
        <w:t>需提供本地国内经济合作办注册资料</w:t>
      </w:r>
      <w:r>
        <w:rPr>
          <w:rFonts w:hint="eastAsia" w:ascii="仿宋" w:hAnsi="仿宋" w:eastAsia="仿宋" w:cs="仿宋"/>
          <w:kern w:val="0"/>
          <w:sz w:val="24"/>
        </w:rPr>
        <w:t>）或符合本项目服务能力并签订合作协议的第三方机构或者在中标（成交）公示后在本地设立售后服务机构作</w:t>
      </w:r>
      <w:r>
        <w:rPr>
          <w:rFonts w:hint="eastAsia" w:ascii="仿宋" w:hAnsi="仿宋" w:eastAsia="仿宋" w:cs="仿宋"/>
          <w:sz w:val="24"/>
          <w:lang w:val="zh-CN"/>
        </w:rPr>
        <w:t>为常驻服务和技术支持机构；</w:t>
      </w:r>
      <w:r>
        <w:rPr>
          <w:rFonts w:hint="eastAsia" w:ascii="仿宋" w:hAnsi="仿宋" w:eastAsia="仿宋" w:cs="仿宋"/>
          <w:kern w:val="0"/>
          <w:sz w:val="24"/>
          <w:lang w:val="zh-CN"/>
        </w:rPr>
        <w:t>（如果有）</w:t>
      </w:r>
    </w:p>
    <w:p>
      <w:pPr>
        <w:snapToGrid w:val="0"/>
        <w:spacing w:line="284" w:lineRule="auto"/>
        <w:jc w:val="left"/>
        <w:rPr>
          <w:rFonts w:ascii="仿宋" w:hAnsi="仿宋" w:eastAsia="仿宋" w:cs="仿宋"/>
          <w:sz w:val="24"/>
        </w:rPr>
      </w:pPr>
      <w:r>
        <w:rPr>
          <w:rFonts w:hint="eastAsia" w:ascii="仿宋" w:hAnsi="仿宋" w:eastAsia="仿宋" w:cs="仿宋"/>
          <w:sz w:val="24"/>
        </w:rPr>
        <w:t>2.2.11</w:t>
      </w:r>
      <w:r>
        <w:rPr>
          <w:rFonts w:hint="eastAsia" w:ascii="仿宋" w:hAnsi="仿宋" w:eastAsia="仿宋" w:cs="仿宋"/>
          <w:sz w:val="24"/>
          <w:u w:val="wave"/>
        </w:rPr>
        <w:t>未尽事宜请各投标单位按评分细则和相对应标项相关要求制作(重要)</w:t>
      </w:r>
      <w:r>
        <w:rPr>
          <w:rFonts w:hint="eastAsia" w:ascii="仿宋" w:hAnsi="仿宋" w:eastAsia="仿宋" w:cs="仿宋"/>
          <w:sz w:val="24"/>
        </w:rPr>
        <w:t>；</w:t>
      </w:r>
    </w:p>
    <w:p>
      <w:pPr>
        <w:pStyle w:val="22"/>
        <w:numPr>
          <w:ilvl w:val="0"/>
          <w:numId w:val="0"/>
        </w:numPr>
        <w:tabs>
          <w:tab w:val="left" w:pos="1854"/>
          <w:tab w:val="clear" w:pos="1200"/>
        </w:tabs>
        <w:spacing w:line="284" w:lineRule="auto"/>
        <w:rPr>
          <w:rFonts w:ascii="仿宋" w:hAnsi="仿宋" w:eastAsia="仿宋" w:cs="仿宋"/>
          <w:sz w:val="24"/>
        </w:rPr>
      </w:pPr>
      <w:r>
        <w:rPr>
          <w:rFonts w:hint="eastAsia" w:ascii="仿宋" w:hAnsi="仿宋" w:eastAsia="仿宋" w:cs="仿宋"/>
          <w:sz w:val="24"/>
        </w:rPr>
        <w:t>2.2.12投标人需要说明的其他文件和说明（格式自拟）。</w:t>
      </w:r>
    </w:p>
    <w:p>
      <w:pPr>
        <w:tabs>
          <w:tab w:val="left" w:pos="3870"/>
          <w:tab w:val="left" w:pos="4085"/>
        </w:tabs>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pStyle w:val="22"/>
        <w:numPr>
          <w:ilvl w:val="0"/>
          <w:numId w:val="0"/>
        </w:numPr>
        <w:tabs>
          <w:tab w:val="left" w:pos="1854"/>
          <w:tab w:val="clear" w:pos="1200"/>
        </w:tabs>
        <w:spacing w:line="284" w:lineRule="auto"/>
        <w:ind w:right="-78" w:rightChars="-37" w:firstLine="480" w:firstLineChars="200"/>
        <w:rPr>
          <w:rFonts w:ascii="仿宋" w:hAnsi="仿宋" w:eastAsia="仿宋" w:cs="仿宋"/>
          <w:b/>
          <w:sz w:val="24"/>
        </w:rPr>
      </w:pPr>
      <w:r>
        <w:rPr>
          <w:rFonts w:hint="eastAsia" w:ascii="仿宋" w:hAnsi="仿宋" w:eastAsia="仿宋" w:cs="仿宋"/>
          <w:sz w:val="24"/>
        </w:rPr>
        <w:t>投标人不按招标文件的要求提供的投标文件，可能会被评标委员会视为未实质性响应，其风险应由投标人自行承担。</w:t>
      </w:r>
    </w:p>
    <w:p>
      <w:pPr>
        <w:tabs>
          <w:tab w:val="left" w:pos="3870"/>
        </w:tabs>
        <w:snapToGrid w:val="0"/>
        <w:spacing w:line="284" w:lineRule="auto"/>
        <w:ind w:firstLine="482" w:firstLineChars="200"/>
        <w:jc w:val="left"/>
        <w:rPr>
          <w:rFonts w:ascii="仿宋" w:hAnsi="仿宋" w:eastAsia="仿宋" w:cs="仿宋"/>
          <w:b/>
          <w:sz w:val="24"/>
        </w:rPr>
      </w:pPr>
      <w:r>
        <w:rPr>
          <w:rFonts w:hint="eastAsia" w:ascii="仿宋" w:hAnsi="仿宋" w:eastAsia="仿宋" w:cs="仿宋"/>
          <w:b/>
          <w:sz w:val="24"/>
        </w:rPr>
        <w:t>注：复印件应加盖投标人公章</w:t>
      </w:r>
    </w:p>
    <w:p>
      <w:pPr>
        <w:spacing w:line="284" w:lineRule="auto"/>
        <w:jc w:val="left"/>
        <w:rPr>
          <w:rFonts w:ascii="仿宋" w:hAnsi="仿宋" w:eastAsia="仿宋" w:cs="仿宋"/>
          <w:b/>
          <w:sz w:val="24"/>
        </w:rPr>
      </w:pPr>
      <w:r>
        <w:rPr>
          <w:rFonts w:hint="eastAsia" w:ascii="仿宋" w:hAnsi="仿宋" w:eastAsia="仿宋" w:cs="仿宋"/>
          <w:b/>
          <w:sz w:val="24"/>
        </w:rPr>
        <w:t>3.投标报价</w:t>
      </w:r>
    </w:p>
    <w:p>
      <w:pPr>
        <w:pStyle w:val="24"/>
        <w:spacing w:line="284" w:lineRule="auto"/>
        <w:jc w:val="left"/>
        <w:rPr>
          <w:rFonts w:ascii="仿宋" w:hAnsi="仿宋" w:eastAsia="仿宋" w:cs="仿宋"/>
          <w:sz w:val="24"/>
        </w:rPr>
      </w:pPr>
      <w:r>
        <w:rPr>
          <w:rFonts w:hint="eastAsia" w:ascii="仿宋" w:hAnsi="仿宋" w:eastAsia="仿宋" w:cs="仿宋"/>
          <w:sz w:val="24"/>
        </w:rPr>
        <w:t>3.1投标人应按招标文件中《开标一览表》等附表要求填写。</w:t>
      </w:r>
    </w:p>
    <w:p>
      <w:pPr>
        <w:pStyle w:val="24"/>
        <w:spacing w:line="284" w:lineRule="auto"/>
        <w:jc w:val="left"/>
        <w:rPr>
          <w:rFonts w:ascii="仿宋" w:hAnsi="仿宋" w:eastAsia="仿宋" w:cs="仿宋"/>
          <w:sz w:val="24"/>
        </w:rPr>
      </w:pPr>
      <w:r>
        <w:rPr>
          <w:rFonts w:hint="eastAsia" w:ascii="仿宋" w:hAnsi="仿宋" w:eastAsia="仿宋" w:cs="仿宋"/>
          <w:sz w:val="24"/>
        </w:rPr>
        <w:t>3.2报价为购买货物或服务需缴纳的所有税费及其他包括知识产权在内的一切相关费用。</w:t>
      </w:r>
    </w:p>
    <w:p>
      <w:pPr>
        <w:pStyle w:val="24"/>
        <w:spacing w:line="284" w:lineRule="auto"/>
        <w:jc w:val="left"/>
        <w:rPr>
          <w:rFonts w:ascii="仿宋" w:hAnsi="仿宋" w:eastAsia="仿宋" w:cs="仿宋"/>
          <w:sz w:val="24"/>
        </w:rPr>
      </w:pPr>
      <w:r>
        <w:rPr>
          <w:rFonts w:hint="eastAsia" w:ascii="仿宋" w:hAnsi="仿宋" w:eastAsia="仿宋" w:cs="仿宋"/>
          <w:sz w:val="24"/>
        </w:rPr>
        <w:t>3.3招标文件未列明，而投标人认为必需的费用也需列入报价。</w:t>
      </w:r>
    </w:p>
    <w:p>
      <w:pPr>
        <w:pStyle w:val="24"/>
        <w:spacing w:line="284" w:lineRule="auto"/>
        <w:jc w:val="left"/>
        <w:rPr>
          <w:rFonts w:ascii="仿宋" w:hAnsi="仿宋" w:eastAsia="仿宋" w:cs="仿宋"/>
          <w:sz w:val="24"/>
        </w:rPr>
      </w:pPr>
      <w:r>
        <w:rPr>
          <w:rFonts w:hint="eastAsia" w:ascii="仿宋" w:hAnsi="仿宋" w:eastAsia="仿宋" w:cs="仿宋"/>
          <w:sz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284" w:lineRule="auto"/>
        <w:jc w:val="left"/>
        <w:rPr>
          <w:rFonts w:ascii="仿宋" w:hAnsi="仿宋" w:eastAsia="仿宋" w:cs="仿宋"/>
          <w:sz w:val="24"/>
        </w:rPr>
      </w:pPr>
      <w:r>
        <w:rPr>
          <w:rFonts w:hint="eastAsia" w:ascii="仿宋" w:hAnsi="仿宋" w:eastAsia="仿宋" w:cs="仿宋"/>
          <w:sz w:val="24"/>
        </w:rPr>
        <w:t>3.5</w:t>
      </w:r>
      <w:r>
        <w:rPr>
          <w:rFonts w:hint="eastAsia" w:ascii="仿宋" w:hAnsi="仿宋" w:eastAsia="仿宋" w:cs="仿宋"/>
          <w:b/>
          <w:i/>
          <w:sz w:val="24"/>
        </w:rPr>
        <w:t>投标报价只允许有一个报价，有选择的报价将不予接受（除指定外）。</w:t>
      </w:r>
    </w:p>
    <w:p>
      <w:pPr>
        <w:pStyle w:val="16"/>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4.投标文件的有效期</w:t>
      </w:r>
    </w:p>
    <w:p>
      <w:pPr>
        <w:pStyle w:val="16"/>
        <w:numPr>
          <w:ilvl w:val="0"/>
          <w:numId w:val="0"/>
        </w:numPr>
        <w:adjustRightInd/>
        <w:spacing w:line="284" w:lineRule="auto"/>
        <w:rPr>
          <w:rFonts w:ascii="仿宋" w:hAnsi="仿宋" w:eastAsia="仿宋" w:cs="仿宋"/>
          <w:sz w:val="24"/>
        </w:rPr>
      </w:pPr>
      <w:r>
        <w:rPr>
          <w:rFonts w:hint="eastAsia" w:ascii="仿宋" w:hAnsi="仿宋" w:eastAsia="仿宋" w:cs="仿宋"/>
          <w:sz w:val="24"/>
        </w:rPr>
        <w:t>4.1投标有效期为从提交投标文件的截止之日起90天。</w:t>
      </w:r>
      <w:r>
        <w:rPr>
          <w:rFonts w:hint="eastAsia" w:ascii="仿宋" w:hAnsi="仿宋" w:eastAsia="仿宋" w:cs="仿宋"/>
          <w:b/>
          <w:sz w:val="24"/>
        </w:rPr>
        <w:t>投标人的投标文件中承诺的投标有效期少于招标文件中载明的投标有效期的，投标无效。</w:t>
      </w:r>
    </w:p>
    <w:p>
      <w:pPr>
        <w:pStyle w:val="16"/>
        <w:numPr>
          <w:ilvl w:val="0"/>
          <w:numId w:val="0"/>
        </w:numPr>
        <w:adjustRightInd/>
        <w:spacing w:line="284" w:lineRule="auto"/>
        <w:rPr>
          <w:rFonts w:ascii="仿宋" w:hAnsi="仿宋" w:eastAsia="仿宋" w:cs="仿宋"/>
          <w:sz w:val="24"/>
        </w:rPr>
      </w:pPr>
      <w:r>
        <w:rPr>
          <w:rFonts w:hint="eastAsia" w:ascii="仿宋" w:hAnsi="仿宋" w:eastAsia="仿宋" w:cs="仿宋"/>
          <w:sz w:val="24"/>
        </w:rPr>
        <w:t>4.2在特殊情况下，招标人可与投标人协商延长投标书的有效期，这种要求和答复均以书面形式进行。</w:t>
      </w:r>
    </w:p>
    <w:p>
      <w:pPr>
        <w:pStyle w:val="16"/>
        <w:numPr>
          <w:ilvl w:val="0"/>
          <w:numId w:val="0"/>
        </w:numPr>
        <w:adjustRightInd/>
        <w:spacing w:line="284" w:lineRule="auto"/>
        <w:rPr>
          <w:rFonts w:ascii="仿宋" w:hAnsi="仿宋" w:eastAsia="仿宋" w:cs="仿宋"/>
          <w:b/>
          <w:sz w:val="24"/>
        </w:rPr>
      </w:pPr>
      <w:r>
        <w:rPr>
          <w:rFonts w:hint="eastAsia" w:ascii="仿宋" w:hAnsi="仿宋" w:eastAsia="仿宋" w:cs="仿宋"/>
          <w:bCs/>
          <w:sz w:val="24"/>
        </w:rPr>
        <w:t>4.3投标人可拒绝接受延期要求而不会导致投标保证金被没收。同意延长有效期的投标人不能修改投标文件。</w:t>
      </w:r>
    </w:p>
    <w:p>
      <w:pPr>
        <w:pStyle w:val="16"/>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5.投标文件的规定</w:t>
      </w:r>
    </w:p>
    <w:p>
      <w:pPr>
        <w:pStyle w:val="16"/>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5.1投标文件由“商务技术（资信）文件资料”、“报价文件资料”两部分文件组成，应按统一格式填写。</w:t>
      </w:r>
    </w:p>
    <w:p>
      <w:pPr>
        <w:pStyle w:val="16"/>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5.2投标文件须按附件格式要求进行电子签章，投标人应写全称。</w:t>
      </w:r>
    </w:p>
    <w:p>
      <w:pPr>
        <w:pStyle w:val="16"/>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5.4投标文件不得涂改，若有修改错漏处，须加盖单位公章或者法定代表人或其授权代表签字或盖章。</w:t>
      </w:r>
    </w:p>
    <w:p>
      <w:pPr>
        <w:pStyle w:val="16"/>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5.5投标文件因字迹潦草或表达不清所引起的后果由投标人负责。</w:t>
      </w:r>
    </w:p>
    <w:p>
      <w:pPr>
        <w:pStyle w:val="16"/>
        <w:numPr>
          <w:ilvl w:val="0"/>
          <w:numId w:val="0"/>
        </w:numPr>
        <w:adjustRightInd/>
        <w:spacing w:line="284" w:lineRule="auto"/>
        <w:rPr>
          <w:rFonts w:ascii="仿宋" w:hAnsi="仿宋" w:eastAsia="仿宋" w:cs="仿宋"/>
          <w:bCs/>
          <w:sz w:val="24"/>
        </w:rPr>
      </w:pPr>
      <w:r>
        <w:rPr>
          <w:rFonts w:hint="eastAsia" w:ascii="仿宋" w:hAnsi="仿宋" w:eastAsia="仿宋" w:cs="仿宋"/>
          <w:bCs/>
          <w:sz w:val="24"/>
        </w:rPr>
        <w:t>5.6投标人应认真阅读招标文件中所有的内容。如果投标人编制的投标文件实质上不响应招标文件的要求，其投标文件将被招标人拒绝。</w:t>
      </w:r>
    </w:p>
    <w:p>
      <w:pPr>
        <w:pStyle w:val="16"/>
        <w:numPr>
          <w:ilvl w:val="0"/>
          <w:numId w:val="0"/>
        </w:numPr>
        <w:adjustRightInd/>
        <w:spacing w:line="284" w:lineRule="auto"/>
        <w:rPr>
          <w:rFonts w:ascii="仿宋" w:hAnsi="仿宋" w:eastAsia="仿宋" w:cs="仿宋"/>
          <w:bCs/>
          <w:sz w:val="24"/>
        </w:rPr>
      </w:pPr>
      <w:r>
        <w:rPr>
          <w:rFonts w:hint="eastAsia" w:ascii="仿宋" w:hAnsi="仿宋" w:eastAsia="仿宋" w:cs="仿宋"/>
          <w:b/>
          <w:sz w:val="24"/>
        </w:rPr>
        <w:t>5.7电子投标文件部分：投标人应根据“政采云供应商项目采购-电子招投标操作指南”及本招标文件规定的格式和顺序编制电子投标文件并进行关联定位。</w:t>
      </w:r>
    </w:p>
    <w:p>
      <w:pPr>
        <w:pStyle w:val="16"/>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6.投标文件的提交</w:t>
      </w:r>
    </w:p>
    <w:p>
      <w:pPr>
        <w:pStyle w:val="16"/>
        <w:numPr>
          <w:ilvl w:val="0"/>
          <w:numId w:val="0"/>
        </w:numPr>
        <w:adjustRightInd/>
        <w:spacing w:line="284" w:lineRule="auto"/>
        <w:ind w:firstLine="480" w:firstLineChars="200"/>
        <w:rPr>
          <w:rFonts w:ascii="仿宋" w:hAnsi="仿宋" w:eastAsia="仿宋" w:cs="仿宋"/>
          <w:bCs/>
          <w:sz w:val="24"/>
        </w:rPr>
      </w:pPr>
      <w:r>
        <w:rPr>
          <w:rFonts w:hint="eastAsia" w:ascii="仿宋" w:hAnsi="仿宋" w:eastAsia="仿宋" w:cs="仿宋"/>
          <w:bCs/>
          <w:sz w:val="24"/>
        </w:rPr>
        <w:t>投标人应按“招标公告”规定的时间、方式将投标文件提交给采购代理机构，采购代理机构将拒绝接受逾期提交的投标文件。</w:t>
      </w:r>
    </w:p>
    <w:p>
      <w:pPr>
        <w:pStyle w:val="16"/>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7.投标文件的补充和修改</w:t>
      </w:r>
    </w:p>
    <w:p>
      <w:pPr>
        <w:pStyle w:val="16"/>
        <w:numPr>
          <w:ilvl w:val="0"/>
          <w:numId w:val="0"/>
        </w:numPr>
        <w:adjustRightInd/>
        <w:spacing w:line="284" w:lineRule="auto"/>
        <w:ind w:firstLine="480" w:firstLineChars="200"/>
        <w:rPr>
          <w:rFonts w:ascii="仿宋" w:hAnsi="仿宋" w:eastAsia="仿宋" w:cs="仿宋"/>
          <w:bCs/>
          <w:sz w:val="24"/>
        </w:rPr>
      </w:pPr>
      <w:r>
        <w:rPr>
          <w:rFonts w:hint="eastAsia" w:ascii="仿宋" w:hAnsi="仿宋" w:eastAsia="仿宋" w:cs="仿宋"/>
          <w:bCs/>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napToGrid w:val="0"/>
        <w:spacing w:line="288" w:lineRule="auto"/>
        <w:jc w:val="center"/>
        <w:rPr>
          <w:rFonts w:ascii="仿宋" w:hAnsi="仿宋" w:eastAsia="仿宋" w:cs="仿宋"/>
          <w:b/>
          <w:sz w:val="36"/>
          <w:szCs w:val="36"/>
        </w:rPr>
      </w:pPr>
      <w:r>
        <w:rPr>
          <w:rFonts w:hint="eastAsia" w:ascii="仿宋" w:hAnsi="仿宋" w:eastAsia="仿宋" w:cs="仿宋"/>
          <w:b/>
          <w:sz w:val="36"/>
          <w:szCs w:val="36"/>
        </w:rPr>
        <w:t>四、开标和评标</w:t>
      </w:r>
    </w:p>
    <w:p>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288" w:lineRule="auto"/>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288" w:lineRule="auto"/>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288" w:lineRule="auto"/>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288" w:lineRule="auto"/>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288" w:lineRule="auto"/>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288" w:lineRule="auto"/>
        <w:jc w:val="left"/>
        <w:rPr>
          <w:rFonts w:ascii="仿宋" w:hAnsi="仿宋" w:eastAsia="仿宋" w:cs="仿宋"/>
          <w:sz w:val="24"/>
        </w:rPr>
      </w:pPr>
      <w:r>
        <w:rPr>
          <w:rFonts w:hint="eastAsia" w:ascii="仿宋" w:hAnsi="仿宋" w:eastAsia="仿宋" w:cs="仿宋"/>
          <w:sz w:val="24"/>
        </w:rPr>
        <w:t>1.7主持人公布评标结果。</w:t>
      </w:r>
    </w:p>
    <w:p>
      <w:pPr>
        <w:snapToGrid w:val="0"/>
        <w:spacing w:line="288" w:lineRule="auto"/>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288" w:lineRule="auto"/>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288" w:lineRule="auto"/>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288" w:lineRule="auto"/>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288" w:lineRule="auto"/>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288" w:lineRule="auto"/>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adjustRightInd/>
        <w:snapToGrid w:val="0"/>
        <w:spacing w:line="288" w:lineRule="auto"/>
        <w:jc w:val="left"/>
        <w:rPr>
          <w:rFonts w:ascii="仿宋" w:hAnsi="仿宋" w:eastAsia="仿宋" w:cs="仿宋"/>
          <w:b/>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3.评标</w:t>
      </w:r>
    </w:p>
    <w:p>
      <w:pPr>
        <w:snapToGrid w:val="0"/>
        <w:spacing w:line="288" w:lineRule="auto"/>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288" w:lineRule="auto"/>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288" w:lineRule="auto"/>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288" w:lineRule="auto"/>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2" w:firstLineChars="200"/>
        <w:jc w:val="left"/>
        <w:rPr>
          <w:rFonts w:ascii="仿宋" w:hAnsi="仿宋" w:eastAsia="仿宋" w:cs="仿宋"/>
          <w:sz w:val="24"/>
        </w:rPr>
      </w:pPr>
      <w:r>
        <w:rPr>
          <w:rFonts w:hint="eastAsia" w:ascii="仿宋" w:hAnsi="仿宋" w:eastAsia="仿宋" w:cs="仿宋"/>
          <w:b/>
          <w:bCs/>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288" w:lineRule="auto"/>
        <w:ind w:firstLine="482" w:firstLineChars="200"/>
        <w:jc w:val="left"/>
        <w:rPr>
          <w:rFonts w:ascii="仿宋" w:hAnsi="仿宋" w:eastAsia="仿宋" w:cs="仿宋"/>
          <w:sz w:val="24"/>
        </w:rPr>
      </w:pPr>
      <w:r>
        <w:rPr>
          <w:rFonts w:hint="eastAsia" w:ascii="仿宋" w:hAnsi="仿宋" w:eastAsia="仿宋" w:cs="仿宋"/>
          <w:b/>
          <w:bCs/>
          <w:sz w:val="24"/>
        </w:rPr>
        <w:t>供应商通过政采云平台交换的数据电文必须进行电子签章。</w:t>
      </w:r>
    </w:p>
    <w:p>
      <w:pPr>
        <w:snapToGrid w:val="0"/>
        <w:spacing w:line="288" w:lineRule="auto"/>
        <w:jc w:val="left"/>
        <w:rPr>
          <w:rFonts w:ascii="仿宋" w:hAnsi="仿宋" w:eastAsia="仿宋" w:cs="仿宋"/>
          <w:sz w:val="24"/>
        </w:rPr>
      </w:pPr>
      <w:r>
        <w:rPr>
          <w:rFonts w:hint="eastAsia" w:ascii="仿宋" w:hAnsi="仿宋" w:eastAsia="仿宋" w:cs="仿宋"/>
          <w:sz w:val="24"/>
        </w:rPr>
        <w:t>3.5评标委员会对投标文件的判定，只依据投标文件和招标文件内容本身，不依据任何外来证明。</w:t>
      </w:r>
    </w:p>
    <w:p>
      <w:pPr>
        <w:snapToGrid w:val="0"/>
        <w:spacing w:line="288" w:lineRule="auto"/>
        <w:jc w:val="left"/>
        <w:rPr>
          <w:rFonts w:ascii="仿宋" w:hAnsi="仿宋" w:eastAsia="仿宋" w:cs="仿宋"/>
          <w:sz w:val="24"/>
        </w:rPr>
      </w:pPr>
      <w:r>
        <w:rPr>
          <w:rFonts w:hint="eastAsia" w:ascii="仿宋" w:hAnsi="仿宋" w:eastAsia="仿宋" w:cs="仿宋"/>
          <w:sz w:val="24"/>
        </w:rPr>
        <w:t>3.6评标委员会不向落标方解释落标的原因。</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4.投标文件的初审鉴定</w:t>
      </w:r>
    </w:p>
    <w:p>
      <w:pPr>
        <w:snapToGrid w:val="0"/>
        <w:spacing w:line="288" w:lineRule="auto"/>
        <w:jc w:val="left"/>
        <w:rPr>
          <w:rFonts w:ascii="仿宋" w:hAnsi="仿宋" w:eastAsia="仿宋" w:cs="仿宋"/>
          <w:sz w:val="24"/>
        </w:rPr>
      </w:pPr>
      <w:r>
        <w:rPr>
          <w:rFonts w:hint="eastAsia" w:ascii="仿宋" w:hAnsi="仿宋" w:eastAsia="仿宋" w:cs="仿宋"/>
          <w:sz w:val="24"/>
        </w:rPr>
        <w:t>4.1资格性审查</w:t>
      </w:r>
    </w:p>
    <w:p>
      <w:pPr>
        <w:snapToGrid w:val="0"/>
        <w:spacing w:line="288" w:lineRule="auto"/>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pPr>
        <w:snapToGrid w:val="0"/>
        <w:spacing w:line="288" w:lineRule="auto"/>
        <w:jc w:val="left"/>
        <w:rPr>
          <w:rFonts w:ascii="仿宋" w:hAnsi="仿宋" w:eastAsia="仿宋" w:cs="仿宋"/>
          <w:sz w:val="24"/>
        </w:rPr>
      </w:pPr>
      <w:r>
        <w:rPr>
          <w:rFonts w:hint="eastAsia" w:ascii="仿宋" w:hAnsi="仿宋" w:eastAsia="仿宋" w:cs="仿宋"/>
          <w:sz w:val="24"/>
        </w:rPr>
        <w:t>4.2符合性审查</w:t>
      </w:r>
    </w:p>
    <w:p>
      <w:pPr>
        <w:snapToGrid w:val="0"/>
        <w:spacing w:line="288" w:lineRule="auto"/>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napToGrid w:val="0"/>
        <w:spacing w:line="288" w:lineRule="auto"/>
        <w:jc w:val="left"/>
        <w:rPr>
          <w:rFonts w:ascii="仿宋" w:hAnsi="仿宋" w:eastAsia="仿宋" w:cs="仿宋"/>
          <w:sz w:val="24"/>
        </w:rPr>
      </w:pPr>
      <w:r>
        <w:rPr>
          <w:rFonts w:hint="eastAsia" w:ascii="仿宋" w:hAnsi="仿宋" w:eastAsia="仿宋" w:cs="仿宋"/>
          <w:b/>
          <w:bCs/>
          <w:sz w:val="24"/>
        </w:rPr>
        <w:t>5.投标文件报价出现前后不一致的，按照下列规定修正：</w:t>
      </w:r>
    </w:p>
    <w:p>
      <w:pPr>
        <w:snapToGrid w:val="0"/>
        <w:spacing w:line="288" w:lineRule="auto"/>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288" w:lineRule="auto"/>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288" w:lineRule="auto"/>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288" w:lineRule="auto"/>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6.投标文件的评审、比较和否决</w:t>
      </w:r>
    </w:p>
    <w:p>
      <w:pPr>
        <w:snapToGrid w:val="0"/>
        <w:spacing w:line="288" w:lineRule="auto"/>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288" w:lineRule="auto"/>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288" w:lineRule="auto"/>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288" w:lineRule="auto"/>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288" w:lineRule="auto"/>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288" w:lineRule="auto"/>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288" w:lineRule="auto"/>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288" w:lineRule="auto"/>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288" w:lineRule="auto"/>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288" w:lineRule="auto"/>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288" w:lineRule="auto"/>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6.8评标委员会依据招标文件规定的评标标准和方法，对投标文件进行评审和比较后，向耀华建设管理有限公司提供书面评标报告，并按得分高低排序推荐中标候选供应商。</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7.投标文件的澄清</w:t>
      </w:r>
    </w:p>
    <w:p>
      <w:pPr>
        <w:snapToGrid w:val="0"/>
        <w:spacing w:line="288" w:lineRule="auto"/>
        <w:jc w:val="left"/>
        <w:rPr>
          <w:rFonts w:ascii="仿宋" w:hAnsi="仿宋" w:eastAsia="仿宋" w:cs="仿宋"/>
          <w:sz w:val="24"/>
        </w:rPr>
      </w:pPr>
      <w:r>
        <w:rPr>
          <w:rFonts w:hint="eastAsia" w:ascii="仿宋" w:hAnsi="仿宋" w:eastAsia="仿宋" w:cs="仿宋"/>
          <w:sz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jc w:val="left"/>
        <w:rPr>
          <w:rFonts w:ascii="仿宋" w:hAnsi="仿宋" w:eastAsia="仿宋" w:cs="仿宋"/>
          <w:b/>
          <w:sz w:val="24"/>
        </w:rPr>
      </w:pPr>
      <w:r>
        <w:rPr>
          <w:rFonts w:hint="eastAsia" w:ascii="仿宋" w:hAnsi="仿宋" w:eastAsia="仿宋" w:cs="仿宋"/>
          <w:b/>
          <w:sz w:val="24"/>
        </w:rPr>
        <w:t>8.1未按照招标文件规定要求签署、盖章的；</w:t>
      </w:r>
    </w:p>
    <w:p>
      <w:pPr>
        <w:snapToGrid w:val="0"/>
        <w:spacing w:line="288" w:lineRule="auto"/>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288" w:lineRule="auto"/>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288" w:lineRule="auto"/>
        <w:jc w:val="left"/>
        <w:rPr>
          <w:rFonts w:ascii="仿宋" w:hAnsi="仿宋" w:eastAsia="仿宋" w:cs="仿宋"/>
          <w:b/>
          <w:sz w:val="24"/>
        </w:rPr>
      </w:pPr>
      <w:r>
        <w:rPr>
          <w:rFonts w:hint="eastAsia" w:ascii="仿宋" w:hAnsi="仿宋" w:eastAsia="仿宋" w:cs="仿宋"/>
          <w:b/>
          <w:sz w:val="24"/>
        </w:rPr>
        <w:t>8.4投标人不具备招标文件中规定的资格要求的（投标人未提供有效的资格证明文件的，视为投标人不具备招标文件中规定的资格要求）；</w:t>
      </w:r>
    </w:p>
    <w:p>
      <w:pPr>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8.5《法定代表人授权委托书》或《法定代表人身份证明书》填写不全、错误、未加盖公章(《法定代表人授权委托书》要求“公章”和“签字或盖章”缺一不可）的；</w:t>
      </w:r>
    </w:p>
    <w:p>
      <w:pPr>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8.6授权代表非投标单位正式职工的（以社保证明为准，如授权代表为离退休返聘人员的，需提供退休证明及单位聘用证明）；</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8.7投标文件中的投标函未加盖投标人的企业公章或填写不全的；</w:t>
      </w:r>
    </w:p>
    <w:p>
      <w:pPr>
        <w:tabs>
          <w:tab w:val="left" w:pos="3870"/>
          <w:tab w:val="left" w:pos="4085"/>
        </w:tabs>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8.8报</w:t>
      </w:r>
      <w:r>
        <w:rPr>
          <w:rFonts w:hint="eastAsia" w:ascii="仿宋" w:hAnsi="仿宋" w:eastAsia="仿宋" w:cs="仿宋"/>
          <w:b/>
          <w:sz w:val="24"/>
        </w:rPr>
        <w:t>价一经涂改，未在涂改处加盖投标单位公章或者未经法定代表人或其授权代表签字或盖章的；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kern w:val="0"/>
          <w:sz w:val="24"/>
        </w:rPr>
        <w:t>8.9</w:t>
      </w:r>
      <w:r>
        <w:rPr>
          <w:rFonts w:hint="eastAsia" w:ascii="仿宋" w:hAnsi="仿宋" w:eastAsia="仿宋" w:cs="仿宋"/>
          <w:b/>
          <w:sz w:val="24"/>
        </w:rPr>
        <w:t>未按招标文件规定的格式填写，或对招标服务或技术或产品等要求未详细应答或应答内容不全、有缺失的,经评标委员会认定为无法评审的；</w:t>
      </w:r>
    </w:p>
    <w:p>
      <w:pPr>
        <w:pStyle w:val="24"/>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8.10出现同一标的物或本次招标产品(服务)内的主要产品(重要组成部分)出现商务技术（资信）文件资料、报价文件资料描述不一致或前后描述不一致，经评标委员会认定后为无法评审的；</w:t>
      </w:r>
    </w:p>
    <w:p>
      <w:pPr>
        <w:pStyle w:val="24"/>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8.11《技术偏离说明表》不真实填写或弄虚作假的；</w:t>
      </w:r>
    </w:p>
    <w:p>
      <w:pPr>
        <w:tabs>
          <w:tab w:val="left" w:pos="3870"/>
          <w:tab w:val="left" w:pos="4085"/>
        </w:tabs>
        <w:snapToGrid w:val="0"/>
        <w:spacing w:line="288" w:lineRule="auto"/>
        <w:jc w:val="left"/>
        <w:rPr>
          <w:rFonts w:ascii="仿宋" w:hAnsi="仿宋" w:eastAsia="仿宋" w:cs="仿宋"/>
          <w:b/>
          <w:kern w:val="0"/>
          <w:sz w:val="24"/>
        </w:rPr>
      </w:pPr>
      <w:r>
        <w:rPr>
          <w:rFonts w:hint="eastAsia" w:ascii="仿宋" w:hAnsi="仿宋" w:eastAsia="仿宋" w:cs="仿宋"/>
          <w:b/>
          <w:sz w:val="24"/>
        </w:rPr>
        <w:t>8.12投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288" w:lineRule="auto"/>
        <w:jc w:val="left"/>
        <w:rPr>
          <w:rFonts w:ascii="仿宋" w:hAnsi="仿宋" w:eastAsia="仿宋" w:cs="仿宋"/>
          <w:b/>
          <w:kern w:val="0"/>
          <w:sz w:val="24"/>
        </w:rPr>
      </w:pPr>
      <w:r>
        <w:rPr>
          <w:rFonts w:hint="eastAsia" w:ascii="仿宋" w:hAnsi="仿宋" w:eastAsia="仿宋" w:cs="仿宋"/>
          <w:b/>
          <w:kern w:val="0"/>
          <w:sz w:val="24"/>
        </w:rPr>
        <w:t>8.13评</w:t>
      </w:r>
      <w:r>
        <w:rPr>
          <w:rFonts w:hint="eastAsia" w:ascii="仿宋" w:hAnsi="仿宋" w:eastAsia="仿宋" w:cs="仿宋"/>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8.14报价超过招标文件中规定的预算金额或最高限价的；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8.15投标文件“商务技术（资信）文件资料”部分中出现《开标一览表》相关内容的；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8.16采购人拟采购的产品属于政府强制采购的节能产品品目清单范围的，投标人未按招标文件要求提供国家确定的认证机构出具的、处于有效期之内的节能产品认证证书的；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8.17《开标一览表》填写不完整或字迹不能辨认或有漏项的，经评标委员会认定属于重大偏差的；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8.18投标人对根据修正原则修正后的报价不确认的；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8.19投标人提供虚假材料投标的（包括但不限于以下情节）；</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8.19.1使用伪造、变造的许可证件；</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8.19.2提供虚假的财务状况或者业绩；</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8.19.3提供虚假的项目负责人或者主要技术人员简历、劳动关系证明；</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8.19.4提供虚假的信用状况；</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8.19.5其他弄虚作假的行为。</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8.20下列情形之一的，视为投标人串通投标，其投标无效：</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8.20.1不同投标人的投标文件由同一单位或者个人编制；</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8.20.2不同投标人委托同一单位或者个人办理投标事宜；</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8.20.3不同投标人的投标文件载明的项目管理成员或者联系人员为同一人；</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8.20.4不同投标人的投标文件异常一致或者投标报价呈规律性差异；</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8.20.5不同投标人的投标文件相互混装；</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8.20.6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8.21有下列情形之一的，属于恶意串通，其投标无效：</w:t>
      </w:r>
    </w:p>
    <w:p>
      <w:pPr>
        <w:spacing w:line="288" w:lineRule="auto"/>
        <w:ind w:firstLine="480" w:firstLineChars="200"/>
        <w:rPr>
          <w:rFonts w:ascii="仿宋" w:hAnsi="仿宋" w:eastAsia="仿宋" w:cs="仿宋"/>
          <w:sz w:val="24"/>
        </w:rPr>
      </w:pPr>
      <w:r>
        <w:rPr>
          <w:rFonts w:hint="eastAsia" w:ascii="仿宋" w:hAnsi="仿宋" w:eastAsia="仿宋" w:cs="仿宋"/>
          <w:sz w:val="24"/>
        </w:rPr>
        <w:t>8.21.1供应商直接或者间接从采购人或者采购代理机构处获得其他供应商的相关情况并修改其投标文件或者响应文件；</w:t>
      </w:r>
    </w:p>
    <w:p>
      <w:pPr>
        <w:spacing w:line="288" w:lineRule="auto"/>
        <w:ind w:firstLine="480" w:firstLineChars="200"/>
        <w:rPr>
          <w:rFonts w:ascii="仿宋" w:hAnsi="仿宋" w:eastAsia="仿宋" w:cs="仿宋"/>
          <w:sz w:val="24"/>
        </w:rPr>
      </w:pPr>
      <w:r>
        <w:rPr>
          <w:rFonts w:hint="eastAsia" w:ascii="仿宋" w:hAnsi="仿宋" w:eastAsia="仿宋" w:cs="仿宋"/>
          <w:sz w:val="24"/>
        </w:rPr>
        <w:t>8.21.2供应商按照采购人或者采购代理机构的授意撤换、修改投标文件或者响应文件；</w:t>
      </w:r>
    </w:p>
    <w:p>
      <w:pPr>
        <w:spacing w:line="288" w:lineRule="auto"/>
        <w:ind w:firstLine="480" w:firstLineChars="200"/>
        <w:rPr>
          <w:rFonts w:ascii="仿宋" w:hAnsi="仿宋" w:eastAsia="仿宋" w:cs="仿宋"/>
          <w:sz w:val="24"/>
        </w:rPr>
      </w:pPr>
      <w:r>
        <w:rPr>
          <w:rFonts w:hint="eastAsia" w:ascii="仿宋" w:hAnsi="仿宋" w:eastAsia="仿宋" w:cs="仿宋"/>
          <w:sz w:val="24"/>
        </w:rPr>
        <w:t>8.23.3供应商之间协商报价、技术方案等投标文件或者响应文件的实质性内容；</w:t>
      </w:r>
    </w:p>
    <w:p>
      <w:pPr>
        <w:spacing w:line="288" w:lineRule="auto"/>
        <w:ind w:firstLine="480" w:firstLineChars="200"/>
        <w:rPr>
          <w:rFonts w:ascii="仿宋" w:hAnsi="仿宋" w:eastAsia="仿宋" w:cs="仿宋"/>
          <w:sz w:val="24"/>
        </w:rPr>
      </w:pPr>
      <w:r>
        <w:rPr>
          <w:rFonts w:hint="eastAsia" w:ascii="仿宋" w:hAnsi="仿宋" w:eastAsia="仿宋" w:cs="仿宋"/>
          <w:sz w:val="24"/>
        </w:rPr>
        <w:t>8.21.4属于同一集团、协会、商会等组织成员的供应商按照该组织要求协同参加政府采购活动；</w:t>
      </w:r>
    </w:p>
    <w:p>
      <w:pPr>
        <w:spacing w:line="288" w:lineRule="auto"/>
        <w:ind w:firstLine="480" w:firstLineChars="200"/>
        <w:rPr>
          <w:rFonts w:ascii="仿宋" w:hAnsi="仿宋" w:eastAsia="仿宋" w:cs="仿宋"/>
          <w:sz w:val="24"/>
        </w:rPr>
      </w:pPr>
      <w:r>
        <w:rPr>
          <w:rFonts w:hint="eastAsia" w:ascii="仿宋" w:hAnsi="仿宋" w:eastAsia="仿宋" w:cs="仿宋"/>
          <w:sz w:val="24"/>
        </w:rPr>
        <w:t>8.21.5供应商之间事先约定由某一特定供应商中标、成交；</w:t>
      </w:r>
    </w:p>
    <w:p>
      <w:pPr>
        <w:spacing w:line="288" w:lineRule="auto"/>
        <w:ind w:firstLine="480" w:firstLineChars="200"/>
        <w:rPr>
          <w:rFonts w:ascii="仿宋" w:hAnsi="仿宋" w:eastAsia="仿宋" w:cs="仿宋"/>
          <w:sz w:val="24"/>
        </w:rPr>
      </w:pPr>
      <w:r>
        <w:rPr>
          <w:rFonts w:hint="eastAsia" w:ascii="仿宋" w:hAnsi="仿宋" w:eastAsia="仿宋" w:cs="仿宋"/>
          <w:sz w:val="24"/>
        </w:rPr>
        <w:t>8.21.6供应商之间商定部分供应商放弃参加政府采购活动或者放弃中标、成交；</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8.21.7供应商与采购人或者采购代理机构之间、供应商相互之间，为谋求特定供应商中标、成交或者排斥其他供应商的其他串通行为。</w:t>
      </w:r>
    </w:p>
    <w:p>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8.22评标委员会认定有重大偏差或实质性不响应招标文件要求的；</w:t>
      </w:r>
    </w:p>
    <w:p>
      <w:pPr>
        <w:spacing w:line="288" w:lineRule="auto"/>
        <w:rPr>
          <w:rFonts w:ascii="仿宋" w:hAnsi="仿宋" w:eastAsia="仿宋" w:cs="仿宋"/>
          <w:sz w:val="24"/>
        </w:rPr>
      </w:pPr>
      <w:r>
        <w:rPr>
          <w:rFonts w:hint="eastAsia" w:ascii="仿宋" w:hAnsi="仿宋" w:eastAsia="仿宋" w:cs="仿宋"/>
          <w:b/>
          <w:sz w:val="24"/>
        </w:rPr>
        <w:t>8.23其他违反法律、法规的情形。</w:t>
      </w:r>
    </w:p>
    <w:p>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288" w:lineRule="auto"/>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288" w:lineRule="auto"/>
        <w:rPr>
          <w:rFonts w:ascii="仿宋" w:hAnsi="仿宋" w:eastAsia="仿宋" w:cs="仿宋"/>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284" w:lineRule="auto"/>
        <w:jc w:val="center"/>
        <w:rPr>
          <w:rFonts w:ascii="仿宋" w:hAnsi="仿宋" w:eastAsia="仿宋" w:cs="仿宋"/>
          <w:b/>
          <w:sz w:val="36"/>
          <w:szCs w:val="36"/>
        </w:rPr>
      </w:pPr>
      <w:bookmarkStart w:id="3" w:name="_Toc81372953"/>
      <w:bookmarkStart w:id="4" w:name="_Toc84325929"/>
      <w:bookmarkStart w:id="5" w:name="_Toc81372776"/>
      <w:r>
        <w:rPr>
          <w:rFonts w:hint="eastAsia" w:ascii="仿宋" w:hAnsi="仿宋" w:eastAsia="仿宋" w:cs="仿宋"/>
          <w:b/>
          <w:sz w:val="36"/>
          <w:szCs w:val="36"/>
        </w:rPr>
        <w:t>五、授予合同</w:t>
      </w:r>
    </w:p>
    <w:p>
      <w:pPr>
        <w:pStyle w:val="16"/>
        <w:numPr>
          <w:ilvl w:val="0"/>
          <w:numId w:val="0"/>
        </w:numPr>
        <w:adjustRightInd/>
        <w:spacing w:line="284" w:lineRule="auto"/>
        <w:rPr>
          <w:rFonts w:ascii="仿宋" w:hAnsi="仿宋" w:eastAsia="仿宋" w:cs="仿宋"/>
          <w:b/>
          <w:sz w:val="24"/>
        </w:rPr>
      </w:pPr>
      <w:r>
        <w:rPr>
          <w:rFonts w:hint="eastAsia" w:ascii="仿宋" w:hAnsi="仿宋" w:eastAsia="仿宋" w:cs="仿宋"/>
          <w:b/>
          <w:sz w:val="24"/>
        </w:rPr>
        <w:t>1.中标条件</w:t>
      </w:r>
    </w:p>
    <w:p>
      <w:pPr>
        <w:pStyle w:val="16"/>
        <w:numPr>
          <w:ilvl w:val="0"/>
          <w:numId w:val="0"/>
        </w:numPr>
        <w:adjustRightInd/>
        <w:spacing w:line="284" w:lineRule="auto"/>
        <w:rPr>
          <w:rFonts w:ascii="仿宋" w:hAnsi="仿宋" w:eastAsia="仿宋" w:cs="仿宋"/>
          <w:sz w:val="24"/>
        </w:rPr>
      </w:pPr>
      <w:r>
        <w:rPr>
          <w:rFonts w:hint="eastAsia" w:ascii="仿宋" w:hAnsi="仿宋" w:eastAsia="仿宋" w:cs="仿宋"/>
          <w:sz w:val="24"/>
        </w:rPr>
        <w:t>1.1投标文件基本符合招标文件要求；</w:t>
      </w:r>
    </w:p>
    <w:p>
      <w:pPr>
        <w:pStyle w:val="16"/>
        <w:numPr>
          <w:ilvl w:val="0"/>
          <w:numId w:val="0"/>
        </w:numPr>
        <w:adjustRightInd/>
        <w:spacing w:line="284" w:lineRule="auto"/>
        <w:rPr>
          <w:rFonts w:ascii="仿宋" w:hAnsi="仿宋" w:eastAsia="仿宋" w:cs="仿宋"/>
          <w:sz w:val="24"/>
        </w:rPr>
      </w:pPr>
      <w:r>
        <w:rPr>
          <w:rFonts w:hint="eastAsia" w:ascii="仿宋" w:hAnsi="仿宋" w:eastAsia="仿宋" w:cs="仿宋"/>
          <w:sz w:val="24"/>
        </w:rPr>
        <w:t>1.2投标人有很好的执行合同的能力；</w:t>
      </w:r>
    </w:p>
    <w:p>
      <w:pPr>
        <w:pStyle w:val="16"/>
        <w:numPr>
          <w:ilvl w:val="0"/>
          <w:numId w:val="0"/>
        </w:numPr>
        <w:adjustRightInd/>
        <w:spacing w:line="284" w:lineRule="auto"/>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pStyle w:val="16"/>
        <w:numPr>
          <w:ilvl w:val="0"/>
          <w:numId w:val="0"/>
        </w:numPr>
        <w:adjustRightInd/>
        <w:spacing w:line="284" w:lineRule="auto"/>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adjustRightInd/>
        <w:spacing w:line="284" w:lineRule="auto"/>
        <w:jc w:val="left"/>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adjustRightInd/>
        <w:spacing w:line="284" w:lineRule="auto"/>
        <w:jc w:val="left"/>
        <w:rPr>
          <w:rFonts w:ascii="仿宋" w:hAnsi="仿宋" w:eastAsia="仿宋" w:cs="仿宋"/>
          <w:b/>
          <w:sz w:val="24"/>
        </w:rPr>
      </w:pPr>
      <w:r>
        <w:rPr>
          <w:rFonts w:hint="eastAsia" w:ascii="仿宋" w:hAnsi="仿宋" w:eastAsia="仿宋" w:cs="仿宋"/>
          <w:b/>
          <w:sz w:val="24"/>
        </w:rPr>
        <w:t>2.中标确认</w:t>
      </w:r>
    </w:p>
    <w:p>
      <w:pPr>
        <w:adjustRightInd/>
        <w:spacing w:line="284" w:lineRule="auto"/>
        <w:jc w:val="left"/>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adjustRightInd/>
        <w:spacing w:line="284" w:lineRule="auto"/>
        <w:jc w:val="left"/>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adjustRightInd/>
        <w:spacing w:line="284" w:lineRule="auto"/>
        <w:jc w:val="left"/>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adjustRightInd/>
        <w:spacing w:line="284" w:lineRule="auto"/>
        <w:jc w:val="left"/>
        <w:rPr>
          <w:rFonts w:ascii="仿宋" w:hAnsi="仿宋" w:eastAsia="仿宋" w:cs="仿宋"/>
          <w:b/>
          <w:sz w:val="24"/>
        </w:rPr>
      </w:pPr>
      <w:r>
        <w:rPr>
          <w:rFonts w:hint="eastAsia" w:ascii="仿宋" w:hAnsi="仿宋" w:eastAsia="仿宋" w:cs="仿宋"/>
          <w:b/>
          <w:sz w:val="24"/>
        </w:rPr>
        <w:t>3．中标通知</w:t>
      </w:r>
    </w:p>
    <w:bookmarkEnd w:id="3"/>
    <w:bookmarkEnd w:id="4"/>
    <w:bookmarkEnd w:id="5"/>
    <w:p>
      <w:pPr>
        <w:pStyle w:val="64"/>
        <w:tabs>
          <w:tab w:val="left" w:pos="0"/>
        </w:tabs>
        <w:adjustRightInd/>
        <w:spacing w:before="0" w:line="284" w:lineRule="auto"/>
        <w:ind w:firstLine="0" w:firstLineChars="0"/>
        <w:rPr>
          <w:rFonts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szCs w:val="24"/>
        </w:rPr>
        <w:t>采购代理机构</w:t>
      </w:r>
      <w:r>
        <w:rPr>
          <w:rFonts w:hint="eastAsia" w:ascii="仿宋" w:hAnsi="仿宋" w:eastAsia="仿宋" w:cs="仿宋"/>
          <w:szCs w:val="24"/>
        </w:rPr>
        <w:t>对中标结果在指定媒体</w:t>
      </w:r>
      <w:r>
        <w:rPr>
          <w:rFonts w:hint="eastAsia" w:ascii="仿宋" w:hAnsi="仿宋" w:eastAsia="仿宋" w:cs="仿宋"/>
          <w:kern w:val="0"/>
          <w:szCs w:val="24"/>
        </w:rPr>
        <w:t>（浙江政府采购网</w:t>
      </w:r>
      <w:r>
        <w:fldChar w:fldCharType="begin"/>
      </w:r>
      <w:r>
        <w:instrText xml:space="preserve"> HYPERLINK "http://zfcg.czt.zj.gov.cn/" </w:instrText>
      </w:r>
      <w:r>
        <w:fldChar w:fldCharType="separate"/>
      </w:r>
      <w:r>
        <w:rPr>
          <w:rFonts w:hint="eastAsia" w:ascii="仿宋" w:hAnsi="仿宋" w:eastAsia="仿宋" w:cs="仿宋"/>
          <w:bCs/>
          <w:u w:val="single"/>
        </w:rPr>
        <w:t>http://zfcg.czt.zj.gov.cn</w:t>
      </w:r>
      <w:r>
        <w:rPr>
          <w:rFonts w:hint="eastAsia" w:ascii="仿宋" w:hAnsi="仿宋" w:eastAsia="仿宋" w:cs="仿宋"/>
          <w:bCs/>
          <w:u w:val="single"/>
        </w:rPr>
        <w:fldChar w:fldCharType="end"/>
      </w:r>
      <w:r>
        <w:rPr>
          <w:rFonts w:hint="eastAsia" w:ascii="仿宋" w:hAnsi="仿宋" w:eastAsia="仿宋" w:cs="仿宋"/>
          <w:kern w:val="0"/>
          <w:szCs w:val="24"/>
        </w:rPr>
        <w:t>、绍兴公共资源交易网</w:t>
      </w:r>
      <w:r>
        <w:fldChar w:fldCharType="begin"/>
      </w:r>
      <w:r>
        <w:instrText xml:space="preserve"> HYPERLINK "http://ggb.sx.gov.cn/" </w:instrText>
      </w:r>
      <w:r>
        <w:fldChar w:fldCharType="separate"/>
      </w:r>
      <w:r>
        <w:rPr>
          <w:rStyle w:val="51"/>
          <w:rFonts w:hint="eastAsia" w:ascii="仿宋" w:hAnsi="仿宋" w:eastAsia="仿宋" w:cs="仿宋"/>
          <w:color w:val="auto"/>
          <w:szCs w:val="24"/>
        </w:rPr>
        <w:t>http://ggb.sx.gov.cn</w:t>
      </w:r>
      <w:r>
        <w:rPr>
          <w:rStyle w:val="51"/>
          <w:rFonts w:hint="eastAsia" w:ascii="仿宋" w:hAnsi="仿宋" w:eastAsia="仿宋" w:cs="仿宋"/>
          <w:color w:val="auto"/>
          <w:szCs w:val="24"/>
        </w:rPr>
        <w:fldChar w:fldCharType="end"/>
      </w:r>
      <w:r>
        <w:rPr>
          <w:rFonts w:hint="eastAsia" w:ascii="仿宋" w:hAnsi="仿宋" w:eastAsia="仿宋" w:cs="仿宋"/>
          <w:kern w:val="0"/>
          <w:szCs w:val="24"/>
        </w:rPr>
        <w:t>）发布中标公告，中标公告期限为1个工作日。</w:t>
      </w:r>
    </w:p>
    <w:p>
      <w:pPr>
        <w:tabs>
          <w:tab w:val="left" w:pos="0"/>
        </w:tabs>
        <w:adjustRightInd/>
        <w:spacing w:line="284" w:lineRule="auto"/>
        <w:rPr>
          <w:rFonts w:ascii="仿宋" w:hAnsi="仿宋" w:eastAsia="仿宋" w:cs="仿宋"/>
          <w:kern w:val="0"/>
          <w:sz w:val="24"/>
          <w:lang w:val="zh-CN"/>
        </w:rPr>
      </w:pPr>
      <w:r>
        <w:rPr>
          <w:rFonts w:hint="eastAsia" w:ascii="仿宋" w:hAnsi="仿宋" w:eastAsia="仿宋" w:cs="仿宋"/>
          <w:sz w:val="24"/>
        </w:rPr>
        <w:t>3.2在采购代理机构发出中标通知书前，中标供应商如有违反有关法律法规和本项目要求行为的，则取消该投标人的中标资格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adjustRightInd/>
        <w:spacing w:line="284" w:lineRule="auto"/>
        <w:jc w:val="left"/>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adjustRightInd/>
        <w:spacing w:line="284" w:lineRule="auto"/>
        <w:jc w:val="left"/>
        <w:rPr>
          <w:rFonts w:ascii="仿宋" w:hAnsi="仿宋" w:eastAsia="仿宋" w:cs="仿宋"/>
          <w:b/>
          <w:sz w:val="24"/>
        </w:rPr>
      </w:pPr>
      <w:r>
        <w:rPr>
          <w:rFonts w:hint="eastAsia" w:ascii="仿宋" w:hAnsi="仿宋" w:eastAsia="仿宋" w:cs="仿宋"/>
          <w:b/>
          <w:sz w:val="24"/>
        </w:rPr>
        <w:t>4．履约保证金</w:t>
      </w:r>
    </w:p>
    <w:p>
      <w:pPr>
        <w:adjustRightInd/>
        <w:spacing w:line="284" w:lineRule="auto"/>
        <w:jc w:val="left"/>
        <w:rPr>
          <w:rFonts w:ascii="仿宋" w:hAnsi="仿宋" w:eastAsia="仿宋" w:cs="仿宋"/>
          <w:sz w:val="24"/>
        </w:rPr>
      </w:pPr>
      <w:r>
        <w:rPr>
          <w:rFonts w:hint="eastAsia" w:ascii="仿宋" w:hAnsi="仿宋" w:eastAsia="仿宋" w:cs="仿宋"/>
          <w:sz w:val="24"/>
        </w:rPr>
        <w:t>4.1采购人在签订合同时，</w:t>
      </w:r>
      <w:r>
        <w:rPr>
          <w:rFonts w:hint="eastAsia" w:ascii="仿宋" w:hAnsi="仿宋" w:eastAsia="仿宋" w:cs="仿宋"/>
          <w:color w:val="000000"/>
          <w:sz w:val="24"/>
        </w:rPr>
        <w:t>按合同法规定可向中标人收取不高于中标额的5％的履约保证金，</w:t>
      </w:r>
      <w:r>
        <w:rPr>
          <w:rFonts w:hint="eastAsia" w:ascii="仿宋" w:hAnsi="仿宋" w:eastAsia="仿宋" w:cs="仿宋"/>
          <w:sz w:val="24"/>
        </w:rPr>
        <w:t>采购人不得以供应商事先提交履约保证金作为签订合同的条件。鼓励采购人根据项目特点、供应商诚信等情况免收履约保证金或降低缴纳比例。</w:t>
      </w:r>
    </w:p>
    <w:p>
      <w:pPr>
        <w:adjustRightInd/>
        <w:spacing w:line="284" w:lineRule="auto"/>
        <w:jc w:val="left"/>
        <w:rPr>
          <w:rFonts w:ascii="仿宋" w:hAnsi="仿宋" w:eastAsia="仿宋" w:cs="仿宋"/>
          <w:sz w:val="24"/>
        </w:rPr>
      </w:pPr>
      <w:r>
        <w:rPr>
          <w:rFonts w:hint="eastAsia" w:ascii="仿宋" w:hAnsi="仿宋" w:eastAsia="仿宋" w:cs="仿宋"/>
          <w:sz w:val="24"/>
        </w:rPr>
        <w:t>4.2供应商在履行完合同约定事项后，采购人应及时退还履约保证金。</w:t>
      </w:r>
    </w:p>
    <w:p>
      <w:pPr>
        <w:adjustRightInd/>
        <w:spacing w:line="284" w:lineRule="auto"/>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adjustRightInd/>
        <w:spacing w:line="284" w:lineRule="auto"/>
        <w:jc w:val="left"/>
        <w:rPr>
          <w:rFonts w:ascii="仿宋" w:hAnsi="仿宋" w:eastAsia="仿宋" w:cs="仿宋"/>
          <w:b/>
          <w:sz w:val="24"/>
        </w:rPr>
      </w:pPr>
      <w:r>
        <w:rPr>
          <w:rFonts w:hint="eastAsia" w:ascii="仿宋" w:hAnsi="仿宋" w:eastAsia="仿宋" w:cs="仿宋"/>
          <w:b/>
          <w:sz w:val="24"/>
        </w:rPr>
        <w:t>5．合同备案</w:t>
      </w:r>
    </w:p>
    <w:p>
      <w:pPr>
        <w:adjustRightInd/>
        <w:spacing w:line="284" w:lineRule="auto"/>
        <w:jc w:val="left"/>
        <w:rPr>
          <w:rFonts w:ascii="仿宋" w:hAnsi="仿宋" w:eastAsia="仿宋" w:cs="仿宋"/>
          <w:sz w:val="24"/>
        </w:rPr>
      </w:pPr>
      <w:r>
        <w:rPr>
          <w:rFonts w:hint="eastAsia" w:ascii="仿宋" w:hAnsi="仿宋" w:eastAsia="仿宋" w:cs="仿宋"/>
          <w:sz w:val="24"/>
        </w:rPr>
        <w:t>5.1中标人应当在中标通知书发出之日起</w:t>
      </w:r>
      <w:r>
        <w:rPr>
          <w:rFonts w:ascii="仿宋" w:hAnsi="仿宋" w:eastAsia="仿宋" w:cs="仿宋"/>
          <w:sz w:val="24"/>
        </w:rPr>
        <w:t>7</w:t>
      </w:r>
      <w:r>
        <w:rPr>
          <w:rFonts w:hint="eastAsia" w:ascii="仿宋" w:hAnsi="仿宋" w:eastAsia="仿宋" w:cs="仿宋"/>
          <w:sz w:val="24"/>
        </w:rPr>
        <w:t>个工作</w:t>
      </w:r>
      <w:r>
        <w:rPr>
          <w:rFonts w:ascii="仿宋" w:hAnsi="仿宋" w:eastAsia="仿宋" w:cs="仿宋"/>
          <w:sz w:val="24"/>
        </w:rPr>
        <w:t>日</w:t>
      </w:r>
      <w:r>
        <w:rPr>
          <w:rFonts w:hint="eastAsia" w:ascii="仿宋" w:hAnsi="仿宋" w:eastAsia="仿宋" w:cs="仿宋"/>
          <w:sz w:val="24"/>
        </w:rPr>
        <w:t>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，将</w:t>
      </w:r>
      <w:r>
        <w:rPr>
          <w:rFonts w:hint="eastAsia" w:ascii="仿宋" w:hAnsi="仿宋" w:eastAsia="仿宋" w:cs="仿宋"/>
          <w:b/>
          <w:sz w:val="24"/>
        </w:rPr>
        <w:t>采购合同原件</w:t>
      </w:r>
      <w:r>
        <w:rPr>
          <w:rFonts w:hint="eastAsia" w:ascii="仿宋" w:hAnsi="仿宋" w:eastAsia="仿宋" w:cs="仿宋"/>
          <w:sz w:val="24"/>
        </w:rPr>
        <w:t>报耀华建设管理有限公司备案。</w:t>
      </w:r>
    </w:p>
    <w:p>
      <w:pPr>
        <w:adjustRightInd/>
        <w:spacing w:line="284" w:lineRule="auto"/>
        <w:jc w:val="left"/>
        <w:rPr>
          <w:rFonts w:ascii="仿宋" w:hAnsi="仿宋" w:eastAsia="仿宋" w:cs="仿宋"/>
          <w:sz w:val="24"/>
        </w:rPr>
      </w:pPr>
      <w:r>
        <w:rPr>
          <w:rFonts w:hint="eastAsia" w:ascii="仿宋" w:hAnsi="仿宋" w:eastAsia="仿宋" w:cs="仿宋"/>
          <w:sz w:val="24"/>
        </w:rPr>
        <w:t>5.2未领取中标通知书，采购双方自行签订的合同不予备案。</w:t>
      </w:r>
    </w:p>
    <w:p>
      <w:pPr>
        <w:adjustRightInd/>
        <w:spacing w:line="284" w:lineRule="auto"/>
        <w:jc w:val="left"/>
        <w:rPr>
          <w:rFonts w:ascii="仿宋" w:hAnsi="仿宋" w:eastAsia="仿宋" w:cs="仿宋"/>
          <w:b/>
          <w:sz w:val="24"/>
        </w:rPr>
      </w:pPr>
      <w:r>
        <w:rPr>
          <w:rFonts w:hint="eastAsia" w:ascii="仿宋" w:hAnsi="仿宋" w:eastAsia="仿宋" w:cs="仿宋"/>
          <w:b/>
          <w:sz w:val="24"/>
        </w:rPr>
        <w:t>6.验收</w:t>
      </w:r>
    </w:p>
    <w:p>
      <w:pPr>
        <w:rPr>
          <w:rFonts w:ascii="仿宋" w:hAnsi="仿宋" w:eastAsia="仿宋" w:cs="仿宋"/>
          <w:sz w:val="24"/>
        </w:rPr>
      </w:pPr>
      <w:r>
        <w:rPr>
          <w:rFonts w:hint="eastAsia" w:ascii="仿宋" w:hAnsi="仿宋" w:eastAsia="仿宋" w:cs="仿宋"/>
          <w:sz w:val="24"/>
        </w:rPr>
        <w:t>6.1采购人组织对供应商履约的验收。</w:t>
      </w:r>
      <w:r>
        <w:rPr>
          <w:rFonts w:hint="eastAsia" w:ascii="仿宋" w:hAnsi="仿宋" w:eastAsia="仿宋" w:cs="仿宋"/>
          <w:color w:val="000000"/>
          <w:sz w:val="24"/>
        </w:rPr>
        <w:t>委托管理期间，按</w:t>
      </w:r>
      <w:r>
        <w:rPr>
          <w:rFonts w:hint="eastAsia" w:ascii="仿宋" w:hAnsi="仿宋" w:eastAsia="仿宋" w:cs="仿宋"/>
          <w:sz w:val="24"/>
        </w:rPr>
        <w:t>要求完成合同</w:t>
      </w:r>
      <w:r>
        <w:rPr>
          <w:rFonts w:hint="eastAsia" w:ascii="仿宋" w:hAnsi="仿宋" w:eastAsia="仿宋" w:cs="仿宋"/>
          <w:color w:val="000000"/>
          <w:sz w:val="24"/>
        </w:rPr>
        <w:t>相关事项，期满船只及船上设施保持完好，保龄球随时可用、适航状态，视为通过验收。发现船只破损或船上设施缺失损坏，由</w:t>
      </w:r>
      <w:r>
        <w:rPr>
          <w:rFonts w:hint="eastAsia" w:ascii="仿宋" w:hAnsi="仿宋" w:eastAsia="仿宋" w:cs="仿宋"/>
          <w:sz w:val="24"/>
        </w:rPr>
        <w:t>供应商补齐修复，供应商须承担由此发生的一切损失和费用，并承担相应的法律责任。</w:t>
      </w:r>
    </w:p>
    <w:p>
      <w:pPr>
        <w:adjustRightInd/>
        <w:spacing w:line="284" w:lineRule="auto"/>
        <w:jc w:val="left"/>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adjustRightInd/>
        <w:spacing w:line="284" w:lineRule="auto"/>
        <w:jc w:val="left"/>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adjustRightInd/>
        <w:spacing w:line="284" w:lineRule="auto"/>
        <w:jc w:val="left"/>
        <w:rPr>
          <w:rFonts w:ascii="仿宋" w:hAnsi="仿宋" w:eastAsia="仿宋" w:cs="仿宋"/>
          <w:b/>
          <w:sz w:val="24"/>
        </w:rPr>
      </w:pPr>
      <w:r>
        <w:rPr>
          <w:rFonts w:hint="eastAsia" w:ascii="仿宋" w:hAnsi="仿宋" w:eastAsia="仿宋" w:cs="仿宋"/>
          <w:b/>
          <w:sz w:val="24"/>
        </w:rPr>
        <w:t>7. 售后服务考核</w:t>
      </w:r>
    </w:p>
    <w:p>
      <w:pPr>
        <w:adjustRightInd/>
        <w:spacing w:line="284" w:lineRule="auto"/>
        <w:ind w:firstLine="480" w:firstLineChars="200"/>
        <w:jc w:val="left"/>
        <w:rPr>
          <w:rFonts w:ascii="仿宋" w:hAnsi="仿宋" w:eastAsia="仿宋" w:cs="仿宋"/>
          <w:sz w:val="24"/>
        </w:rPr>
      </w:pPr>
      <w:r>
        <w:rPr>
          <w:rFonts w:hint="eastAsia" w:ascii="仿宋" w:hAnsi="仿宋" w:eastAsia="仿宋" w:cs="仿宋"/>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六、质疑与投诉</w:t>
      </w:r>
    </w:p>
    <w:p>
      <w:pPr>
        <w:pStyle w:val="24"/>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adjustRightInd/>
        <w:spacing w:line="284"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1.供应商询问</w:t>
      </w:r>
    </w:p>
    <w:p>
      <w:pPr>
        <w:pStyle w:val="24"/>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供应商对政府采购活动事项有疑问的，可以向采购代理机构提出询问，采购代理机构将对供应商依法提出的询问作出答复，但答复的内容不得涉及商业秘密。</w:t>
      </w:r>
    </w:p>
    <w:p>
      <w:pPr>
        <w:autoSpaceDE w:val="0"/>
        <w:autoSpaceDN w:val="0"/>
        <w:adjustRightInd/>
        <w:spacing w:line="284"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2.供应商质疑</w:t>
      </w:r>
    </w:p>
    <w:p>
      <w:pPr>
        <w:pStyle w:val="24"/>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2.1供应商认为采购文件、采购过程和成交结果使自己的权益受到损害的，可以在知道或者应知其权益受到损害之日起七个工作日内，以书面形式向采购代理机构提出质疑，否则，采购代理机构不予受理：</w:t>
      </w:r>
    </w:p>
    <w:p>
      <w:pPr>
        <w:pStyle w:val="24"/>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4"/>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（2）对采购过程提出质疑的，质疑期限为各采购程序环节结束之日起计算。</w:t>
      </w:r>
    </w:p>
    <w:p>
      <w:pPr>
        <w:pStyle w:val="24"/>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（3）对采购结果提出质疑的，质疑期限自采购结果公告（包括公示、预公告、结果变更公告等）期限届满之日起计算。</w:t>
      </w:r>
    </w:p>
    <w:p>
      <w:pPr>
        <w:pStyle w:val="24"/>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（4）供应商应在法定质疑期内一次性提出针对同一采购程序环节的质疑。</w:t>
      </w:r>
    </w:p>
    <w:p>
      <w:pPr>
        <w:pStyle w:val="24"/>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3.供应商提交的质疑书需一式三份，质疑书至少应包括下列主要内容：</w:t>
      </w:r>
    </w:p>
    <w:p>
      <w:pPr>
        <w:pStyle w:val="24"/>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（1）质疑人的名称、地址、邮政编码、联系人、联系电话，以及被质疑人名称及联系方式；</w:t>
      </w:r>
    </w:p>
    <w:p>
      <w:pPr>
        <w:pStyle w:val="24"/>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（2）被质疑采购项目名称、编号及采购内容；</w:t>
      </w:r>
    </w:p>
    <w:p>
      <w:pPr>
        <w:pStyle w:val="24"/>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（3）具体、明确的质疑事项和与质疑事项相关的请求</w:t>
      </w:r>
    </w:p>
    <w:p>
      <w:pPr>
        <w:pStyle w:val="24"/>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（4）事实依据；</w:t>
      </w:r>
    </w:p>
    <w:p>
      <w:pPr>
        <w:pStyle w:val="24"/>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（5）必要的法律依据；</w:t>
      </w:r>
    </w:p>
    <w:p>
      <w:pPr>
        <w:pStyle w:val="24"/>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（6）认为自己合法权益受到损害或可能受到损害的相关证据材料；</w:t>
      </w:r>
    </w:p>
    <w:p>
      <w:pPr>
        <w:pStyle w:val="24"/>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（7）提出质疑的日期。</w:t>
      </w:r>
    </w:p>
    <w:p>
      <w:pPr>
        <w:pStyle w:val="24"/>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（8） 质疑书应当署名。质疑人为自然人的，应当由本人签字并附有效身份证明；质疑人为法人或其他组织的，应当由法定代表人或主要负责人签字（或盖章）并加盖单位公章。</w:t>
      </w:r>
    </w:p>
    <w:p>
      <w:pPr>
        <w:pStyle w:val="24"/>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（9） 质疑人因故不能自行办理质疑事项的，可以委托代理人办理质疑事宜，但应当向被质疑人提交授权委托书，并载明委托代理的具体权限和事项。</w:t>
      </w:r>
    </w:p>
    <w:p>
      <w:pPr>
        <w:pStyle w:val="24"/>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（10）质疑人提供的相关材料中有外文资料的，应当将与质疑相关的外文资料完整、客观、真实地翻译为中文，并注明翻译人员姓名、工作单位、联系方式等信息。</w:t>
      </w:r>
    </w:p>
    <w:p>
      <w:pPr>
        <w:pStyle w:val="24"/>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4.采购代理机构应当在收到供应商的书面质疑后七个工作日内作出答复，并以书面形式通知质疑供应商和其他与质疑处理结果有利害关系的政府采购当事人，但答复的内容不得涉及商业秘密。</w:t>
      </w:r>
    </w:p>
    <w:p>
      <w:pPr>
        <w:adjustRightInd/>
        <w:spacing w:line="284" w:lineRule="auto"/>
        <w:ind w:firstLine="480" w:firstLineChars="200"/>
        <w:jc w:val="left"/>
        <w:rPr>
          <w:rFonts w:ascii="仿宋" w:hAnsi="仿宋" w:eastAsia="仿宋" w:cs="仿宋"/>
          <w:sz w:val="24"/>
        </w:rPr>
      </w:pPr>
      <w:r>
        <w:rPr>
          <w:rFonts w:hint="eastAsia" w:ascii="仿宋" w:hAnsi="仿宋" w:eastAsia="仿宋" w:cs="仿宋"/>
          <w:sz w:val="24"/>
        </w:rPr>
        <w:t>5.询问或者质疑事项可能影响采购结果的，采购人应当暂停签订合同，已经签订合同的，应当中止履行合同。</w:t>
      </w:r>
    </w:p>
    <w:p>
      <w:pPr>
        <w:pStyle w:val="24"/>
        <w:adjustRightInd/>
        <w:spacing w:line="288" w:lineRule="auto"/>
        <w:rPr>
          <w:rFonts w:ascii="仿宋" w:hAnsi="仿宋" w:eastAsia="仿宋" w:cs="仿宋"/>
          <w:b/>
          <w:sz w:val="36"/>
          <w:szCs w:val="36"/>
        </w:rPr>
      </w:pPr>
    </w:p>
    <w:p>
      <w:pPr>
        <w:snapToGrid w:val="0"/>
        <w:spacing w:line="284" w:lineRule="auto"/>
        <w:jc w:val="center"/>
        <w:rPr>
          <w:rFonts w:ascii="仿宋" w:hAnsi="仿宋" w:eastAsia="仿宋" w:cs="仿宋"/>
          <w:b/>
          <w:sz w:val="36"/>
          <w:szCs w:val="36"/>
        </w:rPr>
      </w:pPr>
      <w:r>
        <w:rPr>
          <w:rFonts w:ascii="仿宋" w:hAnsi="仿宋" w:eastAsia="仿宋" w:cs="仿宋"/>
          <w:b/>
          <w:sz w:val="36"/>
          <w:szCs w:val="36"/>
        </w:rPr>
        <w:br w:type="column"/>
      </w:r>
      <w:r>
        <w:rPr>
          <w:rFonts w:hint="eastAsia" w:ascii="仿宋" w:hAnsi="仿宋" w:eastAsia="仿宋" w:cs="仿宋"/>
          <w:b/>
          <w:sz w:val="36"/>
          <w:szCs w:val="36"/>
        </w:rPr>
        <w:t>第三部分 项目技术规范和服务要求</w:t>
      </w:r>
    </w:p>
    <w:p>
      <w:pPr>
        <w:snapToGrid w:val="0"/>
        <w:spacing w:line="284" w:lineRule="auto"/>
        <w:jc w:val="left"/>
        <w:rPr>
          <w:rFonts w:ascii="仿宋" w:hAnsi="仿宋" w:eastAsia="仿宋" w:cs="宋体"/>
          <w:sz w:val="24"/>
        </w:rPr>
      </w:pPr>
    </w:p>
    <w:p>
      <w:pPr>
        <w:pStyle w:val="24"/>
        <w:spacing w:line="288" w:lineRule="auto"/>
        <w:jc w:val="left"/>
        <w:rPr>
          <w:rFonts w:ascii="仿宋" w:hAnsi="仿宋" w:eastAsia="仿宋" w:cs="宋体"/>
          <w:b/>
          <w:sz w:val="24"/>
        </w:rPr>
      </w:pPr>
      <w:r>
        <w:rPr>
          <w:rFonts w:hint="eastAsia" w:ascii="仿宋" w:hAnsi="仿宋" w:eastAsia="仿宋" w:cs="宋体"/>
          <w:b/>
          <w:sz w:val="24"/>
        </w:rPr>
        <w:t>一、招标项目内容</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本次档案数字化主要是委托专业公司以服务形式，对绍兴市人民检察院现有库藏文书档案、诉讼档案等纸质档案进行整理及数字化加工，档案年代范围2012至2018年，采购内容及最高预算单价如下表：</w:t>
      </w:r>
    </w:p>
    <w:tbl>
      <w:tblPr>
        <w:tblStyle w:val="44"/>
        <w:tblpPr w:leftFromText="180" w:rightFromText="180" w:vertAnchor="text" w:horzAnchor="page" w:tblpX="1702" w:tblpY="177"/>
        <w:tblOverlap w:val="never"/>
        <w:tblW w:w="9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916"/>
        <w:gridCol w:w="1276"/>
        <w:gridCol w:w="4279"/>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210" w:type="dxa"/>
            <w:vAlign w:val="center"/>
          </w:tcPr>
          <w:p>
            <w:pPr>
              <w:pStyle w:val="24"/>
              <w:spacing w:line="288" w:lineRule="auto"/>
              <w:jc w:val="center"/>
              <w:rPr>
                <w:rFonts w:ascii="仿宋" w:hAnsi="仿宋" w:eastAsia="仿宋" w:cs="宋体"/>
                <w:sz w:val="24"/>
              </w:rPr>
            </w:pPr>
            <w:r>
              <w:rPr>
                <w:rFonts w:hint="eastAsia" w:ascii="仿宋" w:hAnsi="仿宋" w:eastAsia="仿宋" w:cs="宋体"/>
                <w:sz w:val="24"/>
              </w:rPr>
              <w:t>招标内容</w:t>
            </w:r>
          </w:p>
        </w:tc>
        <w:tc>
          <w:tcPr>
            <w:tcW w:w="6471" w:type="dxa"/>
            <w:gridSpan w:val="3"/>
            <w:vAlign w:val="center"/>
          </w:tcPr>
          <w:p>
            <w:pPr>
              <w:pStyle w:val="24"/>
              <w:spacing w:line="288" w:lineRule="auto"/>
              <w:jc w:val="center"/>
              <w:rPr>
                <w:rFonts w:ascii="仿宋" w:hAnsi="仿宋" w:eastAsia="仿宋" w:cs="宋体"/>
                <w:sz w:val="24"/>
              </w:rPr>
            </w:pPr>
            <w:r>
              <w:rPr>
                <w:rFonts w:hint="eastAsia" w:ascii="仿宋" w:hAnsi="仿宋" w:eastAsia="仿宋" w:cs="宋体"/>
                <w:sz w:val="24"/>
              </w:rPr>
              <w:t>包含项目</w:t>
            </w:r>
          </w:p>
        </w:tc>
        <w:tc>
          <w:tcPr>
            <w:tcW w:w="1530" w:type="dxa"/>
            <w:vAlign w:val="center"/>
          </w:tcPr>
          <w:p>
            <w:pPr>
              <w:pStyle w:val="24"/>
              <w:spacing w:line="288" w:lineRule="auto"/>
              <w:jc w:val="center"/>
              <w:rPr>
                <w:rFonts w:ascii="仿宋" w:hAnsi="仿宋" w:eastAsia="仿宋" w:cs="宋体"/>
                <w:sz w:val="24"/>
              </w:rPr>
            </w:pPr>
            <w:r>
              <w:rPr>
                <w:rFonts w:hint="eastAsia" w:ascii="仿宋" w:hAnsi="仿宋" w:eastAsia="仿宋" w:cs="宋体"/>
                <w:sz w:val="24"/>
              </w:rPr>
              <w:t>招标最高限价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210" w:type="dxa"/>
            <w:vMerge w:val="restart"/>
            <w:vAlign w:val="center"/>
          </w:tcPr>
          <w:p>
            <w:pPr>
              <w:pStyle w:val="24"/>
              <w:spacing w:line="288" w:lineRule="auto"/>
              <w:jc w:val="left"/>
              <w:rPr>
                <w:rFonts w:ascii="仿宋" w:hAnsi="仿宋" w:eastAsia="仿宋" w:cs="宋体"/>
                <w:sz w:val="24"/>
              </w:rPr>
            </w:pPr>
            <w:r>
              <w:rPr>
                <w:rFonts w:hint="eastAsia" w:ascii="仿宋" w:hAnsi="仿宋" w:eastAsia="仿宋" w:cs="宋体"/>
                <w:sz w:val="24"/>
              </w:rPr>
              <w:t>绍兴市人民检察院档案数字化服务</w:t>
            </w:r>
          </w:p>
        </w:tc>
        <w:tc>
          <w:tcPr>
            <w:tcW w:w="916" w:type="dxa"/>
            <w:vMerge w:val="restart"/>
            <w:vAlign w:val="center"/>
          </w:tcPr>
          <w:p>
            <w:pPr>
              <w:pStyle w:val="24"/>
              <w:spacing w:line="288" w:lineRule="auto"/>
              <w:jc w:val="left"/>
              <w:rPr>
                <w:rFonts w:ascii="仿宋" w:hAnsi="仿宋" w:eastAsia="仿宋" w:cs="宋体"/>
                <w:sz w:val="24"/>
              </w:rPr>
            </w:pPr>
            <w:r>
              <w:rPr>
                <w:rFonts w:hint="eastAsia" w:ascii="仿宋" w:hAnsi="仿宋" w:eastAsia="仿宋" w:cs="宋体"/>
                <w:sz w:val="24"/>
              </w:rPr>
              <w:t>数字化加工</w:t>
            </w:r>
          </w:p>
        </w:tc>
        <w:tc>
          <w:tcPr>
            <w:tcW w:w="1276" w:type="dxa"/>
            <w:vAlign w:val="center"/>
          </w:tcPr>
          <w:p>
            <w:pPr>
              <w:pStyle w:val="24"/>
              <w:spacing w:line="288" w:lineRule="auto"/>
              <w:jc w:val="left"/>
              <w:rPr>
                <w:rFonts w:ascii="仿宋" w:hAnsi="仿宋" w:eastAsia="仿宋" w:cs="宋体"/>
                <w:sz w:val="24"/>
              </w:rPr>
            </w:pPr>
            <w:r>
              <w:rPr>
                <w:rFonts w:hint="eastAsia" w:ascii="仿宋" w:hAnsi="仿宋" w:eastAsia="仿宋" w:cs="宋体"/>
                <w:sz w:val="24"/>
              </w:rPr>
              <w:t>扫描约58万页</w:t>
            </w:r>
          </w:p>
        </w:tc>
        <w:tc>
          <w:tcPr>
            <w:tcW w:w="4279" w:type="dxa"/>
            <w:vAlign w:val="center"/>
          </w:tcPr>
          <w:p>
            <w:pPr>
              <w:pStyle w:val="24"/>
              <w:spacing w:line="288" w:lineRule="auto"/>
              <w:jc w:val="left"/>
              <w:rPr>
                <w:rFonts w:ascii="仿宋" w:hAnsi="仿宋" w:eastAsia="仿宋" w:cs="宋体"/>
                <w:sz w:val="24"/>
              </w:rPr>
            </w:pPr>
            <w:r>
              <w:rPr>
                <w:rFonts w:hint="eastAsia" w:ascii="仿宋" w:hAnsi="仿宋" w:eastAsia="仿宋" w:cs="宋体"/>
                <w:sz w:val="24"/>
              </w:rPr>
              <w:t>对部分档案进行整理排序、封面、目录更换等；对纸质档案进行扫描、图像处理、图像存储、格式转换、文字识别、数据挂接、数据验收、数据备份、成果管理、档案装订等</w:t>
            </w:r>
          </w:p>
        </w:tc>
        <w:tc>
          <w:tcPr>
            <w:tcW w:w="1530" w:type="dxa"/>
            <w:vMerge w:val="restart"/>
            <w:vAlign w:val="center"/>
          </w:tcPr>
          <w:p>
            <w:pPr>
              <w:pStyle w:val="24"/>
              <w:spacing w:line="288" w:lineRule="auto"/>
              <w:jc w:val="center"/>
              <w:rPr>
                <w:rFonts w:ascii="仿宋" w:hAnsi="仿宋" w:eastAsia="仿宋" w:cs="宋体"/>
                <w:sz w:val="24"/>
              </w:rPr>
            </w:pPr>
            <w:r>
              <w:rPr>
                <w:rFonts w:hint="eastAsia" w:ascii="仿宋" w:hAnsi="仿宋" w:eastAsia="仿宋" w:cs="宋体"/>
                <w:sz w:val="24"/>
              </w:rPr>
              <w:t>0.52元/页</w:t>
            </w:r>
          </w:p>
          <w:p>
            <w:pPr>
              <w:pStyle w:val="24"/>
              <w:spacing w:line="288" w:lineRule="auto"/>
              <w:jc w:val="center"/>
              <w:rPr>
                <w:rFonts w:ascii="仿宋" w:hAnsi="仿宋" w:eastAsia="仿宋" w:cs="宋体"/>
                <w:sz w:val="24"/>
              </w:rPr>
            </w:pPr>
            <w:r>
              <w:rPr>
                <w:rFonts w:hint="eastAsia" w:ascii="仿宋" w:hAnsi="仿宋" w:eastAsia="仿宋" w:cs="宋体"/>
                <w:sz w:val="24"/>
              </w:rPr>
              <w:t>（综合单价），总价不超过35万。按实结算。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210" w:type="dxa"/>
            <w:vMerge w:val="continue"/>
            <w:vAlign w:val="center"/>
          </w:tcPr>
          <w:p>
            <w:pPr>
              <w:pStyle w:val="24"/>
              <w:spacing w:line="288" w:lineRule="auto"/>
              <w:jc w:val="left"/>
              <w:rPr>
                <w:rFonts w:ascii="仿宋" w:hAnsi="仿宋" w:eastAsia="仿宋" w:cs="宋体"/>
                <w:sz w:val="24"/>
              </w:rPr>
            </w:pPr>
          </w:p>
        </w:tc>
        <w:tc>
          <w:tcPr>
            <w:tcW w:w="916" w:type="dxa"/>
            <w:vMerge w:val="continue"/>
            <w:vAlign w:val="center"/>
          </w:tcPr>
          <w:p>
            <w:pPr>
              <w:pStyle w:val="24"/>
              <w:spacing w:line="288" w:lineRule="auto"/>
              <w:jc w:val="left"/>
              <w:rPr>
                <w:rFonts w:ascii="仿宋" w:hAnsi="仿宋" w:eastAsia="仿宋" w:cs="宋体"/>
                <w:sz w:val="24"/>
              </w:rPr>
            </w:pPr>
          </w:p>
        </w:tc>
        <w:tc>
          <w:tcPr>
            <w:tcW w:w="1276" w:type="dxa"/>
            <w:vAlign w:val="center"/>
          </w:tcPr>
          <w:p>
            <w:pPr>
              <w:pStyle w:val="24"/>
              <w:spacing w:line="288" w:lineRule="auto"/>
              <w:jc w:val="left"/>
              <w:rPr>
                <w:rFonts w:ascii="仿宋" w:hAnsi="仿宋" w:eastAsia="仿宋" w:cs="宋体"/>
                <w:sz w:val="24"/>
              </w:rPr>
            </w:pPr>
            <w:r>
              <w:rPr>
                <w:rFonts w:hint="eastAsia" w:ascii="仿宋" w:hAnsi="仿宋" w:eastAsia="仿宋" w:cs="宋体"/>
                <w:sz w:val="24"/>
              </w:rPr>
              <w:t>条目录入</w:t>
            </w:r>
          </w:p>
        </w:tc>
        <w:tc>
          <w:tcPr>
            <w:tcW w:w="4279" w:type="dxa"/>
            <w:vAlign w:val="center"/>
          </w:tcPr>
          <w:p>
            <w:pPr>
              <w:pStyle w:val="24"/>
              <w:spacing w:line="288" w:lineRule="auto"/>
              <w:jc w:val="left"/>
              <w:rPr>
                <w:rFonts w:ascii="仿宋" w:hAnsi="仿宋" w:eastAsia="仿宋" w:cs="宋体"/>
                <w:sz w:val="24"/>
              </w:rPr>
            </w:pPr>
            <w:r>
              <w:rPr>
                <w:rFonts w:hint="eastAsia" w:ascii="仿宋" w:hAnsi="仿宋" w:eastAsia="仿宋" w:cs="宋体"/>
                <w:sz w:val="24"/>
              </w:rPr>
              <w:t>建立档案目录数据库，并按照要求进行著录（一稿双录，两录一校）</w:t>
            </w:r>
          </w:p>
        </w:tc>
        <w:tc>
          <w:tcPr>
            <w:tcW w:w="1530" w:type="dxa"/>
            <w:vMerge w:val="continue"/>
            <w:vAlign w:val="top"/>
          </w:tcPr>
          <w:p>
            <w:pPr>
              <w:pStyle w:val="24"/>
              <w:spacing w:line="288" w:lineRule="auto"/>
              <w:jc w:val="left"/>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10" w:type="dxa"/>
            <w:vMerge w:val="continue"/>
            <w:vAlign w:val="center"/>
          </w:tcPr>
          <w:p>
            <w:pPr>
              <w:pStyle w:val="24"/>
              <w:spacing w:line="288" w:lineRule="auto"/>
              <w:jc w:val="left"/>
              <w:rPr>
                <w:rFonts w:ascii="仿宋" w:hAnsi="仿宋" w:eastAsia="仿宋" w:cs="宋体"/>
                <w:sz w:val="24"/>
              </w:rPr>
            </w:pPr>
          </w:p>
        </w:tc>
        <w:tc>
          <w:tcPr>
            <w:tcW w:w="916" w:type="dxa"/>
            <w:vMerge w:val="restart"/>
            <w:vAlign w:val="center"/>
          </w:tcPr>
          <w:p>
            <w:pPr>
              <w:pStyle w:val="24"/>
              <w:spacing w:line="288" w:lineRule="auto"/>
              <w:jc w:val="left"/>
              <w:rPr>
                <w:rFonts w:ascii="仿宋" w:hAnsi="仿宋" w:eastAsia="仿宋" w:cs="宋体"/>
                <w:sz w:val="24"/>
              </w:rPr>
            </w:pPr>
            <w:r>
              <w:rPr>
                <w:rFonts w:hint="eastAsia" w:ascii="仿宋" w:hAnsi="仿宋" w:eastAsia="仿宋" w:cs="宋体"/>
                <w:sz w:val="24"/>
              </w:rPr>
              <w:t>成果</w:t>
            </w:r>
            <w:r>
              <w:rPr>
                <w:rFonts w:ascii="仿宋" w:hAnsi="仿宋" w:eastAsia="仿宋" w:cs="宋体"/>
                <w:sz w:val="24"/>
              </w:rPr>
              <w:t>利用</w:t>
            </w:r>
          </w:p>
        </w:tc>
        <w:tc>
          <w:tcPr>
            <w:tcW w:w="1276" w:type="dxa"/>
            <w:vAlign w:val="center"/>
          </w:tcPr>
          <w:p>
            <w:pPr>
              <w:pStyle w:val="24"/>
              <w:spacing w:line="288" w:lineRule="auto"/>
              <w:jc w:val="left"/>
              <w:rPr>
                <w:rFonts w:ascii="仿宋" w:hAnsi="仿宋" w:eastAsia="仿宋" w:cs="宋体"/>
                <w:sz w:val="24"/>
              </w:rPr>
            </w:pPr>
            <w:r>
              <w:rPr>
                <w:rFonts w:hint="eastAsia" w:ascii="仿宋" w:hAnsi="仿宋" w:eastAsia="仿宋" w:cs="宋体"/>
                <w:sz w:val="24"/>
              </w:rPr>
              <w:t>档案管理系统</w:t>
            </w:r>
          </w:p>
        </w:tc>
        <w:tc>
          <w:tcPr>
            <w:tcW w:w="4279" w:type="dxa"/>
            <w:vAlign w:val="center"/>
          </w:tcPr>
          <w:p>
            <w:pPr>
              <w:pStyle w:val="24"/>
              <w:spacing w:line="288" w:lineRule="auto"/>
              <w:jc w:val="left"/>
              <w:rPr>
                <w:rFonts w:ascii="仿宋" w:hAnsi="仿宋" w:eastAsia="仿宋" w:cs="宋体"/>
                <w:sz w:val="24"/>
              </w:rPr>
            </w:pPr>
            <w:r>
              <w:rPr>
                <w:rFonts w:hint="eastAsia" w:ascii="仿宋" w:hAnsi="仿宋" w:eastAsia="仿宋" w:cs="宋体"/>
                <w:sz w:val="24"/>
              </w:rPr>
              <w:t>部署一套</w:t>
            </w:r>
            <w:r>
              <w:rPr>
                <w:rFonts w:ascii="仿宋" w:hAnsi="仿宋" w:eastAsia="仿宋" w:cs="宋体"/>
                <w:sz w:val="24"/>
              </w:rPr>
              <w:t>网络版</w:t>
            </w:r>
            <w:r>
              <w:rPr>
                <w:rFonts w:hint="eastAsia" w:ascii="仿宋" w:hAnsi="仿宋" w:eastAsia="仿宋" w:cs="宋体"/>
                <w:sz w:val="24"/>
              </w:rPr>
              <w:t>（服务器版）</w:t>
            </w:r>
            <w:r>
              <w:rPr>
                <w:rFonts w:ascii="仿宋" w:hAnsi="仿宋" w:eastAsia="仿宋" w:cs="宋体"/>
                <w:sz w:val="24"/>
              </w:rPr>
              <w:t>档案</w:t>
            </w:r>
            <w:r>
              <w:rPr>
                <w:rFonts w:hint="eastAsia" w:ascii="仿宋" w:hAnsi="仿宋" w:eastAsia="仿宋" w:cs="宋体"/>
                <w:sz w:val="24"/>
              </w:rPr>
              <w:t>管理</w:t>
            </w:r>
            <w:r>
              <w:rPr>
                <w:rFonts w:ascii="仿宋" w:hAnsi="仿宋" w:eastAsia="仿宋" w:cs="宋体"/>
                <w:sz w:val="24"/>
              </w:rPr>
              <w:t>系统</w:t>
            </w:r>
            <w:r>
              <w:rPr>
                <w:rFonts w:hint="eastAsia" w:ascii="仿宋" w:hAnsi="仿宋" w:eastAsia="仿宋" w:cs="宋体"/>
                <w:sz w:val="24"/>
              </w:rPr>
              <w:t>（文书档案、诉讼档案一体化部署）</w:t>
            </w:r>
          </w:p>
        </w:tc>
        <w:tc>
          <w:tcPr>
            <w:tcW w:w="1530" w:type="dxa"/>
            <w:vMerge w:val="continue"/>
            <w:vAlign w:val="top"/>
          </w:tcPr>
          <w:p>
            <w:pPr>
              <w:pStyle w:val="24"/>
              <w:spacing w:line="288" w:lineRule="auto"/>
              <w:jc w:val="left"/>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1210" w:type="dxa"/>
            <w:vMerge w:val="continue"/>
            <w:vAlign w:val="center"/>
          </w:tcPr>
          <w:p>
            <w:pPr>
              <w:pStyle w:val="24"/>
              <w:spacing w:line="288" w:lineRule="auto"/>
              <w:jc w:val="left"/>
              <w:rPr>
                <w:rFonts w:ascii="仿宋" w:hAnsi="仿宋" w:eastAsia="仿宋" w:cs="宋体"/>
                <w:sz w:val="24"/>
              </w:rPr>
            </w:pPr>
          </w:p>
        </w:tc>
        <w:tc>
          <w:tcPr>
            <w:tcW w:w="916" w:type="dxa"/>
            <w:vMerge w:val="continue"/>
            <w:vAlign w:val="center"/>
          </w:tcPr>
          <w:p>
            <w:pPr>
              <w:pStyle w:val="24"/>
              <w:spacing w:line="288" w:lineRule="auto"/>
              <w:jc w:val="left"/>
              <w:rPr>
                <w:rFonts w:ascii="仿宋" w:hAnsi="仿宋" w:eastAsia="仿宋" w:cs="宋体"/>
                <w:sz w:val="24"/>
              </w:rPr>
            </w:pPr>
          </w:p>
        </w:tc>
        <w:tc>
          <w:tcPr>
            <w:tcW w:w="1276" w:type="dxa"/>
            <w:vAlign w:val="center"/>
          </w:tcPr>
          <w:p>
            <w:pPr>
              <w:pStyle w:val="24"/>
              <w:spacing w:line="288" w:lineRule="auto"/>
              <w:jc w:val="left"/>
              <w:rPr>
                <w:rFonts w:ascii="仿宋" w:hAnsi="仿宋" w:eastAsia="仿宋" w:cs="宋体"/>
                <w:sz w:val="24"/>
              </w:rPr>
            </w:pPr>
            <w:r>
              <w:rPr>
                <w:rFonts w:hint="eastAsia" w:ascii="仿宋" w:hAnsi="仿宋" w:eastAsia="仿宋" w:cs="宋体"/>
                <w:sz w:val="24"/>
              </w:rPr>
              <w:t>旧数据迁移</w:t>
            </w:r>
          </w:p>
        </w:tc>
        <w:tc>
          <w:tcPr>
            <w:tcW w:w="4279" w:type="dxa"/>
            <w:vAlign w:val="center"/>
          </w:tcPr>
          <w:p>
            <w:pPr>
              <w:pStyle w:val="24"/>
              <w:spacing w:line="288" w:lineRule="auto"/>
              <w:jc w:val="left"/>
              <w:rPr>
                <w:rFonts w:ascii="仿宋" w:hAnsi="仿宋" w:eastAsia="仿宋" w:cs="宋体"/>
                <w:sz w:val="24"/>
              </w:rPr>
            </w:pPr>
            <w:r>
              <w:rPr>
                <w:rFonts w:hint="eastAsia" w:ascii="仿宋" w:hAnsi="仿宋" w:eastAsia="仿宋" w:cs="宋体"/>
                <w:sz w:val="24"/>
              </w:rPr>
              <w:t>对原有数据建立目录索引、图片修正、格式转换、数据挂接、数据备份、成果管理等</w:t>
            </w:r>
          </w:p>
        </w:tc>
        <w:tc>
          <w:tcPr>
            <w:tcW w:w="1530" w:type="dxa"/>
            <w:vMerge w:val="continue"/>
            <w:vAlign w:val="top"/>
          </w:tcPr>
          <w:p>
            <w:pPr>
              <w:pStyle w:val="24"/>
              <w:spacing w:line="288" w:lineRule="auto"/>
              <w:jc w:val="left"/>
              <w:rPr>
                <w:rFonts w:ascii="仿宋" w:hAnsi="仿宋" w:eastAsia="仿宋" w:cs="宋体"/>
                <w:sz w:val="24"/>
              </w:rPr>
            </w:pPr>
          </w:p>
        </w:tc>
      </w:tr>
    </w:tbl>
    <w:p>
      <w:pPr>
        <w:pStyle w:val="24"/>
        <w:spacing w:line="288" w:lineRule="auto"/>
        <w:jc w:val="left"/>
        <w:rPr>
          <w:rFonts w:ascii="仿宋" w:hAnsi="仿宋" w:eastAsia="仿宋" w:cs="宋体"/>
          <w:sz w:val="24"/>
        </w:rPr>
      </w:pPr>
    </w:p>
    <w:p>
      <w:pPr>
        <w:pStyle w:val="24"/>
        <w:spacing w:line="288" w:lineRule="auto"/>
        <w:jc w:val="left"/>
        <w:rPr>
          <w:rFonts w:ascii="仿宋" w:hAnsi="仿宋" w:eastAsia="仿宋" w:cs="宋体"/>
          <w:b/>
          <w:sz w:val="24"/>
        </w:rPr>
      </w:pPr>
      <w:r>
        <w:rPr>
          <w:rFonts w:hint="eastAsia" w:ascii="仿宋" w:hAnsi="仿宋" w:eastAsia="仿宋" w:cs="宋体"/>
          <w:b/>
          <w:sz w:val="24"/>
        </w:rPr>
        <w:t>二、服务参数及要求</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（一）总体质量要求</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1.</w:t>
      </w:r>
      <w:r>
        <w:rPr>
          <w:rFonts w:hint="eastAsia" w:hAnsi="宋体"/>
          <w:szCs w:val="21"/>
        </w:rPr>
        <w:t xml:space="preserve">★ </w:t>
      </w:r>
      <w:r>
        <w:rPr>
          <w:rFonts w:hint="eastAsia" w:ascii="仿宋" w:hAnsi="仿宋" w:eastAsia="仿宋" w:cs="宋体"/>
          <w:sz w:val="24"/>
        </w:rPr>
        <w:t>加工时必须从较早年度旧档案开始加工，逐年度向近年档案推近；扫描旧档案时采取合适措施确保在扫描过程中不对档案原件造成二次损伤。</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2.</w:t>
      </w:r>
      <w:r>
        <w:rPr>
          <w:rFonts w:hint="eastAsia" w:hAnsi="宋体"/>
          <w:szCs w:val="21"/>
        </w:rPr>
        <w:t xml:space="preserve">★ </w:t>
      </w:r>
      <w:r>
        <w:rPr>
          <w:rFonts w:hint="eastAsia" w:ascii="仿宋" w:hAnsi="仿宋" w:eastAsia="仿宋" w:cs="宋体"/>
          <w:sz w:val="24"/>
        </w:rPr>
        <w:t>严格遵守并达到国家标准《中华人民共和国行业标准（DA/T 31—2017）纸质档案数字化规范》，符合浙江省档案局《浙江省省直单位纸质档案数字化实施细则》、最高人民检察院《检察机关电子版档案数据接收规范及著录要求》和浙江省人民检察院《浙江省检察机关纸质档案数字化加工标准》要求，并充分考虑采购人意见。</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3.保证档案扫描图像与原件一致、整洁、清晰。做好档案资料原件、复印件鉴别相关工作。</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（二）扫描前处理</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在扫描之前，要求按照《浙江省人民检察院档案全文扫描前处理工作规则》对待加工档案实体进行适当整理，并视需要作出标识，确保档案数字化质量。档案扫描完成后，拆除过装订物的档案要进行细致认真的装订。具体装订要求如下：</w:t>
      </w:r>
    </w:p>
    <w:p>
      <w:pPr>
        <w:pStyle w:val="24"/>
        <w:spacing w:line="288" w:lineRule="auto"/>
        <w:jc w:val="left"/>
        <w:rPr>
          <w:rFonts w:ascii="仿宋" w:hAnsi="仿宋" w:eastAsia="仿宋" w:cs="宋体"/>
          <w:sz w:val="24"/>
        </w:rPr>
      </w:pPr>
      <w:r>
        <w:rPr>
          <w:rFonts w:hint="eastAsia" w:ascii="仿宋" w:hAnsi="仿宋" w:eastAsia="仿宋" w:cs="宋体"/>
          <w:sz w:val="24"/>
        </w:rPr>
        <w:t>（1）遵循尽可能保持档案原貌的原则，对扫描后的档案进行装订。并保持每页档案原有的排列顺序不变，案卷不掉页。</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（2）档案装订应按照历史档案原有的装订方向进行，不可更换装订的位置（如：改右装订为左装订）。</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（3）对于装订时某些页面必须进行折叠的情况，应以尽可能地减少折痕数为原则，能不折叠就尽量不折叠。</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（4）档案装订必须采用专业装订线进行装订，不可使用金属装订物；如原始档案中发现金属装订物，应予以剔除。</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（5）档案装订，应遵循“两对齐”要求，即装订线一侧边缘对齐，档案内页下边缘对齐。</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（6）档案装订应尽可能地按照原来的装订孔位进行穿线装订，尽量不要新打孔装订，力求保护原件。</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7）更换卷盒、卷皮、卷内文件目录：所有的不规范诉讼档案需要更换原有卷皮、卷内文件目录，并装入卷盒中。对于需要调换的卷内文件目录、卷皮均由投标人负责提供打印排版，更换的旧卷盒、卷皮及卷内文件目录需全部交还采购人。</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（8）投标人将加工完成的档案分期分批移交采购人，双方在交接清单上签字，完成交接验收工作，采购人档案管理人员负责将案卷退回库房。</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（三）档案扫描</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1.扫描方式和色彩模式：所有纸质档案都采用彩色模式扫描，对于较早年度档案要求全部采用平板扫描方式，以保护档案原件。</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2.扫描分辨率：纸质档案扫描影像文件的精度为30Odpi。</w:t>
      </w:r>
    </w:p>
    <w:p>
      <w:pPr>
        <w:pStyle w:val="24"/>
        <w:spacing w:line="288" w:lineRule="auto"/>
        <w:jc w:val="left"/>
        <w:rPr>
          <w:rFonts w:ascii="仿宋" w:hAnsi="仿宋" w:eastAsia="仿宋" w:cs="宋体"/>
          <w:sz w:val="24"/>
        </w:rPr>
      </w:pPr>
      <w:r>
        <w:rPr>
          <w:rFonts w:hint="eastAsia" w:ascii="仿宋" w:hAnsi="仿宋" w:eastAsia="仿宋" w:cs="宋体"/>
          <w:sz w:val="24"/>
        </w:rPr>
        <w:t>3.扫描加工要求：</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（1）根据采购人提供的工作单核对目录，修改有错误的目录并将档案实体按照实际扫描页重新编写页号并填写到工作单中，作为质检依据。</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（2）启钉、拆分，保证纸张的平整、抚平边角；  </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（3）采用可靠的扫描设备和扫描方式完成档案扫描，避免纸张褶皱、撕裂、破损等情况的发生。</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（4）如遇到档案纸张质地脆弱，不适合反复拆装订的档案，应采用不拆卷扫描设备和方式进行扫描。</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（5）扫描时，应根据纸张质地、底色、薄厚程度等因素，设置最佳的扫描明暗度、对比度设置，保证原始扫描图像效果与原件吻合。</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（6）尽量确保纸张扫描时放置端正，从而保证原始扫描图像无歪斜，减少后期处理可能带来的图像失真；</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7）对于档案中折子页、图纸、表格等应整页扫描；根据档案幅面的大小选择相应规格的专业扫描仪进行扫描；超长页、大幅面档案可采用专用数码平台进行扫描或者采用图像拼接方式处理；同一页面有两个以上文件，需分别编页及扫描。</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4.扫描登记：认真填写纸质档案数字化转换过程中的相关表单，记录质检结果和处理意见。包括交接登记表单，登记扫描档案的页数、色彩模式、分辨率等；如需要进行OCR识别的档案应注明；登记时应注意核对每份文件的实际扫描页数与档案整理登记单时填写的文件页数是否一致，对漏扫或错扫进行补扫的，应在登记表上注明原因和处理方法。</w:t>
      </w:r>
    </w:p>
    <w:p>
      <w:pPr>
        <w:pStyle w:val="24"/>
        <w:spacing w:line="288" w:lineRule="auto"/>
        <w:jc w:val="left"/>
        <w:rPr>
          <w:rFonts w:ascii="仿宋" w:hAnsi="仿宋" w:eastAsia="仿宋" w:cs="宋体"/>
          <w:sz w:val="24"/>
        </w:rPr>
      </w:pPr>
      <w:r>
        <w:rPr>
          <w:rFonts w:hint="eastAsia" w:ascii="仿宋" w:hAnsi="仿宋" w:eastAsia="仿宋" w:cs="宋体"/>
          <w:sz w:val="24"/>
        </w:rPr>
        <w:t>5.扫描影像处理：</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（1）扫描影像的顺序与计算机的著录顺序一致，与纸质档案的案卷和文件的顺序排列一致，不可颠倒，排列顺序与档案原件不一致时，应及时进行调整；</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（2）不能有漏扫和重页，不允许有折叠或缺损，保证电子影像的完整齐全，文件漏扫时，应及时补扫并正确插入图像；</w:t>
      </w:r>
    </w:p>
    <w:p>
      <w:pPr>
        <w:pStyle w:val="24"/>
        <w:spacing w:line="288" w:lineRule="auto"/>
        <w:jc w:val="left"/>
        <w:rPr>
          <w:rFonts w:ascii="仿宋" w:hAnsi="仿宋" w:eastAsia="仿宋" w:cs="宋体"/>
          <w:sz w:val="24"/>
        </w:rPr>
      </w:pPr>
      <w:r>
        <w:rPr>
          <w:rFonts w:hint="eastAsia" w:ascii="仿宋" w:hAnsi="仿宋" w:eastAsia="仿宋" w:cs="宋体"/>
          <w:sz w:val="24"/>
        </w:rPr>
        <w:t xml:space="preserve">    （3）扫描后的影像文件页面要端正，无扭曲，字迹要保持清晰、不失真、不留文字版面外的暗影、无干扰信息，黑白对比度适中，由于操作不当，造成扫描文件不完整或无法清晰识别时，应重新扫描；</w:t>
      </w:r>
      <w:r>
        <w:rPr>
          <w:rFonts w:hint="eastAsia" w:ascii="仿宋" w:hAnsi="仿宋" w:eastAsia="仿宋" w:cs="宋体"/>
          <w:sz w:val="24"/>
        </w:rPr>
        <w:br w:type="textWrapping"/>
      </w:r>
      <w:r>
        <w:rPr>
          <w:rFonts w:hint="eastAsia" w:ascii="仿宋" w:hAnsi="仿宋" w:eastAsia="仿宋" w:cs="宋体"/>
          <w:sz w:val="24"/>
        </w:rPr>
        <w:t xml:space="preserve">    （4）对图像偏斜度、清晰度、失真度等进行检查，电子图片的倾斜度不得超出1度，对方向不正确的图像应进行旋转还原，以符合阅读习惯，不符合图像质量要求的，重新进行图像处理。</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（四）图像存储</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1.扫描影像存储格式：原始保存图像数据格式应为采用单页的tiff格式存储。存储时压缩模式的选择，应以保证页面质量无损的前提下，尽量减小存储空间容量为准则。</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2.图像文件的命名：详见《浙江省检察机关纸质档案数字化加工标准》。</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 xml:space="preserve">（五）目录建库及著录 </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1.目录数据格式选择</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目录建库应选择通用的数据格式，所选定的数据格式应能通过XML文档进行数据交换。目录数据在图像外单独存储，数据能导出DBF、EXCEL等通用格式进行保存。</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2.目录著录</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按照《浙江省省直单位档案室电子目录数据库结构与交换格式》、高检院下发的《检察机关电子版档案数据接收规范及著录要求》和《浙江省检察机关文书、诉讼档案目录数据库结构与著录格式》建立档案目录数据库，并按照要求进行人工著录（一稿双录，两录一校），并最终形成全引目录、案卷目录和卷内文件目录。</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3.目录数据质量检查</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采用人工校对或软件自动校对的方式，对目录数据库的建库质量进行检查，核对著录项目是否完整、著录内容是否规范、准确，发现不合格的数据进行修改或重录。</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4.加工企业在加工期间必须免费为采购方提供独立的目录数据质检系统和统计系统。</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（六）数据挂接</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扫描完成后的图像数据，需要与目录数据进行一一对应。其中，扫描文件以卷为单位进行存储，案卷目录应对应到相应图像文件所在的文件夹；卷内目录应对应到相应页数的图像文件。</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1.汇总挂接</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档案数字化转换过程中形成的目录数据库与图像数据库，通过质检环节确认为“合格”后，通过在线或离线方式加载到数据服务器端汇总。通过编制程序或借助相应软件，实现目录数据对相关联的数字图像的批量、快速挂接。索引挂接要求兼容性良好，保证数据的安全性，防止数据泄漏和溢出。</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2.数据关联</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以纸质档案目录数据库为依据，将每一份纸质档案文件扫描所得的一个或多个图像存储为一份图像文件。将图像文件存储到相应文件夹时，要认真核查每一份图像文件的名称与档案目录数据库中该份文件的档号是否相同，图像文件的页数与档案目录数据库中该份文件的页数是否一致，图像文件的总数与目录数据库中文件的总数是否相同等。通过每一份图像文件的文件名与档案目录数据库中该份文件的档号的一致性和唯一性，建立起一一对应的关联关系，为实现档案目录数据库与图像文件的批量挂接提供条件。</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3.交接登记</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认真填写纸质档案数字化转换过程交接登记表单，记录数据关联后的页数，核对每一份文件关联后的页数与档案整理、扫描时填写的页数是否一致，不一致时应注明具体原因和处理办法。</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（七）数据验收</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采购人以抽检的方式检查已完成数字化转换的所有数据，包括目录数据库、图像文件及数据挂接的总体质量。一个全宗的档案，数据抽检的比率不得低于5%。投标人必须根据检察档案实际情况，提供有管理能力的数据质量管理检测系统，对数字化转换的所有数据质量严格自检，确保档案目录数据与档案扫描图像的一一对应，扫描图像与案卷目录、卷内目录100%挂接正确，并将正确的数据导入档案管理数据库中，确保加工扫描成果在采购人所使用的档案管理系统中有效检索和显示。</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1.</w:t>
      </w:r>
      <w:r>
        <w:rPr>
          <w:rFonts w:hint="eastAsia" w:hAnsi="宋体"/>
          <w:szCs w:val="21"/>
        </w:rPr>
        <w:t xml:space="preserve">★ </w:t>
      </w:r>
      <w:r>
        <w:rPr>
          <w:rFonts w:hint="eastAsia" w:ascii="仿宋" w:hAnsi="仿宋" w:eastAsia="仿宋" w:cs="宋体"/>
          <w:sz w:val="24"/>
        </w:rPr>
        <w:t>目录数据验收：目录质检要求（1）档号的合格率达到100％；（2）诉讼档案“被告人”（民行案卷为“被申诉人”）姓名录入的合格率要求达到100％；（3）选择扫描的文件页码的准确率要达到100％，不得漏缺页（著录必须与原件一致，若原件有误必须注明并进行修改，确保最后挂接时具有唯一性）。（4）其他项目合格率达到98％以上（含98％）。</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2.</w:t>
      </w:r>
      <w:r>
        <w:rPr>
          <w:rFonts w:hint="eastAsia" w:hAnsi="宋体"/>
          <w:szCs w:val="21"/>
        </w:rPr>
        <w:t xml:space="preserve">★ </w:t>
      </w:r>
      <w:r>
        <w:rPr>
          <w:rFonts w:hint="eastAsia" w:ascii="仿宋" w:hAnsi="仿宋" w:eastAsia="仿宋" w:cs="宋体"/>
          <w:sz w:val="24"/>
        </w:rPr>
        <w:t>图像数据验收：图像质检要求（1）图像文件的命名必须与条目档号相一致，准确率100％；(2)扫描图像完整性要求100％正确，完整性包括顺序准确，不多页少页，保持档案原版原貌；（3）图像的倾斜度、清晰度、整洁度等技术指标符合要求，要求抽检合格率达到98％以上(含98％)。</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3.</w:t>
      </w:r>
      <w:r>
        <w:rPr>
          <w:rFonts w:hint="eastAsia" w:hAnsi="宋体"/>
          <w:szCs w:val="21"/>
        </w:rPr>
        <w:t xml:space="preserve">★ </w:t>
      </w:r>
      <w:r>
        <w:rPr>
          <w:rFonts w:hint="eastAsia" w:ascii="仿宋" w:hAnsi="仿宋" w:eastAsia="仿宋" w:cs="宋体"/>
          <w:sz w:val="24"/>
        </w:rPr>
        <w:t>图文挂接准确率：档案目录数据（包含案卷目录和卷内目录）与扫描图像100%正确对应。</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投标人进行全检后的数据要及时提交采购人进行验收。以上要求如发现一条不合格的，采购人将该批案卷全部退回给投标人重新检查修改，直到质检合格，由此造成的后果由投标人负责。采购人对一批次加工成果质量验收合格后，双方在当批次数据的验收报告上签字确定，投标人方能进入下一批次的档案接收扫描。</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（八）数据备份</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1.投标人要将验收合格的完整数据及时进行备份，并向采购人移交。</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2.备份方式：</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（1）验收合格的完整数据及时导入采购人专用服务器实行在线、离线相结合的多套存储备份，保证档案的利用与安全。</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（2）成品数据硬盘备份。将加工完成后成品数据采取硬盘存储形式进行备份。</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注：投标人扫描加工使用过的计算机硬盘，均应保存在采购人。</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（3）数据移动硬盘备份。将成品数据采取移动硬盘的存储形式备份二套。</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3.数据检验：备份数据应进行检验。备份数据的检验内容主要包括备份数据能否打开、数据信息是否完整、文件数量是否准确等。</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4.备份标签：数据备份后应在相应的备份介质上做好标签，以便查找和管理。</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5.备份登记：填写纸质档案数字化备份管理登记表单</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（九）数字化成果管理</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1.为便于后期可能的数据迁移，投标方查询系统的利用格式需要采用符合浙江省档案局要求的通用格式，在确保数据通用性的前提下，将数字化加工成果提供利用。</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2.应加强对纸质档案数字化成果的管理，确保其安全、完整和长期可用。</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3.纸质档案数字化成果提供网上检索利用时，应根据具体情况分别进行权限设计。</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（十）数字化成果移交</w:t>
      </w:r>
    </w:p>
    <w:p>
      <w:pPr>
        <w:pStyle w:val="24"/>
        <w:spacing w:line="288" w:lineRule="auto"/>
        <w:ind w:firstLine="420" w:firstLineChars="200"/>
        <w:jc w:val="left"/>
        <w:rPr>
          <w:rFonts w:ascii="仿宋" w:hAnsi="仿宋" w:eastAsia="仿宋" w:cs="宋体"/>
          <w:sz w:val="24"/>
        </w:rPr>
      </w:pPr>
      <w:r>
        <w:rPr>
          <w:rFonts w:hint="eastAsia" w:hAnsi="宋体"/>
          <w:szCs w:val="21"/>
        </w:rPr>
        <w:t xml:space="preserve">★ </w:t>
      </w:r>
      <w:r>
        <w:rPr>
          <w:rFonts w:hint="eastAsia" w:ascii="仿宋" w:hAnsi="仿宋" w:eastAsia="仿宋" w:cs="宋体"/>
          <w:sz w:val="24"/>
        </w:rPr>
        <w:t>投标人经过档案数字化加工后形成的成品必须符合国家、浙江省档案局各项标准。形成的数据成品有：移动硬盘备份2套（包含TIFF格式数据、PDF格式数据以及文件目录）；服务器端备份存储1套（包含TIFF格式数据、PDF格式数据以及文件目录）。数据成品、扫描加工中形成的各种统计资料、交接清单等应完整移交采购人，并填写纸质档案数字化成果交接凭证。</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（十一）人员管理及安全保密</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1.作业环境及设备要求</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档案数字化加工要求在绍兴市人民检察院内进行，投标人需提供数字化加工所需的其他设备及软件，并按采购人的保密、安全要求进行设备处理及网络布线，以及数字化加工中的软硬件和网络的维护工作。</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2.人员要求</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为了保证档案实体和档案信息的安全及扫描质量，投标人要有必要措施保证一支相对稳定、技术熟练的档案数字化加工服务队伍，参与项目实施的人员要严格遵守采购人的保密、安全各项要求，聘用人员不得有违法犯罪的记录。</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3.工作时间</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由于加工场地设在检察院档案室内，为便于采购人管理，建议投标人在采购人的正常工作时间内进行工作，节假日照常休息。</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4.安全保密要求</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（1）中标人必须保证档案内容与档案载体的安全，并在合同中进行责任约定，中标人在工作中必须与采购人做好档案的安全交接，并有记录。</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（2）要求投标人建立档案数字化服务各环节的安全保密管理机制，确保档案原件和数字化档案信息的安全，并根据采购人提出的保密要求提出保证档案实体和档案信息安全的具体措施和承诺。</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（3）检察院与投标人签订保密协议，保密协议送本机关保密部门备案。</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（4）不得在存在安全隐患的地点加工档案，加工场地的监控设备对扫描全过程进行监控。</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（5）投标人负责对所有参加本项目的工作人员进行审查和培训，要求工作人员做到：</w:t>
      </w:r>
      <w:r>
        <w:rPr>
          <w:rFonts w:hint="eastAsia" w:ascii="仿宋" w:hAnsi="仿宋" w:eastAsia="仿宋" w:cs="宋体"/>
          <w:sz w:val="24"/>
        </w:rPr>
        <w:fldChar w:fldCharType="begin"/>
      </w:r>
      <w:r>
        <w:rPr>
          <w:rFonts w:hint="eastAsia" w:ascii="仿宋" w:hAnsi="仿宋" w:eastAsia="仿宋" w:cs="宋体"/>
          <w:sz w:val="24"/>
        </w:rPr>
        <w:instrText xml:space="preserve"> = 1 \* GB3 </w:instrText>
      </w:r>
      <w:r>
        <w:rPr>
          <w:rFonts w:hint="eastAsia" w:ascii="仿宋" w:hAnsi="仿宋" w:eastAsia="仿宋" w:cs="宋体"/>
          <w:sz w:val="24"/>
        </w:rPr>
        <w:fldChar w:fldCharType="separate"/>
      </w:r>
      <w:r>
        <w:rPr>
          <w:rFonts w:hint="eastAsia" w:ascii="仿宋" w:hAnsi="仿宋" w:eastAsia="仿宋" w:cs="宋体"/>
          <w:sz w:val="24"/>
        </w:rPr>
        <w:t>①</w:t>
      </w:r>
      <w:r>
        <w:rPr>
          <w:rFonts w:hint="eastAsia" w:ascii="仿宋" w:hAnsi="仿宋" w:eastAsia="仿宋" w:cs="宋体"/>
          <w:sz w:val="24"/>
        </w:rPr>
        <w:fldChar w:fldCharType="end"/>
      </w:r>
      <w:r>
        <w:rPr>
          <w:rFonts w:hint="eastAsia" w:ascii="仿宋" w:hAnsi="仿宋" w:eastAsia="仿宋" w:cs="宋体"/>
          <w:sz w:val="24"/>
        </w:rPr>
        <w:t>严格遵守相关的各项管理规定、保密要求和工作制度；</w:t>
      </w:r>
      <w:r>
        <w:rPr>
          <w:rFonts w:hint="eastAsia" w:ascii="仿宋" w:hAnsi="仿宋" w:eastAsia="仿宋" w:cs="宋体"/>
          <w:sz w:val="24"/>
        </w:rPr>
        <w:fldChar w:fldCharType="begin"/>
      </w:r>
      <w:r>
        <w:rPr>
          <w:rFonts w:hint="eastAsia" w:ascii="仿宋" w:hAnsi="仿宋" w:eastAsia="仿宋" w:cs="宋体"/>
          <w:sz w:val="24"/>
        </w:rPr>
        <w:instrText xml:space="preserve"> = 2 \* GB3 </w:instrText>
      </w:r>
      <w:r>
        <w:rPr>
          <w:rFonts w:hint="eastAsia" w:ascii="仿宋" w:hAnsi="仿宋" w:eastAsia="仿宋" w:cs="宋体"/>
          <w:sz w:val="24"/>
        </w:rPr>
        <w:fldChar w:fldCharType="separate"/>
      </w:r>
      <w:r>
        <w:rPr>
          <w:rFonts w:hint="eastAsia" w:ascii="仿宋" w:hAnsi="仿宋" w:eastAsia="仿宋" w:cs="宋体"/>
          <w:sz w:val="24"/>
        </w:rPr>
        <w:t>②</w:t>
      </w:r>
      <w:r>
        <w:rPr>
          <w:rFonts w:hint="eastAsia" w:ascii="仿宋" w:hAnsi="仿宋" w:eastAsia="仿宋" w:cs="宋体"/>
          <w:sz w:val="24"/>
        </w:rPr>
        <w:fldChar w:fldCharType="end"/>
      </w:r>
      <w:r>
        <w:rPr>
          <w:rFonts w:hint="eastAsia" w:ascii="仿宋" w:hAnsi="仿宋" w:eastAsia="仿宋" w:cs="宋体"/>
          <w:sz w:val="24"/>
        </w:rPr>
        <w:t>加工地点内严禁吸烟；工作期间严禁会客。</w:t>
      </w:r>
      <w:r>
        <w:rPr>
          <w:rFonts w:hint="eastAsia" w:ascii="仿宋" w:hAnsi="仿宋" w:eastAsia="仿宋" w:cs="宋体"/>
          <w:sz w:val="24"/>
        </w:rPr>
        <w:fldChar w:fldCharType="begin"/>
      </w:r>
      <w:r>
        <w:rPr>
          <w:rFonts w:hint="eastAsia" w:ascii="仿宋" w:hAnsi="仿宋" w:eastAsia="仿宋" w:cs="宋体"/>
          <w:sz w:val="24"/>
        </w:rPr>
        <w:instrText xml:space="preserve"> = 3 \* GB3 </w:instrText>
      </w:r>
      <w:r>
        <w:rPr>
          <w:rFonts w:hint="eastAsia" w:ascii="仿宋" w:hAnsi="仿宋" w:eastAsia="仿宋" w:cs="宋体"/>
          <w:sz w:val="24"/>
        </w:rPr>
        <w:fldChar w:fldCharType="separate"/>
      </w:r>
      <w:r>
        <w:rPr>
          <w:rFonts w:hint="eastAsia" w:ascii="仿宋" w:hAnsi="仿宋" w:eastAsia="仿宋" w:cs="宋体"/>
          <w:sz w:val="24"/>
        </w:rPr>
        <w:t>③</w:t>
      </w:r>
      <w:r>
        <w:rPr>
          <w:rFonts w:hint="eastAsia" w:ascii="仿宋" w:hAnsi="仿宋" w:eastAsia="仿宋" w:cs="宋体"/>
          <w:sz w:val="24"/>
        </w:rPr>
        <w:fldChar w:fldCharType="end"/>
      </w:r>
      <w:r>
        <w:rPr>
          <w:rFonts w:hint="eastAsia" w:ascii="仿宋" w:hAnsi="仿宋" w:eastAsia="仿宋" w:cs="宋体"/>
          <w:sz w:val="24"/>
        </w:rPr>
        <w:t>建议工作人员统一穿着无兜的工作服进入加工场地，衣服外套、手机和包等随身物品统一放在指定的位置，不准带入工作现场。</w:t>
      </w:r>
      <w:r>
        <w:rPr>
          <w:rFonts w:hint="eastAsia" w:ascii="仿宋" w:hAnsi="仿宋" w:eastAsia="仿宋" w:cs="宋体"/>
          <w:sz w:val="24"/>
        </w:rPr>
        <w:fldChar w:fldCharType="begin"/>
      </w:r>
      <w:r>
        <w:rPr>
          <w:rFonts w:hint="eastAsia" w:ascii="仿宋" w:hAnsi="仿宋" w:eastAsia="仿宋" w:cs="宋体"/>
          <w:sz w:val="24"/>
        </w:rPr>
        <w:instrText xml:space="preserve"> = 4 \* GB3 </w:instrText>
      </w:r>
      <w:r>
        <w:rPr>
          <w:rFonts w:hint="eastAsia" w:ascii="仿宋" w:hAnsi="仿宋" w:eastAsia="仿宋" w:cs="宋体"/>
          <w:sz w:val="24"/>
        </w:rPr>
        <w:fldChar w:fldCharType="separate"/>
      </w:r>
      <w:r>
        <w:rPr>
          <w:rFonts w:hint="eastAsia" w:ascii="仿宋" w:hAnsi="仿宋" w:eastAsia="仿宋" w:cs="宋体"/>
          <w:sz w:val="24"/>
        </w:rPr>
        <w:t>④</w:t>
      </w:r>
      <w:r>
        <w:rPr>
          <w:rFonts w:hint="eastAsia" w:ascii="仿宋" w:hAnsi="仿宋" w:eastAsia="仿宋" w:cs="宋体"/>
          <w:sz w:val="24"/>
        </w:rPr>
        <w:fldChar w:fldCharType="end"/>
      </w:r>
      <w:r>
        <w:rPr>
          <w:rFonts w:hint="eastAsia" w:ascii="仿宋" w:hAnsi="仿宋" w:eastAsia="仿宋" w:cs="宋体"/>
          <w:sz w:val="24"/>
        </w:rPr>
        <w:t>在工作现场内，不该说的不说、不该问的不问、不该看的不看、不大声喧哗；工作过程中产生的碎纸、废盘等工作垃圾不得自行处理，必须交由档案管理人员统一销毁；正常情况下，加工每一页档案资料在操作人员手中停留时间不能过长，不得无故查看、记录和相互议论档案内容；原档案磨损、残缺、不清晰的，需经检察院档案管理人员具体指导并在案卷备考表上签字说明后方可实施修改。</w:t>
      </w:r>
      <w:r>
        <w:rPr>
          <w:rFonts w:hint="eastAsia" w:ascii="仿宋" w:hAnsi="仿宋" w:eastAsia="仿宋" w:cs="宋体"/>
          <w:sz w:val="24"/>
        </w:rPr>
        <w:fldChar w:fldCharType="begin"/>
      </w:r>
      <w:r>
        <w:rPr>
          <w:rFonts w:hint="eastAsia" w:ascii="仿宋" w:hAnsi="仿宋" w:eastAsia="仿宋" w:cs="宋体"/>
          <w:sz w:val="24"/>
        </w:rPr>
        <w:instrText xml:space="preserve"> = 5 \* GB3 </w:instrText>
      </w:r>
      <w:r>
        <w:rPr>
          <w:rFonts w:hint="eastAsia" w:ascii="仿宋" w:hAnsi="仿宋" w:eastAsia="仿宋" w:cs="宋体"/>
          <w:sz w:val="24"/>
        </w:rPr>
        <w:fldChar w:fldCharType="separate"/>
      </w:r>
      <w:r>
        <w:rPr>
          <w:rFonts w:hint="eastAsia" w:ascii="仿宋" w:hAnsi="仿宋" w:eastAsia="仿宋" w:cs="宋体"/>
          <w:sz w:val="24"/>
        </w:rPr>
        <w:t>⑤</w:t>
      </w:r>
      <w:r>
        <w:rPr>
          <w:rFonts w:hint="eastAsia" w:ascii="仿宋" w:hAnsi="仿宋" w:eastAsia="仿宋" w:cs="宋体"/>
          <w:sz w:val="24"/>
        </w:rPr>
        <w:fldChar w:fldCharType="end"/>
      </w:r>
      <w:r>
        <w:rPr>
          <w:rFonts w:hint="eastAsia" w:ascii="仿宋" w:hAnsi="仿宋" w:eastAsia="仿宋" w:cs="宋体"/>
          <w:sz w:val="24"/>
        </w:rPr>
        <w:t>工作人员不得携带非用户单位提供的办公文具；不得携带移动通讯设备、移动硬盘、U盘、MP3等信息存储设备；</w:t>
      </w:r>
      <w:r>
        <w:rPr>
          <w:rFonts w:hint="eastAsia" w:ascii="仿宋" w:hAnsi="仿宋" w:eastAsia="仿宋" w:cs="宋体"/>
          <w:sz w:val="24"/>
        </w:rPr>
        <w:fldChar w:fldCharType="begin"/>
      </w:r>
      <w:r>
        <w:rPr>
          <w:rFonts w:hint="eastAsia" w:ascii="仿宋" w:hAnsi="仿宋" w:eastAsia="仿宋" w:cs="宋体"/>
          <w:sz w:val="24"/>
        </w:rPr>
        <w:instrText xml:space="preserve"> = 6 \* GB3 </w:instrText>
      </w:r>
      <w:r>
        <w:rPr>
          <w:rFonts w:hint="eastAsia" w:ascii="仿宋" w:hAnsi="仿宋" w:eastAsia="仿宋" w:cs="宋体"/>
          <w:sz w:val="24"/>
        </w:rPr>
        <w:fldChar w:fldCharType="separate"/>
      </w:r>
      <w:r>
        <w:rPr>
          <w:rFonts w:hint="eastAsia" w:ascii="仿宋" w:hAnsi="仿宋" w:eastAsia="仿宋" w:cs="宋体"/>
          <w:sz w:val="24"/>
        </w:rPr>
        <w:t>⑥</w:t>
      </w:r>
      <w:r>
        <w:rPr>
          <w:rFonts w:hint="eastAsia" w:ascii="仿宋" w:hAnsi="仿宋" w:eastAsia="仿宋" w:cs="宋体"/>
          <w:sz w:val="24"/>
        </w:rPr>
        <w:fldChar w:fldCharType="end"/>
      </w:r>
      <w:r>
        <w:rPr>
          <w:rFonts w:hint="eastAsia" w:ascii="仿宋" w:hAnsi="仿宋" w:eastAsia="仿宋" w:cs="宋体"/>
          <w:sz w:val="24"/>
        </w:rPr>
        <w:t>工作人员暂时外出（如吃饭）时，均应将加工场地及时锁门。当天未加工完成的档案资料一律交由专职人员清点后存放到库房。</w:t>
      </w:r>
      <w:r>
        <w:rPr>
          <w:rFonts w:hint="eastAsia" w:ascii="仿宋" w:hAnsi="仿宋" w:eastAsia="仿宋" w:cs="宋体"/>
          <w:sz w:val="24"/>
        </w:rPr>
        <w:fldChar w:fldCharType="begin"/>
      </w:r>
      <w:r>
        <w:rPr>
          <w:rFonts w:hint="eastAsia" w:ascii="仿宋" w:hAnsi="仿宋" w:eastAsia="仿宋" w:cs="宋体"/>
          <w:sz w:val="24"/>
        </w:rPr>
        <w:instrText xml:space="preserve"> = 7 \* GB3 </w:instrText>
      </w:r>
      <w:r>
        <w:rPr>
          <w:rFonts w:hint="eastAsia" w:ascii="仿宋" w:hAnsi="仿宋" w:eastAsia="仿宋" w:cs="宋体"/>
          <w:sz w:val="24"/>
        </w:rPr>
        <w:fldChar w:fldCharType="separate"/>
      </w:r>
      <w:r>
        <w:rPr>
          <w:rFonts w:hint="eastAsia" w:ascii="仿宋" w:hAnsi="仿宋" w:eastAsia="仿宋" w:cs="宋体"/>
          <w:sz w:val="24"/>
        </w:rPr>
        <w:t>⑦</w:t>
      </w:r>
      <w:r>
        <w:rPr>
          <w:rFonts w:hint="eastAsia" w:ascii="仿宋" w:hAnsi="仿宋" w:eastAsia="仿宋" w:cs="宋体"/>
          <w:sz w:val="24"/>
        </w:rPr>
        <w:fldChar w:fldCharType="end"/>
      </w:r>
      <w:r>
        <w:rPr>
          <w:rFonts w:hint="eastAsia" w:ascii="仿宋" w:hAnsi="仿宋" w:eastAsia="仿宋" w:cs="宋体"/>
          <w:sz w:val="24"/>
        </w:rPr>
        <w:t>每位工作人员必须填写每天的工作记录（时间、内容、数量等），作为保密工作检查的依据。</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（6）扫描现场的计算机及其它设备不能以任何方式连接广域网、院内局域网。</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（7）在备份数据的计算机上设置密码，防止数据泄密；每位计算机操作员设置独立的平台使用密码，密码符合保密要求。</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（8）各项工序产生的数据，均需存入档案部门指定的存储器，加工人员不得对数据进行拷贝、备份。工作结束后应将所有涉及检察院资料的数据或加工文档交档案员保管并签收。</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（9）档案数字化加工过程中，扫描公司要保证电子数据无病毒；扫描工作完成后，扫描公司用于扫描流程的计算机硬盘全部移交检察院。</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5.安全管理技术要求</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1）要求加工企业要有档案数字化加工安全管理系统软件，通过安全管理软件可以根据工作岗位、档案批次给工作人员设置权限，而工作人员无权随意添加、修改权限管理。整个平台在网络安全方面进行了专门的设置，可体现在防止非法入网、管理监测、监督管理核查、IP合法性管理、防止非法入侵服务器、MAC及IP地址管理、用户管理，可以对内部进程进行病毒管理。完整的网管日志及事件管理、非法软件告警、内部安全管理、管理权限控制，监督内外网物理隔离等，管理方便．安全性高。并且可以通过服务器端的网络安全管理系统能快速找出局域网里面的中病毒机器，发现网络的薄弱环节，再采用隔离、杀毒的措施，可以有效的解决加工网内潜在的安全问题。同时还能够收集来自交换机的重要数据，为项目技术管理人员整理相关信息，帮助他们及时采取措施，保障内部加工网络运行的安全稳定。</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（2）档案数字化加工安全管理系统软件要有管理、检测和控制工作人员不得携带非用户单位提供的移动硬盘、U盘、MP3等信息存储设备的功能。</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3）档案数字化加工安全管理系统软件要有扫描和管理使用的计算机上安装的软驱及刻录设备，封闭USB接口，使用软驱、光盘刻录设备必须有采购方管理人员参与和输入口令；计算机上的存储设备(包括软驱、硬盘、移动硬盘等)需经严格控制和注册管理。</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（4）加工安全管理系统软件，能够严密规范数字化加工和档案库房管理、档案借阅、档案检索等涉及保密的工作。</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（十二）其他</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1.服务要求</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（1）本服务不得进行任何未经招标方同意的转包、分包，或联合体投标。</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2）投标人需上门提供加工服务，采购人只提供符合条件的加工场地（40余平方）及必备的耗材（桌椅、水电、纸张、档案盒），其余由中标人负责，如电脑设备、扫描仪、打印机、软件、档案周转箱、打孔机、监控设备等。</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（3）需要投标方为招标方部署一套网络版或服务器版档案管理系统，一套针对检察档案系统设计的专用软件（文书、诉讼一体化部署），软件必须为具有自主知识产权软件或正版授权软件。</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4）投标报价已包括人员工资、地方规费、法定假日加班工资、保险、年终奖、节日福利、开展日常工作要求的工具、安全保护、培训，产品购置费、运输费、安装调试费、验收费、质保期内维护费、约定的辅料费等所有费用，如有漏项，视同已包含在其它项目中，合同单价不做调整。</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（5)投标人需有与检察系统合作诉讼档案数字化加工的成功经验。</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（6）本次档案数字化要求在2021年11月底前完成。</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2. 维保期及售后要求：</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（1）数字化数据免费维保期为3年，免费维保期从数据最终验收合格之日开始计算。除非采购人另有要求，免费维保期内的服务均为免费上门服务。</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（2）在质保期内，采购人有问题申报，服务方须在半小时内电话响应并提供解决方案；若不能以电话方式解决故障，须在3小时内赶到现场24小时解决。</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（3）免费维保期内，与数据返工、修改相关的所有费用由投标方负责。</w:t>
      </w:r>
    </w:p>
    <w:p>
      <w:pPr>
        <w:pStyle w:val="24"/>
        <w:spacing w:line="288" w:lineRule="auto"/>
        <w:ind w:firstLine="480" w:firstLineChars="200"/>
        <w:jc w:val="left"/>
        <w:rPr>
          <w:rFonts w:ascii="仿宋" w:hAnsi="仿宋" w:eastAsia="仿宋" w:cs="宋体"/>
          <w:sz w:val="24"/>
        </w:rPr>
      </w:pPr>
      <w:r>
        <w:rPr>
          <w:rFonts w:hint="eastAsia" w:ascii="仿宋" w:hAnsi="仿宋" w:eastAsia="仿宋" w:cs="宋体"/>
          <w:sz w:val="24"/>
        </w:rPr>
        <w:t>（4）免费维保期内，如有利用平台变动，投标方提供本批次数据的免费迁移。</w:t>
      </w:r>
    </w:p>
    <w:p>
      <w:pPr>
        <w:pStyle w:val="24"/>
        <w:spacing w:line="288" w:lineRule="auto"/>
        <w:jc w:val="left"/>
        <w:rPr>
          <w:rFonts w:ascii="仿宋" w:hAnsi="仿宋" w:eastAsia="仿宋" w:cs="宋体"/>
          <w:b/>
          <w:color w:val="auto"/>
          <w:sz w:val="24"/>
        </w:rPr>
      </w:pPr>
      <w:r>
        <w:rPr>
          <w:rFonts w:hint="eastAsia" w:ascii="仿宋" w:hAnsi="仿宋" w:eastAsia="仿宋" w:cs="宋体"/>
          <w:b/>
          <w:color w:val="FF0000"/>
          <w:sz w:val="24"/>
        </w:rPr>
        <w:t xml:space="preserve">    </w:t>
      </w:r>
      <w:r>
        <w:rPr>
          <w:rFonts w:hint="eastAsia" w:ascii="仿宋" w:hAnsi="仿宋" w:eastAsia="仿宋" w:cs="宋体"/>
          <w:b/>
          <w:color w:val="auto"/>
          <w:sz w:val="24"/>
        </w:rPr>
        <w:t>三、付款方式：</w:t>
      </w:r>
    </w:p>
    <w:p>
      <w:pPr>
        <w:pStyle w:val="7"/>
        <w:ind w:firstLine="0"/>
        <w:rPr>
          <w:rFonts w:ascii="仿宋" w:hAnsi="仿宋" w:eastAsia="仿宋" w:cs="宋体"/>
          <w:color w:val="auto"/>
          <w:sz w:val="24"/>
        </w:rPr>
      </w:pPr>
      <w:r>
        <w:rPr>
          <w:rFonts w:hint="eastAsia" w:ascii="仿宋" w:hAnsi="仿宋" w:eastAsia="仿宋"/>
          <w:color w:val="auto"/>
          <w:sz w:val="24"/>
          <w:szCs w:val="24"/>
        </w:rPr>
        <w:t xml:space="preserve">   </w:t>
      </w:r>
      <w:r>
        <w:rPr>
          <w:rFonts w:hint="eastAsia" w:ascii="仿宋" w:hAnsi="仿宋" w:eastAsia="仿宋"/>
          <w:color w:val="auto"/>
          <w:sz w:val="24"/>
          <w:szCs w:val="24"/>
          <w:lang w:val="en-US" w:eastAsia="zh-CN"/>
        </w:rPr>
        <w:t xml:space="preserve"> </w:t>
      </w:r>
      <w:r>
        <w:rPr>
          <w:rFonts w:hint="eastAsia" w:ascii="仿宋" w:hAnsi="仿宋" w:eastAsia="仿宋"/>
          <w:color w:val="auto"/>
          <w:sz w:val="24"/>
          <w:szCs w:val="24"/>
        </w:rPr>
        <w:t>合同签订，中标人设备、人员到位并完成设备、软件安装完成后支付合同价款的60%，其余按工程量进度及验收合格支付，每年最多结算二次，分别在年中和年末，中标人完成全部工作量并经验收合格后，支付至最终金额的100%，最终金额以实际加工量*投标单价计算。</w:t>
      </w:r>
    </w:p>
    <w:p>
      <w:pPr>
        <w:pStyle w:val="24"/>
        <w:spacing w:line="288" w:lineRule="auto"/>
        <w:jc w:val="left"/>
        <w:rPr>
          <w:rFonts w:ascii="仿宋" w:hAnsi="仿宋" w:eastAsia="仿宋" w:cs="仿宋"/>
          <w:b/>
          <w:sz w:val="36"/>
          <w:szCs w:val="36"/>
        </w:rPr>
      </w:pPr>
    </w:p>
    <w:p>
      <w:pPr>
        <w:pStyle w:val="24"/>
        <w:spacing w:line="288" w:lineRule="auto"/>
        <w:jc w:val="center"/>
        <w:rPr>
          <w:rFonts w:ascii="仿宋" w:hAnsi="仿宋" w:eastAsia="仿宋" w:cs="仿宋"/>
          <w:b/>
          <w:sz w:val="36"/>
          <w:szCs w:val="36"/>
        </w:rPr>
      </w:pPr>
      <w:r>
        <w:rPr>
          <w:rFonts w:hint="eastAsia" w:ascii="仿宋" w:hAnsi="仿宋" w:eastAsia="仿宋" w:cs="仿宋"/>
          <w:b/>
          <w:sz w:val="36"/>
          <w:szCs w:val="36"/>
        </w:rPr>
        <w:t>第四部分 合同主要条款</w:t>
      </w:r>
    </w:p>
    <w:p>
      <w:pPr>
        <w:spacing w:line="312" w:lineRule="auto"/>
        <w:jc w:val="left"/>
        <w:rPr>
          <w:rFonts w:ascii="仿宋" w:hAnsi="仿宋" w:eastAsia="仿宋" w:cs="仿宋"/>
          <w:color w:val="000000"/>
          <w:sz w:val="24"/>
        </w:rPr>
      </w:pPr>
    </w:p>
    <w:p>
      <w:pPr>
        <w:spacing w:line="440" w:lineRule="exact"/>
        <w:jc w:val="left"/>
        <w:rPr>
          <w:rFonts w:ascii="仿宋" w:hAnsi="仿宋" w:eastAsia="仿宋" w:cs="仿宋"/>
          <w:b/>
          <w:sz w:val="24"/>
        </w:rPr>
      </w:pPr>
      <w:r>
        <w:rPr>
          <w:rFonts w:ascii="仿宋" w:hAnsi="仿宋" w:eastAsia="仿宋" w:cs="仿宋"/>
          <w:b/>
          <w:sz w:val="24"/>
        </w:rPr>
        <w:t>1.</w:t>
      </w:r>
      <w:r>
        <w:rPr>
          <w:rFonts w:hint="eastAsia" w:ascii="仿宋" w:hAnsi="仿宋" w:eastAsia="仿宋" w:cs="仿宋"/>
          <w:b/>
          <w:sz w:val="24"/>
        </w:rPr>
        <w:t>合同</w:t>
      </w:r>
      <w:bookmarkStart w:id="6" w:name="OLE_LINK1"/>
      <w:r>
        <w:rPr>
          <w:rFonts w:hint="eastAsia" w:ascii="仿宋" w:hAnsi="仿宋" w:eastAsia="仿宋" w:cs="仿宋"/>
          <w:b/>
          <w:sz w:val="24"/>
        </w:rPr>
        <w:t>范围</w:t>
      </w:r>
      <w:bookmarkEnd w:id="6"/>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合同范围应与中标通知书、招标文件及被招标人接受的技术商务规范偏离表相一致。合同范围和双方的职责在“招标文件”明确。</w:t>
      </w:r>
    </w:p>
    <w:p>
      <w:pPr>
        <w:pStyle w:val="65"/>
        <w:spacing w:line="440" w:lineRule="exact"/>
        <w:rPr>
          <w:rFonts w:ascii="仿宋" w:hAnsi="仿宋" w:eastAsia="仿宋" w:cs="仿宋"/>
          <w:b/>
          <w:sz w:val="24"/>
          <w:szCs w:val="24"/>
        </w:rPr>
      </w:pPr>
      <w:r>
        <w:rPr>
          <w:rFonts w:ascii="仿宋" w:hAnsi="仿宋" w:eastAsia="仿宋" w:cs="仿宋"/>
          <w:b/>
          <w:sz w:val="24"/>
          <w:szCs w:val="24"/>
        </w:rPr>
        <w:t>2.</w:t>
      </w:r>
      <w:r>
        <w:rPr>
          <w:rFonts w:hint="eastAsia" w:ascii="仿宋" w:hAnsi="仿宋" w:eastAsia="仿宋" w:cs="仿宋"/>
          <w:b/>
          <w:sz w:val="24"/>
          <w:szCs w:val="24"/>
        </w:rPr>
        <w:t>合同的签订</w:t>
      </w:r>
    </w:p>
    <w:p>
      <w:pPr>
        <w:snapToGrid w:val="0"/>
        <w:spacing w:line="440" w:lineRule="exact"/>
        <w:jc w:val="left"/>
        <w:rPr>
          <w:rFonts w:ascii="仿宋" w:hAnsi="仿宋" w:eastAsia="仿宋" w:cs="仿宋"/>
          <w:sz w:val="24"/>
        </w:rPr>
      </w:pPr>
      <w:r>
        <w:rPr>
          <w:rFonts w:hint="eastAsia" w:ascii="仿宋" w:hAnsi="仿宋" w:eastAsia="仿宋" w:cs="仿宋"/>
          <w:sz w:val="24"/>
        </w:rPr>
        <w:t>2.1中标人须在中标通知书发出10日内按招标文件和中标供应商投标文件的约定，凭中标通知书和采购人在约定的时间、地点，由法定代表人或其授权代表与采购人（单位）签订书面合同。</w:t>
      </w:r>
    </w:p>
    <w:p>
      <w:pPr>
        <w:snapToGrid w:val="0"/>
        <w:spacing w:line="440" w:lineRule="exact"/>
        <w:jc w:val="left"/>
        <w:rPr>
          <w:rFonts w:ascii="仿宋" w:hAnsi="仿宋" w:eastAsia="仿宋" w:cs="仿宋"/>
          <w:sz w:val="24"/>
        </w:rPr>
      </w:pPr>
      <w:r>
        <w:rPr>
          <w:rFonts w:hint="eastAsia" w:ascii="仿宋" w:hAnsi="仿宋" w:eastAsia="仿宋" w:cs="仿宋"/>
          <w:sz w:val="24"/>
        </w:rPr>
        <w:t>2.1.1项目实施地点：用户指定地点。</w:t>
      </w:r>
    </w:p>
    <w:p>
      <w:pPr>
        <w:snapToGrid w:val="0"/>
        <w:spacing w:line="440" w:lineRule="exact"/>
        <w:jc w:val="left"/>
        <w:rPr>
          <w:rFonts w:ascii="仿宋" w:hAnsi="仿宋" w:eastAsia="仿宋" w:cs="仿宋"/>
          <w:sz w:val="24"/>
        </w:rPr>
      </w:pPr>
      <w:r>
        <w:rPr>
          <w:rFonts w:hint="eastAsia" w:ascii="仿宋" w:hAnsi="仿宋" w:eastAsia="仿宋" w:cs="仿宋"/>
          <w:sz w:val="24"/>
        </w:rPr>
        <w:t>2.1.2服务期：按标项内具体要求执行。</w:t>
      </w:r>
    </w:p>
    <w:p>
      <w:pPr>
        <w:pStyle w:val="14"/>
        <w:numPr>
          <w:ilvl w:val="0"/>
          <w:numId w:val="0"/>
        </w:numPr>
        <w:tabs>
          <w:tab w:val="clear" w:pos="780"/>
        </w:tabs>
        <w:spacing w:line="440" w:lineRule="exact"/>
        <w:rPr>
          <w:rFonts w:ascii="仿宋" w:hAnsi="仿宋" w:eastAsia="仿宋" w:cs="仿宋"/>
          <w:sz w:val="24"/>
        </w:rPr>
      </w:pPr>
      <w:r>
        <w:rPr>
          <w:rFonts w:ascii="仿宋" w:hAnsi="仿宋" w:eastAsia="仿宋" w:cs="仿宋"/>
          <w:b/>
          <w:sz w:val="24"/>
        </w:rPr>
        <w:t>3.</w:t>
      </w:r>
      <w:r>
        <w:rPr>
          <w:rFonts w:hint="eastAsia" w:ascii="仿宋" w:hAnsi="仿宋" w:eastAsia="仿宋" w:cs="仿宋"/>
          <w:b/>
          <w:sz w:val="24"/>
        </w:rPr>
        <w:t>付款方式：</w:t>
      </w:r>
      <w:r>
        <w:rPr>
          <w:rFonts w:hint="eastAsia" w:ascii="仿宋" w:hAnsi="仿宋" w:eastAsia="仿宋" w:cs="仿宋"/>
          <w:sz w:val="24"/>
        </w:rPr>
        <w:t>按标项内具体要求执行。</w:t>
      </w:r>
    </w:p>
    <w:p>
      <w:pPr>
        <w:tabs>
          <w:tab w:val="left" w:pos="7950"/>
        </w:tabs>
        <w:spacing w:line="440" w:lineRule="exact"/>
        <w:jc w:val="left"/>
        <w:rPr>
          <w:rFonts w:ascii="仿宋" w:hAnsi="仿宋" w:eastAsia="仿宋" w:cs="仿宋"/>
          <w:b/>
          <w:sz w:val="24"/>
        </w:rPr>
      </w:pPr>
      <w:r>
        <w:rPr>
          <w:rFonts w:ascii="仿宋" w:hAnsi="仿宋" w:eastAsia="仿宋" w:cs="仿宋"/>
          <w:b/>
          <w:sz w:val="24"/>
        </w:rPr>
        <w:t>4.</w:t>
      </w:r>
      <w:r>
        <w:rPr>
          <w:rFonts w:hint="eastAsia" w:ascii="仿宋" w:hAnsi="仿宋" w:eastAsia="仿宋" w:cs="仿宋"/>
          <w:b/>
          <w:sz w:val="24"/>
        </w:rPr>
        <w:t>合同修改</w:t>
      </w:r>
    </w:p>
    <w:p>
      <w:pPr>
        <w:pStyle w:val="14"/>
        <w:numPr>
          <w:ilvl w:val="0"/>
          <w:numId w:val="0"/>
        </w:numPr>
        <w:tabs>
          <w:tab w:val="clear" w:pos="780"/>
        </w:tabs>
        <w:spacing w:line="440" w:lineRule="exact"/>
        <w:rPr>
          <w:rFonts w:ascii="仿宋" w:hAnsi="仿宋" w:eastAsia="仿宋" w:cs="仿宋"/>
          <w:sz w:val="24"/>
        </w:rPr>
      </w:pPr>
      <w:r>
        <w:rPr>
          <w:rFonts w:ascii="仿宋" w:hAnsi="仿宋" w:eastAsia="仿宋" w:cs="仿宋"/>
          <w:sz w:val="24"/>
        </w:rPr>
        <w:t>4.1</w:t>
      </w:r>
      <w:r>
        <w:rPr>
          <w:rFonts w:hint="eastAsia" w:ascii="仿宋" w:hAnsi="仿宋" w:eastAsia="仿宋" w:cs="仿宋"/>
          <w:sz w:val="24"/>
        </w:rPr>
        <w:t>双方的任何一方对合同内容提出修改，均应以书面形式通知对方，并达成由双方签署的合同修改书，须报政府采购管理部门批准。</w:t>
      </w:r>
    </w:p>
    <w:p>
      <w:pPr>
        <w:pStyle w:val="14"/>
        <w:numPr>
          <w:ilvl w:val="0"/>
          <w:numId w:val="0"/>
        </w:numPr>
        <w:tabs>
          <w:tab w:val="clear" w:pos="780"/>
        </w:tabs>
        <w:spacing w:line="440" w:lineRule="exact"/>
        <w:rPr>
          <w:rFonts w:ascii="仿宋" w:hAnsi="仿宋" w:eastAsia="仿宋" w:cs="仿宋"/>
          <w:sz w:val="24"/>
        </w:rPr>
      </w:pPr>
      <w:r>
        <w:rPr>
          <w:rFonts w:ascii="仿宋" w:hAnsi="仿宋" w:eastAsia="仿宋" w:cs="仿宋"/>
          <w:sz w:val="24"/>
        </w:rPr>
        <w:t>4.2</w:t>
      </w:r>
      <w:r>
        <w:rPr>
          <w:rFonts w:hint="eastAsia" w:ascii="仿宋" w:hAnsi="仿宋" w:eastAsia="仿宋" w:cs="仿宋"/>
          <w:sz w:val="24"/>
        </w:rPr>
        <w:t>除非招标人对服务内容及要求提出修改，中标人不得对合同价格提出修改要求。</w:t>
      </w:r>
    </w:p>
    <w:p>
      <w:pPr>
        <w:snapToGrid w:val="0"/>
        <w:spacing w:line="440" w:lineRule="exact"/>
        <w:jc w:val="left"/>
        <w:rPr>
          <w:rFonts w:ascii="仿宋" w:hAnsi="仿宋" w:eastAsia="仿宋" w:cs="仿宋"/>
          <w:b/>
          <w:sz w:val="24"/>
        </w:rPr>
      </w:pPr>
      <w:r>
        <w:rPr>
          <w:rFonts w:ascii="仿宋" w:hAnsi="仿宋" w:eastAsia="仿宋" w:cs="仿宋"/>
          <w:b/>
          <w:sz w:val="24"/>
        </w:rPr>
        <w:t xml:space="preserve">5. </w:t>
      </w:r>
      <w:r>
        <w:rPr>
          <w:rFonts w:hint="eastAsia" w:ascii="仿宋" w:hAnsi="仿宋" w:eastAsia="仿宋" w:cs="仿宋"/>
          <w:b/>
          <w:sz w:val="24"/>
        </w:rPr>
        <w:t>质量标准和验收</w:t>
      </w:r>
    </w:p>
    <w:p>
      <w:pPr>
        <w:snapToGrid w:val="0"/>
        <w:spacing w:line="440" w:lineRule="exact"/>
        <w:jc w:val="left"/>
        <w:rPr>
          <w:rFonts w:ascii="仿宋" w:hAnsi="仿宋" w:eastAsia="仿宋" w:cs="仿宋"/>
          <w:sz w:val="24"/>
        </w:rPr>
      </w:pPr>
      <w:r>
        <w:rPr>
          <w:rFonts w:ascii="仿宋" w:hAnsi="仿宋" w:eastAsia="仿宋" w:cs="仿宋"/>
          <w:sz w:val="24"/>
        </w:rPr>
        <w:t>5.1</w:t>
      </w:r>
      <w:r>
        <w:rPr>
          <w:rFonts w:hint="eastAsia" w:ascii="仿宋" w:hAnsi="仿宋" w:eastAsia="仿宋" w:cs="仿宋"/>
          <w:sz w:val="24"/>
        </w:rPr>
        <w:t>中标人提供的产品及服务必须是经合法途径取得的。</w:t>
      </w:r>
    </w:p>
    <w:p>
      <w:pPr>
        <w:snapToGrid w:val="0"/>
        <w:spacing w:line="440" w:lineRule="exact"/>
        <w:jc w:val="left"/>
        <w:rPr>
          <w:rFonts w:ascii="仿宋" w:hAnsi="仿宋" w:eastAsia="仿宋" w:cs="仿宋"/>
          <w:sz w:val="24"/>
        </w:rPr>
      </w:pPr>
      <w:r>
        <w:rPr>
          <w:rFonts w:ascii="仿宋" w:hAnsi="仿宋" w:eastAsia="仿宋" w:cs="仿宋"/>
          <w:sz w:val="24"/>
        </w:rPr>
        <w:t>5.2</w:t>
      </w:r>
      <w:r>
        <w:rPr>
          <w:rFonts w:hint="eastAsia" w:ascii="仿宋" w:hAnsi="仿宋" w:eastAsia="仿宋" w:cs="仿宋"/>
          <w:sz w:val="24"/>
        </w:rPr>
        <w:t>中标人应按现行的国家或行业技术及验收标准和招标文件的规定提供规划文本或服务，因中标人提供的规划文本或服务达不到约定的质量标准或通不过评审与市政府审批，中标人承担违约责任。</w:t>
      </w:r>
    </w:p>
    <w:p>
      <w:pPr>
        <w:snapToGrid w:val="0"/>
        <w:spacing w:line="440" w:lineRule="exact"/>
        <w:jc w:val="left"/>
        <w:rPr>
          <w:rFonts w:ascii="仿宋" w:hAnsi="仿宋" w:eastAsia="仿宋" w:cs="仿宋"/>
          <w:sz w:val="24"/>
        </w:rPr>
      </w:pPr>
      <w:r>
        <w:rPr>
          <w:rFonts w:ascii="仿宋" w:hAnsi="仿宋" w:eastAsia="仿宋" w:cs="仿宋"/>
          <w:sz w:val="24"/>
        </w:rPr>
        <w:t>5.3</w:t>
      </w:r>
      <w:r>
        <w:rPr>
          <w:rFonts w:hint="eastAsia" w:ascii="仿宋" w:hAnsi="仿宋" w:eastAsia="仿宋" w:cs="仿宋"/>
          <w:sz w:val="24"/>
        </w:rPr>
        <w:t>验收由使用单位按规定组织相关人员或专家进行。</w:t>
      </w:r>
    </w:p>
    <w:p>
      <w:pPr>
        <w:spacing w:line="440" w:lineRule="exact"/>
        <w:ind w:hanging="2"/>
        <w:jc w:val="left"/>
        <w:rPr>
          <w:rFonts w:ascii="仿宋" w:hAnsi="仿宋" w:eastAsia="仿宋" w:cs="仿宋"/>
          <w:sz w:val="24"/>
        </w:rPr>
      </w:pPr>
      <w:r>
        <w:rPr>
          <w:rFonts w:ascii="仿宋" w:hAnsi="仿宋" w:eastAsia="仿宋" w:cs="仿宋"/>
          <w:sz w:val="24"/>
        </w:rPr>
        <w:t>5.4</w:t>
      </w:r>
      <w:r>
        <w:rPr>
          <w:rFonts w:hint="eastAsia" w:ascii="仿宋" w:hAnsi="仿宋" w:eastAsia="仿宋" w:cs="仿宋"/>
          <w:sz w:val="24"/>
        </w:rPr>
        <w:t>双方对规划文本或服务的质量有争议的，由双方同意的专业检测机构鉴定，所需费及因此造成的损失由责任方承担，双方均有责任的，双方根据其责任分别承担。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 w:hAnsi="仿宋" w:eastAsia="仿宋" w:cs="仿宋"/>
          <w:b/>
          <w:sz w:val="24"/>
        </w:rPr>
      </w:pPr>
      <w:r>
        <w:rPr>
          <w:rFonts w:ascii="仿宋" w:hAnsi="仿宋" w:eastAsia="仿宋" w:cs="仿宋"/>
          <w:b/>
          <w:sz w:val="24"/>
        </w:rPr>
        <w:t>6.</w:t>
      </w:r>
      <w:r>
        <w:rPr>
          <w:rFonts w:hint="eastAsia" w:ascii="仿宋" w:hAnsi="仿宋" w:eastAsia="仿宋" w:cs="仿宋"/>
          <w:b/>
          <w:sz w:val="24"/>
        </w:rPr>
        <w:t>违约责任</w:t>
      </w:r>
    </w:p>
    <w:p>
      <w:pPr>
        <w:pStyle w:val="22"/>
        <w:numPr>
          <w:ilvl w:val="0"/>
          <w:numId w:val="0"/>
        </w:numPr>
        <w:tabs>
          <w:tab w:val="left" w:pos="1540"/>
          <w:tab w:val="clear" w:pos="1200"/>
        </w:tabs>
        <w:spacing w:line="440" w:lineRule="exact"/>
        <w:ind w:left="-2"/>
        <w:rPr>
          <w:rFonts w:ascii="仿宋" w:hAnsi="仿宋" w:eastAsia="仿宋" w:cs="仿宋"/>
          <w:sz w:val="24"/>
        </w:rPr>
      </w:pPr>
      <w:r>
        <w:rPr>
          <w:rFonts w:ascii="仿宋" w:hAnsi="仿宋" w:eastAsia="仿宋" w:cs="仿宋"/>
          <w:sz w:val="24"/>
        </w:rPr>
        <w:t>6.1</w:t>
      </w:r>
      <w:r>
        <w:rPr>
          <w:rFonts w:hint="eastAsia" w:ascii="仿宋" w:hAnsi="仿宋" w:eastAsia="仿宋" w:cs="仿宋"/>
          <w:sz w:val="24"/>
        </w:rPr>
        <w:t>提供的规划文本和服务质量必须达到招标人要求，凡使用过程中发现的质量问题或在服务过程中未达到招标人要求，中标人必须无偿返工直至符合质量要求，承担返工所发生的一切费用和招标人的直接经济损失。</w:t>
      </w:r>
    </w:p>
    <w:p>
      <w:pPr>
        <w:pStyle w:val="22"/>
        <w:numPr>
          <w:ilvl w:val="0"/>
          <w:numId w:val="0"/>
        </w:numPr>
        <w:tabs>
          <w:tab w:val="left" w:pos="1540"/>
          <w:tab w:val="clear" w:pos="1200"/>
        </w:tabs>
        <w:spacing w:line="440" w:lineRule="exact"/>
        <w:ind w:left="-2"/>
        <w:rPr>
          <w:rFonts w:ascii="仿宋" w:hAnsi="仿宋" w:eastAsia="仿宋" w:cs="仿宋"/>
          <w:sz w:val="24"/>
        </w:rPr>
      </w:pPr>
      <w:r>
        <w:rPr>
          <w:rFonts w:ascii="仿宋" w:hAnsi="仿宋" w:eastAsia="仿宋" w:cs="仿宋"/>
          <w:sz w:val="24"/>
        </w:rPr>
        <w:t>6.2</w:t>
      </w:r>
      <w:r>
        <w:rPr>
          <w:rFonts w:hint="eastAsia" w:ascii="仿宋" w:hAnsi="仿宋" w:eastAsia="仿宋" w:cs="仿宋"/>
          <w:sz w:val="24"/>
        </w:rPr>
        <w:t>由于招标人保管不善或使用不当造成损坏，相关成果资料缺失，中标人协助招标人及时给予补齐或修复。</w:t>
      </w:r>
    </w:p>
    <w:p>
      <w:pPr>
        <w:pStyle w:val="14"/>
        <w:numPr>
          <w:ilvl w:val="0"/>
          <w:numId w:val="0"/>
        </w:numPr>
        <w:tabs>
          <w:tab w:val="left" w:pos="1560"/>
          <w:tab w:val="clear" w:pos="780"/>
        </w:tabs>
        <w:spacing w:line="440" w:lineRule="exact"/>
        <w:ind w:left="-2"/>
        <w:rPr>
          <w:rFonts w:ascii="仿宋" w:hAnsi="仿宋" w:eastAsia="仿宋" w:cs="仿宋"/>
          <w:b/>
          <w:sz w:val="24"/>
        </w:rPr>
      </w:pPr>
      <w:r>
        <w:rPr>
          <w:rFonts w:ascii="仿宋" w:hAnsi="仿宋" w:eastAsia="仿宋" w:cs="仿宋"/>
          <w:b/>
          <w:sz w:val="24"/>
        </w:rPr>
        <w:t>7</w:t>
      </w:r>
      <w:r>
        <w:rPr>
          <w:rFonts w:hint="eastAsia" w:ascii="仿宋" w:hAnsi="仿宋" w:eastAsia="仿宋" w:cs="仿宋"/>
          <w:b/>
          <w:sz w:val="24"/>
        </w:rPr>
        <w:t>．违约赔偿</w:t>
      </w:r>
    </w:p>
    <w:p>
      <w:pPr>
        <w:spacing w:line="440" w:lineRule="exact"/>
        <w:rPr>
          <w:rFonts w:ascii="仿宋" w:hAnsi="仿宋" w:eastAsia="仿宋" w:cs="仿宋"/>
          <w:sz w:val="24"/>
        </w:rPr>
      </w:pPr>
      <w:r>
        <w:rPr>
          <w:rFonts w:ascii="仿宋" w:hAnsi="仿宋" w:eastAsia="仿宋" w:cs="仿宋"/>
          <w:sz w:val="24"/>
        </w:rPr>
        <w:t>7.1</w:t>
      </w:r>
      <w:r>
        <w:rPr>
          <w:rFonts w:hint="eastAsia" w:ascii="仿宋" w:hAnsi="仿宋" w:eastAsia="仿宋" w:cs="仿宋"/>
          <w:sz w:val="24"/>
        </w:rPr>
        <w:t>除不可抗力外，如中标人发生不能按期完成合同任务，招标人发生中途变更等情况，应及时以书面形式通知对方。双方应本着友好的态度进行协商，妥善解决。如协商无效，按规定处以违约金。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 w:hAnsi="仿宋" w:eastAsia="仿宋" w:cs="仿宋"/>
          <w:sz w:val="24"/>
        </w:rPr>
      </w:pPr>
      <w:r>
        <w:rPr>
          <w:rFonts w:ascii="仿宋" w:hAnsi="仿宋" w:eastAsia="仿宋" w:cs="仿宋"/>
          <w:kern w:val="0"/>
          <w:sz w:val="24"/>
        </w:rPr>
        <w:t xml:space="preserve">7.2 </w:t>
      </w:r>
      <w:r>
        <w:rPr>
          <w:rFonts w:hint="eastAsia" w:ascii="仿宋" w:hAnsi="仿宋" w:eastAsia="仿宋" w:cs="仿宋"/>
          <w:sz w:val="24"/>
        </w:rPr>
        <w:t>中标人和采购人签订合同，按合同规定的供货时间工程量或按合同规定的服务内容时间节点要求完成相关成果。逾期每推迟一天，扣中标价</w:t>
      </w:r>
      <w:r>
        <w:rPr>
          <w:rFonts w:ascii="仿宋" w:hAnsi="仿宋" w:eastAsia="仿宋" w:cs="仿宋"/>
          <w:sz w:val="24"/>
        </w:rPr>
        <w:t>0.1%</w:t>
      </w:r>
      <w:r>
        <w:rPr>
          <w:rFonts w:hint="eastAsia" w:ascii="仿宋" w:hAnsi="仿宋" w:eastAsia="仿宋" w:cs="仿宋"/>
          <w:sz w:val="24"/>
        </w:rPr>
        <w:t>的滞纳金给采购人。</w:t>
      </w:r>
    </w:p>
    <w:p>
      <w:pPr>
        <w:snapToGrid w:val="0"/>
        <w:spacing w:line="440" w:lineRule="exact"/>
        <w:jc w:val="left"/>
        <w:rPr>
          <w:rFonts w:ascii="仿宋" w:hAnsi="仿宋" w:eastAsia="仿宋" w:cs="仿宋"/>
          <w:sz w:val="24"/>
        </w:rPr>
      </w:pPr>
      <w:r>
        <w:rPr>
          <w:rFonts w:ascii="仿宋" w:hAnsi="仿宋" w:eastAsia="仿宋" w:cs="仿宋"/>
          <w:sz w:val="24"/>
        </w:rPr>
        <w:t>7.3</w:t>
      </w:r>
      <w:r>
        <w:rPr>
          <w:rFonts w:hint="eastAsia" w:ascii="仿宋" w:hAnsi="仿宋" w:eastAsia="仿宋" w:cs="仿宋"/>
          <w:sz w:val="24"/>
        </w:rPr>
        <w:t>如中标人在规定时间无正当理由拒签合同者，则不再退还投标保证，并以招标违约处理，赔偿招标人由此造成的直接经济损失。如招标人在规定时间无正当理由拒签合同者，以招标违约处理，赔偿中标人由此造成的直接经济损失。</w:t>
      </w:r>
    </w:p>
    <w:p>
      <w:pPr>
        <w:spacing w:line="440" w:lineRule="exact"/>
        <w:jc w:val="left"/>
        <w:rPr>
          <w:rFonts w:ascii="仿宋" w:hAnsi="仿宋" w:eastAsia="仿宋" w:cs="仿宋"/>
          <w:b/>
          <w:sz w:val="24"/>
        </w:rPr>
      </w:pPr>
      <w:r>
        <w:rPr>
          <w:rFonts w:ascii="仿宋" w:hAnsi="仿宋" w:eastAsia="仿宋" w:cs="仿宋"/>
          <w:b/>
          <w:sz w:val="24"/>
        </w:rPr>
        <w:t>8.</w:t>
      </w:r>
      <w:r>
        <w:rPr>
          <w:rFonts w:hint="eastAsia" w:ascii="仿宋" w:hAnsi="仿宋" w:eastAsia="仿宋" w:cs="仿宋"/>
          <w:b/>
          <w:sz w:val="24"/>
        </w:rPr>
        <w:t>不可抗力</w:t>
      </w:r>
    </w:p>
    <w:p>
      <w:pPr>
        <w:pStyle w:val="14"/>
        <w:numPr>
          <w:ilvl w:val="0"/>
          <w:numId w:val="0"/>
        </w:numPr>
        <w:tabs>
          <w:tab w:val="clear" w:pos="780"/>
        </w:tabs>
        <w:spacing w:line="440" w:lineRule="exact"/>
        <w:rPr>
          <w:rFonts w:ascii="仿宋" w:hAnsi="仿宋" w:eastAsia="仿宋" w:cs="仿宋"/>
          <w:sz w:val="24"/>
        </w:rPr>
      </w:pPr>
      <w:r>
        <w:rPr>
          <w:rFonts w:ascii="仿宋" w:hAnsi="仿宋" w:eastAsia="仿宋" w:cs="仿宋"/>
          <w:sz w:val="24"/>
        </w:rPr>
        <w:t>8.1</w:t>
      </w:r>
      <w:r>
        <w:rPr>
          <w:rFonts w:hint="eastAsia" w:ascii="仿宋" w:hAnsi="仿宋" w:eastAsia="仿宋" w:cs="仿宋"/>
          <w:sz w:val="24"/>
        </w:rPr>
        <w:t>如果双方中任何一方由于战争、严重火灾、水灾、台风和地震以及其它经双方同意属于不可抗力的事故，致使合同履行受阻时，履行合同的期限应予延长，延长的期限应相当于事故所影响的时间。</w:t>
      </w:r>
    </w:p>
    <w:p>
      <w:pPr>
        <w:pStyle w:val="14"/>
        <w:numPr>
          <w:ilvl w:val="0"/>
          <w:numId w:val="0"/>
        </w:numPr>
        <w:tabs>
          <w:tab w:val="clear" w:pos="780"/>
        </w:tabs>
        <w:spacing w:line="440" w:lineRule="exact"/>
        <w:rPr>
          <w:rFonts w:ascii="仿宋" w:hAnsi="仿宋" w:eastAsia="仿宋" w:cs="仿宋"/>
          <w:sz w:val="24"/>
        </w:rPr>
      </w:pPr>
      <w:r>
        <w:rPr>
          <w:rFonts w:ascii="仿宋" w:hAnsi="仿宋" w:eastAsia="仿宋" w:cs="仿宋"/>
          <w:sz w:val="24"/>
        </w:rPr>
        <w:t>8.2</w:t>
      </w:r>
      <w:r>
        <w:rPr>
          <w:rFonts w:hint="eastAsia" w:ascii="仿宋" w:hAnsi="仿宋" w:eastAsia="仿宋" w:cs="仿宋"/>
          <w:sz w:val="24"/>
        </w:rPr>
        <w:t>受事故影响的一方应在不可抗力的事故发生后尽快以电报或电传通知另一方，并在事故发生后</w:t>
      </w:r>
      <w:r>
        <w:rPr>
          <w:rFonts w:ascii="仿宋" w:hAnsi="仿宋" w:eastAsia="仿宋" w:cs="仿宋"/>
          <w:sz w:val="24"/>
        </w:rPr>
        <w:t>14</w:t>
      </w:r>
      <w:r>
        <w:rPr>
          <w:rFonts w:hint="eastAsia" w:ascii="仿宋" w:hAnsi="仿宋" w:eastAsia="仿宋" w:cs="仿宋"/>
          <w:sz w:val="24"/>
        </w:rPr>
        <w:t>天内，将有关部门出具的证明文件用挂号信航寄给或送给另一方。如果不可抗力影响时间延续</w:t>
      </w:r>
      <w:r>
        <w:rPr>
          <w:rFonts w:ascii="仿宋" w:hAnsi="仿宋" w:eastAsia="仿宋" w:cs="仿宋"/>
          <w:sz w:val="24"/>
        </w:rPr>
        <w:t>120</w:t>
      </w:r>
      <w:r>
        <w:rPr>
          <w:rFonts w:hint="eastAsia" w:ascii="仿宋" w:hAnsi="仿宋" w:eastAsia="仿宋" w:cs="仿宋"/>
          <w:sz w:val="24"/>
        </w:rPr>
        <w:t>天以上的，双方应通过友好协商在合理的时间内达成进一步履行合同的协议。</w:t>
      </w:r>
    </w:p>
    <w:p>
      <w:pPr>
        <w:spacing w:line="440" w:lineRule="exact"/>
        <w:jc w:val="left"/>
        <w:rPr>
          <w:rFonts w:ascii="仿宋" w:hAnsi="仿宋" w:eastAsia="仿宋" w:cs="仿宋"/>
          <w:b/>
          <w:sz w:val="24"/>
        </w:rPr>
      </w:pPr>
      <w:r>
        <w:rPr>
          <w:rFonts w:ascii="仿宋" w:hAnsi="仿宋" w:eastAsia="仿宋" w:cs="仿宋"/>
          <w:b/>
          <w:sz w:val="24"/>
        </w:rPr>
        <w:t>9.</w:t>
      </w:r>
      <w:r>
        <w:rPr>
          <w:rFonts w:hint="eastAsia" w:ascii="仿宋" w:hAnsi="仿宋" w:eastAsia="仿宋" w:cs="仿宋"/>
          <w:b/>
          <w:sz w:val="24"/>
        </w:rPr>
        <w:t>解决合同纠纷的方式</w:t>
      </w:r>
    </w:p>
    <w:p>
      <w:pPr>
        <w:pStyle w:val="14"/>
        <w:numPr>
          <w:ilvl w:val="0"/>
          <w:numId w:val="0"/>
        </w:numPr>
        <w:tabs>
          <w:tab w:val="clear" w:pos="780"/>
        </w:tabs>
        <w:spacing w:line="440" w:lineRule="exact"/>
        <w:rPr>
          <w:rFonts w:ascii="仿宋" w:hAnsi="仿宋" w:eastAsia="仿宋" w:cs="仿宋"/>
          <w:sz w:val="24"/>
        </w:rPr>
      </w:pPr>
      <w:r>
        <w:rPr>
          <w:rFonts w:ascii="仿宋" w:hAnsi="仿宋" w:eastAsia="仿宋" w:cs="仿宋"/>
          <w:sz w:val="24"/>
        </w:rPr>
        <w:t>9.1</w:t>
      </w:r>
      <w:r>
        <w:rPr>
          <w:rFonts w:hint="eastAsia" w:ascii="仿宋" w:hAnsi="仿宋" w:eastAsia="仿宋" w:cs="仿宋"/>
          <w:sz w:val="24"/>
        </w:rPr>
        <w:t>凡有关本合同或与本合同中发生的争端，双方应通过友好协商，妥善解决。如通过协商仍不能解决时，可向当地的仲裁机构申请仲裁或人民法院起诉。</w:t>
      </w:r>
    </w:p>
    <w:p>
      <w:pPr>
        <w:pStyle w:val="14"/>
        <w:numPr>
          <w:ilvl w:val="0"/>
          <w:numId w:val="0"/>
        </w:numPr>
        <w:tabs>
          <w:tab w:val="clear" w:pos="780"/>
        </w:tabs>
        <w:spacing w:line="440" w:lineRule="exact"/>
        <w:rPr>
          <w:rFonts w:ascii="仿宋" w:hAnsi="仿宋" w:eastAsia="仿宋" w:cs="仿宋"/>
          <w:sz w:val="24"/>
        </w:rPr>
      </w:pPr>
      <w:r>
        <w:rPr>
          <w:rFonts w:ascii="仿宋" w:hAnsi="仿宋" w:eastAsia="仿宋" w:cs="仿宋"/>
          <w:sz w:val="24"/>
        </w:rPr>
        <w:t>9.2</w:t>
      </w:r>
      <w:r>
        <w:rPr>
          <w:rFonts w:hint="eastAsia" w:ascii="仿宋" w:hAnsi="仿宋" w:eastAsia="仿宋" w:cs="仿宋"/>
          <w:sz w:val="24"/>
        </w:rPr>
        <w:t>仲裁和诉讼费用除仲裁机构和人民法院另有裁决外，由败诉方承担。</w:t>
      </w:r>
    </w:p>
    <w:p>
      <w:pPr>
        <w:pStyle w:val="14"/>
        <w:numPr>
          <w:ilvl w:val="0"/>
          <w:numId w:val="0"/>
        </w:numPr>
        <w:tabs>
          <w:tab w:val="clear" w:pos="780"/>
        </w:tabs>
        <w:spacing w:line="440" w:lineRule="exact"/>
        <w:rPr>
          <w:rFonts w:ascii="仿宋" w:hAnsi="仿宋" w:eastAsia="仿宋" w:cs="仿宋"/>
          <w:sz w:val="24"/>
        </w:rPr>
      </w:pPr>
      <w:r>
        <w:rPr>
          <w:rFonts w:ascii="仿宋" w:hAnsi="仿宋" w:eastAsia="仿宋" w:cs="仿宋"/>
          <w:sz w:val="24"/>
        </w:rPr>
        <w:t>9.3</w:t>
      </w:r>
      <w:r>
        <w:rPr>
          <w:rFonts w:hint="eastAsia" w:ascii="仿宋" w:hAnsi="仿宋" w:eastAsia="仿宋" w:cs="仿宋"/>
          <w:sz w:val="24"/>
        </w:rPr>
        <w:t>在仲裁和诉讼期间，除正在进行裁定的部分外，本合同其他部分应继续执行。</w:t>
      </w:r>
    </w:p>
    <w:p>
      <w:pPr>
        <w:spacing w:line="440" w:lineRule="exact"/>
        <w:jc w:val="left"/>
        <w:rPr>
          <w:rFonts w:ascii="仿宋" w:hAnsi="仿宋" w:eastAsia="仿宋" w:cs="仿宋"/>
          <w:sz w:val="24"/>
        </w:rPr>
      </w:pPr>
      <w:r>
        <w:rPr>
          <w:rFonts w:ascii="仿宋" w:hAnsi="仿宋" w:eastAsia="仿宋" w:cs="仿宋"/>
          <w:sz w:val="24"/>
        </w:rPr>
        <w:t>9.4</w:t>
      </w:r>
      <w:r>
        <w:rPr>
          <w:rFonts w:hint="eastAsia" w:ascii="仿宋" w:hAnsi="仿宋" w:eastAsia="仿宋" w:cs="仿宋"/>
          <w:sz w:val="24"/>
        </w:rPr>
        <w:t>合同应在双方签字盖章，采购人收到中标人提供的履约保证金后开始生效。</w:t>
      </w:r>
    </w:p>
    <w:p>
      <w:pPr>
        <w:spacing w:line="312" w:lineRule="auto"/>
        <w:jc w:val="left"/>
      </w:pPr>
      <w:r>
        <w:rPr>
          <w:rFonts w:hint="eastAsia" w:ascii="仿宋" w:hAnsi="仿宋" w:eastAsia="仿宋" w:cs="仿宋"/>
          <w:sz w:val="24"/>
        </w:rPr>
        <w:t>（注：在正式签约时，根据上述精神应拟就更为详尽的合同书）</w:t>
      </w:r>
    </w:p>
    <w:p>
      <w:pPr>
        <w:spacing w:line="312" w:lineRule="auto"/>
        <w:jc w:val="left"/>
        <w:rPr>
          <w:rFonts w:ascii="仿宋" w:hAnsi="仿宋" w:eastAsia="仿宋" w:cs="仿宋"/>
          <w:sz w:val="24"/>
        </w:rPr>
      </w:pPr>
    </w:p>
    <w:p>
      <w:pPr>
        <w:spacing w:line="288" w:lineRule="auto"/>
        <w:rPr>
          <w:rFonts w:ascii="仿宋" w:hAnsi="仿宋" w:eastAsia="仿宋" w:cs="仿宋"/>
          <w:sz w:val="24"/>
        </w:rPr>
      </w:pPr>
    </w:p>
    <w:p>
      <w:pPr>
        <w:pStyle w:val="14"/>
        <w:numPr>
          <w:ilvl w:val="0"/>
          <w:numId w:val="0"/>
        </w:numPr>
        <w:tabs>
          <w:tab w:val="clear" w:pos="780"/>
        </w:tabs>
        <w:spacing w:line="288" w:lineRule="auto"/>
        <w:rPr>
          <w:rFonts w:ascii="仿宋" w:hAnsi="仿宋" w:eastAsia="仿宋" w:cs="仿宋"/>
          <w:kern w:val="0"/>
          <w:sz w:val="24"/>
          <w:szCs w:val="20"/>
        </w:rPr>
      </w:pPr>
    </w:p>
    <w:p>
      <w:pPr>
        <w:spacing w:line="288" w:lineRule="auto"/>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ascii="仿宋" w:hAnsi="仿宋" w:eastAsia="仿宋" w:cs="仿宋"/>
          <w:b/>
          <w:sz w:val="36"/>
          <w:szCs w:val="36"/>
        </w:rPr>
        <w:br w:type="column"/>
      </w:r>
      <w:r>
        <w:rPr>
          <w:rFonts w:hint="eastAsia" w:ascii="仿宋" w:hAnsi="仿宋" w:eastAsia="仿宋" w:cs="仿宋"/>
          <w:b/>
          <w:sz w:val="36"/>
          <w:szCs w:val="36"/>
        </w:rPr>
        <w:t>第五部分 评标办法及评分标准</w:t>
      </w:r>
    </w:p>
    <w:p>
      <w:pPr>
        <w:spacing w:line="281" w:lineRule="auto"/>
        <w:jc w:val="left"/>
        <w:rPr>
          <w:rFonts w:ascii="仿宋" w:hAnsi="仿宋" w:eastAsia="仿宋" w:cs="仿宋"/>
          <w:b/>
          <w:sz w:val="24"/>
        </w:rPr>
      </w:pPr>
      <w:r>
        <w:rPr>
          <w:rFonts w:hint="eastAsia" w:ascii="仿宋" w:hAnsi="仿宋" w:eastAsia="仿宋" w:cs="仿宋"/>
          <w:b/>
          <w:sz w:val="24"/>
        </w:rPr>
        <w:t>1.评标方法：</w:t>
      </w:r>
    </w:p>
    <w:p>
      <w:pPr>
        <w:spacing w:line="281" w:lineRule="auto"/>
        <w:ind w:firstLine="480" w:firstLineChars="200"/>
        <w:jc w:val="left"/>
        <w:rPr>
          <w:rFonts w:ascii="仿宋" w:hAnsi="仿宋" w:eastAsia="仿宋" w:cs="仿宋"/>
          <w:sz w:val="24"/>
        </w:rPr>
      </w:pP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281"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pPr>
        <w:spacing w:line="281" w:lineRule="auto"/>
        <w:rPr>
          <w:rFonts w:ascii="仿宋" w:hAnsi="仿宋" w:eastAsia="仿宋" w:cs="仿宋"/>
          <w:b/>
          <w:bCs/>
          <w:iCs/>
          <w:sz w:val="24"/>
        </w:rPr>
      </w:pPr>
      <w:r>
        <w:rPr>
          <w:rFonts w:hint="eastAsia" w:ascii="仿宋" w:hAnsi="仿宋" w:eastAsia="仿宋" w:cs="仿宋"/>
          <w:b/>
          <w:bCs/>
          <w:sz w:val="24"/>
        </w:rPr>
        <w:t>2.1</w:t>
      </w:r>
      <w:r>
        <w:rPr>
          <w:rFonts w:hint="eastAsia" w:ascii="仿宋" w:hAnsi="仿宋" w:eastAsia="仿宋" w:cs="仿宋"/>
          <w:b/>
          <w:bCs/>
          <w:iCs/>
          <w:sz w:val="24"/>
        </w:rPr>
        <w:t>商务技术分</w:t>
      </w:r>
      <w:r>
        <w:rPr>
          <w:rFonts w:hint="eastAsia" w:ascii="仿宋" w:hAnsi="仿宋" w:eastAsia="仿宋" w:cs="仿宋"/>
          <w:b/>
          <w:bCs/>
          <w:sz w:val="24"/>
        </w:rPr>
        <w:t>（70分）</w:t>
      </w:r>
    </w:p>
    <w:tbl>
      <w:tblPr>
        <w:tblStyle w:val="44"/>
        <w:tblW w:w="9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103"/>
        <w:gridCol w:w="7071"/>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60" w:type="dxa"/>
            <w:tcBorders>
              <w:left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序号</w:t>
            </w:r>
          </w:p>
        </w:tc>
        <w:tc>
          <w:tcPr>
            <w:tcW w:w="1103" w:type="dxa"/>
            <w:tcBorders>
              <w:left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项目内容</w:t>
            </w:r>
          </w:p>
        </w:tc>
        <w:tc>
          <w:tcPr>
            <w:tcW w:w="707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评分细则</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760" w:type="dxa"/>
            <w:vMerge w:val="restart"/>
            <w:tcBorders>
              <w:left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1</w:t>
            </w:r>
          </w:p>
        </w:tc>
        <w:tc>
          <w:tcPr>
            <w:tcW w:w="1103" w:type="dxa"/>
            <w:vMerge w:val="restart"/>
            <w:tcBorders>
              <w:left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人员及质量保障</w:t>
            </w:r>
          </w:p>
        </w:tc>
        <w:tc>
          <w:tcPr>
            <w:tcW w:w="707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sz w:val="24"/>
              </w:rPr>
            </w:pPr>
            <w:r>
              <w:rPr>
                <w:rFonts w:hint="eastAsia" w:ascii="仿宋" w:hAnsi="仿宋" w:eastAsia="仿宋" w:cs="宋体"/>
                <w:sz w:val="24"/>
              </w:rPr>
              <w:t>项目负责人具有省级档案培训机构颁发的档案管理培训证书和保密培训证书的，每证得1分，最多得2分。（证书和社保证明材料扫描件或彩色图片加盖单位公章）</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FF0000"/>
                <w:sz w:val="24"/>
              </w:rPr>
            </w:pPr>
            <w:r>
              <w:rPr>
                <w:rFonts w:hint="eastAsia" w:ascii="仿宋" w:hAnsi="仿宋" w:eastAsia="仿宋" w:cs="宋体"/>
                <w:sz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760"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1103" w:type="dxa"/>
            <w:vMerge w:val="continue"/>
            <w:tcBorders>
              <w:left w:val="single" w:color="auto" w:sz="4" w:space="0"/>
              <w:right w:val="single" w:color="auto" w:sz="4" w:space="0"/>
            </w:tcBorders>
            <w:vAlign w:val="center"/>
          </w:tcPr>
          <w:p>
            <w:pPr>
              <w:jc w:val="center"/>
              <w:rPr>
                <w:rFonts w:ascii="仿宋" w:hAnsi="仿宋" w:eastAsia="仿宋" w:cs="宋体"/>
                <w:kern w:val="0"/>
                <w:sz w:val="24"/>
              </w:rPr>
            </w:pPr>
          </w:p>
        </w:tc>
        <w:tc>
          <w:tcPr>
            <w:tcW w:w="707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sz w:val="24"/>
              </w:rPr>
            </w:pPr>
            <w:r>
              <w:rPr>
                <w:rFonts w:hint="eastAsia" w:ascii="仿宋" w:hAnsi="仿宋" w:eastAsia="仿宋"/>
                <w:sz w:val="24"/>
              </w:rPr>
              <w:t>项目组成员具有档案业务相关培训证书和档案保密培训证书的，同时持有两本及以上证书的每提供一个人得</w:t>
            </w:r>
            <w:r>
              <w:rPr>
                <w:rFonts w:hint="eastAsia" w:ascii="仿宋" w:hAnsi="仿宋" w:eastAsia="仿宋" w:cs="宋体"/>
                <w:sz w:val="24"/>
              </w:rPr>
              <w:t>1分，单独持有其中一项证书的每提供一个人得0.5分，最高4分。（证书社保证明材料扫描件或彩色图片加盖单位公章）</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rPr>
            </w:pPr>
            <w:r>
              <w:rPr>
                <w:rFonts w:hint="eastAsia" w:ascii="仿宋" w:hAnsi="仿宋" w:eastAsia="仿宋" w:cs="宋体"/>
                <w:sz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60"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1103" w:type="dxa"/>
            <w:vMerge w:val="continue"/>
            <w:tcBorders>
              <w:left w:val="single" w:color="auto" w:sz="4" w:space="0"/>
              <w:right w:val="single" w:color="auto" w:sz="4" w:space="0"/>
            </w:tcBorders>
            <w:vAlign w:val="center"/>
          </w:tcPr>
          <w:p>
            <w:pPr>
              <w:jc w:val="center"/>
              <w:rPr>
                <w:rFonts w:ascii="仿宋" w:hAnsi="仿宋" w:eastAsia="仿宋" w:cs="宋体"/>
                <w:kern w:val="0"/>
                <w:sz w:val="24"/>
              </w:rPr>
            </w:pPr>
          </w:p>
        </w:tc>
        <w:tc>
          <w:tcPr>
            <w:tcW w:w="707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sz w:val="24"/>
              </w:rPr>
            </w:pPr>
            <w:r>
              <w:rPr>
                <w:rFonts w:hint="eastAsia" w:ascii="仿宋" w:hAnsi="仿宋" w:eastAsia="仿宋" w:cs="宋体"/>
                <w:sz w:val="24"/>
              </w:rPr>
              <w:t>投标方案中相应的质量检验环节的描述，主要包括对数字化加工过程中扫描质检、图像质检、条目质检、索引质检、装订总检、成果总检等质检方案的描述。要求符合实际，可操作性强，酌情打分。（</w:t>
            </w:r>
            <w:r>
              <w:rPr>
                <w:rFonts w:hint="eastAsia" w:ascii="仿宋" w:hAnsi="仿宋" w:eastAsia="仿宋" w:cs="宋体"/>
                <w:kern w:val="0"/>
                <w:sz w:val="24"/>
              </w:rPr>
              <w:t>优3.1，4分，良1.1-3分，一般0-</w:t>
            </w:r>
            <w:r>
              <w:rPr>
                <w:rFonts w:ascii="仿宋" w:hAnsi="仿宋" w:eastAsia="仿宋" w:cs="宋体"/>
                <w:kern w:val="0"/>
                <w:sz w:val="24"/>
              </w:rPr>
              <w:t>1</w:t>
            </w:r>
            <w:r>
              <w:rPr>
                <w:rFonts w:hint="eastAsia" w:ascii="仿宋" w:hAnsi="仿宋" w:eastAsia="仿宋" w:cs="宋体"/>
                <w:kern w:val="0"/>
                <w:sz w:val="24"/>
              </w:rPr>
              <w:t>分)</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60" w:type="dxa"/>
            <w:vMerge w:val="restart"/>
            <w:tcBorders>
              <w:left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2</w:t>
            </w:r>
          </w:p>
        </w:tc>
        <w:tc>
          <w:tcPr>
            <w:tcW w:w="1103" w:type="dxa"/>
            <w:vMerge w:val="restart"/>
            <w:tcBorders>
              <w:left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sz w:val="24"/>
              </w:rPr>
              <w:t>档案安全及保密保障</w:t>
            </w:r>
          </w:p>
        </w:tc>
        <w:tc>
          <w:tcPr>
            <w:tcW w:w="707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sz w:val="24"/>
              </w:rPr>
            </w:pPr>
            <w:r>
              <w:rPr>
                <w:rFonts w:hint="eastAsia" w:ascii="仿宋" w:hAnsi="仿宋" w:eastAsia="仿宋" w:cs="宋体"/>
                <w:sz w:val="24"/>
              </w:rPr>
              <w:t>针对本项目的保密方案与措施，评委横向比较打分，酌情打分。（优1.5-2分，良1.1-1.5分，一般0-1分）</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60"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1103" w:type="dxa"/>
            <w:vMerge w:val="continue"/>
            <w:tcBorders>
              <w:left w:val="single" w:color="auto" w:sz="4" w:space="0"/>
              <w:right w:val="single" w:color="auto" w:sz="4" w:space="0"/>
            </w:tcBorders>
            <w:vAlign w:val="center"/>
          </w:tcPr>
          <w:p>
            <w:pPr>
              <w:jc w:val="center"/>
              <w:rPr>
                <w:rFonts w:ascii="仿宋" w:hAnsi="仿宋" w:eastAsia="仿宋" w:cs="宋体"/>
                <w:kern w:val="0"/>
                <w:sz w:val="24"/>
              </w:rPr>
            </w:pPr>
          </w:p>
        </w:tc>
        <w:tc>
          <w:tcPr>
            <w:tcW w:w="707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sz w:val="24"/>
              </w:rPr>
            </w:pPr>
            <w:r>
              <w:rPr>
                <w:rFonts w:hint="eastAsia" w:ascii="仿宋" w:hAnsi="仿宋" w:eastAsia="仿宋" w:cs="宋体"/>
                <w:sz w:val="24"/>
              </w:rPr>
              <w:t>具体措施保护档案原件原貌及安全，使档案在扫描加工过程中少受损害，以及降低档案遗失风险等由评委进行酌情打分。（优1.5-2分，良1.1-1.5分，一般0-1分）</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60"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1103" w:type="dxa"/>
            <w:vMerge w:val="continue"/>
            <w:tcBorders>
              <w:left w:val="single" w:color="auto" w:sz="4" w:space="0"/>
              <w:right w:val="single" w:color="auto" w:sz="4" w:space="0"/>
            </w:tcBorders>
            <w:vAlign w:val="center"/>
          </w:tcPr>
          <w:p>
            <w:pPr>
              <w:jc w:val="center"/>
              <w:rPr>
                <w:rFonts w:ascii="仿宋" w:hAnsi="仿宋" w:eastAsia="仿宋" w:cs="宋体"/>
                <w:kern w:val="0"/>
                <w:sz w:val="24"/>
              </w:rPr>
            </w:pPr>
          </w:p>
        </w:tc>
        <w:tc>
          <w:tcPr>
            <w:tcW w:w="707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sz w:val="24"/>
              </w:rPr>
            </w:pPr>
            <w:r>
              <w:rPr>
                <w:rFonts w:hint="eastAsia" w:ascii="仿宋" w:hAnsi="仿宋" w:eastAsia="仿宋" w:cs="宋体"/>
                <w:sz w:val="24"/>
              </w:rPr>
              <w:t>项目实施方案中对存储介质、终端安全管理的配备管理情况是否科学合理。评委进行酌情打分。（优1.5-2分，良1.1-1.5分，一般0-1分）</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760" w:type="dxa"/>
            <w:vMerge w:val="restart"/>
            <w:tcBorders>
              <w:left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3</w:t>
            </w:r>
          </w:p>
        </w:tc>
        <w:tc>
          <w:tcPr>
            <w:tcW w:w="1103" w:type="dxa"/>
            <w:vMerge w:val="restart"/>
            <w:tcBorders>
              <w:left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投标商资质情况</w:t>
            </w:r>
          </w:p>
        </w:tc>
        <w:tc>
          <w:tcPr>
            <w:tcW w:w="7071" w:type="dxa"/>
            <w:tcBorders>
              <w:top w:val="single" w:color="auto" w:sz="4" w:space="0"/>
              <w:left w:val="single" w:color="auto" w:sz="4" w:space="0"/>
              <w:right w:val="single" w:color="auto" w:sz="4" w:space="0"/>
            </w:tcBorders>
            <w:vAlign w:val="center"/>
          </w:tcPr>
          <w:p>
            <w:pPr>
              <w:jc w:val="left"/>
              <w:rPr>
                <w:rFonts w:ascii="仿宋" w:hAnsi="仿宋" w:eastAsia="仿宋" w:cs="宋体"/>
                <w:sz w:val="24"/>
              </w:rPr>
            </w:pPr>
            <w:r>
              <w:rPr>
                <w:rFonts w:hint="eastAsia" w:ascii="仿宋" w:hAnsi="仿宋" w:eastAsia="仿宋" w:cs="宋体"/>
                <w:sz w:val="24"/>
              </w:rPr>
              <w:t>投标人具有适用于浙江省的涉密资质（乙级及以上，类别为数字化加工）的，得2分</w:t>
            </w:r>
            <w:r>
              <w:rPr>
                <w:rFonts w:ascii="仿宋" w:hAnsi="仿宋" w:eastAsia="仿宋" w:cs="宋体"/>
                <w:sz w:val="24"/>
              </w:rPr>
              <w:t>。</w:t>
            </w:r>
          </w:p>
          <w:p>
            <w:pPr>
              <w:jc w:val="left"/>
              <w:rPr>
                <w:rFonts w:ascii="仿宋" w:hAnsi="仿宋" w:eastAsia="仿宋" w:cs="宋体"/>
                <w:sz w:val="24"/>
              </w:rPr>
            </w:pPr>
            <w:r>
              <w:rPr>
                <w:rFonts w:hint="eastAsia" w:ascii="仿宋" w:hAnsi="仿宋" w:eastAsia="仿宋" w:cs="宋体"/>
                <w:sz w:val="24"/>
              </w:rPr>
              <w:t>（提供证书扫描件或彩色图片加盖单位公章</w:t>
            </w:r>
            <w:r>
              <w:rPr>
                <w:rFonts w:ascii="仿宋" w:hAnsi="仿宋" w:eastAsia="仿宋" w:cs="宋体"/>
                <w:sz w:val="24"/>
              </w:rPr>
              <w:t>）</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760"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1103"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707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sz w:val="24"/>
              </w:rPr>
            </w:pPr>
            <w:r>
              <w:rPr>
                <w:rFonts w:hint="eastAsia" w:ascii="仿宋" w:hAnsi="仿宋" w:eastAsia="仿宋" w:cs="宋体"/>
                <w:sz w:val="24"/>
              </w:rPr>
              <w:t>投标人具有ISO9001:2015质量管理体系证书，得2分；</w:t>
            </w:r>
          </w:p>
          <w:p>
            <w:pPr>
              <w:jc w:val="left"/>
              <w:rPr>
                <w:rFonts w:ascii="仿宋" w:hAnsi="仿宋" w:eastAsia="仿宋" w:cs="宋体"/>
                <w:sz w:val="24"/>
              </w:rPr>
            </w:pPr>
            <w:r>
              <w:rPr>
                <w:rFonts w:hint="eastAsia" w:ascii="仿宋" w:hAnsi="仿宋" w:eastAsia="仿宋" w:cs="宋体"/>
                <w:sz w:val="24"/>
              </w:rPr>
              <w:t>（证书认证范围必须包含档案数字化加工项，否则不得分；提供证书扫描件或彩色图片加盖单位公章）</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760"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1103"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707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sz w:val="24"/>
              </w:rPr>
            </w:pPr>
            <w:r>
              <w:rPr>
                <w:rFonts w:hint="eastAsia" w:ascii="仿宋" w:hAnsi="仿宋" w:eastAsia="仿宋" w:cs="宋体"/>
                <w:sz w:val="24"/>
              </w:rPr>
              <w:t>投标人具有ISO27001:2013信息安全管理体系证书，得2分。</w:t>
            </w:r>
          </w:p>
          <w:p>
            <w:pPr>
              <w:jc w:val="left"/>
              <w:rPr>
                <w:rFonts w:ascii="仿宋" w:hAnsi="仿宋" w:eastAsia="仿宋" w:cs="宋体"/>
                <w:sz w:val="24"/>
              </w:rPr>
            </w:pPr>
            <w:r>
              <w:rPr>
                <w:rFonts w:hint="eastAsia" w:ascii="仿宋" w:hAnsi="仿宋" w:eastAsia="仿宋" w:cs="宋体"/>
                <w:sz w:val="24"/>
              </w:rPr>
              <w:t>（证书认证范围必须包含档案数字化加工项，否则不得分；提供证书扫描件或彩色图片加盖单位公章）</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60"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1103"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7071" w:type="dxa"/>
            <w:tcBorders>
              <w:top w:val="single" w:color="auto" w:sz="4" w:space="0"/>
              <w:left w:val="single" w:color="auto" w:sz="4" w:space="0"/>
              <w:bottom w:val="single" w:color="auto" w:sz="4" w:space="0"/>
              <w:right w:val="single" w:color="auto" w:sz="4" w:space="0"/>
            </w:tcBorders>
            <w:vAlign w:val="center"/>
          </w:tcPr>
          <w:p>
            <w:pPr>
              <w:pStyle w:val="207"/>
              <w:spacing w:after="0"/>
              <w:ind w:left="0" w:leftChars="0" w:firstLine="0"/>
              <w:rPr>
                <w:rFonts w:ascii="仿宋" w:hAnsi="仿宋" w:eastAsia="仿宋"/>
                <w:color w:val="auto"/>
                <w:sz w:val="24"/>
                <w:szCs w:val="24"/>
              </w:rPr>
            </w:pPr>
            <w:r>
              <w:rPr>
                <w:rFonts w:hint="eastAsia" w:ascii="仿宋" w:hAnsi="仿宋" w:eastAsia="仿宋"/>
                <w:color w:val="auto"/>
                <w:sz w:val="24"/>
                <w:szCs w:val="24"/>
              </w:rPr>
              <w:t>投标人具有档案综合管理系统软件著作权登记证，得1分；</w:t>
            </w:r>
          </w:p>
          <w:p>
            <w:pPr>
              <w:pStyle w:val="207"/>
              <w:spacing w:after="0"/>
              <w:ind w:left="0" w:leftChars="0" w:firstLine="0"/>
              <w:rPr>
                <w:rFonts w:ascii="仿宋" w:hAnsi="仿宋" w:eastAsia="仿宋"/>
                <w:color w:val="auto"/>
                <w:sz w:val="24"/>
                <w:szCs w:val="24"/>
              </w:rPr>
            </w:pPr>
            <w:r>
              <w:rPr>
                <w:rFonts w:hint="eastAsia" w:ascii="仿宋" w:hAnsi="仿宋" w:eastAsia="仿宋"/>
                <w:color w:val="auto"/>
                <w:sz w:val="24"/>
                <w:szCs w:val="24"/>
              </w:rPr>
              <w:t>投标人具有档案综合管理系统软件的软件产品登记证书或具有证明该软件通过软件产品登记测试的软件评测报告，得2分。</w:t>
            </w:r>
          </w:p>
          <w:p>
            <w:pPr>
              <w:pStyle w:val="207"/>
              <w:spacing w:after="0"/>
              <w:ind w:left="0" w:leftChars="0" w:firstLine="0"/>
              <w:jc w:val="left"/>
              <w:rPr>
                <w:rFonts w:ascii="仿宋" w:hAnsi="仿宋" w:eastAsia="仿宋"/>
                <w:color w:val="auto"/>
                <w:sz w:val="24"/>
                <w:szCs w:val="24"/>
              </w:rPr>
            </w:pPr>
            <w:r>
              <w:rPr>
                <w:rFonts w:hint="eastAsia" w:ascii="仿宋" w:hAnsi="仿宋" w:eastAsia="仿宋"/>
                <w:color w:val="auto"/>
                <w:sz w:val="24"/>
                <w:szCs w:val="24"/>
              </w:rPr>
              <w:t>（</w:t>
            </w:r>
            <w:r>
              <w:rPr>
                <w:rFonts w:hint="eastAsia" w:ascii="仿宋" w:hAnsi="仿宋" w:eastAsia="仿宋"/>
                <w:sz w:val="24"/>
              </w:rPr>
              <w:t>提供证书扫描件或彩色图片加盖单位公章</w:t>
            </w:r>
            <w:r>
              <w:rPr>
                <w:rFonts w:hint="eastAsia" w:ascii="仿宋" w:hAnsi="仿宋" w:eastAsia="仿宋"/>
                <w:color w:val="auto"/>
                <w:sz w:val="24"/>
                <w:szCs w:val="24"/>
              </w:rPr>
              <w:t>）</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60"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1103"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7071" w:type="dxa"/>
            <w:tcBorders>
              <w:top w:val="single" w:color="auto" w:sz="4" w:space="0"/>
              <w:left w:val="single" w:color="auto" w:sz="4" w:space="0"/>
              <w:bottom w:val="single" w:color="auto" w:sz="4" w:space="0"/>
              <w:right w:val="single" w:color="auto" w:sz="4" w:space="0"/>
            </w:tcBorders>
            <w:vAlign w:val="center"/>
          </w:tcPr>
          <w:p>
            <w:pPr>
              <w:spacing w:line="276" w:lineRule="auto"/>
              <w:jc w:val="left"/>
              <w:rPr>
                <w:rFonts w:ascii="仿宋" w:hAnsi="仿宋" w:eastAsia="仿宋" w:cs="宋体"/>
                <w:sz w:val="24"/>
              </w:rPr>
            </w:pPr>
            <w:r>
              <w:rPr>
                <w:rFonts w:hint="eastAsia" w:ascii="仿宋" w:hAnsi="仿宋" w:eastAsia="仿宋" w:cs="宋体"/>
                <w:sz w:val="24"/>
              </w:rPr>
              <w:t>投标人具有档案数字化加工管理系统软件、电子数据质检软件、档案划控解密鉴定软件著作权证书，三项（或类似名称同类功能）每项得1分，最高得3分。（提供证书扫描件或彩色图片加盖单位公章）</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60" w:type="dxa"/>
            <w:vMerge w:val="restart"/>
            <w:tcBorders>
              <w:left w:val="single" w:color="auto" w:sz="4" w:space="0"/>
              <w:right w:val="single" w:color="auto" w:sz="4" w:space="0"/>
            </w:tcBorders>
            <w:vAlign w:val="center"/>
          </w:tcPr>
          <w:p>
            <w:pPr>
              <w:snapToGrid w:val="0"/>
              <w:spacing w:line="360" w:lineRule="auto"/>
              <w:ind w:firstLine="120" w:firstLineChars="50"/>
              <w:jc w:val="center"/>
              <w:outlineLvl w:val="1"/>
              <w:rPr>
                <w:rFonts w:ascii="仿宋" w:hAnsi="仿宋" w:eastAsia="仿宋" w:cs="宋体"/>
                <w:sz w:val="24"/>
              </w:rPr>
            </w:pPr>
            <w:r>
              <w:rPr>
                <w:rFonts w:hint="eastAsia" w:ascii="仿宋" w:hAnsi="仿宋" w:eastAsia="仿宋" w:cs="宋体"/>
                <w:sz w:val="24"/>
              </w:rPr>
              <w:t>4</w:t>
            </w:r>
          </w:p>
        </w:tc>
        <w:tc>
          <w:tcPr>
            <w:tcW w:w="1103" w:type="dxa"/>
            <w:vMerge w:val="restart"/>
            <w:tcBorders>
              <w:left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数字化加工制作</w:t>
            </w:r>
          </w:p>
        </w:tc>
        <w:tc>
          <w:tcPr>
            <w:tcW w:w="707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sz w:val="24"/>
              </w:rPr>
            </w:pPr>
            <w:r>
              <w:rPr>
                <w:rFonts w:hint="eastAsia" w:ascii="仿宋" w:hAnsi="仿宋" w:eastAsia="仿宋" w:cs="宋体"/>
                <w:sz w:val="24"/>
              </w:rPr>
              <w:t>有实施本项目所必需的设备（提供所需设备清单及发票复印件），由专家酌情打分。（优1.5-2分，良1.1-1.5分，一般0-1分）</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760"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1103" w:type="dxa"/>
            <w:vMerge w:val="continue"/>
            <w:tcBorders>
              <w:left w:val="single" w:color="auto" w:sz="4" w:space="0"/>
              <w:right w:val="single" w:color="auto" w:sz="4" w:space="0"/>
            </w:tcBorders>
            <w:vAlign w:val="center"/>
          </w:tcPr>
          <w:p>
            <w:pPr>
              <w:widowControl/>
              <w:spacing w:line="320" w:lineRule="atLeast"/>
              <w:jc w:val="center"/>
              <w:rPr>
                <w:rFonts w:ascii="仿宋" w:hAnsi="仿宋" w:eastAsia="仿宋" w:cs="宋体"/>
                <w:sz w:val="24"/>
              </w:rPr>
            </w:pPr>
          </w:p>
        </w:tc>
        <w:tc>
          <w:tcPr>
            <w:tcW w:w="7071" w:type="dxa"/>
            <w:tcBorders>
              <w:top w:val="single" w:color="auto" w:sz="4" w:space="0"/>
              <w:left w:val="single" w:color="auto" w:sz="4" w:space="0"/>
              <w:right w:val="single" w:color="auto" w:sz="4" w:space="0"/>
            </w:tcBorders>
            <w:vAlign w:val="center"/>
          </w:tcPr>
          <w:p>
            <w:pPr>
              <w:jc w:val="left"/>
              <w:rPr>
                <w:rFonts w:ascii="仿宋" w:hAnsi="仿宋" w:eastAsia="仿宋" w:cs="宋体"/>
                <w:sz w:val="24"/>
              </w:rPr>
            </w:pPr>
            <w:r>
              <w:rPr>
                <w:rFonts w:hint="eastAsia" w:ascii="仿宋" w:hAnsi="仿宋" w:eastAsia="仿宋" w:cs="宋体"/>
                <w:sz w:val="24"/>
              </w:rPr>
              <w:t>根据本项目实际需求，提出加工流程整体实施方案的合理性。其中档案前整理、档案扫描、图像处理、图像存储、条目著录、数据挂接、数据上传、索引建立、数据提交、封面制作、还原装订等环节安排的合理性和可行性。（</w:t>
            </w:r>
            <w:r>
              <w:rPr>
                <w:rFonts w:hint="eastAsia" w:ascii="仿宋" w:hAnsi="仿宋" w:eastAsia="仿宋" w:cs="宋体"/>
                <w:kern w:val="0"/>
                <w:sz w:val="24"/>
              </w:rPr>
              <w:t>优3.1，4分，良1.1-3分，一般0-</w:t>
            </w:r>
            <w:r>
              <w:rPr>
                <w:rFonts w:ascii="仿宋" w:hAnsi="仿宋" w:eastAsia="仿宋" w:cs="宋体"/>
                <w:kern w:val="0"/>
                <w:sz w:val="24"/>
              </w:rPr>
              <w:t>1</w:t>
            </w:r>
            <w:r>
              <w:rPr>
                <w:rFonts w:hint="eastAsia" w:ascii="仿宋" w:hAnsi="仿宋" w:eastAsia="仿宋" w:cs="宋体"/>
                <w:kern w:val="0"/>
                <w:sz w:val="24"/>
              </w:rPr>
              <w:t>分)</w:t>
            </w:r>
          </w:p>
        </w:tc>
        <w:tc>
          <w:tcPr>
            <w:tcW w:w="774" w:type="dxa"/>
            <w:tcBorders>
              <w:top w:val="single" w:color="auto" w:sz="4" w:space="0"/>
              <w:left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60"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1103" w:type="dxa"/>
            <w:vMerge w:val="continue"/>
            <w:tcBorders>
              <w:left w:val="single" w:color="auto" w:sz="4" w:space="0"/>
              <w:right w:val="single" w:color="auto" w:sz="4" w:space="0"/>
            </w:tcBorders>
            <w:vAlign w:val="center"/>
          </w:tcPr>
          <w:p>
            <w:pPr>
              <w:widowControl/>
              <w:spacing w:line="320" w:lineRule="atLeast"/>
              <w:jc w:val="center"/>
              <w:rPr>
                <w:rFonts w:ascii="仿宋" w:hAnsi="仿宋" w:eastAsia="仿宋" w:cs="宋体"/>
                <w:sz w:val="24"/>
              </w:rPr>
            </w:pPr>
          </w:p>
        </w:tc>
        <w:tc>
          <w:tcPr>
            <w:tcW w:w="7071" w:type="dxa"/>
            <w:tcBorders>
              <w:left w:val="single" w:color="auto" w:sz="4" w:space="0"/>
              <w:right w:val="single" w:color="auto" w:sz="4" w:space="0"/>
            </w:tcBorders>
            <w:vAlign w:val="center"/>
          </w:tcPr>
          <w:p>
            <w:pPr>
              <w:jc w:val="left"/>
              <w:rPr>
                <w:rFonts w:ascii="仿宋" w:hAnsi="仿宋" w:eastAsia="仿宋" w:cs="宋体"/>
                <w:sz w:val="24"/>
              </w:rPr>
            </w:pPr>
            <w:r>
              <w:rPr>
                <w:rFonts w:hint="eastAsia" w:ascii="仿宋" w:hAnsi="仿宋" w:eastAsia="仿宋" w:cs="宋体"/>
                <w:sz w:val="24"/>
              </w:rPr>
              <w:t>有2017年以来完成的同类案例（公检法系统内），每个得1分，最多得5分。</w:t>
            </w:r>
            <w:r>
              <w:rPr>
                <w:rFonts w:hint="eastAsia" w:ascii="仿宋" w:hAnsi="仿宋" w:eastAsia="仿宋"/>
                <w:kern w:val="0"/>
                <w:sz w:val="24"/>
              </w:rPr>
              <w:t>提供合同</w:t>
            </w:r>
            <w:r>
              <w:rPr>
                <w:rFonts w:hint="eastAsia" w:ascii="仿宋" w:hAnsi="仿宋" w:eastAsia="仿宋" w:cs="宋体"/>
                <w:sz w:val="24"/>
              </w:rPr>
              <w:t>扫描件或彩色图片加盖单位公章</w:t>
            </w:r>
            <w:r>
              <w:rPr>
                <w:rFonts w:hint="eastAsia" w:ascii="仿宋" w:hAnsi="仿宋" w:eastAsia="仿宋"/>
                <w:kern w:val="0"/>
                <w:sz w:val="24"/>
              </w:rPr>
              <w:t>）</w:t>
            </w:r>
          </w:p>
        </w:tc>
        <w:tc>
          <w:tcPr>
            <w:tcW w:w="774" w:type="dxa"/>
            <w:tcBorders>
              <w:left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760"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1103" w:type="dxa"/>
            <w:vMerge w:val="continue"/>
            <w:tcBorders>
              <w:left w:val="single" w:color="auto" w:sz="4" w:space="0"/>
              <w:right w:val="single" w:color="auto" w:sz="4" w:space="0"/>
            </w:tcBorders>
            <w:vAlign w:val="center"/>
          </w:tcPr>
          <w:p>
            <w:pPr>
              <w:widowControl/>
              <w:spacing w:line="320" w:lineRule="atLeast"/>
              <w:jc w:val="center"/>
              <w:rPr>
                <w:rFonts w:ascii="仿宋" w:hAnsi="仿宋" w:eastAsia="仿宋" w:cs="宋体"/>
                <w:sz w:val="24"/>
              </w:rPr>
            </w:pPr>
          </w:p>
        </w:tc>
        <w:tc>
          <w:tcPr>
            <w:tcW w:w="7071" w:type="dxa"/>
            <w:tcBorders>
              <w:left w:val="single" w:color="auto" w:sz="4" w:space="0"/>
              <w:bottom w:val="single" w:color="auto" w:sz="4" w:space="0"/>
              <w:right w:val="single" w:color="auto" w:sz="4" w:space="0"/>
            </w:tcBorders>
            <w:vAlign w:val="center"/>
          </w:tcPr>
          <w:p>
            <w:pPr>
              <w:jc w:val="left"/>
              <w:rPr>
                <w:rFonts w:ascii="仿宋" w:hAnsi="仿宋" w:eastAsia="仿宋" w:cs="宋体"/>
                <w:sz w:val="24"/>
              </w:rPr>
            </w:pPr>
            <w:r>
              <w:rPr>
                <w:rFonts w:hint="eastAsia" w:ascii="仿宋" w:hAnsi="仿宋" w:eastAsia="仿宋" w:cs="宋体"/>
                <w:sz w:val="24"/>
              </w:rPr>
              <w:t>能提供多种数据迁移、OCR识别、全文检索等先进技术方案。有创新性先进技术方案，方案完整、详实、操作性强，能无偿提供上述方案中的技术及相应软件。（优1.5-2分，良1.1-1.5分，一般0-1分）</w:t>
            </w:r>
          </w:p>
        </w:tc>
        <w:tc>
          <w:tcPr>
            <w:tcW w:w="774" w:type="dxa"/>
            <w:tcBorders>
              <w:left w:val="single" w:color="auto" w:sz="4" w:space="0"/>
              <w:bottom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60" w:type="dxa"/>
            <w:vMerge w:val="restart"/>
            <w:tcBorders>
              <w:left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5</w:t>
            </w:r>
          </w:p>
        </w:tc>
        <w:tc>
          <w:tcPr>
            <w:tcW w:w="1103" w:type="dxa"/>
            <w:vMerge w:val="restart"/>
            <w:tcBorders>
              <w:left w:val="single" w:color="auto" w:sz="4" w:space="0"/>
              <w:right w:val="single" w:color="auto" w:sz="4" w:space="0"/>
            </w:tcBorders>
            <w:vAlign w:val="center"/>
          </w:tcPr>
          <w:p>
            <w:pPr>
              <w:jc w:val="center"/>
              <w:rPr>
                <w:rFonts w:ascii="仿宋" w:hAnsi="仿宋" w:eastAsia="仿宋"/>
                <w:sz w:val="24"/>
              </w:rPr>
            </w:pPr>
            <w:r>
              <w:rPr>
                <w:rFonts w:hint="eastAsia" w:ascii="仿宋" w:hAnsi="仿宋" w:eastAsia="仿宋" w:cs="宋体"/>
                <w:sz w:val="24"/>
              </w:rPr>
              <w:t>技术演示</w:t>
            </w:r>
          </w:p>
          <w:p>
            <w:pPr>
              <w:spacing w:line="280" w:lineRule="exact"/>
              <w:jc w:val="left"/>
              <w:rPr>
                <w:rFonts w:ascii="仿宋" w:hAnsi="仿宋" w:eastAsia="仿宋" w:cs="宋体"/>
                <w:sz w:val="24"/>
              </w:rPr>
            </w:pPr>
            <w:r>
              <w:rPr>
                <w:rFonts w:hint="eastAsia" w:ascii="仿宋" w:hAnsi="仿宋" w:eastAsia="仿宋" w:cs="宋体"/>
                <w:sz w:val="24"/>
              </w:rPr>
              <w:t>（软件现场演示，演示时间不超过15分钟，演示设备由投标人自行携带。）</w:t>
            </w:r>
          </w:p>
        </w:tc>
        <w:tc>
          <w:tcPr>
            <w:tcW w:w="707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sz w:val="24"/>
              </w:rPr>
            </w:pPr>
            <w:r>
              <w:rPr>
                <w:rFonts w:hint="eastAsia" w:ascii="仿宋" w:hAnsi="仿宋" w:eastAsia="仿宋" w:cs="宋体"/>
                <w:sz w:val="24"/>
              </w:rPr>
              <w:t>加工</w:t>
            </w:r>
            <w:r>
              <w:rPr>
                <w:rFonts w:ascii="仿宋" w:hAnsi="仿宋" w:eastAsia="仿宋" w:cs="宋体"/>
                <w:sz w:val="24"/>
              </w:rPr>
              <w:t>软件扫描</w:t>
            </w:r>
            <w:r>
              <w:rPr>
                <w:rFonts w:hint="eastAsia" w:ascii="仿宋" w:hAnsi="仿宋" w:eastAsia="仿宋" w:cs="宋体"/>
                <w:sz w:val="24"/>
              </w:rPr>
              <w:t>功能：</w:t>
            </w:r>
            <w:r>
              <w:rPr>
                <w:rFonts w:ascii="仿宋" w:hAnsi="仿宋" w:eastAsia="仿宋" w:cs="宋体"/>
                <w:sz w:val="24"/>
              </w:rPr>
              <w:t>扫描流程中上传影像时</w:t>
            </w:r>
            <w:r>
              <w:rPr>
                <w:rFonts w:hint="eastAsia" w:ascii="仿宋" w:hAnsi="仿宋" w:eastAsia="仿宋" w:cs="宋体"/>
                <w:sz w:val="24"/>
              </w:rPr>
              <w:t>，能够</w:t>
            </w:r>
            <w:r>
              <w:rPr>
                <w:rFonts w:ascii="仿宋" w:hAnsi="仿宋" w:eastAsia="仿宋" w:cs="宋体"/>
                <w:sz w:val="24"/>
              </w:rPr>
              <w:t>同前处理流程中记录的页数进行</w:t>
            </w:r>
            <w:r>
              <w:rPr>
                <w:rFonts w:hint="eastAsia" w:ascii="仿宋" w:hAnsi="仿宋" w:eastAsia="仿宋" w:cs="宋体"/>
                <w:sz w:val="24"/>
              </w:rPr>
              <w:t>自动</w:t>
            </w:r>
            <w:r>
              <w:rPr>
                <w:rFonts w:ascii="仿宋" w:hAnsi="仿宋" w:eastAsia="仿宋" w:cs="宋体"/>
                <w:sz w:val="24"/>
              </w:rPr>
              <w:t>比对校验，避免漏扫、多扫的问题的发生。</w:t>
            </w:r>
            <w:r>
              <w:rPr>
                <w:rFonts w:hint="eastAsia" w:ascii="仿宋" w:hAnsi="仿宋" w:eastAsia="仿宋" w:cs="宋体"/>
                <w:sz w:val="24"/>
              </w:rPr>
              <w:t>（0-3分）</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1103"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707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sz w:val="24"/>
              </w:rPr>
            </w:pPr>
            <w:r>
              <w:rPr>
                <w:rFonts w:hint="eastAsia" w:ascii="仿宋" w:hAnsi="仿宋" w:eastAsia="仿宋" w:cs="宋体"/>
                <w:sz w:val="24"/>
              </w:rPr>
              <w:t>加工软件</w:t>
            </w:r>
            <w:r>
              <w:rPr>
                <w:rFonts w:ascii="仿宋" w:hAnsi="仿宋" w:eastAsia="仿宋" w:cs="宋体"/>
                <w:sz w:val="24"/>
              </w:rPr>
              <w:t>影像处理</w:t>
            </w:r>
            <w:r>
              <w:rPr>
                <w:rFonts w:hint="eastAsia" w:ascii="仿宋" w:hAnsi="仿宋" w:eastAsia="仿宋" w:cs="宋体"/>
                <w:sz w:val="24"/>
              </w:rPr>
              <w:t>功能：</w:t>
            </w:r>
            <w:r>
              <w:rPr>
                <w:rFonts w:ascii="仿宋" w:hAnsi="仿宋" w:eastAsia="仿宋" w:cs="宋体"/>
                <w:sz w:val="24"/>
              </w:rPr>
              <w:t>通过数字化软件的影像处理流程</w:t>
            </w:r>
            <w:r>
              <w:rPr>
                <w:rFonts w:hint="eastAsia" w:ascii="仿宋" w:hAnsi="仿宋" w:eastAsia="仿宋" w:cs="宋体"/>
                <w:sz w:val="24"/>
              </w:rPr>
              <w:t>实现逐页或批量的自动纠偏、去除黑边（0-1分）；基于可设定红/蓝色阈值的页面局部色彩增强（用于浅色印章色彩增强）。（0-1分）</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8" w:hRule="atLeast"/>
          <w:jc w:val="center"/>
        </w:trPr>
        <w:tc>
          <w:tcPr>
            <w:tcW w:w="760"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1103"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707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sz w:val="24"/>
              </w:rPr>
            </w:pPr>
            <w:r>
              <w:rPr>
                <w:rFonts w:hint="eastAsia" w:ascii="仿宋" w:hAnsi="仿宋" w:eastAsia="仿宋" w:cs="宋体"/>
                <w:sz w:val="24"/>
              </w:rPr>
              <w:t>加工软件</w:t>
            </w:r>
            <w:r>
              <w:rPr>
                <w:rFonts w:ascii="仿宋" w:hAnsi="仿宋" w:eastAsia="仿宋" w:cs="宋体"/>
                <w:sz w:val="24"/>
              </w:rPr>
              <w:t>目录建库</w:t>
            </w:r>
            <w:r>
              <w:rPr>
                <w:rFonts w:hint="eastAsia" w:ascii="仿宋" w:hAnsi="仿宋" w:eastAsia="仿宋" w:cs="宋体"/>
                <w:sz w:val="24"/>
              </w:rPr>
              <w:t>功能：</w:t>
            </w:r>
          </w:p>
          <w:p>
            <w:pPr>
              <w:jc w:val="left"/>
              <w:rPr>
                <w:rFonts w:ascii="仿宋" w:hAnsi="仿宋" w:eastAsia="仿宋" w:cs="宋体"/>
                <w:sz w:val="24"/>
              </w:rPr>
            </w:pPr>
            <w:r>
              <w:rPr>
                <w:rFonts w:ascii="仿宋" w:hAnsi="仿宋" w:eastAsia="仿宋" w:cs="宋体"/>
                <w:sz w:val="24"/>
              </w:rPr>
              <w:t>通过数字化软件的目录建库流程，看图著录时的</w:t>
            </w:r>
            <w:r>
              <w:rPr>
                <w:rFonts w:hint="eastAsia" w:ascii="仿宋" w:hAnsi="仿宋" w:eastAsia="仿宋" w:cs="宋体"/>
                <w:sz w:val="24"/>
              </w:rPr>
              <w:t>可</w:t>
            </w:r>
            <w:r>
              <w:rPr>
                <w:rFonts w:ascii="仿宋" w:hAnsi="仿宋" w:eastAsia="仿宋" w:cs="宋体"/>
                <w:sz w:val="24"/>
              </w:rPr>
              <w:t>将图像选定部分文字自动</w:t>
            </w:r>
            <w:r>
              <w:rPr>
                <w:rFonts w:hint="eastAsia" w:ascii="仿宋" w:hAnsi="仿宋" w:eastAsia="仿宋" w:cs="宋体"/>
                <w:sz w:val="24"/>
              </w:rPr>
              <w:t>识别并</w:t>
            </w:r>
            <w:r>
              <w:rPr>
                <w:rFonts w:ascii="仿宋" w:hAnsi="仿宋" w:eastAsia="仿宋" w:cs="宋体"/>
                <w:sz w:val="24"/>
              </w:rPr>
              <w:t>提取</w:t>
            </w:r>
            <w:r>
              <w:rPr>
                <w:rFonts w:hint="eastAsia" w:ascii="仿宋" w:hAnsi="仿宋" w:eastAsia="仿宋" w:cs="宋体"/>
                <w:sz w:val="24"/>
              </w:rPr>
              <w:t>至</w:t>
            </w:r>
            <w:r>
              <w:rPr>
                <w:rFonts w:ascii="仿宋" w:hAnsi="仿宋" w:eastAsia="仿宋" w:cs="宋体"/>
                <w:sz w:val="24"/>
              </w:rPr>
              <w:t>相应的著录字段；（</w:t>
            </w:r>
            <w:r>
              <w:rPr>
                <w:rFonts w:hint="eastAsia" w:ascii="仿宋" w:hAnsi="仿宋" w:eastAsia="仿宋" w:cs="宋体"/>
                <w:sz w:val="24"/>
              </w:rPr>
              <w:t>0-2</w:t>
            </w:r>
            <w:r>
              <w:rPr>
                <w:rFonts w:ascii="仿宋" w:hAnsi="仿宋" w:eastAsia="仿宋" w:cs="宋体"/>
                <w:sz w:val="24"/>
              </w:rPr>
              <w:t>分）</w:t>
            </w:r>
            <w:r>
              <w:rPr>
                <w:rFonts w:ascii="仿宋" w:hAnsi="仿宋" w:eastAsia="仿宋" w:cs="宋体"/>
                <w:sz w:val="24"/>
              </w:rPr>
              <w:br w:type="textWrapping"/>
            </w:r>
            <w:r>
              <w:rPr>
                <w:rFonts w:hint="eastAsia" w:ascii="仿宋" w:hAnsi="仿宋" w:eastAsia="仿宋" w:cs="宋体"/>
                <w:sz w:val="24"/>
              </w:rPr>
              <w:t>著录时</w:t>
            </w:r>
            <w:r>
              <w:rPr>
                <w:rFonts w:ascii="仿宋" w:hAnsi="仿宋" w:eastAsia="仿宋" w:cs="宋体"/>
                <w:sz w:val="24"/>
              </w:rPr>
              <w:t>根据文件级中的页数和文件形成时间2个著录项自动生成案卷级中的总页数、总件数、起始时间、终止时间</w:t>
            </w:r>
            <w:r>
              <w:rPr>
                <w:rFonts w:hint="eastAsia" w:ascii="仿宋" w:hAnsi="仿宋" w:eastAsia="仿宋" w:cs="宋体"/>
                <w:sz w:val="24"/>
              </w:rPr>
              <w:t>等</w:t>
            </w:r>
            <w:r>
              <w:rPr>
                <w:rFonts w:ascii="仿宋" w:hAnsi="仿宋" w:eastAsia="仿宋" w:cs="宋体"/>
                <w:sz w:val="24"/>
              </w:rPr>
              <w:t>著录项值。（</w:t>
            </w:r>
            <w:r>
              <w:rPr>
                <w:rFonts w:hint="eastAsia" w:ascii="仿宋" w:hAnsi="仿宋" w:eastAsia="仿宋" w:cs="宋体"/>
                <w:sz w:val="24"/>
              </w:rPr>
              <w:t>0-1</w:t>
            </w:r>
            <w:r>
              <w:rPr>
                <w:rFonts w:ascii="仿宋" w:hAnsi="仿宋" w:eastAsia="仿宋" w:cs="宋体"/>
                <w:sz w:val="24"/>
              </w:rPr>
              <w:t>分）</w:t>
            </w:r>
          </w:p>
          <w:p>
            <w:pPr>
              <w:jc w:val="left"/>
              <w:rPr>
                <w:rFonts w:ascii="仿宋" w:hAnsi="仿宋" w:eastAsia="仿宋" w:cs="宋体"/>
                <w:sz w:val="24"/>
              </w:rPr>
            </w:pPr>
            <w:r>
              <w:rPr>
                <w:rFonts w:hint="eastAsia" w:ascii="仿宋" w:hAnsi="仿宋" w:eastAsia="仿宋" w:cs="宋体"/>
                <w:sz w:val="24"/>
              </w:rPr>
              <w:t>加工软件内嵌功能可以根据建库目录进行档案报表编辑、排版打印（用于诉讼档案封面目录的打印）。（0-1分）。</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1" w:hRule="atLeast"/>
          <w:jc w:val="center"/>
        </w:trPr>
        <w:tc>
          <w:tcPr>
            <w:tcW w:w="760"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1103"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707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sz w:val="24"/>
              </w:rPr>
            </w:pPr>
            <w:r>
              <w:rPr>
                <w:rFonts w:hint="eastAsia" w:ascii="仿宋" w:hAnsi="仿宋" w:eastAsia="仿宋" w:cs="宋体"/>
                <w:sz w:val="24"/>
              </w:rPr>
              <w:t>加工软件的成果质检功能：</w:t>
            </w:r>
          </w:p>
          <w:p>
            <w:pPr>
              <w:jc w:val="left"/>
              <w:rPr>
                <w:rFonts w:ascii="仿宋" w:hAnsi="仿宋" w:eastAsia="仿宋" w:cs="宋体"/>
                <w:sz w:val="24"/>
              </w:rPr>
            </w:pPr>
            <w:r>
              <w:rPr>
                <w:rFonts w:hint="eastAsia" w:ascii="仿宋" w:hAnsi="仿宋" w:eastAsia="仿宋" w:cs="宋体"/>
                <w:sz w:val="24"/>
              </w:rPr>
              <w:t>能提供检测软件检测数字化成果的的文件格式及文件DPI、检测数字化成果的可读性，防止出现损坏数据；（0-</w:t>
            </w:r>
            <w:r>
              <w:rPr>
                <w:rFonts w:ascii="仿宋" w:hAnsi="仿宋" w:eastAsia="仿宋" w:cs="宋体"/>
                <w:sz w:val="24"/>
              </w:rPr>
              <w:t>1</w:t>
            </w:r>
            <w:r>
              <w:rPr>
                <w:rFonts w:hint="eastAsia" w:ascii="仿宋" w:hAnsi="仿宋" w:eastAsia="仿宋" w:cs="宋体"/>
                <w:sz w:val="24"/>
              </w:rPr>
              <w:t>分）</w:t>
            </w:r>
          </w:p>
          <w:p>
            <w:pPr>
              <w:jc w:val="left"/>
              <w:rPr>
                <w:rFonts w:ascii="仿宋" w:hAnsi="仿宋" w:eastAsia="仿宋" w:cs="宋体"/>
                <w:sz w:val="24"/>
              </w:rPr>
            </w:pPr>
            <w:r>
              <w:rPr>
                <w:rFonts w:hint="eastAsia" w:ascii="仿宋" w:hAnsi="仿宋" w:eastAsia="仿宋" w:cs="宋体"/>
                <w:sz w:val="24"/>
              </w:rPr>
              <w:t>能检测数字化成果的倾斜度，能检测数字化成果是否有空白页，是否有内容相同文件名不同即重复的数字化成果等；（0-</w:t>
            </w:r>
            <w:r>
              <w:rPr>
                <w:rFonts w:ascii="仿宋" w:hAnsi="仿宋" w:eastAsia="仿宋" w:cs="宋体"/>
                <w:sz w:val="24"/>
              </w:rPr>
              <w:t>1</w:t>
            </w:r>
            <w:r>
              <w:rPr>
                <w:rFonts w:hint="eastAsia" w:ascii="仿宋" w:hAnsi="仿宋" w:eastAsia="仿宋" w:cs="宋体"/>
                <w:sz w:val="24"/>
              </w:rPr>
              <w:t>分）</w:t>
            </w:r>
          </w:p>
          <w:p>
            <w:pPr>
              <w:jc w:val="left"/>
              <w:rPr>
                <w:rFonts w:ascii="仿宋" w:hAnsi="仿宋" w:eastAsia="仿宋" w:cs="宋体"/>
                <w:sz w:val="24"/>
              </w:rPr>
            </w:pPr>
            <w:r>
              <w:rPr>
                <w:rFonts w:hint="eastAsia" w:ascii="仿宋" w:hAnsi="仿宋" w:eastAsia="仿宋" w:cs="宋体"/>
                <w:sz w:val="24"/>
              </w:rPr>
              <w:t>根据文件目录检测影像目录能否能顺利挂接、影像页数量是否与目录中的页数是否相对应。（0-1分）</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rPr>
            </w:pPr>
            <w:r>
              <w:rPr>
                <w:rFonts w:ascii="仿宋" w:hAnsi="仿宋" w:eastAsia="仿宋" w:cs="宋体"/>
                <w:sz w:val="24"/>
              </w:rPr>
              <w:t>3</w:t>
            </w:r>
            <w:r>
              <w:rPr>
                <w:rFonts w:hint="eastAsia" w:ascii="仿宋" w:hAnsi="仿宋" w:eastAsia="仿宋" w:cs="宋体"/>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760"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1103"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707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sz w:val="24"/>
              </w:rPr>
            </w:pPr>
            <w:r>
              <w:rPr>
                <w:rFonts w:hint="eastAsia" w:ascii="仿宋" w:hAnsi="仿宋" w:eastAsia="仿宋" w:cs="宋体"/>
                <w:sz w:val="24"/>
              </w:rPr>
              <w:t>查询系统的功能要求：</w:t>
            </w:r>
          </w:p>
          <w:p>
            <w:pPr>
              <w:jc w:val="left"/>
              <w:rPr>
                <w:rFonts w:ascii="仿宋" w:hAnsi="仿宋" w:eastAsia="仿宋" w:cs="宋体"/>
                <w:sz w:val="24"/>
              </w:rPr>
            </w:pPr>
            <w:r>
              <w:rPr>
                <w:rFonts w:ascii="仿宋" w:hAnsi="仿宋" w:eastAsia="仿宋" w:cs="宋体"/>
                <w:sz w:val="24"/>
              </w:rPr>
              <w:t>需具有灵活的</w:t>
            </w:r>
            <w:r>
              <w:rPr>
                <w:rFonts w:hint="eastAsia" w:ascii="仿宋" w:hAnsi="仿宋" w:eastAsia="仿宋" w:cs="宋体"/>
                <w:sz w:val="24"/>
              </w:rPr>
              <w:t>权限管理</w:t>
            </w:r>
            <w:r>
              <w:rPr>
                <w:rFonts w:ascii="仿宋" w:hAnsi="仿宋" w:eastAsia="仿宋" w:cs="宋体"/>
                <w:sz w:val="24"/>
              </w:rPr>
              <w:t>功能</w:t>
            </w:r>
            <w:r>
              <w:rPr>
                <w:rFonts w:hint="eastAsia" w:ascii="仿宋" w:hAnsi="仿宋" w:eastAsia="仿宋" w:cs="宋体"/>
                <w:sz w:val="24"/>
              </w:rPr>
              <w:t>，能够自主设定不同用户的原文查看、打印或下载等权限；（0-2分）</w:t>
            </w:r>
          </w:p>
          <w:p>
            <w:pPr>
              <w:jc w:val="left"/>
              <w:rPr>
                <w:rFonts w:ascii="仿宋" w:hAnsi="仿宋" w:eastAsia="仿宋" w:cs="宋体"/>
                <w:sz w:val="24"/>
              </w:rPr>
            </w:pPr>
            <w:r>
              <w:rPr>
                <w:rFonts w:hint="eastAsia" w:ascii="仿宋" w:hAnsi="仿宋" w:eastAsia="仿宋" w:cs="宋体"/>
                <w:sz w:val="24"/>
              </w:rPr>
              <w:t>能够在打印图像时自动增加预设水印。（0-1分）</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760"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s="宋体"/>
                <w:sz w:val="24"/>
              </w:rPr>
            </w:pPr>
          </w:p>
        </w:tc>
        <w:tc>
          <w:tcPr>
            <w:tcW w:w="1103"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s="宋体"/>
                <w:sz w:val="24"/>
              </w:rPr>
            </w:pPr>
          </w:p>
        </w:tc>
        <w:tc>
          <w:tcPr>
            <w:tcW w:w="707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sz w:val="24"/>
              </w:rPr>
            </w:pPr>
            <w:r>
              <w:rPr>
                <w:rFonts w:hint="eastAsia" w:ascii="仿宋" w:hAnsi="仿宋" w:eastAsia="仿宋" w:cs="宋体"/>
                <w:sz w:val="24"/>
              </w:rPr>
              <w:t>根据投标人现场演示及问答整体情况，由评委酌情打分。（</w:t>
            </w:r>
            <w:r>
              <w:rPr>
                <w:rFonts w:hint="eastAsia" w:ascii="仿宋" w:hAnsi="仿宋" w:eastAsia="仿宋" w:cs="宋体"/>
                <w:kern w:val="0"/>
                <w:sz w:val="24"/>
              </w:rPr>
              <w:t>优3.1，4分，良1.1-3分，一般0-</w:t>
            </w:r>
            <w:r>
              <w:rPr>
                <w:rFonts w:ascii="仿宋" w:hAnsi="仿宋" w:eastAsia="仿宋" w:cs="宋体"/>
                <w:kern w:val="0"/>
                <w:sz w:val="24"/>
              </w:rPr>
              <w:t>1</w:t>
            </w:r>
            <w:r>
              <w:rPr>
                <w:rFonts w:hint="eastAsia" w:ascii="仿宋" w:hAnsi="仿宋" w:eastAsia="仿宋" w:cs="宋体"/>
                <w:kern w:val="0"/>
                <w:sz w:val="24"/>
              </w:rPr>
              <w:t>分)</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60" w:type="dxa"/>
            <w:vMerge w:val="restart"/>
            <w:tcBorders>
              <w:left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6</w:t>
            </w:r>
          </w:p>
        </w:tc>
        <w:tc>
          <w:tcPr>
            <w:tcW w:w="1103" w:type="dxa"/>
            <w:vMerge w:val="restart"/>
            <w:tcBorders>
              <w:left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售后服务及承诺建议</w:t>
            </w:r>
          </w:p>
        </w:tc>
        <w:tc>
          <w:tcPr>
            <w:tcW w:w="707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sz w:val="24"/>
              </w:rPr>
            </w:pPr>
            <w:r>
              <w:rPr>
                <w:rFonts w:hint="eastAsia" w:ascii="仿宋" w:hAnsi="仿宋" w:eastAsia="仿宋" w:cs="宋体"/>
                <w:sz w:val="24"/>
              </w:rPr>
              <w:t>根据免费质保服务的响应情况、质保服务方案内容，由专家横向对比投标人投标文件，酌情打分。（</w:t>
            </w:r>
            <w:r>
              <w:rPr>
                <w:rFonts w:hint="eastAsia" w:ascii="仿宋" w:hAnsi="仿宋" w:eastAsia="仿宋" w:cs="宋体"/>
                <w:kern w:val="0"/>
                <w:sz w:val="24"/>
              </w:rPr>
              <w:t>优3.1，4分，良1.1-3分，一般0-</w:t>
            </w:r>
            <w:r>
              <w:rPr>
                <w:rFonts w:ascii="仿宋" w:hAnsi="仿宋" w:eastAsia="仿宋" w:cs="宋体"/>
                <w:kern w:val="0"/>
                <w:sz w:val="24"/>
              </w:rPr>
              <w:t>1</w:t>
            </w:r>
            <w:r>
              <w:rPr>
                <w:rFonts w:hint="eastAsia" w:ascii="仿宋" w:hAnsi="仿宋" w:eastAsia="仿宋" w:cs="宋体"/>
                <w:kern w:val="0"/>
                <w:sz w:val="24"/>
              </w:rPr>
              <w:t>分)</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60"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1103"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707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sz w:val="24"/>
              </w:rPr>
            </w:pPr>
            <w:r>
              <w:rPr>
                <w:rFonts w:hint="eastAsia" w:ascii="仿宋" w:hAnsi="仿宋" w:eastAsia="仿宋" w:cs="宋体"/>
                <w:sz w:val="24"/>
              </w:rPr>
              <w:t>有完善的软件使用用户培训计划，对提供软件功能有比较明确的介绍说明，并给予相关培训承诺（格式自拟）。（优1.5-2分，良1.1-1.5分，一般0-1分）</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60"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1103" w:type="dxa"/>
            <w:vMerge w:val="continue"/>
            <w:tcBorders>
              <w:left w:val="single" w:color="auto" w:sz="4" w:space="0"/>
              <w:right w:val="single" w:color="auto" w:sz="4" w:space="0"/>
            </w:tcBorders>
            <w:vAlign w:val="center"/>
          </w:tcPr>
          <w:p>
            <w:pPr>
              <w:jc w:val="center"/>
              <w:rPr>
                <w:rFonts w:ascii="仿宋" w:hAnsi="仿宋" w:eastAsia="仿宋" w:cs="宋体"/>
                <w:sz w:val="24"/>
              </w:rPr>
            </w:pPr>
          </w:p>
        </w:tc>
        <w:tc>
          <w:tcPr>
            <w:tcW w:w="707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宋体"/>
                <w:sz w:val="24"/>
              </w:rPr>
            </w:pPr>
            <w:r>
              <w:rPr>
                <w:rFonts w:hint="eastAsia" w:ascii="仿宋" w:hAnsi="仿宋" w:eastAsia="仿宋" w:cs="宋体"/>
                <w:sz w:val="24"/>
              </w:rPr>
              <w:t>针对招标方档案的行业理解及特性，对项目数据安全保障提出合理化建议，评委酌情打分。（</w:t>
            </w:r>
            <w:r>
              <w:rPr>
                <w:rFonts w:hint="eastAsia" w:ascii="仿宋" w:hAnsi="仿宋" w:eastAsia="仿宋" w:cs="宋体"/>
                <w:kern w:val="0"/>
                <w:sz w:val="24"/>
              </w:rPr>
              <w:t>优3.1，4分，良1.1-3分，一般0-</w:t>
            </w:r>
            <w:r>
              <w:rPr>
                <w:rFonts w:ascii="仿宋" w:hAnsi="仿宋" w:eastAsia="仿宋" w:cs="宋体"/>
                <w:kern w:val="0"/>
                <w:sz w:val="24"/>
              </w:rPr>
              <w:t>1</w:t>
            </w:r>
            <w:r>
              <w:rPr>
                <w:rFonts w:hint="eastAsia" w:ascii="仿宋" w:hAnsi="仿宋" w:eastAsia="仿宋" w:cs="宋体"/>
                <w:kern w:val="0"/>
                <w:sz w:val="24"/>
              </w:rPr>
              <w:t>分)</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24"/>
              </w:rPr>
            </w:pPr>
            <w:r>
              <w:rPr>
                <w:rFonts w:hint="eastAsia" w:ascii="仿宋" w:hAnsi="仿宋" w:eastAsia="仿宋" w:cs="宋体"/>
                <w:sz w:val="24"/>
              </w:rPr>
              <w:t>4分</w:t>
            </w:r>
          </w:p>
        </w:tc>
      </w:tr>
    </w:tbl>
    <w:p>
      <w:pPr>
        <w:spacing w:line="281" w:lineRule="auto"/>
        <w:rPr>
          <w:rFonts w:ascii="仿宋" w:hAnsi="仿宋" w:eastAsia="仿宋" w:cs="仿宋"/>
          <w:b/>
          <w:sz w:val="24"/>
        </w:rPr>
      </w:pPr>
      <w:r>
        <w:rPr>
          <w:rFonts w:hint="eastAsia" w:ascii="仿宋" w:hAnsi="仿宋" w:eastAsia="仿宋" w:cs="仿宋"/>
          <w:b/>
          <w:sz w:val="24"/>
        </w:rPr>
        <w:t>注：1、本项目招标文件内对开标现场原件核验不作要求，招标人有权在标后对中标候选人进行原件核验，投标人对所提供的全部资料的真实性承担法律责任。</w:t>
      </w:r>
    </w:p>
    <w:p>
      <w:pPr>
        <w:spacing w:line="281" w:lineRule="auto"/>
        <w:ind w:firstLine="482" w:firstLineChars="200"/>
        <w:rPr>
          <w:rFonts w:ascii="仿宋" w:hAnsi="仿宋" w:eastAsia="仿宋" w:cs="仿宋"/>
          <w:b/>
          <w:bCs/>
          <w:iCs/>
          <w:sz w:val="24"/>
        </w:rPr>
      </w:pPr>
      <w:r>
        <w:rPr>
          <w:rFonts w:hint="eastAsia" w:ascii="仿宋" w:hAnsi="仿宋" w:eastAsia="仿宋" w:cs="仿宋"/>
          <w:b/>
          <w:sz w:val="24"/>
        </w:rPr>
        <w:t>2、所有的证书及检测报告必须在有效期内，不在有效期内的不得分。</w:t>
      </w:r>
    </w:p>
    <w:p>
      <w:pPr>
        <w:spacing w:line="281" w:lineRule="auto"/>
        <w:rPr>
          <w:rFonts w:ascii="仿宋" w:hAnsi="仿宋" w:eastAsia="仿宋" w:cs="仿宋"/>
          <w:b/>
          <w:bCs/>
          <w:iCs/>
          <w:sz w:val="24"/>
        </w:rPr>
      </w:pPr>
      <w:r>
        <w:rPr>
          <w:rFonts w:hint="eastAsia" w:ascii="仿宋" w:hAnsi="仿宋" w:eastAsia="仿宋" w:cs="仿宋"/>
          <w:b/>
          <w:bCs/>
          <w:iCs/>
          <w:sz w:val="24"/>
        </w:rPr>
        <w:t>2.2价格分（30分）</w:t>
      </w:r>
    </w:p>
    <w:p>
      <w:pPr>
        <w:spacing w:line="281" w:lineRule="auto"/>
        <w:rPr>
          <w:rFonts w:ascii="仿宋" w:hAnsi="仿宋" w:eastAsia="仿宋" w:cs="仿宋"/>
          <w:iCs/>
          <w:sz w:val="24"/>
        </w:rPr>
      </w:pPr>
      <w:r>
        <w:rPr>
          <w:rFonts w:hint="eastAsia" w:ascii="仿宋" w:hAnsi="仿宋" w:eastAsia="仿宋" w:cs="仿宋"/>
          <w:iCs/>
          <w:sz w:val="24"/>
        </w:rPr>
        <w:t>2.2.1评标基准价：即满足招标文件要求且投标价格最低的投标报价为评标基准价，其价格分为满分。</w:t>
      </w:r>
    </w:p>
    <w:p>
      <w:pPr>
        <w:spacing w:line="281" w:lineRule="auto"/>
        <w:rPr>
          <w:rFonts w:ascii="仿宋" w:hAnsi="仿宋" w:eastAsia="仿宋" w:cs="仿宋"/>
          <w:iCs/>
          <w:sz w:val="24"/>
        </w:rPr>
      </w:pPr>
      <w:r>
        <w:rPr>
          <w:rFonts w:hint="eastAsia" w:ascii="仿宋" w:hAnsi="仿宋" w:eastAsia="仿宋" w:cs="仿宋"/>
          <w:iCs/>
          <w:sz w:val="24"/>
        </w:rPr>
        <w:t>2.2.2其他投标人的价格分统一按照下列公式计算：</w:t>
      </w:r>
    </w:p>
    <w:p>
      <w:pPr>
        <w:spacing w:line="281" w:lineRule="auto"/>
        <w:rPr>
          <w:rFonts w:ascii="仿宋" w:hAnsi="仿宋" w:eastAsia="仿宋" w:cs="仿宋"/>
          <w:iCs/>
          <w:sz w:val="24"/>
        </w:rPr>
      </w:pPr>
      <w:r>
        <w:rPr>
          <w:rFonts w:hint="eastAsia" w:ascii="仿宋" w:hAnsi="仿宋" w:eastAsia="仿宋" w:cs="仿宋"/>
          <w:iCs/>
          <w:sz w:val="24"/>
        </w:rPr>
        <w:t>投标报价得分=(评标基准价／投标报价)×价格权值×100</w:t>
      </w:r>
    </w:p>
    <w:p>
      <w:pPr>
        <w:spacing w:line="281" w:lineRule="auto"/>
        <w:rPr>
          <w:rFonts w:ascii="仿宋" w:hAnsi="仿宋" w:eastAsia="仿宋" w:cs="仿宋"/>
          <w:iCs/>
          <w:sz w:val="24"/>
        </w:rPr>
      </w:pPr>
      <w:r>
        <w:rPr>
          <w:rFonts w:hint="eastAsia" w:ascii="仿宋" w:hAnsi="仿宋" w:eastAsia="仿宋" w:cs="仿宋"/>
          <w:iCs/>
          <w:sz w:val="24"/>
        </w:rPr>
        <w:t>即：投标报价得分=(评标基准价／投标报价)×30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sz w:val="36"/>
          <w:szCs w:val="20"/>
        </w:rPr>
      </w:pPr>
      <w:r>
        <w:rPr>
          <w:rFonts w:hint="eastAsia" w:ascii="仿宋" w:hAnsi="仿宋" w:eastAsia="仿宋" w:cs="仿宋"/>
          <w:b/>
          <w:sz w:val="36"/>
          <w:szCs w:val="20"/>
        </w:rPr>
        <w:br w:type="page"/>
      </w:r>
      <w:bookmarkStart w:id="7" w:name="_Toc465665161"/>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w:t>
      </w:r>
      <w:r>
        <w:rPr>
          <w:rFonts w:hint="eastAsia" w:ascii="仿宋" w:hAnsi="仿宋" w:eastAsia="仿宋" w:cs="FangSong_GB2312"/>
          <w:sz w:val="24"/>
        </w:rPr>
        <w:t>,</w:t>
      </w:r>
      <w:r>
        <w:rPr>
          <w:rFonts w:hint="eastAsia" w:ascii="仿宋" w:hAnsi="仿宋" w:eastAsia="仿宋" w:cs="FangSong_GB2312"/>
          <w:sz w:val="24"/>
          <w:lang w:val="zh-CN"/>
        </w:rPr>
        <w:t>制作加密电子投标文件时做好关联点设置</w:t>
      </w:r>
      <w:r>
        <w:rPr>
          <w:rFonts w:ascii="仿宋" w:hAnsi="仿宋" w:eastAsia="仿宋" w:cs="FangSong_GB2312"/>
          <w:sz w:val="24"/>
          <w:lang w:val="zh-CN"/>
        </w:rPr>
        <w:t>。</w:t>
      </w: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napToGrid w:val="0"/>
        <w:spacing w:line="288"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288"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（3）中小企业声明函………………………………………………（页码）</w:t>
      </w:r>
    </w:p>
    <w:p>
      <w:pPr>
        <w:spacing w:line="288" w:lineRule="auto"/>
        <w:outlineLvl w:val="0"/>
        <w:rPr>
          <w:rFonts w:ascii="仿宋" w:hAnsi="仿宋" w:eastAsia="仿宋" w:cs="仿宋"/>
          <w:kern w:val="0"/>
          <w:sz w:val="24"/>
        </w:rPr>
      </w:pPr>
      <w:r>
        <w:rPr>
          <w:rFonts w:hint="eastAsia" w:ascii="仿宋" w:hAnsi="仿宋" w:eastAsia="仿宋" w:cs="仿宋"/>
          <w:sz w:val="24"/>
        </w:rPr>
        <w:t>（4）残疾人福利性单位声明函</w:t>
      </w:r>
      <w:r>
        <w:rPr>
          <w:rFonts w:hint="eastAsia" w:ascii="仿宋" w:hAnsi="仿宋" w:eastAsia="仿宋" w:cs="仿宋"/>
          <w:kern w:val="0"/>
          <w:sz w:val="24"/>
        </w:rPr>
        <w:t>……………………………………（页码）</w:t>
      </w: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sz w:val="24"/>
        </w:rPr>
      </w:pPr>
    </w:p>
    <w:p>
      <w:pPr>
        <w:pStyle w:val="21"/>
        <w:spacing w:line="288" w:lineRule="auto"/>
        <w:ind w:left="0" w:leftChars="0"/>
        <w:rPr>
          <w:rFonts w:ascii="仿宋" w:hAnsi="仿宋" w:eastAsia="仿宋" w:cs="仿宋"/>
          <w:b/>
          <w:sz w:val="36"/>
          <w:szCs w:val="36"/>
        </w:rPr>
      </w:pPr>
    </w:p>
    <w:p>
      <w:pPr>
        <w:pStyle w:val="21"/>
        <w:spacing w:line="288" w:lineRule="auto"/>
        <w:ind w:left="0" w:leftChars="0"/>
        <w:rPr>
          <w:rFonts w:ascii="仿宋" w:hAnsi="仿宋" w:eastAsia="仿宋" w:cs="仿宋"/>
          <w:b/>
          <w:sz w:val="36"/>
          <w:szCs w:val="36"/>
        </w:rPr>
      </w:pPr>
    </w:p>
    <w:p>
      <w:pPr>
        <w:pStyle w:val="21"/>
        <w:spacing w:line="288" w:lineRule="auto"/>
        <w:ind w:left="0" w:leftChars="0"/>
        <w:rPr>
          <w:rFonts w:ascii="仿宋" w:hAnsi="仿宋" w:eastAsia="仿宋" w:cs="仿宋"/>
          <w:b/>
          <w:sz w:val="36"/>
          <w:szCs w:val="36"/>
        </w:rPr>
      </w:pPr>
    </w:p>
    <w:p>
      <w:pPr>
        <w:pStyle w:val="21"/>
        <w:spacing w:line="288" w:lineRule="auto"/>
        <w:ind w:left="0" w:leftChars="0"/>
        <w:rPr>
          <w:rFonts w:ascii="仿宋" w:hAnsi="仿宋" w:eastAsia="仿宋" w:cs="仿宋"/>
          <w:b/>
          <w:sz w:val="36"/>
          <w:szCs w:val="36"/>
        </w:rPr>
      </w:pPr>
    </w:p>
    <w:p>
      <w:pPr>
        <w:spacing w:line="288" w:lineRule="auto"/>
        <w:rPr>
          <w:rFonts w:ascii="仿宋" w:hAnsi="仿宋" w:eastAsia="仿宋" w:cs="仿宋"/>
          <w:b/>
          <w:sz w:val="30"/>
          <w:szCs w:val="30"/>
        </w:rPr>
      </w:pPr>
    </w:p>
    <w:p>
      <w:pPr>
        <w:pageBreakBefore/>
        <w:spacing w:line="288" w:lineRule="auto"/>
        <w:rPr>
          <w:rFonts w:ascii="仿宋" w:hAnsi="仿宋" w:eastAsia="仿宋" w:cs="仿宋"/>
        </w:rPr>
      </w:pPr>
      <w:r>
        <w:rPr>
          <w:rFonts w:hint="eastAsia" w:ascii="仿宋" w:hAnsi="仿宋" w:eastAsia="仿宋" w:cs="仿宋"/>
          <w:b/>
          <w:sz w:val="30"/>
          <w:szCs w:val="30"/>
        </w:rPr>
        <w:t>1、投标响应函（格式）</w:t>
      </w:r>
    </w:p>
    <w:p>
      <w:pPr>
        <w:pStyle w:val="63"/>
        <w:spacing w:afterLines="0" w:line="288"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绍兴市人民检察院、耀华建设管理有限公司</w:t>
      </w:r>
    </w:p>
    <w:p>
      <w:pPr>
        <w:pStyle w:val="63"/>
        <w:spacing w:afterLines="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3"/>
        <w:spacing w:afterLines="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4"/>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1.我方同意在投标人须知规定的开标日期起遵守本投标文件中的承诺且在投标有效期满之前均具有约束力。</w:t>
      </w:r>
    </w:p>
    <w:p>
      <w:pPr>
        <w:pStyle w:val="14"/>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2.我方承诺已经具备《中华人民共和国政府采购法》中规定的参加政府采购活动的供应商应当具备的条件。</w:t>
      </w:r>
    </w:p>
    <w:p>
      <w:pPr>
        <w:pStyle w:val="14"/>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3.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pPr>
        <w:pStyle w:val="14"/>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4.我方理解贵方将不受你们所收到的最低报价的约束。</w:t>
      </w:r>
    </w:p>
    <w:p>
      <w:pPr>
        <w:pStyle w:val="14"/>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5.本投标自开标之日（投标截止之日）起90天内有效。</w:t>
      </w:r>
    </w:p>
    <w:p>
      <w:pPr>
        <w:pStyle w:val="14"/>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14"/>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pStyle w:val="14"/>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pStyle w:val="14"/>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pStyle w:val="14"/>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pStyle w:val="14"/>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pStyle w:val="14"/>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pStyle w:val="14"/>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63"/>
        <w:spacing w:afterLines="0" w:line="288" w:lineRule="auto"/>
        <w:ind w:firstLine="480"/>
        <w:rPr>
          <w:rFonts w:ascii="仿宋" w:hAnsi="仿宋" w:eastAsia="仿宋" w:cs="仿宋"/>
          <w:szCs w:val="24"/>
        </w:rPr>
      </w:pPr>
    </w:p>
    <w:p>
      <w:pPr>
        <w:pStyle w:val="63"/>
        <w:spacing w:afterLines="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63"/>
        <w:spacing w:afterLines="0" w:line="288" w:lineRule="auto"/>
        <w:ind w:firstLine="480"/>
        <w:rPr>
          <w:rFonts w:ascii="仿宋" w:hAnsi="仿宋" w:eastAsia="仿宋" w:cs="仿宋"/>
          <w:szCs w:val="24"/>
        </w:rPr>
      </w:pPr>
      <w:r>
        <w:rPr>
          <w:rFonts w:hint="eastAsia" w:ascii="仿宋" w:hAnsi="仿宋" w:eastAsia="仿宋" w:cs="仿宋"/>
          <w:szCs w:val="24"/>
        </w:rPr>
        <w:t>电话：                              传真：</w:t>
      </w:r>
    </w:p>
    <w:p>
      <w:pPr>
        <w:pStyle w:val="63"/>
        <w:spacing w:afterLines="0" w:line="288" w:lineRule="auto"/>
        <w:ind w:firstLine="480"/>
        <w:rPr>
          <w:rFonts w:ascii="仿宋" w:hAnsi="仿宋" w:eastAsia="仿宋" w:cs="仿宋"/>
          <w:szCs w:val="24"/>
        </w:rPr>
      </w:pPr>
      <w:r>
        <w:rPr>
          <w:rFonts w:hint="eastAsia" w:ascii="仿宋" w:hAnsi="仿宋" w:eastAsia="仿宋" w:cs="仿宋"/>
          <w:szCs w:val="24"/>
        </w:rPr>
        <w:t>开户银行：                          帐号：</w:t>
      </w:r>
    </w:p>
    <w:p>
      <w:pPr>
        <w:pStyle w:val="63"/>
        <w:spacing w:afterLines="0" w:line="288" w:lineRule="auto"/>
        <w:ind w:firstLine="480"/>
        <w:rPr>
          <w:rFonts w:ascii="仿宋" w:hAnsi="仿宋" w:eastAsia="仿宋" w:cs="仿宋"/>
          <w:szCs w:val="24"/>
        </w:rPr>
      </w:pPr>
      <w:r>
        <w:rPr>
          <w:rFonts w:hint="eastAsia" w:ascii="仿宋" w:hAnsi="仿宋" w:eastAsia="仿宋" w:cs="仿宋"/>
          <w:szCs w:val="24"/>
        </w:rPr>
        <w:t>法定代表人或其授权代表(签字或签章)：</w:t>
      </w:r>
    </w:p>
    <w:p>
      <w:pPr>
        <w:pStyle w:val="63"/>
        <w:spacing w:afterLines="0" w:line="288" w:lineRule="auto"/>
        <w:ind w:firstLine="480"/>
        <w:rPr>
          <w:rFonts w:ascii="仿宋" w:hAnsi="仿宋" w:eastAsia="仿宋" w:cs="仿宋"/>
          <w:szCs w:val="24"/>
        </w:rPr>
      </w:pPr>
      <w:r>
        <w:rPr>
          <w:rFonts w:hint="eastAsia" w:ascii="仿宋" w:hAnsi="仿宋" w:eastAsia="仿宋" w:cs="仿宋"/>
          <w:szCs w:val="24"/>
        </w:rPr>
        <w:t xml:space="preserve">投标人(电子签章)：　　　　　　　　　日期：     </w:t>
      </w:r>
    </w:p>
    <w:p>
      <w:pPr>
        <w:pStyle w:val="63"/>
        <w:spacing w:afterLines="0" w:line="288" w:lineRule="auto"/>
        <w:ind w:firstLine="480"/>
        <w:rPr>
          <w:rFonts w:ascii="仿宋" w:hAnsi="仿宋" w:eastAsia="仿宋" w:cs="仿宋"/>
          <w:szCs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pageBreakBefore/>
        <w:spacing w:line="288" w:lineRule="auto"/>
        <w:rPr>
          <w:rFonts w:ascii="仿宋" w:hAnsi="仿宋" w:eastAsia="仿宋" w:cs="仿宋"/>
          <w:b/>
          <w:sz w:val="30"/>
          <w:szCs w:val="30"/>
        </w:rPr>
      </w:pPr>
      <w:r>
        <w:rPr>
          <w:rFonts w:hint="eastAsia" w:ascii="仿宋" w:hAnsi="仿宋" w:eastAsia="仿宋" w:cs="仿宋"/>
          <w:b/>
          <w:sz w:val="30"/>
          <w:szCs w:val="30"/>
        </w:rPr>
        <w:t>2、开标一览表（格式）</w:t>
      </w:r>
    </w:p>
    <w:p>
      <w:pPr>
        <w:spacing w:line="288" w:lineRule="auto"/>
        <w:rPr>
          <w:rFonts w:ascii="仿宋" w:hAnsi="仿宋" w:eastAsia="仿宋" w:cs="仿宋"/>
          <w:sz w:val="24"/>
        </w:rPr>
      </w:pPr>
    </w:p>
    <w:p>
      <w:pPr>
        <w:spacing w:line="288" w:lineRule="auto"/>
        <w:rPr>
          <w:rFonts w:ascii="仿宋" w:hAnsi="仿宋" w:eastAsia="仿宋" w:cs="仿宋"/>
          <w:sz w:val="24"/>
        </w:rPr>
      </w:pPr>
      <w:r>
        <w:rPr>
          <w:rFonts w:hint="eastAsia" w:ascii="仿宋" w:hAnsi="仿宋" w:eastAsia="仿宋" w:cs="仿宋"/>
          <w:sz w:val="24"/>
        </w:rPr>
        <w:t>投标人名称：</w:t>
      </w:r>
    </w:p>
    <w:p>
      <w:pPr>
        <w:snapToGrid w:val="0"/>
        <w:spacing w:line="288" w:lineRule="auto"/>
        <w:rPr>
          <w:rFonts w:ascii="仿宋" w:hAnsi="仿宋" w:eastAsia="仿宋" w:cs="仿宋"/>
          <w:sz w:val="24"/>
        </w:rPr>
      </w:pPr>
      <w:r>
        <w:rPr>
          <w:rFonts w:hint="eastAsia" w:ascii="仿宋" w:hAnsi="仿宋" w:eastAsia="仿宋" w:cs="仿宋"/>
          <w:sz w:val="24"/>
        </w:rPr>
        <w:t>标    项：</w:t>
      </w:r>
    </w:p>
    <w:p>
      <w:pPr>
        <w:snapToGrid w:val="0"/>
        <w:spacing w:line="288" w:lineRule="auto"/>
        <w:rPr>
          <w:rFonts w:ascii="仿宋" w:hAnsi="仿宋" w:eastAsia="仿宋" w:cs="仿宋"/>
          <w:sz w:val="24"/>
          <w:u w:val="single"/>
        </w:rPr>
      </w:pPr>
      <w:r>
        <w:rPr>
          <w:rFonts w:hint="eastAsia" w:ascii="仿宋" w:hAnsi="仿宋" w:eastAsia="仿宋" w:cs="仿宋"/>
          <w:sz w:val="24"/>
        </w:rPr>
        <w:t>招标编号：</w:t>
      </w:r>
    </w:p>
    <w:p>
      <w:pPr>
        <w:spacing w:line="288" w:lineRule="auto"/>
        <w:jc w:val="left"/>
        <w:rPr>
          <w:rFonts w:ascii="仿宋" w:hAnsi="仿宋" w:eastAsia="仿宋" w:cs="仿宋"/>
          <w:sz w:val="24"/>
        </w:rPr>
      </w:pPr>
      <w:r>
        <w:rPr>
          <w:rFonts w:hint="eastAsia" w:ascii="仿宋" w:hAnsi="仿宋" w:eastAsia="仿宋" w:cs="仿宋"/>
          <w:sz w:val="24"/>
        </w:rPr>
        <w:t xml:space="preserve">                                                            单位：元</w:t>
      </w:r>
    </w:p>
    <w:tbl>
      <w:tblPr>
        <w:tblStyle w:val="44"/>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108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883" w:hRule="atLeast"/>
        </w:trPr>
        <w:tc>
          <w:tcPr>
            <w:tcW w:w="647" w:type="dxa"/>
            <w:vAlign w:val="center"/>
          </w:tcPr>
          <w:p>
            <w:pPr>
              <w:tabs>
                <w:tab w:val="left" w:pos="540"/>
              </w:tabs>
              <w:snapToGrid w:val="0"/>
              <w:spacing w:line="288" w:lineRule="auto"/>
              <w:jc w:val="center"/>
              <w:rPr>
                <w:rFonts w:ascii="仿宋" w:hAnsi="仿宋" w:eastAsia="仿宋" w:cs="仿宋"/>
                <w:spacing w:val="20"/>
                <w:sz w:val="24"/>
              </w:rPr>
            </w:pPr>
            <w:r>
              <w:rPr>
                <w:rFonts w:hint="eastAsia" w:ascii="仿宋" w:hAnsi="仿宋" w:eastAsia="仿宋" w:cs="仿宋"/>
                <w:spacing w:val="20"/>
                <w:sz w:val="24"/>
              </w:rPr>
              <w:t>序号</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spacing w:val="20"/>
                <w:sz w:val="24"/>
              </w:rPr>
            </w:pPr>
            <w:r>
              <w:rPr>
                <w:rFonts w:hint="eastAsia" w:ascii="仿宋" w:hAnsi="仿宋" w:eastAsia="仿宋" w:cs="仿宋"/>
                <w:spacing w:val="20"/>
                <w:sz w:val="24"/>
              </w:rPr>
              <w:t>名称</w:t>
            </w:r>
          </w:p>
        </w:tc>
        <w:tc>
          <w:tcPr>
            <w:tcW w:w="1261" w:type="dxa"/>
            <w:tcBorders>
              <w:left w:val="single" w:color="auto" w:sz="4" w:space="0"/>
            </w:tcBorders>
            <w:vAlign w:val="center"/>
          </w:tcPr>
          <w:p>
            <w:pPr>
              <w:snapToGrid w:val="0"/>
              <w:spacing w:line="288" w:lineRule="auto"/>
              <w:ind w:left="-107" w:leftChars="-51" w:right="-107" w:rightChars="-51"/>
              <w:rPr>
                <w:rFonts w:ascii="仿宋" w:hAnsi="仿宋" w:eastAsia="仿宋" w:cs="仿宋"/>
                <w:spacing w:val="20"/>
                <w:sz w:val="24"/>
              </w:rPr>
            </w:pPr>
            <w:r>
              <w:rPr>
                <w:rFonts w:hint="eastAsia" w:ascii="仿宋" w:hAnsi="仿宋" w:eastAsia="仿宋" w:cs="仿宋"/>
                <w:spacing w:val="20"/>
                <w:sz w:val="24"/>
              </w:rPr>
              <w:t>货物的制造商或服务的提供商</w:t>
            </w:r>
          </w:p>
        </w:tc>
        <w:tc>
          <w:tcPr>
            <w:tcW w:w="900" w:type="dxa"/>
            <w:vAlign w:val="center"/>
          </w:tcPr>
          <w:p>
            <w:pPr>
              <w:snapToGrid w:val="0"/>
              <w:spacing w:line="288" w:lineRule="auto"/>
              <w:ind w:left="-107" w:leftChars="-51" w:right="-107" w:rightChars="-51" w:firstLine="1"/>
              <w:rPr>
                <w:rFonts w:ascii="仿宋" w:hAnsi="仿宋" w:eastAsia="仿宋" w:cs="仿宋"/>
                <w:spacing w:val="20"/>
                <w:sz w:val="24"/>
              </w:rPr>
            </w:pPr>
            <w:r>
              <w:rPr>
                <w:rFonts w:hint="eastAsia" w:ascii="仿宋" w:hAnsi="仿宋" w:eastAsia="仿宋" w:cs="仿宋"/>
                <w:spacing w:val="20"/>
                <w:sz w:val="24"/>
              </w:rPr>
              <w:t>品牌（如有）</w:t>
            </w:r>
          </w:p>
        </w:tc>
        <w:tc>
          <w:tcPr>
            <w:tcW w:w="720" w:type="dxa"/>
            <w:vAlign w:val="center"/>
          </w:tcPr>
          <w:p>
            <w:pPr>
              <w:snapToGrid w:val="0"/>
              <w:spacing w:line="288" w:lineRule="auto"/>
              <w:ind w:left="-107" w:leftChars="-51" w:right="-107" w:rightChars="-51"/>
              <w:jc w:val="center"/>
              <w:rPr>
                <w:rFonts w:ascii="仿宋" w:hAnsi="仿宋" w:eastAsia="仿宋" w:cs="仿宋"/>
                <w:spacing w:val="20"/>
                <w:sz w:val="24"/>
              </w:rPr>
            </w:pPr>
            <w:r>
              <w:rPr>
                <w:rFonts w:hint="eastAsia" w:ascii="仿宋" w:hAnsi="仿宋" w:eastAsia="仿宋" w:cs="仿宋"/>
                <w:spacing w:val="20"/>
                <w:sz w:val="24"/>
              </w:rPr>
              <w:t>数量</w:t>
            </w:r>
          </w:p>
        </w:tc>
        <w:tc>
          <w:tcPr>
            <w:tcW w:w="1440" w:type="dxa"/>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型号和规格</w:t>
            </w:r>
            <w:r>
              <w:rPr>
                <w:rFonts w:hint="eastAsia" w:ascii="仿宋" w:hAnsi="仿宋" w:eastAsia="仿宋" w:cs="仿宋"/>
                <w:b/>
                <w:sz w:val="24"/>
              </w:rPr>
              <w:t>（或具体服务）</w:t>
            </w:r>
          </w:p>
        </w:tc>
        <w:tc>
          <w:tcPr>
            <w:tcW w:w="1080" w:type="dxa"/>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下浮率</w:t>
            </w:r>
          </w:p>
        </w:tc>
        <w:tc>
          <w:tcPr>
            <w:tcW w:w="720" w:type="dxa"/>
            <w:vAlign w:val="center"/>
          </w:tcPr>
          <w:p>
            <w:pPr>
              <w:snapToGrid w:val="0"/>
              <w:spacing w:line="288" w:lineRule="auto"/>
              <w:ind w:left="30" w:leftChars="-51" w:right="-107" w:rightChars="-51" w:hanging="137" w:hangingChars="49"/>
              <w:jc w:val="center"/>
              <w:rPr>
                <w:rFonts w:ascii="仿宋" w:hAnsi="仿宋" w:eastAsia="仿宋" w:cs="仿宋"/>
                <w:spacing w:val="20"/>
                <w:sz w:val="24"/>
              </w:rPr>
            </w:pPr>
            <w:r>
              <w:rPr>
                <w:rFonts w:hint="eastAsia" w:ascii="仿宋" w:hAnsi="仿宋" w:eastAsia="仿宋" w:cs="仿宋"/>
                <w:spacing w:val="20"/>
                <w:sz w:val="24"/>
              </w:rPr>
              <w:t>交货期</w:t>
            </w:r>
          </w:p>
        </w:tc>
        <w:tc>
          <w:tcPr>
            <w:tcW w:w="1078" w:type="dxa"/>
            <w:vAlign w:val="center"/>
          </w:tcPr>
          <w:p>
            <w:pPr>
              <w:tabs>
                <w:tab w:val="left" w:pos="1224"/>
              </w:tabs>
              <w:snapToGrid w:val="0"/>
              <w:spacing w:line="288" w:lineRule="auto"/>
              <w:ind w:right="-107" w:rightChars="-51"/>
              <w:rPr>
                <w:rFonts w:ascii="仿宋" w:hAnsi="仿宋" w:eastAsia="仿宋" w:cs="仿宋"/>
                <w:spacing w:val="20"/>
                <w:sz w:val="24"/>
              </w:rPr>
            </w:pPr>
            <w:r>
              <w:rPr>
                <w:rFonts w:hint="eastAsia" w:ascii="仿宋" w:hAnsi="仿宋" w:eastAsia="仿宋" w:cs="仿宋"/>
                <w:spacing w:val="20"/>
                <w:sz w:val="24"/>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1</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80" w:type="dxa"/>
            <w:tcBorders>
              <w:bottom w:val="nil"/>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vAlign w:val="top"/>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2</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08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vAlign w:val="top"/>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3</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08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vAlign w:val="top"/>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4</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08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vAlign w:val="top"/>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9"/>
            <w:vAlign w:val="center"/>
          </w:tcPr>
          <w:p>
            <w:pPr>
              <w:snapToGrid w:val="0"/>
              <w:spacing w:line="288" w:lineRule="auto"/>
              <w:ind w:right="172" w:rightChars="82" w:firstLine="487" w:firstLineChars="202"/>
              <w:rPr>
                <w:rFonts w:ascii="仿宋" w:hAnsi="仿宋" w:eastAsia="仿宋" w:cs="仿宋"/>
                <w:spacing w:val="20"/>
                <w:sz w:val="24"/>
              </w:rPr>
            </w:pPr>
            <w:r>
              <w:rPr>
                <w:rFonts w:hint="eastAsia" w:ascii="仿宋" w:hAnsi="仿宋" w:eastAsia="仿宋" w:cs="仿宋"/>
                <w:b/>
                <w:sz w:val="24"/>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snapToGrid w:val="0"/>
              <w:spacing w:line="288" w:lineRule="auto"/>
              <w:ind w:right="172" w:rightChars="82"/>
              <w:jc w:val="center"/>
              <w:rPr>
                <w:rFonts w:hint="eastAsia" w:ascii="仿宋" w:hAnsi="仿宋" w:eastAsia="仿宋" w:cs="仿宋"/>
                <w:spacing w:val="20"/>
                <w:sz w:val="24"/>
              </w:rPr>
            </w:pPr>
            <w:r>
              <w:rPr>
                <w:rFonts w:hint="eastAsia" w:ascii="仿宋" w:hAnsi="仿宋" w:eastAsia="仿宋" w:cs="仿宋"/>
                <w:spacing w:val="20"/>
                <w:sz w:val="24"/>
              </w:rPr>
              <w:t>投标</w:t>
            </w:r>
          </w:p>
          <w:p>
            <w:pPr>
              <w:snapToGrid w:val="0"/>
              <w:spacing w:line="288" w:lineRule="auto"/>
              <w:ind w:right="172" w:rightChars="82"/>
              <w:jc w:val="center"/>
              <w:rPr>
                <w:rFonts w:ascii="仿宋" w:hAnsi="仿宋" w:eastAsia="仿宋" w:cs="仿宋"/>
                <w:spacing w:val="20"/>
                <w:sz w:val="24"/>
              </w:rPr>
            </w:pPr>
            <w:r>
              <w:rPr>
                <w:rFonts w:hint="eastAsia" w:ascii="仿宋" w:hAnsi="仿宋" w:eastAsia="仿宋" w:cs="仿宋"/>
                <w:spacing w:val="20"/>
                <w:sz w:val="24"/>
              </w:rPr>
              <w:t>下浮率</w:t>
            </w:r>
          </w:p>
        </w:tc>
        <w:tc>
          <w:tcPr>
            <w:tcW w:w="7199" w:type="dxa"/>
            <w:gridSpan w:val="7"/>
            <w:tcBorders>
              <w:left w:val="single" w:color="auto" w:sz="4" w:space="0"/>
              <w:bottom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p>
        </w:tc>
        <w:tc>
          <w:tcPr>
            <w:tcW w:w="7199" w:type="dxa"/>
            <w:gridSpan w:val="7"/>
            <w:tcBorders>
              <w:top w:val="single" w:color="auto" w:sz="4" w:space="0"/>
              <w:left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大写：</w:t>
            </w:r>
          </w:p>
        </w:tc>
      </w:tr>
    </w:tbl>
    <w:p>
      <w:pPr>
        <w:snapToGrid w:val="0"/>
        <w:spacing w:line="288" w:lineRule="auto"/>
        <w:jc w:val="left"/>
        <w:rPr>
          <w:rFonts w:ascii="仿宋" w:hAnsi="仿宋" w:eastAsia="仿宋" w:cs="仿宋"/>
          <w:sz w:val="24"/>
        </w:rPr>
      </w:pPr>
      <w:r>
        <w:rPr>
          <w:rFonts w:hint="eastAsia" w:ascii="仿宋" w:hAnsi="仿宋" w:eastAsia="仿宋" w:cs="仿宋"/>
          <w:sz w:val="24"/>
        </w:rPr>
        <w:t>注: 1.报价一经涂改，应在涂改处加盖单位公章或者由法定代表人或其授权代表签字或盖章，否则其投标作无效投标处理。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spacing w:line="288" w:lineRule="auto"/>
        <w:ind w:left="-2" w:firstLine="480" w:firstLineChars="200"/>
        <w:rPr>
          <w:rFonts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spacing w:line="288" w:lineRule="auto"/>
        <w:ind w:left="480"/>
        <w:rPr>
          <w:rFonts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spacing w:line="288" w:lineRule="auto"/>
        <w:ind w:firstLine="480" w:firstLineChars="200"/>
        <w:jc w:val="left"/>
        <w:rPr>
          <w:rFonts w:ascii="仿宋" w:hAnsi="仿宋" w:eastAsia="仿宋" w:cs="仿宋"/>
          <w:b/>
          <w:sz w:val="24"/>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spacing w:line="288" w:lineRule="auto"/>
        <w:ind w:firstLine="482" w:firstLineChars="200"/>
        <w:rPr>
          <w:rFonts w:ascii="仿宋" w:hAnsi="仿宋" w:eastAsia="仿宋" w:cs="仿宋"/>
          <w:kern w:val="0"/>
          <w:sz w:val="24"/>
          <w:lang w:val="zh-CN"/>
        </w:rPr>
      </w:pPr>
      <w:r>
        <w:rPr>
          <w:rFonts w:hint="eastAsia" w:ascii="仿宋" w:hAnsi="仿宋" w:eastAsia="仿宋" w:cs="仿宋"/>
          <w:b/>
          <w:sz w:val="24"/>
        </w:rPr>
        <w:t>6、</w:t>
      </w:r>
      <w:r>
        <w:rPr>
          <w:rFonts w:hint="eastAsia" w:ascii="仿宋" w:hAnsi="仿宋" w:eastAsia="仿宋" w:cs="仿宋"/>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cs="仿宋"/>
          <w:b/>
          <w:sz w:val="24"/>
        </w:rPr>
        <w:t>投标人应如实填写是否可享受价格扣除，否则投标价格不可享受价格扣除。</w:t>
      </w:r>
    </w:p>
    <w:p>
      <w:pPr>
        <w:snapToGrid w:val="0"/>
        <w:spacing w:line="288" w:lineRule="auto"/>
        <w:ind w:firstLine="482" w:firstLineChars="200"/>
        <w:jc w:val="left"/>
        <w:rPr>
          <w:rFonts w:ascii="仿宋" w:hAnsi="仿宋" w:eastAsia="仿宋" w:cs="仿宋"/>
          <w:b/>
          <w:kern w:val="0"/>
          <w:sz w:val="24"/>
          <w:lang w:val="zh-CN"/>
        </w:rPr>
      </w:pPr>
      <w:r>
        <w:rPr>
          <w:rFonts w:hint="eastAsia" w:ascii="仿宋" w:hAnsi="仿宋" w:eastAsia="仿宋" w:cs="仿宋"/>
          <w:b/>
          <w:kern w:val="0"/>
          <w:sz w:val="24"/>
          <w:lang w:val="zh-CN"/>
        </w:rPr>
        <w:t>7.特别提示：采购代理机构将对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288" w:lineRule="auto"/>
        <w:ind w:right="-817" w:rightChars="-389"/>
        <w:rPr>
          <w:rFonts w:ascii="仿宋" w:hAnsi="仿宋" w:eastAsia="仿宋" w:cs="仿宋"/>
          <w:sz w:val="24"/>
        </w:rPr>
      </w:pPr>
    </w:p>
    <w:p>
      <w:pPr>
        <w:spacing w:line="288" w:lineRule="auto"/>
        <w:ind w:right="-817" w:rightChars="-389"/>
        <w:rPr>
          <w:rFonts w:ascii="仿宋" w:hAnsi="仿宋" w:eastAsia="仿宋" w:cs="仿宋"/>
          <w:sz w:val="24"/>
        </w:rPr>
      </w:pPr>
      <w:r>
        <w:rPr>
          <w:rFonts w:hint="eastAsia" w:ascii="仿宋" w:hAnsi="仿宋" w:eastAsia="仿宋" w:cs="仿宋"/>
          <w:sz w:val="24"/>
        </w:rPr>
        <w:t>投标人名称(电子签章)：</w:t>
      </w:r>
    </w:p>
    <w:p>
      <w:pPr>
        <w:spacing w:line="288" w:lineRule="auto"/>
        <w:jc w:val="center"/>
        <w:outlineLvl w:val="0"/>
        <w:rPr>
          <w:rFonts w:ascii="仿宋" w:hAnsi="仿宋" w:eastAsia="仿宋" w:cs="仿宋"/>
          <w:sz w:val="24"/>
        </w:rPr>
      </w:pPr>
    </w:p>
    <w:p>
      <w:pPr>
        <w:spacing w:line="288" w:lineRule="auto"/>
        <w:outlineLvl w:val="0"/>
        <w:rPr>
          <w:rFonts w:ascii="仿宋" w:hAnsi="仿宋" w:eastAsia="仿宋" w:cs="仿宋"/>
          <w:sz w:val="24"/>
        </w:rPr>
      </w:pPr>
      <w:r>
        <w:rPr>
          <w:rFonts w:hint="eastAsia" w:ascii="仿宋" w:hAnsi="仿宋" w:eastAsia="仿宋" w:cs="仿宋"/>
          <w:sz w:val="24"/>
        </w:rPr>
        <w:t xml:space="preserve">法定代表人或其授权代表（签字或盖章）：            </w:t>
      </w:r>
    </w:p>
    <w:p>
      <w:pPr>
        <w:spacing w:line="288" w:lineRule="auto"/>
        <w:outlineLvl w:val="0"/>
        <w:rPr>
          <w:rFonts w:ascii="仿宋" w:hAnsi="仿宋" w:eastAsia="仿宋" w:cs="仿宋"/>
          <w:sz w:val="24"/>
        </w:rPr>
      </w:pPr>
    </w:p>
    <w:p>
      <w:pPr>
        <w:spacing w:line="288" w:lineRule="auto"/>
        <w:ind w:right="420" w:firstLine="5520" w:firstLineChars="2300"/>
        <w:jc w:val="right"/>
        <w:rPr>
          <w:rFonts w:ascii="仿宋" w:hAnsi="仿宋" w:eastAsia="仿宋" w:cs="仿宋"/>
          <w:sz w:val="24"/>
        </w:rPr>
      </w:pPr>
      <w:r>
        <w:rPr>
          <w:rFonts w:hint="eastAsia" w:ascii="仿宋" w:hAnsi="仿宋" w:eastAsia="仿宋" w:cs="仿宋"/>
          <w:sz w:val="24"/>
        </w:rPr>
        <w:t>日期： 年  月  日</w:t>
      </w:r>
    </w:p>
    <w:p>
      <w:pPr>
        <w:pageBreakBefore/>
        <w:rPr>
          <w:rFonts w:ascii="FangSong_GB2312" w:hAnsi="FangSong_GB2312" w:eastAsia="FangSong_GB2312" w:cs="FangSong_GB2312"/>
          <w:b/>
          <w:sz w:val="32"/>
          <w:szCs w:val="32"/>
        </w:rPr>
      </w:pPr>
      <w:r>
        <w:rPr>
          <w:rFonts w:hint="eastAsia" w:ascii="FangSong_GB2312" w:eastAsia="FangSong_GB2312"/>
          <w:b/>
          <w:sz w:val="32"/>
          <w:szCs w:val="32"/>
        </w:rPr>
        <w:t>3、中小企业声明函</w:t>
      </w:r>
    </w:p>
    <w:p>
      <w:pPr>
        <w:rPr>
          <w:rFonts w:ascii="FangSong_GB2312" w:eastAsia="FangSong_GB2312"/>
        </w:rPr>
      </w:pPr>
    </w:p>
    <w:p>
      <w:pPr>
        <w:ind w:firstLine="480" w:firstLineChars="200"/>
        <w:rPr>
          <w:rFonts w:ascii="仿宋" w:hAnsi="仿宋" w:eastAsia="仿宋" w:cs="FangSong_GB2312"/>
          <w:sz w:val="24"/>
        </w:rPr>
      </w:pPr>
      <w:r>
        <w:rPr>
          <w:rFonts w:hint="eastAsia" w:ascii="仿宋" w:hAnsi="仿宋" w:eastAsia="仿宋" w:cs="FangSong_GB2312"/>
          <w:sz w:val="24"/>
        </w:rPr>
        <w:t>本公司郑重声明，根据《政府采购促进中小企业发展暂行办法》（财库[2011]181号）的规定，本公司为</w:t>
      </w:r>
      <w:r>
        <w:rPr>
          <w:rFonts w:hint="eastAsia" w:ascii="仿宋" w:hAnsi="仿宋" w:eastAsia="仿宋" w:cs="FangSong_GB2312"/>
          <w:sz w:val="24"/>
          <w:u w:val="single"/>
        </w:rPr>
        <w:t xml:space="preserve">      （请填写：中型、小型、微型）</w:t>
      </w:r>
      <w:r>
        <w:rPr>
          <w:rFonts w:hint="eastAsia" w:ascii="仿宋" w:hAnsi="仿宋" w:eastAsia="仿宋" w:cs="FangSong_GB2312"/>
          <w:sz w:val="24"/>
        </w:rPr>
        <w:t>企业。即，本公司同时满足以下条件：</w:t>
      </w:r>
    </w:p>
    <w:p>
      <w:pPr>
        <w:rPr>
          <w:rFonts w:ascii="仿宋" w:hAnsi="仿宋" w:eastAsia="仿宋" w:cs="FangSong_GB2312"/>
          <w:sz w:val="24"/>
        </w:rPr>
      </w:pPr>
    </w:p>
    <w:p>
      <w:pPr>
        <w:pStyle w:val="70"/>
        <w:widowControl/>
        <w:numPr>
          <w:ilvl w:val="0"/>
          <w:numId w:val="9"/>
        </w:numPr>
        <w:adjustRightInd/>
        <w:spacing w:line="240" w:lineRule="auto"/>
        <w:ind w:firstLineChars="0"/>
        <w:rPr>
          <w:rFonts w:ascii="仿宋" w:hAnsi="仿宋" w:eastAsia="仿宋" w:cs="FangSong_GB2312"/>
        </w:rPr>
      </w:pPr>
      <w:r>
        <w:rPr>
          <w:rFonts w:hint="eastAsia" w:ascii="仿宋" w:hAnsi="仿宋" w:eastAsia="仿宋" w:cs="FangSong_GB2312"/>
        </w:rPr>
        <w:t>根据《工业和信息化部、国家统计局、国家发展和改革委员会、财政部关于印发中小企业划型标准规定的通知》（工信部联企业[2011]300号）规定的划分标准，本公司为</w:t>
      </w:r>
      <w:r>
        <w:rPr>
          <w:rFonts w:hint="eastAsia" w:ascii="仿宋" w:hAnsi="仿宋" w:eastAsia="仿宋" w:cs="FangSong_GB2312"/>
          <w:u w:val="single"/>
        </w:rPr>
        <w:t xml:space="preserve">   （请填写：中型、小型、微型）</w:t>
      </w:r>
      <w:r>
        <w:rPr>
          <w:rFonts w:hint="eastAsia" w:ascii="仿宋" w:hAnsi="仿宋" w:eastAsia="仿宋" w:cs="FangSong_GB2312"/>
        </w:rPr>
        <w:t>企业。</w:t>
      </w:r>
    </w:p>
    <w:p>
      <w:pPr>
        <w:pStyle w:val="70"/>
        <w:widowControl/>
        <w:numPr>
          <w:ilvl w:val="0"/>
          <w:numId w:val="9"/>
        </w:numPr>
        <w:adjustRightInd/>
        <w:spacing w:line="240" w:lineRule="auto"/>
        <w:ind w:firstLineChars="0"/>
        <w:rPr>
          <w:rFonts w:ascii="仿宋" w:hAnsi="仿宋" w:eastAsia="仿宋" w:cs="FangSong_GB2312"/>
        </w:rPr>
      </w:pPr>
      <w:r>
        <w:rPr>
          <w:rFonts w:hint="eastAsia" w:ascii="仿宋" w:hAnsi="仿宋" w:eastAsia="仿宋" w:cs="FangSong_GB2312"/>
        </w:rPr>
        <w:t>本公司参加</w:t>
      </w:r>
      <w:r>
        <w:rPr>
          <w:rFonts w:hint="eastAsia" w:ascii="仿宋" w:hAnsi="仿宋" w:eastAsia="仿宋" w:cs="FangSong_GB2312"/>
          <w:u w:val="single"/>
        </w:rPr>
        <w:t>绍兴市人民检察院</w:t>
      </w:r>
      <w:r>
        <w:rPr>
          <w:rFonts w:hint="eastAsia" w:ascii="仿宋" w:hAnsi="仿宋" w:eastAsia="仿宋" w:cs="FangSong_GB2312"/>
        </w:rPr>
        <w:t>的</w:t>
      </w:r>
      <w:r>
        <w:rPr>
          <w:rFonts w:hint="eastAsia" w:ascii="仿宋" w:hAnsi="仿宋" w:eastAsia="仿宋" w:cs="FangSong_GB2312"/>
          <w:u w:val="single"/>
        </w:rPr>
        <w:t>档案整理及数字化服务采购项目</w:t>
      </w:r>
      <w:r>
        <w:rPr>
          <w:rFonts w:hint="eastAsia" w:ascii="仿宋" w:hAnsi="仿宋" w:eastAsia="仿宋" w:cs="FangSong_GB2312"/>
        </w:rPr>
        <w:t xml:space="preserve">采购活动提供本企业制造的货物，由本企业承担工程、提供服务，或者提供其他 </w:t>
      </w:r>
      <w:r>
        <w:rPr>
          <w:rFonts w:hint="eastAsia" w:ascii="仿宋" w:hAnsi="仿宋" w:eastAsia="仿宋" w:cs="FangSong_GB2312"/>
          <w:u w:val="single"/>
        </w:rPr>
        <w:t xml:space="preserve">        （请填写：中型、小型、微型）</w:t>
      </w:r>
      <w:r>
        <w:rPr>
          <w:rFonts w:hint="eastAsia" w:ascii="仿宋" w:hAnsi="仿宋" w:eastAsia="仿宋" w:cs="FangSong_GB2312"/>
        </w:rPr>
        <w:t>企业制造的货物。本条所称货物不包括使用大型企业注册商标的货物。</w:t>
      </w:r>
    </w:p>
    <w:p>
      <w:pPr>
        <w:ind w:firstLine="480" w:firstLineChars="200"/>
        <w:rPr>
          <w:rFonts w:ascii="仿宋" w:hAnsi="仿宋" w:eastAsia="仿宋" w:cs="FangSong_GB2312"/>
          <w:sz w:val="24"/>
        </w:rPr>
      </w:pPr>
      <w:r>
        <w:rPr>
          <w:rFonts w:hint="eastAsia" w:ascii="仿宋" w:hAnsi="仿宋" w:eastAsia="仿宋" w:cs="FangSong_GB2312"/>
          <w:sz w:val="24"/>
        </w:rPr>
        <w:t>本公司对上述声明的真实性负责。如有虚假，将依法承担相应责任。</w:t>
      </w:r>
    </w:p>
    <w:p>
      <w:pPr>
        <w:jc w:val="right"/>
        <w:rPr>
          <w:rFonts w:ascii="FangSong_GB2312" w:hAnsi="FangSong_GB2312" w:eastAsia="FangSong_GB2312" w:cs="FangSong_GB2312"/>
          <w:sz w:val="24"/>
        </w:rPr>
      </w:pPr>
    </w:p>
    <w:p>
      <w:pPr>
        <w:ind w:right="420" w:firstLine="5880" w:firstLineChars="2450"/>
        <w:rPr>
          <w:rFonts w:ascii="仿宋" w:hAnsi="仿宋" w:eastAsia="仿宋" w:cs="FangSong_GB2312"/>
          <w:sz w:val="24"/>
        </w:rPr>
      </w:pPr>
    </w:p>
    <w:p>
      <w:pPr>
        <w:ind w:right="420" w:firstLine="5880" w:firstLineChars="2450"/>
        <w:rPr>
          <w:rFonts w:ascii="仿宋" w:hAnsi="仿宋" w:eastAsia="仿宋" w:cs="FangSong_GB2312"/>
          <w:sz w:val="24"/>
        </w:rPr>
      </w:pPr>
    </w:p>
    <w:p>
      <w:pPr>
        <w:ind w:right="420" w:firstLine="5880" w:firstLineChars="2450"/>
        <w:jc w:val="right"/>
        <w:rPr>
          <w:rFonts w:ascii="仿宋" w:hAnsi="仿宋" w:eastAsia="仿宋" w:cs="FangSong_GB2312"/>
          <w:sz w:val="24"/>
        </w:rPr>
      </w:pPr>
      <w:r>
        <w:rPr>
          <w:rFonts w:hint="eastAsia" w:ascii="仿宋" w:hAnsi="仿宋" w:eastAsia="仿宋" w:cs="FangSong_GB2312"/>
          <w:sz w:val="24"/>
        </w:rPr>
        <w:t xml:space="preserve">声明企业（盖章）： </w:t>
      </w:r>
    </w:p>
    <w:p>
      <w:pPr>
        <w:ind w:right="420"/>
        <w:jc w:val="right"/>
        <w:rPr>
          <w:rFonts w:ascii="仿宋" w:hAnsi="仿宋" w:eastAsia="仿宋"/>
        </w:rPr>
      </w:pPr>
      <w:r>
        <w:rPr>
          <w:rFonts w:hint="eastAsia" w:ascii="仿宋" w:hAnsi="仿宋" w:eastAsia="仿宋" w:cs="FangSong_GB2312"/>
          <w:sz w:val="24"/>
        </w:rPr>
        <w:t xml:space="preserve">日期：   年     月 </w:t>
      </w:r>
      <w:r>
        <w:rPr>
          <w:rFonts w:hint="eastAsia" w:ascii="仿宋" w:hAnsi="仿宋" w:eastAsia="仿宋"/>
        </w:rPr>
        <w:t xml:space="preserve">    日</w:t>
      </w:r>
    </w:p>
    <w:p>
      <w:pPr>
        <w:rPr>
          <w:rFonts w:ascii="仿宋" w:hAnsi="仿宋" w:eastAsia="仿宋"/>
        </w:rPr>
      </w:pPr>
    </w:p>
    <w:p>
      <w:pPr>
        <w:rPr>
          <w:rFonts w:ascii="仿宋" w:hAnsi="仿宋" w:eastAsia="仿宋" w:cs="FangSong_GB2312"/>
          <w:sz w:val="24"/>
        </w:rPr>
      </w:pPr>
      <w:r>
        <w:rPr>
          <w:rFonts w:hint="eastAsia" w:ascii="仿宋" w:hAnsi="仿宋" w:eastAsia="仿宋" w:cs="FangSong_GB2312"/>
          <w:sz w:val="24"/>
        </w:rPr>
        <w:t>注：</w:t>
      </w:r>
    </w:p>
    <w:p>
      <w:pPr>
        <w:rPr>
          <w:rFonts w:ascii="仿宋" w:hAnsi="仿宋" w:eastAsia="仿宋" w:cs="FangSong_GB2312"/>
          <w:sz w:val="24"/>
        </w:rPr>
      </w:pPr>
      <w:r>
        <w:rPr>
          <w:rFonts w:hint="eastAsia" w:ascii="仿宋" w:hAnsi="仿宋" w:eastAsia="仿宋" w:cs="FangSong_GB2312"/>
          <w:sz w:val="24"/>
        </w:rPr>
        <w:t>1、投标人提供的中小企业声明函与实际情况不符的，视为投标人提供虚假材料投标的，投标无效。</w:t>
      </w:r>
    </w:p>
    <w:p>
      <w:pPr>
        <w:rPr>
          <w:rFonts w:ascii="仿宋" w:hAnsi="仿宋" w:eastAsia="仿宋" w:cs="FangSong_GB2312"/>
          <w:sz w:val="24"/>
        </w:rPr>
      </w:pPr>
      <w:r>
        <w:rPr>
          <w:rFonts w:hint="eastAsia" w:ascii="仿宋" w:hAnsi="仿宋" w:eastAsia="仿宋" w:cs="FangSong_GB2312"/>
          <w:sz w:val="24"/>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企业所有从业人员社保缴纳凭证等相关证明材料进行证明。</w:t>
      </w:r>
    </w:p>
    <w:p>
      <w:pPr>
        <w:rPr>
          <w:rFonts w:ascii="仿宋" w:hAnsi="仿宋" w:eastAsia="仿宋" w:cs="FangSong_GB2312"/>
          <w:sz w:val="24"/>
        </w:rPr>
      </w:pPr>
      <w:r>
        <w:rPr>
          <w:rFonts w:hint="eastAsia" w:ascii="仿宋" w:hAnsi="仿宋" w:eastAsia="仿宋" w:cs="FangSong_GB2312"/>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pacing w:line="288" w:lineRule="auto"/>
        <w:rPr>
          <w:rFonts w:ascii="仿宋" w:hAnsi="仿宋" w:eastAsia="仿宋" w:cs="仿宋"/>
          <w:b/>
          <w:spacing w:val="6"/>
          <w:sz w:val="32"/>
          <w:szCs w:val="32"/>
        </w:rPr>
      </w:pPr>
      <w:r>
        <w:rPr>
          <w:rFonts w:hint="eastAsia" w:ascii="仿宋" w:hAnsi="仿宋" w:eastAsia="仿宋" w:cs="仿宋"/>
          <w:b/>
          <w:spacing w:val="6"/>
          <w:sz w:val="32"/>
          <w:szCs w:val="32"/>
        </w:rPr>
        <w:t>4、残疾人福利性单位声明函</w:t>
      </w:r>
    </w:p>
    <w:p>
      <w:pPr>
        <w:spacing w:line="288" w:lineRule="auto"/>
        <w:rPr>
          <w:rFonts w:ascii="仿宋" w:hAnsi="仿宋" w:eastAsia="仿宋" w:cs="仿宋"/>
          <w:b/>
          <w:spacing w:val="6"/>
          <w:sz w:val="30"/>
          <w:szCs w:val="30"/>
        </w:rPr>
      </w:pPr>
    </w:p>
    <w:p>
      <w:pPr>
        <w:spacing w:line="288"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sz w:val="24"/>
          <w:u w:val="single"/>
        </w:rPr>
        <w:t>绍兴市人民检察院</w:t>
      </w:r>
      <w:r>
        <w:rPr>
          <w:rFonts w:hint="eastAsia" w:ascii="仿宋" w:hAnsi="仿宋" w:eastAsia="仿宋" w:cs="仿宋"/>
          <w:sz w:val="24"/>
        </w:rPr>
        <w:t>的</w:t>
      </w:r>
      <w:r>
        <w:rPr>
          <w:rFonts w:hint="eastAsia" w:ascii="仿宋" w:hAnsi="仿宋" w:eastAsia="仿宋" w:cs="仿宋"/>
          <w:sz w:val="24"/>
          <w:u w:val="single"/>
        </w:rPr>
        <w:t>档案整理及数字化服务采购项目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288"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288" w:lineRule="auto"/>
        <w:ind w:firstLine="480" w:firstLineChars="200"/>
        <w:rPr>
          <w:rFonts w:ascii="仿宋" w:hAnsi="仿宋" w:eastAsia="仿宋" w:cs="仿宋"/>
          <w:sz w:val="24"/>
        </w:rPr>
      </w:pPr>
    </w:p>
    <w:p>
      <w:pPr>
        <w:spacing w:line="288" w:lineRule="auto"/>
        <w:ind w:firstLine="480" w:firstLineChars="200"/>
        <w:rPr>
          <w:rFonts w:ascii="仿宋" w:hAnsi="仿宋" w:eastAsia="仿宋" w:cs="仿宋"/>
          <w:sz w:val="24"/>
        </w:rPr>
      </w:pPr>
    </w:p>
    <w:p>
      <w:pPr>
        <w:tabs>
          <w:tab w:val="left" w:pos="4860"/>
        </w:tabs>
        <w:spacing w:line="288" w:lineRule="auto"/>
        <w:ind w:right="1560"/>
        <w:rPr>
          <w:rFonts w:ascii="仿宋" w:hAnsi="仿宋" w:eastAsia="仿宋" w:cs="仿宋"/>
          <w:sz w:val="24"/>
        </w:rPr>
      </w:pPr>
      <w:r>
        <w:rPr>
          <w:rFonts w:hint="eastAsia" w:ascii="仿宋" w:hAnsi="仿宋" w:eastAsia="仿宋" w:cs="仿宋"/>
          <w:sz w:val="24"/>
        </w:rPr>
        <w:t>单位名称(电子签章)：</w:t>
      </w:r>
    </w:p>
    <w:p>
      <w:pPr>
        <w:spacing w:line="288" w:lineRule="auto"/>
        <w:ind w:right="420" w:firstLine="5520" w:firstLineChars="2300"/>
        <w:jc w:val="center"/>
        <w:rPr>
          <w:rFonts w:ascii="仿宋" w:hAnsi="仿宋" w:eastAsia="仿宋" w:cs="仿宋"/>
          <w:sz w:val="24"/>
        </w:rPr>
      </w:pPr>
      <w:r>
        <w:rPr>
          <w:rFonts w:hint="eastAsia" w:ascii="仿宋" w:hAnsi="仿宋" w:eastAsia="仿宋" w:cs="仿宋"/>
          <w:sz w:val="24"/>
        </w:rPr>
        <w:t>日期： 年  月  日</w:t>
      </w:r>
    </w:p>
    <w:p>
      <w:pPr>
        <w:tabs>
          <w:tab w:val="left" w:pos="4860"/>
        </w:tabs>
        <w:spacing w:line="288" w:lineRule="auto"/>
        <w:ind w:right="1560" w:firstLine="480" w:firstLineChars="200"/>
        <w:jc w:val="center"/>
        <w:rPr>
          <w:rFonts w:ascii="仿宋" w:hAnsi="仿宋" w:eastAsia="仿宋" w:cs="仿宋"/>
          <w:sz w:val="24"/>
        </w:rPr>
      </w:pPr>
    </w:p>
    <w:p>
      <w:pPr>
        <w:spacing w:line="288" w:lineRule="auto"/>
        <w:ind w:firstLine="480" w:firstLineChars="200"/>
        <w:rPr>
          <w:rFonts w:ascii="仿宋" w:hAnsi="仿宋" w:eastAsia="仿宋" w:cs="仿宋"/>
          <w:sz w:val="24"/>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pageBreakBefore/>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71"/>
        <w:spacing w:line="288" w:lineRule="auto"/>
        <w:ind w:left="0" w:firstLine="0" w:firstLineChars="0"/>
        <w:rPr>
          <w:rFonts w:ascii="仿宋" w:eastAsia="仿宋" w:cs="仿宋"/>
        </w:rPr>
      </w:pPr>
      <w:r>
        <w:rPr>
          <w:rFonts w:hint="eastAsia" w:ascii="仿宋" w:eastAsia="仿宋" w:cs="仿宋"/>
        </w:rPr>
        <w:t>（1）法定代表人授权书 ………………………………………………………………（页码）</w:t>
      </w:r>
    </w:p>
    <w:p>
      <w:pPr>
        <w:pStyle w:val="71"/>
        <w:spacing w:line="288" w:lineRule="auto"/>
        <w:ind w:left="0" w:firstLine="0" w:firstLineChars="0"/>
        <w:rPr>
          <w:rFonts w:ascii="仿宋" w:eastAsia="仿宋" w:cs="仿宋"/>
        </w:rPr>
      </w:pPr>
      <w:r>
        <w:rPr>
          <w:rFonts w:hint="eastAsia" w:ascii="仿宋" w:eastAsia="仿宋" w:cs="仿宋"/>
        </w:rPr>
        <w:t>（2）授权代表社保证明（复印件）…………………………………………………（页码）</w:t>
      </w:r>
    </w:p>
    <w:p>
      <w:pPr>
        <w:pStyle w:val="71"/>
        <w:spacing w:line="288" w:lineRule="auto"/>
        <w:ind w:left="0" w:firstLine="0" w:firstLineChars="0"/>
        <w:rPr>
          <w:rFonts w:ascii="仿宋" w:eastAsia="仿宋" w:cs="仿宋"/>
        </w:rPr>
      </w:pPr>
      <w:r>
        <w:rPr>
          <w:rFonts w:hint="eastAsia" w:ascii="仿宋" w:eastAsia="仿宋" w:cs="仿宋"/>
        </w:rPr>
        <w:t>（3）法定代表人及其授权代表的身份证（复印件）………………………………（页码）</w:t>
      </w:r>
    </w:p>
    <w:p>
      <w:pPr>
        <w:pStyle w:val="71"/>
        <w:spacing w:line="288" w:lineRule="auto"/>
        <w:ind w:left="0" w:firstLine="0" w:firstLineChars="0"/>
        <w:rPr>
          <w:rFonts w:ascii="仿宋" w:eastAsia="仿宋" w:cs="仿宋"/>
        </w:rPr>
      </w:pPr>
      <w:r>
        <w:rPr>
          <w:rFonts w:hint="eastAsia" w:ascii="仿宋" w:eastAsia="仿宋" w:cs="仿宋"/>
        </w:rPr>
        <w:t>（4）法定代表人身份证明书…………………………………………………………（页码）</w:t>
      </w:r>
    </w:p>
    <w:p>
      <w:pPr>
        <w:spacing w:line="288" w:lineRule="auto"/>
        <w:outlineLvl w:val="0"/>
        <w:rPr>
          <w:rFonts w:ascii="仿宋" w:hAnsi="仿宋" w:eastAsia="仿宋" w:cs="仿宋"/>
          <w:sz w:val="24"/>
        </w:rPr>
      </w:pPr>
      <w:r>
        <w:rPr>
          <w:rFonts w:hint="eastAsia" w:ascii="仿宋" w:hAnsi="仿宋" w:eastAsia="仿宋" w:cs="仿宋"/>
          <w:sz w:val="24"/>
        </w:rPr>
        <w:t>（5）营业执照(或事业法人登记证或其他登记证明材料)复印件…………………</w:t>
      </w:r>
      <w:r>
        <w:rPr>
          <w:rFonts w:hint="eastAsia" w:ascii="仿宋" w:hAnsi="仿宋" w:eastAsia="仿宋" w:cs="仿宋"/>
          <w:kern w:val="0"/>
          <w:sz w:val="24"/>
        </w:rPr>
        <w:t>（页码）</w:t>
      </w:r>
    </w:p>
    <w:p>
      <w:pPr>
        <w:snapToGrid w:val="0"/>
        <w:spacing w:line="288" w:lineRule="auto"/>
        <w:rPr>
          <w:rFonts w:ascii="仿宋" w:hAnsi="仿宋" w:eastAsia="仿宋" w:cs="仿宋"/>
          <w:sz w:val="24"/>
        </w:rPr>
      </w:pPr>
      <w:r>
        <w:rPr>
          <w:rFonts w:hint="eastAsia" w:ascii="仿宋" w:hAnsi="仿宋" w:eastAsia="仿宋" w:cs="仿宋"/>
          <w:sz w:val="24"/>
        </w:rPr>
        <w:t>（6）2019年度资产负债表等财务报表资料文件(新成立的公司，提供情况说明)……………………………………………………………………………………</w:t>
      </w:r>
      <w:r>
        <w:rPr>
          <w:rFonts w:hint="eastAsia" w:ascii="仿宋" w:hAnsi="仿宋" w:eastAsia="仿宋" w:cs="仿宋"/>
        </w:rPr>
        <w:t>（</w:t>
      </w:r>
      <w:r>
        <w:rPr>
          <w:rFonts w:hint="eastAsia" w:ascii="仿宋" w:hAnsi="仿宋" w:eastAsia="仿宋" w:cs="仿宋"/>
          <w:kern w:val="0"/>
          <w:sz w:val="24"/>
        </w:rPr>
        <w:t>页码）</w:t>
      </w:r>
    </w:p>
    <w:p>
      <w:pPr>
        <w:snapToGrid w:val="0"/>
        <w:spacing w:line="288" w:lineRule="auto"/>
        <w:rPr>
          <w:rFonts w:ascii="仿宋" w:hAnsi="仿宋" w:eastAsia="仿宋" w:cs="仿宋"/>
          <w:kern w:val="0"/>
          <w:sz w:val="24"/>
        </w:rPr>
      </w:pPr>
      <w:r>
        <w:rPr>
          <w:rFonts w:hint="eastAsia" w:ascii="仿宋" w:hAnsi="仿宋" w:eastAsia="仿宋" w:cs="仿宋"/>
          <w:sz w:val="24"/>
        </w:rPr>
        <w:t>（7）具有履</w:t>
      </w:r>
      <w:r>
        <w:rPr>
          <w:rFonts w:hint="eastAsia" w:ascii="仿宋" w:hAnsi="仿宋" w:eastAsia="仿宋" w:cs="仿宋"/>
          <w:kern w:val="0"/>
          <w:sz w:val="24"/>
        </w:rPr>
        <w:t>行合同所必需的设备和专业技术能力的承诺函……</w:t>
      </w:r>
      <w:r>
        <w:rPr>
          <w:rFonts w:hint="eastAsia" w:ascii="仿宋" w:hAnsi="仿宋" w:eastAsia="仿宋" w:cs="仿宋"/>
          <w:sz w:val="24"/>
        </w:rPr>
        <w:t>…………………</w:t>
      </w:r>
      <w:r>
        <w:rPr>
          <w:rFonts w:hint="eastAsia" w:ascii="仿宋" w:hAnsi="仿宋" w:eastAsia="仿宋" w:cs="仿宋"/>
          <w:kern w:val="0"/>
          <w:sz w:val="24"/>
        </w:rPr>
        <w:t>（页码）</w:t>
      </w:r>
    </w:p>
    <w:p>
      <w:pPr>
        <w:pStyle w:val="71"/>
        <w:spacing w:line="288" w:lineRule="auto"/>
        <w:ind w:firstLine="0" w:firstLineChars="0"/>
        <w:rPr>
          <w:rFonts w:ascii="仿宋" w:eastAsia="仿宋" w:cs="仿宋"/>
          <w:kern w:val="0"/>
        </w:rPr>
      </w:pPr>
      <w:r>
        <w:rPr>
          <w:rFonts w:hint="eastAsia" w:ascii="仿宋" w:eastAsia="仿宋" w:cs="仿宋"/>
        </w:rPr>
        <w:t>（8）重大违法记录的声明</w:t>
      </w:r>
      <w:r>
        <w:rPr>
          <w:rFonts w:hint="eastAsia" w:ascii="仿宋" w:eastAsia="仿宋" w:cs="仿宋"/>
          <w:kern w:val="0"/>
        </w:rPr>
        <w:t xml:space="preserve"> …</w:t>
      </w:r>
      <w:r>
        <w:rPr>
          <w:rFonts w:hint="eastAsia" w:ascii="仿宋" w:eastAsia="仿宋" w:cs="仿宋"/>
        </w:rPr>
        <w:t>………………………………………………………</w:t>
      </w:r>
      <w:r>
        <w:rPr>
          <w:rFonts w:hint="eastAsia" w:ascii="仿宋" w:eastAsia="仿宋" w:cs="仿宋"/>
          <w:kern w:val="0"/>
        </w:rPr>
        <w:t>（页码）</w:t>
      </w:r>
    </w:p>
    <w:p>
      <w:pPr>
        <w:pStyle w:val="71"/>
        <w:spacing w:line="288" w:lineRule="auto"/>
        <w:ind w:firstLine="0" w:firstLineChars="0"/>
        <w:rPr>
          <w:rFonts w:ascii="仿宋" w:eastAsia="仿宋" w:cs="仿宋"/>
        </w:rPr>
      </w:pPr>
      <w:r>
        <w:rPr>
          <w:rFonts w:hint="eastAsia" w:ascii="仿宋" w:eastAsia="仿宋" w:cs="仿宋"/>
        </w:rPr>
        <w:t>（9）符合特定资格条件（如果项目要求）的有关证明材料（复印件）…………（页码）</w:t>
      </w:r>
    </w:p>
    <w:p>
      <w:pPr>
        <w:pStyle w:val="71"/>
        <w:spacing w:line="288" w:lineRule="auto"/>
        <w:ind w:left="0" w:firstLine="0" w:firstLineChars="0"/>
        <w:rPr>
          <w:rFonts w:ascii="仿宋" w:eastAsia="仿宋" w:cs="仿宋"/>
        </w:rPr>
      </w:pPr>
      <w:r>
        <w:rPr>
          <w:rFonts w:hint="eastAsia" w:ascii="仿宋" w:eastAsia="仿宋" w:cs="仿宋"/>
        </w:rPr>
        <w:t>（10）</w:t>
      </w:r>
      <w:r>
        <w:rPr>
          <w:rFonts w:hint="eastAsia" w:ascii="仿宋" w:eastAsia="仿宋" w:cs="仿宋"/>
          <w:snapToGrid w:val="0"/>
        </w:rPr>
        <w:t>非本地投标人售后服务机构证明材料</w:t>
      </w:r>
      <w:r>
        <w:rPr>
          <w:rFonts w:hint="eastAsia" w:ascii="仿宋" w:eastAsia="仿宋" w:cs="仿宋"/>
        </w:rPr>
        <w:t>………………………………………（页码）</w:t>
      </w:r>
    </w:p>
    <w:p>
      <w:pPr>
        <w:pStyle w:val="71"/>
        <w:spacing w:line="288" w:lineRule="auto"/>
        <w:ind w:left="0" w:firstLine="0" w:firstLineChars="0"/>
        <w:rPr>
          <w:rFonts w:ascii="仿宋" w:eastAsia="仿宋" w:cs="仿宋"/>
        </w:rPr>
      </w:pPr>
      <w:r>
        <w:rPr>
          <w:rFonts w:hint="eastAsia" w:ascii="仿宋" w:eastAsia="仿宋" w:cs="仿宋"/>
        </w:rPr>
        <w:t>（11）所有与符合性审查有关的资信文件（复印件） ……………………………（页码）</w:t>
      </w:r>
    </w:p>
    <w:p>
      <w:pPr>
        <w:pStyle w:val="71"/>
        <w:spacing w:line="288" w:lineRule="auto"/>
        <w:ind w:left="0" w:firstLine="0" w:firstLineChars="0"/>
        <w:rPr>
          <w:rFonts w:ascii="仿宋" w:eastAsia="仿宋" w:cs="仿宋"/>
        </w:rPr>
      </w:pPr>
      <w:r>
        <w:rPr>
          <w:rFonts w:hint="eastAsia" w:ascii="仿宋" w:eastAsia="仿宋" w:cs="仿宋"/>
        </w:rPr>
        <w:t>（12）</w:t>
      </w:r>
      <w:r>
        <w:rPr>
          <w:rFonts w:hint="eastAsia" w:ascii="仿宋" w:eastAsia="仿宋" w:cs="仿宋"/>
          <w:lang w:val="zh-CN"/>
        </w:rPr>
        <w:t>主要业绩证明… …………………………………………</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71"/>
        <w:spacing w:line="288" w:lineRule="auto"/>
        <w:ind w:left="0" w:firstLine="0" w:firstLineChars="0"/>
        <w:rPr>
          <w:rFonts w:ascii="仿宋" w:eastAsia="仿宋" w:cs="仿宋"/>
        </w:rPr>
      </w:pPr>
      <w:r>
        <w:rPr>
          <w:rFonts w:hint="eastAsia" w:ascii="仿宋" w:eastAsia="仿宋" w:cs="仿宋"/>
        </w:rPr>
        <w:t>（13）廉政承诺书 ……………………………………………………………………（页码）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（14）技术解决方案……………………………………</w:t>
      </w:r>
      <w:r>
        <w:rPr>
          <w:rFonts w:hint="eastAsia" w:ascii="仿宋" w:hAnsi="仿宋" w:eastAsia="仿宋" w:cs="仿宋"/>
          <w:sz w:val="24"/>
        </w:rPr>
        <w:t>………………………………</w:t>
      </w:r>
      <w:r>
        <w:rPr>
          <w:rFonts w:hint="eastAsia" w:ascii="仿宋" w:hAnsi="仿宋" w:eastAsia="仿宋" w:cs="仿宋"/>
          <w:kern w:val="0"/>
          <w:sz w:val="24"/>
        </w:rPr>
        <w:t>（页码）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（15）技术偏离说明表………………………………………</w:t>
      </w:r>
      <w:r>
        <w:rPr>
          <w:rFonts w:hint="eastAsia" w:ascii="仿宋" w:hAnsi="仿宋" w:eastAsia="仿宋" w:cs="仿宋"/>
          <w:sz w:val="24"/>
        </w:rPr>
        <w:t>…………………………</w:t>
      </w:r>
      <w:r>
        <w:rPr>
          <w:rFonts w:hint="eastAsia" w:ascii="仿宋" w:hAnsi="仿宋" w:eastAsia="仿宋" w:cs="仿宋"/>
          <w:kern w:val="0"/>
          <w:sz w:val="24"/>
        </w:rPr>
        <w:t>（页码）</w:t>
      </w:r>
    </w:p>
    <w:p>
      <w:pPr>
        <w:spacing w:line="288" w:lineRule="auto"/>
        <w:rPr>
          <w:rFonts w:ascii="仿宋" w:hAnsi="仿宋" w:eastAsia="仿宋" w:cs="仿宋"/>
          <w:b/>
          <w:bCs/>
          <w:sz w:val="24"/>
        </w:rPr>
      </w:pPr>
      <w:r>
        <w:rPr>
          <w:rFonts w:hint="eastAsia" w:ascii="仿宋" w:hAnsi="仿宋" w:eastAsia="仿宋" w:cs="仿宋"/>
          <w:kern w:val="0"/>
          <w:sz w:val="24"/>
        </w:rPr>
        <w:t>（16）</w:t>
      </w:r>
      <w:r>
        <w:rPr>
          <w:rFonts w:hint="eastAsia" w:ascii="仿宋" w:hAnsi="仿宋" w:eastAsia="仿宋" w:cs="仿宋"/>
          <w:kern w:val="0"/>
          <w:sz w:val="24"/>
          <w:lang w:val="zh-CN"/>
        </w:rPr>
        <w:t>认为需要的其他商务技术（资信）文件或说明…………</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kern w:val="0"/>
          <w:sz w:val="24"/>
        </w:rPr>
        <w:t>（页码）</w:t>
      </w:r>
    </w:p>
    <w:p>
      <w:pPr>
        <w:spacing w:line="288" w:lineRule="auto"/>
        <w:rPr>
          <w:rFonts w:ascii="仿宋" w:hAnsi="仿宋" w:eastAsia="仿宋" w:cs="仿宋"/>
          <w:b/>
          <w:bCs/>
          <w:sz w:val="24"/>
        </w:rPr>
      </w:pPr>
      <w:r>
        <w:rPr>
          <w:rFonts w:hint="eastAsia" w:ascii="仿宋" w:hAnsi="仿宋" w:eastAsia="仿宋" w:cs="仿宋"/>
          <w:b/>
          <w:bCs/>
          <w:sz w:val="24"/>
        </w:rPr>
        <w:t>注：以上目录是基本格式要求，各投标人可根据自身情况进一步细化。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绍兴市人民检察院、耀华建设管理有限公司</w:t>
      </w:r>
      <w:r>
        <w:rPr>
          <w:rFonts w:hint="eastAsia" w:ascii="仿宋" w:hAnsi="仿宋" w:eastAsia="仿宋" w:cs="仿宋"/>
          <w:sz w:val="24"/>
        </w:rPr>
        <w:t>组织的</w:t>
      </w:r>
      <w:r>
        <w:rPr>
          <w:rFonts w:hint="eastAsia" w:ascii="仿宋" w:hAnsi="仿宋" w:eastAsia="仿宋" w:cs="仿宋"/>
          <w:sz w:val="24"/>
          <w:u w:val="single"/>
        </w:rPr>
        <w:t>档案整理及数字化服务采购项目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投标人名称(电子签章)：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righ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(电子签章)</w:t>
      </w:r>
    </w:p>
    <w:p>
      <w:pPr>
        <w:spacing w:line="440" w:lineRule="exact"/>
        <w:ind w:right="480"/>
        <w:rPr>
          <w:rFonts w:ascii="仿宋" w:hAnsi="仿宋" w:eastAsia="仿宋" w:cs="仿宋"/>
          <w:sz w:val="24"/>
        </w:rPr>
      </w:pPr>
    </w:p>
    <w:p>
      <w:pPr>
        <w:spacing w:line="360" w:lineRule="auto"/>
        <w:jc w:val="right"/>
        <w:rPr>
          <w:rFonts w:ascii="仿宋" w:hAnsi="仿宋" w:eastAsia="仿宋" w:cs="仿宋"/>
          <w:b/>
          <w:sz w:val="30"/>
          <w:szCs w:val="30"/>
        </w:rPr>
      </w:pPr>
      <w:r>
        <w:rPr>
          <w:rFonts w:hint="eastAsia" w:ascii="仿宋" w:hAnsi="仿宋" w:eastAsia="仿宋" w:cs="仿宋"/>
          <w:sz w:val="24"/>
        </w:rPr>
        <w:t>日期： 年 月 日</w:t>
      </w:r>
    </w:p>
    <w:p>
      <w:pPr>
        <w:pageBreakBefore/>
        <w:spacing w:line="360" w:lineRule="auto"/>
        <w:rPr>
          <w:rFonts w:ascii="仿宋" w:hAnsi="仿宋" w:eastAsia="仿宋" w:cs="仿宋"/>
          <w:b/>
          <w:sz w:val="30"/>
          <w:szCs w:val="30"/>
        </w:rPr>
      </w:pPr>
      <w:r>
        <w:rPr>
          <w:rFonts w:hint="eastAsia" w:ascii="仿宋" w:hAnsi="仿宋" w:eastAsia="仿宋" w:cs="仿宋"/>
          <w:b/>
          <w:sz w:val="30"/>
          <w:szCs w:val="30"/>
        </w:rPr>
        <w:t>5</w:t>
      </w:r>
      <w:r>
        <w:rPr>
          <w:rFonts w:hint="eastAsia" w:ascii="仿宋" w:hAnsi="仿宋" w:eastAsia="仿宋" w:cs="仿宋"/>
          <w:b/>
          <w:kern w:val="0"/>
          <w:sz w:val="30"/>
          <w:szCs w:val="30"/>
          <w:lang w:val="zh-CN"/>
        </w:rPr>
        <w:t>、</w:t>
      </w:r>
      <w:r>
        <w:rPr>
          <w:rFonts w:hint="eastAsia" w:ascii="仿宋" w:hAnsi="仿宋" w:eastAsia="仿宋" w:cs="仿宋"/>
          <w:b/>
          <w:sz w:val="30"/>
          <w:szCs w:val="30"/>
        </w:rPr>
        <w:t>营业执照（或事业法人登记证或其他登记证明材料）（复印件）</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6、财务报表资料文件（2019年度资产负债表等财务报表资料文件(新成立的公司，提供情况说明，格式自拟)）</w:t>
      </w:r>
    </w:p>
    <w:p>
      <w:pPr>
        <w:spacing w:line="360" w:lineRule="auto"/>
        <w:rPr>
          <w:rFonts w:ascii="仿宋" w:hAnsi="仿宋" w:eastAsia="仿宋" w:cs="仿宋"/>
          <w:b/>
          <w:sz w:val="30"/>
          <w:szCs w:val="30"/>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rPr>
          <w:rFonts w:ascii="仿宋" w:hAnsi="仿宋" w:eastAsia="仿宋" w:cs="仿宋"/>
          <w:b/>
          <w:kern w:val="0"/>
          <w:sz w:val="32"/>
          <w:szCs w:val="32"/>
        </w:rPr>
      </w:pPr>
      <w:r>
        <w:rPr>
          <w:rFonts w:hint="eastAsia" w:ascii="仿宋" w:hAnsi="仿宋" w:eastAsia="仿宋" w:cs="仿宋"/>
          <w:b/>
          <w:kern w:val="0"/>
          <w:sz w:val="32"/>
          <w:szCs w:val="32"/>
        </w:rPr>
        <w:t>7、具有履行合同所必需的设备和专业技术能力的承诺函</w:t>
      </w:r>
    </w:p>
    <w:p>
      <w:pPr>
        <w:snapToGrid w:val="0"/>
        <w:spacing w:line="360" w:lineRule="auto"/>
        <w:rPr>
          <w:rFonts w:ascii="仿宋" w:hAnsi="仿宋" w:eastAsia="仿宋" w:cs="仿宋"/>
          <w:sz w:val="24"/>
        </w:rPr>
      </w:pPr>
      <w:r>
        <w:rPr>
          <w:rFonts w:hint="eastAsia" w:ascii="仿宋" w:hAnsi="仿宋" w:eastAsia="仿宋" w:cs="仿宋"/>
          <w:sz w:val="24"/>
        </w:rPr>
        <w:t>绍兴市人民检察院、耀华建设管理有限公司</w:t>
      </w:r>
      <w:r>
        <w:rPr>
          <w:rFonts w:hint="eastAsia" w:ascii="仿宋" w:hAnsi="仿宋" w:eastAsia="仿宋" w:cs="仿宋"/>
          <w:kern w:val="0"/>
          <w:sz w:val="24"/>
          <w:lang w:val="zh-CN"/>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我方郑重承诺，我方具有履行绍兴市人民检察院档案整理及数字化服务采购项目（招标编号:）合同所必需的设备和专业技术能力。如中标，我方将保证合同顺利履行。</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kern w:val="0"/>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rPr>
        <w:t>8、重大违法记录的声明</w:t>
      </w:r>
    </w:p>
    <w:p>
      <w:pPr>
        <w:snapToGrid w:val="0"/>
        <w:spacing w:line="360" w:lineRule="auto"/>
        <w:rPr>
          <w:rFonts w:ascii="仿宋" w:hAnsi="仿宋" w:eastAsia="仿宋" w:cs="仿宋"/>
          <w:kern w:val="0"/>
          <w:sz w:val="24"/>
        </w:rPr>
      </w:pPr>
      <w:r>
        <w:rPr>
          <w:rFonts w:hint="eastAsia" w:ascii="仿宋" w:hAnsi="仿宋" w:eastAsia="仿宋" w:cs="仿宋"/>
          <w:sz w:val="24"/>
        </w:rPr>
        <w:t>绍兴市人民检察院、耀华建设管理有限公司</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sz w:val="24"/>
          <w:szCs w:val="20"/>
        </w:rPr>
      </w:pP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声明参加本次政府采购活动前三年内，在</w:t>
      </w:r>
      <w:r>
        <w:rPr>
          <w:rFonts w:hint="eastAsia" w:ascii="仿宋" w:hAnsi="仿宋" w:eastAsia="仿宋" w:cs="仿宋"/>
          <w:kern w:val="0"/>
          <w:sz w:val="24"/>
        </w:rPr>
        <w:t>经营活动中</w:t>
      </w:r>
      <w:r>
        <w:rPr>
          <w:rFonts w:hint="eastAsia" w:ascii="仿宋" w:hAnsi="仿宋" w:eastAsia="仿宋" w:cs="仿宋"/>
          <w:sz w:val="24"/>
        </w:rPr>
        <w:t>没有重大违法记录；也</w:t>
      </w:r>
      <w:r>
        <w:rPr>
          <w:rFonts w:hint="eastAsia" w:ascii="仿宋" w:hAnsi="仿宋" w:eastAsia="仿宋" w:cs="仿宋"/>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2"/>
          <w:szCs w:val="32"/>
        </w:rPr>
      </w:pPr>
      <w:r>
        <w:rPr>
          <w:rFonts w:hint="eastAsia" w:ascii="仿宋" w:hAnsi="仿宋" w:eastAsia="仿宋" w:cs="仿宋"/>
          <w:b/>
          <w:sz w:val="32"/>
          <w:szCs w:val="32"/>
        </w:rPr>
        <w:t>9、特定资格条件要求的资质文件（复印件）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10、非本地投标人售后服务机构证明材料</w:t>
      </w:r>
    </w:p>
    <w:p>
      <w:pPr>
        <w:spacing w:line="360" w:lineRule="auto"/>
        <w:ind w:firstLine="480" w:firstLineChars="200"/>
        <w:rPr>
          <w:rFonts w:ascii="仿宋" w:hAnsi="仿宋" w:eastAsia="仿宋" w:cs="仿宋"/>
          <w:sz w:val="24"/>
        </w:rPr>
      </w:pPr>
      <w:r>
        <w:rPr>
          <w:rFonts w:hint="eastAsia" w:ascii="仿宋" w:hAnsi="仿宋" w:eastAsia="仿宋" w:cs="仿宋"/>
          <w:sz w:val="24"/>
        </w:rPr>
        <w:t>（由非本地投标人根据采购需求及招标文件要求编制）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pageBreakBefore/>
        <w:spacing w:line="360" w:lineRule="auto"/>
        <w:rPr>
          <w:rFonts w:ascii="仿宋" w:hAnsi="仿宋" w:eastAsia="仿宋" w:cs="仿宋"/>
          <w:b/>
          <w:sz w:val="32"/>
          <w:szCs w:val="32"/>
        </w:rPr>
      </w:pPr>
      <w:r>
        <w:rPr>
          <w:rFonts w:hint="eastAsia" w:ascii="仿宋" w:hAnsi="仿宋" w:eastAsia="仿宋" w:cs="仿宋"/>
          <w:b/>
          <w:sz w:val="32"/>
          <w:szCs w:val="32"/>
        </w:rPr>
        <w:t>11、所有与符合性审查有关的资信文件（复印件）</w:t>
      </w:r>
    </w:p>
    <w:p>
      <w:pPr>
        <w:spacing w:line="360" w:lineRule="auto"/>
        <w:rPr>
          <w:rFonts w:ascii="仿宋" w:hAnsi="仿宋" w:eastAsia="仿宋" w:cs="仿宋"/>
          <w:b/>
          <w:bCs/>
          <w:sz w:val="32"/>
          <w:szCs w:val="32"/>
        </w:rPr>
      </w:pPr>
      <w:r>
        <w:rPr>
          <w:rFonts w:hint="eastAsia" w:ascii="仿宋" w:hAnsi="仿宋" w:eastAsia="仿宋" w:cs="仿宋"/>
          <w:b/>
          <w:sz w:val="24"/>
        </w:rPr>
        <w:t>（1. 提供依法缴纳税收和社会保障资金的良好记录证明，税收和社保证明打印时间不得早于投标截止时间前1个月；2.</w:t>
      </w:r>
      <w:r>
        <w:rPr>
          <w:rFonts w:hint="eastAsia" w:ascii="仿宋" w:hAnsi="仿宋" w:eastAsia="仿宋" w:cs="仿宋"/>
          <w:sz w:val="24"/>
        </w:rPr>
        <w:t>其他资料由投标人根据采购需求及招标文件要求编制。</w:t>
      </w:r>
      <w:r>
        <w:rPr>
          <w:rFonts w:hint="eastAsia" w:ascii="仿宋" w:hAnsi="仿宋" w:eastAsia="仿宋" w:cs="仿宋"/>
          <w:b/>
          <w:sz w:val="24"/>
        </w:rPr>
        <w:t>）</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12、</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44"/>
        <w:tblW w:w="9135"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360" w:lineRule="auto"/>
              <w:rPr>
                <w:rFonts w:ascii="仿宋" w:hAnsi="仿宋" w:eastAsia="仿宋" w:cs="仿宋"/>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360" w:lineRule="auto"/>
              <w:rPr>
                <w:rFonts w:ascii="仿宋" w:hAnsi="仿宋" w:eastAsia="仿宋" w:cs="仿宋"/>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注：投标人可按上述的格式自行编制，须随表提交相应的合同复印件和中标通知书复印件加盖单位公章，并注明页码。</w:t>
      </w:r>
    </w:p>
    <w:p>
      <w:pPr>
        <w:autoSpaceDE w:val="0"/>
        <w:autoSpaceDN w:val="0"/>
        <w:spacing w:line="360" w:lineRule="auto"/>
        <w:ind w:firstLine="4560" w:firstLineChars="1900"/>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rPr>
          <w:rFonts w:ascii="仿宋" w:hAnsi="仿宋" w:eastAsia="仿宋" w:cs="仿宋"/>
          <w:kern w:val="0"/>
          <w:sz w:val="24"/>
        </w:rPr>
      </w:pPr>
    </w:p>
    <w:p>
      <w:pPr>
        <w:pStyle w:val="72"/>
        <w:ind w:firstLine="0"/>
        <w:jc w:val="both"/>
        <w:rPr>
          <w:rFonts w:ascii="仿宋" w:eastAsia="仿宋" w:cs="仿宋"/>
        </w:rPr>
      </w:pPr>
    </w:p>
    <w:p>
      <w:pPr>
        <w:pStyle w:val="72"/>
        <w:ind w:firstLine="0"/>
        <w:jc w:val="both"/>
        <w:rPr>
          <w:rFonts w:ascii="仿宋" w:eastAsia="仿宋" w:cs="仿宋"/>
        </w:rPr>
      </w:pPr>
    </w:p>
    <w:p>
      <w:pPr>
        <w:pStyle w:val="72"/>
        <w:pageBreakBefore/>
        <w:ind w:firstLine="0"/>
        <w:jc w:val="both"/>
        <w:rPr>
          <w:rFonts w:ascii="仿宋" w:eastAsia="仿宋" w:cs="仿宋"/>
        </w:rPr>
      </w:pPr>
      <w:r>
        <w:rPr>
          <w:rFonts w:hint="eastAsia" w:ascii="仿宋" w:eastAsia="仿宋" w:cs="仿宋"/>
        </w:rPr>
        <w:t>13、廉政承诺书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rPr>
        <w:t>绍兴市人民检察院</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spacing w:line="360" w:lineRule="auto"/>
        <w:ind w:left="5040" w:hanging="5040" w:hangingChars="2100"/>
        <w:jc w:val="left"/>
        <w:rPr>
          <w:rFonts w:ascii="仿宋" w:hAnsi="仿宋" w:eastAsia="仿宋" w:cs="仿宋"/>
          <w:kern w:val="0"/>
          <w:sz w:val="24"/>
          <w:lang w:val="zh-CN"/>
        </w:rPr>
      </w:pPr>
    </w:p>
    <w:p>
      <w:pPr>
        <w:spacing w:line="360" w:lineRule="auto"/>
        <w:ind w:left="5040" w:hanging="5040" w:hangingChars="2100"/>
        <w:jc w:val="left"/>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p>
    <w:p>
      <w:pPr>
        <w:spacing w:line="360" w:lineRule="auto"/>
        <w:ind w:left="5040" w:hanging="5040" w:hangingChars="210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14、技术解决方案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cs="仿宋"/>
          <w:b/>
          <w:spacing w:val="6"/>
          <w:sz w:val="24"/>
        </w:rPr>
      </w:pPr>
      <w:r>
        <w:rPr>
          <w:rFonts w:hint="eastAsia" w:ascii="仿宋" w:hAnsi="仿宋" w:eastAsia="仿宋" w:cs="仿宋"/>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pPr>
        <w:autoSpaceDE w:val="0"/>
        <w:autoSpaceDN w:val="0"/>
        <w:spacing w:line="360" w:lineRule="auto"/>
        <w:jc w:val="left"/>
        <w:rPr>
          <w:rFonts w:ascii="仿宋" w:hAnsi="仿宋" w:eastAsia="仿宋" w:cs="仿宋"/>
          <w:b/>
          <w:kern w:val="0"/>
          <w:sz w:val="28"/>
          <w:szCs w:val="28"/>
        </w:rPr>
      </w:pPr>
      <w:r>
        <w:rPr>
          <w:rFonts w:hint="eastAsia" w:ascii="FangSong_GB2312" w:hAnsi="FangSong_GB2312" w:eastAsia="FangSong_GB2312" w:cs="FangSong_GB2312"/>
          <w:b/>
          <w:kern w:val="0"/>
          <w:sz w:val="28"/>
          <w:szCs w:val="28"/>
        </w:rPr>
        <w:t>附：</w:t>
      </w:r>
      <w:r>
        <w:rPr>
          <w:rFonts w:ascii="FangSong_GB2312" w:hAnsi="FangSong_GB2312" w:eastAsia="FangSong_GB2312" w:cs="FangSong_GB2312"/>
          <w:b/>
          <w:kern w:val="0"/>
          <w:sz w:val="28"/>
          <w:szCs w:val="28"/>
          <w:lang w:val="en-US" w:eastAsia="zh-CN" w:bidi="ar-SA"/>
        </w:rPr>
        <w:object>
          <v:shape id="_x0000_i1025" o:spt="75" type="#_x0000_t75" style="height:42pt;width:441pt;" o:ole="t" fillcolor="#FFFFFF" filled="f" o:preferrelative="t" stroked="f" coordsize="21600,21600">
            <v:path/>
            <v:fill on="f" color2="#FFFFFF" focussize="0,0"/>
            <v:stroke on="f"/>
            <v:imagedata r:id="rId10" gain="65536f" blacklevel="0f" gamma="0" o:title=""/>
            <o:lock v:ext="edit" position="f" selection="f" grouping="f" rotation="f" cropping="f" text="f" aspectratio="t"/>
            <w10:wrap type="none"/>
            <w10:anchorlock/>
          </v:shape>
          <o:OLEObject Type="Embed" ProgID="Package" ShapeID="_x0000_i1025" DrawAspect="Content" ObjectID="_1468075725" r:id="rId9">
            <o:LockedField>false</o:LockedField>
          </o:OLEObject>
        </w:object>
      </w:r>
      <w:r>
        <w:rPr>
          <w:rFonts w:ascii="FangSong_GB2312" w:hAnsi="FangSong_GB2312" w:eastAsia="FangSong_GB2312" w:cs="FangSong_GB2312"/>
          <w:b/>
          <w:kern w:val="0"/>
          <w:sz w:val="28"/>
          <w:szCs w:val="28"/>
          <w:lang w:val="en-US" w:eastAsia="zh-CN" w:bidi="ar-SA"/>
        </w:rPr>
        <w:object>
          <v:shape id="_x0000_i1026" o:spt="75" type="#_x0000_t75" style="height:42pt;width:441.75pt;" o:ole="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o:OLEObject Type="Embed" ProgID="Package" ShapeID="_x0000_i1026" DrawAspect="Content" ObjectID="_1468075726" r:id="rId11">
            <o:LockedField>false</o:LockedField>
          </o:OLEObject>
        </w:objec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360" w:lineRule="auto"/>
        <w:jc w:val="right"/>
        <w:rPr>
          <w:rFonts w:ascii="仿宋" w:hAnsi="仿宋" w:eastAsia="仿宋" w:cs="仿宋"/>
          <w:b/>
          <w:bCs/>
          <w:kern w:val="0"/>
          <w:sz w:val="24"/>
          <w:lang w:val="zh-CN"/>
        </w:rPr>
      </w:pP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15、技术偏离说明表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vAlign w:val="top"/>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vAlign w:val="top"/>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vAlign w:val="top"/>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vAlign w:val="top"/>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jc w:val="center"/>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请填写投标产品或服务技术指标对应详细描述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ind w:firstLine="480" w:firstLineChars="200"/>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 xml:space="preserve">）： </w:t>
      </w:r>
    </w:p>
    <w:p>
      <w:pPr>
        <w:spacing w:line="360" w:lineRule="auto"/>
        <w:jc w:val="right"/>
        <w:rPr>
          <w:rFonts w:ascii="仿宋" w:hAnsi="仿宋" w:eastAsia="仿宋" w:cs="仿宋"/>
          <w:b/>
          <w:sz w:val="24"/>
        </w:rPr>
      </w:pPr>
      <w:r>
        <w:rPr>
          <w:rFonts w:hint="eastAsia" w:ascii="仿宋" w:hAnsi="仿宋" w:eastAsia="仿宋" w:cs="仿宋"/>
          <w:sz w:val="24"/>
        </w:rPr>
        <w:t>日期： 年 月 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16、认为需要的</w:t>
      </w:r>
      <w:r>
        <w:rPr>
          <w:rFonts w:hint="eastAsia" w:ascii="仿宋" w:hAnsi="仿宋" w:eastAsia="仿宋" w:cs="仿宋"/>
          <w:b/>
          <w:kern w:val="0"/>
          <w:sz w:val="32"/>
          <w:szCs w:val="32"/>
          <w:lang w:val="zh-CN"/>
        </w:rPr>
        <w:t>其他商务技术（资信）文件或说明</w:t>
      </w:r>
    </w:p>
    <w:p>
      <w:pPr>
        <w:spacing w:line="360" w:lineRule="auto"/>
        <w:ind w:firstLine="480" w:firstLineChars="200"/>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 xml:space="preserve">）： </w:t>
      </w:r>
    </w:p>
    <w:p>
      <w:pPr>
        <w:spacing w:line="360" w:lineRule="auto"/>
        <w:jc w:val="right"/>
        <w:rPr>
          <w:rFonts w:ascii="仿宋" w:hAnsi="仿宋" w:eastAsia="仿宋" w:cs="仿宋"/>
          <w:kern w:val="0"/>
          <w:sz w:val="24"/>
          <w:lang w:val="zh-CN"/>
        </w:rPr>
      </w:pPr>
      <w:r>
        <w:rPr>
          <w:rFonts w:hint="eastAsia" w:ascii="仿宋" w:hAnsi="仿宋" w:eastAsia="仿宋" w:cs="仿宋"/>
          <w:sz w:val="24"/>
        </w:rPr>
        <w:t>日期： 年 月 日</w:t>
      </w: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bookmarkEnd w:id="7"/>
    <w:p>
      <w:pPr>
        <w:pStyle w:val="53"/>
        <w:ind w:firstLine="0" w:firstLineChars="0"/>
        <w:rPr>
          <w:rFonts w:ascii="仿宋" w:hAnsi="仿宋" w:eastAsia="仿宋" w:cs="仿宋"/>
          <w:b/>
        </w:rPr>
      </w:pPr>
    </w:p>
    <w:sectPr>
      <w:headerReference r:id="rId4" w:type="first"/>
      <w:footerReference r:id="rId7" w:type="first"/>
      <w:headerReference r:id="rId3" w:type="default"/>
      <w:footerReference r:id="rId5" w:type="default"/>
      <w:footerReference r:id="rId6" w:type="even"/>
      <w:pgSz w:w="11906" w:h="16838"/>
      <w:pgMar w:top="1440" w:right="1440" w:bottom="144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FangSong_GB2312">
    <w:altName w:val="仿宋"/>
    <w:panose1 w:val="02010609060101010101"/>
    <w:charset w:val="00"/>
    <w:family w:val="auto"/>
    <w:pitch w:val="default"/>
    <w:sig w:usb0="00000000" w:usb1="00000000" w:usb2="00000000" w:usb3="00000000" w:csb0="00040001" w:csb1="00000000"/>
  </w:font>
  <w:font w:name="Calibri Light">
    <w:altName w:val="Calibri"/>
    <w:panose1 w:val="020F0302020204030204"/>
    <w:charset w:val="00"/>
    <w:family w:val="auto"/>
    <w:pitch w:val="default"/>
    <w:sig w:usb0="00000000" w:usb1="00000000" w:usb2="00000000" w:usb3="00000000" w:csb0="0000019F" w:csb1="00000000"/>
  </w:font>
  <w:font w:name="楷体_GB2312">
    <w:altName w:val="楷体"/>
    <w:panose1 w:val="00000000000000000000"/>
    <w:charset w:val="86"/>
    <w:family w:val="auto"/>
    <w:pitch w:val="default"/>
    <w:sig w:usb0="00000000" w:usb1="00000000" w:usb2="00000000" w:usb3="00000000" w:csb0="00040000" w:csb1="00000000"/>
  </w:font>
  <w:font w:name="Lucida Sans">
    <w:panose1 w:val="020B0602030504020204"/>
    <w:charset w:val="00"/>
    <w:family w:val="auto"/>
    <w:pitch w:val="default"/>
    <w:sig w:usb0="00000003" w:usb1="00000000" w:usb2="00000000" w:usb3="00000000" w:csb0="20000001" w:csb1="00000000"/>
  </w:font>
  <w:font w:name="??_GB2312">
    <w:altName w:val="Times New Roman"/>
    <w:panose1 w:val="00000000000000000000"/>
    <w:charset w:val="00"/>
    <w:family w:val="auto"/>
    <w:pitch w:val="default"/>
    <w:sig w:usb0="00000000" w:usb1="00000000" w:usb2="00000000" w:usb3="00000000" w:csb0="00000001" w:csb1="00000000"/>
  </w:font>
  <w:font w:name="Verdana">
    <w:panose1 w:val="020B0604030504040204"/>
    <w:charset w:val="00"/>
    <w:family w:val="auto"/>
    <w:pitch w:val="default"/>
    <w:sig w:usb0="A10006FF" w:usb1="4000205B" w:usb2="00000010" w:usb3="00000000" w:csb0="2000019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ST Xihei">
    <w:altName w:val="宋体"/>
    <w:panose1 w:val="00000000000000000000"/>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隶书">
    <w:panose1 w:val="02010509060101010101"/>
    <w:charset w:val="86"/>
    <w:family w:val="auto"/>
    <w:pitch w:val="default"/>
    <w:sig w:usb0="00000001" w:usb1="080E0000" w:usb2="00000000" w:usb3="00000000" w:csb0="00040000" w:csb1="00000000"/>
  </w:font>
  <w:font w:name="Cambria">
    <w:panose1 w:val="02040503050406030204"/>
    <w:charset w:val="00"/>
    <w:family w:val="auto"/>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_GB2312" w:eastAsia="Times New Roman"/>
      </w:rPr>
    </w:pPr>
    <w:r>
      <w:rPr>
        <w:rFonts w:ascii="Times New Roman" w:hAnsi="Times New Roman" w:eastAsia="宋体" w:cs="Times New Roman"/>
        <w:kern w:val="0"/>
        <w:sz w:val="18"/>
        <w:szCs w:val="18"/>
        <w:lang w:val="en-US" w:eastAsia="zh-CN" w:bidi="ar-SA"/>
      </w:rPr>
      <w:pict>
        <v:shape id="Text Box 1025" o:spid="_x0000_s2049" o:spt="202" type="#_x0000_t202" style="position:absolute;left:0pt;margin-top:0pt;height:11.65pt;width:31.55pt;mso-position-horizontal:center;mso-position-horizontal-relative:margin;mso-wrap-style:none;z-index:25165824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28"/>
                </w:pPr>
                <w:r>
                  <w:rPr>
                    <w:rFonts w:hint="eastAsia"/>
                  </w:rPr>
                  <w:t>第</w:t>
                </w:r>
                <w:r>
                  <w:fldChar w:fldCharType="begin"/>
                </w:r>
                <w:r>
                  <w:instrText xml:space="preserve"> PAGE  \* MERGEFORMAT </w:instrText>
                </w:r>
                <w:r>
                  <w:fldChar w:fldCharType="separate"/>
                </w:r>
                <w:r>
                  <w:t>38</w:t>
                </w:r>
                <w:r>
                  <w:fldChar w:fldCharType="end"/>
                </w:r>
                <w:r>
                  <w:rPr>
                    <w:rFonts w:hint="eastAsia"/>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right" w:y="1"/>
      <w:rPr>
        <w:rStyle w:val="48"/>
        <w:rFonts w:cs="Arial"/>
        <w:sz w:val="18"/>
        <w:szCs w:val="21"/>
      </w:rPr>
    </w:pPr>
    <w:r>
      <w:rPr>
        <w:rStyle w:val="48"/>
        <w:rFonts w:cs="Arial"/>
        <w:sz w:val="18"/>
        <w:szCs w:val="21"/>
      </w:rPr>
      <w:fldChar w:fldCharType="begin"/>
    </w:r>
    <w:r>
      <w:rPr>
        <w:rStyle w:val="48"/>
        <w:rFonts w:cs="Arial"/>
        <w:sz w:val="18"/>
        <w:szCs w:val="21"/>
      </w:rPr>
      <w:instrText xml:space="preserve">PAGE  </w:instrText>
    </w:r>
    <w:r>
      <w:rPr>
        <w:rStyle w:val="48"/>
        <w:rFonts w:cs="Arial"/>
        <w:sz w:val="18"/>
        <w:szCs w:val="21"/>
      </w:rPr>
      <w:fldChar w:fldCharType="end"/>
    </w:r>
  </w:p>
  <w:p>
    <w:pPr>
      <w:pStyle w:val="2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180" w:firstLineChars="100"/>
      <w:jc w:val="both"/>
      <w:rPr>
        <w:rFonts w:ascii="??_GB2312" w:eastAsia="Times New Roman"/>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right"/>
    </w:pPr>
    <w:r>
      <w:rPr>
        <w:rFonts w:hint="eastAsia" w:ascii="宋体" w:hAnsi="宋体" w:cs="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81"/>
      <w:lvlText w:val="%1."/>
      <w:lvlJc w:val="left"/>
      <w:pPr>
        <w:tabs>
          <w:tab w:val="left" w:pos="1200"/>
        </w:tabs>
        <w:ind w:left="1200" w:leftChars="400" w:hanging="360" w:hangingChars="200"/>
      </w:pPr>
    </w:lvl>
  </w:abstractNum>
  <w:abstractNum w:abstractNumId="1">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3"/>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A02C129"/>
    <w:multiLevelType w:val="singleLevel"/>
    <w:tmpl w:val="5A02C129"/>
    <w:lvl w:ilvl="0" w:tentative="0">
      <w:start w:val="1"/>
      <w:numFmt w:val="decimal"/>
      <w:pStyle w:val="14"/>
      <w:lvlText w:val="%1."/>
      <w:lvlJc w:val="left"/>
      <w:pPr>
        <w:tabs>
          <w:tab w:val="left" w:pos="780"/>
        </w:tabs>
        <w:ind w:left="780" w:hanging="360"/>
      </w:pPr>
      <w:rPr>
        <w:rFonts w:cs="Times New Roman"/>
      </w:rPr>
    </w:lvl>
  </w:abstractNum>
  <w:abstractNum w:abstractNumId="4">
    <w:nsid w:val="5A02C13F"/>
    <w:multiLevelType w:val="singleLevel"/>
    <w:tmpl w:val="5A02C13F"/>
    <w:lvl w:ilvl="0" w:tentative="0">
      <w:start w:val="1"/>
      <w:numFmt w:val="decimal"/>
      <w:pStyle w:val="16"/>
      <w:lvlText w:val="%1."/>
      <w:lvlJc w:val="left"/>
      <w:pPr>
        <w:tabs>
          <w:tab w:val="left" w:pos="360"/>
        </w:tabs>
        <w:ind w:left="360" w:hanging="360"/>
      </w:pPr>
      <w:rPr>
        <w:rFonts w:cs="Times New Roman"/>
      </w:rPr>
    </w:lvl>
  </w:abstractNum>
  <w:abstractNum w:abstractNumId="5">
    <w:nsid w:val="5A02C160"/>
    <w:multiLevelType w:val="singleLevel"/>
    <w:tmpl w:val="5A02C160"/>
    <w:lvl w:ilvl="0" w:tentative="0">
      <w:start w:val="1"/>
      <w:numFmt w:val="decimal"/>
      <w:pStyle w:val="22"/>
      <w:lvlText w:val="%1."/>
      <w:lvlJc w:val="left"/>
      <w:pPr>
        <w:tabs>
          <w:tab w:val="left" w:pos="1200"/>
        </w:tabs>
        <w:ind w:left="1200" w:hanging="360"/>
      </w:pPr>
      <w:rPr>
        <w:rFonts w:cs="Times New Roman"/>
      </w:rPr>
    </w:lvl>
  </w:abstractNum>
  <w:abstractNum w:abstractNumId="6">
    <w:nsid w:val="5CB017FC"/>
    <w:multiLevelType w:val="multilevel"/>
    <w:tmpl w:val="5CB017FC"/>
    <w:lvl w:ilvl="0" w:tentative="0">
      <w:start w:val="1"/>
      <w:numFmt w:val="decimal"/>
      <w:pStyle w:val="4"/>
      <w:suff w:val="space"/>
      <w:lvlText w:val="第 %1 章"/>
      <w:lvlJc w:val="left"/>
      <w:pPr>
        <w:ind w:left="425" w:hanging="425"/>
      </w:pPr>
      <w:rPr>
        <w:rFonts w:hint="eastAsia" w:cs="Times New Roman"/>
        <w:sz w:val="21"/>
        <w:szCs w:val="21"/>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7">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8">
    <w:nsid w:val="6CAC619C"/>
    <w:multiLevelType w:val="multilevel"/>
    <w:tmpl w:val="6CAC619C"/>
    <w:lvl w:ilvl="0" w:tentative="0">
      <w:start w:val="1"/>
      <w:numFmt w:val="bullet"/>
      <w:pStyle w:val="118"/>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6"/>
  </w:num>
  <w:num w:numId="2">
    <w:abstractNumId w:val="7"/>
  </w:num>
  <w:num w:numId="3">
    <w:abstractNumId w:val="3"/>
  </w:num>
  <w:num w:numId="4">
    <w:abstractNumId w:val="4"/>
  </w:num>
  <w:num w:numId="5">
    <w:abstractNumId w:val="5"/>
  </w:num>
  <w:num w:numId="6">
    <w:abstractNumId w:val="0"/>
  </w:num>
  <w:num w:numId="7">
    <w:abstractNumId w:val="8"/>
  </w:num>
  <w:num w:numId="8">
    <w:abstractNumId w:val="1"/>
  </w:num>
  <w:num w:numId="9">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AD18FF"/>
    <w:rsid w:val="000040C1"/>
    <w:rsid w:val="000072AC"/>
    <w:rsid w:val="00017165"/>
    <w:rsid w:val="00020007"/>
    <w:rsid w:val="0002017B"/>
    <w:rsid w:val="0002428C"/>
    <w:rsid w:val="000304F5"/>
    <w:rsid w:val="00030CF0"/>
    <w:rsid w:val="00030F1E"/>
    <w:rsid w:val="00032FD0"/>
    <w:rsid w:val="0004730F"/>
    <w:rsid w:val="00051731"/>
    <w:rsid w:val="00055CDF"/>
    <w:rsid w:val="00063F14"/>
    <w:rsid w:val="0006767A"/>
    <w:rsid w:val="00067735"/>
    <w:rsid w:val="00080F79"/>
    <w:rsid w:val="000813EC"/>
    <w:rsid w:val="00093879"/>
    <w:rsid w:val="000B45F9"/>
    <w:rsid w:val="000B49A8"/>
    <w:rsid w:val="000C38DF"/>
    <w:rsid w:val="000D7240"/>
    <w:rsid w:val="0010252F"/>
    <w:rsid w:val="00102702"/>
    <w:rsid w:val="001055A8"/>
    <w:rsid w:val="00114135"/>
    <w:rsid w:val="0012034D"/>
    <w:rsid w:val="001311E4"/>
    <w:rsid w:val="00142376"/>
    <w:rsid w:val="0014517B"/>
    <w:rsid w:val="00154A7C"/>
    <w:rsid w:val="00154B60"/>
    <w:rsid w:val="001559EF"/>
    <w:rsid w:val="00160083"/>
    <w:rsid w:val="001660FF"/>
    <w:rsid w:val="0017197F"/>
    <w:rsid w:val="00171C91"/>
    <w:rsid w:val="0017463C"/>
    <w:rsid w:val="00180BF0"/>
    <w:rsid w:val="001814F1"/>
    <w:rsid w:val="0018495F"/>
    <w:rsid w:val="001A09BD"/>
    <w:rsid w:val="001A1325"/>
    <w:rsid w:val="001A687C"/>
    <w:rsid w:val="001B3B8E"/>
    <w:rsid w:val="001C1ABA"/>
    <w:rsid w:val="001D1DA3"/>
    <w:rsid w:val="001E5FDC"/>
    <w:rsid w:val="001E78A2"/>
    <w:rsid w:val="001F02A1"/>
    <w:rsid w:val="001F4459"/>
    <w:rsid w:val="00217753"/>
    <w:rsid w:val="00220DF0"/>
    <w:rsid w:val="002251A6"/>
    <w:rsid w:val="00230A81"/>
    <w:rsid w:val="002322BF"/>
    <w:rsid w:val="0023264D"/>
    <w:rsid w:val="002476B8"/>
    <w:rsid w:val="00254D2E"/>
    <w:rsid w:val="00262448"/>
    <w:rsid w:val="002663EE"/>
    <w:rsid w:val="00273B10"/>
    <w:rsid w:val="00274496"/>
    <w:rsid w:val="00275656"/>
    <w:rsid w:val="00280DD1"/>
    <w:rsid w:val="00284A80"/>
    <w:rsid w:val="00294D3C"/>
    <w:rsid w:val="00295B6F"/>
    <w:rsid w:val="00296F25"/>
    <w:rsid w:val="002A2838"/>
    <w:rsid w:val="002A2E37"/>
    <w:rsid w:val="002B54E5"/>
    <w:rsid w:val="002B65CE"/>
    <w:rsid w:val="002B67ED"/>
    <w:rsid w:val="002B6E84"/>
    <w:rsid w:val="002B765A"/>
    <w:rsid w:val="002B77DD"/>
    <w:rsid w:val="002C0AB1"/>
    <w:rsid w:val="002D4700"/>
    <w:rsid w:val="002E1F80"/>
    <w:rsid w:val="002E39C0"/>
    <w:rsid w:val="002F25A8"/>
    <w:rsid w:val="002F4C71"/>
    <w:rsid w:val="002F6554"/>
    <w:rsid w:val="003003BE"/>
    <w:rsid w:val="003042DC"/>
    <w:rsid w:val="00306956"/>
    <w:rsid w:val="0031163B"/>
    <w:rsid w:val="00313A98"/>
    <w:rsid w:val="003157F9"/>
    <w:rsid w:val="00330C22"/>
    <w:rsid w:val="003336E2"/>
    <w:rsid w:val="00336E1D"/>
    <w:rsid w:val="003403EB"/>
    <w:rsid w:val="003411E7"/>
    <w:rsid w:val="00345DE3"/>
    <w:rsid w:val="00346F1E"/>
    <w:rsid w:val="00387522"/>
    <w:rsid w:val="00387B1C"/>
    <w:rsid w:val="0039045C"/>
    <w:rsid w:val="00395545"/>
    <w:rsid w:val="003A2463"/>
    <w:rsid w:val="003A2766"/>
    <w:rsid w:val="003A5C0F"/>
    <w:rsid w:val="003B2510"/>
    <w:rsid w:val="003B25FB"/>
    <w:rsid w:val="003B5CB4"/>
    <w:rsid w:val="003C4538"/>
    <w:rsid w:val="003D237E"/>
    <w:rsid w:val="003D2443"/>
    <w:rsid w:val="003D3C56"/>
    <w:rsid w:val="003F0B46"/>
    <w:rsid w:val="003F5CF0"/>
    <w:rsid w:val="00412A3B"/>
    <w:rsid w:val="00425D8B"/>
    <w:rsid w:val="004272FF"/>
    <w:rsid w:val="0043244B"/>
    <w:rsid w:val="00440162"/>
    <w:rsid w:val="00441416"/>
    <w:rsid w:val="00455DAB"/>
    <w:rsid w:val="00465752"/>
    <w:rsid w:val="00465C2E"/>
    <w:rsid w:val="00467496"/>
    <w:rsid w:val="00467DC5"/>
    <w:rsid w:val="004706A2"/>
    <w:rsid w:val="00481099"/>
    <w:rsid w:val="0048467F"/>
    <w:rsid w:val="00484753"/>
    <w:rsid w:val="00490E2A"/>
    <w:rsid w:val="004A066B"/>
    <w:rsid w:val="004A0E48"/>
    <w:rsid w:val="004A513B"/>
    <w:rsid w:val="004A6517"/>
    <w:rsid w:val="004B065D"/>
    <w:rsid w:val="004B3AC9"/>
    <w:rsid w:val="004B457F"/>
    <w:rsid w:val="004C0A50"/>
    <w:rsid w:val="004C27D1"/>
    <w:rsid w:val="004C5FD8"/>
    <w:rsid w:val="004C60DF"/>
    <w:rsid w:val="004D3233"/>
    <w:rsid w:val="004D6606"/>
    <w:rsid w:val="004E47C3"/>
    <w:rsid w:val="004E4E9C"/>
    <w:rsid w:val="004F2C71"/>
    <w:rsid w:val="004F5416"/>
    <w:rsid w:val="0050684D"/>
    <w:rsid w:val="00511544"/>
    <w:rsid w:val="005117F3"/>
    <w:rsid w:val="00516A59"/>
    <w:rsid w:val="005213B8"/>
    <w:rsid w:val="0052572A"/>
    <w:rsid w:val="00533E94"/>
    <w:rsid w:val="00545306"/>
    <w:rsid w:val="00547532"/>
    <w:rsid w:val="00566429"/>
    <w:rsid w:val="00575993"/>
    <w:rsid w:val="00580623"/>
    <w:rsid w:val="00583589"/>
    <w:rsid w:val="00590683"/>
    <w:rsid w:val="005A240A"/>
    <w:rsid w:val="005A2D46"/>
    <w:rsid w:val="005A4AFA"/>
    <w:rsid w:val="005A64B3"/>
    <w:rsid w:val="005B45D8"/>
    <w:rsid w:val="005C0BB4"/>
    <w:rsid w:val="005D78E5"/>
    <w:rsid w:val="005E47A6"/>
    <w:rsid w:val="005F15DA"/>
    <w:rsid w:val="00602260"/>
    <w:rsid w:val="006137F0"/>
    <w:rsid w:val="006250EE"/>
    <w:rsid w:val="006313C5"/>
    <w:rsid w:val="00636FED"/>
    <w:rsid w:val="00637621"/>
    <w:rsid w:val="00640125"/>
    <w:rsid w:val="006418DD"/>
    <w:rsid w:val="006451AB"/>
    <w:rsid w:val="006543AB"/>
    <w:rsid w:val="006546FA"/>
    <w:rsid w:val="00657D6B"/>
    <w:rsid w:val="00663D9D"/>
    <w:rsid w:val="0067565A"/>
    <w:rsid w:val="006843A0"/>
    <w:rsid w:val="006940CC"/>
    <w:rsid w:val="006A4D37"/>
    <w:rsid w:val="006B047E"/>
    <w:rsid w:val="006D2193"/>
    <w:rsid w:val="006D7233"/>
    <w:rsid w:val="006E080D"/>
    <w:rsid w:val="006F3E2C"/>
    <w:rsid w:val="006F5A9E"/>
    <w:rsid w:val="007030D1"/>
    <w:rsid w:val="00706826"/>
    <w:rsid w:val="00715276"/>
    <w:rsid w:val="0071566D"/>
    <w:rsid w:val="0071576C"/>
    <w:rsid w:val="00720034"/>
    <w:rsid w:val="00723CE8"/>
    <w:rsid w:val="007339E4"/>
    <w:rsid w:val="007347CA"/>
    <w:rsid w:val="00741A2B"/>
    <w:rsid w:val="00744C06"/>
    <w:rsid w:val="00755712"/>
    <w:rsid w:val="00762D7F"/>
    <w:rsid w:val="00766BFA"/>
    <w:rsid w:val="00773EB2"/>
    <w:rsid w:val="0078125A"/>
    <w:rsid w:val="0078555E"/>
    <w:rsid w:val="007A150E"/>
    <w:rsid w:val="007A22A3"/>
    <w:rsid w:val="007B3644"/>
    <w:rsid w:val="007C3048"/>
    <w:rsid w:val="007C4441"/>
    <w:rsid w:val="007C7CA3"/>
    <w:rsid w:val="007D3ADA"/>
    <w:rsid w:val="007E14E1"/>
    <w:rsid w:val="007E3668"/>
    <w:rsid w:val="007E571E"/>
    <w:rsid w:val="007F3B1E"/>
    <w:rsid w:val="007F676E"/>
    <w:rsid w:val="00800880"/>
    <w:rsid w:val="00801A53"/>
    <w:rsid w:val="008158DD"/>
    <w:rsid w:val="00815F70"/>
    <w:rsid w:val="00816730"/>
    <w:rsid w:val="00820AE4"/>
    <w:rsid w:val="0082182E"/>
    <w:rsid w:val="008278AB"/>
    <w:rsid w:val="0083267A"/>
    <w:rsid w:val="008371B9"/>
    <w:rsid w:val="00851A0E"/>
    <w:rsid w:val="00851D0E"/>
    <w:rsid w:val="00851E94"/>
    <w:rsid w:val="00853E58"/>
    <w:rsid w:val="00866BD5"/>
    <w:rsid w:val="008702F4"/>
    <w:rsid w:val="00872AA9"/>
    <w:rsid w:val="00884208"/>
    <w:rsid w:val="0089216A"/>
    <w:rsid w:val="00892C6B"/>
    <w:rsid w:val="008A197E"/>
    <w:rsid w:val="008A2DEB"/>
    <w:rsid w:val="008A7E46"/>
    <w:rsid w:val="008B3A13"/>
    <w:rsid w:val="008D0B60"/>
    <w:rsid w:val="008D1D22"/>
    <w:rsid w:val="008D38D9"/>
    <w:rsid w:val="008F4A32"/>
    <w:rsid w:val="00922AF2"/>
    <w:rsid w:val="00923FCF"/>
    <w:rsid w:val="00935289"/>
    <w:rsid w:val="00937337"/>
    <w:rsid w:val="00943D77"/>
    <w:rsid w:val="00945D15"/>
    <w:rsid w:val="00950791"/>
    <w:rsid w:val="00955273"/>
    <w:rsid w:val="00962E86"/>
    <w:rsid w:val="00965F70"/>
    <w:rsid w:val="009660EE"/>
    <w:rsid w:val="00975ECC"/>
    <w:rsid w:val="009761EB"/>
    <w:rsid w:val="009A4CEF"/>
    <w:rsid w:val="009B4AD3"/>
    <w:rsid w:val="009B512E"/>
    <w:rsid w:val="009C76A2"/>
    <w:rsid w:val="009D2FED"/>
    <w:rsid w:val="009D4632"/>
    <w:rsid w:val="009D6E2E"/>
    <w:rsid w:val="009E0533"/>
    <w:rsid w:val="009E494E"/>
    <w:rsid w:val="009F0AB2"/>
    <w:rsid w:val="009F1EB3"/>
    <w:rsid w:val="009F4AB2"/>
    <w:rsid w:val="00A1598B"/>
    <w:rsid w:val="00A16944"/>
    <w:rsid w:val="00A24FC1"/>
    <w:rsid w:val="00A274A0"/>
    <w:rsid w:val="00A279A5"/>
    <w:rsid w:val="00A27EBF"/>
    <w:rsid w:val="00A30EAA"/>
    <w:rsid w:val="00A41BE4"/>
    <w:rsid w:val="00A468BA"/>
    <w:rsid w:val="00A56A1E"/>
    <w:rsid w:val="00A60C9E"/>
    <w:rsid w:val="00A63825"/>
    <w:rsid w:val="00A63FBA"/>
    <w:rsid w:val="00A67091"/>
    <w:rsid w:val="00A713F8"/>
    <w:rsid w:val="00A72402"/>
    <w:rsid w:val="00A73BD9"/>
    <w:rsid w:val="00A76112"/>
    <w:rsid w:val="00A831F9"/>
    <w:rsid w:val="00A86515"/>
    <w:rsid w:val="00A92E6E"/>
    <w:rsid w:val="00A93369"/>
    <w:rsid w:val="00A95926"/>
    <w:rsid w:val="00A97711"/>
    <w:rsid w:val="00AA1A88"/>
    <w:rsid w:val="00AA527A"/>
    <w:rsid w:val="00AB3648"/>
    <w:rsid w:val="00AD02E7"/>
    <w:rsid w:val="00AD0587"/>
    <w:rsid w:val="00AD0880"/>
    <w:rsid w:val="00AD18FF"/>
    <w:rsid w:val="00AD270F"/>
    <w:rsid w:val="00AE1493"/>
    <w:rsid w:val="00AE4A39"/>
    <w:rsid w:val="00AF1A4A"/>
    <w:rsid w:val="00AF75FD"/>
    <w:rsid w:val="00B01CF7"/>
    <w:rsid w:val="00B1333D"/>
    <w:rsid w:val="00B22626"/>
    <w:rsid w:val="00B251FC"/>
    <w:rsid w:val="00B2622D"/>
    <w:rsid w:val="00B34963"/>
    <w:rsid w:val="00B62146"/>
    <w:rsid w:val="00B63DE9"/>
    <w:rsid w:val="00B70E71"/>
    <w:rsid w:val="00B71876"/>
    <w:rsid w:val="00B76EC0"/>
    <w:rsid w:val="00B77A84"/>
    <w:rsid w:val="00B8360C"/>
    <w:rsid w:val="00BA30DB"/>
    <w:rsid w:val="00BB518C"/>
    <w:rsid w:val="00BB7FF6"/>
    <w:rsid w:val="00BD31D4"/>
    <w:rsid w:val="00C202F1"/>
    <w:rsid w:val="00C207BF"/>
    <w:rsid w:val="00C22C3A"/>
    <w:rsid w:val="00C249E6"/>
    <w:rsid w:val="00C60D63"/>
    <w:rsid w:val="00C7051D"/>
    <w:rsid w:val="00C7191D"/>
    <w:rsid w:val="00C750A5"/>
    <w:rsid w:val="00C85041"/>
    <w:rsid w:val="00C90C86"/>
    <w:rsid w:val="00C94F88"/>
    <w:rsid w:val="00C96A36"/>
    <w:rsid w:val="00CA375D"/>
    <w:rsid w:val="00CB14BF"/>
    <w:rsid w:val="00CB3AAD"/>
    <w:rsid w:val="00CB4467"/>
    <w:rsid w:val="00CB4DB7"/>
    <w:rsid w:val="00CB5752"/>
    <w:rsid w:val="00CB62BE"/>
    <w:rsid w:val="00CC3F6F"/>
    <w:rsid w:val="00CC505C"/>
    <w:rsid w:val="00CC5263"/>
    <w:rsid w:val="00CF6594"/>
    <w:rsid w:val="00CF7CD7"/>
    <w:rsid w:val="00D036B1"/>
    <w:rsid w:val="00D116A2"/>
    <w:rsid w:val="00D151A3"/>
    <w:rsid w:val="00D175EB"/>
    <w:rsid w:val="00D205E8"/>
    <w:rsid w:val="00D23578"/>
    <w:rsid w:val="00D30BE3"/>
    <w:rsid w:val="00D3555E"/>
    <w:rsid w:val="00D40B4E"/>
    <w:rsid w:val="00D65939"/>
    <w:rsid w:val="00D74283"/>
    <w:rsid w:val="00D75FC8"/>
    <w:rsid w:val="00D81DDC"/>
    <w:rsid w:val="00D8320E"/>
    <w:rsid w:val="00D95393"/>
    <w:rsid w:val="00D9689D"/>
    <w:rsid w:val="00DA2B91"/>
    <w:rsid w:val="00DA5951"/>
    <w:rsid w:val="00DA73D0"/>
    <w:rsid w:val="00DB5DBA"/>
    <w:rsid w:val="00DD1F2E"/>
    <w:rsid w:val="00DE3243"/>
    <w:rsid w:val="00DF67A0"/>
    <w:rsid w:val="00E02CE4"/>
    <w:rsid w:val="00E05B74"/>
    <w:rsid w:val="00E13813"/>
    <w:rsid w:val="00E4050A"/>
    <w:rsid w:val="00E4123F"/>
    <w:rsid w:val="00E60A3E"/>
    <w:rsid w:val="00E62AFA"/>
    <w:rsid w:val="00E710CD"/>
    <w:rsid w:val="00E76BEC"/>
    <w:rsid w:val="00E8070C"/>
    <w:rsid w:val="00E81842"/>
    <w:rsid w:val="00E92BAF"/>
    <w:rsid w:val="00EA3092"/>
    <w:rsid w:val="00EA43CE"/>
    <w:rsid w:val="00EB2D90"/>
    <w:rsid w:val="00EB542F"/>
    <w:rsid w:val="00EC3085"/>
    <w:rsid w:val="00EC3857"/>
    <w:rsid w:val="00ED3842"/>
    <w:rsid w:val="00ED4697"/>
    <w:rsid w:val="00EE7013"/>
    <w:rsid w:val="00EF043D"/>
    <w:rsid w:val="00EF3C0E"/>
    <w:rsid w:val="00F16465"/>
    <w:rsid w:val="00F2325C"/>
    <w:rsid w:val="00F26D1D"/>
    <w:rsid w:val="00F375A3"/>
    <w:rsid w:val="00F54CB9"/>
    <w:rsid w:val="00F56126"/>
    <w:rsid w:val="00F63769"/>
    <w:rsid w:val="00F64381"/>
    <w:rsid w:val="00F77D77"/>
    <w:rsid w:val="00F854BD"/>
    <w:rsid w:val="00F8625A"/>
    <w:rsid w:val="00F90917"/>
    <w:rsid w:val="00F962A2"/>
    <w:rsid w:val="00FA3C13"/>
    <w:rsid w:val="00FA6E82"/>
    <w:rsid w:val="00FB06C5"/>
    <w:rsid w:val="00FB2890"/>
    <w:rsid w:val="00FB28A6"/>
    <w:rsid w:val="00FB2FD0"/>
    <w:rsid w:val="00FB512C"/>
    <w:rsid w:val="00FB744B"/>
    <w:rsid w:val="00FC0CF4"/>
    <w:rsid w:val="00FC1A98"/>
    <w:rsid w:val="00FC3D34"/>
    <w:rsid w:val="00FC6422"/>
    <w:rsid w:val="00FD25D7"/>
    <w:rsid w:val="00FE5C0B"/>
    <w:rsid w:val="00FE7019"/>
    <w:rsid w:val="00FF0D06"/>
    <w:rsid w:val="00FF0DDB"/>
    <w:rsid w:val="00FF20E1"/>
    <w:rsid w:val="01073442"/>
    <w:rsid w:val="0135256E"/>
    <w:rsid w:val="017F0419"/>
    <w:rsid w:val="0202557A"/>
    <w:rsid w:val="021943BC"/>
    <w:rsid w:val="02455361"/>
    <w:rsid w:val="026B7D9D"/>
    <w:rsid w:val="02E03D80"/>
    <w:rsid w:val="02FF6323"/>
    <w:rsid w:val="03166C95"/>
    <w:rsid w:val="033742BA"/>
    <w:rsid w:val="0352039E"/>
    <w:rsid w:val="039769D6"/>
    <w:rsid w:val="0432047D"/>
    <w:rsid w:val="044736CF"/>
    <w:rsid w:val="04AB653B"/>
    <w:rsid w:val="04CE269C"/>
    <w:rsid w:val="05035BC7"/>
    <w:rsid w:val="051B6B97"/>
    <w:rsid w:val="052D2EBC"/>
    <w:rsid w:val="05B2082E"/>
    <w:rsid w:val="05B75E5D"/>
    <w:rsid w:val="05E07B33"/>
    <w:rsid w:val="060870C2"/>
    <w:rsid w:val="06E4135A"/>
    <w:rsid w:val="073127D1"/>
    <w:rsid w:val="07716A15"/>
    <w:rsid w:val="07DA186C"/>
    <w:rsid w:val="08C922E5"/>
    <w:rsid w:val="08DC6D2E"/>
    <w:rsid w:val="08E27460"/>
    <w:rsid w:val="08FA3C1C"/>
    <w:rsid w:val="092D2631"/>
    <w:rsid w:val="097A3B63"/>
    <w:rsid w:val="0A0A25D7"/>
    <w:rsid w:val="0B3869A1"/>
    <w:rsid w:val="0B637A3A"/>
    <w:rsid w:val="0B9713AA"/>
    <w:rsid w:val="0BF273FD"/>
    <w:rsid w:val="0BF4331C"/>
    <w:rsid w:val="0D785F46"/>
    <w:rsid w:val="0DC13115"/>
    <w:rsid w:val="0DD1638B"/>
    <w:rsid w:val="0E8567D9"/>
    <w:rsid w:val="0E9C67E4"/>
    <w:rsid w:val="0ED21131"/>
    <w:rsid w:val="0EE1261E"/>
    <w:rsid w:val="0F0776FB"/>
    <w:rsid w:val="0F663BD2"/>
    <w:rsid w:val="104D6387"/>
    <w:rsid w:val="10A61DA4"/>
    <w:rsid w:val="10C92ED0"/>
    <w:rsid w:val="10F654D7"/>
    <w:rsid w:val="10FF59E9"/>
    <w:rsid w:val="1132577D"/>
    <w:rsid w:val="11564EC4"/>
    <w:rsid w:val="11B07BD6"/>
    <w:rsid w:val="11D14A71"/>
    <w:rsid w:val="11D664F4"/>
    <w:rsid w:val="11D91565"/>
    <w:rsid w:val="12317569"/>
    <w:rsid w:val="125750F6"/>
    <w:rsid w:val="126F4682"/>
    <w:rsid w:val="127542AA"/>
    <w:rsid w:val="12C50F49"/>
    <w:rsid w:val="12F15FC0"/>
    <w:rsid w:val="13AD3C35"/>
    <w:rsid w:val="1437484A"/>
    <w:rsid w:val="14685E9F"/>
    <w:rsid w:val="149C53ED"/>
    <w:rsid w:val="14A17E3B"/>
    <w:rsid w:val="15005974"/>
    <w:rsid w:val="151F5548"/>
    <w:rsid w:val="1557079B"/>
    <w:rsid w:val="15661BF2"/>
    <w:rsid w:val="15D241DC"/>
    <w:rsid w:val="169F1555"/>
    <w:rsid w:val="16C339B4"/>
    <w:rsid w:val="1726330F"/>
    <w:rsid w:val="176C6F4D"/>
    <w:rsid w:val="17E0367B"/>
    <w:rsid w:val="181C3543"/>
    <w:rsid w:val="181F4CEE"/>
    <w:rsid w:val="183550AA"/>
    <w:rsid w:val="1887170A"/>
    <w:rsid w:val="18BE625E"/>
    <w:rsid w:val="18F64FE1"/>
    <w:rsid w:val="192C691D"/>
    <w:rsid w:val="193E2714"/>
    <w:rsid w:val="195248D1"/>
    <w:rsid w:val="197D38E8"/>
    <w:rsid w:val="198960E3"/>
    <w:rsid w:val="199F0C8D"/>
    <w:rsid w:val="19A857C8"/>
    <w:rsid w:val="19AC4E80"/>
    <w:rsid w:val="19CE48C9"/>
    <w:rsid w:val="19D9355D"/>
    <w:rsid w:val="1A0561E6"/>
    <w:rsid w:val="1A0C3B58"/>
    <w:rsid w:val="1A8B44E3"/>
    <w:rsid w:val="1AB932E0"/>
    <w:rsid w:val="1B1C0F2A"/>
    <w:rsid w:val="1B1F3315"/>
    <w:rsid w:val="1B5003E0"/>
    <w:rsid w:val="1B632526"/>
    <w:rsid w:val="1B765B82"/>
    <w:rsid w:val="1B965EA6"/>
    <w:rsid w:val="1BE62BE0"/>
    <w:rsid w:val="1C2F0AD9"/>
    <w:rsid w:val="1D155786"/>
    <w:rsid w:val="1D5D2AA4"/>
    <w:rsid w:val="1DBA2677"/>
    <w:rsid w:val="1DD45AFC"/>
    <w:rsid w:val="1DDC590A"/>
    <w:rsid w:val="1E335181"/>
    <w:rsid w:val="1E3F599E"/>
    <w:rsid w:val="1EE4458C"/>
    <w:rsid w:val="1F3A2255"/>
    <w:rsid w:val="1F7362DF"/>
    <w:rsid w:val="1F821340"/>
    <w:rsid w:val="1FB74E43"/>
    <w:rsid w:val="1FC70F79"/>
    <w:rsid w:val="1FD44083"/>
    <w:rsid w:val="1FDB4036"/>
    <w:rsid w:val="209A7B6A"/>
    <w:rsid w:val="20A9561D"/>
    <w:rsid w:val="20BE6021"/>
    <w:rsid w:val="21697BCF"/>
    <w:rsid w:val="216D4A99"/>
    <w:rsid w:val="218642C5"/>
    <w:rsid w:val="218B4CE9"/>
    <w:rsid w:val="219D5386"/>
    <w:rsid w:val="21EB34DB"/>
    <w:rsid w:val="22727487"/>
    <w:rsid w:val="22A9157E"/>
    <w:rsid w:val="22C65437"/>
    <w:rsid w:val="2304797C"/>
    <w:rsid w:val="231942C4"/>
    <w:rsid w:val="23BE0F28"/>
    <w:rsid w:val="23CB6CF7"/>
    <w:rsid w:val="23CD595C"/>
    <w:rsid w:val="23E17F6F"/>
    <w:rsid w:val="24097FEF"/>
    <w:rsid w:val="241A6CE7"/>
    <w:rsid w:val="242F6C37"/>
    <w:rsid w:val="24CA6AC2"/>
    <w:rsid w:val="24D972C4"/>
    <w:rsid w:val="24E92B02"/>
    <w:rsid w:val="24EB2B99"/>
    <w:rsid w:val="252565D6"/>
    <w:rsid w:val="253216FD"/>
    <w:rsid w:val="256D4AB4"/>
    <w:rsid w:val="25A13331"/>
    <w:rsid w:val="25A57D1C"/>
    <w:rsid w:val="25D96272"/>
    <w:rsid w:val="26294A1D"/>
    <w:rsid w:val="26881F5A"/>
    <w:rsid w:val="26CC410D"/>
    <w:rsid w:val="27903546"/>
    <w:rsid w:val="280B58EA"/>
    <w:rsid w:val="284D434A"/>
    <w:rsid w:val="28727528"/>
    <w:rsid w:val="289202B5"/>
    <w:rsid w:val="28A63374"/>
    <w:rsid w:val="291E1DAE"/>
    <w:rsid w:val="29DA29ED"/>
    <w:rsid w:val="2A234081"/>
    <w:rsid w:val="2A523300"/>
    <w:rsid w:val="2AB23807"/>
    <w:rsid w:val="2AFA300F"/>
    <w:rsid w:val="2BB712A2"/>
    <w:rsid w:val="2BD668A3"/>
    <w:rsid w:val="2BDD5FC5"/>
    <w:rsid w:val="2C446861"/>
    <w:rsid w:val="2CD53511"/>
    <w:rsid w:val="2D2A61CE"/>
    <w:rsid w:val="2D80707D"/>
    <w:rsid w:val="2DE2488D"/>
    <w:rsid w:val="2E083145"/>
    <w:rsid w:val="2E120695"/>
    <w:rsid w:val="2ED5521A"/>
    <w:rsid w:val="2ED619F5"/>
    <w:rsid w:val="2F9F3A1B"/>
    <w:rsid w:val="2FC778BA"/>
    <w:rsid w:val="300E309E"/>
    <w:rsid w:val="30317F30"/>
    <w:rsid w:val="303B0264"/>
    <w:rsid w:val="304B5E64"/>
    <w:rsid w:val="305D472F"/>
    <w:rsid w:val="30730BA2"/>
    <w:rsid w:val="30782F4C"/>
    <w:rsid w:val="3091213D"/>
    <w:rsid w:val="30B5410C"/>
    <w:rsid w:val="30C9139F"/>
    <w:rsid w:val="30CC5664"/>
    <w:rsid w:val="31A44863"/>
    <w:rsid w:val="31AF70A8"/>
    <w:rsid w:val="31C6513D"/>
    <w:rsid w:val="32221E3A"/>
    <w:rsid w:val="32B05C3D"/>
    <w:rsid w:val="32B65903"/>
    <w:rsid w:val="32C97243"/>
    <w:rsid w:val="32D758ED"/>
    <w:rsid w:val="33012007"/>
    <w:rsid w:val="33AD15F4"/>
    <w:rsid w:val="33F65183"/>
    <w:rsid w:val="34842703"/>
    <w:rsid w:val="34A065F2"/>
    <w:rsid w:val="34F80702"/>
    <w:rsid w:val="359C1A91"/>
    <w:rsid w:val="37186BCB"/>
    <w:rsid w:val="37604E39"/>
    <w:rsid w:val="37892729"/>
    <w:rsid w:val="378D5403"/>
    <w:rsid w:val="37B9146D"/>
    <w:rsid w:val="37C02DA1"/>
    <w:rsid w:val="37D43997"/>
    <w:rsid w:val="38042CE6"/>
    <w:rsid w:val="38285B2C"/>
    <w:rsid w:val="38387BC2"/>
    <w:rsid w:val="38A11738"/>
    <w:rsid w:val="38CF2698"/>
    <w:rsid w:val="38D4603A"/>
    <w:rsid w:val="38F45F0B"/>
    <w:rsid w:val="38F76EE1"/>
    <w:rsid w:val="392E3D2B"/>
    <w:rsid w:val="398D342C"/>
    <w:rsid w:val="39D15DBF"/>
    <w:rsid w:val="3A4719E4"/>
    <w:rsid w:val="3A5F0E06"/>
    <w:rsid w:val="3B671059"/>
    <w:rsid w:val="3B9F7E10"/>
    <w:rsid w:val="3BA40ED7"/>
    <w:rsid w:val="3BE67851"/>
    <w:rsid w:val="3C025073"/>
    <w:rsid w:val="3C0D4D62"/>
    <w:rsid w:val="3C383A60"/>
    <w:rsid w:val="3D0E3394"/>
    <w:rsid w:val="3D2A3AF6"/>
    <w:rsid w:val="3E253FC4"/>
    <w:rsid w:val="3E66686E"/>
    <w:rsid w:val="3E781CBE"/>
    <w:rsid w:val="3EF13B78"/>
    <w:rsid w:val="3F0F39CE"/>
    <w:rsid w:val="3F184BE9"/>
    <w:rsid w:val="3F96657B"/>
    <w:rsid w:val="40712EC2"/>
    <w:rsid w:val="409C2167"/>
    <w:rsid w:val="40D9690C"/>
    <w:rsid w:val="40DA5F94"/>
    <w:rsid w:val="40E54BE8"/>
    <w:rsid w:val="4175100A"/>
    <w:rsid w:val="418371CA"/>
    <w:rsid w:val="41A3573D"/>
    <w:rsid w:val="41B4707C"/>
    <w:rsid w:val="41F123EE"/>
    <w:rsid w:val="422A0C37"/>
    <w:rsid w:val="425B70E5"/>
    <w:rsid w:val="43DD0189"/>
    <w:rsid w:val="43E828F9"/>
    <w:rsid w:val="447D365A"/>
    <w:rsid w:val="44A620DD"/>
    <w:rsid w:val="44E52F1C"/>
    <w:rsid w:val="454753F6"/>
    <w:rsid w:val="458B246E"/>
    <w:rsid w:val="45A339CF"/>
    <w:rsid w:val="45BB538B"/>
    <w:rsid w:val="4616050C"/>
    <w:rsid w:val="4624734D"/>
    <w:rsid w:val="47663221"/>
    <w:rsid w:val="47747657"/>
    <w:rsid w:val="47D816EC"/>
    <w:rsid w:val="48BF50A6"/>
    <w:rsid w:val="48C46876"/>
    <w:rsid w:val="48E66DBF"/>
    <w:rsid w:val="49246CEA"/>
    <w:rsid w:val="4953763C"/>
    <w:rsid w:val="4964544D"/>
    <w:rsid w:val="49C70F72"/>
    <w:rsid w:val="49E360AC"/>
    <w:rsid w:val="4A04095E"/>
    <w:rsid w:val="4A161D99"/>
    <w:rsid w:val="4A2E44F7"/>
    <w:rsid w:val="4A373AFF"/>
    <w:rsid w:val="4AF0380B"/>
    <w:rsid w:val="4B3C70F3"/>
    <w:rsid w:val="4BF23C29"/>
    <w:rsid w:val="4D000BB8"/>
    <w:rsid w:val="4D210B99"/>
    <w:rsid w:val="4D2764E4"/>
    <w:rsid w:val="4D4F306D"/>
    <w:rsid w:val="4D553076"/>
    <w:rsid w:val="4DC16712"/>
    <w:rsid w:val="4E083898"/>
    <w:rsid w:val="4E26397C"/>
    <w:rsid w:val="4E363927"/>
    <w:rsid w:val="4EA639CF"/>
    <w:rsid w:val="4EA90E17"/>
    <w:rsid w:val="4ED70169"/>
    <w:rsid w:val="4F2E5DD1"/>
    <w:rsid w:val="4F9153B3"/>
    <w:rsid w:val="50583025"/>
    <w:rsid w:val="51F86E77"/>
    <w:rsid w:val="5237566A"/>
    <w:rsid w:val="52521883"/>
    <w:rsid w:val="52C0259A"/>
    <w:rsid w:val="52FE221E"/>
    <w:rsid w:val="53ED7088"/>
    <w:rsid w:val="541D2A3E"/>
    <w:rsid w:val="551A70BA"/>
    <w:rsid w:val="55902CE3"/>
    <w:rsid w:val="55A42927"/>
    <w:rsid w:val="55B02F17"/>
    <w:rsid w:val="55E573DE"/>
    <w:rsid w:val="55E658E6"/>
    <w:rsid w:val="56311879"/>
    <w:rsid w:val="56B87238"/>
    <w:rsid w:val="56D10212"/>
    <w:rsid w:val="571E2C5F"/>
    <w:rsid w:val="57351512"/>
    <w:rsid w:val="579A5ACB"/>
    <w:rsid w:val="57A66209"/>
    <w:rsid w:val="57F303AA"/>
    <w:rsid w:val="5863246B"/>
    <w:rsid w:val="58787371"/>
    <w:rsid w:val="588A53A7"/>
    <w:rsid w:val="59194A2D"/>
    <w:rsid w:val="595C082B"/>
    <w:rsid w:val="596E3097"/>
    <w:rsid w:val="59F56D5F"/>
    <w:rsid w:val="59FE758C"/>
    <w:rsid w:val="5ACD2758"/>
    <w:rsid w:val="5B14063F"/>
    <w:rsid w:val="5B301B1F"/>
    <w:rsid w:val="5BC63127"/>
    <w:rsid w:val="5C6D49B2"/>
    <w:rsid w:val="5CEC747F"/>
    <w:rsid w:val="5D355342"/>
    <w:rsid w:val="5D680D09"/>
    <w:rsid w:val="5D9A2ED9"/>
    <w:rsid w:val="5DC236EC"/>
    <w:rsid w:val="5EA2001B"/>
    <w:rsid w:val="5F0266A3"/>
    <w:rsid w:val="5F1836D7"/>
    <w:rsid w:val="5F2146DE"/>
    <w:rsid w:val="5F232D5B"/>
    <w:rsid w:val="5F6D4B74"/>
    <w:rsid w:val="5F744292"/>
    <w:rsid w:val="5F952C60"/>
    <w:rsid w:val="5FD51C0C"/>
    <w:rsid w:val="606129E7"/>
    <w:rsid w:val="60662262"/>
    <w:rsid w:val="60B719D0"/>
    <w:rsid w:val="610B35BB"/>
    <w:rsid w:val="615D504A"/>
    <w:rsid w:val="61CD1945"/>
    <w:rsid w:val="620E2B02"/>
    <w:rsid w:val="622135D0"/>
    <w:rsid w:val="622574EE"/>
    <w:rsid w:val="624A22BB"/>
    <w:rsid w:val="62B65C75"/>
    <w:rsid w:val="632A5A90"/>
    <w:rsid w:val="633D3608"/>
    <w:rsid w:val="63487EAC"/>
    <w:rsid w:val="63575F25"/>
    <w:rsid w:val="637F68CB"/>
    <w:rsid w:val="64013D86"/>
    <w:rsid w:val="64031C4A"/>
    <w:rsid w:val="643A6EA0"/>
    <w:rsid w:val="6463157A"/>
    <w:rsid w:val="646D246D"/>
    <w:rsid w:val="64781C37"/>
    <w:rsid w:val="64A17E2B"/>
    <w:rsid w:val="64A849CD"/>
    <w:rsid w:val="64CF1F8E"/>
    <w:rsid w:val="64EC5A6B"/>
    <w:rsid w:val="650D77AD"/>
    <w:rsid w:val="653666D1"/>
    <w:rsid w:val="6597576B"/>
    <w:rsid w:val="66090E80"/>
    <w:rsid w:val="6611701E"/>
    <w:rsid w:val="66E82209"/>
    <w:rsid w:val="67B30311"/>
    <w:rsid w:val="67FD2A7B"/>
    <w:rsid w:val="680705F0"/>
    <w:rsid w:val="68210070"/>
    <w:rsid w:val="683164CC"/>
    <w:rsid w:val="68BB3495"/>
    <w:rsid w:val="68DB190B"/>
    <w:rsid w:val="69634496"/>
    <w:rsid w:val="69826C78"/>
    <w:rsid w:val="6A315029"/>
    <w:rsid w:val="6AB1009A"/>
    <w:rsid w:val="6B6E3CD1"/>
    <w:rsid w:val="6B8860DC"/>
    <w:rsid w:val="6BAE7000"/>
    <w:rsid w:val="6BB05959"/>
    <w:rsid w:val="6BD67C2C"/>
    <w:rsid w:val="6C5C04D5"/>
    <w:rsid w:val="6CB13F20"/>
    <w:rsid w:val="6CCA6527"/>
    <w:rsid w:val="6D1E181B"/>
    <w:rsid w:val="6D2555A0"/>
    <w:rsid w:val="6D60667F"/>
    <w:rsid w:val="6D9B2320"/>
    <w:rsid w:val="6E1E7470"/>
    <w:rsid w:val="6E6617A6"/>
    <w:rsid w:val="6EA942E9"/>
    <w:rsid w:val="6F572D08"/>
    <w:rsid w:val="6FB83CDB"/>
    <w:rsid w:val="6FD5142D"/>
    <w:rsid w:val="70462173"/>
    <w:rsid w:val="70853498"/>
    <w:rsid w:val="70FC7A0D"/>
    <w:rsid w:val="712F4D7E"/>
    <w:rsid w:val="71586B6E"/>
    <w:rsid w:val="720400C9"/>
    <w:rsid w:val="72074872"/>
    <w:rsid w:val="72BB4D4E"/>
    <w:rsid w:val="72BE4B83"/>
    <w:rsid w:val="73094A27"/>
    <w:rsid w:val="73200F6B"/>
    <w:rsid w:val="735C2DC4"/>
    <w:rsid w:val="746A71CC"/>
    <w:rsid w:val="74715CA6"/>
    <w:rsid w:val="74BB1904"/>
    <w:rsid w:val="74D249BF"/>
    <w:rsid w:val="754358D4"/>
    <w:rsid w:val="75FF0A2F"/>
    <w:rsid w:val="767F7FDC"/>
    <w:rsid w:val="76944A1D"/>
    <w:rsid w:val="76DC57A8"/>
    <w:rsid w:val="76F66D3B"/>
    <w:rsid w:val="770563B7"/>
    <w:rsid w:val="77DE40CB"/>
    <w:rsid w:val="77F23F79"/>
    <w:rsid w:val="781135E0"/>
    <w:rsid w:val="78305FF2"/>
    <w:rsid w:val="78694157"/>
    <w:rsid w:val="78B427D1"/>
    <w:rsid w:val="792E66F3"/>
    <w:rsid w:val="796203CB"/>
    <w:rsid w:val="79B44386"/>
    <w:rsid w:val="79EE6A68"/>
    <w:rsid w:val="7A3E7618"/>
    <w:rsid w:val="7AE5282F"/>
    <w:rsid w:val="7AF956FC"/>
    <w:rsid w:val="7B8627B7"/>
    <w:rsid w:val="7BD52536"/>
    <w:rsid w:val="7BD8404F"/>
    <w:rsid w:val="7C003A54"/>
    <w:rsid w:val="7C0C4D38"/>
    <w:rsid w:val="7C373DB7"/>
    <w:rsid w:val="7C4228B4"/>
    <w:rsid w:val="7C5D47C4"/>
    <w:rsid w:val="7C6B5BDD"/>
    <w:rsid w:val="7C85091F"/>
    <w:rsid w:val="7CF851FF"/>
    <w:rsid w:val="7D842440"/>
    <w:rsid w:val="7DA94ABE"/>
    <w:rsid w:val="7E073573"/>
    <w:rsid w:val="7E3B60DE"/>
    <w:rsid w:val="7EDC6139"/>
    <w:rsid w:val="7EEE135D"/>
    <w:rsid w:val="7F290C8A"/>
    <w:rsid w:val="7F3C32C9"/>
    <w:rsid w:val="7F57487B"/>
    <w:rsid w:val="7FA239C6"/>
    <w:rsid w:val="7FB7288D"/>
    <w:rsid w:val="7FB73A06"/>
    <w:rsid w:val="7FC24B9F"/>
    <w:rsid w:val="7FDA4D25"/>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0" w:name="toc 1"/>
    <w:lsdException w:qFormat="1" w:unhideWhenUsed="0" w:uiPriority="0" w:name="toc 2"/>
    <w:lsdException w:uiPriority="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0" w:semiHidden="0" w:name="footer"/>
    <w:lsdException w:uiPriority="0" w:name="index heading" w:locked="1"/>
    <w:lsdException w:qFormat="1" w:unhideWhenUsed="0" w:uiPriority="0" w:semiHidden="0" w:name="caption"/>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99" w:name="annotation reference" w:locked="1"/>
    <w:lsdException w:uiPriority="0" w:name="line number" w:locked="1"/>
    <w:lsdException w:qFormat="1" w:unhideWhenUsed="0" w:uiPriority="0" w:semiHidden="0" w:name="page number"/>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uiPriority="0" w:name="List" w:locked="1"/>
    <w:lsdException w:uiPriority="0" w:name="List Bullet" w:locked="1"/>
    <w:lsdException w:qFormat="1" w:unhideWhenUsed="0" w:uiPriority="0" w:semiHidden="0" w:name="List Number"/>
    <w:lsdException w:uiPriority="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uiPriority="0" w:name="List Bullet 5" w:locked="1"/>
    <w:lsdException w:qFormat="1" w:unhideWhenUsed="0" w:uiPriority="99" w:semiHidden="0" w:name="List Number 2"/>
    <w:lsdException w:qFormat="1" w:unhideWhenUsed="0" w:uiPriority="99" w:semiHidden="0" w:name="List Number 3"/>
    <w:lsdException w:uiPriority="0" w:name="List Number 4" w:locked="1"/>
    <w:lsdException w:uiPriority="0" w:name="List Number 5" w:locked="1"/>
    <w:lsdException w:qFormat="1" w:unhideWhenUsed="0" w:uiPriority="0" w:semiHidden="0" w:name="Title"/>
    <w:lsdException w:uiPriority="0" w:name="Closing" w:locked="1"/>
    <w:lsdException w:uiPriority="0" w:name="Signature" w:locked="1"/>
    <w:lsdException w:qFormat="1" w:uiPriority="1" w:semiHidden="0" w:name="Default Paragraph Font"/>
    <w:lsdException w:qFormat="1" w:unhideWhenUsed="0" w:uiPriority="99" w:semiHidden="0" w:name="Body Text" w:locked="1"/>
    <w:lsdException w:qFormat="1" w:unhideWhenUsed="0" w:uiPriority="99" w:semiHidden="0" w:name="Body Text Indent"/>
    <w:lsdException w:uiPriority="0" w:name="List Continue" w:locked="1"/>
    <w:lsdException w:qFormat="1" w:unhideWhenUsed="0" w:uiPriority="0" w:semiHidden="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sdException w:uiPriority="0" w:name="Salutation" w:locked="1"/>
    <w:lsdException w:qFormat="1" w:unhideWhenUsed="0" w:uiPriority="0" w:semiHidden="0" w:name="Date"/>
    <w:lsdException w:qFormat="1" w:unhideWhenUsed="0" w:uiPriority="99" w:semiHidden="0" w:name="Body Text First Indent" w:locked="1"/>
    <w:lsdException w:qFormat="1" w:unhideWhenUsed="0" w:uiPriority="0" w:semiHidden="0" w:name="Body Text First Indent 2" w:locked="1"/>
    <w:lsdException w:uiPriority="0" w:name="Note Heading" w:locked="1"/>
    <w:lsdException w:qFormat="1" w:unhideWhenUsed="0" w:uiPriority="0" w:semiHidden="0" w:name="Body Text 2"/>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iPriority="0" w:semiHidden="0" w:name="Block Text" w:locked="1"/>
    <w:lsdException w:qFormat="1" w:unhideWhenUsed="0" w:uiPriority="0" w:semiHidden="0" w:name="Hyperlink"/>
    <w:lsdException w:qFormat="1" w:unhideWhenUsed="0" w:uiPriority="0" w:semiHidden="0" w:name="FollowedHyperlink" w:locked="1"/>
    <w:lsdException w:qFormat="1" w:unhideWhenUsed="0" w:uiPriority="0" w:semiHidden="0" w:name="Strong"/>
    <w:lsdException w:qFormat="1" w:unhideWhenUsed="0" w:uiPriority="0" w:semiHidden="0" w:name="Emphasis"/>
    <w:lsdException w:qFormat="1" w:unhideWhenUsed="0" w:uiPriority="99" w:name="Document Map" w:locked="1"/>
    <w:lsdException w:qFormat="1" w:unhideWhenUsed="0" w:uiPriority="0" w:semiHidden="0" w:name="Plain Text"/>
    <w:lsdException w:uiPriority="0" w:name="E-mail Signature" w:locked="1"/>
    <w:lsdException w:qFormat="1" w:unhideWhenUsed="0" w:uiPriority="0" w:semiHidden="0" w:name="Normal (Web)" w:locked="1"/>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qFormat="1" w:unhideWhenUsed="0" w:uiPriority="0" w:semiHidden="0" w:name="HTML Preformatted" w:locked="1"/>
    <w:lsdException w:uiPriority="0" w:name="HTML Sample" w:locked="1"/>
    <w:lsdException w:uiPriority="0" w:name="HTML Typewriter" w:locked="1"/>
    <w:lsdException w:uiPriority="0" w:name="HTML Variable" w:locked="1"/>
    <w:lsdException w:qFormat="1" w:uiPriority="99" w:semiHidden="0" w:name="Normal Table"/>
    <w:lsdException w:qFormat="1" w:unhideWhenUsed="0" w:uiPriority="99"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ocked="1"/>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08"/>
    <w:qFormat/>
    <w:locked/>
    <w:uiPriority w:val="0"/>
    <w:pPr>
      <w:keepNext/>
      <w:keepLines/>
      <w:numPr>
        <w:ilvl w:val="0"/>
        <w:numId w:val="1"/>
      </w:numPr>
      <w:spacing w:before="340" w:after="330" w:line="578" w:lineRule="auto"/>
      <w:outlineLvl w:val="0"/>
    </w:pPr>
    <w:rPr>
      <w:rFonts w:eastAsia="FangSong_GB2312"/>
      <w:b/>
      <w:kern w:val="44"/>
      <w:sz w:val="44"/>
      <w:szCs w:val="20"/>
    </w:rPr>
  </w:style>
  <w:style w:type="paragraph" w:styleId="5">
    <w:name w:val="heading 2"/>
    <w:basedOn w:val="1"/>
    <w:next w:val="1"/>
    <w:link w:val="209"/>
    <w:qFormat/>
    <w:uiPriority w:val="99"/>
    <w:pPr>
      <w:keepNext/>
      <w:keepLines/>
      <w:spacing w:before="260" w:after="260" w:line="416" w:lineRule="auto"/>
      <w:outlineLvl w:val="1"/>
    </w:pPr>
    <w:rPr>
      <w:rFonts w:ascii="Calibri Light" w:hAnsi="Calibri Light"/>
      <w:b/>
      <w:bCs/>
      <w:kern w:val="0"/>
      <w:sz w:val="32"/>
      <w:szCs w:val="32"/>
    </w:rPr>
  </w:style>
  <w:style w:type="paragraph" w:styleId="6">
    <w:name w:val="heading 3"/>
    <w:basedOn w:val="1"/>
    <w:next w:val="7"/>
    <w:link w:val="210"/>
    <w:qFormat/>
    <w:uiPriority w:val="99"/>
    <w:pPr>
      <w:keepNext/>
      <w:keepLines/>
      <w:spacing w:before="260" w:after="260" w:line="416" w:lineRule="auto"/>
      <w:outlineLvl w:val="2"/>
    </w:pPr>
    <w:rPr>
      <w:b/>
      <w:bCs/>
      <w:kern w:val="0"/>
      <w:sz w:val="32"/>
      <w:szCs w:val="32"/>
    </w:rPr>
  </w:style>
  <w:style w:type="paragraph" w:styleId="8">
    <w:name w:val="heading 4"/>
    <w:basedOn w:val="1"/>
    <w:next w:val="1"/>
    <w:link w:val="211"/>
    <w:qFormat/>
    <w:uiPriority w:val="0"/>
    <w:pPr>
      <w:keepNext/>
      <w:keepLines/>
      <w:spacing w:before="280" w:after="290" w:line="376" w:lineRule="auto"/>
      <w:outlineLvl w:val="3"/>
    </w:pPr>
    <w:rPr>
      <w:rFonts w:ascii="Calibri Light" w:hAnsi="Calibri Light"/>
      <w:b/>
      <w:bCs/>
      <w:kern w:val="0"/>
      <w:sz w:val="28"/>
      <w:szCs w:val="28"/>
    </w:rPr>
  </w:style>
  <w:style w:type="paragraph" w:styleId="9">
    <w:name w:val="heading 5"/>
    <w:basedOn w:val="1"/>
    <w:next w:val="7"/>
    <w:link w:val="243"/>
    <w:qFormat/>
    <w:uiPriority w:val="0"/>
    <w:pPr>
      <w:keepNext/>
      <w:widowControl/>
      <w:numPr>
        <w:ilvl w:val="0"/>
        <w:numId w:val="2"/>
      </w:numPr>
      <w:adjustRightInd/>
      <w:jc w:val="left"/>
      <w:outlineLvl w:val="4"/>
    </w:pPr>
    <w:rPr>
      <w:kern w:val="0"/>
      <w:sz w:val="24"/>
      <w:szCs w:val="20"/>
    </w:rPr>
  </w:style>
  <w:style w:type="paragraph" w:styleId="10">
    <w:name w:val="heading 6"/>
    <w:basedOn w:val="1"/>
    <w:next w:val="1"/>
    <w:link w:val="244"/>
    <w:qFormat/>
    <w:uiPriority w:val="0"/>
    <w:pPr>
      <w:widowControl/>
      <w:adjustRightInd/>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245"/>
    <w:qFormat/>
    <w:uiPriority w:val="0"/>
    <w:pPr>
      <w:keepNext/>
      <w:keepLines/>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246"/>
    <w:qFormat/>
    <w:uiPriority w:val="0"/>
    <w:pPr>
      <w:keepNext/>
      <w:keepLines/>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247"/>
    <w:qFormat/>
    <w:uiPriority w:val="0"/>
    <w:pPr>
      <w:keepNext/>
      <w:keepLines/>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unhideWhenUsed/>
    <w:qFormat/>
    <w:uiPriority w:val="1"/>
  </w:style>
  <w:style w:type="table" w:default="1" w:styleId="44">
    <w:name w:val="Normal Table"/>
    <w:unhideWhenUsed/>
    <w:qFormat/>
    <w:uiPriority w:val="99"/>
    <w:tblPr>
      <w:tblCellMar>
        <w:top w:w="0" w:type="dxa"/>
        <w:left w:w="108" w:type="dxa"/>
        <w:bottom w:w="0" w:type="dxa"/>
        <w:right w:w="108" w:type="dxa"/>
      </w:tblCellMar>
    </w:tblPr>
  </w:style>
  <w:style w:type="paragraph" w:customStyle="1" w:styleId="2">
    <w:name w:val="正文首行缩进 21"/>
    <w:basedOn w:val="3"/>
    <w:qFormat/>
    <w:uiPriority w:val="0"/>
    <w:pPr>
      <w:ind w:firstLine="420"/>
    </w:pPr>
    <w:rPr>
      <w:kern w:val="2"/>
      <w:sz w:val="21"/>
    </w:rPr>
  </w:style>
  <w:style w:type="paragraph" w:customStyle="1" w:styleId="3">
    <w:name w:val="正文文本缩进1"/>
    <w:basedOn w:val="1"/>
    <w:next w:val="1"/>
    <w:qFormat/>
    <w:uiPriority w:val="0"/>
    <w:pPr>
      <w:ind w:left="420" w:leftChars="200"/>
    </w:pPr>
    <w:rPr>
      <w:kern w:val="0"/>
      <w:sz w:val="24"/>
    </w:rPr>
  </w:style>
  <w:style w:type="paragraph" w:styleId="7">
    <w:name w:val="Normal Indent"/>
    <w:basedOn w:val="1"/>
    <w:next w:val="1"/>
    <w:link w:val="225"/>
    <w:qFormat/>
    <w:uiPriority w:val="99"/>
    <w:pPr>
      <w:widowControl/>
      <w:snapToGrid w:val="0"/>
      <w:spacing w:line="480" w:lineRule="exact"/>
      <w:ind w:firstLine="567"/>
    </w:pPr>
    <w:rPr>
      <w:rFonts w:ascii="宋体"/>
      <w:snapToGrid w:val="0"/>
      <w:color w:val="000000"/>
      <w:kern w:val="28"/>
      <w:sz w:val="28"/>
      <w:szCs w:val="20"/>
    </w:rPr>
  </w:style>
  <w:style w:type="paragraph" w:styleId="14">
    <w:name w:val="List Number 2"/>
    <w:basedOn w:val="1"/>
    <w:next w:val="15"/>
    <w:qFormat/>
    <w:uiPriority w:val="99"/>
    <w:pPr>
      <w:numPr>
        <w:ilvl w:val="0"/>
        <w:numId w:val="3"/>
      </w:numPr>
    </w:pPr>
  </w:style>
  <w:style w:type="paragraph" w:styleId="15">
    <w:name w:val="Body Text"/>
    <w:basedOn w:val="1"/>
    <w:link w:val="214"/>
    <w:qFormat/>
    <w:locked/>
    <w:uiPriority w:val="99"/>
    <w:pPr>
      <w:spacing w:line="360" w:lineRule="auto"/>
    </w:pPr>
    <w:rPr>
      <w:rFonts w:eastAsia="FangSong_GB2312"/>
      <w:sz w:val="28"/>
    </w:rPr>
  </w:style>
  <w:style w:type="paragraph" w:styleId="16">
    <w:name w:val="List Number"/>
    <w:basedOn w:val="1"/>
    <w:qFormat/>
    <w:uiPriority w:val="0"/>
    <w:pPr>
      <w:numPr>
        <w:ilvl w:val="0"/>
        <w:numId w:val="4"/>
      </w:numPr>
    </w:pPr>
  </w:style>
  <w:style w:type="paragraph" w:styleId="17">
    <w:name w:val="caption"/>
    <w:basedOn w:val="1"/>
    <w:next w:val="1"/>
    <w:qFormat/>
    <w:uiPriority w:val="0"/>
    <w:pPr>
      <w:adjustRightInd/>
      <w:spacing w:line="360" w:lineRule="auto"/>
      <w:jc w:val="center"/>
    </w:pPr>
    <w:rPr>
      <w:rFonts w:ascii="Calibri" w:hAnsi="Calibri"/>
      <w:sz w:val="20"/>
      <w:szCs w:val="20"/>
    </w:rPr>
  </w:style>
  <w:style w:type="paragraph" w:styleId="18">
    <w:name w:val="Document Map"/>
    <w:basedOn w:val="1"/>
    <w:link w:val="212"/>
    <w:semiHidden/>
    <w:qFormat/>
    <w:locked/>
    <w:uiPriority w:val="99"/>
    <w:pPr>
      <w:shd w:val="clear" w:color="auto" w:fill="000080"/>
      <w:adjustRightInd/>
    </w:pPr>
    <w:rPr>
      <w:rFonts w:ascii="宋体"/>
      <w:sz w:val="18"/>
      <w:szCs w:val="18"/>
    </w:rPr>
  </w:style>
  <w:style w:type="paragraph" w:styleId="19">
    <w:name w:val="annotation text"/>
    <w:basedOn w:val="1"/>
    <w:link w:val="213"/>
    <w:qFormat/>
    <w:uiPriority w:val="99"/>
    <w:pPr>
      <w:adjustRightInd/>
      <w:jc w:val="left"/>
    </w:pPr>
    <w:rPr>
      <w:kern w:val="0"/>
      <w:sz w:val="24"/>
      <w:lang w:val="zh-CN"/>
    </w:rPr>
  </w:style>
  <w:style w:type="paragraph" w:styleId="20">
    <w:name w:val="Body Text 3"/>
    <w:basedOn w:val="1"/>
    <w:link w:val="281"/>
    <w:qFormat/>
    <w:locked/>
    <w:uiPriority w:val="0"/>
    <w:pPr>
      <w:adjustRightInd/>
      <w:spacing w:after="120"/>
    </w:pPr>
    <w:rPr>
      <w:sz w:val="16"/>
      <w:szCs w:val="16"/>
    </w:rPr>
  </w:style>
  <w:style w:type="paragraph" w:styleId="21">
    <w:name w:val="Body Text Indent"/>
    <w:basedOn w:val="1"/>
    <w:link w:val="215"/>
    <w:qFormat/>
    <w:uiPriority w:val="99"/>
    <w:pPr>
      <w:spacing w:after="120"/>
      <w:ind w:left="420" w:leftChars="200"/>
    </w:pPr>
    <w:rPr>
      <w:kern w:val="0"/>
      <w:sz w:val="24"/>
    </w:rPr>
  </w:style>
  <w:style w:type="paragraph" w:styleId="22">
    <w:name w:val="List Number 3"/>
    <w:basedOn w:val="1"/>
    <w:qFormat/>
    <w:uiPriority w:val="99"/>
    <w:pPr>
      <w:numPr>
        <w:ilvl w:val="0"/>
        <w:numId w:val="5"/>
      </w:numPr>
    </w:pPr>
  </w:style>
  <w:style w:type="paragraph" w:styleId="23">
    <w:name w:val="Block Text"/>
    <w:basedOn w:val="1"/>
    <w:unhideWhenUsed/>
    <w:qFormat/>
    <w:locked/>
    <w:uiPriority w:val="0"/>
    <w:pPr>
      <w:spacing w:after="120"/>
      <w:ind w:left="1440" w:leftChars="700" w:right="1440" w:rightChars="700"/>
    </w:pPr>
  </w:style>
  <w:style w:type="paragraph" w:styleId="24">
    <w:name w:val="Plain Text"/>
    <w:basedOn w:val="1"/>
    <w:next w:val="7"/>
    <w:link w:val="216"/>
    <w:qFormat/>
    <w:uiPriority w:val="0"/>
    <w:rPr>
      <w:rFonts w:ascii="宋体" w:hAnsi="Courier New"/>
      <w:kern w:val="0"/>
      <w:szCs w:val="20"/>
    </w:rPr>
  </w:style>
  <w:style w:type="paragraph" w:styleId="25">
    <w:name w:val="Date"/>
    <w:basedOn w:val="1"/>
    <w:next w:val="1"/>
    <w:link w:val="217"/>
    <w:qFormat/>
    <w:uiPriority w:val="0"/>
    <w:pPr>
      <w:ind w:left="100" w:leftChars="2500"/>
    </w:pPr>
    <w:rPr>
      <w:rFonts w:ascii="宋体"/>
      <w:kern w:val="0"/>
      <w:szCs w:val="20"/>
      <w:lang w:val="zh-CN"/>
    </w:rPr>
  </w:style>
  <w:style w:type="paragraph" w:styleId="26">
    <w:name w:val="Body Text Indent 2"/>
    <w:basedOn w:val="1"/>
    <w:link w:val="218"/>
    <w:qFormat/>
    <w:locked/>
    <w:uiPriority w:val="0"/>
    <w:pPr>
      <w:spacing w:after="120" w:line="480" w:lineRule="auto"/>
      <w:ind w:left="420" w:leftChars="200"/>
    </w:pPr>
  </w:style>
  <w:style w:type="paragraph" w:styleId="27">
    <w:name w:val="Balloon Text"/>
    <w:basedOn w:val="1"/>
    <w:link w:val="233"/>
    <w:semiHidden/>
    <w:qFormat/>
    <w:locked/>
    <w:uiPriority w:val="0"/>
    <w:rPr>
      <w:sz w:val="18"/>
      <w:szCs w:val="18"/>
    </w:rPr>
  </w:style>
  <w:style w:type="paragraph" w:styleId="28">
    <w:name w:val="footer"/>
    <w:basedOn w:val="1"/>
    <w:link w:val="219"/>
    <w:qFormat/>
    <w:uiPriority w:val="0"/>
    <w:pPr>
      <w:tabs>
        <w:tab w:val="center" w:pos="4153"/>
        <w:tab w:val="right" w:pos="8306"/>
      </w:tabs>
      <w:snapToGrid w:val="0"/>
      <w:jc w:val="left"/>
    </w:pPr>
    <w:rPr>
      <w:kern w:val="0"/>
      <w:sz w:val="18"/>
      <w:szCs w:val="18"/>
    </w:rPr>
  </w:style>
  <w:style w:type="paragraph" w:styleId="29">
    <w:name w:val="header"/>
    <w:basedOn w:val="1"/>
    <w:link w:val="224"/>
    <w:qFormat/>
    <w:uiPriority w:val="99"/>
    <w:pPr>
      <w:pBdr>
        <w:bottom w:val="single" w:color="auto" w:sz="6" w:space="1"/>
      </w:pBdr>
      <w:tabs>
        <w:tab w:val="center" w:pos="4153"/>
        <w:tab w:val="right" w:pos="8306"/>
      </w:tabs>
      <w:snapToGrid w:val="0"/>
      <w:jc w:val="center"/>
    </w:pPr>
    <w:rPr>
      <w:kern w:val="0"/>
      <w:sz w:val="18"/>
      <w:szCs w:val="20"/>
    </w:rPr>
  </w:style>
  <w:style w:type="paragraph" w:styleId="30">
    <w:name w:val="toc 1"/>
    <w:basedOn w:val="1"/>
    <w:next w:val="1"/>
    <w:semiHidden/>
    <w:qFormat/>
    <w:uiPriority w:val="0"/>
    <w:pPr>
      <w:adjustRightInd/>
    </w:pPr>
  </w:style>
  <w:style w:type="paragraph" w:styleId="31">
    <w:name w:val="toc 4"/>
    <w:basedOn w:val="1"/>
    <w:next w:val="1"/>
    <w:semiHidden/>
    <w:qFormat/>
    <w:uiPriority w:val="0"/>
    <w:pPr>
      <w:tabs>
        <w:tab w:val="right" w:leader="dot" w:pos="8314"/>
      </w:tabs>
      <w:adjustRightInd/>
      <w:ind w:firstLine="588" w:firstLineChars="245"/>
    </w:pPr>
  </w:style>
  <w:style w:type="paragraph" w:styleId="32">
    <w:name w:val="footnote text"/>
    <w:basedOn w:val="1"/>
    <w:qFormat/>
    <w:locked/>
    <w:uiPriority w:val="0"/>
    <w:pPr>
      <w:snapToGrid w:val="0"/>
      <w:jc w:val="left"/>
    </w:pPr>
    <w:rPr>
      <w:sz w:val="18"/>
    </w:rPr>
  </w:style>
  <w:style w:type="paragraph" w:styleId="33">
    <w:name w:val="Body Text Indent 3"/>
    <w:basedOn w:val="1"/>
    <w:link w:val="256"/>
    <w:qFormat/>
    <w:locked/>
    <w:uiPriority w:val="0"/>
    <w:pPr>
      <w:adjustRightInd/>
      <w:spacing w:after="120"/>
      <w:ind w:left="420" w:leftChars="200"/>
    </w:pPr>
    <w:rPr>
      <w:sz w:val="16"/>
      <w:szCs w:val="16"/>
    </w:rPr>
  </w:style>
  <w:style w:type="paragraph" w:styleId="34">
    <w:name w:val="toc 2"/>
    <w:basedOn w:val="1"/>
    <w:next w:val="1"/>
    <w:semiHidden/>
    <w:qFormat/>
    <w:uiPriority w:val="0"/>
    <w:pPr>
      <w:adjustRightInd/>
      <w:ind w:left="420" w:leftChars="200"/>
    </w:pPr>
  </w:style>
  <w:style w:type="paragraph" w:styleId="35">
    <w:name w:val="Body Text 2"/>
    <w:basedOn w:val="1"/>
    <w:link w:val="221"/>
    <w:qFormat/>
    <w:uiPriority w:val="0"/>
    <w:pPr>
      <w:widowControl/>
      <w:spacing w:afterLines="50" w:line="216" w:lineRule="auto"/>
      <w:jc w:val="center"/>
    </w:pPr>
    <w:rPr>
      <w:kern w:val="0"/>
      <w:sz w:val="24"/>
    </w:rPr>
  </w:style>
  <w:style w:type="paragraph" w:styleId="36">
    <w:name w:val="List Continue 2"/>
    <w:basedOn w:val="1"/>
    <w:qFormat/>
    <w:locked/>
    <w:uiPriority w:val="0"/>
    <w:pPr>
      <w:adjustRightInd/>
      <w:spacing w:after="120"/>
      <w:ind w:left="840" w:leftChars="400"/>
    </w:pPr>
  </w:style>
  <w:style w:type="paragraph" w:styleId="37">
    <w:name w:val="HTML Preformatted"/>
    <w:basedOn w:val="1"/>
    <w:link w:val="283"/>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locked/>
    <w:uiPriority w:val="0"/>
    <w:pPr>
      <w:widowControl/>
      <w:spacing w:before="100" w:beforeAutospacing="1" w:after="100" w:afterAutospacing="1"/>
      <w:jc w:val="left"/>
    </w:pPr>
    <w:rPr>
      <w:rFonts w:ascii="宋体" w:hAnsi="宋体" w:cs="宋体"/>
      <w:kern w:val="0"/>
      <w:sz w:val="24"/>
    </w:rPr>
  </w:style>
  <w:style w:type="paragraph" w:styleId="39">
    <w:name w:val="index 1"/>
    <w:basedOn w:val="1"/>
    <w:next w:val="1"/>
    <w:semiHidden/>
    <w:qFormat/>
    <w:locked/>
    <w:uiPriority w:val="0"/>
    <w:pPr>
      <w:adjustRightInd/>
      <w:spacing w:line="320" w:lineRule="exact"/>
    </w:pPr>
    <w:rPr>
      <w:b/>
      <w:snapToGrid w:val="0"/>
      <w:color w:val="FF6600"/>
      <w:kern w:val="0"/>
      <w:sz w:val="18"/>
      <w:szCs w:val="21"/>
    </w:rPr>
  </w:style>
  <w:style w:type="paragraph" w:styleId="40">
    <w:name w:val="Title"/>
    <w:basedOn w:val="1"/>
    <w:next w:val="1"/>
    <w:link w:val="222"/>
    <w:qFormat/>
    <w:uiPriority w:val="0"/>
    <w:pPr>
      <w:spacing w:before="240" w:after="60"/>
      <w:jc w:val="center"/>
      <w:outlineLvl w:val="0"/>
    </w:pPr>
    <w:rPr>
      <w:rFonts w:ascii="Calibri Light" w:hAnsi="Calibri Light"/>
      <w:b/>
      <w:bCs/>
      <w:kern w:val="0"/>
      <w:sz w:val="32"/>
      <w:szCs w:val="32"/>
    </w:rPr>
  </w:style>
  <w:style w:type="paragraph" w:styleId="41">
    <w:name w:val="annotation subject"/>
    <w:basedOn w:val="19"/>
    <w:next w:val="19"/>
    <w:link w:val="223"/>
    <w:qFormat/>
    <w:uiPriority w:val="99"/>
    <w:pPr>
      <w:widowControl/>
      <w:spacing w:afterLines="50"/>
    </w:pPr>
    <w:rPr>
      <w:b/>
      <w:bCs/>
    </w:rPr>
  </w:style>
  <w:style w:type="paragraph" w:styleId="42">
    <w:name w:val="Body Text First Indent"/>
    <w:basedOn w:val="15"/>
    <w:link w:val="280"/>
    <w:qFormat/>
    <w:locked/>
    <w:uiPriority w:val="99"/>
    <w:pPr>
      <w:adjustRightInd/>
      <w:spacing w:after="120" w:line="240" w:lineRule="auto"/>
      <w:ind w:firstLine="420" w:firstLineChars="100"/>
    </w:pPr>
    <w:rPr>
      <w:sz w:val="21"/>
    </w:rPr>
  </w:style>
  <w:style w:type="paragraph" w:styleId="43">
    <w:name w:val="Body Text First Indent 2"/>
    <w:basedOn w:val="21"/>
    <w:link w:val="263"/>
    <w:qFormat/>
    <w:locked/>
    <w:uiPriority w:val="0"/>
    <w:pPr>
      <w:adjustRightInd/>
      <w:ind w:firstLine="420" w:firstLineChars="200"/>
    </w:pPr>
    <w:rPr>
      <w:kern w:val="2"/>
      <w:sz w:val="21"/>
    </w:rPr>
  </w:style>
  <w:style w:type="table" w:styleId="45">
    <w:name w:val="Table Grid"/>
    <w:basedOn w:val="4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basedOn w:val="46"/>
    <w:qFormat/>
    <w:uiPriority w:val="0"/>
    <w:rPr>
      <w:b/>
      <w:bCs/>
    </w:rPr>
  </w:style>
  <w:style w:type="character" w:styleId="48">
    <w:name w:val="page number"/>
    <w:basedOn w:val="46"/>
    <w:qFormat/>
    <w:uiPriority w:val="0"/>
    <w:rPr>
      <w:rFonts w:ascii="Arial" w:hAnsi="Arial" w:eastAsia="黑体" w:cs="Times New Roman"/>
      <w:snapToGrid w:val="0"/>
      <w:kern w:val="0"/>
      <w:sz w:val="21"/>
    </w:rPr>
  </w:style>
  <w:style w:type="character" w:styleId="49">
    <w:name w:val="FollowedHyperlink"/>
    <w:basedOn w:val="46"/>
    <w:qFormat/>
    <w:locked/>
    <w:uiPriority w:val="0"/>
    <w:rPr>
      <w:rFonts w:cs="Times New Roman"/>
      <w:color w:val="800080"/>
      <w:u w:val="none"/>
    </w:rPr>
  </w:style>
  <w:style w:type="character" w:styleId="50">
    <w:name w:val="Emphasis"/>
    <w:basedOn w:val="46"/>
    <w:qFormat/>
    <w:uiPriority w:val="0"/>
    <w:rPr>
      <w:color w:val="CC0000"/>
    </w:rPr>
  </w:style>
  <w:style w:type="character" w:styleId="51">
    <w:name w:val="Hyperlink"/>
    <w:basedOn w:val="46"/>
    <w:qFormat/>
    <w:uiPriority w:val="0"/>
    <w:rPr>
      <w:rFonts w:cs="Times New Roman"/>
      <w:color w:val="0000FF"/>
      <w:u w:val="single"/>
    </w:rPr>
  </w:style>
  <w:style w:type="character" w:styleId="52">
    <w:name w:val="annotation reference"/>
    <w:basedOn w:val="46"/>
    <w:semiHidden/>
    <w:qFormat/>
    <w:locked/>
    <w:uiPriority w:val="99"/>
    <w:rPr>
      <w:rFonts w:cs="Times New Roman"/>
      <w:sz w:val="21"/>
      <w:szCs w:val="21"/>
    </w:rPr>
  </w:style>
  <w:style w:type="paragraph" w:customStyle="1" w:styleId="53">
    <w:name w:val="首行缩进"/>
    <w:basedOn w:val="1"/>
    <w:next w:val="15"/>
    <w:qFormat/>
    <w:uiPriority w:val="99"/>
    <w:pPr>
      <w:spacing w:line="360" w:lineRule="auto"/>
      <w:ind w:firstLine="480" w:firstLineChars="200"/>
    </w:pPr>
    <w:rPr>
      <w:sz w:val="24"/>
      <w:szCs w:val="22"/>
      <w:lang w:val="zh-CN"/>
    </w:rPr>
  </w:style>
  <w:style w:type="paragraph" w:customStyle="1" w:styleId="54">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5">
    <w:name w:val="列出段落1"/>
    <w:basedOn w:val="1"/>
    <w:next w:val="56"/>
    <w:qFormat/>
    <w:uiPriority w:val="99"/>
    <w:pPr>
      <w:spacing w:line="360" w:lineRule="auto"/>
      <w:ind w:firstLine="200" w:firstLineChars="200"/>
    </w:pPr>
    <w:rPr>
      <w:rFonts w:eastAsia="楷体_GB2312" w:cs="Lucida Sans"/>
      <w:sz w:val="24"/>
    </w:rPr>
  </w:style>
  <w:style w:type="paragraph" w:customStyle="1" w:styleId="56">
    <w:name w:val="正文文字 7"/>
    <w:basedOn w:val="1"/>
    <w:next w:val="1"/>
    <w:qFormat/>
    <w:uiPriority w:val="0"/>
    <w:pPr>
      <w:ind w:left="240"/>
    </w:pPr>
    <w:rPr>
      <w:sz w:val="20"/>
    </w:rPr>
  </w:style>
  <w:style w:type="paragraph" w:customStyle="1" w:styleId="57">
    <w:name w:val="标题2def"/>
    <w:basedOn w:val="40"/>
    <w:qFormat/>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szCs w:val="20"/>
    </w:rPr>
  </w:style>
  <w:style w:type="paragraph" w:customStyle="1" w:styleId="58">
    <w:name w:val="标题3def"/>
    <w:basedOn w:val="6"/>
    <w:next w:val="1"/>
    <w:qFormat/>
    <w:uiPriority w:val="99"/>
    <w:pPr>
      <w:snapToGrid w:val="0"/>
      <w:spacing w:before="80" w:after="160" w:line="400" w:lineRule="exact"/>
    </w:pPr>
    <w:rPr>
      <w:rFonts w:ascii="??_GB2312" w:hAnsi="宋体" w:eastAsia="Times New Roman"/>
      <w:bCs w:val="0"/>
      <w:sz w:val="24"/>
      <w:szCs w:val="20"/>
    </w:rPr>
  </w:style>
  <w:style w:type="paragraph" w:customStyle="1" w:styleId="59">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60">
    <w:name w:val="Char Char2 Char Char"/>
    <w:basedOn w:val="1"/>
    <w:qFormat/>
    <w:uiPriority w:val="99"/>
    <w:pPr>
      <w:widowControl/>
      <w:adjustRightInd/>
      <w:spacing w:line="400" w:lineRule="exact"/>
      <w:jc w:val="center"/>
    </w:pPr>
    <w:rPr>
      <w:rFonts w:ascii="Verdana" w:hAnsi="Verdana"/>
      <w:kern w:val="0"/>
      <w:szCs w:val="20"/>
      <w:lang w:eastAsia="en-US"/>
    </w:rPr>
  </w:style>
  <w:style w:type="paragraph" w:customStyle="1" w:styleId="61">
    <w:name w:val="Char Char Char Char1"/>
    <w:basedOn w:val="1"/>
    <w:qFormat/>
    <w:uiPriority w:val="99"/>
    <w:pPr>
      <w:adjustRightInd/>
    </w:pPr>
    <w:rPr>
      <w:rFonts w:ascii="Tahoma" w:hAnsi="Tahoma"/>
      <w:sz w:val="24"/>
      <w:szCs w:val="20"/>
    </w:rPr>
  </w:style>
  <w:style w:type="paragraph" w:customStyle="1" w:styleId="62">
    <w:name w:val="正文文本缩进 21"/>
    <w:basedOn w:val="1"/>
    <w:qFormat/>
    <w:uiPriority w:val="99"/>
    <w:pPr>
      <w:adjustRightInd/>
      <w:spacing w:line="520" w:lineRule="exact"/>
      <w:ind w:firstLine="848" w:firstLineChars="303"/>
    </w:pPr>
    <w:rPr>
      <w:rFonts w:ascii="黑体" w:hAnsi="Calibri" w:eastAsia="黑体" w:cs="黑体"/>
      <w:sz w:val="28"/>
      <w:szCs w:val="22"/>
    </w:rPr>
  </w:style>
  <w:style w:type="paragraph" w:customStyle="1" w:styleId="63">
    <w:name w:val="正文段"/>
    <w:basedOn w:val="1"/>
    <w:link w:val="231"/>
    <w:qFormat/>
    <w:uiPriority w:val="0"/>
    <w:pPr>
      <w:widowControl/>
      <w:snapToGrid w:val="0"/>
      <w:spacing w:afterLines="50"/>
      <w:ind w:firstLine="200" w:firstLineChars="200"/>
    </w:pPr>
    <w:rPr>
      <w:kern w:val="0"/>
      <w:sz w:val="24"/>
      <w:szCs w:val="20"/>
    </w:rPr>
  </w:style>
  <w:style w:type="paragraph" w:customStyle="1" w:styleId="64">
    <w:name w:val="正文2"/>
    <w:basedOn w:val="1"/>
    <w:link w:val="230"/>
    <w:qFormat/>
    <w:uiPriority w:val="0"/>
    <w:pPr>
      <w:spacing w:before="156" w:line="360" w:lineRule="auto"/>
      <w:ind w:firstLine="510" w:firstLineChars="200"/>
    </w:pPr>
    <w:rPr>
      <w:sz w:val="24"/>
      <w:szCs w:val="20"/>
    </w:rPr>
  </w:style>
  <w:style w:type="paragraph" w:customStyle="1" w:styleId="65">
    <w:name w:val="表正文"/>
    <w:basedOn w:val="1"/>
    <w:next w:val="24"/>
    <w:qFormat/>
    <w:uiPriority w:val="99"/>
    <w:rPr>
      <w:rFonts w:ascii="宋体" w:hAnsi="Courier New"/>
      <w:szCs w:val="20"/>
    </w:rPr>
  </w:style>
  <w:style w:type="paragraph" w:customStyle="1" w:styleId="66">
    <w:name w:val="列出段落2"/>
    <w:basedOn w:val="1"/>
    <w:next w:val="15"/>
    <w:qFormat/>
    <w:uiPriority w:val="0"/>
    <w:pPr>
      <w:ind w:left="720"/>
      <w:contextualSpacing/>
    </w:pPr>
  </w:style>
  <w:style w:type="paragraph" w:customStyle="1" w:styleId="67">
    <w:name w:val="正文 A"/>
    <w:qFormat/>
    <w:uiPriority w:val="99"/>
    <w:pPr>
      <w:widowControl w:val="0"/>
      <w:spacing w:line="360" w:lineRule="atLeast"/>
    </w:pPr>
    <w:rPr>
      <w:rFonts w:ascii="Times New Roman" w:hAnsi="Times New Roman" w:eastAsia="宋体" w:cs="Times New Roman"/>
      <w:color w:val="000000"/>
      <w:sz w:val="24"/>
      <w:szCs w:val="24"/>
      <w:lang w:val="en-US" w:eastAsia="zh-CN" w:bidi="ar-SA"/>
    </w:rPr>
  </w:style>
  <w:style w:type="paragraph" w:customStyle="1" w:styleId="68">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69">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70">
    <w:name w:val="列出段落11"/>
    <w:basedOn w:val="1"/>
    <w:qFormat/>
    <w:uiPriority w:val="99"/>
    <w:pPr>
      <w:spacing w:line="360" w:lineRule="auto"/>
      <w:ind w:firstLine="200" w:firstLineChars="200"/>
    </w:pPr>
    <w:rPr>
      <w:rFonts w:eastAsia="楷体_GB2312" w:cs="Lucida Sans"/>
      <w:sz w:val="24"/>
    </w:rPr>
  </w:style>
  <w:style w:type="paragraph" w:customStyle="1" w:styleId="71">
    <w:name w:val="样式5"/>
    <w:basedOn w:val="1"/>
    <w:qFormat/>
    <w:uiPriority w:val="99"/>
    <w:pPr>
      <w:spacing w:line="440" w:lineRule="exact"/>
      <w:ind w:left="2" w:firstLine="480" w:firstLineChars="200"/>
    </w:pPr>
    <w:rPr>
      <w:rFonts w:ascii="FangSong_GB2312" w:hAnsi="仿宋" w:eastAsia="FangSong_GB2312"/>
      <w:sz w:val="24"/>
    </w:rPr>
  </w:style>
  <w:style w:type="paragraph" w:customStyle="1" w:styleId="72">
    <w:name w:val="样式4"/>
    <w:basedOn w:val="1"/>
    <w:qFormat/>
    <w:uiPriority w:val="99"/>
    <w:pPr>
      <w:spacing w:line="360" w:lineRule="auto"/>
      <w:ind w:firstLine="420"/>
      <w:jc w:val="center"/>
      <w:outlineLvl w:val="2"/>
    </w:pPr>
    <w:rPr>
      <w:rFonts w:ascii="FangSong_GB2312" w:hAnsi="仿宋" w:eastAsia="FangSong_GB2312"/>
      <w:b/>
      <w:sz w:val="32"/>
      <w:szCs w:val="32"/>
    </w:rPr>
  </w:style>
  <w:style w:type="paragraph" w:customStyle="1" w:styleId="73">
    <w:name w:val="正文 New New New New"/>
    <w:qFormat/>
    <w:uiPriority w:val="99"/>
    <w:pPr>
      <w:widowControl w:val="0"/>
      <w:jc w:val="both"/>
    </w:pPr>
    <w:rPr>
      <w:rFonts w:ascii="Calibri" w:hAnsi="Calibri" w:eastAsia="宋体" w:cs="Times New Roman"/>
      <w:sz w:val="21"/>
      <w:szCs w:val="24"/>
      <w:lang w:val="en-US" w:eastAsia="zh-CN" w:bidi="ar-SA"/>
    </w:rPr>
  </w:style>
  <w:style w:type="paragraph" w:customStyle="1" w:styleId="74">
    <w:name w:val="列出段落5"/>
    <w:basedOn w:val="1"/>
    <w:qFormat/>
    <w:uiPriority w:val="34"/>
    <w:pPr>
      <w:ind w:firstLine="420" w:firstLineChars="200"/>
    </w:pPr>
    <w:rPr>
      <w:rFonts w:ascii="Calibri" w:hAnsi="Calibri"/>
      <w:sz w:val="24"/>
    </w:rPr>
  </w:style>
  <w:style w:type="paragraph" w:customStyle="1" w:styleId="75">
    <w:name w:val="unnamed1"/>
    <w:basedOn w:val="1"/>
    <w:qFormat/>
    <w:uiPriority w:val="0"/>
    <w:pPr>
      <w:widowControl/>
      <w:spacing w:before="100" w:beforeAutospacing="1" w:after="100" w:afterAutospacing="1" w:line="288" w:lineRule="auto"/>
      <w:jc w:val="left"/>
    </w:pPr>
    <w:rPr>
      <w:rFonts w:hint="eastAsia" w:ascii="宋体" w:hAnsi="宋体"/>
      <w:kern w:val="0"/>
      <w:szCs w:val="21"/>
    </w:rPr>
  </w:style>
  <w:style w:type="paragraph" w:customStyle="1" w:styleId="76">
    <w:name w:val="样式2 Char Char Char"/>
    <w:basedOn w:val="1"/>
    <w:link w:val="279"/>
    <w:qFormat/>
    <w:uiPriority w:val="99"/>
    <w:pPr>
      <w:widowControl/>
      <w:spacing w:line="360" w:lineRule="auto"/>
      <w:ind w:firstLine="480" w:firstLineChars="200"/>
      <w:jc w:val="left"/>
    </w:pPr>
    <w:rPr>
      <w:rFonts w:ascii="宋体" w:hAnsi="宋体"/>
      <w:bCs/>
      <w:kern w:val="0"/>
      <w:sz w:val="24"/>
      <w:lang w:eastAsia="en-US"/>
    </w:rPr>
  </w:style>
  <w:style w:type="paragraph" w:customStyle="1" w:styleId="77">
    <w:name w:val="样式 首行缩进:  0.74 厘米"/>
    <w:basedOn w:val="1"/>
    <w:qFormat/>
    <w:uiPriority w:val="0"/>
    <w:pPr>
      <w:ind w:firstLine="420"/>
    </w:pPr>
    <w:rPr>
      <w:rFonts w:ascii="Arial" w:hAnsi="Arial" w:eastAsia="FangSong_GB2312" w:cs="Arial"/>
      <w:bCs/>
      <w:sz w:val="28"/>
      <w:szCs w:val="28"/>
    </w:rPr>
  </w:style>
  <w:style w:type="paragraph" w:customStyle="1" w:styleId="78">
    <w:name w:val="正文格式（小四）"/>
    <w:basedOn w:val="1"/>
    <w:qFormat/>
    <w:uiPriority w:val="0"/>
    <w:pPr>
      <w:widowControl/>
      <w:snapToGrid w:val="0"/>
      <w:spacing w:line="360" w:lineRule="auto"/>
      <w:ind w:firstLine="482"/>
      <w:jc w:val="left"/>
      <w:textAlignment w:val="baseline"/>
    </w:pPr>
    <w:rPr>
      <w:kern w:val="24"/>
      <w:sz w:val="24"/>
    </w:rPr>
  </w:style>
  <w:style w:type="paragraph" w:customStyle="1" w:styleId="79">
    <w:name w:val="_Style 1"/>
    <w:basedOn w:val="1"/>
    <w:qFormat/>
    <w:uiPriority w:val="99"/>
    <w:pPr>
      <w:ind w:firstLine="420" w:firstLineChars="200"/>
    </w:pPr>
  </w:style>
  <w:style w:type="paragraph" w:customStyle="1" w:styleId="80">
    <w:name w:val="_Style 2"/>
    <w:basedOn w:val="1"/>
    <w:qFormat/>
    <w:uiPriority w:val="99"/>
    <w:pPr>
      <w:ind w:firstLine="420" w:firstLineChars="200"/>
    </w:pPr>
  </w:style>
  <w:style w:type="paragraph" w:customStyle="1" w:styleId="81">
    <w:name w:val="（1）"/>
    <w:basedOn w:val="1"/>
    <w:qFormat/>
    <w:uiPriority w:val="0"/>
    <w:pPr>
      <w:numPr>
        <w:ilvl w:val="0"/>
        <w:numId w:val="6"/>
      </w:numPr>
      <w:tabs>
        <w:tab w:val="left" w:pos="961"/>
      </w:tabs>
      <w:spacing w:line="360" w:lineRule="auto"/>
    </w:pPr>
    <w:rPr>
      <w:sz w:val="24"/>
    </w:rPr>
  </w:style>
  <w:style w:type="paragraph" w:customStyle="1" w:styleId="8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3">
    <w:name w:val="CM18"/>
    <w:basedOn w:val="82"/>
    <w:next w:val="82"/>
    <w:qFormat/>
    <w:uiPriority w:val="99"/>
    <w:rPr>
      <w:rFonts w:ascii="ST Xihei" w:hAnsi="Calibri" w:eastAsia="ST Xihei"/>
      <w:color w:val="auto"/>
    </w:rPr>
  </w:style>
  <w:style w:type="paragraph" w:customStyle="1" w:styleId="8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85">
    <w:name w:val="列出段落3"/>
    <w:basedOn w:val="1"/>
    <w:unhideWhenUsed/>
    <w:qFormat/>
    <w:uiPriority w:val="99"/>
    <w:pPr>
      <w:ind w:firstLine="420" w:firstLineChars="200"/>
    </w:pPr>
  </w:style>
  <w:style w:type="paragraph" w:customStyle="1" w:styleId="86">
    <w:name w:val="正文缩进2"/>
    <w:basedOn w:val="1"/>
    <w:qFormat/>
    <w:uiPriority w:val="0"/>
    <w:pPr>
      <w:spacing w:line="360" w:lineRule="auto"/>
      <w:ind w:firstLine="200" w:firstLineChars="200"/>
    </w:pPr>
    <w:rPr>
      <w:rFonts w:ascii="Calibri" w:hAnsi="Calibri" w:eastAsia="仿宋"/>
      <w:sz w:val="28"/>
      <w:szCs w:val="22"/>
    </w:rPr>
  </w:style>
  <w:style w:type="paragraph" w:customStyle="1" w:styleId="87">
    <w:name w:val="[Normal]"/>
    <w:qFormat/>
    <w:uiPriority w:val="0"/>
    <w:rPr>
      <w:rFonts w:ascii="宋体" w:hAnsi="宋体" w:eastAsia="宋体" w:cs="Times New Roman"/>
      <w:sz w:val="24"/>
      <w:szCs w:val="22"/>
      <w:lang w:val="zh-CN" w:eastAsia="zh-CN" w:bidi="ar-SA"/>
    </w:rPr>
  </w:style>
  <w:style w:type="paragraph" w:customStyle="1" w:styleId="88">
    <w:name w:val="标准正文"/>
    <w:basedOn w:val="1"/>
    <w:qFormat/>
    <w:uiPriority w:val="0"/>
    <w:pPr>
      <w:spacing w:afterLines="50"/>
      <w:ind w:firstLine="200" w:firstLineChars="200"/>
    </w:pPr>
    <w:rPr>
      <w:sz w:val="24"/>
      <w:szCs w:val="21"/>
    </w:rPr>
  </w:style>
  <w:style w:type="paragraph" w:customStyle="1" w:styleId="89">
    <w:name w:val="Char"/>
    <w:basedOn w:val="1"/>
    <w:uiPriority w:val="0"/>
    <w:pPr>
      <w:adjustRightInd/>
    </w:pPr>
    <w:rPr>
      <w:rFonts w:ascii="FangSong_GB2312" w:eastAsia="FangSong_GB2312"/>
      <w:b/>
      <w:sz w:val="32"/>
      <w:szCs w:val="32"/>
    </w:rPr>
  </w:style>
  <w:style w:type="paragraph" w:customStyle="1" w:styleId="90">
    <w:name w:val="Table Text"/>
    <w:link w:val="249"/>
    <w:qFormat/>
    <w:uiPriority w:val="0"/>
    <w:pPr>
      <w:snapToGrid w:val="0"/>
      <w:spacing w:before="80" w:after="80"/>
    </w:pPr>
    <w:rPr>
      <w:rFonts w:ascii="Arial" w:hAnsi="Arial" w:eastAsia="宋体" w:cs="Times New Roman"/>
      <w:sz w:val="18"/>
      <w:lang w:val="en-US" w:eastAsia="zh-CN" w:bidi="ar-SA"/>
    </w:rPr>
  </w:style>
  <w:style w:type="paragraph" w:customStyle="1" w:styleId="91">
    <w:name w:val="正文（缩进2汉字）"/>
    <w:basedOn w:val="1"/>
    <w:link w:val="250"/>
    <w:uiPriority w:val="0"/>
    <w:pPr>
      <w:tabs>
        <w:tab w:val="left" w:pos="525"/>
      </w:tabs>
      <w:adjustRightInd/>
      <w:spacing w:before="100" w:beforeAutospacing="1" w:after="100" w:afterAutospacing="1"/>
      <w:ind w:left="120" w:leftChars="50" w:firstLine="494" w:firstLineChars="206"/>
    </w:pPr>
    <w:rPr>
      <w:rFonts w:ascii="宋体"/>
      <w:szCs w:val="20"/>
    </w:rPr>
  </w:style>
  <w:style w:type="paragraph" w:customStyle="1" w:styleId="92">
    <w:name w:val="Char11"/>
    <w:basedOn w:val="1"/>
    <w:uiPriority w:val="0"/>
    <w:pPr>
      <w:tabs>
        <w:tab w:val="left" w:pos="432"/>
      </w:tabs>
      <w:adjustRightInd/>
      <w:spacing w:beforeLines="50" w:afterLines="50"/>
      <w:ind w:left="432" w:hanging="432"/>
      <w:jc w:val="center"/>
    </w:pPr>
    <w:rPr>
      <w:sz w:val="24"/>
    </w:rPr>
  </w:style>
  <w:style w:type="paragraph" w:customStyle="1" w:styleId="93">
    <w:name w:val="模板普通正文"/>
    <w:basedOn w:val="21"/>
    <w:uiPriority w:val="0"/>
    <w:pPr>
      <w:adjustRightInd/>
      <w:spacing w:beforeLines="50" w:after="10" w:line="360" w:lineRule="auto"/>
      <w:ind w:left="0" w:leftChars="0" w:firstLine="175" w:firstLineChars="175"/>
      <w:jc w:val="left"/>
    </w:pPr>
    <w:rPr>
      <w:kern w:val="2"/>
    </w:rPr>
  </w:style>
  <w:style w:type="paragraph" w:customStyle="1" w:styleId="94">
    <w:name w:val="缺省文本"/>
    <w:basedOn w:val="1"/>
    <w:uiPriority w:val="0"/>
    <w:pPr>
      <w:autoSpaceDE w:val="0"/>
      <w:autoSpaceDN w:val="0"/>
      <w:jc w:val="left"/>
    </w:pPr>
    <w:rPr>
      <w:kern w:val="0"/>
      <w:sz w:val="24"/>
    </w:rPr>
  </w:style>
  <w:style w:type="paragraph" w:customStyle="1" w:styleId="95">
    <w:name w:val="WW-正文文字缩进 2"/>
    <w:basedOn w:val="1"/>
    <w:uiPriority w:val="0"/>
    <w:pPr>
      <w:suppressAutoHyphens/>
      <w:adjustRightInd/>
      <w:ind w:firstLine="420"/>
    </w:pPr>
    <w:rPr>
      <w:kern w:val="1"/>
      <w:szCs w:val="20"/>
    </w:rPr>
  </w:style>
  <w:style w:type="paragraph" w:customStyle="1" w:styleId="96">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97">
    <w:name w:val="项目排列"/>
    <w:basedOn w:val="1"/>
    <w:link w:val="251"/>
    <w:uiPriority w:val="0"/>
    <w:pPr>
      <w:tabs>
        <w:tab w:val="left" w:pos="900"/>
      </w:tabs>
      <w:adjustRightInd/>
      <w:spacing w:beforeLines="50" w:afterLines="50" w:line="300" w:lineRule="auto"/>
      <w:ind w:left="900" w:hanging="420"/>
    </w:pPr>
    <w:rPr>
      <w:sz w:val="24"/>
    </w:rPr>
  </w:style>
  <w:style w:type="paragraph" w:customStyle="1" w:styleId="98">
    <w:name w:val="blue"/>
    <w:basedOn w:val="1"/>
    <w:uiPriority w:val="0"/>
    <w:pPr>
      <w:widowControl/>
      <w:adjustRightInd/>
      <w:spacing w:before="100" w:beforeAutospacing="1" w:after="100" w:afterAutospacing="1"/>
      <w:jc w:val="left"/>
    </w:pPr>
    <w:rPr>
      <w:rFonts w:ascii="Arial Unicode MS" w:hAnsi="Arial Unicode MS" w:eastAsia="Arial Unicode MS"/>
      <w:kern w:val="0"/>
      <w:sz w:val="24"/>
      <w:szCs w:val="20"/>
    </w:rPr>
  </w:style>
  <w:style w:type="paragraph" w:customStyle="1" w:styleId="99">
    <w:name w:val="Char1"/>
    <w:basedOn w:val="1"/>
    <w:uiPriority w:val="0"/>
    <w:pPr>
      <w:adjustRightInd/>
    </w:pPr>
    <w:rPr>
      <w:szCs w:val="20"/>
    </w:rPr>
  </w:style>
  <w:style w:type="paragraph" w:customStyle="1" w:styleId="100">
    <w:name w:val="列出段落21"/>
    <w:basedOn w:val="1"/>
    <w:uiPriority w:val="0"/>
    <w:pPr>
      <w:adjustRightInd/>
      <w:ind w:firstLine="420" w:firstLineChars="200"/>
    </w:pPr>
    <w:rPr>
      <w:rFonts w:ascii="Calibri" w:hAnsi="Calibri"/>
      <w:szCs w:val="22"/>
    </w:rPr>
  </w:style>
  <w:style w:type="paragraph" w:customStyle="1" w:styleId="101">
    <w:name w:val="默认段落字体 Para Char Char Char Char"/>
    <w:basedOn w:val="1"/>
    <w:uiPriority w:val="0"/>
    <w:pPr>
      <w:adjustRightInd/>
    </w:pPr>
  </w:style>
  <w:style w:type="paragraph" w:customStyle="1" w:styleId="102">
    <w:name w:val="Char Char Char1 Char Char Char1 Char Char Char Char"/>
    <w:basedOn w:val="1"/>
    <w:uiPriority w:val="0"/>
    <w:pPr>
      <w:adjustRightInd/>
    </w:pPr>
  </w:style>
  <w:style w:type="paragraph" w:customStyle="1" w:styleId="103">
    <w:name w:val="Char Char Char Char Char Char Char Char Char Char"/>
    <w:basedOn w:val="1"/>
    <w:uiPriority w:val="0"/>
    <w:pPr>
      <w:adjustRightInd/>
    </w:pPr>
    <w:rPr>
      <w:rFonts w:ascii="Tahoma" w:hAnsi="Tahoma"/>
      <w:sz w:val="24"/>
      <w:szCs w:val="20"/>
    </w:rPr>
  </w:style>
  <w:style w:type="paragraph" w:customStyle="1" w:styleId="104">
    <w:name w:val="正文无缩进"/>
    <w:basedOn w:val="1"/>
    <w:link w:val="255"/>
    <w:qFormat/>
    <w:uiPriority w:val="0"/>
    <w:pPr>
      <w:adjustRightInd/>
      <w:spacing w:line="360" w:lineRule="auto"/>
    </w:pPr>
    <w:rPr>
      <w:rFonts w:ascii="宋体"/>
      <w:color w:val="000000"/>
      <w:sz w:val="24"/>
    </w:rPr>
  </w:style>
  <w:style w:type="paragraph" w:customStyle="1" w:styleId="105">
    <w:name w:val="正文1"/>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06">
    <w:name w:val="Char Char1 Char Char Char Char1 Char Char Char"/>
    <w:basedOn w:val="1"/>
    <w:uiPriority w:val="0"/>
    <w:pPr>
      <w:spacing w:line="360" w:lineRule="atLeast"/>
    </w:pPr>
    <w:rPr>
      <w:rFonts w:ascii="Tahoma" w:hAnsi="Tahoma"/>
      <w:sz w:val="24"/>
      <w:szCs w:val="20"/>
    </w:rPr>
  </w:style>
  <w:style w:type="paragraph" w:customStyle="1" w:styleId="107">
    <w:name w:val="表格"/>
    <w:basedOn w:val="1"/>
    <w:link w:val="258"/>
    <w:uiPriority w:val="0"/>
    <w:pPr>
      <w:adjustRightInd/>
      <w:snapToGrid w:val="0"/>
      <w:ind w:firstLine="42" w:firstLineChars="21"/>
    </w:pPr>
    <w:rPr>
      <w:rFonts w:ascii="宋体" w:hAnsi="宋体"/>
      <w:kern w:val="0"/>
      <w:sz w:val="20"/>
      <w:szCs w:val="20"/>
    </w:rPr>
  </w:style>
  <w:style w:type="paragraph" w:customStyle="1" w:styleId="108">
    <w:name w:val="xl32"/>
    <w:basedOn w:val="1"/>
    <w:uiPriority w:val="0"/>
    <w:pPr>
      <w:widowControl/>
      <w:pBdr>
        <w:left w:val="single" w:color="auto" w:sz="4" w:space="0"/>
        <w:right w:val="single" w:color="auto" w:sz="4" w:space="0"/>
      </w:pBdr>
      <w:adjustRightInd/>
      <w:spacing w:before="100" w:beforeAutospacing="1" w:after="100" w:afterAutospacing="1"/>
    </w:pPr>
    <w:rPr>
      <w:kern w:val="0"/>
      <w:szCs w:val="21"/>
    </w:rPr>
  </w:style>
  <w:style w:type="paragraph" w:customStyle="1" w:styleId="109">
    <w:name w:val="Char Char1 Char Char Char Char Char Char"/>
    <w:basedOn w:val="1"/>
    <w:uiPriority w:val="0"/>
    <w:pPr>
      <w:widowControl/>
      <w:adjustRightInd/>
      <w:spacing w:after="160" w:line="240" w:lineRule="exact"/>
      <w:jc w:val="left"/>
    </w:pPr>
  </w:style>
  <w:style w:type="paragraph" w:customStyle="1" w:styleId="110">
    <w:name w:val="标书_正文"/>
    <w:basedOn w:val="1"/>
    <w:uiPriority w:val="0"/>
    <w:pPr>
      <w:snapToGrid w:val="0"/>
      <w:spacing w:line="400" w:lineRule="exact"/>
      <w:ind w:firstLine="560" w:firstLineChars="200"/>
    </w:pPr>
    <w:rPr>
      <w:rFonts w:ascii="FangSong_GB2312" w:eastAsia="FangSong_GB2312" w:cs="宋体"/>
      <w:bCs/>
      <w:color w:val="000000"/>
      <w:kern w:val="0"/>
      <w:sz w:val="28"/>
      <w:szCs w:val="28"/>
    </w:rPr>
  </w:style>
  <w:style w:type="paragraph" w:customStyle="1" w:styleId="111">
    <w:name w:val="标准文本"/>
    <w:basedOn w:val="1"/>
    <w:link w:val="261"/>
    <w:uiPriority w:val="0"/>
    <w:pPr>
      <w:adjustRightInd/>
      <w:spacing w:line="360" w:lineRule="auto"/>
      <w:ind w:firstLine="480" w:firstLineChars="200"/>
    </w:pPr>
    <w:rPr>
      <w:rFonts w:cs="宋体"/>
      <w:sz w:val="24"/>
      <w:szCs w:val="20"/>
    </w:rPr>
  </w:style>
  <w:style w:type="paragraph" w:customStyle="1" w:styleId="112">
    <w:name w:val="自定义正文"/>
    <w:basedOn w:val="1"/>
    <w:link w:val="262"/>
    <w:uiPriority w:val="0"/>
    <w:pPr>
      <w:adjustRightInd/>
      <w:spacing w:line="480" w:lineRule="exact"/>
      <w:ind w:firstLine="200" w:firstLineChars="200"/>
      <w:jc w:val="left"/>
    </w:pPr>
    <w:rPr>
      <w:rFonts w:ascii="FangSong_GB2312" w:eastAsia="FangSong_GB2312"/>
      <w:sz w:val="28"/>
    </w:rPr>
  </w:style>
  <w:style w:type="paragraph" w:customStyle="1" w:styleId="113">
    <w:name w:val="样式 小四 行距: 1.5 倍行距 首行缩进:  2 字符"/>
    <w:basedOn w:val="1"/>
    <w:uiPriority w:val="0"/>
    <w:pPr>
      <w:adjustRightInd/>
      <w:spacing w:line="360" w:lineRule="auto"/>
      <w:ind w:firstLine="480" w:firstLineChars="200"/>
    </w:pPr>
    <w:rPr>
      <w:rFonts w:cs="宋体"/>
      <w:sz w:val="24"/>
      <w:szCs w:val="20"/>
    </w:rPr>
  </w:style>
  <w:style w:type="paragraph" w:customStyle="1" w:styleId="114">
    <w:name w:val="自定义表格文字"/>
    <w:basedOn w:val="1"/>
    <w:uiPriority w:val="0"/>
    <w:pPr>
      <w:adjustRightInd/>
      <w:spacing w:before="60" w:after="60" w:line="320" w:lineRule="exact"/>
      <w:jc w:val="left"/>
    </w:pPr>
    <w:rPr>
      <w:rFonts w:ascii="宋体" w:eastAsia="楷体_GB2312"/>
    </w:rPr>
  </w:style>
  <w:style w:type="paragraph" w:customStyle="1" w:styleId="115">
    <w:name w:val="Char Char Char1 Char"/>
    <w:basedOn w:val="1"/>
    <w:uiPriority w:val="0"/>
    <w:pPr>
      <w:widowControl/>
      <w:adjustRightInd/>
      <w:spacing w:after="160" w:line="240" w:lineRule="exact"/>
      <w:jc w:val="left"/>
    </w:pPr>
    <w:rPr>
      <w:rFonts w:ascii="Verdana" w:hAnsi="Verdana" w:eastAsia="FangSong_GB2312"/>
      <w:kern w:val="0"/>
      <w:sz w:val="24"/>
      <w:szCs w:val="20"/>
      <w:lang w:eastAsia="en-US"/>
    </w:rPr>
  </w:style>
  <w:style w:type="paragraph" w:customStyle="1" w:styleId="116">
    <w:name w:val="Char Char Char1 Char1"/>
    <w:basedOn w:val="1"/>
    <w:uiPriority w:val="0"/>
    <w:pPr>
      <w:widowControl/>
      <w:adjustRightInd/>
      <w:spacing w:after="160" w:line="240" w:lineRule="exact"/>
      <w:jc w:val="left"/>
    </w:pPr>
    <w:rPr>
      <w:rFonts w:ascii="Verdana" w:hAnsi="Verdana" w:eastAsia="FangSong_GB2312"/>
      <w:kern w:val="0"/>
      <w:sz w:val="24"/>
      <w:szCs w:val="20"/>
      <w:lang w:eastAsia="en-US"/>
    </w:rPr>
  </w:style>
  <w:style w:type="paragraph" w:customStyle="1" w:styleId="117">
    <w:name w:val="表内文字"/>
    <w:basedOn w:val="1"/>
    <w:uiPriority w:val="0"/>
    <w:pPr>
      <w:adjustRightInd/>
      <w:jc w:val="center"/>
    </w:pPr>
    <w:rPr>
      <w:color w:val="FF0000"/>
      <w:kern w:val="0"/>
      <w:sz w:val="24"/>
    </w:rPr>
  </w:style>
  <w:style w:type="paragraph" w:customStyle="1" w:styleId="118">
    <w:name w:val="xl25"/>
    <w:basedOn w:val="1"/>
    <w:uiPriority w:val="0"/>
    <w:pPr>
      <w:widowControl/>
      <w:numPr>
        <w:ilvl w:val="0"/>
        <w:numId w:val="7"/>
      </w:numPr>
      <w:adjustRightInd/>
      <w:spacing w:before="100" w:beforeAutospacing="1" w:after="100" w:afterAutospacing="1"/>
      <w:ind w:left="0" w:firstLine="0"/>
      <w:jc w:val="center"/>
      <w:textAlignment w:val="center"/>
    </w:pPr>
    <w:rPr>
      <w:rFonts w:ascii="宋体" w:hAnsi="宋体"/>
      <w:kern w:val="0"/>
      <w:sz w:val="20"/>
      <w:szCs w:val="20"/>
    </w:rPr>
  </w:style>
  <w:style w:type="paragraph" w:customStyle="1" w:styleId="119">
    <w:name w:val="font7"/>
    <w:basedOn w:val="1"/>
    <w:uiPriority w:val="0"/>
    <w:pPr>
      <w:widowControl/>
      <w:adjustRightInd/>
      <w:spacing w:before="100" w:beforeAutospacing="1" w:after="100" w:afterAutospacing="1"/>
      <w:jc w:val="left"/>
    </w:pPr>
    <w:rPr>
      <w:rFonts w:hint="eastAsia" w:ascii="宋体" w:hAnsi="宋体"/>
      <w:kern w:val="0"/>
      <w:szCs w:val="21"/>
    </w:rPr>
  </w:style>
  <w:style w:type="paragraph" w:customStyle="1" w:styleId="120">
    <w:name w:val="font5"/>
    <w:basedOn w:val="1"/>
    <w:uiPriority w:val="0"/>
    <w:pPr>
      <w:widowControl/>
      <w:adjustRightInd/>
      <w:spacing w:before="100" w:beforeAutospacing="1" w:after="100" w:afterAutospacing="1"/>
      <w:jc w:val="left"/>
    </w:pPr>
    <w:rPr>
      <w:rFonts w:hint="eastAsia" w:ascii="宋体" w:hAnsi="宋体"/>
      <w:kern w:val="0"/>
      <w:sz w:val="24"/>
    </w:rPr>
  </w:style>
  <w:style w:type="paragraph" w:customStyle="1" w:styleId="121">
    <w:name w:val="font6"/>
    <w:basedOn w:val="1"/>
    <w:uiPriority w:val="0"/>
    <w:pPr>
      <w:widowControl/>
      <w:adjustRightInd/>
      <w:spacing w:before="100" w:beforeAutospacing="1" w:after="100" w:afterAutospacing="1"/>
      <w:jc w:val="left"/>
    </w:pPr>
    <w:rPr>
      <w:rFonts w:hint="eastAsia" w:ascii="宋体" w:hAnsi="宋体"/>
      <w:kern w:val="0"/>
      <w:sz w:val="18"/>
      <w:szCs w:val="18"/>
    </w:rPr>
  </w:style>
  <w:style w:type="paragraph" w:customStyle="1" w:styleId="122">
    <w:name w:val="项目1"/>
    <w:basedOn w:val="1"/>
    <w:uiPriority w:val="0"/>
    <w:pPr>
      <w:tabs>
        <w:tab w:val="left" w:pos="840"/>
      </w:tabs>
      <w:adjustRightInd/>
      <w:spacing w:after="60"/>
      <w:ind w:left="840" w:hanging="420"/>
    </w:pPr>
    <w:rPr>
      <w:rFonts w:ascii="宋体"/>
      <w:spacing w:val="4"/>
      <w:szCs w:val="20"/>
    </w:rPr>
  </w:style>
  <w:style w:type="paragraph" w:customStyle="1" w:styleId="123">
    <w:name w:val="编10号"/>
    <w:basedOn w:val="1"/>
    <w:uiPriority w:val="0"/>
    <w:pPr>
      <w:numPr>
        <w:ilvl w:val="3"/>
        <w:numId w:val="8"/>
      </w:numPr>
      <w:tabs>
        <w:tab w:val="left" w:pos="420"/>
      </w:tabs>
      <w:adjustRightInd/>
    </w:pPr>
  </w:style>
  <w:style w:type="paragraph" w:customStyle="1" w:styleId="124">
    <w:name w:val="段"/>
    <w:basedOn w:val="1"/>
    <w:link w:val="287"/>
    <w:uiPriority w:val="0"/>
    <w:pPr>
      <w:adjustRightInd/>
      <w:ind w:firstLine="425"/>
    </w:pPr>
    <w:rPr>
      <w:rFonts w:ascii="宋体"/>
      <w:szCs w:val="20"/>
    </w:rPr>
  </w:style>
  <w:style w:type="paragraph" w:customStyle="1" w:styleId="125">
    <w:name w:val="Char Char Char Char"/>
    <w:basedOn w:val="1"/>
    <w:uiPriority w:val="0"/>
    <w:pPr>
      <w:widowControl/>
      <w:adjustRightInd/>
      <w:spacing w:after="160" w:line="240" w:lineRule="exact"/>
      <w:jc w:val="left"/>
    </w:pPr>
    <w:rPr>
      <w:kern w:val="0"/>
      <w:sz w:val="24"/>
    </w:rPr>
  </w:style>
  <w:style w:type="paragraph" w:customStyle="1" w:styleId="126">
    <w:name w:val="Char Char1 Char Char Char Char Char Char Char Char Char Char"/>
    <w:basedOn w:val="1"/>
    <w:uiPriority w:val="0"/>
    <w:pPr>
      <w:widowControl/>
      <w:adjustRightInd/>
      <w:spacing w:after="160" w:line="240" w:lineRule="exact"/>
      <w:jc w:val="left"/>
    </w:pPr>
    <w:rPr>
      <w:rFonts w:ascii="Verdana" w:hAnsi="Verdana" w:eastAsia="FangSong_GB2312"/>
      <w:kern w:val="0"/>
      <w:sz w:val="24"/>
      <w:szCs w:val="20"/>
      <w:lang w:eastAsia="en-US"/>
    </w:rPr>
  </w:style>
  <w:style w:type="paragraph" w:customStyle="1" w:styleId="127">
    <w:name w:val="Char1 Char Char Char Char Char Char"/>
    <w:basedOn w:val="1"/>
    <w:uiPriority w:val="0"/>
    <w:pPr>
      <w:adjustRightInd/>
    </w:pPr>
    <w:rPr>
      <w:rFonts w:ascii="Tahoma" w:hAnsi="Tahoma"/>
      <w:sz w:val="24"/>
      <w:szCs w:val="20"/>
    </w:rPr>
  </w:style>
  <w:style w:type="paragraph" w:customStyle="1" w:styleId="128">
    <w:name w:val="Char Char2 Char Char Char Char"/>
    <w:basedOn w:val="18"/>
    <w:uiPriority w:val="0"/>
    <w:rPr>
      <w:rFonts w:ascii="Tahoma" w:hAnsi="Tahoma"/>
      <w:sz w:val="24"/>
      <w:szCs w:val="24"/>
    </w:rPr>
  </w:style>
  <w:style w:type="paragraph" w:customStyle="1" w:styleId="129">
    <w:name w:val="Char Char Char"/>
    <w:basedOn w:val="18"/>
    <w:uiPriority w:val="0"/>
    <w:rPr>
      <w:rFonts w:ascii="Tahoma" w:hAnsi="Tahoma"/>
      <w:sz w:val="24"/>
      <w:szCs w:val="24"/>
    </w:rPr>
  </w:style>
  <w:style w:type="paragraph" w:customStyle="1" w:styleId="130">
    <w:name w:val="正文缩进 New"/>
    <w:basedOn w:val="1"/>
    <w:uiPriority w:val="0"/>
    <w:pPr>
      <w:adjustRightInd/>
      <w:ind w:firstLine="420" w:firstLineChars="200"/>
    </w:pPr>
    <w:rPr>
      <w:szCs w:val="20"/>
    </w:rPr>
  </w:style>
  <w:style w:type="paragraph" w:customStyle="1" w:styleId="13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paragraph" w:customStyle="1" w:styleId="132">
    <w:name w:val="Char Char Char 字元 字元"/>
    <w:basedOn w:val="1"/>
    <w:uiPriority w:val="0"/>
    <w:pPr>
      <w:adjustRightInd/>
      <w:spacing w:line="360" w:lineRule="auto"/>
      <w:ind w:firstLine="200" w:firstLineChars="200"/>
    </w:pPr>
    <w:rPr>
      <w:szCs w:val="20"/>
    </w:rPr>
  </w:style>
  <w:style w:type="paragraph" w:customStyle="1" w:styleId="133">
    <w:name w:val="正文 New"/>
    <w:uiPriority w:val="0"/>
    <w:pPr>
      <w:widowControl w:val="0"/>
      <w:jc w:val="both"/>
    </w:pPr>
    <w:rPr>
      <w:rFonts w:ascii="Times New Roman" w:hAnsi="Times New Roman" w:eastAsia="宋体" w:cs="Times New Roman"/>
      <w:kern w:val="2"/>
      <w:sz w:val="21"/>
      <w:lang w:val="en-US" w:eastAsia="zh-CN" w:bidi="ar-SA"/>
    </w:rPr>
  </w:style>
  <w:style w:type="paragraph" w:customStyle="1" w:styleId="134">
    <w:name w:val="正文 New New"/>
    <w:uiPriority w:val="0"/>
    <w:pPr>
      <w:widowControl w:val="0"/>
      <w:jc w:val="both"/>
    </w:pPr>
    <w:rPr>
      <w:rFonts w:ascii="Times New Roman" w:hAnsi="Times New Roman" w:eastAsia="宋体" w:cs="Times New Roman"/>
      <w:kern w:val="2"/>
      <w:sz w:val="21"/>
      <w:lang w:val="en-US" w:eastAsia="zh-CN" w:bidi="ar-SA"/>
    </w:rPr>
  </w:style>
  <w:style w:type="paragraph" w:customStyle="1" w:styleId="135">
    <w:name w:val="样式 正文缩进 + 首行缩进:  2 字符"/>
    <w:basedOn w:val="7"/>
    <w:link w:val="277"/>
    <w:uiPriority w:val="0"/>
    <w:pPr>
      <w:widowControl w:val="0"/>
      <w:adjustRightInd/>
      <w:snapToGrid/>
      <w:spacing w:line="360" w:lineRule="auto"/>
      <w:ind w:firstLine="480" w:firstLineChars="200"/>
    </w:pPr>
    <w:rPr>
      <w:rFonts w:hAnsi="宋体"/>
      <w:kern w:val="0"/>
      <w:sz w:val="24"/>
    </w:rPr>
  </w:style>
  <w:style w:type="paragraph" w:customStyle="1" w:styleId="136">
    <w:name w:val="表格内文字"/>
    <w:basedOn w:val="1"/>
    <w:link w:val="278"/>
    <w:uiPriority w:val="0"/>
    <w:pPr>
      <w:keepLines/>
      <w:widowControl/>
      <w:adjustRightInd/>
      <w:spacing w:before="40" w:after="40"/>
      <w:jc w:val="left"/>
      <w:textAlignment w:val="top"/>
    </w:pPr>
    <w:rPr>
      <w:rFonts w:ascii="Arial" w:hAnsi="Arial"/>
      <w:sz w:val="18"/>
      <w:szCs w:val="18"/>
    </w:rPr>
  </w:style>
  <w:style w:type="paragraph" w:customStyle="1" w:styleId="137">
    <w:name w:val="a2"/>
    <w:basedOn w:val="1"/>
    <w:uiPriority w:val="99"/>
    <w:pPr>
      <w:widowControl/>
      <w:adjustRightInd/>
      <w:spacing w:before="100" w:beforeAutospacing="1" w:after="100" w:afterAutospacing="1"/>
      <w:jc w:val="left"/>
    </w:pPr>
    <w:rPr>
      <w:rFonts w:ascii="宋体" w:hAnsi="宋体" w:cs="宋体"/>
      <w:kern w:val="0"/>
      <w:sz w:val="24"/>
    </w:rPr>
  </w:style>
  <w:style w:type="paragraph" w:customStyle="1" w:styleId="138">
    <w:name w:val="Char19"/>
    <w:basedOn w:val="1"/>
    <w:uiPriority w:val="99"/>
    <w:pPr>
      <w:adjustRightInd/>
    </w:pPr>
    <w:rPr>
      <w:szCs w:val="20"/>
    </w:rPr>
  </w:style>
  <w:style w:type="paragraph" w:customStyle="1" w:styleId="139">
    <w:name w:val="标题1"/>
    <w:basedOn w:val="1"/>
    <w:uiPriority w:val="0"/>
    <w:pPr>
      <w:adjustRightInd/>
      <w:spacing w:line="360" w:lineRule="auto"/>
      <w:jc w:val="center"/>
      <w:outlineLvl w:val="1"/>
    </w:pPr>
    <w:rPr>
      <w:rFonts w:ascii="楷体_GB2312" w:eastAsia="楷体_GB2312"/>
      <w:b/>
      <w:sz w:val="36"/>
      <w:szCs w:val="36"/>
    </w:rPr>
  </w:style>
  <w:style w:type="paragraph" w:customStyle="1" w:styleId="140">
    <w:name w:val="样式 列表编号 + 段后: 0.5 行"/>
    <w:basedOn w:val="16"/>
    <w:uiPriority w:val="0"/>
    <w:pPr>
      <w:widowControl/>
      <w:numPr>
        <w:ilvl w:val="0"/>
        <w:numId w:val="0"/>
      </w:numPr>
      <w:tabs>
        <w:tab w:val="left" w:pos="405"/>
        <w:tab w:val="clear" w:pos="360"/>
      </w:tabs>
      <w:adjustRightInd/>
      <w:ind w:left="405" w:hanging="405"/>
      <w:jc w:val="left"/>
    </w:pPr>
    <w:rPr>
      <w:rFonts w:cs="宋体"/>
      <w:kern w:val="0"/>
      <w:sz w:val="24"/>
      <w:szCs w:val="20"/>
    </w:rPr>
  </w:style>
  <w:style w:type="paragraph" w:customStyle="1" w:styleId="141">
    <w:name w:val="SJ2"/>
    <w:next w:val="29"/>
    <w:link w:val="284"/>
    <w:uiPriority w:val="0"/>
    <w:pPr>
      <w:spacing w:line="300" w:lineRule="auto"/>
      <w:ind w:firstLine="420" w:firstLineChars="200"/>
    </w:pPr>
    <w:rPr>
      <w:rFonts w:ascii="Times New Roman" w:hAnsi="Times New Roman" w:eastAsia="宋体" w:cs="Times New Roman"/>
      <w:kern w:val="16"/>
      <w:lang w:val="en-US" w:eastAsia="zh-CN" w:bidi="ar-SA"/>
    </w:rPr>
  </w:style>
  <w:style w:type="paragraph" w:customStyle="1" w:styleId="142">
    <w:name w:val="纯文本1"/>
    <w:basedOn w:val="1"/>
    <w:uiPriority w:val="0"/>
    <w:pPr>
      <w:adjustRightInd/>
    </w:pPr>
    <w:rPr>
      <w:rFonts w:ascii="宋体" w:hAnsi="Courier New" w:cs="Courier New"/>
      <w:szCs w:val="21"/>
    </w:rPr>
  </w:style>
  <w:style w:type="paragraph" w:customStyle="1" w:styleId="143">
    <w:name w:val="p0"/>
    <w:basedOn w:val="1"/>
    <w:uiPriority w:val="0"/>
    <w:pPr>
      <w:widowControl/>
      <w:adjustRightInd/>
    </w:pPr>
    <w:rPr>
      <w:kern w:val="0"/>
      <w:szCs w:val="21"/>
    </w:rPr>
  </w:style>
  <w:style w:type="paragraph" w:customStyle="1" w:styleId="144">
    <w:name w:val="font0"/>
    <w:basedOn w:val="1"/>
    <w:uiPriority w:val="0"/>
    <w:pPr>
      <w:widowControl/>
      <w:adjustRightInd/>
      <w:spacing w:before="100" w:beforeAutospacing="1" w:after="100" w:afterAutospacing="1"/>
      <w:jc w:val="left"/>
    </w:pPr>
    <w:rPr>
      <w:rFonts w:ascii="宋体" w:hAnsi="宋体" w:cs="宋体"/>
      <w:kern w:val="0"/>
      <w:sz w:val="24"/>
    </w:rPr>
  </w:style>
  <w:style w:type="paragraph" w:customStyle="1" w:styleId="145">
    <w:name w:val="xl65"/>
    <w:basedOn w:val="1"/>
    <w:uiPriority w:val="0"/>
    <w:pPr>
      <w:widowControl/>
      <w:adjustRightInd/>
      <w:spacing w:before="100" w:beforeAutospacing="1" w:after="100" w:afterAutospacing="1"/>
      <w:jc w:val="left"/>
    </w:pPr>
    <w:rPr>
      <w:rFonts w:ascii="宋体" w:hAnsi="宋体" w:cs="宋体"/>
      <w:kern w:val="0"/>
      <w:sz w:val="20"/>
      <w:szCs w:val="20"/>
    </w:rPr>
  </w:style>
  <w:style w:type="paragraph" w:customStyle="1" w:styleId="146">
    <w:name w:val="xl66"/>
    <w:basedOn w:val="1"/>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textAlignment w:val="center"/>
    </w:pPr>
    <w:rPr>
      <w:rFonts w:ascii="宋体" w:hAnsi="宋体" w:cs="宋体"/>
      <w:kern w:val="0"/>
      <w:sz w:val="20"/>
      <w:szCs w:val="20"/>
    </w:rPr>
  </w:style>
  <w:style w:type="paragraph" w:customStyle="1" w:styleId="147">
    <w:name w:val="xl67"/>
    <w:basedOn w:val="1"/>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textAlignment w:val="center"/>
    </w:pPr>
    <w:rPr>
      <w:rFonts w:ascii="宋体" w:hAnsi="宋体" w:cs="宋体"/>
      <w:kern w:val="0"/>
      <w:sz w:val="18"/>
      <w:szCs w:val="18"/>
    </w:rPr>
  </w:style>
  <w:style w:type="paragraph" w:customStyle="1" w:styleId="148">
    <w:name w:val="xl68"/>
    <w:basedOn w:val="1"/>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textAlignment w:val="center"/>
    </w:pPr>
    <w:rPr>
      <w:rFonts w:ascii="宋体" w:hAnsi="宋体" w:cs="宋体"/>
      <w:kern w:val="0"/>
      <w:sz w:val="18"/>
      <w:szCs w:val="18"/>
    </w:rPr>
  </w:style>
  <w:style w:type="paragraph" w:customStyle="1" w:styleId="149">
    <w:name w:val="xl69"/>
    <w:basedOn w:val="1"/>
    <w:uiPriority w:val="0"/>
    <w:pPr>
      <w:widowControl/>
      <w:adjustRightInd/>
      <w:spacing w:before="100" w:beforeAutospacing="1" w:after="100" w:afterAutospacing="1"/>
      <w:jc w:val="center"/>
      <w:textAlignment w:val="center"/>
    </w:pPr>
    <w:rPr>
      <w:rFonts w:ascii="宋体" w:hAnsi="宋体" w:cs="宋体"/>
      <w:kern w:val="0"/>
      <w:sz w:val="20"/>
      <w:szCs w:val="20"/>
    </w:rPr>
  </w:style>
  <w:style w:type="paragraph" w:customStyle="1" w:styleId="150">
    <w:name w:val="xl70"/>
    <w:basedOn w:val="1"/>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宋体" w:hAnsi="宋体" w:cs="宋体"/>
      <w:kern w:val="0"/>
      <w:sz w:val="18"/>
      <w:szCs w:val="18"/>
    </w:rPr>
  </w:style>
  <w:style w:type="paragraph" w:customStyle="1" w:styleId="151">
    <w:name w:val="xl71"/>
    <w:basedOn w:val="1"/>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宋体" w:hAnsi="宋体" w:cs="宋体"/>
      <w:kern w:val="0"/>
      <w:sz w:val="20"/>
      <w:szCs w:val="20"/>
    </w:rPr>
  </w:style>
  <w:style w:type="paragraph" w:customStyle="1" w:styleId="152">
    <w:name w:val="xl72"/>
    <w:basedOn w:val="1"/>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right"/>
    </w:pPr>
    <w:rPr>
      <w:rFonts w:ascii="宋体" w:hAnsi="宋体" w:cs="宋体"/>
      <w:kern w:val="0"/>
      <w:sz w:val="20"/>
      <w:szCs w:val="20"/>
    </w:rPr>
  </w:style>
  <w:style w:type="paragraph" w:customStyle="1" w:styleId="153">
    <w:name w:val="xl73"/>
    <w:basedOn w:val="1"/>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宋体" w:hAnsi="宋体" w:cs="宋体"/>
      <w:kern w:val="0"/>
      <w:sz w:val="20"/>
      <w:szCs w:val="20"/>
    </w:rPr>
  </w:style>
  <w:style w:type="paragraph" w:customStyle="1" w:styleId="154">
    <w:name w:val="xl74"/>
    <w:basedOn w:val="1"/>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textAlignment w:val="center"/>
    </w:pPr>
    <w:rPr>
      <w:rFonts w:ascii="宋体" w:hAnsi="宋体" w:cs="宋体"/>
      <w:kern w:val="0"/>
      <w:sz w:val="20"/>
      <w:szCs w:val="20"/>
    </w:rPr>
  </w:style>
  <w:style w:type="paragraph" w:customStyle="1" w:styleId="155">
    <w:name w:val="xl75"/>
    <w:basedOn w:val="1"/>
    <w:uiPriority w:val="0"/>
    <w:pPr>
      <w:widowControl/>
      <w:pBdr>
        <w:top w:val="single" w:color="auto" w:sz="4" w:space="0"/>
        <w:bottom w:val="single" w:color="auto" w:sz="4" w:space="0"/>
        <w:right w:val="single" w:color="auto" w:sz="4" w:space="0"/>
      </w:pBdr>
      <w:shd w:val="clear" w:color="000000" w:fill="FFFFFF"/>
      <w:adjustRightInd/>
      <w:spacing w:before="100" w:beforeAutospacing="1" w:after="100" w:afterAutospacing="1"/>
      <w:jc w:val="right"/>
    </w:pPr>
    <w:rPr>
      <w:rFonts w:ascii="宋体" w:hAnsi="宋体" w:cs="宋体"/>
      <w:kern w:val="0"/>
      <w:sz w:val="20"/>
      <w:szCs w:val="20"/>
    </w:rPr>
  </w:style>
  <w:style w:type="paragraph" w:customStyle="1" w:styleId="156">
    <w:name w:val="xl76"/>
    <w:basedOn w:val="1"/>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宋体" w:hAnsi="宋体" w:cs="宋体"/>
      <w:kern w:val="0"/>
      <w:sz w:val="20"/>
      <w:szCs w:val="20"/>
    </w:rPr>
  </w:style>
  <w:style w:type="paragraph" w:customStyle="1" w:styleId="157">
    <w:name w:val="xl77"/>
    <w:basedOn w:val="1"/>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宋体" w:hAnsi="宋体" w:cs="宋体"/>
      <w:color w:val="0000FF"/>
      <w:kern w:val="0"/>
      <w:sz w:val="20"/>
      <w:szCs w:val="20"/>
    </w:rPr>
  </w:style>
  <w:style w:type="paragraph" w:customStyle="1" w:styleId="158">
    <w:name w:val="xl78"/>
    <w:basedOn w:val="1"/>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right"/>
    </w:pPr>
    <w:rPr>
      <w:rFonts w:ascii="宋体" w:hAnsi="宋体" w:cs="宋体"/>
      <w:color w:val="0000FF"/>
      <w:kern w:val="0"/>
      <w:sz w:val="20"/>
      <w:szCs w:val="20"/>
    </w:rPr>
  </w:style>
  <w:style w:type="paragraph" w:customStyle="1" w:styleId="159">
    <w:name w:val="xl79"/>
    <w:basedOn w:val="1"/>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宋体" w:hAnsi="宋体" w:cs="宋体"/>
      <w:color w:val="0000FF"/>
      <w:kern w:val="0"/>
      <w:sz w:val="20"/>
      <w:szCs w:val="20"/>
    </w:rPr>
  </w:style>
  <w:style w:type="paragraph" w:customStyle="1" w:styleId="160">
    <w:name w:val="xl80"/>
    <w:basedOn w:val="1"/>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textAlignment w:val="center"/>
    </w:pPr>
    <w:rPr>
      <w:rFonts w:ascii="宋体" w:hAnsi="宋体" w:cs="宋体"/>
      <w:color w:val="0000FF"/>
      <w:kern w:val="0"/>
      <w:sz w:val="20"/>
      <w:szCs w:val="20"/>
    </w:rPr>
  </w:style>
  <w:style w:type="paragraph" w:customStyle="1" w:styleId="161">
    <w:name w:val="xl81"/>
    <w:basedOn w:val="1"/>
    <w:uiPriority w:val="0"/>
    <w:pPr>
      <w:widowControl/>
      <w:pBdr>
        <w:top w:val="single" w:color="auto" w:sz="4" w:space="0"/>
        <w:bottom w:val="single" w:color="auto" w:sz="4" w:space="0"/>
        <w:right w:val="single" w:color="auto" w:sz="4" w:space="0"/>
      </w:pBdr>
      <w:shd w:val="clear" w:color="000000" w:fill="FFFFFF"/>
      <w:adjustRightInd/>
      <w:spacing w:before="100" w:beforeAutospacing="1" w:after="100" w:afterAutospacing="1"/>
      <w:jc w:val="right"/>
    </w:pPr>
    <w:rPr>
      <w:rFonts w:ascii="宋体" w:hAnsi="宋体" w:cs="宋体"/>
      <w:color w:val="0000FF"/>
      <w:kern w:val="0"/>
      <w:sz w:val="20"/>
      <w:szCs w:val="20"/>
    </w:rPr>
  </w:style>
  <w:style w:type="paragraph" w:customStyle="1" w:styleId="162">
    <w:name w:val="xl82"/>
    <w:basedOn w:val="1"/>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textAlignment w:val="center"/>
    </w:pPr>
    <w:rPr>
      <w:rFonts w:ascii="宋体" w:hAnsi="宋体" w:cs="宋体"/>
      <w:color w:val="0000FF"/>
      <w:kern w:val="0"/>
      <w:sz w:val="20"/>
      <w:szCs w:val="20"/>
    </w:rPr>
  </w:style>
  <w:style w:type="paragraph" w:customStyle="1" w:styleId="163">
    <w:name w:val="xl83"/>
    <w:basedOn w:val="1"/>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right"/>
      <w:textAlignment w:val="center"/>
    </w:pPr>
    <w:rPr>
      <w:rFonts w:ascii="宋体" w:hAnsi="宋体" w:cs="宋体"/>
      <w:color w:val="0000FF"/>
      <w:kern w:val="0"/>
      <w:sz w:val="20"/>
      <w:szCs w:val="20"/>
    </w:rPr>
  </w:style>
  <w:style w:type="paragraph" w:customStyle="1" w:styleId="164">
    <w:name w:val="xl84"/>
    <w:basedOn w:val="1"/>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textAlignment w:val="center"/>
    </w:pPr>
    <w:rPr>
      <w:rFonts w:ascii="宋体" w:hAnsi="宋体" w:cs="宋体"/>
      <w:color w:val="0000FF"/>
      <w:kern w:val="0"/>
      <w:sz w:val="20"/>
      <w:szCs w:val="20"/>
    </w:rPr>
  </w:style>
  <w:style w:type="paragraph" w:customStyle="1" w:styleId="165">
    <w:name w:val="xl85"/>
    <w:basedOn w:val="1"/>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textAlignment w:val="center"/>
    </w:pPr>
    <w:rPr>
      <w:rFonts w:ascii="宋体" w:hAnsi="宋体" w:cs="宋体"/>
      <w:color w:val="0000FF"/>
      <w:kern w:val="0"/>
      <w:sz w:val="20"/>
      <w:szCs w:val="20"/>
    </w:rPr>
  </w:style>
  <w:style w:type="paragraph" w:customStyle="1" w:styleId="166">
    <w:name w:val="xl86"/>
    <w:basedOn w:val="1"/>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宋体" w:hAnsi="宋体" w:cs="宋体"/>
      <w:color w:val="FF0000"/>
      <w:kern w:val="0"/>
      <w:sz w:val="20"/>
      <w:szCs w:val="20"/>
    </w:rPr>
  </w:style>
  <w:style w:type="paragraph" w:customStyle="1" w:styleId="167">
    <w:name w:val="xl87"/>
    <w:basedOn w:val="1"/>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宋体" w:hAnsi="宋体" w:cs="宋体"/>
      <w:color w:val="008000"/>
      <w:kern w:val="0"/>
      <w:sz w:val="20"/>
      <w:szCs w:val="20"/>
    </w:rPr>
  </w:style>
  <w:style w:type="paragraph" w:customStyle="1" w:styleId="168">
    <w:name w:val="xl88"/>
    <w:basedOn w:val="1"/>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宋体" w:hAnsi="宋体" w:cs="宋体"/>
      <w:color w:val="FF6600"/>
      <w:kern w:val="0"/>
      <w:sz w:val="20"/>
      <w:szCs w:val="20"/>
    </w:rPr>
  </w:style>
  <w:style w:type="paragraph" w:customStyle="1" w:styleId="169">
    <w:name w:val="xl89"/>
    <w:basedOn w:val="1"/>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textAlignment w:val="center"/>
    </w:pPr>
    <w:rPr>
      <w:rFonts w:ascii="宋体" w:hAnsi="宋体" w:cs="宋体"/>
      <w:color w:val="008000"/>
      <w:kern w:val="0"/>
      <w:sz w:val="20"/>
      <w:szCs w:val="20"/>
    </w:rPr>
  </w:style>
  <w:style w:type="paragraph" w:customStyle="1" w:styleId="170">
    <w:name w:val="xl90"/>
    <w:basedOn w:val="1"/>
    <w:uiPriority w:val="0"/>
    <w:pPr>
      <w:widowControl/>
      <w:pBdr>
        <w:top w:val="single" w:color="auto" w:sz="4" w:space="0"/>
        <w:bottom w:val="single" w:color="auto" w:sz="4" w:space="0"/>
      </w:pBdr>
      <w:adjustRightInd/>
      <w:spacing w:before="100" w:beforeAutospacing="1" w:after="100" w:afterAutospacing="1"/>
      <w:jc w:val="center"/>
      <w:textAlignment w:val="center"/>
    </w:pPr>
    <w:rPr>
      <w:rFonts w:ascii="宋体" w:hAnsi="宋体" w:cs="宋体"/>
      <w:kern w:val="0"/>
      <w:sz w:val="32"/>
      <w:szCs w:val="32"/>
    </w:rPr>
  </w:style>
  <w:style w:type="paragraph" w:customStyle="1" w:styleId="171">
    <w:name w:val="xl91"/>
    <w:basedOn w:val="1"/>
    <w:uiPriority w:val="0"/>
    <w:pPr>
      <w:widowControl/>
      <w:pBdr>
        <w:top w:val="single" w:color="auto" w:sz="4" w:space="0"/>
        <w:bottom w:val="single" w:color="auto" w:sz="4" w:space="0"/>
      </w:pBdr>
      <w:shd w:val="clear" w:color="000000" w:fill="FFFFFF"/>
      <w:adjustRightInd/>
      <w:spacing w:before="100" w:beforeAutospacing="1" w:after="100" w:afterAutospacing="1"/>
      <w:jc w:val="center"/>
      <w:textAlignment w:val="center"/>
    </w:pPr>
    <w:rPr>
      <w:rFonts w:ascii="宋体" w:hAnsi="宋体" w:cs="宋体"/>
      <w:color w:val="0000FF"/>
      <w:kern w:val="0"/>
      <w:sz w:val="20"/>
      <w:szCs w:val="20"/>
    </w:rPr>
  </w:style>
  <w:style w:type="paragraph" w:customStyle="1" w:styleId="172">
    <w:name w:val="xl92"/>
    <w:basedOn w:val="1"/>
    <w:uiPriority w:val="0"/>
    <w:pPr>
      <w:widowControl/>
      <w:pBdr>
        <w:top w:val="single" w:color="auto" w:sz="4" w:space="0"/>
        <w:bottom w:val="single" w:color="auto" w:sz="4" w:space="0"/>
      </w:pBdr>
      <w:adjustRightInd/>
      <w:spacing w:before="100" w:beforeAutospacing="1" w:after="100" w:afterAutospacing="1"/>
      <w:jc w:val="center"/>
    </w:pPr>
    <w:rPr>
      <w:rFonts w:ascii="宋体" w:hAnsi="宋体" w:cs="宋体"/>
      <w:color w:val="0000FF"/>
      <w:kern w:val="0"/>
      <w:sz w:val="24"/>
    </w:rPr>
  </w:style>
  <w:style w:type="paragraph" w:customStyle="1" w:styleId="173">
    <w:name w:val="xl93"/>
    <w:basedOn w:val="1"/>
    <w:uiPriority w:val="0"/>
    <w:pPr>
      <w:widowControl/>
      <w:pBdr>
        <w:top w:val="single" w:color="auto" w:sz="4" w:space="0"/>
        <w:bottom w:val="single" w:color="auto" w:sz="4" w:space="0"/>
      </w:pBdr>
      <w:shd w:val="clear" w:color="000000" w:fill="FFFFFF"/>
      <w:adjustRightInd/>
      <w:spacing w:before="100" w:beforeAutospacing="1" w:after="100" w:afterAutospacing="1"/>
      <w:jc w:val="left"/>
    </w:pPr>
    <w:rPr>
      <w:rFonts w:ascii="宋体" w:hAnsi="宋体" w:cs="宋体"/>
      <w:color w:val="0000FF"/>
      <w:kern w:val="0"/>
      <w:sz w:val="20"/>
      <w:szCs w:val="20"/>
    </w:rPr>
  </w:style>
  <w:style w:type="paragraph" w:customStyle="1" w:styleId="174">
    <w:name w:val="xl94"/>
    <w:basedOn w:val="1"/>
    <w:uiPriority w:val="0"/>
    <w:pPr>
      <w:widowControl/>
      <w:pBdr>
        <w:top w:val="single" w:color="auto" w:sz="4" w:space="0"/>
        <w:bottom w:val="single" w:color="auto" w:sz="4" w:space="0"/>
      </w:pBdr>
      <w:shd w:val="clear" w:color="000000" w:fill="FFFFFF"/>
      <w:adjustRightInd/>
      <w:spacing w:before="100" w:beforeAutospacing="1" w:after="100" w:afterAutospacing="1"/>
      <w:jc w:val="right"/>
    </w:pPr>
    <w:rPr>
      <w:rFonts w:ascii="宋体" w:hAnsi="宋体" w:cs="宋体"/>
      <w:color w:val="0000FF"/>
      <w:kern w:val="0"/>
      <w:sz w:val="20"/>
      <w:szCs w:val="20"/>
    </w:rPr>
  </w:style>
  <w:style w:type="paragraph" w:customStyle="1" w:styleId="175">
    <w:name w:val="xl95"/>
    <w:basedOn w:val="1"/>
    <w:uiPriority w:val="0"/>
    <w:pPr>
      <w:widowControl/>
      <w:pBdr>
        <w:top w:val="single" w:color="auto" w:sz="4" w:space="0"/>
        <w:bottom w:val="single" w:color="auto" w:sz="4" w:space="0"/>
      </w:pBdr>
      <w:shd w:val="clear" w:color="000000" w:fill="FFFFFF"/>
      <w:adjustRightInd/>
      <w:spacing w:before="100" w:beforeAutospacing="1" w:after="100" w:afterAutospacing="1"/>
      <w:jc w:val="left"/>
    </w:pPr>
    <w:rPr>
      <w:rFonts w:ascii="宋体" w:hAnsi="宋体" w:cs="宋体"/>
      <w:color w:val="0000FF"/>
      <w:kern w:val="0"/>
      <w:sz w:val="20"/>
      <w:szCs w:val="20"/>
    </w:rPr>
  </w:style>
  <w:style w:type="paragraph" w:customStyle="1" w:styleId="176">
    <w:name w:val="xl96"/>
    <w:basedOn w:val="1"/>
    <w:uiPriority w:val="0"/>
    <w:pPr>
      <w:widowControl/>
      <w:pBdr>
        <w:top w:val="single" w:color="auto" w:sz="4" w:space="0"/>
        <w:bottom w:val="single" w:color="auto" w:sz="4" w:space="0"/>
      </w:pBdr>
      <w:shd w:val="clear" w:color="000000" w:fill="FFFFFF"/>
      <w:adjustRightInd/>
      <w:spacing w:before="100" w:beforeAutospacing="1" w:after="100" w:afterAutospacing="1"/>
      <w:jc w:val="left"/>
    </w:pPr>
    <w:rPr>
      <w:rFonts w:ascii="宋体" w:hAnsi="宋体" w:cs="宋体"/>
      <w:color w:val="FF0000"/>
      <w:kern w:val="0"/>
      <w:sz w:val="20"/>
      <w:szCs w:val="20"/>
    </w:rPr>
  </w:style>
  <w:style w:type="paragraph" w:customStyle="1" w:styleId="177">
    <w:name w:val="xl97"/>
    <w:basedOn w:val="1"/>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right"/>
    </w:pPr>
    <w:rPr>
      <w:rFonts w:ascii="宋体" w:hAnsi="宋体" w:cs="宋体"/>
      <w:kern w:val="0"/>
      <w:sz w:val="20"/>
      <w:szCs w:val="20"/>
    </w:rPr>
  </w:style>
  <w:style w:type="paragraph" w:customStyle="1" w:styleId="178">
    <w:name w:val="xl98"/>
    <w:basedOn w:val="1"/>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宋体" w:hAnsi="宋体" w:cs="宋体"/>
      <w:kern w:val="0"/>
      <w:sz w:val="32"/>
      <w:szCs w:val="32"/>
    </w:rPr>
  </w:style>
  <w:style w:type="paragraph" w:customStyle="1" w:styleId="179">
    <w:name w:val="xl99"/>
    <w:basedOn w:val="1"/>
    <w:uiPriority w:val="0"/>
    <w:pPr>
      <w:widowControl/>
      <w:pBdr>
        <w:bottom w:val="single" w:color="auto" w:sz="4" w:space="0"/>
      </w:pBdr>
      <w:shd w:val="clear" w:color="000000" w:fill="FFFFFF"/>
      <w:adjustRightInd/>
      <w:spacing w:before="100" w:beforeAutospacing="1" w:after="100" w:afterAutospacing="1"/>
      <w:jc w:val="center"/>
      <w:textAlignment w:val="center"/>
    </w:pPr>
    <w:rPr>
      <w:rFonts w:ascii="黑体" w:hAnsi="宋体" w:eastAsia="黑体" w:cs="宋体"/>
      <w:kern w:val="0"/>
      <w:sz w:val="52"/>
      <w:szCs w:val="52"/>
    </w:rPr>
  </w:style>
  <w:style w:type="paragraph" w:customStyle="1" w:styleId="180">
    <w:name w:val="xl100"/>
    <w:basedOn w:val="1"/>
    <w:uiPriority w:val="0"/>
    <w:pPr>
      <w:widowControl/>
      <w:pBdr>
        <w:bottom w:val="single" w:color="auto" w:sz="4" w:space="0"/>
      </w:pBdr>
      <w:adjustRightInd/>
      <w:spacing w:before="100" w:beforeAutospacing="1" w:after="100" w:afterAutospacing="1"/>
      <w:jc w:val="left"/>
    </w:pPr>
    <w:rPr>
      <w:rFonts w:ascii="宋体" w:hAnsi="宋体" w:cs="宋体"/>
      <w:kern w:val="0"/>
      <w:sz w:val="24"/>
    </w:rPr>
  </w:style>
  <w:style w:type="paragraph" w:customStyle="1" w:styleId="181">
    <w:name w:val="xl101"/>
    <w:basedOn w:val="1"/>
    <w:uiPriority w:val="0"/>
    <w:pPr>
      <w:widowControl/>
      <w:pBdr>
        <w:top w:val="single" w:color="auto" w:sz="4" w:space="0"/>
        <w:bottom w:val="single" w:color="auto" w:sz="4" w:space="0"/>
      </w:pBdr>
      <w:shd w:val="clear" w:color="000000" w:fill="FFFFFF"/>
      <w:adjustRightInd/>
      <w:spacing w:before="100" w:beforeAutospacing="1" w:after="100" w:afterAutospacing="1"/>
      <w:jc w:val="center"/>
      <w:textAlignment w:val="center"/>
    </w:pPr>
    <w:rPr>
      <w:rFonts w:ascii="黑体" w:hAnsi="宋体" w:eastAsia="黑体" w:cs="宋体"/>
      <w:kern w:val="0"/>
      <w:sz w:val="52"/>
      <w:szCs w:val="52"/>
    </w:rPr>
  </w:style>
  <w:style w:type="paragraph" w:customStyle="1" w:styleId="182">
    <w:name w:val="xl102"/>
    <w:basedOn w:val="1"/>
    <w:uiPriority w:val="0"/>
    <w:pPr>
      <w:widowControl/>
      <w:pBdr>
        <w:right w:val="single" w:color="auto" w:sz="4" w:space="0"/>
      </w:pBdr>
      <w:adjustRightInd/>
      <w:spacing w:before="100" w:beforeAutospacing="1" w:after="100" w:afterAutospacing="1"/>
      <w:jc w:val="center"/>
      <w:textAlignment w:val="center"/>
    </w:pPr>
    <w:rPr>
      <w:rFonts w:ascii="宋体" w:hAnsi="宋体" w:cs="宋体"/>
      <w:kern w:val="0"/>
      <w:sz w:val="32"/>
      <w:szCs w:val="32"/>
    </w:rPr>
  </w:style>
  <w:style w:type="paragraph" w:customStyle="1" w:styleId="183">
    <w:name w:val="xl103"/>
    <w:basedOn w:val="1"/>
    <w:uiPriority w:val="0"/>
    <w:pPr>
      <w:widowControl/>
      <w:pBdr>
        <w:bottom w:val="single" w:color="auto" w:sz="4" w:space="0"/>
        <w:right w:val="single" w:color="auto" w:sz="4" w:space="0"/>
      </w:pBdr>
      <w:adjustRightInd/>
      <w:spacing w:before="100" w:beforeAutospacing="1" w:after="100" w:afterAutospacing="1"/>
      <w:jc w:val="center"/>
      <w:textAlignment w:val="center"/>
    </w:pPr>
    <w:rPr>
      <w:rFonts w:ascii="宋体" w:hAnsi="宋体" w:cs="宋体"/>
      <w:kern w:val="0"/>
      <w:sz w:val="32"/>
      <w:szCs w:val="32"/>
    </w:rPr>
  </w:style>
  <w:style w:type="paragraph" w:customStyle="1" w:styleId="184">
    <w:name w:val="xl104"/>
    <w:basedOn w:val="1"/>
    <w:uiPriority w:val="0"/>
    <w:pPr>
      <w:widowControl/>
      <w:pBdr>
        <w:top w:val="single" w:color="auto" w:sz="4" w:space="0"/>
        <w:right w:val="single" w:color="auto" w:sz="4" w:space="0"/>
      </w:pBdr>
      <w:adjustRightInd/>
      <w:spacing w:before="100" w:beforeAutospacing="1" w:after="100" w:afterAutospacing="1"/>
      <w:jc w:val="center"/>
      <w:textAlignment w:val="center"/>
    </w:pPr>
    <w:rPr>
      <w:rFonts w:ascii="宋体" w:hAnsi="宋体" w:cs="宋体"/>
      <w:kern w:val="0"/>
      <w:sz w:val="32"/>
      <w:szCs w:val="32"/>
    </w:rPr>
  </w:style>
  <w:style w:type="paragraph" w:customStyle="1" w:styleId="185">
    <w:name w:val="_Style 43"/>
    <w:basedOn w:val="1"/>
    <w:uiPriority w:val="0"/>
    <w:pPr>
      <w:widowControl/>
      <w:adjustRightInd/>
      <w:spacing w:after="160" w:line="240" w:lineRule="exact"/>
      <w:jc w:val="left"/>
    </w:pPr>
    <w:rPr>
      <w:rFonts w:ascii="Verdana" w:hAnsi="Verdana"/>
      <w:kern w:val="0"/>
      <w:sz w:val="20"/>
      <w:szCs w:val="20"/>
      <w:lang w:eastAsia="en-US"/>
    </w:rPr>
  </w:style>
  <w:style w:type="paragraph" w:customStyle="1" w:styleId="186">
    <w:name w:val="xl285"/>
    <w:basedOn w:val="1"/>
    <w:uiPriority w:val="0"/>
    <w:pPr>
      <w:widowControl/>
      <w:shd w:val="clear" w:color="auto" w:fill="FFFFFF"/>
      <w:adjustRightInd/>
      <w:spacing w:before="100" w:beforeAutospacing="1" w:after="100" w:afterAutospacing="1"/>
      <w:jc w:val="left"/>
    </w:pPr>
    <w:rPr>
      <w:rFonts w:ascii="宋体" w:hAnsi="宋体" w:cs="宋体"/>
      <w:color w:val="000000"/>
      <w:kern w:val="0"/>
      <w:sz w:val="24"/>
    </w:rPr>
  </w:style>
  <w:style w:type="paragraph" w:customStyle="1" w:styleId="187">
    <w:name w:val="xl286"/>
    <w:basedOn w:val="1"/>
    <w:uiPriority w:val="0"/>
    <w:pPr>
      <w:widowControl/>
      <w:shd w:val="clear" w:color="auto" w:fill="FFFFFF"/>
      <w:adjustRightInd/>
      <w:spacing w:before="100" w:beforeAutospacing="1" w:after="100" w:afterAutospacing="1"/>
      <w:jc w:val="center"/>
      <w:textAlignment w:val="center"/>
    </w:pPr>
    <w:rPr>
      <w:rFonts w:ascii="黑体" w:hAnsi="宋体" w:eastAsia="黑体" w:cs="宋体"/>
      <w:color w:val="000000"/>
      <w:kern w:val="0"/>
      <w:sz w:val="52"/>
      <w:szCs w:val="52"/>
    </w:rPr>
  </w:style>
  <w:style w:type="paragraph" w:customStyle="1" w:styleId="188">
    <w:name w:val="xl287"/>
    <w:basedOn w:val="1"/>
    <w:uiPriority w:val="0"/>
    <w:pPr>
      <w:widowControl/>
      <w:shd w:val="clear" w:color="auto" w:fill="FFFFFF"/>
      <w:adjustRightInd/>
      <w:spacing w:before="100" w:beforeAutospacing="1" w:after="100" w:afterAutospacing="1"/>
      <w:jc w:val="center"/>
      <w:textAlignment w:val="center"/>
    </w:pPr>
    <w:rPr>
      <w:rFonts w:ascii="黑体" w:hAnsi="宋体" w:eastAsia="黑体" w:cs="宋体"/>
      <w:kern w:val="0"/>
      <w:sz w:val="52"/>
      <w:szCs w:val="52"/>
    </w:rPr>
  </w:style>
  <w:style w:type="paragraph" w:customStyle="1" w:styleId="189">
    <w:name w:val="xl288"/>
    <w:basedOn w:val="1"/>
    <w:uiPriority w:val="0"/>
    <w:pPr>
      <w:widowControl/>
      <w:pBdr>
        <w:top w:val="single" w:color="auto" w:sz="4" w:space="0"/>
        <w:left w:val="single" w:color="auto" w:sz="4" w:space="0"/>
        <w:bottom w:val="single" w:color="auto" w:sz="4" w:space="0"/>
        <w:right w:val="single" w:color="auto" w:sz="4" w:space="0"/>
      </w:pBdr>
      <w:shd w:val="clear" w:color="auto" w:fill="FFFFFF"/>
      <w:adjustRightInd/>
      <w:spacing w:before="100" w:beforeAutospacing="1" w:after="100" w:afterAutospacing="1"/>
      <w:jc w:val="center"/>
      <w:textAlignment w:val="center"/>
    </w:pPr>
    <w:rPr>
      <w:rFonts w:ascii="宋体" w:hAnsi="宋体" w:cs="宋体"/>
      <w:kern w:val="0"/>
      <w:sz w:val="24"/>
    </w:rPr>
  </w:style>
  <w:style w:type="paragraph" w:customStyle="1" w:styleId="190">
    <w:name w:val="xl289"/>
    <w:basedOn w:val="1"/>
    <w:uiPriority w:val="0"/>
    <w:pPr>
      <w:widowControl/>
      <w:pBdr>
        <w:top w:val="single" w:color="auto" w:sz="4" w:space="0"/>
        <w:left w:val="single" w:color="auto" w:sz="4" w:space="0"/>
        <w:right w:val="single" w:color="auto" w:sz="4" w:space="0"/>
      </w:pBdr>
      <w:shd w:val="clear" w:color="auto" w:fill="FFFFFF"/>
      <w:adjustRightInd/>
      <w:spacing w:before="100" w:beforeAutospacing="1" w:after="100" w:afterAutospacing="1"/>
      <w:jc w:val="center"/>
    </w:pPr>
    <w:rPr>
      <w:rFonts w:ascii="宋体" w:hAnsi="宋体" w:cs="宋体"/>
      <w:kern w:val="0"/>
      <w:sz w:val="24"/>
    </w:rPr>
  </w:style>
  <w:style w:type="paragraph" w:customStyle="1" w:styleId="191">
    <w:name w:val="xl290"/>
    <w:basedOn w:val="1"/>
    <w:uiPriority w:val="0"/>
    <w:pPr>
      <w:widowControl/>
      <w:pBdr>
        <w:left w:val="single" w:color="auto" w:sz="4" w:space="0"/>
        <w:right w:val="single" w:color="auto" w:sz="4" w:space="0"/>
      </w:pBdr>
      <w:shd w:val="clear" w:color="auto" w:fill="FFFFFF"/>
      <w:adjustRightInd/>
      <w:spacing w:before="100" w:beforeAutospacing="1" w:after="100" w:afterAutospacing="1"/>
      <w:jc w:val="center"/>
    </w:pPr>
    <w:rPr>
      <w:rFonts w:ascii="宋体" w:hAnsi="宋体" w:cs="宋体"/>
      <w:kern w:val="0"/>
      <w:sz w:val="24"/>
    </w:rPr>
  </w:style>
  <w:style w:type="paragraph" w:customStyle="1" w:styleId="192">
    <w:name w:val="xl291"/>
    <w:basedOn w:val="1"/>
    <w:uiPriority w:val="0"/>
    <w:pPr>
      <w:widowControl/>
      <w:pBdr>
        <w:left w:val="single" w:color="auto" w:sz="4" w:space="0"/>
        <w:bottom w:val="single" w:color="auto" w:sz="4" w:space="0"/>
        <w:right w:val="single" w:color="auto" w:sz="4" w:space="0"/>
      </w:pBdr>
      <w:shd w:val="clear" w:color="auto" w:fill="FFFFFF"/>
      <w:adjustRightInd/>
      <w:spacing w:before="100" w:beforeAutospacing="1" w:after="100" w:afterAutospacing="1"/>
      <w:jc w:val="center"/>
    </w:pPr>
    <w:rPr>
      <w:rFonts w:ascii="宋体" w:hAnsi="宋体" w:cs="宋体"/>
      <w:kern w:val="0"/>
      <w:sz w:val="24"/>
    </w:rPr>
  </w:style>
  <w:style w:type="paragraph" w:customStyle="1" w:styleId="193">
    <w:name w:val="xl292"/>
    <w:basedOn w:val="1"/>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宋体" w:hAnsi="宋体" w:cs="宋体"/>
      <w:kern w:val="0"/>
      <w:sz w:val="24"/>
    </w:rPr>
  </w:style>
  <w:style w:type="paragraph" w:customStyle="1" w:styleId="194">
    <w:name w:val="xl293"/>
    <w:basedOn w:val="1"/>
    <w:uiPriority w:val="0"/>
    <w:pPr>
      <w:widowControl/>
      <w:pBdr>
        <w:top w:val="single" w:color="auto" w:sz="4" w:space="0"/>
        <w:left w:val="single" w:color="auto" w:sz="4" w:space="0"/>
        <w:bottom w:val="single" w:color="auto" w:sz="4" w:space="0"/>
        <w:right w:val="single" w:color="auto" w:sz="4" w:space="0"/>
      </w:pBdr>
      <w:shd w:val="clear" w:color="auto" w:fill="FFFFFF"/>
      <w:adjustRightInd/>
      <w:spacing w:before="100" w:beforeAutospacing="1" w:after="100" w:afterAutospacing="1"/>
      <w:jc w:val="left"/>
    </w:pPr>
    <w:rPr>
      <w:rFonts w:ascii="宋体" w:hAnsi="宋体" w:cs="宋体"/>
      <w:kern w:val="0"/>
      <w:sz w:val="24"/>
    </w:rPr>
  </w:style>
  <w:style w:type="paragraph" w:customStyle="1" w:styleId="195">
    <w:name w:val="xl294"/>
    <w:basedOn w:val="1"/>
    <w:uiPriority w:val="0"/>
    <w:pPr>
      <w:widowControl/>
      <w:pBdr>
        <w:top w:val="single" w:color="auto" w:sz="4" w:space="0"/>
        <w:left w:val="single" w:color="auto" w:sz="4" w:space="0"/>
        <w:bottom w:val="single" w:color="auto" w:sz="4" w:space="0"/>
        <w:right w:val="single" w:color="auto" w:sz="4" w:space="0"/>
      </w:pBdr>
      <w:shd w:val="clear" w:color="auto" w:fill="FFFFFF"/>
      <w:adjustRightInd/>
      <w:spacing w:before="100" w:beforeAutospacing="1" w:after="100" w:afterAutospacing="1"/>
      <w:jc w:val="left"/>
    </w:pPr>
    <w:rPr>
      <w:rFonts w:ascii="宋体" w:hAnsi="宋体" w:cs="宋体"/>
      <w:kern w:val="0"/>
      <w:sz w:val="24"/>
    </w:rPr>
  </w:style>
  <w:style w:type="paragraph" w:customStyle="1" w:styleId="196">
    <w:name w:val="xl295"/>
    <w:basedOn w:val="1"/>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宋体" w:hAnsi="宋体" w:cs="宋体"/>
      <w:kern w:val="0"/>
      <w:sz w:val="24"/>
    </w:rPr>
  </w:style>
  <w:style w:type="paragraph" w:customStyle="1" w:styleId="197">
    <w:name w:val="xl296"/>
    <w:basedOn w:val="1"/>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宋体" w:hAnsi="宋体" w:cs="宋体"/>
      <w:color w:val="FF0000"/>
      <w:kern w:val="0"/>
      <w:sz w:val="24"/>
    </w:rPr>
  </w:style>
  <w:style w:type="paragraph" w:customStyle="1" w:styleId="198">
    <w:name w:val="xl297"/>
    <w:basedOn w:val="1"/>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宋体" w:hAnsi="宋体" w:cs="宋体"/>
      <w:color w:val="008000"/>
      <w:kern w:val="0"/>
      <w:sz w:val="24"/>
    </w:rPr>
  </w:style>
  <w:style w:type="paragraph" w:customStyle="1" w:styleId="199">
    <w:name w:val="xl298"/>
    <w:basedOn w:val="1"/>
    <w:uiPriority w:val="0"/>
    <w:pPr>
      <w:widowControl/>
      <w:adjustRightInd/>
      <w:spacing w:before="100" w:beforeAutospacing="1" w:after="100" w:afterAutospacing="1"/>
      <w:jc w:val="left"/>
    </w:pPr>
    <w:rPr>
      <w:rFonts w:ascii="宋体" w:hAnsi="宋体" w:cs="宋体"/>
      <w:kern w:val="0"/>
      <w:sz w:val="24"/>
    </w:rPr>
  </w:style>
  <w:style w:type="paragraph" w:customStyle="1" w:styleId="200">
    <w:name w:val="表格文字2"/>
    <w:basedOn w:val="1"/>
    <w:uiPriority w:val="0"/>
    <w:pPr>
      <w:adjustRightInd/>
      <w:spacing w:line="360" w:lineRule="auto"/>
    </w:pPr>
    <w:rPr>
      <w:rFonts w:ascii="宋体" w:hAnsi="宋体"/>
      <w:szCs w:val="21"/>
    </w:rPr>
  </w:style>
  <w:style w:type="paragraph" w:customStyle="1" w:styleId="201">
    <w:name w:val="二级条标题"/>
    <w:basedOn w:val="1"/>
    <w:next w:val="124"/>
    <w:uiPriority w:val="0"/>
    <w:pPr>
      <w:widowControl/>
      <w:tabs>
        <w:tab w:val="left" w:pos="2160"/>
      </w:tabs>
      <w:adjustRightInd/>
      <w:spacing w:beforeLines="50" w:afterLines="50"/>
      <w:ind w:left="2160" w:hanging="720"/>
      <w:jc w:val="left"/>
      <w:outlineLvl w:val="3"/>
    </w:pPr>
    <w:rPr>
      <w:rFonts w:ascii="黑体" w:eastAsia="黑体" w:cs="黑体"/>
      <w:kern w:val="0"/>
      <w:szCs w:val="21"/>
    </w:rPr>
  </w:style>
  <w:style w:type="paragraph" w:customStyle="1" w:styleId="202">
    <w:name w:val="主体"/>
    <w:basedOn w:val="1"/>
    <w:link w:val="288"/>
    <w:uiPriority w:val="0"/>
    <w:pPr>
      <w:adjustRightInd/>
      <w:spacing w:line="360" w:lineRule="auto"/>
      <w:ind w:firstLine="480" w:firstLineChars="200"/>
    </w:pPr>
    <w:rPr>
      <w:rFonts w:ascii="宋体" w:hAnsi="宋体" w:cs="宋体"/>
      <w:kern w:val="58"/>
      <w:sz w:val="24"/>
    </w:rPr>
  </w:style>
  <w:style w:type="paragraph" w:customStyle="1" w:styleId="203">
    <w:name w:val="表格正文"/>
    <w:basedOn w:val="1"/>
    <w:link w:val="290"/>
    <w:uiPriority w:val="0"/>
    <w:pPr>
      <w:adjustRightInd/>
      <w:spacing w:line="360" w:lineRule="exact"/>
      <w:jc w:val="center"/>
    </w:pPr>
  </w:style>
  <w:style w:type="paragraph" w:customStyle="1" w:styleId="204">
    <w:name w:val="正文01"/>
    <w:basedOn w:val="1"/>
    <w:link w:val="291"/>
    <w:qFormat/>
    <w:uiPriority w:val="0"/>
    <w:pPr>
      <w:adjustRightInd/>
      <w:spacing w:before="60" w:line="460" w:lineRule="exact"/>
      <w:ind w:firstLine="200" w:firstLineChars="200"/>
    </w:pPr>
    <w:rPr>
      <w:sz w:val="24"/>
    </w:rPr>
  </w:style>
  <w:style w:type="paragraph" w:customStyle="1" w:styleId="205">
    <w:name w:val="1级标题"/>
    <w:basedOn w:val="1"/>
    <w:next w:val="1"/>
    <w:uiPriority w:val="0"/>
    <w:pPr>
      <w:widowControl/>
      <w:adjustRightInd/>
      <w:spacing w:before="60" w:line="460" w:lineRule="exact"/>
      <w:outlineLvl w:val="0"/>
    </w:pPr>
    <w:rPr>
      <w:b/>
      <w:color w:val="000000"/>
      <w:sz w:val="32"/>
    </w:rPr>
  </w:style>
  <w:style w:type="paragraph" w:customStyle="1" w:styleId="206">
    <w:name w:val="2级标题"/>
    <w:basedOn w:val="1"/>
    <w:uiPriority w:val="0"/>
    <w:pPr>
      <w:adjustRightInd/>
      <w:spacing w:before="60" w:line="460" w:lineRule="exact"/>
      <w:outlineLvl w:val="1"/>
    </w:pPr>
    <w:rPr>
      <w:b/>
      <w:sz w:val="28"/>
    </w:rPr>
  </w:style>
  <w:style w:type="paragraph" w:customStyle="1" w:styleId="207">
    <w:name w:val="正文首行缩进 211"/>
    <w:basedOn w:val="1"/>
    <w:qFormat/>
    <w:uiPriority w:val="0"/>
    <w:pPr>
      <w:autoSpaceDE w:val="0"/>
      <w:autoSpaceDN w:val="0"/>
      <w:spacing w:after="120"/>
      <w:ind w:left="420" w:leftChars="200" w:firstLine="420"/>
    </w:pPr>
    <w:rPr>
      <w:rFonts w:cs="宋体"/>
      <w:color w:val="000000"/>
      <w:kern w:val="0"/>
      <w:szCs w:val="21"/>
    </w:rPr>
  </w:style>
  <w:style w:type="character" w:customStyle="1" w:styleId="208">
    <w:name w:val="标题 1 Char"/>
    <w:basedOn w:val="46"/>
    <w:link w:val="4"/>
    <w:qFormat/>
    <w:locked/>
    <w:uiPriority w:val="0"/>
    <w:rPr>
      <w:rFonts w:eastAsia="FangSong_GB2312"/>
      <w:b/>
      <w:kern w:val="44"/>
      <w:sz w:val="44"/>
      <w:szCs w:val="20"/>
    </w:rPr>
  </w:style>
  <w:style w:type="character" w:customStyle="1" w:styleId="209">
    <w:name w:val="标题 2 Char"/>
    <w:basedOn w:val="46"/>
    <w:link w:val="5"/>
    <w:qFormat/>
    <w:locked/>
    <w:uiPriority w:val="99"/>
    <w:rPr>
      <w:rFonts w:ascii="Calibri Light" w:hAnsi="Calibri Light" w:eastAsia="宋体" w:cs="Times New Roman"/>
      <w:b/>
      <w:sz w:val="32"/>
    </w:rPr>
  </w:style>
  <w:style w:type="character" w:customStyle="1" w:styleId="210">
    <w:name w:val="标题 3 Char"/>
    <w:basedOn w:val="46"/>
    <w:link w:val="6"/>
    <w:qFormat/>
    <w:locked/>
    <w:uiPriority w:val="99"/>
    <w:rPr>
      <w:rFonts w:ascii="Times New Roman" w:hAnsi="Times New Roman" w:eastAsia="宋体" w:cs="Times New Roman"/>
      <w:b/>
      <w:sz w:val="32"/>
    </w:rPr>
  </w:style>
  <w:style w:type="character" w:customStyle="1" w:styleId="211">
    <w:name w:val="标题 4 Char"/>
    <w:basedOn w:val="46"/>
    <w:link w:val="8"/>
    <w:qFormat/>
    <w:locked/>
    <w:uiPriority w:val="0"/>
    <w:rPr>
      <w:rFonts w:ascii="Calibri Light" w:hAnsi="Calibri Light" w:eastAsia="宋体" w:cs="Times New Roman"/>
      <w:b/>
      <w:sz w:val="28"/>
    </w:rPr>
  </w:style>
  <w:style w:type="character" w:customStyle="1" w:styleId="212">
    <w:name w:val="文档结构图 Char1"/>
    <w:basedOn w:val="46"/>
    <w:link w:val="18"/>
    <w:semiHidden/>
    <w:qFormat/>
    <w:locked/>
    <w:uiPriority w:val="99"/>
    <w:rPr>
      <w:rFonts w:ascii="宋体" w:hAnsi="Times New Roman" w:cs="Times New Roman"/>
      <w:kern w:val="2"/>
      <w:sz w:val="18"/>
    </w:rPr>
  </w:style>
  <w:style w:type="character" w:customStyle="1" w:styleId="213">
    <w:name w:val="批注文字 Char"/>
    <w:basedOn w:val="46"/>
    <w:link w:val="19"/>
    <w:qFormat/>
    <w:locked/>
    <w:uiPriority w:val="99"/>
    <w:rPr>
      <w:rFonts w:ascii="Times New Roman" w:hAnsi="Times New Roman" w:eastAsia="宋体" w:cs="Times New Roman"/>
      <w:kern w:val="0"/>
      <w:sz w:val="24"/>
      <w:lang w:val="zh-CN" w:eastAsia="zh-CN"/>
    </w:rPr>
  </w:style>
  <w:style w:type="character" w:customStyle="1" w:styleId="214">
    <w:name w:val="正文文本 Char"/>
    <w:basedOn w:val="46"/>
    <w:link w:val="15"/>
    <w:qFormat/>
    <w:locked/>
    <w:uiPriority w:val="99"/>
    <w:rPr>
      <w:rFonts w:cs="Times New Roman"/>
      <w:sz w:val="24"/>
      <w:szCs w:val="24"/>
    </w:rPr>
  </w:style>
  <w:style w:type="character" w:customStyle="1" w:styleId="215">
    <w:name w:val="正文文本缩进 Char"/>
    <w:basedOn w:val="46"/>
    <w:link w:val="21"/>
    <w:qFormat/>
    <w:locked/>
    <w:uiPriority w:val="99"/>
    <w:rPr>
      <w:rFonts w:ascii="Times New Roman" w:hAnsi="Times New Roman" w:cs="Times New Roman"/>
      <w:sz w:val="24"/>
    </w:rPr>
  </w:style>
  <w:style w:type="character" w:customStyle="1" w:styleId="216">
    <w:name w:val="纯文本 Char"/>
    <w:basedOn w:val="46"/>
    <w:link w:val="24"/>
    <w:qFormat/>
    <w:locked/>
    <w:uiPriority w:val="99"/>
    <w:rPr>
      <w:rFonts w:ascii="宋体" w:hAnsi="Courier New" w:eastAsia="宋体" w:cs="Times New Roman"/>
      <w:snapToGrid w:val="0"/>
      <w:sz w:val="21"/>
    </w:rPr>
  </w:style>
  <w:style w:type="character" w:customStyle="1" w:styleId="217">
    <w:name w:val="日期 Char"/>
    <w:basedOn w:val="46"/>
    <w:link w:val="25"/>
    <w:qFormat/>
    <w:locked/>
    <w:uiPriority w:val="0"/>
    <w:rPr>
      <w:rFonts w:ascii="宋体" w:cs="Times New Roman"/>
      <w:sz w:val="21"/>
      <w:lang w:val="zh-CN"/>
    </w:rPr>
  </w:style>
  <w:style w:type="character" w:customStyle="1" w:styleId="218">
    <w:name w:val="正文文本缩进 2 Char"/>
    <w:basedOn w:val="46"/>
    <w:link w:val="26"/>
    <w:qFormat/>
    <w:locked/>
    <w:uiPriority w:val="0"/>
    <w:rPr>
      <w:rFonts w:cs="Times New Roman"/>
      <w:sz w:val="24"/>
      <w:szCs w:val="24"/>
    </w:rPr>
  </w:style>
  <w:style w:type="character" w:customStyle="1" w:styleId="219">
    <w:name w:val="页脚 Char"/>
    <w:basedOn w:val="46"/>
    <w:link w:val="28"/>
    <w:qFormat/>
    <w:locked/>
    <w:uiPriority w:val="99"/>
    <w:rPr>
      <w:rFonts w:ascii="Times New Roman" w:hAnsi="Times New Roman" w:eastAsia="宋体" w:cs="Times New Roman"/>
      <w:sz w:val="18"/>
    </w:rPr>
  </w:style>
  <w:style w:type="character" w:customStyle="1" w:styleId="220">
    <w:name w:val="Header Char"/>
    <w:basedOn w:val="46"/>
    <w:qFormat/>
    <w:locked/>
    <w:uiPriority w:val="99"/>
    <w:rPr>
      <w:rFonts w:ascii="Times New Roman" w:hAnsi="Times New Roman" w:eastAsia="宋体" w:cs="Times New Roman"/>
      <w:sz w:val="18"/>
    </w:rPr>
  </w:style>
  <w:style w:type="character" w:customStyle="1" w:styleId="221">
    <w:name w:val="正文文本 2 Char"/>
    <w:basedOn w:val="46"/>
    <w:link w:val="35"/>
    <w:qFormat/>
    <w:locked/>
    <w:uiPriority w:val="0"/>
    <w:rPr>
      <w:rFonts w:ascii="Times New Roman" w:hAnsi="Times New Roman" w:cs="Times New Roman"/>
      <w:sz w:val="24"/>
    </w:rPr>
  </w:style>
  <w:style w:type="character" w:customStyle="1" w:styleId="222">
    <w:name w:val="标题 Char"/>
    <w:basedOn w:val="46"/>
    <w:link w:val="40"/>
    <w:qFormat/>
    <w:locked/>
    <w:uiPriority w:val="0"/>
    <w:rPr>
      <w:rFonts w:ascii="Calibri Light" w:hAnsi="Calibri Light" w:eastAsia="宋体" w:cs="Times New Roman"/>
      <w:b/>
      <w:sz w:val="32"/>
    </w:rPr>
  </w:style>
  <w:style w:type="character" w:customStyle="1" w:styleId="223">
    <w:name w:val="批注主题 Char"/>
    <w:basedOn w:val="213"/>
    <w:link w:val="41"/>
    <w:semiHidden/>
    <w:qFormat/>
    <w:locked/>
    <w:uiPriority w:val="99"/>
    <w:rPr>
      <w:rFonts w:ascii="Times New Roman" w:hAnsi="Times New Roman" w:eastAsia="宋体" w:cs="Times New Roman"/>
      <w:b/>
      <w:kern w:val="0"/>
      <w:sz w:val="24"/>
      <w:lang w:val="zh-CN" w:eastAsia="zh-CN"/>
    </w:rPr>
  </w:style>
  <w:style w:type="character" w:customStyle="1" w:styleId="224">
    <w:name w:val="页眉 Char"/>
    <w:link w:val="29"/>
    <w:qFormat/>
    <w:locked/>
    <w:uiPriority w:val="99"/>
    <w:rPr>
      <w:rFonts w:ascii="Times New Roman" w:hAnsi="Times New Roman" w:eastAsia="宋体"/>
      <w:sz w:val="18"/>
    </w:rPr>
  </w:style>
  <w:style w:type="character" w:customStyle="1" w:styleId="225">
    <w:name w:val="正文缩进 Char"/>
    <w:link w:val="7"/>
    <w:qFormat/>
    <w:locked/>
    <w:uiPriority w:val="99"/>
    <w:rPr>
      <w:rFonts w:ascii="宋体" w:eastAsia="宋体"/>
      <w:snapToGrid w:val="0"/>
      <w:color w:val="000000"/>
      <w:kern w:val="28"/>
      <w:sz w:val="28"/>
    </w:rPr>
  </w:style>
  <w:style w:type="character" w:customStyle="1" w:styleId="226">
    <w:name w:val="日期 Char1"/>
    <w:semiHidden/>
    <w:qFormat/>
    <w:uiPriority w:val="99"/>
    <w:rPr>
      <w:rFonts w:ascii="Times New Roman" w:hAnsi="Times New Roman" w:eastAsia="宋体"/>
      <w:sz w:val="24"/>
    </w:rPr>
  </w:style>
  <w:style w:type="character" w:customStyle="1" w:styleId="227">
    <w:name w:val="纯文本 Char1"/>
    <w:qFormat/>
    <w:uiPriority w:val="0"/>
    <w:rPr>
      <w:rFonts w:ascii="宋体" w:hAnsi="Courier New" w:eastAsia="宋体"/>
      <w:sz w:val="21"/>
    </w:rPr>
  </w:style>
  <w:style w:type="character" w:customStyle="1" w:styleId="228">
    <w:name w:val="文档结构图 Char"/>
    <w:semiHidden/>
    <w:qFormat/>
    <w:uiPriority w:val="99"/>
    <w:rPr>
      <w:kern w:val="2"/>
      <w:sz w:val="24"/>
      <w:shd w:val="clear" w:color="auto" w:fill="000080"/>
    </w:rPr>
  </w:style>
  <w:style w:type="character" w:customStyle="1" w:styleId="229">
    <w:name w:val="日期 Char2"/>
    <w:qFormat/>
    <w:uiPriority w:val="99"/>
    <w:rPr>
      <w:rFonts w:ascii="楷体_GB2312" w:eastAsia="楷体_GB2312"/>
      <w:b/>
      <w:kern w:val="2"/>
      <w:sz w:val="28"/>
      <w:lang w:val="en-US" w:eastAsia="zh-CN"/>
    </w:rPr>
  </w:style>
  <w:style w:type="character" w:customStyle="1" w:styleId="230">
    <w:name w:val="正文2 Char"/>
    <w:link w:val="64"/>
    <w:qFormat/>
    <w:locked/>
    <w:uiPriority w:val="0"/>
    <w:rPr>
      <w:rFonts w:ascii="Times New Roman" w:hAnsi="Times New Roman"/>
      <w:kern w:val="2"/>
      <w:sz w:val="24"/>
    </w:rPr>
  </w:style>
  <w:style w:type="character" w:customStyle="1" w:styleId="231">
    <w:name w:val="正文段 Char"/>
    <w:link w:val="63"/>
    <w:qFormat/>
    <w:locked/>
    <w:uiPriority w:val="99"/>
    <w:rPr>
      <w:rFonts w:ascii="Times New Roman" w:hAnsi="Times New Roman"/>
      <w:sz w:val="24"/>
    </w:rPr>
  </w:style>
  <w:style w:type="character" w:customStyle="1" w:styleId="232">
    <w:name w:val="px_10"/>
    <w:qFormat/>
    <w:uiPriority w:val="99"/>
    <w:rPr>
      <w:lang w:val="zh-TW" w:eastAsia="zh-TW"/>
    </w:rPr>
  </w:style>
  <w:style w:type="character" w:customStyle="1" w:styleId="233">
    <w:name w:val="批注框文本 Char"/>
    <w:basedOn w:val="46"/>
    <w:link w:val="27"/>
    <w:semiHidden/>
    <w:qFormat/>
    <w:locked/>
    <w:uiPriority w:val="99"/>
    <w:rPr>
      <w:rFonts w:cs="Times New Roman"/>
      <w:sz w:val="2"/>
    </w:rPr>
  </w:style>
  <w:style w:type="character" w:customStyle="1" w:styleId="234">
    <w:name w:val="unnamed11"/>
    <w:basedOn w:val="46"/>
    <w:qFormat/>
    <w:uiPriority w:val="0"/>
    <w:rPr>
      <w:rFonts w:hint="eastAsia" w:ascii="宋体" w:hAnsi="宋体" w:eastAsia="宋体"/>
      <w:sz w:val="21"/>
      <w:szCs w:val="21"/>
    </w:rPr>
  </w:style>
  <w:style w:type="character" w:customStyle="1" w:styleId="235">
    <w:name w:val="font11"/>
    <w:basedOn w:val="46"/>
    <w:qFormat/>
    <w:uiPriority w:val="0"/>
    <w:rPr>
      <w:rFonts w:hint="default" w:ascii="微软雅黑" w:hAnsi="微软雅黑" w:eastAsia="微软雅黑" w:cs="微软雅黑"/>
      <w:color w:val="000000"/>
      <w:sz w:val="20"/>
      <w:szCs w:val="20"/>
      <w:u w:val="none"/>
    </w:rPr>
  </w:style>
  <w:style w:type="character" w:customStyle="1" w:styleId="236">
    <w:name w:val="qxdate"/>
    <w:basedOn w:val="46"/>
    <w:qFormat/>
    <w:uiPriority w:val="0"/>
    <w:rPr>
      <w:color w:val="333333"/>
      <w:sz w:val="18"/>
      <w:szCs w:val="18"/>
    </w:rPr>
  </w:style>
  <w:style w:type="character" w:customStyle="1" w:styleId="237">
    <w:name w:val="cfdate"/>
    <w:basedOn w:val="46"/>
    <w:qFormat/>
    <w:uiPriority w:val="0"/>
    <w:rPr>
      <w:color w:val="333333"/>
      <w:sz w:val="18"/>
      <w:szCs w:val="18"/>
    </w:rPr>
  </w:style>
  <w:style w:type="character" w:customStyle="1" w:styleId="238">
    <w:name w:val="redfilefwwh"/>
    <w:basedOn w:val="46"/>
    <w:qFormat/>
    <w:uiPriority w:val="0"/>
    <w:rPr>
      <w:color w:val="BA2636"/>
      <w:sz w:val="18"/>
      <w:szCs w:val="18"/>
    </w:rPr>
  </w:style>
  <w:style w:type="character" w:customStyle="1" w:styleId="239">
    <w:name w:val="displayarti"/>
    <w:basedOn w:val="46"/>
    <w:qFormat/>
    <w:uiPriority w:val="0"/>
    <w:rPr>
      <w:color w:val="FFFFFF"/>
      <w:shd w:val="clear" w:color="auto" w:fill="A00000"/>
    </w:rPr>
  </w:style>
  <w:style w:type="character" w:customStyle="1" w:styleId="240">
    <w:name w:val="gjfg"/>
    <w:basedOn w:val="46"/>
    <w:qFormat/>
    <w:uiPriority w:val="0"/>
  </w:style>
  <w:style w:type="character" w:customStyle="1" w:styleId="241">
    <w:name w:val="redfilenumber"/>
    <w:basedOn w:val="46"/>
    <w:qFormat/>
    <w:uiPriority w:val="0"/>
    <w:rPr>
      <w:color w:val="BA2636"/>
      <w:sz w:val="18"/>
      <w:szCs w:val="18"/>
    </w:rPr>
  </w:style>
  <w:style w:type="character" w:customStyle="1" w:styleId="242">
    <w:name w:val="15"/>
    <w:qFormat/>
    <w:uiPriority w:val="0"/>
    <w:rPr>
      <w:rFonts w:hint="eastAsia" w:ascii="宋体" w:hAnsi="宋体" w:eastAsia="宋体" w:cs="宋体"/>
      <w:color w:val="000000"/>
      <w:sz w:val="24"/>
      <w:szCs w:val="24"/>
    </w:rPr>
  </w:style>
  <w:style w:type="character" w:customStyle="1" w:styleId="243">
    <w:name w:val="标题 5 Char"/>
    <w:basedOn w:val="46"/>
    <w:link w:val="9"/>
    <w:uiPriority w:val="0"/>
    <w:rPr>
      <w:sz w:val="24"/>
    </w:rPr>
  </w:style>
  <w:style w:type="character" w:customStyle="1" w:styleId="244">
    <w:name w:val="标题 6 Char"/>
    <w:basedOn w:val="46"/>
    <w:link w:val="10"/>
    <w:uiPriority w:val="0"/>
    <w:rPr>
      <w:rFonts w:ascii="宋体" w:hAnsi="Arial"/>
      <w:sz w:val="24"/>
    </w:rPr>
  </w:style>
  <w:style w:type="character" w:customStyle="1" w:styleId="245">
    <w:name w:val="标题 7 Char"/>
    <w:basedOn w:val="46"/>
    <w:link w:val="11"/>
    <w:uiPriority w:val="0"/>
    <w:rPr>
      <w:rFonts w:ascii="宋体" w:hAnsi="Arial"/>
      <w:b/>
      <w:sz w:val="24"/>
    </w:rPr>
  </w:style>
  <w:style w:type="character" w:customStyle="1" w:styleId="246">
    <w:name w:val="标题 8 Char"/>
    <w:basedOn w:val="46"/>
    <w:link w:val="12"/>
    <w:uiPriority w:val="0"/>
    <w:rPr>
      <w:rFonts w:ascii="Arial" w:hAnsi="Arial" w:eastAsia="黑体"/>
      <w:sz w:val="24"/>
    </w:rPr>
  </w:style>
  <w:style w:type="character" w:customStyle="1" w:styleId="247">
    <w:name w:val="标题 9 Char"/>
    <w:basedOn w:val="46"/>
    <w:link w:val="13"/>
    <w:uiPriority w:val="0"/>
    <w:rPr>
      <w:rFonts w:ascii="Arial" w:hAnsi="Arial" w:eastAsia="黑体"/>
      <w:sz w:val="24"/>
    </w:rPr>
  </w:style>
  <w:style w:type="character" w:customStyle="1" w:styleId="248">
    <w:name w:val="正文缩进 Char1"/>
    <w:basedOn w:val="46"/>
    <w:uiPriority w:val="0"/>
    <w:rPr>
      <w:rFonts w:eastAsia="宋体"/>
      <w:kern w:val="2"/>
      <w:sz w:val="21"/>
      <w:szCs w:val="24"/>
      <w:lang w:val="en-US" w:eastAsia="zh-CN" w:bidi="ar-SA"/>
    </w:rPr>
  </w:style>
  <w:style w:type="character" w:customStyle="1" w:styleId="249">
    <w:name w:val="Table Text Char1"/>
    <w:basedOn w:val="46"/>
    <w:link w:val="90"/>
    <w:uiPriority w:val="0"/>
    <w:rPr>
      <w:rFonts w:ascii="Arial" w:hAnsi="Arial"/>
      <w:sz w:val="18"/>
    </w:rPr>
  </w:style>
  <w:style w:type="character" w:customStyle="1" w:styleId="250">
    <w:name w:val="正文（缩进2汉字） Char"/>
    <w:basedOn w:val="46"/>
    <w:link w:val="91"/>
    <w:uiPriority w:val="0"/>
    <w:rPr>
      <w:rFonts w:ascii="宋体"/>
      <w:kern w:val="2"/>
      <w:sz w:val="21"/>
    </w:rPr>
  </w:style>
  <w:style w:type="character" w:customStyle="1" w:styleId="251">
    <w:name w:val="项目排列 Char"/>
    <w:basedOn w:val="46"/>
    <w:link w:val="97"/>
    <w:uiPriority w:val="0"/>
    <w:rPr>
      <w:kern w:val="2"/>
      <w:sz w:val="24"/>
      <w:szCs w:val="24"/>
    </w:rPr>
  </w:style>
  <w:style w:type="character" w:customStyle="1" w:styleId="252">
    <w:name w:val="style21"/>
    <w:basedOn w:val="46"/>
    <w:uiPriority w:val="0"/>
    <w:rPr>
      <w:sz w:val="15"/>
      <w:szCs w:val="15"/>
    </w:rPr>
  </w:style>
  <w:style w:type="character" w:customStyle="1" w:styleId="253">
    <w:name w:val="font1"/>
    <w:basedOn w:val="46"/>
    <w:uiPriority w:val="0"/>
    <w:rPr>
      <w:color w:val="999999"/>
      <w:sz w:val="18"/>
      <w:szCs w:val="18"/>
      <w:u w:val="none"/>
    </w:rPr>
  </w:style>
  <w:style w:type="character" w:customStyle="1" w:styleId="254">
    <w:name w:val="apple-style-span"/>
    <w:basedOn w:val="46"/>
    <w:uiPriority w:val="0"/>
  </w:style>
  <w:style w:type="character" w:customStyle="1" w:styleId="255">
    <w:name w:val="正文无缩进 Char"/>
    <w:basedOn w:val="46"/>
    <w:link w:val="104"/>
    <w:uiPriority w:val="0"/>
    <w:rPr>
      <w:rFonts w:ascii="宋体"/>
      <w:color w:val="000000"/>
      <w:kern w:val="2"/>
      <w:sz w:val="24"/>
      <w:szCs w:val="24"/>
    </w:rPr>
  </w:style>
  <w:style w:type="character" w:customStyle="1" w:styleId="256">
    <w:name w:val="正文文本缩进 3 Char"/>
    <w:basedOn w:val="46"/>
    <w:link w:val="33"/>
    <w:uiPriority w:val="0"/>
    <w:rPr>
      <w:kern w:val="2"/>
      <w:sz w:val="16"/>
      <w:szCs w:val="16"/>
    </w:rPr>
  </w:style>
  <w:style w:type="character" w:customStyle="1" w:styleId="257">
    <w:name w:val="ca-3"/>
    <w:basedOn w:val="46"/>
    <w:uiPriority w:val="0"/>
  </w:style>
  <w:style w:type="character" w:customStyle="1" w:styleId="258">
    <w:name w:val="表格 Char Char"/>
    <w:link w:val="107"/>
    <w:locked/>
    <w:uiPriority w:val="0"/>
    <w:rPr>
      <w:rFonts w:ascii="宋体" w:hAnsi="宋体"/>
    </w:rPr>
  </w:style>
  <w:style w:type="character" w:customStyle="1" w:styleId="259">
    <w:name w:val="Char Char"/>
    <w:uiPriority w:val="0"/>
    <w:rPr>
      <w:rFonts w:hint="eastAsia" w:ascii="宋体" w:hAnsi="Courier New" w:eastAsia="宋体"/>
      <w:kern w:val="2"/>
      <w:sz w:val="21"/>
      <w:lang w:val="en-US" w:eastAsia="zh-CN" w:bidi="ar-SA"/>
    </w:rPr>
  </w:style>
  <w:style w:type="character" w:customStyle="1" w:styleId="260">
    <w:name w:val="style51"/>
    <w:basedOn w:val="46"/>
    <w:uiPriority w:val="0"/>
    <w:rPr>
      <w:sz w:val="21"/>
      <w:szCs w:val="21"/>
    </w:rPr>
  </w:style>
  <w:style w:type="character" w:customStyle="1" w:styleId="261">
    <w:name w:val="标准文本 Char"/>
    <w:basedOn w:val="46"/>
    <w:link w:val="111"/>
    <w:uiPriority w:val="0"/>
    <w:rPr>
      <w:rFonts w:cs="宋体"/>
      <w:kern w:val="2"/>
      <w:sz w:val="24"/>
    </w:rPr>
  </w:style>
  <w:style w:type="character" w:customStyle="1" w:styleId="262">
    <w:name w:val="自定义正文 Char"/>
    <w:basedOn w:val="46"/>
    <w:link w:val="112"/>
    <w:uiPriority w:val="0"/>
    <w:rPr>
      <w:rFonts w:ascii="FangSong_GB2312" w:eastAsia="FangSong_GB2312"/>
      <w:kern w:val="2"/>
      <w:sz w:val="28"/>
      <w:szCs w:val="24"/>
    </w:rPr>
  </w:style>
  <w:style w:type="character" w:customStyle="1" w:styleId="263">
    <w:name w:val="正文首行缩进 2 Char"/>
    <w:basedOn w:val="215"/>
    <w:link w:val="43"/>
    <w:uiPriority w:val="0"/>
    <w:rPr>
      <w:rFonts w:ascii="Times New Roman" w:hAnsi="Times New Roman" w:cs="Times New Roman"/>
      <w:kern w:val="2"/>
      <w:sz w:val="21"/>
      <w:szCs w:val="24"/>
    </w:rPr>
  </w:style>
  <w:style w:type="character" w:customStyle="1" w:styleId="264">
    <w:name w:val="Char Char1"/>
    <w:uiPriority w:val="0"/>
    <w:rPr>
      <w:rFonts w:ascii="宋体" w:hAnsi="Courier New" w:eastAsia="宋体"/>
      <w:kern w:val="2"/>
      <w:sz w:val="21"/>
      <w:lang w:val="en-US" w:eastAsia="zh-CN" w:bidi="ar-SA"/>
    </w:rPr>
  </w:style>
  <w:style w:type="character" w:customStyle="1" w:styleId="265">
    <w:name w:val="H4 Char"/>
    <w:uiPriority w:val="0"/>
    <w:rPr>
      <w:rFonts w:ascii="宋体" w:hAnsi="宋体" w:eastAsia="黑体"/>
      <w:b/>
      <w:bCs/>
      <w:color w:val="000000"/>
      <w:spacing w:val="-4"/>
      <w:kern w:val="2"/>
      <w:sz w:val="24"/>
      <w:szCs w:val="30"/>
      <w:lang w:val="en-US" w:eastAsia="zh-CN" w:bidi="ar-SA"/>
    </w:rPr>
  </w:style>
  <w:style w:type="character" w:customStyle="1" w:styleId="266">
    <w:name w:val="H5 Char"/>
    <w:qFormat/>
    <w:uiPriority w:val="0"/>
    <w:rPr>
      <w:rFonts w:ascii="Arial" w:hAnsi="Arial" w:eastAsia="宋体"/>
      <w:sz w:val="24"/>
      <w:lang w:val="en-US" w:eastAsia="zh-CN" w:bidi="ar-SA"/>
    </w:rPr>
  </w:style>
  <w:style w:type="character" w:customStyle="1" w:styleId="267">
    <w:name w:val="Char Char8"/>
    <w:uiPriority w:val="0"/>
    <w:rPr>
      <w:rFonts w:ascii="宋体" w:eastAsia="宋体"/>
      <w:kern w:val="2"/>
      <w:sz w:val="28"/>
      <w:lang w:val="en-US" w:eastAsia="zh-CN" w:bidi="ar-SA"/>
    </w:rPr>
  </w:style>
  <w:style w:type="character" w:customStyle="1" w:styleId="268">
    <w:name w:val="Char Char7"/>
    <w:uiPriority w:val="0"/>
    <w:rPr>
      <w:rFonts w:eastAsia="FangSong_GB2312"/>
      <w:kern w:val="2"/>
      <w:sz w:val="24"/>
      <w:szCs w:val="24"/>
      <w:lang w:val="en-US" w:eastAsia="zh-CN" w:bidi="ar-SA"/>
    </w:rPr>
  </w:style>
  <w:style w:type="character" w:customStyle="1" w:styleId="269">
    <w:name w:val="Char Char3"/>
    <w:uiPriority w:val="0"/>
    <w:rPr>
      <w:rFonts w:eastAsia="FangSong_GB2312"/>
      <w:kern w:val="2"/>
      <w:sz w:val="28"/>
      <w:szCs w:val="24"/>
      <w:lang w:val="en-US" w:eastAsia="zh-CN" w:bidi="ar-SA"/>
    </w:rPr>
  </w:style>
  <w:style w:type="character" w:customStyle="1" w:styleId="270">
    <w:name w:val="bulletintext1"/>
    <w:uiPriority w:val="0"/>
    <w:rPr>
      <w:rFonts w:hint="eastAsia" w:ascii="宋体" w:hAnsi="宋体" w:eastAsia="宋体"/>
      <w:sz w:val="18"/>
      <w:szCs w:val="18"/>
    </w:rPr>
  </w:style>
  <w:style w:type="character" w:customStyle="1" w:styleId="271">
    <w:name w:val="tpc_content1"/>
    <w:uiPriority w:val="0"/>
    <w:rPr>
      <w:sz w:val="20"/>
      <w:szCs w:val="20"/>
    </w:rPr>
  </w:style>
  <w:style w:type="character" w:customStyle="1" w:styleId="272">
    <w:name w:val="Char Char11"/>
    <w:uiPriority w:val="0"/>
    <w:rPr>
      <w:b/>
      <w:kern w:val="44"/>
      <w:sz w:val="44"/>
    </w:rPr>
  </w:style>
  <w:style w:type="character" w:customStyle="1" w:styleId="273">
    <w:name w:val="Char Char10"/>
    <w:uiPriority w:val="0"/>
    <w:rPr>
      <w:b/>
      <w:kern w:val="2"/>
      <w:sz w:val="28"/>
      <w:szCs w:val="28"/>
    </w:rPr>
  </w:style>
  <w:style w:type="character" w:customStyle="1" w:styleId="274">
    <w:name w:val="Char Char9"/>
    <w:uiPriority w:val="0"/>
    <w:rPr>
      <w:b/>
      <w:kern w:val="2"/>
      <w:sz w:val="24"/>
      <w:szCs w:val="24"/>
    </w:rPr>
  </w:style>
  <w:style w:type="character" w:customStyle="1" w:styleId="275">
    <w:name w:val="style11"/>
    <w:basedOn w:val="46"/>
    <w:uiPriority w:val="0"/>
    <w:rPr>
      <w:b/>
      <w:bCs/>
      <w:color w:val="FF0000"/>
    </w:rPr>
  </w:style>
  <w:style w:type="character" w:customStyle="1" w:styleId="276">
    <w:name w:val="info"/>
    <w:basedOn w:val="46"/>
    <w:uiPriority w:val="0"/>
  </w:style>
  <w:style w:type="character" w:customStyle="1" w:styleId="277">
    <w:name w:val="样式 正文缩进 + 首行缩进:  2 字符 Char"/>
    <w:link w:val="135"/>
    <w:locked/>
    <w:uiPriority w:val="0"/>
    <w:rPr>
      <w:rFonts w:ascii="宋体" w:hAnsi="宋体"/>
      <w:color w:val="000000"/>
      <w:sz w:val="24"/>
    </w:rPr>
  </w:style>
  <w:style w:type="character" w:customStyle="1" w:styleId="278">
    <w:name w:val="表格内文字 Char"/>
    <w:link w:val="136"/>
    <w:locked/>
    <w:uiPriority w:val="0"/>
    <w:rPr>
      <w:rFonts w:ascii="Arial" w:hAnsi="Arial"/>
      <w:kern w:val="2"/>
      <w:sz w:val="18"/>
      <w:szCs w:val="18"/>
    </w:rPr>
  </w:style>
  <w:style w:type="character" w:customStyle="1" w:styleId="279">
    <w:name w:val="样式2 Char Char Char Char"/>
    <w:link w:val="76"/>
    <w:locked/>
    <w:uiPriority w:val="99"/>
    <w:rPr>
      <w:rFonts w:ascii="宋体" w:hAnsi="宋体"/>
      <w:bCs/>
      <w:sz w:val="24"/>
      <w:szCs w:val="24"/>
      <w:lang w:eastAsia="en-US"/>
    </w:rPr>
  </w:style>
  <w:style w:type="character" w:customStyle="1" w:styleId="280">
    <w:name w:val="正文首行缩进 Char"/>
    <w:basedOn w:val="214"/>
    <w:link w:val="42"/>
    <w:locked/>
    <w:uiPriority w:val="99"/>
    <w:rPr>
      <w:rFonts w:eastAsia="FangSong_GB2312" w:cs="Times New Roman"/>
      <w:kern w:val="2"/>
      <w:sz w:val="21"/>
      <w:szCs w:val="24"/>
    </w:rPr>
  </w:style>
  <w:style w:type="character" w:customStyle="1" w:styleId="281">
    <w:name w:val="正文文本 3 Char"/>
    <w:basedOn w:val="46"/>
    <w:link w:val="20"/>
    <w:uiPriority w:val="0"/>
    <w:rPr>
      <w:kern w:val="2"/>
      <w:sz w:val="16"/>
      <w:szCs w:val="16"/>
    </w:rPr>
  </w:style>
  <w:style w:type="character" w:customStyle="1" w:styleId="282">
    <w:name w:val="apple-converted-space"/>
    <w:basedOn w:val="46"/>
    <w:uiPriority w:val="0"/>
  </w:style>
  <w:style w:type="character" w:customStyle="1" w:styleId="283">
    <w:name w:val="HTML 预设格式 Char"/>
    <w:basedOn w:val="46"/>
    <w:link w:val="37"/>
    <w:uiPriority w:val="0"/>
    <w:rPr>
      <w:rFonts w:ascii="黑体" w:hAnsi="Courier New" w:eastAsia="黑体" w:cs="Courier New"/>
    </w:rPr>
  </w:style>
  <w:style w:type="character" w:customStyle="1" w:styleId="284">
    <w:name w:val="SJ2 Char"/>
    <w:link w:val="141"/>
    <w:uiPriority w:val="0"/>
    <w:rPr>
      <w:kern w:val="16"/>
      <w:sz w:val="21"/>
    </w:rPr>
  </w:style>
  <w:style w:type="character" w:customStyle="1" w:styleId="285">
    <w:name w:val="页码1"/>
    <w:basedOn w:val="46"/>
    <w:uiPriority w:val="0"/>
  </w:style>
  <w:style w:type="character" w:customStyle="1" w:styleId="286">
    <w:name w:val="普通文字 Char Char Char2"/>
    <w:basedOn w:val="46"/>
    <w:uiPriority w:val="0"/>
    <w:rPr>
      <w:rFonts w:ascii="宋体" w:hAnsi="Courier New" w:eastAsia="宋体"/>
      <w:kern w:val="2"/>
      <w:sz w:val="21"/>
      <w:lang w:val="en-US" w:eastAsia="zh-CN" w:bidi="ar-SA"/>
    </w:rPr>
  </w:style>
  <w:style w:type="character" w:customStyle="1" w:styleId="287">
    <w:name w:val="段 Char"/>
    <w:link w:val="124"/>
    <w:locked/>
    <w:uiPriority w:val="0"/>
    <w:rPr>
      <w:rFonts w:ascii="宋体"/>
      <w:kern w:val="2"/>
      <w:sz w:val="21"/>
    </w:rPr>
  </w:style>
  <w:style w:type="character" w:customStyle="1" w:styleId="288">
    <w:name w:val="主体 Char Char"/>
    <w:link w:val="202"/>
    <w:locked/>
    <w:uiPriority w:val="0"/>
    <w:rPr>
      <w:rFonts w:ascii="宋体" w:hAnsi="宋体" w:cs="宋体"/>
      <w:kern w:val="58"/>
      <w:sz w:val="24"/>
      <w:szCs w:val="24"/>
    </w:rPr>
  </w:style>
  <w:style w:type="character" w:customStyle="1" w:styleId="289">
    <w:name w:val="zbggmain style9"/>
    <w:basedOn w:val="46"/>
    <w:uiPriority w:val="0"/>
  </w:style>
  <w:style w:type="character" w:customStyle="1" w:styleId="290">
    <w:name w:val="表格正文 Char"/>
    <w:basedOn w:val="46"/>
    <w:link w:val="203"/>
    <w:uiPriority w:val="0"/>
    <w:rPr>
      <w:kern w:val="2"/>
      <w:sz w:val="21"/>
      <w:szCs w:val="24"/>
    </w:rPr>
  </w:style>
  <w:style w:type="character" w:customStyle="1" w:styleId="291">
    <w:name w:val="正文01 Char1"/>
    <w:basedOn w:val="46"/>
    <w:link w:val="204"/>
    <w:uiPriority w:val="0"/>
    <w:rPr>
      <w:kern w:val="2"/>
      <w:sz w:val="24"/>
      <w:szCs w:val="24"/>
    </w:rPr>
  </w:style>
  <w:style w:type="table" w:customStyle="1" w:styleId="292">
    <w:name w:val="网格型1"/>
    <w:basedOn w:val="44"/>
    <w:qFormat/>
    <w:uiPriority w:val="99"/>
    <w:rPr>
      <w:rFonts w:ascii="Calibri" w:hAnsi="Calibri"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5510</Words>
  <Characters>31409</Characters>
  <Lines>261</Lines>
  <Paragraphs>73</Paragraphs>
  <TotalTime>9</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2020-11-06T04:55:00Z</dcterms:created>
  <dc:creator>Ting</dc:creator>
  <cp:lastModifiedBy>郭虹</cp:lastModifiedBy>
  <cp:lastPrinted>2020-01-14T04:42:00Z</cp:lastPrinted>
  <dcterms:modified xsi:type="dcterms:W3CDTF">2021-02-26T02:37:17Z</dcterms:modified>
  <dc:title>绍兴市公安局交通警察支队交警互联网支付及罚缴平台二期项目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