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cs="Arial" w:asciiTheme="minorEastAsia" w:hAnsiTheme="minorEastAsia" w:eastAsiaTheme="minorEastAsia"/>
          <w:b/>
          <w:spacing w:val="-12"/>
          <w:sz w:val="48"/>
          <w:szCs w:val="48"/>
        </w:rPr>
      </w:pPr>
    </w:p>
    <w:p>
      <w:pPr>
        <w:jc w:val="center"/>
        <w:outlineLvl w:val="0"/>
        <w:rPr>
          <w:rFonts w:cs="Arial" w:asciiTheme="minorEastAsia" w:hAnsiTheme="minorEastAsia" w:eastAsiaTheme="minorEastAsia"/>
          <w:b/>
          <w:spacing w:val="-12"/>
          <w:sz w:val="48"/>
          <w:szCs w:val="48"/>
        </w:rPr>
      </w:pPr>
    </w:p>
    <w:p>
      <w:pPr>
        <w:spacing w:line="312" w:lineRule="auto"/>
        <w:jc w:val="center"/>
        <w:outlineLvl w:val="0"/>
        <w:rPr>
          <w:rFonts w:ascii="隶书" w:hAnsi="Arial" w:eastAsia="隶书" w:cs="Arial"/>
          <w:b/>
          <w:color w:val="000000"/>
          <w:spacing w:val="-12"/>
          <w:sz w:val="48"/>
          <w:szCs w:val="48"/>
        </w:rPr>
      </w:pPr>
      <w:r>
        <w:rPr>
          <w:rFonts w:hint="eastAsia" w:ascii="隶书" w:hAnsi="Arial" w:eastAsia="隶书" w:cs="Arial"/>
          <w:b/>
          <w:color w:val="000000"/>
          <w:spacing w:val="-12"/>
          <w:sz w:val="48"/>
          <w:szCs w:val="48"/>
        </w:rPr>
        <w:t>绍兴市生态环境局</w:t>
      </w:r>
    </w:p>
    <w:p>
      <w:pPr>
        <w:spacing w:line="312" w:lineRule="auto"/>
        <w:jc w:val="center"/>
        <w:outlineLvl w:val="0"/>
        <w:rPr>
          <w:rFonts w:ascii="隶书" w:hAnsi="Arial" w:eastAsia="隶书" w:cs="Arial"/>
          <w:b/>
          <w:sz w:val="72"/>
          <w:szCs w:val="72"/>
        </w:rPr>
      </w:pPr>
      <w:r>
        <w:rPr>
          <w:rFonts w:hint="eastAsia" w:ascii="隶书" w:hAnsi="Arial" w:eastAsia="隶书" w:cs="Arial"/>
          <w:b/>
          <w:sz w:val="48"/>
          <w:szCs w:val="48"/>
        </w:rPr>
        <w:t>大气污染防治数字化监管项目</w:t>
      </w:r>
    </w:p>
    <w:p>
      <w:pPr>
        <w:outlineLvl w:val="0"/>
        <w:rPr>
          <w:rFonts w:asciiTheme="minorEastAsia" w:hAnsiTheme="minorEastAsia" w:eastAsiaTheme="minorEastAsia"/>
          <w:sz w:val="44"/>
        </w:rPr>
      </w:pPr>
    </w:p>
    <w:p>
      <w:pPr>
        <w:outlineLvl w:val="0"/>
        <w:rPr>
          <w:rFonts w:asciiTheme="minorEastAsia" w:hAnsiTheme="minorEastAsia" w:eastAsiaTheme="minorEastAsia"/>
          <w:sz w:val="44"/>
        </w:rPr>
      </w:pPr>
    </w:p>
    <w:p>
      <w:pPr>
        <w:jc w:val="center"/>
        <w:outlineLvl w:val="0"/>
        <w:rPr>
          <w:rFonts w:cs="Arial" w:asciiTheme="minorEastAsia" w:hAnsiTheme="minorEastAsia" w:eastAsiaTheme="minorEastAsia"/>
          <w:b/>
          <w:sz w:val="72"/>
          <w:szCs w:val="72"/>
        </w:rPr>
      </w:pPr>
      <w:r>
        <w:rPr>
          <w:rFonts w:hint="eastAsia" w:cs="Arial" w:asciiTheme="minorEastAsia" w:hAnsiTheme="minorEastAsia" w:eastAsiaTheme="minorEastAsia"/>
          <w:b/>
          <w:sz w:val="72"/>
          <w:szCs w:val="72"/>
        </w:rPr>
        <w:t>公</w:t>
      </w:r>
    </w:p>
    <w:p>
      <w:pPr>
        <w:jc w:val="center"/>
        <w:outlineLvl w:val="0"/>
        <w:rPr>
          <w:rFonts w:cs="Arial" w:asciiTheme="minorEastAsia" w:hAnsiTheme="minorEastAsia" w:eastAsiaTheme="minorEastAsia"/>
          <w:b/>
          <w:sz w:val="72"/>
          <w:szCs w:val="72"/>
        </w:rPr>
      </w:pPr>
      <w:r>
        <w:rPr>
          <w:rFonts w:hint="eastAsia" w:cs="Arial" w:asciiTheme="minorEastAsia" w:hAnsiTheme="minorEastAsia" w:eastAsiaTheme="minorEastAsia"/>
          <w:b/>
          <w:sz w:val="72"/>
          <w:szCs w:val="72"/>
        </w:rPr>
        <w:t>开</w:t>
      </w:r>
    </w:p>
    <w:p>
      <w:pPr>
        <w:jc w:val="center"/>
        <w:outlineLvl w:val="0"/>
        <w:rPr>
          <w:rFonts w:cs="Arial" w:asciiTheme="minorEastAsia" w:hAnsiTheme="minorEastAsia" w:eastAsiaTheme="minorEastAsia"/>
          <w:b/>
          <w:sz w:val="72"/>
          <w:szCs w:val="72"/>
        </w:rPr>
      </w:pPr>
      <w:r>
        <w:rPr>
          <w:rFonts w:hint="eastAsia" w:cs="Arial" w:asciiTheme="minorEastAsia" w:hAnsiTheme="minorEastAsia" w:eastAsiaTheme="minorEastAsia"/>
          <w:b/>
          <w:sz w:val="72"/>
          <w:szCs w:val="72"/>
        </w:rPr>
        <w:t>招</w:t>
      </w:r>
    </w:p>
    <w:p>
      <w:pPr>
        <w:jc w:val="center"/>
        <w:outlineLvl w:val="0"/>
        <w:rPr>
          <w:rFonts w:cs="Arial" w:asciiTheme="minorEastAsia" w:hAnsiTheme="minorEastAsia" w:eastAsiaTheme="minorEastAsia"/>
          <w:b/>
          <w:sz w:val="72"/>
          <w:szCs w:val="72"/>
        </w:rPr>
      </w:pPr>
      <w:r>
        <w:rPr>
          <w:rFonts w:hint="eastAsia" w:cs="Arial" w:asciiTheme="minorEastAsia" w:hAnsiTheme="minorEastAsia" w:eastAsiaTheme="minorEastAsia"/>
          <w:b/>
          <w:sz w:val="72"/>
          <w:szCs w:val="72"/>
        </w:rPr>
        <w:t>标</w:t>
      </w:r>
    </w:p>
    <w:p>
      <w:pPr>
        <w:jc w:val="center"/>
        <w:outlineLvl w:val="0"/>
        <w:rPr>
          <w:rFonts w:asciiTheme="minorEastAsia" w:hAnsiTheme="minorEastAsia" w:eastAsiaTheme="minorEastAsia"/>
          <w:b/>
          <w:sz w:val="72"/>
          <w:szCs w:val="72"/>
        </w:rPr>
      </w:pPr>
      <w:r>
        <w:rPr>
          <w:rFonts w:hint="eastAsia" w:asciiTheme="minorEastAsia" w:hAnsiTheme="minorEastAsia" w:eastAsiaTheme="minorEastAsia"/>
          <w:b/>
          <w:sz w:val="72"/>
          <w:szCs w:val="72"/>
        </w:rPr>
        <w:t>文</w:t>
      </w:r>
    </w:p>
    <w:p>
      <w:pPr>
        <w:jc w:val="center"/>
        <w:outlineLvl w:val="0"/>
        <w:rPr>
          <w:rFonts w:asciiTheme="minorEastAsia" w:hAnsiTheme="minorEastAsia" w:eastAsiaTheme="minorEastAsia"/>
          <w:sz w:val="44"/>
        </w:rPr>
      </w:pPr>
      <w:r>
        <w:rPr>
          <w:rFonts w:hint="eastAsia" w:asciiTheme="minorEastAsia" w:hAnsiTheme="minorEastAsia" w:eastAsiaTheme="minorEastAsia"/>
          <w:b/>
          <w:sz w:val="72"/>
          <w:szCs w:val="72"/>
        </w:rPr>
        <w:t>件</w:t>
      </w:r>
    </w:p>
    <w:p>
      <w:pPr>
        <w:jc w:val="center"/>
        <w:outlineLvl w:val="0"/>
        <w:rPr>
          <w:rFonts w:asciiTheme="minorEastAsia" w:hAnsiTheme="minorEastAsia" w:eastAsiaTheme="minorEastAsia"/>
          <w:szCs w:val="21"/>
        </w:rPr>
      </w:pPr>
    </w:p>
    <w:p>
      <w:pPr>
        <w:pStyle w:val="2"/>
        <w:numPr>
          <w:ilvl w:val="0"/>
          <w:numId w:val="0"/>
        </w:numPr>
        <w:spacing w:before="0" w:after="0" w:line="240" w:lineRule="auto"/>
        <w:ind w:left="425"/>
        <w:rPr>
          <w:sz w:val="21"/>
          <w:szCs w:val="21"/>
        </w:rPr>
      </w:pPr>
    </w:p>
    <w:p/>
    <w:p>
      <w:pPr>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招标编号:CGSHZJ-2021-N000641</w:t>
      </w:r>
    </w:p>
    <w:tbl>
      <w:tblPr>
        <w:tblStyle w:val="43"/>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Theme="minorEastAsia" w:hAnsiTheme="minorEastAsia" w:eastAsiaTheme="minorEastAsia"/>
                <w:sz w:val="28"/>
                <w:szCs w:val="28"/>
              </w:rPr>
            </w:pPr>
            <w:r>
              <w:rPr>
                <w:rFonts w:hint="eastAsia" w:asciiTheme="minorEastAsia" w:hAnsiTheme="minorEastAsia" w:eastAsiaTheme="minorEastAsia"/>
                <w:spacing w:val="93"/>
                <w:kern w:val="0"/>
                <w:sz w:val="28"/>
                <w:szCs w:val="28"/>
              </w:rPr>
              <w:t>采购单</w:t>
            </w:r>
            <w:r>
              <w:rPr>
                <w:rFonts w:hint="eastAsia" w:asciiTheme="minorEastAsia" w:hAnsiTheme="minorEastAsia" w:eastAsiaTheme="minorEastAsia"/>
                <w:spacing w:val="1"/>
                <w:kern w:val="0"/>
                <w:sz w:val="28"/>
                <w:szCs w:val="28"/>
              </w:rPr>
              <w:t>位</w:t>
            </w:r>
            <w:r>
              <w:rPr>
                <w:rFonts w:hint="eastAsia" w:asciiTheme="minorEastAsia" w:hAnsiTheme="minorEastAsia" w:eastAsiaTheme="minorEastAsia"/>
                <w:sz w:val="28"/>
                <w:szCs w:val="28"/>
              </w:rPr>
              <w:t>：</w:t>
            </w:r>
          </w:p>
        </w:tc>
        <w:tc>
          <w:tcPr>
            <w:tcW w:w="5445" w:type="dxa"/>
            <w:vAlign w:val="center"/>
          </w:tcPr>
          <w:p>
            <w:pPr>
              <w:spacing w:line="320" w:lineRule="exact"/>
              <w:outlineLvl w:val="0"/>
              <w:rPr>
                <w:rFonts w:asciiTheme="minorEastAsia" w:hAnsiTheme="minorEastAsia" w:eastAsiaTheme="minorEastAsia"/>
                <w:sz w:val="28"/>
                <w:szCs w:val="28"/>
              </w:rPr>
            </w:pPr>
            <w:r>
              <w:rPr>
                <w:rFonts w:hint="eastAsia" w:asciiTheme="minorEastAsia" w:hAnsiTheme="minorEastAsia" w:eastAsiaTheme="minorEastAsia"/>
                <w:sz w:val="28"/>
                <w:szCs w:val="28"/>
              </w:rPr>
              <w:t>绍兴市生态环境局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Theme="minorEastAsia" w:hAnsiTheme="minorEastAsia" w:eastAsiaTheme="minorEastAsia"/>
                <w:sz w:val="28"/>
                <w:szCs w:val="28"/>
              </w:rPr>
            </w:pPr>
            <w:r>
              <w:rPr>
                <w:rFonts w:hint="eastAsia" w:asciiTheme="minorEastAsia" w:hAnsiTheme="minorEastAsia" w:eastAsiaTheme="minorEastAsia"/>
                <w:spacing w:val="0"/>
                <w:kern w:val="0"/>
                <w:sz w:val="28"/>
                <w:szCs w:val="28"/>
                <w:fitText w:val="1680" w:id="952196739"/>
              </w:rPr>
              <w:t>采购代理机构</w:t>
            </w:r>
            <w:r>
              <w:rPr>
                <w:rFonts w:hint="eastAsia" w:asciiTheme="minorEastAsia" w:hAnsiTheme="minorEastAsia" w:eastAsiaTheme="minorEastAsia"/>
                <w:sz w:val="28"/>
                <w:szCs w:val="28"/>
              </w:rPr>
              <w:t>：</w:t>
            </w:r>
          </w:p>
        </w:tc>
        <w:tc>
          <w:tcPr>
            <w:tcW w:w="5445" w:type="dxa"/>
          </w:tcPr>
          <w:p>
            <w:pPr>
              <w:spacing w:after="100" w:afterAutospacing="1"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耀华建设管理有限公司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Theme="minorEastAsia" w:hAnsiTheme="minorEastAsia" w:eastAsiaTheme="minorEastAsia"/>
                <w:sz w:val="28"/>
                <w:szCs w:val="28"/>
              </w:rPr>
            </w:pPr>
            <w:r>
              <w:rPr>
                <w:rFonts w:hint="eastAsia" w:asciiTheme="minorEastAsia" w:hAnsiTheme="minorEastAsia" w:eastAsiaTheme="minorEastAsia"/>
                <w:spacing w:val="93"/>
                <w:kern w:val="0"/>
                <w:sz w:val="28"/>
                <w:szCs w:val="28"/>
                <w:fitText w:val="1680" w:id="1"/>
              </w:rPr>
              <w:t>监督单</w:t>
            </w:r>
            <w:r>
              <w:rPr>
                <w:rFonts w:hint="eastAsia" w:asciiTheme="minorEastAsia" w:hAnsiTheme="minorEastAsia" w:eastAsiaTheme="minorEastAsia"/>
                <w:spacing w:val="1"/>
                <w:kern w:val="0"/>
                <w:sz w:val="28"/>
                <w:szCs w:val="28"/>
                <w:fitText w:val="1680" w:id="1"/>
              </w:rPr>
              <w:t>位</w:t>
            </w:r>
            <w:r>
              <w:rPr>
                <w:rFonts w:hint="eastAsia" w:asciiTheme="minorEastAsia" w:hAnsiTheme="minorEastAsia" w:eastAsiaTheme="minorEastAsia"/>
                <w:sz w:val="28"/>
                <w:szCs w:val="28"/>
              </w:rPr>
              <w:t>：</w:t>
            </w:r>
          </w:p>
        </w:tc>
        <w:tc>
          <w:tcPr>
            <w:tcW w:w="5445" w:type="dxa"/>
          </w:tcPr>
          <w:p>
            <w:pPr>
              <w:spacing w:after="100" w:afterAutospacing="1"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Theme="minorEastAsia" w:hAnsiTheme="minorEastAsia" w:eastAsiaTheme="minorEastAsia"/>
                <w:sz w:val="28"/>
                <w:szCs w:val="28"/>
              </w:rPr>
            </w:pPr>
          </w:p>
        </w:tc>
        <w:tc>
          <w:tcPr>
            <w:tcW w:w="5445" w:type="dxa"/>
          </w:tcPr>
          <w:p>
            <w:pPr>
              <w:spacing w:after="100" w:afterAutospacing="1"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二○二一年十一月</w:t>
            </w:r>
          </w:p>
        </w:tc>
      </w:tr>
    </w:tbl>
    <w:p>
      <w:pPr>
        <w:pageBreakBefore/>
        <w:jc w:val="center"/>
        <w:rPr>
          <w:rFonts w:ascii="隶书" w:eastAsia="隶书"/>
          <w:b/>
          <w:sz w:val="44"/>
          <w:szCs w:val="44"/>
        </w:rPr>
      </w:pPr>
    </w:p>
    <w:p>
      <w:pPr>
        <w:jc w:val="center"/>
        <w:rPr>
          <w:rFonts w:ascii="隶书" w:eastAsia="隶书"/>
          <w:b/>
          <w:sz w:val="44"/>
          <w:szCs w:val="44"/>
        </w:rPr>
      </w:pPr>
    </w:p>
    <w:p>
      <w:pPr>
        <w:jc w:val="center"/>
        <w:rPr>
          <w:rFonts w:ascii="仿宋_GB2312" w:eastAsia="仿宋_GB2312"/>
          <w:b/>
          <w:sz w:val="44"/>
          <w:szCs w:val="44"/>
        </w:rPr>
      </w:pPr>
      <w:r>
        <w:rPr>
          <w:rFonts w:hint="eastAsia" w:ascii="仿宋_GB2312" w:eastAsia="仿宋_GB2312"/>
          <w:b/>
          <w:sz w:val="44"/>
          <w:szCs w:val="44"/>
        </w:rPr>
        <w:t>目   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jc w:val="center"/>
        <w:rPr>
          <w:rFonts w:ascii="仿宋_GB2312" w:eastAsia="仿宋_GB2312"/>
          <w:b/>
          <w:sz w:val="36"/>
          <w:szCs w:val="36"/>
        </w:rPr>
      </w:pPr>
      <w:r>
        <w:rPr>
          <w:rFonts w:hint="eastAsia" w:ascii="仿宋_GB2312" w:eastAsia="仿宋_GB2312"/>
          <w:b/>
          <w:sz w:val="36"/>
          <w:szCs w:val="36"/>
        </w:rPr>
        <w:t>第一部分 招标公告</w:t>
      </w:r>
    </w:p>
    <w:tbl>
      <w:tblPr>
        <w:tblStyle w:val="43"/>
        <w:tblW w:w="5000" w:type="pct"/>
        <w:tblInd w:w="0" w:type="dxa"/>
        <w:tblLayout w:type="autofit"/>
        <w:tblCellMar>
          <w:top w:w="0" w:type="dxa"/>
          <w:left w:w="0" w:type="dxa"/>
          <w:bottom w:w="0" w:type="dxa"/>
          <w:right w:w="0" w:type="dxa"/>
        </w:tblCellMar>
      </w:tblPr>
      <w:tblGrid>
        <w:gridCol w:w="8742"/>
      </w:tblGrid>
      <w:tr>
        <w:tblPrEx>
          <w:tblCellMar>
            <w:top w:w="0" w:type="dxa"/>
            <w:left w:w="0" w:type="dxa"/>
            <w:bottom w:w="0" w:type="dxa"/>
            <w:right w:w="0" w:type="dxa"/>
          </w:tblCellMar>
        </w:tblPrEx>
        <w:tc>
          <w:tcPr>
            <w:tcW w:w="5000" w:type="pct"/>
            <w:vAlign w:val="center"/>
          </w:tcPr>
          <w:p>
            <w:pPr>
              <w:rPr>
                <w:color w:val="000000" w:themeColor="text1"/>
              </w:rPr>
            </w:pPr>
            <w:r>
              <w:rPr>
                <w:rFonts w:ascii="仿宋_GB2312" w:hAnsi="新宋体" w:eastAsia="仿宋_GB2312"/>
                <w:color w:val="000000" w:themeColor="text1"/>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项目概况：</w:t>
                  </w:r>
                  <w:r>
                    <w:rPr>
                      <w:rFonts w:ascii="仿宋_GB2312" w:hAnsi="新宋体" w:eastAsia="仿宋_GB2312"/>
                      <w:color w:val="000000" w:themeColor="text1"/>
                      <w:szCs w:val="24"/>
                    </w:rPr>
                    <w:t>  </w:t>
                  </w:r>
                </w:p>
                <w:p>
                  <w:pPr>
                    <w:pStyle w:val="86"/>
                    <w:spacing w:afterLines="0" w:line="440" w:lineRule="exact"/>
                    <w:ind w:firstLine="0" w:firstLineChars="0"/>
                    <w:rPr>
                      <w:rFonts w:ascii="仿宋_GB2312" w:hAnsi="新宋体" w:eastAsia="仿宋_GB2312"/>
                      <w:color w:val="000000" w:themeColor="text1"/>
                      <w:szCs w:val="24"/>
                    </w:rPr>
                  </w:pPr>
                  <w:r>
                    <w:rPr>
                      <w:rFonts w:hint="eastAsia" w:ascii="仿宋_GB2312" w:hAnsi="新宋体" w:eastAsia="仿宋_GB2312"/>
                      <w:color w:val="000000" w:themeColor="text1"/>
                      <w:szCs w:val="24"/>
                    </w:rPr>
                    <w:t>绍兴市生态环境局大气污染防治数字化监管项目的潜在投标人应在网上报名获取（下载）招标文件，并于2021年</w:t>
                  </w:r>
                  <w:r>
                    <w:rPr>
                      <w:rFonts w:hint="eastAsia" w:ascii="仿宋_GB2312" w:hAnsi="新宋体" w:eastAsia="仿宋_GB2312"/>
                      <w:color w:val="000000" w:themeColor="text1"/>
                      <w:szCs w:val="24"/>
                      <w:lang w:val="en-US" w:eastAsia="zh-CN"/>
                    </w:rPr>
                    <w:t>12</w:t>
                  </w:r>
                  <w:r>
                    <w:rPr>
                      <w:rFonts w:hint="eastAsia" w:ascii="仿宋_GB2312" w:hAnsi="新宋体" w:eastAsia="仿宋_GB2312"/>
                      <w:color w:val="000000" w:themeColor="text1"/>
                      <w:szCs w:val="24"/>
                    </w:rPr>
                    <w:t>月</w:t>
                  </w:r>
                  <w:r>
                    <w:rPr>
                      <w:rFonts w:hint="eastAsia" w:ascii="仿宋_GB2312" w:hAnsi="新宋体" w:eastAsia="仿宋_GB2312"/>
                      <w:color w:val="000000" w:themeColor="text1"/>
                      <w:szCs w:val="24"/>
                      <w:lang w:val="en-US" w:eastAsia="zh-CN"/>
                    </w:rPr>
                    <w:t>17</w:t>
                  </w:r>
                  <w:r>
                    <w:rPr>
                      <w:rFonts w:hint="eastAsia" w:ascii="仿宋_GB2312" w:hAnsi="新宋体" w:eastAsia="仿宋_GB2312"/>
                      <w:color w:val="000000" w:themeColor="text1"/>
                      <w:szCs w:val="24"/>
                    </w:rPr>
                    <w:t xml:space="preserve">日 </w:t>
                  </w:r>
                  <w:r>
                    <w:rPr>
                      <w:rFonts w:hint="eastAsia" w:ascii="仿宋_GB2312" w:hAnsi="新宋体" w:eastAsia="仿宋_GB2312"/>
                      <w:color w:val="000000" w:themeColor="text1"/>
                      <w:szCs w:val="24"/>
                      <w:lang w:val="en-US" w:eastAsia="zh-CN"/>
                    </w:rPr>
                    <w:t>14</w:t>
                  </w:r>
                  <w:r>
                    <w:rPr>
                      <w:rFonts w:hint="eastAsia" w:ascii="仿宋_GB2312" w:hAnsi="新宋体" w:eastAsia="仿宋_GB2312"/>
                      <w:color w:val="000000" w:themeColor="text1"/>
                      <w:szCs w:val="24"/>
                    </w:rPr>
                    <w:t>:00（北京时间）前递交（上传）投标文件。</w:t>
                  </w:r>
                </w:p>
              </w:tc>
            </w:tr>
          </w:tbl>
          <w:p>
            <w:pPr>
              <w:pStyle w:val="86"/>
              <w:spacing w:afterLines="0" w:line="440" w:lineRule="exact"/>
              <w:ind w:firstLine="480"/>
              <w:jc w:val="left"/>
              <w:rPr>
                <w:rFonts w:ascii="仿宋_GB2312" w:hAnsi="新宋体" w:eastAsia="仿宋_GB2312"/>
                <w:color w:val="000000" w:themeColor="text1"/>
                <w:szCs w:val="24"/>
              </w:rPr>
            </w:pPr>
            <w:r>
              <w:rPr>
                <w:rFonts w:hint="eastAsia" w:ascii="仿宋_GB2312" w:hAnsi="新宋体" w:eastAsia="仿宋_GB2312"/>
                <w:color w:val="000000" w:themeColor="text1"/>
                <w:szCs w:val="24"/>
              </w:rPr>
              <w:t>一、项目基本情况</w:t>
            </w:r>
            <w:r>
              <w:rPr>
                <w:rFonts w:ascii="仿宋_GB2312" w:hAnsi="新宋体" w:eastAsia="仿宋_GB2312"/>
                <w:color w:val="000000" w:themeColor="text1"/>
                <w:szCs w:val="24"/>
              </w:rPr>
              <w:t> </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 xml:space="preserve">项目编号：CGSHZJ-2021- N000641 </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项目名称：绍兴市生态环境局大气污染防治数字化监管项目</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采购方式：公开招标</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预算金额（元）：</w:t>
            </w:r>
            <w:r>
              <w:rPr>
                <w:rFonts w:hint="eastAsia" w:ascii="仿宋" w:hAnsi="仿宋" w:eastAsia="仿宋"/>
              </w:rPr>
              <w:t>4700000</w:t>
            </w:r>
          </w:p>
          <w:p>
            <w:pPr>
              <w:pStyle w:val="86"/>
              <w:spacing w:afterLines="0" w:line="440" w:lineRule="exact"/>
              <w:ind w:firstLine="480"/>
              <w:rPr>
                <w:rFonts w:ascii="仿宋" w:eastAsia="仿宋" w:cs="宋体"/>
                <w:bCs/>
                <w:szCs w:val="24"/>
              </w:rPr>
            </w:pPr>
            <w:r>
              <w:rPr>
                <w:rFonts w:hint="eastAsia" w:ascii="仿宋_GB2312" w:hAnsi="新宋体" w:eastAsia="仿宋_GB2312"/>
                <w:szCs w:val="24"/>
              </w:rPr>
              <w:t>最高限价（元）：</w:t>
            </w:r>
            <w:r>
              <w:rPr>
                <w:rFonts w:hint="eastAsia" w:ascii="仿宋" w:hAnsi="仿宋" w:eastAsia="仿宋"/>
              </w:rPr>
              <w:t>4700000</w:t>
            </w:r>
          </w:p>
          <w:p>
            <w:pPr>
              <w:pStyle w:val="86"/>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采购需求：详见采购文件</w:t>
            </w:r>
          </w:p>
          <w:p>
            <w:pPr>
              <w:pStyle w:val="86"/>
              <w:spacing w:afterLines="0" w:line="440" w:lineRule="exact"/>
              <w:ind w:firstLine="480"/>
              <w:rPr>
                <w:rFonts w:ascii="仿宋_GB2312" w:hAnsi="新宋体" w:eastAsia="仿宋_GB2312"/>
                <w:szCs w:val="24"/>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标项名称:</w:t>
            </w:r>
            <w:r>
              <w:rPr>
                <w:rFonts w:ascii="仿宋_GB2312" w:hAnsi="新宋体" w:eastAsia="仿宋_GB2312"/>
                <w:szCs w:val="24"/>
              </w:rPr>
              <w:t> </w:t>
            </w:r>
            <w:r>
              <w:rPr>
                <w:rFonts w:hint="eastAsia" w:ascii="仿宋_GB2312" w:hAnsi="新宋体" w:eastAsia="仿宋_GB2312"/>
                <w:color w:val="000000" w:themeColor="text1"/>
                <w:szCs w:val="24"/>
              </w:rPr>
              <w:t>大气污染防治数字化监管项目</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数量:1</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预算金额（元）:</w:t>
            </w:r>
            <w:r>
              <w:rPr>
                <w:rFonts w:ascii="仿宋_GB2312" w:hAnsi="新宋体" w:eastAsia="仿宋_GB2312"/>
                <w:szCs w:val="24"/>
              </w:rPr>
              <w:t> </w:t>
            </w:r>
            <w:r>
              <w:rPr>
                <w:rFonts w:hint="eastAsia" w:ascii="仿宋" w:hAnsi="仿宋" w:eastAsia="仿宋"/>
              </w:rPr>
              <w:t>4700000</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简要规格描述或项目基本概况介绍、用途：详见采购文件</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备注：</w:t>
            </w:r>
          </w:p>
          <w:p>
            <w:pPr>
              <w:pStyle w:val="86"/>
              <w:spacing w:afterLines="0" w:line="440" w:lineRule="exact"/>
              <w:ind w:firstLine="480"/>
              <w:rPr>
                <w:rFonts w:ascii="仿宋_GB2312" w:hAnsi="新宋体" w:eastAsia="仿宋_GB2312"/>
                <w:szCs w:val="24"/>
              </w:rPr>
            </w:pPr>
            <w:r>
              <w:rPr>
                <w:rFonts w:hint="eastAsia" w:ascii="仿宋_GB2312" w:hAnsi="新宋体" w:eastAsia="仿宋_GB2312"/>
                <w:szCs w:val="24"/>
              </w:rPr>
              <w:t>合同履约期限：按双方合同约定条款执行。</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本项目（否）接受联合体投标。</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二、申请人的资格要求：</w:t>
            </w:r>
          </w:p>
          <w:p>
            <w:pPr>
              <w:widowControl/>
              <w:snapToGrid w:val="0"/>
              <w:spacing w:line="440" w:lineRule="exact"/>
              <w:ind w:firstLine="480" w:firstLineChars="200"/>
              <w:jc w:val="left"/>
              <w:rPr>
                <w:rFonts w:ascii="仿宋_GB2312" w:hAnsi="新宋体" w:eastAsia="仿宋_GB2312"/>
              </w:rPr>
            </w:pPr>
            <w:r>
              <w:rPr>
                <w:rFonts w:hint="eastAsia" w:ascii="仿宋_GB2312" w:hAnsi="新宋体" w:eastAsia="仿宋_GB2312"/>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pStyle w:val="86"/>
              <w:spacing w:afterLines="0" w:line="440" w:lineRule="exact"/>
              <w:ind w:firstLine="480"/>
              <w:jc w:val="left"/>
              <w:rPr>
                <w:rFonts w:ascii="仿宋_GB2312" w:hAnsi="新宋体" w:eastAsia="仿宋_GB2312"/>
                <w:color w:val="000000" w:themeColor="text1"/>
                <w:szCs w:val="24"/>
              </w:rPr>
            </w:pPr>
            <w:r>
              <w:rPr>
                <w:rFonts w:hint="eastAsia" w:ascii="仿宋_GB2312" w:hAnsi="新宋体" w:eastAsia="仿宋_GB2312"/>
                <w:szCs w:val="24"/>
              </w:rPr>
              <w:t>2.落实政府采购政策需满足的资格要求：</w:t>
            </w:r>
            <w:r>
              <w:rPr>
                <w:rFonts w:hint="eastAsia" w:ascii="仿宋" w:hAnsi="仿宋" w:eastAsia="仿宋"/>
              </w:rPr>
              <w:t>无</w:t>
            </w:r>
            <w:r>
              <w:rPr>
                <w:rFonts w:ascii="仿宋_GB2312" w:hAnsi="新宋体" w:eastAsia="仿宋_GB2312"/>
                <w:color w:val="000000" w:themeColor="text1"/>
                <w:szCs w:val="24"/>
              </w:rPr>
              <w:t> </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3.本项目的特定资格要求：无</w:t>
            </w:r>
            <w:r>
              <w:rPr>
                <w:rFonts w:ascii="仿宋_GB2312" w:hAnsi="新宋体" w:eastAsia="仿宋_GB2312"/>
                <w:color w:val="000000" w:themeColor="text1"/>
                <w:szCs w:val="24"/>
              </w:rPr>
              <w:t> </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三、获取招标文件</w:t>
            </w:r>
            <w:r>
              <w:rPr>
                <w:rFonts w:ascii="仿宋_GB2312" w:hAnsi="新宋体" w:eastAsia="仿宋_GB2312"/>
                <w:color w:val="000000" w:themeColor="text1"/>
                <w:szCs w:val="24"/>
              </w:rPr>
              <w:t> </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时间：</w:t>
            </w:r>
            <w:r>
              <w:rPr>
                <w:rFonts w:ascii="仿宋_GB2312" w:hAnsi="新宋体" w:eastAsia="仿宋_GB2312"/>
                <w:color w:val="000000" w:themeColor="text1"/>
                <w:szCs w:val="24"/>
              </w:rPr>
              <w:t>202</w:t>
            </w:r>
            <w:r>
              <w:rPr>
                <w:rFonts w:hint="eastAsia" w:ascii="仿宋_GB2312" w:hAnsi="新宋体" w:eastAsia="仿宋_GB2312"/>
                <w:color w:val="000000" w:themeColor="text1"/>
                <w:szCs w:val="24"/>
              </w:rPr>
              <w:t>1</w:t>
            </w:r>
            <w:r>
              <w:rPr>
                <w:rFonts w:ascii="仿宋_GB2312" w:hAnsi="新宋体" w:eastAsia="仿宋_GB2312"/>
                <w:color w:val="000000" w:themeColor="text1"/>
                <w:szCs w:val="24"/>
              </w:rPr>
              <w:t>年</w:t>
            </w:r>
            <w:r>
              <w:rPr>
                <w:rFonts w:hint="eastAsia" w:ascii="仿宋_GB2312" w:hAnsi="新宋体" w:eastAsia="仿宋_GB2312"/>
                <w:color w:val="000000" w:themeColor="text1"/>
                <w:szCs w:val="24"/>
                <w:lang w:val="en-US" w:eastAsia="zh-CN"/>
              </w:rPr>
              <w:t>11</w:t>
            </w:r>
            <w:r>
              <w:rPr>
                <w:rFonts w:ascii="仿宋_GB2312" w:hAnsi="新宋体" w:eastAsia="仿宋_GB2312"/>
                <w:color w:val="000000" w:themeColor="text1"/>
                <w:szCs w:val="24"/>
              </w:rPr>
              <w:t>月</w:t>
            </w:r>
            <w:r>
              <w:rPr>
                <w:rFonts w:hint="eastAsia" w:ascii="仿宋_GB2312" w:hAnsi="新宋体" w:eastAsia="仿宋_GB2312"/>
                <w:color w:val="000000" w:themeColor="text1"/>
                <w:szCs w:val="24"/>
                <w:lang w:val="en-US" w:eastAsia="zh-CN"/>
              </w:rPr>
              <w:t>26</w:t>
            </w:r>
            <w:r>
              <w:rPr>
                <w:rFonts w:ascii="仿宋_GB2312" w:hAnsi="新宋体" w:eastAsia="仿宋_GB2312"/>
                <w:color w:val="000000" w:themeColor="text1"/>
                <w:szCs w:val="24"/>
              </w:rPr>
              <w:t>日</w:t>
            </w:r>
            <w:r>
              <w:rPr>
                <w:rFonts w:hint="eastAsia" w:ascii="仿宋_GB2312" w:hAnsi="新宋体" w:eastAsia="仿宋_GB2312"/>
                <w:color w:val="000000" w:themeColor="text1"/>
                <w:szCs w:val="24"/>
              </w:rPr>
              <w:t>/至2021年</w:t>
            </w:r>
            <w:r>
              <w:rPr>
                <w:rFonts w:hint="eastAsia" w:ascii="仿宋_GB2312" w:hAnsi="新宋体" w:eastAsia="仿宋_GB2312"/>
                <w:color w:val="000000" w:themeColor="text1"/>
                <w:szCs w:val="24"/>
                <w:lang w:val="en-US" w:eastAsia="zh-CN"/>
              </w:rPr>
              <w:t>12</w:t>
            </w:r>
            <w:r>
              <w:rPr>
                <w:rFonts w:hint="eastAsia" w:ascii="仿宋_GB2312" w:hAnsi="新宋体" w:eastAsia="仿宋_GB2312"/>
                <w:color w:val="000000" w:themeColor="text1"/>
                <w:szCs w:val="24"/>
              </w:rPr>
              <w:t>月</w:t>
            </w:r>
            <w:r>
              <w:rPr>
                <w:rFonts w:hint="eastAsia" w:ascii="仿宋_GB2312" w:hAnsi="新宋体" w:eastAsia="仿宋_GB2312"/>
                <w:color w:val="000000" w:themeColor="text1"/>
                <w:szCs w:val="24"/>
                <w:lang w:val="en-US" w:eastAsia="zh-CN"/>
              </w:rPr>
              <w:t>17</w:t>
            </w:r>
            <w:r>
              <w:rPr>
                <w:rFonts w:hint="eastAsia" w:ascii="仿宋_GB2312" w:hAnsi="新宋体" w:eastAsia="仿宋_GB2312"/>
                <w:color w:val="000000" w:themeColor="text1"/>
                <w:szCs w:val="24"/>
              </w:rPr>
              <w:t>日，每天上午00:00至12:00</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，下午12:00至23:59（北京时间，线上获取法定节假日均可，线下获取文件法定节假日除外）</w:t>
            </w:r>
          </w:p>
          <w:p>
            <w:pPr>
              <w:pStyle w:val="86"/>
              <w:spacing w:afterLines="0" w:line="440" w:lineRule="exact"/>
              <w:ind w:firstLine="480"/>
              <w:rPr>
                <w:rFonts w:ascii="仿宋_GB2312" w:hAnsi="新宋体" w:eastAsia="仿宋_GB2312"/>
                <w:szCs w:val="24"/>
              </w:rPr>
            </w:pPr>
            <w:r>
              <w:rPr>
                <w:rFonts w:hint="eastAsia" w:ascii="仿宋_GB2312" w:hAnsi="新宋体" w:eastAsia="仿宋_GB2312"/>
                <w:szCs w:val="24"/>
              </w:rPr>
              <w:t>地点（网址）：</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ascii="仿宋_GB2312" w:hAnsi="新宋体" w:eastAsia="仿宋_GB2312"/>
                <w:szCs w:val="24"/>
              </w:rPr>
              <w:t> </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szCs w:val="24"/>
              </w:rPr>
              <w:t>方式：</w:t>
            </w:r>
            <w:r>
              <w:rPr>
                <w:rFonts w:hint="eastAsia" w:ascii="仿宋_GB2312" w:hAnsi="新宋体" w:eastAsia="仿宋_GB2312" w:cs="Arial"/>
                <w:bCs/>
              </w:rPr>
              <w:t>供应商登陆政采云平台</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hint="eastAsia" w:ascii="仿宋_GB2312" w:hAnsi="新宋体" w:eastAsia="仿宋_GB2312" w:cs="Arial"/>
                <w:bCs/>
              </w:rPr>
              <w:t>，在线申请获取采购文件（进入“项目采购”应用，在获取采购文件菜单中选择项目，申请获取采购文件）</w:t>
            </w:r>
            <w:r>
              <w:rPr>
                <w:rFonts w:ascii="仿宋_GB2312" w:hAnsi="新宋体" w:eastAsia="仿宋_GB2312" w:cs="Arial"/>
                <w:bCs/>
                <w:color w:val="000000" w:themeColor="text1"/>
              </w:rPr>
              <w:t>。</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售价（元）：0</w:t>
            </w:r>
            <w:r>
              <w:rPr>
                <w:rFonts w:ascii="仿宋_GB2312" w:hAnsi="新宋体" w:eastAsia="仿宋_GB2312"/>
                <w:color w:val="000000" w:themeColor="text1"/>
                <w:szCs w:val="24"/>
              </w:rPr>
              <w:t> </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四、提交投标文件截止时间、开标时间和地点</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提交投标文件截止时间：2021年</w:t>
            </w:r>
            <w:r>
              <w:rPr>
                <w:rFonts w:hint="eastAsia" w:ascii="仿宋_GB2312" w:hAnsi="新宋体" w:eastAsia="仿宋_GB2312"/>
                <w:color w:val="000000" w:themeColor="text1"/>
                <w:szCs w:val="24"/>
                <w:lang w:val="en-US" w:eastAsia="zh-CN"/>
              </w:rPr>
              <w:t>12</w:t>
            </w:r>
            <w:r>
              <w:rPr>
                <w:rFonts w:hint="eastAsia" w:ascii="仿宋_GB2312" w:hAnsi="新宋体" w:eastAsia="仿宋_GB2312"/>
                <w:color w:val="000000" w:themeColor="text1"/>
                <w:szCs w:val="24"/>
              </w:rPr>
              <w:t>月</w:t>
            </w:r>
            <w:r>
              <w:rPr>
                <w:rFonts w:hint="eastAsia" w:ascii="仿宋_GB2312" w:hAnsi="新宋体" w:eastAsia="仿宋_GB2312"/>
                <w:color w:val="000000" w:themeColor="text1"/>
                <w:szCs w:val="24"/>
                <w:lang w:val="en-US" w:eastAsia="zh-CN"/>
              </w:rPr>
              <w:t>17</w:t>
            </w:r>
            <w:r>
              <w:rPr>
                <w:rFonts w:hint="eastAsia" w:ascii="仿宋_GB2312" w:hAnsi="新宋体" w:eastAsia="仿宋_GB2312"/>
                <w:color w:val="000000" w:themeColor="text1"/>
                <w:szCs w:val="24"/>
              </w:rPr>
              <w:t xml:space="preserve">日 </w:t>
            </w:r>
            <w:r>
              <w:rPr>
                <w:rFonts w:hint="eastAsia" w:ascii="仿宋_GB2312" w:hAnsi="新宋体" w:eastAsia="仿宋_GB2312"/>
                <w:color w:val="000000" w:themeColor="text1"/>
                <w:szCs w:val="24"/>
                <w:lang w:val="en-US" w:eastAsia="zh-CN"/>
              </w:rPr>
              <w:t>14</w:t>
            </w:r>
            <w:r>
              <w:rPr>
                <w:rFonts w:hint="eastAsia" w:ascii="仿宋_GB2312" w:hAnsi="新宋体" w:eastAsia="仿宋_GB2312"/>
                <w:color w:val="000000" w:themeColor="text1"/>
                <w:szCs w:val="24"/>
              </w:rPr>
              <w:t>:00（北京时间）</w:t>
            </w:r>
          </w:p>
          <w:p>
            <w:pPr>
              <w:pStyle w:val="86"/>
              <w:spacing w:afterLines="0" w:line="440" w:lineRule="exact"/>
              <w:ind w:firstLine="480"/>
              <w:rPr>
                <w:rFonts w:ascii="仿宋_GB2312" w:hAnsi="新宋体" w:eastAsia="仿宋_GB2312" w:cs="Arial"/>
                <w:bCs/>
              </w:rPr>
            </w:pPr>
            <w:r>
              <w:rPr>
                <w:rFonts w:hint="eastAsia" w:ascii="仿宋_GB2312" w:hAnsi="新宋体" w:eastAsia="仿宋_GB2312"/>
                <w:color w:val="000000" w:themeColor="text1"/>
                <w:szCs w:val="24"/>
              </w:rPr>
              <w:t>投标地点（网址）：</w:t>
            </w:r>
            <w:r>
              <w:fldChar w:fldCharType="begin"/>
            </w:r>
            <w:r>
              <w:instrText xml:space="preserve"> HYPERLINK "http://www.zcygov.cn/" </w:instrText>
            </w:r>
            <w:r>
              <w:fldChar w:fldCharType="separate"/>
            </w:r>
            <w:r>
              <w:rPr>
                <w:rStyle w:val="50"/>
                <w:rFonts w:ascii="仿宋_GB2312" w:hAnsi="新宋体" w:eastAsia="仿宋_GB2312" w:cs="Arial"/>
                <w:bCs/>
              </w:rPr>
              <w:t>http://www</w:t>
            </w:r>
            <w:r>
              <w:rPr>
                <w:rStyle w:val="50"/>
                <w:rFonts w:hint="eastAsia" w:ascii="仿宋_GB2312" w:hAnsi="新宋体" w:eastAsia="仿宋_GB2312" w:cs="Arial"/>
                <w:bCs/>
              </w:rPr>
              <w:t>.</w:t>
            </w:r>
            <w:r>
              <w:rPr>
                <w:rStyle w:val="50"/>
                <w:rFonts w:ascii="仿宋_GB2312" w:hAnsi="新宋体" w:eastAsia="仿宋_GB2312" w:cs="Arial"/>
                <w:bCs/>
              </w:rPr>
              <w:t>zcygov.cn/</w:t>
            </w:r>
            <w:r>
              <w:rPr>
                <w:rStyle w:val="50"/>
                <w:rFonts w:ascii="仿宋_GB2312" w:hAnsi="新宋体" w:eastAsia="仿宋_GB2312" w:cs="Arial"/>
                <w:bCs/>
              </w:rPr>
              <w:fldChar w:fldCharType="end"/>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开标时间：2021年</w:t>
            </w:r>
            <w:r>
              <w:rPr>
                <w:rFonts w:hint="eastAsia" w:ascii="仿宋_GB2312" w:hAnsi="新宋体" w:eastAsia="仿宋_GB2312"/>
                <w:color w:val="000000" w:themeColor="text1"/>
                <w:szCs w:val="24"/>
                <w:lang w:val="en-US" w:eastAsia="zh-CN"/>
              </w:rPr>
              <w:t>12</w:t>
            </w:r>
            <w:r>
              <w:rPr>
                <w:rFonts w:hint="eastAsia" w:ascii="仿宋_GB2312" w:hAnsi="新宋体" w:eastAsia="仿宋_GB2312"/>
                <w:color w:val="000000" w:themeColor="text1"/>
                <w:szCs w:val="24"/>
              </w:rPr>
              <w:t>月</w:t>
            </w:r>
            <w:r>
              <w:rPr>
                <w:rFonts w:hint="eastAsia" w:ascii="仿宋_GB2312" w:hAnsi="新宋体" w:eastAsia="仿宋_GB2312"/>
                <w:color w:val="000000" w:themeColor="text1"/>
                <w:szCs w:val="24"/>
                <w:lang w:val="en-US" w:eastAsia="zh-CN"/>
              </w:rPr>
              <w:t>17</w:t>
            </w:r>
            <w:r>
              <w:rPr>
                <w:rFonts w:hint="eastAsia" w:ascii="仿宋_GB2312" w:hAnsi="新宋体" w:eastAsia="仿宋_GB2312"/>
                <w:color w:val="000000" w:themeColor="text1"/>
                <w:szCs w:val="24"/>
              </w:rPr>
              <w:t>日</w:t>
            </w:r>
            <w:r>
              <w:rPr>
                <w:rFonts w:hint="eastAsia" w:ascii="仿宋_GB2312" w:hAnsi="新宋体" w:eastAsia="仿宋_GB2312"/>
                <w:color w:val="000000" w:themeColor="text1"/>
                <w:szCs w:val="24"/>
                <w:lang w:val="en-US" w:eastAsia="zh-CN"/>
              </w:rPr>
              <w:t>14</w:t>
            </w:r>
            <w:r>
              <w:rPr>
                <w:rFonts w:hint="eastAsia" w:ascii="仿宋_GB2312" w:hAnsi="新宋体" w:eastAsia="仿宋_GB2312"/>
                <w:color w:val="000000" w:themeColor="text1"/>
                <w:szCs w:val="24"/>
              </w:rPr>
              <w:t>:00</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开标地点（网址）：绍兴市迪荡新城惠利街20号鼎盛时代大厦四楼绍兴市公共资源交易中心418室</w:t>
            </w:r>
            <w:r>
              <w:rPr>
                <w:rFonts w:ascii="仿宋_GB2312" w:hAnsi="新宋体" w:eastAsia="仿宋_GB2312"/>
                <w:color w:val="000000" w:themeColor="text1"/>
                <w:szCs w:val="24"/>
              </w:rPr>
              <w:t>  </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五、公告期限</w:t>
            </w:r>
            <w:r>
              <w:rPr>
                <w:rFonts w:ascii="仿宋_GB2312" w:hAnsi="新宋体" w:eastAsia="仿宋_GB2312"/>
                <w:color w:val="000000" w:themeColor="text1"/>
                <w:szCs w:val="24"/>
              </w:rPr>
              <w:t> </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自本公告发布之日起5个工作日。</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六、其他补充事宜</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2.其他事项：无</w:t>
            </w:r>
            <w:r>
              <w:rPr>
                <w:rFonts w:ascii="仿宋_GB2312" w:hAnsi="新宋体" w:eastAsia="仿宋_GB2312"/>
                <w:color w:val="000000" w:themeColor="text1"/>
                <w:szCs w:val="24"/>
              </w:rPr>
              <w:t>  </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七、对本次采购提出询问、质疑、投诉，请按以下方式联系</w:t>
            </w:r>
          </w:p>
          <w:p>
            <w:pPr>
              <w:pStyle w:val="86"/>
              <w:spacing w:afterLines="0" w:line="440" w:lineRule="exact"/>
              <w:ind w:firstLine="480"/>
              <w:rPr>
                <w:rFonts w:ascii="仿宋_GB2312" w:hAnsi="新宋体" w:eastAsia="仿宋_GB2312"/>
                <w:szCs w:val="24"/>
              </w:rPr>
            </w:pPr>
            <w:r>
              <w:rPr>
                <w:rFonts w:hint="eastAsia" w:ascii="仿宋_GB2312" w:hAnsi="新宋体" w:eastAsia="仿宋_GB2312"/>
                <w:szCs w:val="24"/>
              </w:rPr>
              <w:t>1.采购人信息</w:t>
            </w:r>
          </w:p>
          <w:p>
            <w:pPr>
              <w:pStyle w:val="86"/>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名称：绍兴市生态环境局</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szCs w:val="24"/>
              </w:rPr>
              <w:t>地址：</w:t>
            </w:r>
            <w:r>
              <w:rPr>
                <w:rFonts w:hint="eastAsia" w:ascii="仿宋_GB2312" w:hAnsi="新宋体" w:eastAsia="仿宋_GB2312"/>
                <w:color w:val="000000" w:themeColor="text1"/>
                <w:szCs w:val="24"/>
              </w:rPr>
              <w:t xml:space="preserve">绍兴市树下王38号 </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传真：0575-88096926</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项目联系人（询问）：徐晓雯</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项目联系方式（询问）：0575-</w:t>
            </w:r>
            <w:r>
              <w:rPr>
                <w:color w:val="auto"/>
              </w:rPr>
              <w:t xml:space="preserve"> </w:t>
            </w:r>
            <w:r>
              <w:rPr>
                <w:rFonts w:ascii="仿宋_GB2312" w:hAnsi="新宋体" w:eastAsia="仿宋_GB2312"/>
                <w:color w:val="auto"/>
                <w:szCs w:val="24"/>
              </w:rPr>
              <w:t>85132031</w:t>
            </w:r>
            <w:r>
              <w:rPr>
                <w:rFonts w:hint="eastAsia" w:ascii="仿宋_GB2312" w:hAnsi="新宋体" w:eastAsia="仿宋_GB2312"/>
                <w:color w:val="auto"/>
                <w:szCs w:val="24"/>
              </w:rPr>
              <w:t xml:space="preserve">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质疑联系人：徐晓雯</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 xml:space="preserve">质疑联系方式：0575- </w:t>
            </w:r>
            <w:r>
              <w:rPr>
                <w:rFonts w:ascii="仿宋_GB2312" w:hAnsi="新宋体" w:eastAsia="仿宋_GB2312"/>
                <w:color w:val="auto"/>
                <w:szCs w:val="24"/>
              </w:rPr>
              <w:t>85132031</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 xml:space="preserve">2.采购代理机构信息 </w:t>
            </w:r>
            <w:r>
              <w:rPr>
                <w:rFonts w:ascii="仿宋_GB2312" w:hAnsi="新宋体" w:eastAsia="仿宋_GB2312"/>
                <w:color w:val="auto"/>
                <w:szCs w:val="24"/>
              </w:rPr>
              <w:t>      </w:t>
            </w:r>
          </w:p>
          <w:p>
            <w:pPr>
              <w:pStyle w:val="86"/>
              <w:spacing w:afterLines="0" w:line="440" w:lineRule="exact"/>
              <w:ind w:firstLine="480"/>
              <w:rPr>
                <w:rFonts w:ascii="仿宋_GB2312" w:hAnsi="新宋体" w:eastAsia="仿宋_GB2312"/>
                <w:szCs w:val="24"/>
              </w:rPr>
            </w:pPr>
            <w:r>
              <w:rPr>
                <w:rFonts w:hint="eastAsia" w:ascii="仿宋_GB2312" w:hAnsi="新宋体" w:eastAsia="仿宋_GB2312"/>
                <w:szCs w:val="24"/>
              </w:rPr>
              <w:t>名称：耀华建设管理有限公司</w:t>
            </w:r>
            <w:r>
              <w:rPr>
                <w:rFonts w:ascii="仿宋_GB2312" w:hAnsi="新宋体" w:eastAsia="仿宋_GB2312"/>
                <w:szCs w:val="24"/>
              </w:rPr>
              <w:t>       </w:t>
            </w:r>
          </w:p>
          <w:p>
            <w:pPr>
              <w:pStyle w:val="86"/>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地址：绍兴市越城区阳明北路80号滨江大厦C楼3楼</w:t>
            </w:r>
          </w:p>
          <w:p>
            <w:pPr>
              <w:pStyle w:val="86"/>
              <w:spacing w:afterLines="0" w:line="440" w:lineRule="exact"/>
              <w:ind w:firstLine="480"/>
              <w:rPr>
                <w:rFonts w:ascii="仿宋_GB2312" w:hAnsi="新宋体" w:eastAsia="仿宋_GB2312"/>
                <w:szCs w:val="24"/>
              </w:rPr>
            </w:pPr>
            <w:r>
              <w:rPr>
                <w:rFonts w:hint="eastAsia" w:ascii="仿宋_GB2312" w:hAnsi="新宋体" w:eastAsia="仿宋_GB2312"/>
                <w:szCs w:val="24"/>
              </w:rPr>
              <w:t>传真：0575-88776697</w:t>
            </w:r>
            <w:r>
              <w:rPr>
                <w:rFonts w:ascii="仿宋_GB2312" w:hAnsi="新宋体" w:eastAsia="仿宋_GB2312"/>
                <w:szCs w:val="24"/>
              </w:rPr>
              <w:t>       </w:t>
            </w:r>
          </w:p>
          <w:p>
            <w:pPr>
              <w:pStyle w:val="86"/>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项目联系人（询问）：胡敏</w:t>
            </w:r>
            <w:r>
              <w:rPr>
                <w:rFonts w:ascii="仿宋_GB2312" w:hAnsi="新宋体" w:eastAsia="仿宋_GB2312"/>
                <w:szCs w:val="24"/>
              </w:rPr>
              <w:t>       </w:t>
            </w:r>
          </w:p>
          <w:p>
            <w:pPr>
              <w:pStyle w:val="86"/>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项目联系方式（询问）：0575-88776697</w:t>
            </w:r>
            <w:r>
              <w:rPr>
                <w:rFonts w:ascii="仿宋_GB2312" w:hAnsi="新宋体" w:eastAsia="仿宋_GB2312"/>
                <w:szCs w:val="24"/>
              </w:rPr>
              <w:t> </w:t>
            </w:r>
          </w:p>
          <w:p>
            <w:pPr>
              <w:pStyle w:val="86"/>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质疑联系人：单成燕</w:t>
            </w:r>
            <w:r>
              <w:rPr>
                <w:rFonts w:ascii="仿宋_GB2312" w:hAnsi="新宋体" w:eastAsia="仿宋_GB2312"/>
                <w:szCs w:val="24"/>
              </w:rPr>
              <w:t>       </w:t>
            </w:r>
          </w:p>
          <w:p>
            <w:pPr>
              <w:pStyle w:val="86"/>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质疑联系方式：0575-88336881</w:t>
            </w:r>
            <w:r>
              <w:rPr>
                <w:rFonts w:ascii="仿宋_GB2312" w:hAnsi="新宋体" w:eastAsia="仿宋_GB2312"/>
                <w:szCs w:val="24"/>
              </w:rPr>
              <w:t> </w:t>
            </w:r>
            <w:r>
              <w:rPr>
                <w:rFonts w:hint="eastAsia" w:ascii="仿宋_GB2312" w:hAnsi="新宋体" w:eastAsia="仿宋_GB2312"/>
                <w:szCs w:val="24"/>
              </w:rPr>
              <w:t>　　　　　　</w:t>
            </w:r>
            <w:r>
              <w:rPr>
                <w:rFonts w:ascii="仿宋_GB2312" w:hAnsi="新宋体" w:eastAsia="仿宋_GB2312"/>
                <w:szCs w:val="24"/>
              </w:rPr>
              <w:t>   </w:t>
            </w:r>
          </w:p>
          <w:p>
            <w:pPr>
              <w:pStyle w:val="86"/>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3.同级政府采购监督管理部门 </w:t>
            </w:r>
            <w:r>
              <w:rPr>
                <w:rFonts w:ascii="仿宋_GB2312" w:hAnsi="新宋体" w:eastAsia="仿宋_GB2312"/>
                <w:szCs w:val="24"/>
              </w:rPr>
              <w:t>      </w:t>
            </w:r>
          </w:p>
          <w:p>
            <w:pPr>
              <w:pStyle w:val="86"/>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名称：绍兴市财政局</w:t>
            </w:r>
            <w:r>
              <w:rPr>
                <w:rFonts w:ascii="仿宋_GB2312" w:hAnsi="新宋体" w:eastAsia="仿宋_GB2312"/>
                <w:szCs w:val="24"/>
              </w:rPr>
              <w:t>       </w:t>
            </w:r>
          </w:p>
          <w:p>
            <w:pPr>
              <w:pStyle w:val="86"/>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地址：绍兴市越城区凤林西路151号</w:t>
            </w:r>
            <w:r>
              <w:rPr>
                <w:rFonts w:ascii="仿宋_GB2312" w:hAnsi="新宋体" w:eastAsia="仿宋_GB2312"/>
                <w:szCs w:val="24"/>
              </w:rPr>
              <w:t>       </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szCs w:val="24"/>
              </w:rPr>
              <w:t>传真：0575-</w:t>
            </w:r>
            <w:r>
              <w:rPr>
                <w:rFonts w:hint="eastAsia" w:ascii="仿宋_GB2312" w:hAnsi="新宋体" w:eastAsia="仿宋_GB2312"/>
                <w:color w:val="000000" w:themeColor="text1"/>
                <w:szCs w:val="24"/>
              </w:rPr>
              <w:t>85209697</w:t>
            </w:r>
            <w:r>
              <w:rPr>
                <w:rFonts w:ascii="仿宋_GB2312" w:hAnsi="新宋体" w:eastAsia="仿宋_GB2312"/>
                <w:color w:val="000000" w:themeColor="text1"/>
                <w:szCs w:val="24"/>
              </w:rPr>
              <w:t>      </w:t>
            </w:r>
          </w:p>
          <w:p>
            <w:pPr>
              <w:pStyle w:val="86"/>
              <w:spacing w:afterLines="0" w:line="440" w:lineRule="exact"/>
              <w:ind w:firstLine="480"/>
              <w:rPr>
                <w:rFonts w:ascii="仿宋_GB2312" w:hAnsi="新宋体" w:eastAsia="仿宋_GB2312"/>
                <w:szCs w:val="24"/>
              </w:rPr>
            </w:pPr>
            <w:r>
              <w:rPr>
                <w:rFonts w:hint="eastAsia" w:ascii="仿宋_GB2312" w:hAnsi="新宋体" w:eastAsia="仿宋_GB2312"/>
                <w:color w:val="000000" w:themeColor="text1"/>
                <w:szCs w:val="24"/>
              </w:rPr>
              <w:t>联系人 ：</w:t>
            </w:r>
            <w:r>
              <w:rPr>
                <w:rFonts w:ascii="仿宋_GB2312" w:hAnsi="新宋体" w:eastAsia="仿宋_GB2312"/>
                <w:color w:val="000000" w:themeColor="text1"/>
                <w:szCs w:val="24"/>
              </w:rPr>
              <w:t>宋晓林  </w:t>
            </w:r>
            <w:r>
              <w:rPr>
                <w:rFonts w:ascii="仿宋_GB2312" w:hAnsi="新宋体" w:eastAsia="仿宋_GB2312"/>
                <w:szCs w:val="24"/>
              </w:rPr>
              <w:t>      </w:t>
            </w:r>
          </w:p>
          <w:p>
            <w:pPr>
              <w:pStyle w:val="86"/>
              <w:spacing w:afterLines="0" w:line="440" w:lineRule="exact"/>
              <w:ind w:firstLine="480"/>
              <w:jc w:val="left"/>
              <w:rPr>
                <w:rFonts w:ascii="仿宋_GB2312" w:hAnsi="新宋体" w:eastAsia="仿宋_GB2312"/>
                <w:color w:val="000000" w:themeColor="text1"/>
                <w:szCs w:val="24"/>
              </w:rPr>
            </w:pPr>
            <w:r>
              <w:rPr>
                <w:rFonts w:hint="eastAsia" w:ascii="仿宋_GB2312" w:hAnsi="新宋体" w:eastAsia="仿宋_GB2312"/>
                <w:szCs w:val="24"/>
              </w:rPr>
              <w:t>监督投诉电话：0575-85209697</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若对项目采购电子交易系统操作有疑问，可登录政采云（https://www.zcygov.cn/），点击右侧咨询小采，获取采小蜜智能服务管家帮助，或拨打政采云服务热线400-881-7190获取热线服务帮助。</w:t>
            </w:r>
          </w:p>
          <w:p>
            <w:pPr>
              <w:pStyle w:val="86"/>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CA问题联系电话（人工）：汇信CA 400-888-4636；天谷CA 400-087-8198。</w:t>
            </w:r>
          </w:p>
        </w:tc>
      </w:tr>
    </w:tbl>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0" w:name="_Hlk47616320"/>
      <w:r>
        <w:rPr>
          <w:rFonts w:hint="eastAsia" w:ascii="仿宋_GB2312" w:hAnsi="宋体" w:eastAsia="仿宋_GB2312"/>
          <w:b/>
          <w:sz w:val="30"/>
          <w:szCs w:val="36"/>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1"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1" w:type="dxa"/>
            <w:gridSpan w:val="2"/>
            <w:vAlign w:val="center"/>
          </w:tcPr>
          <w:p>
            <w:pPr>
              <w:snapToGrid w:val="0"/>
              <w:spacing w:line="420" w:lineRule="exact"/>
              <w:rPr>
                <w:rFonts w:ascii="仿宋_GB2312" w:hAnsi="仿宋_GB2312" w:eastAsia="仿宋_GB2312" w:cs="仿宋_GB2312"/>
                <w:sz w:val="24"/>
              </w:rPr>
            </w:pPr>
            <w:r>
              <w:rPr>
                <w:rFonts w:hint="eastAsia" w:ascii="仿宋_GB2312" w:hAnsi="仿宋_GB2312" w:eastAsia="仿宋_GB2312" w:cs="仿宋_GB2312"/>
                <w:b/>
                <w:sz w:val="24"/>
              </w:rPr>
              <w:t>投标人应当提交的资格、资信证明文件</w:t>
            </w:r>
            <w:r>
              <w:rPr>
                <w:rFonts w:hint="eastAsia" w:ascii="仿宋_GB2312" w:hAnsi="仿宋_GB2312" w:eastAsia="仿宋_GB2312" w:cs="仿宋_GB2312"/>
                <w:sz w:val="24"/>
              </w:rPr>
              <w:t>：</w:t>
            </w:r>
          </w:p>
          <w:p>
            <w:pPr>
              <w:snapToGrid w:val="0"/>
              <w:spacing w:line="420" w:lineRule="exact"/>
              <w:rPr>
                <w:rFonts w:ascii="仿宋_GB2312" w:hAnsi="仿宋_GB2312" w:eastAsia="仿宋_GB2312" w:cs="仿宋_GB2312"/>
                <w:sz w:val="24"/>
              </w:rPr>
            </w:pPr>
            <w:r>
              <w:rPr>
                <w:rFonts w:hint="eastAsia" w:ascii="仿宋_GB2312" w:hAnsi="仿宋_GB2312" w:eastAsia="仿宋_GB2312" w:cs="仿宋_GB2312"/>
                <w:b/>
                <w:sz w:val="24"/>
              </w:rPr>
              <w:t>（1）相关证明文件：</w:t>
            </w:r>
            <w:r>
              <w:rPr>
                <w:rFonts w:hint="eastAsia" w:ascii="仿宋_GB2312" w:hAnsi="仿宋_GB2312" w:eastAsia="仿宋_GB2312" w:cs="仿宋_GB2312"/>
                <w:sz w:val="24"/>
              </w:rPr>
              <w:t>营业执照复印件、2020年度资产负债表等财务报表资料文件、依法缴纳税收和社会保障资金的良好记录证明、参加本次政府采购活动前三年内，在经营活动中没有重大违法记录的声明（详见格式范例）。</w:t>
            </w:r>
          </w:p>
          <w:p>
            <w:pPr>
              <w:snapToGrid w:val="0"/>
              <w:spacing w:line="420" w:lineRule="exact"/>
              <w:rPr>
                <w:rFonts w:ascii="仿宋_GB2312" w:hAnsi="仿宋_GB2312" w:eastAsia="仿宋_GB2312" w:cs="仿宋_GB2312"/>
                <w:sz w:val="24"/>
              </w:rPr>
            </w:pPr>
            <w:r>
              <w:rPr>
                <w:rFonts w:hint="eastAsia" w:ascii="仿宋_GB2312" w:hAnsi="仿宋_GB2312" w:eastAsia="仿宋_GB2312" w:cs="仿宋_GB2312"/>
                <w:b/>
                <w:sz w:val="24"/>
              </w:rPr>
              <w:t>（2）资信证明文件（如果有，按招标文件第三部分招标项目范围及要求和第五部分评分标准提供）。</w:t>
            </w:r>
          </w:p>
          <w:p>
            <w:pPr>
              <w:snapToGrid w:val="0"/>
              <w:spacing w:line="420" w:lineRule="exact"/>
              <w:rPr>
                <w:rFonts w:ascii="仿宋_GB2312" w:hAnsi="仿宋_GB2312" w:eastAsia="仿宋_GB2312" w:cs="仿宋_GB2312"/>
                <w:sz w:val="24"/>
                <w:u w:val="single"/>
              </w:rPr>
            </w:pPr>
            <w:r>
              <w:rPr>
                <w:rFonts w:hint="eastAsia" w:ascii="仿宋_GB2312" w:hAnsi="仿宋_GB2312" w:eastAsia="仿宋_GB2312" w:cs="仿宋_GB2312"/>
                <w:b/>
                <w:sz w:val="24"/>
              </w:rPr>
              <w:t>（3）特许资格、资信证明文件（如果有）：</w:t>
            </w:r>
          </w:p>
          <w:p>
            <w:pPr>
              <w:spacing w:line="42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1" w:type="dxa"/>
            <w:gridSpan w:val="2"/>
            <w:vAlign w:val="center"/>
          </w:tcPr>
          <w:p>
            <w:pPr>
              <w:snapToGrid w:val="0"/>
              <w:spacing w:line="42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2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2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1" w:type="dxa"/>
            <w:gridSpan w:val="2"/>
            <w:vAlign w:val="center"/>
          </w:tcPr>
          <w:p>
            <w:pPr>
              <w:autoSpaceDE w:val="0"/>
              <w:autoSpaceDN w:val="0"/>
              <w:spacing w:line="42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 w:hAnsi="仿宋" w:eastAsia="仿宋" w:cs="仿宋_GB2312"/>
                <w:sz w:val="24"/>
              </w:rPr>
              <w:t>投标有效期为从提交投标文件的截止之日起90天。</w:t>
            </w:r>
            <w:r>
              <w:rPr>
                <w:rFonts w:hint="eastAsia" w:ascii="仿宋" w:hAnsi="仿宋" w:eastAsia="仿宋" w:cs="仿宋_GB2312"/>
                <w:b/>
                <w:sz w:val="24"/>
              </w:rPr>
              <w:t>投标人的投标文件中承</w:t>
            </w:r>
            <w:r>
              <w:rPr>
                <w:rFonts w:hint="eastAsia" w:ascii="仿宋" w:hAnsi="仿宋" w:eastAsia="仿宋"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1" w:type="dxa"/>
            <w:gridSpan w:val="2"/>
            <w:vAlign w:val="center"/>
          </w:tcPr>
          <w:p>
            <w:pPr>
              <w:spacing w:line="420" w:lineRule="exact"/>
              <w:rPr>
                <w:rFonts w:ascii="仿宋_GB2312" w:hAnsi="宋体" w:eastAsia="仿宋_GB2312"/>
                <w:sz w:val="24"/>
              </w:rPr>
            </w:pPr>
            <w:r>
              <w:rPr>
                <w:rFonts w:hint="eastAsia" w:ascii="仿宋" w:hAnsi="仿宋" w:eastAsia="仿宋" w:cs="仿宋_GB2312"/>
                <w:b/>
                <w:sz w:val="24"/>
              </w:rPr>
              <w:t>分包或转包：</w:t>
            </w:r>
            <w:r>
              <w:rPr>
                <w:rFonts w:hint="eastAsia" w:ascii="仿宋" w:hAnsi="仿宋" w:eastAsia="仿宋" w:cs="仿宋_GB2312"/>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1" w:type="dxa"/>
            <w:gridSpan w:val="2"/>
            <w:vAlign w:val="center"/>
          </w:tcPr>
          <w:p>
            <w:pPr>
              <w:spacing w:line="42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1" w:type="dxa"/>
            <w:gridSpan w:val="2"/>
            <w:vAlign w:val="center"/>
          </w:tcPr>
          <w:p>
            <w:pPr>
              <w:autoSpaceDE w:val="0"/>
              <w:autoSpaceDN w:val="0"/>
              <w:spacing w:line="420" w:lineRule="exact"/>
              <w:textAlignment w:val="bottom"/>
              <w:rPr>
                <w:rFonts w:ascii="仿宋_GB2312" w:hAnsi="宋体" w:eastAsia="仿宋_GB2312"/>
                <w:b/>
                <w:sz w:val="24"/>
              </w:rPr>
            </w:pPr>
            <w:r>
              <w:rPr>
                <w:rFonts w:hint="eastAsia" w:ascii="仿宋" w:hAnsi="仿宋" w:eastAsia="仿宋" w:cs="仿宋_GB2312"/>
                <w:b/>
                <w:sz w:val="24"/>
              </w:rPr>
              <w:t>开标前答疑会或现场考察：无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1" w:type="dxa"/>
            <w:gridSpan w:val="2"/>
            <w:vAlign w:val="center"/>
          </w:tcPr>
          <w:p>
            <w:pPr>
              <w:spacing w:line="288" w:lineRule="auto"/>
              <w:rPr>
                <w:rFonts w:ascii="仿宋_GB2312" w:hAnsi="宋体" w:eastAsia="仿宋_GB2312"/>
                <w:b/>
                <w:color w:val="000000" w:themeColor="text1"/>
                <w:sz w:val="24"/>
              </w:rPr>
            </w:pPr>
            <w:r>
              <w:rPr>
                <w:rFonts w:hint="eastAsia" w:ascii="仿宋_GB2312" w:hAnsi="宋体" w:eastAsia="仿宋_GB2312"/>
                <w:b/>
                <w:color w:val="000000" w:themeColor="text1"/>
                <w:sz w:val="24"/>
              </w:rPr>
              <w:t>样品提供：</w:t>
            </w:r>
            <w:r>
              <w:rPr>
                <w:rFonts w:hint="eastAsia" w:ascii="仿宋_GB2312" w:eastAsia="仿宋_GB2312"/>
                <w:color w:val="000000" w:themeColor="text1"/>
                <w:kern w:val="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8</w:t>
            </w:r>
          </w:p>
        </w:tc>
        <w:tc>
          <w:tcPr>
            <w:tcW w:w="8371" w:type="dxa"/>
            <w:gridSpan w:val="2"/>
            <w:vAlign w:val="center"/>
          </w:tcPr>
          <w:p>
            <w:pPr>
              <w:spacing w:line="420" w:lineRule="exact"/>
              <w:rPr>
                <w:rFonts w:ascii="仿宋_GB2312" w:hAnsi="宋体" w:eastAsia="仿宋_GB2312"/>
                <w:color w:val="000000" w:themeColor="text1"/>
                <w:sz w:val="24"/>
              </w:rPr>
            </w:pPr>
            <w:r>
              <w:rPr>
                <w:rFonts w:hint="eastAsia" w:ascii="仿宋_GB2312" w:hAnsi="宋体" w:eastAsia="仿宋_GB2312"/>
                <w:b/>
                <w:color w:val="000000" w:themeColor="text1"/>
                <w:sz w:val="24"/>
              </w:rPr>
              <w:t>演示(讲解)：</w:t>
            </w:r>
            <w:r>
              <w:rPr>
                <w:rFonts w:hint="eastAsia" w:ascii="仿宋_GB2312" w:hAnsi="仿宋" w:eastAsia="仿宋_GB2312" w:cs="仿宋"/>
                <w:bCs/>
                <w:iCs/>
                <w:color w:val="000000" w:themeColor="text1"/>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sz w:val="24"/>
              </w:rPr>
            </w:pPr>
            <w:r>
              <w:rPr>
                <w:rFonts w:ascii="仿宋_GB2312" w:hAnsi="宋体" w:eastAsia="仿宋_GB2312"/>
                <w:sz w:val="24"/>
              </w:rPr>
              <w:t>9</w:t>
            </w:r>
          </w:p>
        </w:tc>
        <w:tc>
          <w:tcPr>
            <w:tcW w:w="855"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进口产品</w:t>
            </w:r>
          </w:p>
        </w:tc>
        <w:tc>
          <w:tcPr>
            <w:tcW w:w="7516"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color w:val="000000" w:themeColor="text1"/>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10</w:t>
            </w:r>
          </w:p>
        </w:tc>
        <w:tc>
          <w:tcPr>
            <w:tcW w:w="855" w:type="dxa"/>
            <w:vMerge w:val="restart"/>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宋体" w:eastAsia="仿宋_GB2312"/>
                <w:b/>
                <w:color w:val="000000" w:themeColor="text1"/>
                <w:sz w:val="24"/>
              </w:rPr>
              <w:t>投标人信用信息事项</w:t>
            </w:r>
          </w:p>
        </w:tc>
        <w:tc>
          <w:tcPr>
            <w:tcW w:w="7516"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宋体" w:eastAsia="仿宋_GB2312"/>
                <w:b/>
                <w:color w:val="000000" w:themeColor="text1"/>
                <w:sz w:val="24"/>
              </w:rPr>
              <w:t>信用信息查询渠道及截止时间：</w:t>
            </w:r>
            <w:r>
              <w:rPr>
                <w:rFonts w:hint="eastAsia" w:ascii="仿宋_GB2312" w:hAnsi="宋体" w:eastAsia="仿宋_GB2312"/>
                <w:color w:val="000000" w:themeColor="text1"/>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000000" w:themeColor="text1"/>
                <w:sz w:val="24"/>
              </w:rPr>
              <w:t>投标截止时间前</w:t>
            </w:r>
            <w:r>
              <w:rPr>
                <w:rFonts w:hint="eastAsia" w:ascii="仿宋_GB2312" w:hAnsi="宋体" w:eastAsia="仿宋_GB2312"/>
                <w:color w:val="000000" w:themeColor="text1"/>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20" w:lineRule="exact"/>
              <w:rPr>
                <w:rFonts w:ascii="仿宋_GB2312" w:hAnsi="仿宋_GB2312" w:eastAsia="仿宋_GB2312" w:cs="仿宋_GB2312"/>
                <w:b/>
                <w:color w:val="000000" w:themeColor="text1"/>
                <w:sz w:val="24"/>
              </w:rPr>
            </w:pPr>
          </w:p>
        </w:tc>
        <w:tc>
          <w:tcPr>
            <w:tcW w:w="7516"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宋体" w:eastAsia="仿宋_GB2312"/>
                <w:b/>
                <w:color w:val="000000" w:themeColor="text1"/>
                <w:sz w:val="24"/>
              </w:rPr>
              <w:t>信用信息查询记录和证据留存的具体方式：</w:t>
            </w:r>
            <w:r>
              <w:rPr>
                <w:rFonts w:hint="eastAsia" w:ascii="仿宋_GB2312" w:hAnsi="宋体" w:eastAsia="仿宋_GB2312"/>
                <w:color w:val="000000" w:themeColor="text1"/>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20" w:lineRule="exact"/>
              <w:rPr>
                <w:rFonts w:ascii="仿宋_GB2312" w:hAnsi="仿宋_GB2312" w:eastAsia="仿宋_GB2312" w:cs="仿宋_GB2312"/>
                <w:b/>
                <w:color w:val="000000" w:themeColor="text1"/>
                <w:sz w:val="24"/>
              </w:rPr>
            </w:pPr>
          </w:p>
        </w:tc>
        <w:tc>
          <w:tcPr>
            <w:tcW w:w="7516"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宋体" w:eastAsia="仿宋_GB2312"/>
                <w:b/>
                <w:color w:val="000000" w:themeColor="text1"/>
                <w:sz w:val="24"/>
              </w:rPr>
              <w:t>信用信息的使用规则：</w:t>
            </w:r>
            <w:r>
              <w:rPr>
                <w:rFonts w:hint="eastAsia" w:ascii="仿宋_GB2312" w:hAnsi="宋体" w:eastAsia="仿宋_GB2312"/>
                <w:color w:val="000000" w:themeColor="text1"/>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1</w:t>
            </w:r>
          </w:p>
        </w:tc>
        <w:tc>
          <w:tcPr>
            <w:tcW w:w="8371" w:type="dxa"/>
            <w:gridSpan w:val="2"/>
            <w:vAlign w:val="center"/>
          </w:tcPr>
          <w:p>
            <w:pPr>
              <w:snapToGrid w:val="0"/>
              <w:spacing w:line="24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扰乱公共资源交易市场秩序行为：</w:t>
            </w:r>
          </w:p>
          <w:p>
            <w:pPr>
              <w:snapToGrid w:val="0"/>
              <w:spacing w:line="400" w:lineRule="exact"/>
              <w:rPr>
                <w:rFonts w:ascii="仿宋" w:hAnsi="仿宋" w:eastAsia="仿宋"/>
                <w:color w:val="000000" w:themeColor="text1"/>
                <w:sz w:val="24"/>
              </w:rPr>
            </w:pPr>
            <w:r>
              <w:rPr>
                <w:rFonts w:hint="eastAsia" w:ascii="仿宋" w:hAnsi="仿宋" w:eastAsia="仿宋"/>
                <w:color w:val="000000" w:themeColor="text1"/>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2</w:t>
            </w:r>
          </w:p>
        </w:tc>
        <w:tc>
          <w:tcPr>
            <w:tcW w:w="8371" w:type="dxa"/>
            <w:gridSpan w:val="2"/>
            <w:vAlign w:val="center"/>
          </w:tcPr>
          <w:p>
            <w:pPr>
              <w:snapToGrid w:val="0"/>
              <w:spacing w:line="400" w:lineRule="exact"/>
              <w:rPr>
                <w:rFonts w:ascii="仿宋" w:hAnsi="仿宋" w:eastAsia="仿宋"/>
                <w:color w:val="000000" w:themeColor="text1"/>
                <w:sz w:val="24"/>
              </w:rPr>
            </w:pPr>
            <w:r>
              <w:rPr>
                <w:rFonts w:hint="eastAsia" w:ascii="仿宋" w:hAnsi="仿宋" w:eastAsia="仿宋"/>
                <w:color w:val="000000" w:themeColor="text1"/>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3</w:t>
            </w:r>
          </w:p>
        </w:tc>
        <w:tc>
          <w:tcPr>
            <w:tcW w:w="8371" w:type="dxa"/>
            <w:gridSpan w:val="2"/>
            <w:vAlign w:val="center"/>
          </w:tcPr>
          <w:p>
            <w:pPr>
              <w:snapToGrid w:val="0"/>
              <w:spacing w:line="400" w:lineRule="exact"/>
              <w:rPr>
                <w:rFonts w:ascii="仿宋" w:hAnsi="仿宋" w:eastAsia="仿宋"/>
                <w:color w:val="000000" w:themeColor="text1"/>
                <w:sz w:val="24"/>
              </w:rPr>
            </w:pPr>
            <w:r>
              <w:rPr>
                <w:rFonts w:hint="eastAsia" w:ascii="仿宋" w:hAnsi="仿宋" w:eastAsia="仿宋"/>
                <w:color w:val="000000" w:themeColor="text1"/>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4</w:t>
            </w:r>
          </w:p>
        </w:tc>
        <w:tc>
          <w:tcPr>
            <w:tcW w:w="8371" w:type="dxa"/>
            <w:gridSpan w:val="2"/>
            <w:vAlign w:val="center"/>
          </w:tcPr>
          <w:p>
            <w:pPr>
              <w:snapToGrid w:val="0"/>
              <w:spacing w:line="400" w:lineRule="exact"/>
              <w:rPr>
                <w:rFonts w:ascii="仿宋" w:hAnsi="仿宋" w:eastAsia="仿宋"/>
                <w:sz w:val="24"/>
              </w:rPr>
            </w:pPr>
            <w:r>
              <w:rPr>
                <w:rFonts w:hint="eastAsia" w:ascii="仿宋" w:hAnsi="仿宋" w:eastAsia="仿宋"/>
                <w:sz w:val="24"/>
              </w:rPr>
              <w:t>投标与开标注意事项：</w:t>
            </w:r>
          </w:p>
          <w:p>
            <w:pPr>
              <w:snapToGrid w:val="0"/>
              <w:spacing w:line="400" w:lineRule="exact"/>
              <w:rPr>
                <w:rFonts w:ascii="仿宋" w:hAnsi="仿宋" w:eastAsia="仿宋"/>
                <w:sz w:val="24"/>
              </w:rPr>
            </w:pPr>
            <w:r>
              <w:rPr>
                <w:rFonts w:hint="eastAsia" w:ascii="仿宋" w:hAnsi="仿宋" w:eastAsia="仿宋"/>
                <w:sz w:val="24"/>
              </w:rPr>
              <w:t>1.本项目实行网上投标，采用电子投标文件。若供应商参与投标，自行承担投标一切费用。</w:t>
            </w:r>
          </w:p>
          <w:p>
            <w:pPr>
              <w:snapToGrid w:val="0"/>
              <w:spacing w:line="400" w:lineRule="exact"/>
              <w:rPr>
                <w:rFonts w:ascii="仿宋" w:hAnsi="仿宋" w:eastAsia="仿宋"/>
                <w:sz w:val="24"/>
              </w:rPr>
            </w:pPr>
            <w:r>
              <w:rPr>
                <w:rFonts w:hint="eastAsia" w:ascii="仿宋" w:hAnsi="仿宋" w:eastAsia="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00" w:lineRule="exact"/>
              <w:rPr>
                <w:rFonts w:ascii="仿宋" w:hAnsi="仿宋" w:eastAsia="仿宋"/>
                <w:sz w:val="24"/>
              </w:rPr>
            </w:pPr>
            <w:r>
              <w:rPr>
                <w:rFonts w:hint="eastAsia" w:ascii="仿宋" w:hAnsi="仿宋" w:eastAsia="仿宋"/>
                <w:sz w:val="24"/>
              </w:rPr>
              <w:t>供应商将政采云电子交易客户端下载、安装完成后，可通过账号密码或CA登录客户端进行投标文件制作。在使用政采云投标客户端时，建议使用WIN7及以上操作系统。</w:t>
            </w:r>
          </w:p>
          <w:p>
            <w:pPr>
              <w:snapToGrid w:val="0"/>
              <w:spacing w:line="400" w:lineRule="exact"/>
              <w:rPr>
                <w:rFonts w:ascii="仿宋" w:hAnsi="仿宋" w:eastAsia="仿宋"/>
                <w:sz w:val="24"/>
              </w:rPr>
            </w:pPr>
            <w:r>
              <w:rPr>
                <w:rFonts w:hint="eastAsia" w:ascii="仿宋" w:hAnsi="仿宋" w:eastAsia="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00" w:lineRule="exact"/>
              <w:jc w:val="left"/>
              <w:rPr>
                <w:rFonts w:ascii="仿宋" w:hAnsi="仿宋" w:eastAsia="仿宋"/>
                <w:sz w:val="24"/>
              </w:rPr>
            </w:pPr>
            <w:r>
              <w:rPr>
                <w:rFonts w:hint="eastAsia" w:ascii="仿宋" w:hAnsi="仿宋" w:eastAsia="仿宋"/>
                <w:sz w:val="24"/>
              </w:rPr>
              <w:t>《CA申领操作指南》：https://help.zcygov.cn/web/site_2/2018/11-29/2452.html</w:t>
            </w:r>
          </w:p>
          <w:p>
            <w:pPr>
              <w:snapToGrid w:val="0"/>
              <w:spacing w:line="400" w:lineRule="exact"/>
              <w:jc w:val="left"/>
              <w:rPr>
                <w:rFonts w:ascii="仿宋" w:hAnsi="仿宋" w:eastAsia="仿宋"/>
                <w:sz w:val="24"/>
              </w:rPr>
            </w:pPr>
            <w:r>
              <w:rPr>
                <w:rFonts w:hint="eastAsia" w:ascii="仿宋" w:hAnsi="仿宋" w:eastAsia="仿宋"/>
                <w:sz w:val="24"/>
              </w:rPr>
              <w:t>《CA管理操作指南》：https://help.zcygov.cn/web/site_2/2019/08-20/3405.html</w:t>
            </w:r>
          </w:p>
          <w:p>
            <w:pPr>
              <w:snapToGrid w:val="0"/>
              <w:spacing w:line="400" w:lineRule="exact"/>
              <w:rPr>
                <w:rFonts w:ascii="仿宋" w:hAnsi="仿宋" w:eastAsia="仿宋"/>
                <w:sz w:val="24"/>
              </w:rPr>
            </w:pPr>
            <w:r>
              <w:rPr>
                <w:rFonts w:hint="eastAsia" w:ascii="仿宋" w:hAnsi="仿宋" w:eastAsia="仿宋"/>
                <w:sz w:val="24"/>
              </w:rPr>
              <w:t>《CA驱动和申领流程》:</w:t>
            </w:r>
          </w:p>
          <w:p>
            <w:pPr>
              <w:snapToGrid w:val="0"/>
              <w:spacing w:line="400" w:lineRule="exact"/>
              <w:rPr>
                <w:rFonts w:ascii="仿宋" w:hAnsi="仿宋" w:eastAsia="仿宋"/>
                <w:sz w:val="24"/>
              </w:rPr>
            </w:pPr>
            <w:r>
              <w:rPr>
                <w:rFonts w:ascii="仿宋" w:hAnsi="仿宋" w:eastAsia="仿宋"/>
                <w:sz w:val="24"/>
              </w:rPr>
              <w:t>http://zfcg.czt.zj.gov.cn//bidClientTemplate/2019-05-27/12945.html</w:t>
            </w:r>
          </w:p>
          <w:p>
            <w:pPr>
              <w:snapToGrid w:val="0"/>
              <w:spacing w:line="400" w:lineRule="exact"/>
              <w:rPr>
                <w:rFonts w:ascii="仿宋" w:hAnsi="仿宋" w:eastAsia="仿宋"/>
                <w:sz w:val="24"/>
              </w:rPr>
            </w:pPr>
            <w:r>
              <w:rPr>
                <w:rFonts w:hint="eastAsia" w:ascii="仿宋" w:hAnsi="仿宋" w:eastAsia="仿宋"/>
                <w:sz w:val="24"/>
              </w:rPr>
              <w:t>3.投标文件制作、递交、解密：</w:t>
            </w:r>
          </w:p>
          <w:p>
            <w:pPr>
              <w:snapToGrid w:val="0"/>
              <w:spacing w:line="400" w:lineRule="exact"/>
              <w:rPr>
                <w:rFonts w:ascii="仿宋" w:hAnsi="仿宋" w:eastAsia="仿宋"/>
                <w:sz w:val="24"/>
              </w:rPr>
            </w:pPr>
            <w:r>
              <w:rPr>
                <w:rFonts w:hint="eastAsia" w:ascii="仿宋" w:hAnsi="仿宋" w:eastAsia="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00" w:lineRule="exact"/>
              <w:jc w:val="left"/>
              <w:rPr>
                <w:rFonts w:ascii="仿宋" w:hAnsi="仿宋" w:eastAsia="仿宋"/>
                <w:sz w:val="24"/>
              </w:rPr>
            </w:pPr>
            <w:r>
              <w:rPr>
                <w:rFonts w:hint="eastAsia" w:ascii="仿宋" w:hAnsi="仿宋" w:eastAsia="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50"/>
                <w:rFonts w:hint="eastAsia" w:ascii="仿宋" w:hAnsi="仿宋" w:eastAsia="仿宋"/>
                <w:color w:val="auto"/>
                <w:sz w:val="24"/>
              </w:rPr>
              <w:t>https://help.zcygov.cn/web/site_2/2018/12-28/2573.html</w:t>
            </w:r>
            <w:r>
              <w:rPr>
                <w:rStyle w:val="50"/>
                <w:rFonts w:hint="eastAsia" w:ascii="仿宋" w:hAnsi="仿宋" w:eastAsia="仿宋"/>
                <w:color w:val="auto"/>
                <w:sz w:val="24"/>
              </w:rPr>
              <w:fldChar w:fldCharType="end"/>
            </w:r>
            <w:r>
              <w:rPr>
                <w:rFonts w:hint="eastAsia" w:ascii="仿宋" w:hAnsi="仿宋" w:eastAsia="仿宋"/>
                <w:sz w:val="24"/>
              </w:rPr>
              <w:t>”。</w:t>
            </w:r>
          </w:p>
          <w:p>
            <w:pPr>
              <w:snapToGrid w:val="0"/>
              <w:spacing w:line="400" w:lineRule="exact"/>
              <w:rPr>
                <w:rFonts w:ascii="仿宋" w:hAnsi="仿宋" w:eastAsia="仿宋"/>
                <w:sz w:val="24"/>
              </w:rPr>
            </w:pPr>
            <w:r>
              <w:rPr>
                <w:rFonts w:ascii="仿宋" w:hAnsi="仿宋" w:eastAsia="仿宋"/>
                <w:sz w:val="24"/>
              </w:rPr>
              <w:t>3.3</w:t>
            </w:r>
            <w:r>
              <w:rPr>
                <w:rFonts w:hint="eastAsia" w:ascii="仿宋_GB2312" w:hAnsi="新宋体" w:eastAsia="仿宋_GB2312" w:cs="Arial"/>
                <w:sz w:val="24"/>
              </w:rPr>
              <w:t>开标时间后30分钟内供应商可以登录“政采云”平台，用“项目采购-开标评标”功能进行解密投标文件。若供应商</w:t>
            </w:r>
            <w:r>
              <w:rPr>
                <w:rFonts w:hint="eastAsia" w:ascii="仿宋_GB2312" w:hAnsi="宋体" w:eastAsia="仿宋_GB2312"/>
                <w:b/>
                <w:sz w:val="24"/>
                <w:u w:val="single"/>
              </w:rPr>
              <w:t>未按时解密的</w:t>
            </w:r>
            <w:r>
              <w:rPr>
                <w:rFonts w:hint="eastAsia" w:ascii="仿宋_GB2312" w:hAnsi="新宋体" w:eastAsia="仿宋_GB2312" w:cs="Arial"/>
                <w:sz w:val="24"/>
              </w:rPr>
              <w:t>，</w:t>
            </w:r>
            <w:r>
              <w:rPr>
                <w:rFonts w:hint="eastAsia" w:ascii="仿宋_GB2312" w:hAnsi="宋体" w:eastAsia="仿宋_GB2312"/>
                <w:b/>
                <w:sz w:val="24"/>
                <w:u w:val="single"/>
              </w:rPr>
              <w:t>视为投标文件撤回</w:t>
            </w:r>
            <w:r>
              <w:rPr>
                <w:rFonts w:hint="eastAsia" w:ascii="仿宋_GB2312" w:hAnsi="新宋体" w:eastAsia="仿宋_GB2312"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color w:val="FF0000"/>
                <w:sz w:val="24"/>
              </w:rPr>
            </w:pPr>
            <w:r>
              <w:rPr>
                <w:rFonts w:hint="eastAsia" w:ascii="仿宋_GB2312" w:hAnsi="宋体" w:eastAsia="仿宋_GB2312"/>
                <w:color w:val="auto"/>
                <w:sz w:val="24"/>
              </w:rPr>
              <w:t>15</w:t>
            </w:r>
          </w:p>
        </w:tc>
        <w:tc>
          <w:tcPr>
            <w:tcW w:w="8371" w:type="dxa"/>
            <w:gridSpan w:val="2"/>
            <w:vAlign w:val="center"/>
          </w:tcPr>
          <w:p>
            <w:pPr>
              <w:spacing w:line="340" w:lineRule="exact"/>
              <w:textAlignment w:val="baseline"/>
              <w:rPr>
                <w:rFonts w:ascii="仿宋" w:eastAsia="仿宋" w:cs="仿宋_GB2312"/>
                <w:b/>
                <w:bCs/>
                <w:color w:val="000000" w:themeColor="text1"/>
                <w:sz w:val="24"/>
              </w:rPr>
            </w:pPr>
            <w:r>
              <w:rPr>
                <w:rFonts w:hint="eastAsia" w:ascii="仿宋" w:eastAsia="仿宋" w:cs="仿宋_GB2312"/>
                <w:b/>
                <w:bCs/>
                <w:color w:val="000000" w:themeColor="text1"/>
                <w:sz w:val="24"/>
              </w:rPr>
              <w:t>采购代理服务费：</w:t>
            </w:r>
          </w:p>
          <w:p>
            <w:pPr>
              <w:spacing w:line="340" w:lineRule="exact"/>
              <w:rPr>
                <w:rFonts w:ascii="仿宋" w:hAnsi="仿宋" w:eastAsia="仿宋" w:cs="仿宋"/>
                <w:color w:val="000000" w:themeColor="text1"/>
                <w:sz w:val="24"/>
              </w:rPr>
            </w:pPr>
            <w:r>
              <w:rPr>
                <w:rFonts w:hint="eastAsia" w:ascii="仿宋" w:hAnsi="仿宋" w:eastAsia="仿宋" w:cs="仿宋"/>
                <w:color w:val="000000" w:themeColor="text1"/>
                <w:sz w:val="24"/>
              </w:rPr>
              <w:t>中标人须向招标代理机构交纳代理服务费：</w:t>
            </w:r>
          </w:p>
          <w:p>
            <w:pPr>
              <w:spacing w:line="340" w:lineRule="exact"/>
              <w:rPr>
                <w:rFonts w:ascii="仿宋" w:hAnsi="仿宋" w:eastAsia="仿宋"/>
                <w:color w:val="000000" w:themeColor="text1"/>
                <w:sz w:val="24"/>
              </w:rPr>
            </w:pPr>
            <w:r>
              <w:rPr>
                <w:rFonts w:hint="eastAsia" w:ascii="仿宋" w:hAnsi="仿宋" w:eastAsia="仿宋" w:cs="仿宋"/>
                <w:color w:val="000000" w:themeColor="text1"/>
                <w:sz w:val="24"/>
              </w:rPr>
              <w:t>（</w:t>
            </w:r>
            <w:r>
              <w:rPr>
                <w:rFonts w:ascii="仿宋" w:hAnsi="仿宋" w:eastAsia="仿宋" w:cs="仿宋"/>
                <w:color w:val="000000" w:themeColor="text1"/>
                <w:sz w:val="24"/>
              </w:rPr>
              <w:t>1</w:t>
            </w:r>
            <w:r>
              <w:rPr>
                <w:rFonts w:hint="eastAsia" w:ascii="仿宋" w:hAnsi="仿宋" w:eastAsia="仿宋" w:cs="仿宋"/>
                <w:color w:val="000000" w:themeColor="text1"/>
                <w:sz w:val="24"/>
              </w:rPr>
              <w:t>）中标人须向招标代理机构交纳代理服务费：</w:t>
            </w:r>
            <w:r>
              <w:rPr>
                <w:rFonts w:hint="eastAsia" w:ascii="仿宋" w:hAnsi="仿宋" w:eastAsia="仿宋"/>
                <w:color w:val="000000" w:themeColor="text1"/>
                <w:sz w:val="24"/>
              </w:rPr>
              <w:t>以中标通知中确定的中标总金额作为服务费的计算基数，具体比例参照《国家计委关于印发&lt;招标代理服务收费管理暂行办法&gt;的通知》（计价格[ 2002 ] 1980号）执行。</w:t>
            </w:r>
          </w:p>
          <w:p>
            <w:pPr>
              <w:spacing w:line="3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（2）代理服务费的交纳方式：</w:t>
            </w:r>
          </w:p>
          <w:p>
            <w:pPr>
              <w:spacing w:line="3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用银行支票、汇票、电汇、现金等付款方式直接交纳代理服务费。</w:t>
            </w:r>
          </w:p>
          <w:p>
            <w:pPr>
              <w:spacing w:line="3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公司名称：耀华建设管理有限公司绍兴迪荡分公司</w:t>
            </w:r>
          </w:p>
          <w:p>
            <w:pPr>
              <w:spacing w:line="3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账    号：336006190018819003083</w:t>
            </w:r>
          </w:p>
          <w:p>
            <w:pPr>
              <w:spacing w:line="3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开 户 行：交通银行股份有限公司绍兴迪荡支行</w:t>
            </w:r>
          </w:p>
          <w:p>
            <w:pPr>
              <w:snapToGrid w:val="0"/>
              <w:spacing w:line="400" w:lineRule="exact"/>
              <w:rPr>
                <w:rFonts w:ascii="仿宋" w:hAnsi="仿宋" w:eastAsia="仿宋"/>
                <w:color w:val="000000" w:themeColor="text1"/>
                <w:sz w:val="24"/>
              </w:rPr>
            </w:pPr>
            <w:r>
              <w:rPr>
                <w:rFonts w:hint="eastAsia" w:ascii="仿宋_GB2312" w:hAnsi="宋体" w:eastAsia="仿宋_GB2312"/>
                <w:color w:val="000000" w:themeColor="text1"/>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_GB2312" w:hAnsi="宋体" w:eastAsia="仿宋_GB2312"/>
                <w:sz w:val="24"/>
              </w:rPr>
            </w:pPr>
            <w:r>
              <w:rPr>
                <w:rFonts w:hint="eastAsia" w:ascii="仿宋_GB2312" w:hAnsi="宋体" w:eastAsia="仿宋_GB2312"/>
                <w:sz w:val="24"/>
              </w:rPr>
              <w:t>解释：凡涉及本招标文件的解释权属于采购人和</w:t>
            </w:r>
            <w:r>
              <w:rPr>
                <w:rFonts w:hint="eastAsia" w:ascii="仿宋" w:hAnsi="仿宋" w:eastAsia="仿宋" w:cs="仿宋"/>
                <w:sz w:val="24"/>
              </w:rPr>
              <w:t>本公司</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0"/>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w:t>
      </w:r>
      <w:r>
        <w:rPr>
          <w:rFonts w:hint="eastAsia" w:ascii="仿宋" w:hAnsi="仿宋" w:eastAsia="仿宋"/>
          <w:sz w:val="24"/>
        </w:rPr>
        <w:t>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jc w:val="left"/>
        <w:rPr>
          <w:rFonts w:ascii="仿宋_GB2312" w:hAnsi="宋体" w:eastAsia="仿宋_GB2312"/>
          <w:sz w:val="24"/>
        </w:rPr>
      </w:pPr>
      <w:r>
        <w:rPr>
          <w:rFonts w:hint="eastAsia" w:ascii="仿宋_GB2312" w:hAnsi="仿宋_GB2312" w:eastAsia="仿宋_GB2312" w:cs="仿宋_GB2312"/>
          <w:sz w:val="24"/>
        </w:rPr>
        <w:t>2.1政府采购当事人及监管部门：绍兴市生态环境局为本项目的采购人（合同中的甲方），耀华建设管理有限公司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宋体" w:eastAsia="仿宋_GB2312"/>
          <w:sz w:val="24"/>
        </w:rPr>
      </w:pPr>
      <w:r>
        <w:rPr>
          <w:rFonts w:hint="eastAsia" w:ascii="仿宋" w:hAnsi="仿宋" w:eastAsia="仿宋"/>
          <w:sz w:val="24"/>
        </w:rPr>
        <w:t>2.6</w:t>
      </w:r>
      <w:r>
        <w:rPr>
          <w:rFonts w:hint="eastAsia" w:ascii="仿宋_GB2312" w:hAnsi="宋体" w:eastAsia="仿宋_GB2312"/>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sz w:val="24"/>
        </w:rPr>
      </w:pPr>
      <w:r>
        <w:rPr>
          <w:rFonts w:hint="eastAsia" w:ascii="仿宋" w:hAnsi="仿宋" w:eastAsia="仿宋"/>
          <w:b/>
          <w:sz w:val="24"/>
        </w:rPr>
        <w:t>3.采购项目需要落实的政府采购政策</w:t>
      </w:r>
    </w:p>
    <w:p>
      <w:pPr>
        <w:spacing w:line="440" w:lineRule="exact"/>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sz w:val="24"/>
        </w:rPr>
      </w:pPr>
      <w:r>
        <w:rPr>
          <w:rFonts w:hint="eastAsia" w:ascii="仿宋" w:hAnsi="仿宋" w:eastAsia="仿宋"/>
          <w:sz w:val="24"/>
        </w:rPr>
        <w:t>3.2 节能环保要求</w:t>
      </w:r>
    </w:p>
    <w:p>
      <w:pPr>
        <w:spacing w:line="440" w:lineRule="exact"/>
        <w:rPr>
          <w:rFonts w:ascii="仿宋" w:hAnsi="仿宋" w:eastAsia="仿宋"/>
          <w:sz w:val="24"/>
        </w:rPr>
      </w:pPr>
      <w:r>
        <w:rPr>
          <w:rFonts w:hint="eastAsia" w:ascii="仿宋" w:hAnsi="仿宋" w:eastAsia="仿宋"/>
          <w:sz w:val="24"/>
        </w:rPr>
        <w:t>3.2.1</w:t>
      </w:r>
      <w:r>
        <w:rPr>
          <w:rFonts w:ascii="仿宋" w:hAnsi="仿宋" w:eastAsia="仿宋"/>
          <w:sz w:val="24"/>
        </w:rPr>
        <w:t>采购人拟采购的产品属于品目清单范围的，采购人及其委托的采购代理机构</w:t>
      </w:r>
      <w:r>
        <w:rPr>
          <w:rFonts w:hint="eastAsia" w:ascii="仿宋" w:hAnsi="仿宋" w:eastAsia="仿宋"/>
          <w:sz w:val="24"/>
        </w:rPr>
        <w:t>将</w:t>
      </w:r>
      <w:r>
        <w:rPr>
          <w:rFonts w:ascii="仿宋" w:hAnsi="仿宋" w:eastAsia="仿宋"/>
          <w:sz w:val="24"/>
        </w:rPr>
        <w:t>依据国家确定的认证机构出具的、处于有效期之内的节能产品、环境标志产品认证证书，对获得证书的产品实施政府优先采购或强制采购。</w:t>
      </w:r>
      <w:r>
        <w:rPr>
          <w:rFonts w:hint="eastAsia" w:ascii="仿宋" w:hAnsi="仿宋" w:eastAsia="仿宋"/>
          <w:sz w:val="24"/>
        </w:rPr>
        <w:t>投标人须按招标文件要求提供相关产品认证证书。</w:t>
      </w:r>
    </w:p>
    <w:p>
      <w:pPr>
        <w:spacing w:line="440" w:lineRule="exact"/>
        <w:rPr>
          <w:rFonts w:ascii="仿宋" w:hAnsi="仿宋" w:eastAsia="仿宋"/>
          <w:b/>
          <w:sz w:val="24"/>
        </w:rPr>
      </w:pPr>
      <w:r>
        <w:rPr>
          <w:rFonts w:hint="eastAsia" w:ascii="仿宋" w:hAnsi="仿宋" w:eastAsia="仿宋"/>
          <w:sz w:val="24"/>
        </w:rPr>
        <w:t>3.2.2</w:t>
      </w:r>
      <w:r>
        <w:rPr>
          <w:rFonts w:ascii="仿宋" w:hAnsi="仿宋" w:eastAsia="仿宋"/>
          <w:b/>
          <w:sz w:val="24"/>
        </w:rPr>
        <w:t>采购人拟采购的产品属于</w:t>
      </w:r>
      <w:r>
        <w:rPr>
          <w:rFonts w:hint="eastAsia" w:ascii="仿宋" w:hAnsi="仿宋" w:eastAsia="仿宋"/>
          <w:b/>
          <w:sz w:val="24"/>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小微</w:t>
      </w:r>
      <w:r>
        <w:rPr>
          <w:rFonts w:hint="eastAsia" w:ascii="仿宋" w:hAnsi="仿宋" w:eastAsia="仿宋"/>
          <w:sz w:val="24"/>
        </w:rPr>
        <w:t>企业价格扣除。</w:t>
      </w:r>
    </w:p>
    <w:p>
      <w:pPr>
        <w:spacing w:line="440" w:lineRule="exact"/>
        <w:rPr>
          <w:rFonts w:ascii="仿宋" w:hAnsi="仿宋" w:eastAsia="仿宋"/>
          <w:bCs/>
          <w:sz w:val="24"/>
        </w:rPr>
      </w:pPr>
      <w:r>
        <w:rPr>
          <w:rFonts w:hint="eastAsia" w:ascii="仿宋" w:hAnsi="仿宋" w:eastAsia="仿宋"/>
          <w:sz w:val="24"/>
        </w:rPr>
        <w:t>3.3.1小微企业是指</w:t>
      </w:r>
      <w:r>
        <w:rPr>
          <w:rFonts w:hint="eastAsia" w:ascii="仿宋" w:hAnsi="仿宋" w:eastAsia="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bCs/>
          <w:sz w:val="24"/>
        </w:rPr>
      </w:pPr>
      <w:r>
        <w:rPr>
          <w:rFonts w:hint="eastAsia" w:ascii="仿宋" w:hAnsi="仿宋" w:eastAsia="仿宋"/>
          <w:bCs/>
          <w:sz w:val="24"/>
        </w:rPr>
        <w:t>符合中小企业划分标准的个体工商户，在政府采购活动中视同中小企业。</w:t>
      </w:r>
    </w:p>
    <w:p>
      <w:pPr>
        <w:spacing w:line="440" w:lineRule="exact"/>
        <w:rPr>
          <w:rFonts w:ascii="仿宋" w:hAnsi="仿宋" w:eastAsia="仿宋"/>
          <w:bCs/>
          <w:sz w:val="24"/>
        </w:rPr>
      </w:pPr>
      <w:r>
        <w:rPr>
          <w:rFonts w:hint="eastAsia" w:ascii="仿宋" w:hAnsi="仿宋" w:eastAsia="仿宋"/>
          <w:bCs/>
          <w:sz w:val="24"/>
        </w:rPr>
        <w:t>3.3.2在货物采购项目中，货物由小微企业制造，即货物由小微企业生产且使用该小微企业商号或者注册商标。</w:t>
      </w:r>
      <w:r>
        <w:rPr>
          <w:rFonts w:hint="eastAsia" w:ascii="仿宋" w:hAnsi="仿宋" w:eastAsia="仿宋"/>
          <w:b/>
          <w:bCs/>
          <w:sz w:val="24"/>
        </w:rPr>
        <w:t>供应商提供的货物既有中小企业制造货物，也有大型企业制造货物的，不享受中小企业扶持政策。</w:t>
      </w:r>
    </w:p>
    <w:p>
      <w:pPr>
        <w:spacing w:line="440" w:lineRule="exact"/>
        <w:rPr>
          <w:rFonts w:ascii="仿宋" w:hAnsi="仿宋" w:eastAsia="仿宋"/>
          <w:bCs/>
          <w:sz w:val="24"/>
        </w:rPr>
      </w:pPr>
      <w:r>
        <w:rPr>
          <w:rFonts w:hint="eastAsia" w:ascii="仿宋" w:hAnsi="仿宋" w:eastAsia="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sz w:val="24"/>
        </w:rPr>
      </w:pPr>
      <w:r>
        <w:rPr>
          <w:rFonts w:hint="eastAsia" w:ascii="仿宋" w:hAnsi="仿宋" w:eastAsia="仿宋"/>
          <w:sz w:val="24"/>
        </w:rPr>
        <w:t>3.3.4小微企业应按照招标文件格式要求提供《中小企业声明函》。</w:t>
      </w:r>
    </w:p>
    <w:p>
      <w:pPr>
        <w:spacing w:line="440" w:lineRule="exact"/>
        <w:rPr>
          <w:rFonts w:ascii="仿宋" w:hAnsi="仿宋" w:eastAsia="仿宋"/>
          <w:sz w:val="24"/>
        </w:rPr>
      </w:pPr>
      <w:r>
        <w:rPr>
          <w:rFonts w:hint="eastAsia" w:ascii="仿宋" w:hAnsi="仿宋" w:eastAsia="仿宋"/>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ascii="仿宋" w:hAnsi="仿宋" w:eastAsia="仿宋"/>
          <w:sz w:val="24"/>
        </w:rPr>
      </w:pPr>
      <w:r>
        <w:rPr>
          <w:rFonts w:hint="eastAsia" w:ascii="仿宋" w:hAnsi="仿宋" w:eastAsia="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b/>
          <w:sz w:val="24"/>
        </w:rPr>
      </w:pPr>
      <w:r>
        <w:rPr>
          <w:rFonts w:hint="eastAsia" w:ascii="仿宋" w:hAnsi="仿宋" w:eastAsia="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sz w:val="24"/>
        </w:rPr>
      </w:pPr>
      <w:r>
        <w:rPr>
          <w:rFonts w:hint="eastAsia" w:ascii="仿宋" w:hAnsi="仿宋" w:eastAsia="仿宋"/>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sz w:val="24"/>
        </w:rPr>
      </w:pPr>
      <w:r>
        <w:rPr>
          <w:rFonts w:hint="eastAsia" w:ascii="仿宋" w:hAnsi="仿宋" w:eastAsia="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sz w:val="24"/>
        </w:rPr>
      </w:pPr>
      <w:r>
        <w:rPr>
          <w:rFonts w:hint="eastAsia" w:ascii="仿宋_GB2312" w:hAnsi="宋体" w:eastAsia="仿宋_GB2312"/>
          <w:sz w:val="24"/>
        </w:rPr>
        <w:t>★</w:t>
      </w:r>
      <w:r>
        <w:rPr>
          <w:rFonts w:hint="eastAsia" w:ascii="仿宋" w:hAnsi="仿宋" w:eastAsia="仿宋"/>
          <w:sz w:val="24"/>
        </w:rPr>
        <w:t>4.特别说明：</w:t>
      </w:r>
    </w:p>
    <w:p>
      <w:pPr>
        <w:spacing w:line="440" w:lineRule="exact"/>
        <w:rPr>
          <w:rFonts w:ascii="仿宋" w:hAnsi="仿宋" w:eastAsia="仿宋"/>
          <w:sz w:val="24"/>
        </w:rPr>
      </w:pPr>
      <w:r>
        <w:rPr>
          <w:rFonts w:hint="eastAsia" w:ascii="仿宋" w:hAnsi="仿宋" w:eastAsia="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sz w:val="24"/>
        </w:rPr>
      </w:pPr>
      <w:r>
        <w:rPr>
          <w:rFonts w:hint="eastAsia" w:ascii="仿宋" w:hAnsi="仿宋" w:eastAsia="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sz w:val="24"/>
        </w:rPr>
      </w:pPr>
      <w:r>
        <w:rPr>
          <w:rFonts w:hint="eastAsia" w:ascii="仿宋" w:hAnsi="仿宋" w:eastAsia="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2.授权委托</w:t>
      </w:r>
    </w:p>
    <w:p>
      <w:pPr>
        <w:pStyle w:val="13"/>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本项目为电子投标项目，</w:t>
      </w:r>
      <w:r>
        <w:rPr>
          <w:rFonts w:hint="eastAsia" w:ascii="仿宋_GB2312" w:hAnsi="宋体" w:eastAsia="仿宋_GB2312"/>
          <w:color w:val="000000" w:themeColor="text1"/>
        </w:rPr>
        <w:t>投标人的法定代表人或其授权代表或个体工商户</w:t>
      </w:r>
      <w:r>
        <w:rPr>
          <w:rFonts w:hint="eastAsia" w:ascii="仿宋_GB2312" w:hAnsi="宋体" w:eastAsia="仿宋_GB2312"/>
        </w:rPr>
        <w:t>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3"/>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3"/>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3"/>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3"/>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7"/>
        </w:numPr>
        <w:snapToGrid w:val="0"/>
        <w:spacing w:line="440" w:lineRule="exact"/>
        <w:jc w:val="left"/>
        <w:rPr>
          <w:rFonts w:ascii="仿宋_GB2312" w:hAnsi="宋体" w:eastAsia="仿宋_GB2312"/>
          <w:b/>
          <w:sz w:val="24"/>
        </w:rPr>
      </w:pPr>
      <w:r>
        <w:rPr>
          <w:rFonts w:hint="eastAsia" w:ascii="仿宋_GB2312" w:hAnsi="宋体" w:eastAsia="仿宋_GB2312"/>
          <w:b/>
          <w:sz w:val="24"/>
        </w:rPr>
        <w:t>投标文件的语言、计量单位、形式及效力</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sz w:val="24"/>
        </w:rPr>
      </w:pPr>
      <w:r>
        <w:rPr>
          <w:rFonts w:hint="eastAsia" w:ascii="仿宋_GB2312" w:hAnsi="宋体" w:eastAsia="仿宋_GB2312"/>
          <w:sz w:val="24"/>
        </w:rPr>
        <w:t>1.4不按招标文件的要求提供的投标文件可能导致被拒绝。</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1.5投标文件的形式和效力</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1.5.2投标文件的效力：</w:t>
      </w:r>
    </w:p>
    <w:p>
      <w:pPr>
        <w:snapToGrid w:val="0"/>
        <w:spacing w:line="440" w:lineRule="exact"/>
        <w:ind w:firstLine="472" w:firstLineChars="196"/>
        <w:jc w:val="left"/>
        <w:rPr>
          <w:rFonts w:ascii="仿宋_GB2312" w:hAnsi="宋体" w:eastAsia="仿宋_GB2312"/>
          <w:b/>
          <w:sz w:val="24"/>
          <w:u w:val="single"/>
        </w:rPr>
      </w:pPr>
      <w:r>
        <w:rPr>
          <w:rFonts w:hint="eastAsia" w:ascii="仿宋_GB2312" w:hAnsi="宋体" w:eastAsia="仿宋_GB2312"/>
          <w:b/>
          <w:sz w:val="24"/>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投标文件的组成</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投标文件由“报价文件资料”、“商务技术（资信）文件资料”两部分组成，</w:t>
      </w:r>
      <w:r>
        <w:rPr>
          <w:rFonts w:hint="eastAsia" w:ascii="仿宋" w:hAnsi="仿宋" w:eastAsia="仿宋"/>
          <w:sz w:val="24"/>
        </w:rPr>
        <w:t>其中</w:t>
      </w:r>
      <w:r>
        <w:rPr>
          <w:rFonts w:hint="eastAsia" w:ascii="仿宋" w:hAnsi="仿宋" w:eastAsia="仿宋"/>
          <w:b/>
          <w:sz w:val="24"/>
        </w:rPr>
        <w:t>电子投标文件中所须加盖公章部分均应采用电子签章。</w:t>
      </w:r>
    </w:p>
    <w:p>
      <w:pPr>
        <w:spacing w:line="440" w:lineRule="exact"/>
        <w:jc w:val="left"/>
        <w:rPr>
          <w:rFonts w:ascii="仿宋_GB2312" w:hAnsi="宋体" w:eastAsia="仿宋_GB2312"/>
          <w:sz w:val="24"/>
        </w:rPr>
      </w:pPr>
      <w:r>
        <w:rPr>
          <w:rFonts w:hint="eastAsia" w:ascii="仿宋_GB2312" w:hAnsi="宋体" w:eastAsia="仿宋_GB2312"/>
          <w:sz w:val="24"/>
        </w:rPr>
        <w:t>2.1 “报价文件资料”应包含以下内容：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2.1.1投标响应函（格式见第六部分附件）； </w:t>
      </w:r>
    </w:p>
    <w:p>
      <w:pPr>
        <w:snapToGrid w:val="0"/>
        <w:spacing w:line="440" w:lineRule="exact"/>
        <w:jc w:val="left"/>
        <w:rPr>
          <w:rFonts w:ascii="仿宋_GB2312" w:hAnsi="宋体" w:eastAsia="仿宋_GB2312"/>
          <w:sz w:val="24"/>
        </w:rPr>
      </w:pPr>
      <w:r>
        <w:rPr>
          <w:rFonts w:hint="eastAsia" w:ascii="仿宋_GB2312" w:hAnsi="宋体" w:eastAsia="仿宋_GB2312"/>
          <w:sz w:val="24"/>
        </w:rPr>
        <w:t>2.1.2开标一览表（格式见第六部分附件）；</w:t>
      </w:r>
    </w:p>
    <w:p>
      <w:pPr>
        <w:pStyle w:val="24"/>
        <w:spacing w:line="440" w:lineRule="exact"/>
        <w:rPr>
          <w:rFonts w:ascii="仿宋_GB2312" w:hAnsi="宋体" w:eastAsia="仿宋_GB2312"/>
          <w:b w:val="0"/>
          <w:sz w:val="24"/>
        </w:rPr>
      </w:pPr>
      <w:r>
        <w:rPr>
          <w:rFonts w:hint="eastAsia" w:ascii="仿宋_GB2312" w:hAnsi="宋体" w:eastAsia="仿宋_GB2312"/>
          <w:b w:val="0"/>
          <w:sz w:val="24"/>
        </w:rPr>
        <w:t>2.1.3中小企业声明函（如有，格式见第六部分附件）；</w:t>
      </w:r>
    </w:p>
    <w:p>
      <w:pPr>
        <w:pStyle w:val="24"/>
        <w:spacing w:line="440" w:lineRule="exact"/>
        <w:rPr>
          <w:rFonts w:ascii="仿宋_GB2312" w:hAnsi="宋体" w:eastAsia="仿宋_GB2312"/>
          <w:b w:val="0"/>
          <w:sz w:val="24"/>
        </w:rPr>
      </w:pPr>
      <w:r>
        <w:rPr>
          <w:rFonts w:hint="eastAsia" w:ascii="仿宋_GB2312" w:hAnsi="宋体" w:eastAsia="仿宋_GB2312"/>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 “商务技术（资信）文件资料”应包括以下内容（正本用原件）：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2.2.3法定代表人身份证明书（格式见第六部分附件）；</w:t>
      </w:r>
    </w:p>
    <w:p>
      <w:pPr>
        <w:snapToGrid w:val="0"/>
        <w:spacing w:line="440" w:lineRule="exact"/>
        <w:rPr>
          <w:rFonts w:ascii="仿宋_GB2312" w:hAnsi="Arial" w:eastAsia="仿宋_GB2312" w:cs="Arial"/>
          <w:kern w:val="0"/>
          <w:sz w:val="24"/>
        </w:rPr>
      </w:pPr>
      <w:r>
        <w:rPr>
          <w:rFonts w:hint="eastAsia" w:ascii="仿宋_GB2312" w:hAnsi="宋体" w:eastAsia="仿宋_GB2312"/>
          <w:sz w:val="24"/>
        </w:rPr>
        <w:t>2.2.4 相关资质证明或文件复印件（加盖单位公章）；</w:t>
      </w:r>
      <w:r>
        <w:rPr>
          <w:rFonts w:hint="eastAsia" w:ascii="仿宋_GB2312" w:hAnsi="仿宋_GB2312" w:eastAsia="仿宋_GB2312" w:cs="仿宋_GB2312"/>
          <w:sz w:val="24"/>
        </w:rPr>
        <w:t>（均需加盖公章）：</w:t>
      </w:r>
      <w:r>
        <w:rPr>
          <w:rFonts w:hint="eastAsia" w:ascii="仿宋_GB2312" w:hAnsi="仿宋_GB2312" w:eastAsia="仿宋_GB2312" w:cs="仿宋_GB2312"/>
          <w:kern w:val="0"/>
          <w:sz w:val="24"/>
        </w:rPr>
        <w:t>证明其符合《中华人民共和国政府采购法》</w:t>
      </w:r>
      <w:r>
        <w:rPr>
          <w:rFonts w:hint="eastAsia" w:ascii="仿宋_GB2312" w:hAnsi="Arial" w:eastAsia="仿宋_GB2312" w:cs="Arial"/>
          <w:kern w:val="0"/>
          <w:sz w:val="24"/>
        </w:rPr>
        <w:t>规定的供应商基本条件和采购项目对供应商的特定要求</w:t>
      </w:r>
      <w:r>
        <w:rPr>
          <w:rFonts w:hint="eastAsia" w:ascii="仿宋_GB2312" w:hAnsi="仿宋_GB2312" w:eastAsia="仿宋_GB2312" w:cs="仿宋_GB2312"/>
          <w:sz w:val="24"/>
        </w:rPr>
        <w:t>（如果项目要求）</w:t>
      </w:r>
      <w:r>
        <w:rPr>
          <w:rFonts w:hint="eastAsia" w:ascii="仿宋_GB2312" w:hAnsi="仿宋_GB2312" w:eastAsia="仿宋_GB2312" w:cs="仿宋_GB2312"/>
          <w:kern w:val="0"/>
          <w:sz w:val="24"/>
        </w:rPr>
        <w:t>的有关资格证明文件。</w:t>
      </w:r>
    </w:p>
    <w:p>
      <w:pPr>
        <w:pStyle w:val="23"/>
        <w:spacing w:line="440" w:lineRule="exact"/>
        <w:ind w:firstLine="480" w:firstLineChars="200"/>
        <w:rPr>
          <w:rFonts w:ascii="仿宋_GB2312" w:hAnsi="仿宋" w:eastAsia="仿宋_GB2312"/>
          <w:sz w:val="24"/>
        </w:rPr>
      </w:pPr>
      <w:bookmarkStart w:id="1" w:name="_Hlt68072998"/>
      <w:bookmarkEnd w:id="1"/>
      <w:bookmarkStart w:id="2" w:name="_Hlt68073093"/>
      <w:bookmarkEnd w:id="2"/>
      <w:bookmarkStart w:id="3" w:name="_Hlt68403820"/>
      <w:bookmarkEnd w:id="3"/>
      <w:r>
        <w:rPr>
          <w:rFonts w:hint="eastAsia" w:ascii="仿宋_GB2312" w:hAnsi="仿宋" w:eastAsia="仿宋_GB2312"/>
          <w:sz w:val="24"/>
        </w:rPr>
        <w:t>（1）营业执照(或事业法人登记证或其他工商等登记证明材料)复印件，实施“五证合一、一照一码”登记制度改革的，只需提供改革后取得的营业执照复印件 ；</w:t>
      </w:r>
    </w:p>
    <w:p>
      <w:pPr>
        <w:pStyle w:val="23"/>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（2）2020年度资产负债表等财务报表资料文件(新成立的公司提供情况证明)；</w:t>
      </w:r>
    </w:p>
    <w:p>
      <w:pPr>
        <w:pStyle w:val="23"/>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（3）具有履行合同所必需的设备和专业技术能力的承诺函；</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sz w:val="24"/>
        </w:rPr>
        <w:t>（4）参加本次政府采购活动前三年内，在经营活动中没有重大违法记录的声明（</w:t>
      </w:r>
      <w:r>
        <w:rPr>
          <w:rFonts w:hint="eastAsia" w:ascii="仿宋_GB2312" w:hAnsi="仿宋_GB2312" w:eastAsia="仿宋_GB2312" w:cs="仿宋_GB2312"/>
          <w:sz w:val="24"/>
          <w:szCs w:val="20"/>
        </w:rPr>
        <w:t>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(6</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t>(7</w:t>
      </w:r>
      <w:r>
        <w:rPr>
          <w:rFonts w:hint="eastAsia" w:ascii="仿宋_GB2312" w:hAnsi="仿宋_GB2312" w:eastAsia="仿宋_GB2312" w:cs="仿宋_GB2312"/>
          <w:sz w:val="24"/>
        </w:rPr>
        <w:t>)符合特定资格条件（如果项目要求）的有关证明材料（复印件）；</w:t>
      </w:r>
    </w:p>
    <w:p>
      <w:pPr>
        <w:pStyle w:val="23"/>
        <w:snapToGrid w:val="0"/>
        <w:spacing w:line="440" w:lineRule="exact"/>
        <w:rPr>
          <w:rFonts w:ascii="仿宋_GB2312" w:hAnsi="仿宋_GB2312" w:eastAsia="仿宋_GB2312" w:cs="仿宋_GB2312"/>
          <w:sz w:val="24"/>
          <w:lang w:val="zh-CN"/>
        </w:rPr>
      </w:pPr>
      <w:r>
        <w:rPr>
          <w:rFonts w:hint="eastAsia" w:ascii="仿宋_GB2312" w:hAnsi="宋体" w:eastAsia="仿宋_GB2312"/>
          <w:sz w:val="24"/>
        </w:rPr>
        <w:t>2.2</w:t>
      </w:r>
      <w:r>
        <w:rPr>
          <w:rFonts w:hint="eastAsia" w:ascii="仿宋_GB2312" w:hAnsi="宋体" w:eastAsia="仿宋_GB2312"/>
          <w:color w:val="FF0000"/>
          <w:sz w:val="24"/>
        </w:rPr>
        <w:t>.5</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color w:val="FF0000"/>
          <w:sz w:val="24"/>
        </w:rPr>
        <w:t>6</w:t>
      </w:r>
      <w:r>
        <w:rPr>
          <w:rFonts w:hint="eastAsia" w:ascii="仿宋_GB2312" w:hAnsi="宋体" w:eastAsia="仿宋_GB2312"/>
          <w:sz w:val="24"/>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color w:val="FF0000"/>
          <w:sz w:val="24"/>
        </w:rPr>
        <w:t>.7</w:t>
      </w:r>
      <w:r>
        <w:rPr>
          <w:rFonts w:hint="eastAsia" w:ascii="仿宋_GB2312" w:hAnsi="宋体" w:eastAsia="仿宋_GB2312"/>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w:t>
      </w:r>
      <w:r>
        <w:rPr>
          <w:rFonts w:hint="eastAsia" w:ascii="仿宋_GB2312" w:hAnsi="仿宋_GB2312" w:eastAsia="仿宋_GB2312" w:cs="仿宋_GB2312"/>
          <w:color w:val="FF0000"/>
          <w:kern w:val="0"/>
          <w:sz w:val="24"/>
        </w:rPr>
        <w:t>.8</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kern w:val="0"/>
          <w:sz w:val="24"/>
          <w:lang w:val="zh-CN"/>
        </w:rPr>
        <w:t>2.2</w:t>
      </w:r>
      <w:r>
        <w:rPr>
          <w:rFonts w:hint="eastAsia" w:ascii="仿宋_GB2312" w:hAnsi="仿宋_GB2312" w:eastAsia="仿宋_GB2312" w:cs="仿宋_GB2312"/>
          <w:color w:val="000000" w:themeColor="text1"/>
          <w:kern w:val="0"/>
          <w:sz w:val="24"/>
          <w:lang w:val="zh-CN"/>
        </w:rPr>
        <w:t>.</w:t>
      </w:r>
      <w:r>
        <w:rPr>
          <w:rFonts w:hint="eastAsia" w:ascii="仿宋_GB2312" w:hAnsi="仿宋_GB2312" w:eastAsia="仿宋_GB2312" w:cs="仿宋_GB2312"/>
          <w:color w:val="000000" w:themeColor="text1"/>
          <w:kern w:val="0"/>
          <w:sz w:val="24"/>
        </w:rPr>
        <w:t>9</w:t>
      </w:r>
      <w:r>
        <w:rPr>
          <w:rFonts w:hint="eastAsia" w:ascii="仿宋_GB2312" w:hAnsi="仿宋_GB2312" w:eastAsia="仿宋_GB2312" w:cs="仿宋_GB2312"/>
          <w:color w:val="000000" w:themeColor="text1"/>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w:t>
      </w:r>
      <w:r>
        <w:rPr>
          <w:rFonts w:hint="eastAsia" w:ascii="仿宋_GB2312" w:hAnsi="仿宋_GB2312" w:eastAsia="仿宋_GB2312" w:cs="仿宋_GB2312"/>
          <w:color w:val="000000" w:themeColor="text1"/>
          <w:kern w:val="0"/>
          <w:sz w:val="24"/>
        </w:rPr>
        <w:t>10</w:t>
      </w:r>
      <w:r>
        <w:rPr>
          <w:rFonts w:hint="eastAsia" w:ascii="仿宋_GB2312" w:hAnsi="仿宋_GB2312" w:eastAsia="仿宋_GB2312" w:cs="仿宋_GB2312"/>
          <w:color w:val="000000" w:themeColor="text1"/>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w:t>
      </w:r>
      <w:r>
        <w:rPr>
          <w:rFonts w:hint="eastAsia" w:ascii="仿宋_GB2312" w:hAnsi="仿宋_GB2312" w:eastAsia="仿宋_GB2312" w:cs="仿宋_GB2312"/>
          <w:color w:val="000000" w:themeColor="text1"/>
          <w:kern w:val="0"/>
          <w:sz w:val="24"/>
        </w:rPr>
        <w:t>2</w:t>
      </w:r>
      <w:r>
        <w:rPr>
          <w:rFonts w:hint="eastAsia" w:ascii="仿宋_GB2312" w:hAnsi="仿宋_GB2312" w:eastAsia="仿宋_GB2312" w:cs="仿宋_GB2312"/>
          <w:color w:val="000000" w:themeColor="text1"/>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sz w:val="24"/>
        </w:rPr>
        <w:t>2.2.13</w:t>
      </w:r>
      <w:r>
        <w:rPr>
          <w:rFonts w:hint="eastAsia" w:ascii="仿宋_GB2312" w:hAnsi="仿宋_GB2312" w:eastAsia="仿宋_GB2312" w:cs="仿宋_GB2312"/>
          <w:color w:val="000000" w:themeColor="text1"/>
          <w:kern w:val="0"/>
          <w:sz w:val="24"/>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w:t>
      </w:r>
      <w:r>
        <w:rPr>
          <w:rFonts w:hint="eastAsia" w:ascii="仿宋_GB2312" w:hAnsi="仿宋_GB2312" w:eastAsia="仿宋_GB2312" w:cs="仿宋_GB2312"/>
          <w:color w:val="000000" w:themeColor="text1"/>
          <w:kern w:val="0"/>
          <w:sz w:val="24"/>
        </w:rPr>
        <w:t>4</w:t>
      </w:r>
      <w:r>
        <w:rPr>
          <w:rFonts w:hint="eastAsia" w:ascii="仿宋_GB2312" w:hAnsi="仿宋_GB2312" w:eastAsia="仿宋_GB2312" w:cs="仿宋_GB2312"/>
          <w:color w:val="000000" w:themeColor="text1"/>
          <w:kern w:val="0"/>
          <w:sz w:val="24"/>
          <w:lang w:val="zh-CN"/>
        </w:rPr>
        <w:t>验收方案；</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color w:val="000000" w:themeColor="text1"/>
          <w:kern w:val="0"/>
          <w:sz w:val="24"/>
        </w:rPr>
        <w:t>2.2.15</w:t>
      </w:r>
      <w:r>
        <w:rPr>
          <w:rFonts w:hint="eastAsia" w:ascii="仿宋_GB2312" w:hAnsi="仿宋_GB2312" w:eastAsia="仿宋_GB2312" w:cs="仿宋_GB2312"/>
          <w:snapToGrid w:val="0"/>
          <w:color w:val="000000" w:themeColor="text1"/>
          <w:sz w:val="24"/>
        </w:rPr>
        <w:t>非本</w:t>
      </w:r>
      <w:r>
        <w:rPr>
          <w:rFonts w:hint="eastAsia" w:ascii="仿宋_GB2312" w:hAnsi="仿宋_GB2312" w:eastAsia="仿宋_GB2312" w:cs="仿宋_GB2312"/>
          <w:snapToGrid w:val="0"/>
          <w:sz w:val="24"/>
        </w:rPr>
        <w:t>地投标人售后服务机构证明材料。非本地投标人</w:t>
      </w:r>
      <w:r>
        <w:rPr>
          <w:rFonts w:hint="eastAsia" w:ascii="仿宋_GB2312" w:hAnsi="仿宋_GB2312" w:eastAsia="仿宋_GB2312" w:cs="仿宋_GB2312"/>
          <w:sz w:val="24"/>
          <w:lang w:val="zh-CN"/>
        </w:rPr>
        <w:t>在绍兴的分公司</w:t>
      </w:r>
      <w:r>
        <w:rPr>
          <w:rFonts w:hint="eastAsia" w:ascii="仿宋_GB2312" w:hAnsi="仿宋_GB2312" w:eastAsia="仿宋_GB2312" w:cs="仿宋_GB2312"/>
          <w:kern w:val="0"/>
          <w:sz w:val="24"/>
        </w:rPr>
        <w:t>（</w:t>
      </w:r>
      <w:r>
        <w:rPr>
          <w:rFonts w:hint="eastAsia" w:ascii="仿宋_GB2312" w:hAnsi="仿宋_GB2312" w:eastAsia="仿宋_GB2312" w:cs="仿宋_GB2312"/>
          <w:sz w:val="24"/>
          <w:lang w:val="zh-CN"/>
        </w:rPr>
        <w:t>需提供本地工商注册</w:t>
      </w:r>
      <w:r>
        <w:rPr>
          <w:rFonts w:hint="eastAsia" w:ascii="仿宋_GB2312" w:hAnsi="仿宋_GB2312" w:eastAsia="仿宋_GB2312" w:cs="仿宋_GB2312"/>
          <w:sz w:val="24"/>
        </w:rPr>
        <w:t>登记</w:t>
      </w:r>
      <w:r>
        <w:rPr>
          <w:rFonts w:hint="eastAsia" w:ascii="仿宋_GB2312" w:hAnsi="仿宋_GB2312" w:eastAsia="仿宋_GB2312" w:cs="仿宋_GB2312"/>
          <w:sz w:val="24"/>
          <w:lang w:val="zh-CN"/>
        </w:rPr>
        <w:t>资料）或办事处</w:t>
      </w:r>
      <w:r>
        <w:rPr>
          <w:rFonts w:hint="eastAsia" w:ascii="仿宋_GB2312" w:hAnsi="仿宋_GB2312" w:eastAsia="仿宋_GB2312" w:cs="仿宋_GB2312"/>
          <w:kern w:val="0"/>
          <w:sz w:val="24"/>
        </w:rPr>
        <w:t>（</w:t>
      </w:r>
      <w:r>
        <w:rPr>
          <w:rFonts w:hint="eastAsia" w:ascii="仿宋_GB2312" w:hAnsi="仿宋_GB2312" w:eastAsia="仿宋_GB2312" w:cs="仿宋_GB2312"/>
          <w:sz w:val="24"/>
          <w:lang w:val="zh-CN"/>
        </w:rPr>
        <w:t>需提供本地国内经济合作办注册资料</w:t>
      </w:r>
      <w:r>
        <w:rPr>
          <w:rFonts w:hint="eastAsia" w:ascii="仿宋_GB2312" w:hAnsi="仿宋_GB2312" w:eastAsia="仿宋_GB2312" w:cs="仿宋_GB2312"/>
          <w:kern w:val="0"/>
          <w:sz w:val="24"/>
        </w:rPr>
        <w:t>）或符合本项目服务能力并签订合作协议的第三方机构或者在中标（成交）公示后在本地设立售后服务机构作</w:t>
      </w:r>
      <w:r>
        <w:rPr>
          <w:rFonts w:hint="eastAsia" w:ascii="仿宋_GB2312" w:hAnsi="仿宋_GB2312" w:eastAsia="仿宋_GB2312" w:cs="仿宋_GB2312"/>
          <w:sz w:val="24"/>
          <w:lang w:val="zh-CN"/>
        </w:rPr>
        <w:t>为常驻服务和技术支持机构；</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sz w:val="24"/>
        </w:rPr>
        <w:t>2.2</w:t>
      </w:r>
      <w:r>
        <w:rPr>
          <w:rFonts w:hint="eastAsia" w:ascii="仿宋_GB2312" w:hAnsi="宋体" w:eastAsia="仿宋_GB2312"/>
          <w:color w:val="000000" w:themeColor="text1"/>
          <w:sz w:val="24"/>
        </w:rPr>
        <w:t>.16</w:t>
      </w:r>
      <w:r>
        <w:rPr>
          <w:rFonts w:hint="eastAsia" w:ascii="仿宋_GB2312" w:hAnsi="宋体" w:eastAsia="仿宋_GB2312"/>
          <w:color w:val="000000" w:themeColor="text1"/>
          <w:sz w:val="24"/>
          <w:u w:val="wave"/>
        </w:rPr>
        <w:t>未尽事宜请各投标单位按评分细则和相对应标项相关要求制作(重要)</w:t>
      </w:r>
      <w:r>
        <w:rPr>
          <w:rFonts w:hint="eastAsia" w:ascii="仿宋_GB2312" w:hAnsi="宋体" w:eastAsia="仿宋_GB2312"/>
          <w:color w:val="000000" w:themeColor="text1"/>
          <w:sz w:val="24"/>
        </w:rPr>
        <w:t>；</w:t>
      </w:r>
    </w:p>
    <w:p>
      <w:pPr>
        <w:pStyle w:val="20"/>
        <w:tabs>
          <w:tab w:val="left" w:pos="1854"/>
          <w:tab w:val="clear" w:pos="482"/>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2.2.17投标人需要说明的其他文件和说明（格式自拟）。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color w:val="000000" w:themeColor="text1"/>
          <w:sz w:val="24"/>
        </w:rPr>
        <w:t>以</w:t>
      </w:r>
      <w:r>
        <w:rPr>
          <w:rFonts w:hint="eastAsia" w:ascii="仿宋_GB2312" w:hAnsi="宋体" w:eastAsia="仿宋_GB2312"/>
          <w:sz w:val="24"/>
        </w:rPr>
        <w:t>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rPr>
      </w:pPr>
      <w:r>
        <w:rPr>
          <w:rFonts w:hint="eastAsia" w:ascii="仿宋_GB2312" w:hAnsi="宋体" w:eastAsia="仿宋_GB2312"/>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3"/>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3.5</w:t>
      </w:r>
      <w:r>
        <w:rPr>
          <w:rFonts w:hint="eastAsia" w:ascii="仿宋_GB2312" w:hAnsi="宋体" w:eastAsia="仿宋_GB2312"/>
          <w:b/>
          <w:i/>
          <w:sz w:val="24"/>
        </w:rPr>
        <w:t>投标报价只允许有一个报价，有选择的报价将不予接受（除指定外）。</w:t>
      </w:r>
    </w:p>
    <w:p>
      <w:pPr>
        <w:pStyle w:val="13"/>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3"/>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 w:hAnsi="仿宋" w:eastAsia="仿宋" w:cs="仿宋_GB2312"/>
        </w:rPr>
        <w:t>投标有效期为从提交投标文件的截止之日起90天。</w:t>
      </w:r>
      <w:r>
        <w:rPr>
          <w:rFonts w:hint="eastAsia" w:ascii="仿宋" w:hAnsi="仿宋" w:eastAsia="仿宋" w:cs="仿宋_GB2312"/>
          <w:b/>
        </w:rPr>
        <w:t>投标人的投标文件中承</w:t>
      </w:r>
      <w:r>
        <w:rPr>
          <w:rFonts w:hint="eastAsia" w:ascii="仿宋" w:hAnsi="仿宋" w:eastAsia="仿宋" w:cs="仿宋_GB2312"/>
          <w:b/>
          <w:szCs w:val="21"/>
        </w:rPr>
        <w:t>诺的投标有效期少于招标文件中载明的投标有效期的，投标无效。</w:t>
      </w:r>
    </w:p>
    <w:p>
      <w:pPr>
        <w:pStyle w:val="13"/>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3"/>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5.投标文件的规定</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5.1投标文件由“商务技术（资信）文件资料”、“报价文件资料”两部分文件组成，应按统一格式填写。</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5.2投标文件须按附件格式要求进行电子签章，投标人应写全称。</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5.3投标文件不得涂改，若有修改错漏处，须加盖单位公章或者法定代表人或其授权代表签字或盖章。</w:t>
      </w:r>
    </w:p>
    <w:p>
      <w:pPr>
        <w:snapToGrid w:val="0"/>
        <w:spacing w:line="440" w:lineRule="exact"/>
        <w:jc w:val="left"/>
        <w:rPr>
          <w:rFonts w:ascii="仿宋_GB2312" w:hAnsi="宋体" w:eastAsia="仿宋_GB2312"/>
          <w:sz w:val="24"/>
        </w:rPr>
      </w:pPr>
      <w:r>
        <w:rPr>
          <w:rFonts w:hint="eastAsia" w:ascii="仿宋_GB2312" w:hAnsi="宋体" w:eastAsia="仿宋_GB2312"/>
          <w:sz w:val="24"/>
        </w:rPr>
        <w:t>5.4投标文件因字迹潦草或表达不清所引起的后果由投标人负责。</w:t>
      </w:r>
    </w:p>
    <w:p>
      <w:pPr>
        <w:spacing w:line="440" w:lineRule="exact"/>
        <w:jc w:val="left"/>
        <w:rPr>
          <w:rFonts w:ascii="仿宋_GB2312" w:hAnsi="宋体" w:eastAsia="仿宋_GB2312"/>
          <w:sz w:val="24"/>
        </w:rPr>
      </w:pPr>
      <w:r>
        <w:rPr>
          <w:rFonts w:hint="eastAsia" w:ascii="仿宋_GB2312" w:hAnsi="宋体" w:eastAsia="仿宋_GB2312"/>
          <w:sz w:val="24"/>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sz w:val="24"/>
        </w:rPr>
      </w:pPr>
      <w:r>
        <w:rPr>
          <w:rFonts w:hint="eastAsia" w:ascii="仿宋_GB2312" w:hAnsi="仿宋_GB2312" w:eastAsia="仿宋_GB2312" w:cs="仿宋_GB2312"/>
          <w:b/>
          <w:sz w:val="24"/>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_GB2312" w:hAnsi="宋体" w:eastAsia="仿宋_GB2312"/>
          <w:b/>
          <w:kern w:val="0"/>
          <w:sz w:val="24"/>
        </w:rPr>
      </w:pPr>
      <w:r>
        <w:rPr>
          <w:rFonts w:hint="eastAsia" w:ascii="仿宋_GB2312" w:hAnsi="宋体" w:eastAsia="仿宋_GB2312"/>
          <w:b/>
          <w:sz w:val="24"/>
        </w:rPr>
        <w:t>7．</w:t>
      </w:r>
      <w:r>
        <w:rPr>
          <w:rFonts w:hint="eastAsia" w:ascii="仿宋_GB2312" w:hAnsi="宋体" w:eastAsia="仿宋_GB2312"/>
          <w:b/>
          <w:kern w:val="0"/>
          <w:sz w:val="24"/>
        </w:rPr>
        <w:t>投标文件的补充和修改</w:t>
      </w:r>
    </w:p>
    <w:p>
      <w:pPr>
        <w:spacing w:line="440" w:lineRule="exact"/>
        <w:ind w:firstLine="480" w:firstLineChars="200"/>
        <w:jc w:val="left"/>
        <w:rPr>
          <w:rFonts w:ascii="仿宋_GB2312" w:hAnsi="宋体" w:eastAsia="仿宋_GB2312"/>
          <w:kern w:val="0"/>
          <w:sz w:val="24"/>
        </w:rPr>
      </w:pPr>
      <w:r>
        <w:rPr>
          <w:rFonts w:hint="eastAsia" w:ascii="仿宋_GB2312" w:hAnsi="宋体" w:eastAsia="仿宋_GB2312"/>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1．电子招投标开标及评审程序</w:t>
      </w:r>
    </w:p>
    <w:p>
      <w:pPr>
        <w:snapToGrid w:val="0"/>
        <w:spacing w:line="480" w:lineRule="exact"/>
        <w:jc w:val="left"/>
        <w:rPr>
          <w:rFonts w:ascii="仿宋_GB2312" w:hAnsi="宋体" w:eastAsia="仿宋_GB2312"/>
          <w:sz w:val="24"/>
        </w:rPr>
      </w:pPr>
      <w:r>
        <w:rPr>
          <w:rFonts w:hint="eastAsia" w:ascii="仿宋_GB2312" w:hAnsi="宋体" w:eastAsia="仿宋_GB2312"/>
          <w:sz w:val="24"/>
        </w:rPr>
        <w:t>1.1投标截止时间后，主持人宣布开标会开始。</w:t>
      </w:r>
    </w:p>
    <w:p>
      <w:pPr>
        <w:snapToGrid w:val="0"/>
        <w:spacing w:line="480" w:lineRule="exact"/>
        <w:jc w:val="left"/>
        <w:rPr>
          <w:rFonts w:ascii="仿宋_GB2312" w:hAnsi="宋体" w:eastAsia="仿宋_GB2312"/>
          <w:sz w:val="24"/>
        </w:rPr>
      </w:pPr>
      <w:r>
        <w:rPr>
          <w:rFonts w:hint="eastAsia" w:ascii="仿宋_GB2312" w:hAnsi="宋体" w:eastAsia="仿宋_GB2312"/>
          <w:sz w:val="24"/>
        </w:rPr>
        <w:t>1.2投标人登录政采云平台，用“项目采购-开标评标”功能对电子投标文件进行在线解密。在线解密电子投标文件时间为开标时间起30分钟内。</w:t>
      </w:r>
    </w:p>
    <w:p>
      <w:pPr>
        <w:snapToGrid w:val="0"/>
        <w:spacing w:line="480" w:lineRule="exact"/>
        <w:jc w:val="left"/>
        <w:rPr>
          <w:rFonts w:ascii="仿宋_GB2312" w:hAnsi="宋体" w:eastAsia="仿宋_GB2312"/>
          <w:sz w:val="24"/>
        </w:rPr>
      </w:pPr>
      <w:r>
        <w:rPr>
          <w:rFonts w:hint="eastAsia" w:ascii="仿宋_GB2312" w:hAnsi="宋体" w:eastAsia="仿宋_GB2312"/>
          <w:sz w:val="24"/>
        </w:rPr>
        <w:t>1.3评标委员会对资格和商务技术响应文件进行评审；</w:t>
      </w:r>
    </w:p>
    <w:p>
      <w:pPr>
        <w:snapToGrid w:val="0"/>
        <w:spacing w:line="480" w:lineRule="exact"/>
        <w:jc w:val="left"/>
        <w:rPr>
          <w:rFonts w:ascii="仿宋_GB2312" w:eastAsia="仿宋_GB2312"/>
          <w:sz w:val="24"/>
        </w:rPr>
      </w:pPr>
      <w:r>
        <w:rPr>
          <w:rFonts w:hint="eastAsia" w:ascii="仿宋_GB2312" w:hAnsi="宋体" w:eastAsia="仿宋_GB2312"/>
          <w:sz w:val="24"/>
        </w:rPr>
        <w:t>1.4主持人宣布商务技术得分及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公布经商务技术（资信）评审符合招标文件要求的投标人名单及其商务技术得分。</w:t>
      </w:r>
    </w:p>
    <w:p>
      <w:pPr>
        <w:snapToGrid w:val="0"/>
        <w:spacing w:line="480" w:lineRule="exact"/>
        <w:jc w:val="left"/>
        <w:rPr>
          <w:rFonts w:ascii="仿宋_GB2312" w:hAnsi="宋体" w:eastAsia="仿宋_GB2312"/>
          <w:sz w:val="24"/>
        </w:rPr>
      </w:pPr>
      <w:r>
        <w:rPr>
          <w:rFonts w:hint="eastAsia" w:ascii="仿宋_GB2312" w:eastAsia="仿宋_GB2312"/>
          <w:sz w:val="24"/>
        </w:rPr>
        <w:t>1.5</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sz w:val="24"/>
        </w:rPr>
      </w:pPr>
      <w:r>
        <w:rPr>
          <w:rFonts w:hint="eastAsia" w:ascii="仿宋_GB2312" w:hAnsi="宋体" w:eastAsia="仿宋_GB2312"/>
          <w:sz w:val="24"/>
        </w:rPr>
        <w:t>1.6评标委员会对投标文件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w:t>
      </w:r>
    </w:p>
    <w:p>
      <w:pPr>
        <w:snapToGrid w:val="0"/>
        <w:spacing w:line="480" w:lineRule="exact"/>
        <w:jc w:val="left"/>
        <w:rPr>
          <w:rFonts w:ascii="仿宋_GB2312" w:hAnsi="宋体" w:eastAsia="仿宋_GB2312"/>
          <w:sz w:val="24"/>
        </w:rPr>
      </w:pPr>
      <w:r>
        <w:rPr>
          <w:rFonts w:hint="eastAsia" w:ascii="仿宋_GB2312" w:hAnsi="宋体" w:eastAsia="仿宋_GB2312"/>
          <w:sz w:val="24"/>
        </w:rPr>
        <w:t>1.7主持人公布评标结果。</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特别说明：政采云公司如对电子化开标及评审程序有调整的，按调整后的程序操作。</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sz w:val="24"/>
        </w:rPr>
      </w:pPr>
      <w:r>
        <w:rPr>
          <w:rFonts w:hint="eastAsia" w:ascii="仿宋_GB2312" w:hAnsi="宋体" w:eastAsia="仿宋_GB2312"/>
          <w:sz w:val="24"/>
        </w:rPr>
        <w:t xml:space="preserve">2.1电子交易平台发生故障而无法登录访问的； </w:t>
      </w:r>
    </w:p>
    <w:p>
      <w:pPr>
        <w:snapToGrid w:val="0"/>
        <w:spacing w:line="480" w:lineRule="exact"/>
        <w:jc w:val="left"/>
        <w:rPr>
          <w:rFonts w:ascii="仿宋_GB2312" w:hAnsi="宋体" w:eastAsia="仿宋_GB2312"/>
          <w:sz w:val="24"/>
        </w:rPr>
      </w:pPr>
      <w:r>
        <w:rPr>
          <w:rFonts w:hint="eastAsia" w:ascii="仿宋_GB2312" w:hAnsi="宋体" w:eastAsia="仿宋_GB2312"/>
          <w:sz w:val="24"/>
        </w:rPr>
        <w:t>2.2电子交易平台应用或数据库出现错误，不能进行正常操作的；</w:t>
      </w:r>
    </w:p>
    <w:p>
      <w:pPr>
        <w:snapToGrid w:val="0"/>
        <w:spacing w:line="480" w:lineRule="exact"/>
        <w:jc w:val="left"/>
        <w:rPr>
          <w:rFonts w:ascii="仿宋_GB2312" w:hAnsi="宋体" w:eastAsia="仿宋_GB2312"/>
          <w:sz w:val="24"/>
        </w:rPr>
      </w:pPr>
      <w:r>
        <w:rPr>
          <w:rFonts w:hint="eastAsia" w:ascii="仿宋_GB2312" w:hAnsi="宋体" w:eastAsia="仿宋_GB2312"/>
          <w:sz w:val="24"/>
        </w:rPr>
        <w:t>2.3电子交易平台发现严重安全漏洞，有潜在泄密危险的；</w:t>
      </w:r>
    </w:p>
    <w:p>
      <w:pPr>
        <w:snapToGrid w:val="0"/>
        <w:spacing w:line="480" w:lineRule="exact"/>
        <w:jc w:val="left"/>
        <w:rPr>
          <w:rFonts w:ascii="仿宋_GB2312" w:hAnsi="宋体" w:eastAsia="仿宋_GB2312"/>
          <w:sz w:val="24"/>
        </w:rPr>
      </w:pPr>
      <w:r>
        <w:rPr>
          <w:rFonts w:hint="eastAsia" w:ascii="仿宋_GB2312" w:hAnsi="宋体" w:eastAsia="仿宋_GB2312"/>
          <w:sz w:val="24"/>
        </w:rPr>
        <w:t xml:space="preserve">2.4病毒发作导致不能进行正常操作的； </w:t>
      </w:r>
    </w:p>
    <w:p>
      <w:pPr>
        <w:snapToGrid w:val="0"/>
        <w:spacing w:line="480" w:lineRule="exact"/>
        <w:jc w:val="left"/>
        <w:rPr>
          <w:rFonts w:ascii="仿宋_GB2312" w:hAnsi="宋体" w:eastAsia="仿宋_GB2312"/>
          <w:sz w:val="24"/>
        </w:rPr>
      </w:pPr>
      <w:r>
        <w:rPr>
          <w:rFonts w:hint="eastAsia" w:ascii="仿宋_GB2312" w:hAnsi="宋体" w:eastAsia="仿宋_GB2312"/>
          <w:sz w:val="24"/>
        </w:rPr>
        <w:t>2.5其他无法保证电子交易的公平、公正和安全的情况。</w:t>
      </w:r>
    </w:p>
    <w:p>
      <w:pPr>
        <w:snapToGrid w:val="0"/>
        <w:spacing w:line="480" w:lineRule="exact"/>
        <w:jc w:val="left"/>
        <w:rPr>
          <w:rFonts w:ascii="仿宋_GB2312" w:hAnsi="宋体" w:eastAsia="仿宋_GB2312"/>
          <w:sz w:val="24"/>
        </w:rPr>
      </w:pPr>
      <w:r>
        <w:rPr>
          <w:rFonts w:hint="eastAsia" w:ascii="仿宋_GB2312" w:hAnsi="宋体" w:eastAsia="仿宋_GB2312"/>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3．评标</w:t>
      </w:r>
    </w:p>
    <w:p>
      <w:pPr>
        <w:spacing w:line="480" w:lineRule="exact"/>
        <w:jc w:val="left"/>
        <w:rPr>
          <w:rFonts w:ascii="仿宋_GB2312" w:hAnsi="宋体" w:eastAsia="仿宋_GB2312" w:cs="宋体"/>
          <w:sz w:val="24"/>
        </w:rPr>
      </w:pPr>
      <w:r>
        <w:rPr>
          <w:rFonts w:hint="eastAsia" w:ascii="仿宋_GB2312" w:hAnsi="宋体" w:eastAsia="仿宋_GB2312"/>
          <w:sz w:val="24"/>
        </w:rPr>
        <w:t>3.1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sz w:val="24"/>
        </w:rPr>
      </w:pPr>
      <w:r>
        <w:rPr>
          <w:rFonts w:hint="eastAsia" w:ascii="仿宋_GB2312" w:hAnsi="宋体" w:eastAsia="仿宋_GB2312" w:cs="宋体"/>
          <w:sz w:val="24"/>
        </w:rPr>
        <w:t>3.2评标委员会由采购人代表和有关方面的专家组成，成员人</w:t>
      </w:r>
      <w:r>
        <w:rPr>
          <w:rFonts w:hint="eastAsia" w:ascii="仿宋_GB2312" w:hAnsi="宋体" w:eastAsia="仿宋_GB2312" w:cs="宋体"/>
          <w:color w:val="auto"/>
          <w:sz w:val="24"/>
        </w:rPr>
        <w:t>数为五人以上单</w:t>
      </w:r>
      <w:r>
        <w:rPr>
          <w:rFonts w:hint="eastAsia" w:ascii="仿宋_GB2312" w:hAnsi="宋体" w:eastAsia="仿宋_GB2312" w:cs="宋体"/>
          <w:sz w:val="24"/>
        </w:rPr>
        <w:t>数。</w:t>
      </w:r>
    </w:p>
    <w:p>
      <w:pPr>
        <w:spacing w:line="480" w:lineRule="exact"/>
        <w:jc w:val="left"/>
        <w:rPr>
          <w:rFonts w:ascii="仿宋_GB2312" w:hAnsi="宋体" w:eastAsia="仿宋_GB2312" w:cs="宋体"/>
          <w:sz w:val="24"/>
        </w:rPr>
      </w:pPr>
      <w:r>
        <w:rPr>
          <w:rFonts w:hint="eastAsia" w:ascii="仿宋_GB2312" w:hAnsi="宋体" w:eastAsia="仿宋_GB2312" w:cs="宋体"/>
          <w:sz w:val="24"/>
        </w:rPr>
        <w:t>3.3评标委员会负责对投标人资格的最终审定。</w:t>
      </w:r>
    </w:p>
    <w:p>
      <w:pPr>
        <w:spacing w:line="480" w:lineRule="exact"/>
        <w:jc w:val="left"/>
        <w:rPr>
          <w:rFonts w:ascii="仿宋_GB2312" w:hAnsi="宋体" w:eastAsia="仿宋_GB2312"/>
          <w:sz w:val="24"/>
        </w:rPr>
      </w:pPr>
      <w:r>
        <w:rPr>
          <w:rFonts w:hint="eastAsia" w:ascii="仿宋_GB2312" w:hAnsi="宋体" w:eastAsia="仿宋_GB2312"/>
          <w:sz w:val="24"/>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sz w:val="24"/>
        </w:rPr>
      </w:pPr>
      <w:r>
        <w:rPr>
          <w:rFonts w:hint="eastAsia" w:ascii="仿宋_GB2312" w:hAnsi="宋体" w:eastAsia="仿宋_GB2312"/>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sz w:val="24"/>
        </w:rPr>
      </w:pPr>
      <w:r>
        <w:rPr>
          <w:rFonts w:hint="eastAsia" w:ascii="仿宋_GB2312" w:hAnsi="宋体" w:eastAsia="仿宋_GB2312"/>
          <w:sz w:val="24"/>
        </w:rPr>
        <w:t>供应商通过政采云平台交换的数据电文必须进行电子签章。</w:t>
      </w:r>
    </w:p>
    <w:p>
      <w:pPr>
        <w:widowControl/>
        <w:snapToGrid w:val="0"/>
        <w:spacing w:line="480" w:lineRule="exact"/>
        <w:rPr>
          <w:rFonts w:ascii="仿宋_GB2312" w:hAnsi="宋体" w:eastAsia="仿宋_GB2312"/>
          <w:kern w:val="0"/>
          <w:sz w:val="24"/>
        </w:rPr>
      </w:pPr>
      <w:r>
        <w:rPr>
          <w:rFonts w:hint="eastAsia" w:ascii="仿宋_GB2312" w:hAnsi="宋体" w:eastAsia="仿宋_GB2312"/>
          <w:kern w:val="0"/>
          <w:sz w:val="24"/>
        </w:rPr>
        <w:t>3.5</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kern w:val="0"/>
          <w:sz w:val="24"/>
        </w:rPr>
      </w:pPr>
      <w:r>
        <w:rPr>
          <w:rFonts w:hint="eastAsia" w:ascii="仿宋_GB2312" w:hAnsi="宋体" w:eastAsia="仿宋_GB2312" w:cs="宋体"/>
          <w:sz w:val="24"/>
        </w:rPr>
        <w:t>3.6评标委员会不向落标方解释落标的原因。</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4．投标文件的初审鉴定</w:t>
      </w:r>
    </w:p>
    <w:p>
      <w:pPr>
        <w:snapToGrid w:val="0"/>
        <w:spacing w:line="480" w:lineRule="exact"/>
        <w:jc w:val="left"/>
        <w:rPr>
          <w:rFonts w:ascii="仿宋_GB2312" w:hAnsi="宋体" w:eastAsia="仿宋_GB2312"/>
          <w:sz w:val="24"/>
        </w:rPr>
      </w:pPr>
      <w:r>
        <w:rPr>
          <w:rFonts w:hint="eastAsia" w:ascii="仿宋_GB2312" w:hAnsi="宋体" w:eastAsia="仿宋_GB2312"/>
          <w:sz w:val="24"/>
        </w:rPr>
        <w:t>4.1资格性审查</w:t>
      </w:r>
    </w:p>
    <w:p>
      <w:pPr>
        <w:snapToGrid w:val="0"/>
        <w:spacing w:line="480" w:lineRule="exact"/>
        <w:jc w:val="left"/>
        <w:rPr>
          <w:rFonts w:ascii="仿宋_GB2312" w:hAnsi="宋体" w:eastAsia="仿宋_GB2312"/>
          <w:sz w:val="24"/>
        </w:rPr>
      </w:pPr>
      <w:r>
        <w:rPr>
          <w:rFonts w:hint="eastAsia" w:ascii="仿宋_GB2312" w:hAnsi="宋体" w:eastAsia="仿宋_GB2312"/>
          <w:sz w:val="24"/>
        </w:rPr>
        <w:t>4.1.1依据法律、法规和招标文件规定，采购人或采购人代表对投标人进行资格审查，以确定投标人是否具备投标资格。</w:t>
      </w:r>
    </w:p>
    <w:p>
      <w:pPr>
        <w:spacing w:line="480" w:lineRule="exact"/>
        <w:jc w:val="left"/>
        <w:rPr>
          <w:rFonts w:ascii="仿宋_GB2312" w:hAnsi="宋体" w:eastAsia="仿宋_GB2312" w:cs="宋体"/>
          <w:sz w:val="24"/>
        </w:rPr>
      </w:pPr>
      <w:r>
        <w:rPr>
          <w:rFonts w:hint="eastAsia" w:ascii="仿宋_GB2312" w:hAnsi="宋体" w:eastAsia="仿宋_GB2312" w:cs="宋体"/>
          <w:sz w:val="24"/>
        </w:rPr>
        <w:t>4.2符合性审查</w:t>
      </w:r>
    </w:p>
    <w:p>
      <w:pPr>
        <w:spacing w:line="480" w:lineRule="exact"/>
        <w:jc w:val="left"/>
        <w:rPr>
          <w:rFonts w:ascii="仿宋_GB2312" w:hAnsi="宋体" w:eastAsia="仿宋_GB2312" w:cs="宋体"/>
          <w:sz w:val="24"/>
        </w:rPr>
      </w:pPr>
      <w:r>
        <w:rPr>
          <w:rFonts w:hint="eastAsia" w:ascii="仿宋_GB2312" w:hAnsi="宋体" w:eastAsia="仿宋_GB2312"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80" w:lineRule="exact"/>
        <w:jc w:val="left"/>
        <w:rPr>
          <w:rFonts w:ascii="仿宋_GB2312" w:hAnsi="宋体" w:eastAsia="仿宋_GB2312" w:cs="宋体"/>
          <w:sz w:val="24"/>
        </w:rPr>
      </w:pPr>
      <w:r>
        <w:rPr>
          <w:rFonts w:hint="eastAsia" w:ascii="仿宋_GB2312" w:hAnsi="宋体" w:eastAsia="仿宋_GB2312" w:cs="宋体"/>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sz w:val="24"/>
        </w:rPr>
      </w:pPr>
      <w:r>
        <w:rPr>
          <w:rFonts w:hint="eastAsia" w:ascii="仿宋_GB2312" w:hAnsi="宋体" w:eastAsia="仿宋_GB2312"/>
          <w:b/>
          <w:kern w:val="0"/>
          <w:sz w:val="24"/>
        </w:rPr>
        <w:t xml:space="preserve">5.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5.4总价金额与按单价汇总金额不一致的，以单价金额计算结果为准。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6.投标文件的评审、比较和否决</w:t>
      </w:r>
    </w:p>
    <w:p>
      <w:pPr>
        <w:spacing w:line="480" w:lineRule="exact"/>
        <w:jc w:val="left"/>
        <w:rPr>
          <w:rFonts w:ascii="仿宋_GB2312" w:hAnsi="宋体" w:eastAsia="仿宋_GB2312" w:cs="宋体"/>
          <w:sz w:val="24"/>
        </w:rPr>
      </w:pPr>
      <w:r>
        <w:rPr>
          <w:rFonts w:hint="eastAsia" w:ascii="仿宋_GB2312" w:hAnsi="宋体" w:eastAsia="仿宋_GB2312" w:cs="宋体"/>
          <w:sz w:val="24"/>
        </w:rPr>
        <w:t>6.1评标委员会将对在实质上响应招标文件要求的投标文件进行评估和比较。</w:t>
      </w:r>
    </w:p>
    <w:p>
      <w:pPr>
        <w:spacing w:line="480" w:lineRule="exact"/>
        <w:jc w:val="left"/>
        <w:rPr>
          <w:rFonts w:ascii="仿宋_GB2312" w:hAnsi="宋体" w:eastAsia="仿宋_GB2312" w:cs="宋体"/>
          <w:sz w:val="24"/>
        </w:rPr>
      </w:pPr>
      <w:r>
        <w:rPr>
          <w:rFonts w:hint="eastAsia" w:ascii="仿宋_GB2312" w:hAnsi="宋体" w:eastAsia="仿宋_GB2312" w:cs="宋体"/>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sz w:val="24"/>
        </w:rPr>
        <w:t>不得超过投标文件的范围或者改变投标文件的实质性内容。</w:t>
      </w:r>
    </w:p>
    <w:p>
      <w:pPr>
        <w:spacing w:line="480" w:lineRule="exact"/>
        <w:jc w:val="left"/>
        <w:rPr>
          <w:rFonts w:ascii="仿宋_GB2312" w:hAnsi="宋体" w:eastAsia="仿宋_GB2312" w:cs="宋体"/>
          <w:sz w:val="24"/>
        </w:rPr>
      </w:pPr>
      <w:r>
        <w:rPr>
          <w:rFonts w:hint="eastAsia" w:ascii="仿宋_GB2312" w:hAnsi="宋体" w:eastAsia="仿宋_GB2312" w:cs="宋体"/>
          <w:sz w:val="24"/>
        </w:rPr>
        <w:t>6.3在评标过程中，如发现与招标文件要求相偏离的，评标委员会可对其偏离情形进行必要的核实。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sz w:val="24"/>
        </w:rPr>
      </w:pPr>
      <w:r>
        <w:rPr>
          <w:rFonts w:hint="eastAsia" w:ascii="仿宋_GB2312" w:hAnsi="宋体" w:eastAsia="仿宋_GB2312" w:cs="宋体"/>
          <w:sz w:val="24"/>
        </w:rPr>
        <w:t>6.5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80" w:lineRule="exact"/>
        <w:jc w:val="left"/>
        <w:rPr>
          <w:rFonts w:ascii="仿宋_GB2312" w:hAnsi="宋体" w:eastAsia="仿宋_GB2312" w:cs="宋体"/>
          <w:sz w:val="24"/>
        </w:rPr>
      </w:pPr>
      <w:r>
        <w:rPr>
          <w:rFonts w:hint="eastAsia" w:ascii="仿宋_GB2312" w:hAnsi="宋体" w:eastAsia="仿宋_GB2312" w:cs="宋体"/>
          <w:sz w:val="24"/>
        </w:rPr>
        <w:t>6.6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cs="宋体"/>
          <w:sz w:val="24"/>
        </w:rPr>
        <w:t>商务技术（资信）文件</w:t>
      </w:r>
      <w:r>
        <w:rPr>
          <w:rFonts w:ascii="仿宋_GB2312" w:hAnsi="宋体" w:eastAsia="仿宋_GB2312" w:cs="宋体"/>
          <w:sz w:val="24"/>
        </w:rPr>
        <w:t>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80" w:lineRule="exact"/>
        <w:jc w:val="left"/>
        <w:rPr>
          <w:rFonts w:ascii="仿宋_GB2312" w:hAnsi="宋体" w:eastAsia="仿宋_GB2312" w:cs="宋体"/>
          <w:sz w:val="24"/>
        </w:rPr>
      </w:pPr>
      <w:r>
        <w:rPr>
          <w:rFonts w:hint="eastAsia" w:ascii="仿宋_GB2312" w:hAnsi="宋体" w:eastAsia="仿宋_GB2312" w:cs="宋体"/>
          <w:sz w:val="24"/>
        </w:rPr>
        <w:t>6.7 报价审核。对符合采购需求且通过商务技术（资信）评审的投标人的报价的合理性、准确性等进行审查核实。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sz w:val="24"/>
        </w:rPr>
      </w:pPr>
      <w:r>
        <w:rPr>
          <w:rFonts w:hint="eastAsia" w:ascii="仿宋_GB2312" w:hAnsi="宋体" w:eastAsia="仿宋_GB2312" w:cs="宋体"/>
          <w:sz w:val="24"/>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sz w:val="24"/>
        </w:rPr>
      </w:pPr>
      <w:r>
        <w:rPr>
          <w:rFonts w:hint="eastAsia" w:ascii="仿宋_GB2312" w:hAnsi="宋体" w:eastAsia="仿宋_GB2312" w:cs="宋体"/>
          <w:sz w:val="24"/>
        </w:rPr>
        <w:t>6.7.3如需投标价格修正，按财政部87号令第五十九条的规定对投标价格进行修正。</w:t>
      </w:r>
    </w:p>
    <w:p>
      <w:pPr>
        <w:spacing w:line="480" w:lineRule="exact"/>
        <w:jc w:val="left"/>
        <w:rPr>
          <w:rFonts w:ascii="仿宋_GB2312" w:hAnsi="宋体" w:eastAsia="仿宋_GB2312" w:cs="宋体"/>
          <w:sz w:val="24"/>
        </w:rPr>
      </w:pPr>
      <w:r>
        <w:rPr>
          <w:rFonts w:hint="eastAsia" w:ascii="仿宋_GB2312" w:hAnsi="宋体" w:eastAsia="仿宋_GB2312" w:cs="宋体"/>
          <w:sz w:val="24"/>
        </w:rPr>
        <w:t>6.8评标委员会依据招标文件规定的评标标准和方法，对投标文件进行评审和比较后，向本公司提供书面评标报告，并按得分高低排序推荐中标候选供应商。</w:t>
      </w:r>
    </w:p>
    <w:p>
      <w:pPr>
        <w:pStyle w:val="13"/>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7.投标文件的澄清</w:t>
      </w:r>
    </w:p>
    <w:p>
      <w:pPr>
        <w:pStyle w:val="13"/>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8.1未按照招标文件规定要求签署、盖章的；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8.10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8.13投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8.14评</w:t>
      </w:r>
      <w:r>
        <w:rPr>
          <w:rFonts w:hint="eastAsia" w:ascii="仿宋_GB2312" w:hAnsi="宋体" w:eastAsia="仿宋_GB2312"/>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8.15报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sz w:val="24"/>
          <w:szCs w:val="21"/>
        </w:rPr>
      </w:pPr>
      <w:r>
        <w:rPr>
          <w:rFonts w:hint="eastAsia" w:ascii="仿宋_GB2312" w:hAnsi="仿宋" w:eastAsia="仿宋_GB2312" w:cs="仿宋_GB2312"/>
          <w:b/>
          <w:sz w:val="24"/>
          <w:szCs w:val="21"/>
        </w:rPr>
        <w:t>8.17采</w:t>
      </w:r>
      <w:r>
        <w:rPr>
          <w:rFonts w:ascii="仿宋" w:hAnsi="仿宋" w:eastAsia="仿宋" w:cs="仿宋_GB2312"/>
          <w:b/>
          <w:sz w:val="24"/>
          <w:szCs w:val="21"/>
        </w:rPr>
        <w:t>购人拟采购的产品属于</w:t>
      </w:r>
      <w:r>
        <w:rPr>
          <w:rFonts w:hint="eastAsia" w:ascii="仿宋" w:hAnsi="仿宋" w:eastAsia="仿宋" w:cs="仿宋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8.20投标人提供虚假材料投标的（包括但不限于以下情节）；</w:t>
      </w:r>
    </w:p>
    <w:p>
      <w:pPr>
        <w:tabs>
          <w:tab w:val="left" w:pos="3870"/>
          <w:tab w:val="left" w:pos="4085"/>
        </w:tabs>
        <w:snapToGrid w:val="0"/>
        <w:spacing w:line="440" w:lineRule="exact"/>
        <w:ind w:firstLine="360" w:firstLineChars="150"/>
        <w:jc w:val="left"/>
        <w:rPr>
          <w:rFonts w:ascii="仿宋_GB2312" w:hAnsi="宋体" w:eastAsia="仿宋_GB2312"/>
          <w:sz w:val="24"/>
        </w:rPr>
      </w:pPr>
      <w:r>
        <w:rPr>
          <w:rFonts w:hint="eastAsia" w:ascii="仿宋_GB2312" w:hAnsi="宋体" w:eastAsia="仿宋_GB2312"/>
          <w:sz w:val="24"/>
        </w:rPr>
        <w:t>8.20.1使用伪造、变造的许可证件；</w:t>
      </w:r>
    </w:p>
    <w:p>
      <w:pPr>
        <w:tabs>
          <w:tab w:val="left" w:pos="3870"/>
          <w:tab w:val="left" w:pos="4085"/>
        </w:tabs>
        <w:snapToGrid w:val="0"/>
        <w:spacing w:line="440" w:lineRule="exact"/>
        <w:ind w:firstLine="360" w:firstLineChars="150"/>
        <w:jc w:val="left"/>
        <w:rPr>
          <w:rFonts w:ascii="仿宋_GB2312" w:hAnsi="宋体" w:eastAsia="仿宋_GB2312"/>
          <w:sz w:val="24"/>
        </w:rPr>
      </w:pPr>
      <w:r>
        <w:rPr>
          <w:rFonts w:hint="eastAsia" w:ascii="仿宋_GB2312" w:hAnsi="宋体" w:eastAsia="仿宋_GB2312"/>
          <w:sz w:val="24"/>
        </w:rPr>
        <w:t>8.20.2提供虚假的财务状况或者业绩；</w:t>
      </w:r>
    </w:p>
    <w:p>
      <w:pPr>
        <w:tabs>
          <w:tab w:val="left" w:pos="3870"/>
          <w:tab w:val="left" w:pos="4085"/>
        </w:tabs>
        <w:snapToGrid w:val="0"/>
        <w:spacing w:line="440" w:lineRule="exact"/>
        <w:ind w:firstLine="360" w:firstLineChars="150"/>
        <w:jc w:val="left"/>
        <w:rPr>
          <w:rFonts w:ascii="仿宋_GB2312" w:hAnsi="宋体" w:eastAsia="仿宋_GB2312"/>
          <w:sz w:val="24"/>
        </w:rPr>
      </w:pPr>
      <w:r>
        <w:rPr>
          <w:rFonts w:hint="eastAsia" w:ascii="仿宋_GB2312" w:hAnsi="宋体" w:eastAsia="仿宋_GB2312"/>
          <w:sz w:val="24"/>
        </w:rPr>
        <w:t>8.20.3提供虚假的项目负责人或者主要技术人员简历、劳动关系证明；</w:t>
      </w:r>
    </w:p>
    <w:p>
      <w:pPr>
        <w:tabs>
          <w:tab w:val="left" w:pos="3870"/>
          <w:tab w:val="left" w:pos="4085"/>
        </w:tabs>
        <w:snapToGrid w:val="0"/>
        <w:spacing w:line="440" w:lineRule="exact"/>
        <w:ind w:firstLine="360" w:firstLineChars="150"/>
        <w:jc w:val="left"/>
        <w:rPr>
          <w:rFonts w:ascii="仿宋_GB2312" w:hAnsi="宋体" w:eastAsia="仿宋_GB2312"/>
          <w:sz w:val="24"/>
        </w:rPr>
      </w:pPr>
      <w:r>
        <w:rPr>
          <w:rFonts w:hint="eastAsia" w:ascii="仿宋_GB2312" w:hAnsi="宋体" w:eastAsia="仿宋_GB2312"/>
          <w:sz w:val="24"/>
        </w:rPr>
        <w:t>8.20.4提供虚假的信用状况；</w:t>
      </w:r>
    </w:p>
    <w:p>
      <w:pPr>
        <w:tabs>
          <w:tab w:val="left" w:pos="3870"/>
          <w:tab w:val="left" w:pos="4085"/>
        </w:tabs>
        <w:snapToGrid w:val="0"/>
        <w:spacing w:line="440" w:lineRule="exact"/>
        <w:ind w:firstLine="360" w:firstLineChars="150"/>
        <w:jc w:val="left"/>
        <w:rPr>
          <w:rFonts w:ascii="仿宋_GB2312" w:hAnsi="宋体" w:eastAsia="仿宋_GB2312"/>
          <w:sz w:val="24"/>
        </w:rPr>
      </w:pPr>
      <w:r>
        <w:rPr>
          <w:rFonts w:hint="eastAsia" w:ascii="仿宋_GB2312" w:hAnsi="宋体" w:eastAsia="仿宋_GB2312"/>
          <w:sz w:val="24"/>
        </w:rPr>
        <w:t>8.20.5其他弄虚作假的行为。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8.22有下列情形之一的，属于恶意串通，其投标无效：</w:t>
      </w:r>
    </w:p>
    <w:p>
      <w:pPr>
        <w:spacing w:line="360" w:lineRule="auto"/>
        <w:ind w:firstLine="480" w:firstLineChars="200"/>
        <w:rPr>
          <w:rFonts w:ascii="仿宋_GB2312" w:hAnsi="仿宋" w:eastAsia="仿宋_GB2312" w:cs="仿宋_GB2312"/>
          <w:sz w:val="24"/>
        </w:rPr>
      </w:pPr>
      <w:r>
        <w:rPr>
          <w:rFonts w:hint="eastAsia" w:ascii="仿宋_GB2312" w:hAnsi="仿宋" w:eastAsia="仿宋_GB2312"/>
          <w:sz w:val="24"/>
        </w:rPr>
        <w:t>8.22.1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8.22.2供应商按照采购人或者采购机构的授意撤换、修改投标文件或者响应文件；</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8.22.3供应商之间协商报价、技术方案等投标文件或者响应文件的实质性内容；</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8.22.5供应商之间事先约定由某一特定供应商中标、成交；</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8.23</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8.24报价文件中出现2个(含)以上的报价或方案的；</w:t>
      </w:r>
    </w:p>
    <w:p>
      <w:pPr>
        <w:spacing w:line="440" w:lineRule="exact"/>
      </w:pPr>
      <w:r>
        <w:rPr>
          <w:rFonts w:hint="eastAsia" w:ascii="仿宋_GB2312" w:eastAsia="仿宋_GB2312"/>
          <w:b/>
          <w:sz w:val="24"/>
        </w:rPr>
        <w:t>8.25</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9.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9.1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9.2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3"/>
        <w:spacing w:line="800" w:lineRule="exact"/>
        <w:ind w:firstLine="726"/>
        <w:jc w:val="center"/>
        <w:rPr>
          <w:rFonts w:ascii="仿宋_GB2312" w:hAnsi="宋体" w:eastAsia="仿宋_GB2312"/>
          <w:b/>
          <w:sz w:val="36"/>
          <w:szCs w:val="36"/>
        </w:rPr>
      </w:pPr>
      <w:bookmarkStart w:id="4" w:name="_Toc84325929"/>
      <w:bookmarkStart w:id="5" w:name="_Toc81372776"/>
      <w:bookmarkStart w:id="6" w:name="_Toc81372953"/>
      <w:r>
        <w:rPr>
          <w:rFonts w:hint="eastAsia" w:ascii="仿宋_GB2312" w:hAnsi="宋体" w:eastAsia="仿宋_GB2312"/>
          <w:b/>
          <w:sz w:val="36"/>
          <w:szCs w:val="36"/>
        </w:rPr>
        <w:t>五、授予合同</w:t>
      </w:r>
    </w:p>
    <w:p>
      <w:pPr>
        <w:pStyle w:val="13"/>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65"/>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对中标结果在指定媒体</w:t>
      </w:r>
      <w:r>
        <w:rPr>
          <w:rFonts w:hint="eastAsia" w:ascii="仿宋_GB2312" w:hAnsi="Helvetica" w:eastAsia="仿宋_GB2312" w:cs="Helvetica"/>
          <w:kern w:val="0"/>
        </w:rPr>
        <w:t>（浙江政府采购网</w:t>
      </w:r>
      <w:r>
        <w:fldChar w:fldCharType="begin"/>
      </w:r>
      <w:r>
        <w:instrText xml:space="preserve"> HYPERLINK "http://www.zjzfcg.gov.cn" </w:instrText>
      </w:r>
      <w:r>
        <w:fldChar w:fldCharType="separate"/>
      </w:r>
      <w:r>
        <w:rPr>
          <w:rStyle w:val="50"/>
          <w:rFonts w:hint="eastAsia" w:ascii="仿宋_GB2312" w:hAnsi="Helvetica" w:eastAsia="仿宋_GB2312" w:cs="Helvetica"/>
          <w:color w:val="auto"/>
          <w:kern w:val="0"/>
        </w:rPr>
        <w:t>http://zfcg.czt.zj.gov.cn/</w:t>
      </w:r>
      <w:r>
        <w:rPr>
          <w:rStyle w:val="50"/>
          <w:rFonts w:hint="eastAsia" w:ascii="仿宋_GB2312" w:hAnsi="Helvetica" w:eastAsia="仿宋_GB2312" w:cs="Helvetica"/>
          <w:color w:val="auto"/>
          <w:kern w:val="0"/>
        </w:rPr>
        <w:fldChar w:fldCharType="end"/>
      </w:r>
      <w:r>
        <w:rPr>
          <w:rFonts w:hint="eastAsia" w:ascii="仿宋_GB2312" w:hAnsi="Helvetica" w:eastAsia="仿宋_GB2312" w:cs="Helvetica"/>
          <w:kern w:val="0"/>
        </w:rPr>
        <w:t>、绍兴公共资源交易网</w:t>
      </w:r>
      <w:r>
        <w:fldChar w:fldCharType="begin"/>
      </w:r>
      <w:r>
        <w:instrText xml:space="preserve"> HYPERLINK "http://ggb.sx.gov.cn" </w:instrText>
      </w:r>
      <w:r>
        <w:fldChar w:fldCharType="separate"/>
      </w:r>
      <w:r>
        <w:rPr>
          <w:rStyle w:val="50"/>
          <w:rFonts w:hint="eastAsia" w:ascii="仿宋_GB2312"/>
          <w:color w:val="auto"/>
        </w:rPr>
        <w:t>http://ggb.sx.gov.cn</w:t>
      </w:r>
      <w:r>
        <w:rPr>
          <w:rStyle w:val="50"/>
          <w:rFonts w:hint="eastAsia" w:ascii="仿宋_GB2312"/>
          <w:color w:val="auto"/>
        </w:rPr>
        <w:fldChar w:fldCharType="end"/>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3.2采购机构通过政采云平台向中标供应商签发中标通知书。请中标供应商自行登录政采云平台下载并打印中标通知书。在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4.2供应商在履行完合同约定事项后，采购人应及时退还履约保证金。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b/>
          <w:sz w:val="24"/>
        </w:rPr>
      </w:pPr>
      <w:r>
        <w:rPr>
          <w:rFonts w:hint="eastAsia" w:ascii="仿宋_GB2312" w:hAnsi="宋体" w:eastAsia="仿宋_GB2312"/>
          <w:b/>
          <w:sz w:val="24"/>
        </w:rPr>
        <w:t>5．合同备案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，将</w:t>
      </w:r>
      <w:r>
        <w:rPr>
          <w:rFonts w:hint="eastAsia" w:ascii="仿宋_GB2312" w:hAnsi="宋体" w:eastAsia="仿宋_GB2312"/>
          <w:b/>
          <w:sz w:val="24"/>
        </w:rPr>
        <w:t>采购合同原件</w:t>
      </w:r>
      <w:r>
        <w:rPr>
          <w:rFonts w:hint="eastAsia" w:ascii="仿宋_GB2312" w:hAnsi="宋体" w:eastAsia="仿宋_GB2312"/>
          <w:sz w:val="24"/>
        </w:rPr>
        <w:t>送耀华备案。</w:t>
      </w:r>
    </w:p>
    <w:p>
      <w:pPr>
        <w:spacing w:line="440" w:lineRule="exact"/>
        <w:jc w:val="left"/>
        <w:rPr>
          <w:rFonts w:ascii="仿宋_GB2312" w:hAnsi="宋体" w:eastAsia="仿宋_GB2312"/>
          <w:sz w:val="24"/>
        </w:rPr>
      </w:pPr>
      <w:r>
        <w:rPr>
          <w:rFonts w:hint="eastAsia" w:ascii="仿宋_GB2312" w:hAnsi="宋体" w:eastAsia="仿宋_GB2312"/>
          <w:sz w:val="24"/>
        </w:rPr>
        <w:t>5.2未领取中标通知书，采购双方自行签订的合同不予备案。</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2.1供应商认为采购文件、采购过程和成交结果使自己的权益受到损害的，可以在知道或者应知其权益受到损害之日起七个工作日内，以书面形式向采购机构提出质疑，否则，采购机构不予受理：</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3"/>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3"/>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pStyle w:val="3"/>
        <w:numPr>
          <w:ilvl w:val="0"/>
          <w:numId w:val="0"/>
        </w:numPr>
        <w:spacing w:before="120" w:after="120"/>
      </w:pPr>
      <w:r>
        <w:rPr>
          <w:rFonts w:hint="eastAsia"/>
        </w:rPr>
        <w:t>1.项目名称</w:t>
      </w:r>
    </w:p>
    <w:p>
      <w:pPr>
        <w:spacing w:line="360" w:lineRule="auto"/>
        <w:jc w:val="left"/>
        <w:rPr>
          <w:rFonts w:ascii="仿宋" w:hAnsi="仿宋" w:eastAsia="仿宋" w:cs="仿宋"/>
          <w:sz w:val="24"/>
        </w:rPr>
      </w:pPr>
      <w:r>
        <w:rPr>
          <w:rFonts w:hint="eastAsia" w:ascii="仿宋" w:hAnsi="仿宋" w:eastAsia="仿宋" w:cs="仿宋"/>
          <w:sz w:val="24"/>
        </w:rPr>
        <w:t>绍兴市大气污染防治数字化监管项目</w:t>
      </w:r>
    </w:p>
    <w:p>
      <w:pPr>
        <w:pStyle w:val="3"/>
        <w:numPr>
          <w:ilvl w:val="0"/>
          <w:numId w:val="0"/>
        </w:numPr>
        <w:spacing w:before="156" w:after="156"/>
        <w:ind w:left="992" w:hanging="567"/>
      </w:pPr>
      <w:r>
        <w:rPr>
          <w:rFonts w:hint="eastAsia"/>
        </w:rPr>
        <w:t>2.项目背景</w:t>
      </w:r>
    </w:p>
    <w:p>
      <w:pPr>
        <w:spacing w:line="360" w:lineRule="auto"/>
        <w:ind w:firstLine="420"/>
        <w:rPr>
          <w:rFonts w:ascii="仿宋" w:hAnsi="仿宋" w:eastAsia="仿宋" w:cs="仿宋"/>
          <w:sz w:val="24"/>
        </w:rPr>
      </w:pPr>
      <w:r>
        <w:rPr>
          <w:rFonts w:hint="eastAsia" w:ascii="仿宋" w:hAnsi="仿宋" w:eastAsia="仿宋" w:cs="仿宋"/>
          <w:sz w:val="24"/>
        </w:rPr>
        <w:t>2020年绍兴市PM</w:t>
      </w:r>
      <w:r>
        <w:rPr>
          <w:rFonts w:hint="eastAsia" w:ascii="仿宋" w:hAnsi="仿宋" w:eastAsia="仿宋" w:cs="仿宋"/>
          <w:sz w:val="24"/>
          <w:vertAlign w:val="subscript"/>
        </w:rPr>
        <w:t>2.5</w:t>
      </w:r>
      <w:r>
        <w:rPr>
          <w:rFonts w:hint="eastAsia" w:ascii="仿宋" w:hAnsi="仿宋" w:eastAsia="仿宋" w:cs="仿宋"/>
          <w:sz w:val="24"/>
        </w:rPr>
        <w:t>均值浓度为28微克/立方米，空气质量优良天比例为90.7%,但全市范围仍存在大气污染空间差异大、省内空气质量排名处于中后位置等问题。2021年1-10月份，绍兴市PM</w:t>
      </w:r>
      <w:r>
        <w:rPr>
          <w:rFonts w:hint="eastAsia" w:ascii="仿宋" w:hAnsi="仿宋" w:eastAsia="仿宋" w:cs="仿宋"/>
          <w:sz w:val="24"/>
          <w:vertAlign w:val="subscript"/>
        </w:rPr>
        <w:t>2.5</w:t>
      </w:r>
      <w:r>
        <w:rPr>
          <w:rFonts w:hint="eastAsia" w:ascii="仿宋" w:hAnsi="仿宋" w:eastAsia="仿宋" w:cs="仿宋"/>
          <w:sz w:val="24"/>
        </w:rPr>
        <w:t>浓度为26微克/立方米，与排名靠前嘉兴市与金华市差距增大，与排名靠后的杭州市差距减小，面临排名倒退风险；以柯桥区为代表的工业企业及扬尘源密集地区，空气质量水平与绍兴市其他地区仍有差距，2021年1~10月份柯桥区PM</w:t>
      </w:r>
      <w:r>
        <w:rPr>
          <w:rFonts w:hint="eastAsia" w:ascii="仿宋" w:hAnsi="仿宋" w:eastAsia="仿宋" w:cs="仿宋"/>
          <w:sz w:val="24"/>
          <w:vertAlign w:val="subscript"/>
        </w:rPr>
        <w:t>2.5</w:t>
      </w:r>
      <w:r>
        <w:rPr>
          <w:rFonts w:hint="eastAsia" w:ascii="仿宋" w:hAnsi="仿宋" w:eastAsia="仿宋" w:cs="仿宋"/>
          <w:sz w:val="24"/>
        </w:rPr>
        <w:t>浓度为28微克/立方米，相比新昌县（22微克/立方米）差距6微克/立方米，仍有较大改善潜力。</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《绍兴市生态环境保护“十四五”规划》提出将“坚持协同治理，逐步改善空气质量”作为重点任务，以“清新空气示范区”建设为抓手，聚焦挥发性有机物（VOCs）治理、污染防治攻坚、O</w:t>
      </w:r>
      <w:r>
        <w:rPr>
          <w:rFonts w:hint="eastAsia" w:ascii="仿宋" w:hAnsi="仿宋" w:eastAsia="仿宋" w:cs="仿宋"/>
          <w:sz w:val="24"/>
          <w:vertAlign w:val="subscript"/>
        </w:rPr>
        <w:t>3</w:t>
      </w:r>
      <w:r>
        <w:rPr>
          <w:rFonts w:hint="eastAsia" w:ascii="仿宋" w:hAnsi="仿宋" w:eastAsia="仿宋" w:cs="仿宋"/>
          <w:sz w:val="24"/>
        </w:rPr>
        <w:t>污染防治等，深化固定源、移动源、面源治理，实现PM</w:t>
      </w:r>
      <w:r>
        <w:rPr>
          <w:rFonts w:hint="eastAsia" w:ascii="仿宋" w:hAnsi="仿宋" w:eastAsia="仿宋" w:cs="仿宋"/>
          <w:sz w:val="24"/>
          <w:vertAlign w:val="subscript"/>
        </w:rPr>
        <w:t>2.5</w:t>
      </w:r>
      <w:r>
        <w:rPr>
          <w:rFonts w:hint="eastAsia" w:ascii="仿宋" w:hAnsi="仿宋" w:eastAsia="仿宋" w:cs="仿宋"/>
          <w:sz w:val="24"/>
        </w:rPr>
        <w:t>和O</w:t>
      </w:r>
      <w:r>
        <w:rPr>
          <w:rFonts w:hint="eastAsia" w:ascii="仿宋" w:hAnsi="仿宋" w:eastAsia="仿宋" w:cs="仿宋"/>
          <w:sz w:val="24"/>
          <w:vertAlign w:val="subscript"/>
        </w:rPr>
        <w:t>3</w:t>
      </w:r>
      <w:r>
        <w:rPr>
          <w:rFonts w:hint="eastAsia" w:ascii="仿宋" w:hAnsi="仿宋" w:eastAsia="仿宋" w:cs="仿宋"/>
          <w:sz w:val="24"/>
        </w:rPr>
        <w:t>“双控双减”。</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绍兴市印染、化工为代表的传统产业发达，工业源减排潜力巨大，工业源VOCs高效监管与治理是实现PM</w:t>
      </w:r>
      <w:r>
        <w:rPr>
          <w:rFonts w:hint="eastAsia" w:ascii="仿宋" w:hAnsi="仿宋" w:eastAsia="仿宋" w:cs="仿宋"/>
          <w:sz w:val="24"/>
          <w:vertAlign w:val="subscript"/>
        </w:rPr>
        <w:t>2.5</w:t>
      </w:r>
      <w:r>
        <w:rPr>
          <w:rFonts w:hint="eastAsia" w:ascii="仿宋" w:hAnsi="仿宋" w:eastAsia="仿宋" w:cs="仿宋"/>
          <w:sz w:val="24"/>
        </w:rPr>
        <w:t>和O</w:t>
      </w:r>
      <w:r>
        <w:rPr>
          <w:rFonts w:hint="eastAsia" w:ascii="仿宋" w:hAnsi="仿宋" w:eastAsia="仿宋" w:cs="仿宋"/>
          <w:sz w:val="24"/>
          <w:vertAlign w:val="subscript"/>
        </w:rPr>
        <w:t>3</w:t>
      </w:r>
      <w:r>
        <w:rPr>
          <w:rFonts w:hint="eastAsia" w:ascii="仿宋" w:hAnsi="仿宋" w:eastAsia="仿宋" w:cs="仿宋"/>
          <w:sz w:val="24"/>
        </w:rPr>
        <w:t>“双控双减”的关键。生态环境部印发《关于加快解决当前挥发性有机物治理突出问题的通知》也强调，要强化细颗粒物和臭氧协同控制，开展重点任务和问题整改“回头看”；针对当前的突出问题开展排查整治。为打好污染防治攻坚战，提升生态环境监管能力，根据《关于加快解决当前挥发性有机物治理突出问题的通知》、《绍兴市生态环境保护“十四五”规划》、《绍兴市扬尘污染防治管理办法》等文件的精神，</w:t>
      </w:r>
      <w:r>
        <w:rPr>
          <w:rFonts w:hint="eastAsia" w:ascii="仿宋" w:hAnsi="仿宋" w:eastAsia="仿宋" w:cs="仿宋"/>
          <w:color w:val="000000"/>
          <w:sz w:val="24"/>
        </w:rPr>
        <w:t>以及持续保障督查组精细化排查工作的顺利开展，</w:t>
      </w:r>
      <w:r>
        <w:rPr>
          <w:rFonts w:hint="eastAsia" w:ascii="仿宋" w:hAnsi="仿宋" w:eastAsia="仿宋" w:cs="仿宋"/>
          <w:sz w:val="24"/>
        </w:rPr>
        <w:t>拟委托第三方技术单位开展大气污染防治数字化监管项目。</w:t>
      </w:r>
    </w:p>
    <w:p>
      <w:pPr>
        <w:pStyle w:val="3"/>
        <w:numPr>
          <w:ilvl w:val="0"/>
          <w:numId w:val="0"/>
        </w:numPr>
        <w:spacing w:before="156" w:after="156"/>
        <w:ind w:left="992" w:hanging="567"/>
        <w:rPr>
          <w:sz w:val="24"/>
          <w:szCs w:val="24"/>
        </w:rPr>
      </w:pPr>
      <w:r>
        <w:rPr>
          <w:rFonts w:hint="eastAsia"/>
          <w:sz w:val="24"/>
          <w:szCs w:val="24"/>
        </w:rPr>
        <w:t>3.项目内容</w:t>
      </w:r>
    </w:p>
    <w:p>
      <w:pPr>
        <w:pStyle w:val="4"/>
        <w:spacing w:line="360" w:lineRule="auto"/>
        <w:ind w:firstLine="480"/>
        <w:rPr>
          <w:rFonts w:ascii="仿宋" w:hAnsi="仿宋" w:eastAsia="仿宋" w:cs="仿宋"/>
          <w:sz w:val="24"/>
        </w:rPr>
      </w:pPr>
      <w:r>
        <w:rPr>
          <w:rFonts w:hint="eastAsia" w:ascii="仿宋" w:hAnsi="仿宋" w:eastAsia="仿宋" w:cs="仿宋"/>
          <w:sz w:val="24"/>
          <w:szCs w:val="24"/>
        </w:rPr>
        <w:t>绍兴市大气污染防治数字化监管项目，服务期：</w:t>
      </w:r>
      <w:r>
        <w:rPr>
          <w:rFonts w:hint="eastAsia" w:ascii="仿宋" w:hAnsi="仿宋" w:eastAsia="仿宋" w:cs="仿宋"/>
          <w:sz w:val="24"/>
        </w:rPr>
        <w:t>1年。</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2330"/>
        <w:gridCol w:w="778"/>
        <w:gridCol w:w="838"/>
        <w:gridCol w:w="4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0" w:type="auto"/>
            <w:shd w:val="clear" w:color="auto" w:fill="auto"/>
            <w:vAlign w:val="center"/>
          </w:tcPr>
          <w:p>
            <w:pPr>
              <w:widowControl/>
              <w:spacing w:line="360" w:lineRule="auto"/>
              <w:jc w:val="center"/>
              <w:rPr>
                <w:rFonts w:ascii="仿宋" w:hAnsi="仿宋" w:eastAsia="仿宋" w:cs="仿宋"/>
                <w:b/>
                <w:bCs/>
                <w:kern w:val="0"/>
                <w:sz w:val="24"/>
              </w:rPr>
            </w:pPr>
            <w:r>
              <w:rPr>
                <w:rFonts w:hint="eastAsia" w:ascii="仿宋" w:hAnsi="仿宋" w:eastAsia="仿宋" w:cs="仿宋"/>
                <w:b/>
                <w:bCs/>
                <w:kern w:val="0"/>
                <w:sz w:val="24"/>
              </w:rPr>
              <w:t>序号</w:t>
            </w:r>
          </w:p>
        </w:tc>
        <w:tc>
          <w:tcPr>
            <w:tcW w:w="2383" w:type="dxa"/>
            <w:vAlign w:val="center"/>
          </w:tcPr>
          <w:p>
            <w:pPr>
              <w:widowControl/>
              <w:spacing w:line="360" w:lineRule="auto"/>
              <w:jc w:val="center"/>
              <w:rPr>
                <w:rFonts w:ascii="仿宋" w:hAnsi="仿宋" w:eastAsia="仿宋" w:cs="仿宋"/>
                <w:b/>
                <w:bCs/>
                <w:kern w:val="0"/>
                <w:sz w:val="24"/>
              </w:rPr>
            </w:pPr>
            <w:r>
              <w:rPr>
                <w:rFonts w:hint="eastAsia" w:ascii="仿宋" w:hAnsi="仿宋" w:eastAsia="仿宋" w:cs="仿宋"/>
                <w:b/>
                <w:bCs/>
                <w:kern w:val="0"/>
                <w:sz w:val="24"/>
              </w:rPr>
              <w:t>服务项目</w:t>
            </w:r>
          </w:p>
        </w:tc>
        <w:tc>
          <w:tcPr>
            <w:tcW w:w="789" w:type="dxa"/>
            <w:shd w:val="clear" w:color="auto" w:fill="auto"/>
            <w:vAlign w:val="center"/>
          </w:tcPr>
          <w:p>
            <w:pPr>
              <w:widowControl/>
              <w:spacing w:line="360" w:lineRule="auto"/>
              <w:jc w:val="center"/>
              <w:rPr>
                <w:rFonts w:ascii="仿宋" w:hAnsi="仿宋" w:eastAsia="仿宋" w:cs="仿宋"/>
                <w:b/>
                <w:bCs/>
                <w:kern w:val="0"/>
                <w:sz w:val="24"/>
              </w:rPr>
            </w:pPr>
            <w:r>
              <w:rPr>
                <w:rFonts w:hint="eastAsia" w:ascii="仿宋" w:hAnsi="仿宋" w:eastAsia="仿宋" w:cs="仿宋"/>
                <w:b/>
                <w:bCs/>
                <w:kern w:val="0"/>
                <w:sz w:val="24"/>
              </w:rPr>
              <w:t>数量</w:t>
            </w:r>
          </w:p>
        </w:tc>
        <w:tc>
          <w:tcPr>
            <w:tcW w:w="850" w:type="dxa"/>
            <w:shd w:val="clear" w:color="auto" w:fill="auto"/>
            <w:vAlign w:val="center"/>
          </w:tcPr>
          <w:p>
            <w:pPr>
              <w:widowControl/>
              <w:spacing w:line="360" w:lineRule="auto"/>
              <w:jc w:val="center"/>
              <w:rPr>
                <w:rFonts w:ascii="仿宋" w:hAnsi="仿宋" w:eastAsia="仿宋" w:cs="仿宋"/>
                <w:b/>
                <w:bCs/>
                <w:kern w:val="0"/>
                <w:sz w:val="24"/>
              </w:rPr>
            </w:pPr>
            <w:r>
              <w:rPr>
                <w:rFonts w:hint="eastAsia" w:ascii="仿宋" w:hAnsi="仿宋" w:eastAsia="仿宋" w:cs="仿宋"/>
                <w:b/>
                <w:bCs/>
                <w:kern w:val="0"/>
                <w:sz w:val="24"/>
              </w:rPr>
              <w:t>单位</w:t>
            </w:r>
          </w:p>
        </w:tc>
        <w:tc>
          <w:tcPr>
            <w:tcW w:w="4551" w:type="dxa"/>
            <w:vAlign w:val="center"/>
          </w:tcPr>
          <w:p>
            <w:pPr>
              <w:widowControl/>
              <w:spacing w:line="360" w:lineRule="auto"/>
              <w:jc w:val="center"/>
              <w:rPr>
                <w:rFonts w:ascii="仿宋" w:hAnsi="仿宋" w:eastAsia="仿宋" w:cs="仿宋"/>
                <w:b/>
                <w:bCs/>
                <w:kern w:val="0"/>
                <w:sz w:val="24"/>
              </w:rPr>
            </w:pPr>
            <w:r>
              <w:rPr>
                <w:rFonts w:hint="eastAsia" w:ascii="仿宋" w:hAnsi="仿宋" w:eastAsia="仿宋" w:cs="仿宋"/>
                <w:b/>
                <w:bCs/>
                <w:kern w:val="0"/>
                <w:sz w:val="24"/>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widowControl/>
              <w:spacing w:line="360" w:lineRule="auto"/>
              <w:jc w:val="center"/>
              <w:rPr>
                <w:rFonts w:ascii="仿宋" w:hAnsi="仿宋" w:eastAsia="仿宋" w:cs="仿宋"/>
                <w:b/>
                <w:bCs/>
                <w:kern w:val="0"/>
                <w:sz w:val="24"/>
              </w:rPr>
            </w:pPr>
            <w:r>
              <w:rPr>
                <w:rFonts w:hint="eastAsia" w:ascii="仿宋" w:hAnsi="仿宋" w:eastAsia="仿宋" w:cs="仿宋"/>
                <w:b/>
                <w:bCs/>
                <w:kern w:val="0"/>
                <w:sz w:val="24"/>
              </w:rPr>
              <w:t>1.</w:t>
            </w:r>
          </w:p>
        </w:tc>
        <w:tc>
          <w:tcPr>
            <w:tcW w:w="0" w:type="auto"/>
            <w:gridSpan w:val="4"/>
            <w:vAlign w:val="center"/>
          </w:tcPr>
          <w:p>
            <w:pPr>
              <w:widowControl/>
              <w:spacing w:line="360" w:lineRule="auto"/>
              <w:jc w:val="left"/>
              <w:rPr>
                <w:rFonts w:ascii="仿宋" w:hAnsi="仿宋" w:eastAsia="仿宋" w:cs="仿宋"/>
                <w:kern w:val="0"/>
                <w:sz w:val="24"/>
              </w:rPr>
            </w:pPr>
            <w:r>
              <w:rPr>
                <w:rFonts w:hint="eastAsia" w:ascii="仿宋" w:hAnsi="仿宋" w:eastAsia="仿宋" w:cs="仿宋"/>
                <w:b/>
                <w:bCs/>
                <w:kern w:val="0"/>
                <w:sz w:val="24"/>
              </w:rPr>
              <w:t>VOCs检测巡查服务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1.1</w:t>
            </w:r>
          </w:p>
        </w:tc>
        <w:tc>
          <w:tcPr>
            <w:tcW w:w="2383" w:type="dxa"/>
            <w:vAlign w:val="center"/>
          </w:tcPr>
          <w:p>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LDAR红外检测服务</w:t>
            </w:r>
          </w:p>
        </w:tc>
        <w:tc>
          <w:tcPr>
            <w:tcW w:w="789"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20</w:t>
            </w:r>
          </w:p>
        </w:tc>
        <w:tc>
          <w:tcPr>
            <w:tcW w:w="850"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天</w:t>
            </w:r>
          </w:p>
        </w:tc>
        <w:tc>
          <w:tcPr>
            <w:tcW w:w="4551" w:type="dxa"/>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对开展LDAR企业进行一轮LDAR数据质量检查抽测。设备租赁20天，抽测企业不少于40家次。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1.2</w:t>
            </w:r>
          </w:p>
        </w:tc>
        <w:tc>
          <w:tcPr>
            <w:tcW w:w="2383" w:type="dxa"/>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VOC</w:t>
            </w:r>
            <w:r>
              <w:rPr>
                <w:rFonts w:hint="eastAsia" w:ascii="仿宋" w:hAnsi="仿宋" w:eastAsia="仿宋" w:cs="仿宋"/>
                <w:bCs/>
                <w:kern w:val="0"/>
                <w:sz w:val="24"/>
              </w:rPr>
              <w:t>检测服务</w:t>
            </w:r>
          </w:p>
        </w:tc>
        <w:tc>
          <w:tcPr>
            <w:tcW w:w="789"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6</w:t>
            </w:r>
          </w:p>
        </w:tc>
        <w:tc>
          <w:tcPr>
            <w:tcW w:w="850"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套</w:t>
            </w:r>
          </w:p>
        </w:tc>
        <w:tc>
          <w:tcPr>
            <w:tcW w:w="4551" w:type="dxa"/>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手持式VOC设备租赁，服务周期1年。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1.3</w:t>
            </w:r>
          </w:p>
        </w:tc>
        <w:tc>
          <w:tcPr>
            <w:tcW w:w="2383" w:type="dxa"/>
            <w:vAlign w:val="center"/>
          </w:tcPr>
          <w:p>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重点企业抽测服务</w:t>
            </w:r>
          </w:p>
        </w:tc>
        <w:tc>
          <w:tcPr>
            <w:tcW w:w="789"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35</w:t>
            </w:r>
          </w:p>
        </w:tc>
        <w:tc>
          <w:tcPr>
            <w:tcW w:w="850"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家</w:t>
            </w:r>
          </w:p>
        </w:tc>
        <w:tc>
          <w:tcPr>
            <w:tcW w:w="4551" w:type="dxa"/>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对重点企业VOCs废气收集情况、排放浓度、治理设施去除效率及储油库、加油站等油气回收设施开展一轮抽测。抽测数目不少于35家。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1.4</w:t>
            </w:r>
          </w:p>
        </w:tc>
        <w:tc>
          <w:tcPr>
            <w:tcW w:w="2383" w:type="dxa"/>
            <w:vAlign w:val="center"/>
          </w:tcPr>
          <w:p>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重点项目评估服务</w:t>
            </w:r>
          </w:p>
        </w:tc>
        <w:tc>
          <w:tcPr>
            <w:tcW w:w="789"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40</w:t>
            </w:r>
          </w:p>
        </w:tc>
        <w:tc>
          <w:tcPr>
            <w:tcW w:w="850"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个</w:t>
            </w:r>
          </w:p>
        </w:tc>
        <w:tc>
          <w:tcPr>
            <w:tcW w:w="4551" w:type="dxa"/>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开展重点项目完成情况的评估，评估项目不少于40个。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jc w:val="center"/>
        </w:trPr>
        <w:tc>
          <w:tcPr>
            <w:tcW w:w="0" w:type="auto"/>
            <w:shd w:val="clear" w:color="auto" w:fill="auto"/>
            <w:vAlign w:val="center"/>
          </w:tcPr>
          <w:p>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1.5</w:t>
            </w:r>
          </w:p>
        </w:tc>
        <w:tc>
          <w:tcPr>
            <w:tcW w:w="2383" w:type="dxa"/>
            <w:vAlign w:val="center"/>
          </w:tcPr>
          <w:p>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VOCs巡查服务</w:t>
            </w:r>
          </w:p>
        </w:tc>
        <w:tc>
          <w:tcPr>
            <w:tcW w:w="789"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1</w:t>
            </w:r>
          </w:p>
        </w:tc>
        <w:tc>
          <w:tcPr>
            <w:tcW w:w="850"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项</w:t>
            </w:r>
          </w:p>
        </w:tc>
        <w:tc>
          <w:tcPr>
            <w:tcW w:w="4551"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组成专业队伍12人，其中专家２名，配备巡查车６辆，对工业企业开展大气污染防治专项检查，包括现场指导，技术调研、动态提供企业污染事件清单、一企一档等。检查企业不少于1000家次，发现问题不少于300个。服务周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0" w:type="auto"/>
            <w:shd w:val="clear" w:color="auto" w:fill="auto"/>
            <w:vAlign w:val="center"/>
          </w:tcPr>
          <w:p>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1.6</w:t>
            </w:r>
          </w:p>
        </w:tc>
        <w:tc>
          <w:tcPr>
            <w:tcW w:w="2383" w:type="dxa"/>
            <w:vAlign w:val="center"/>
          </w:tcPr>
          <w:p>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热点网格平台及小程序运维服务</w:t>
            </w:r>
          </w:p>
        </w:tc>
        <w:tc>
          <w:tcPr>
            <w:tcW w:w="789"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1</w:t>
            </w:r>
          </w:p>
        </w:tc>
        <w:tc>
          <w:tcPr>
            <w:tcW w:w="850"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项</w:t>
            </w:r>
          </w:p>
        </w:tc>
        <w:tc>
          <w:tcPr>
            <w:tcW w:w="4551"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绍兴市大气污染热点网格监管平台及小程序运维服务。服务周期1年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widowControl/>
              <w:spacing w:line="360" w:lineRule="auto"/>
              <w:jc w:val="center"/>
              <w:rPr>
                <w:rFonts w:ascii="仿宋" w:hAnsi="仿宋" w:eastAsia="仿宋" w:cs="仿宋"/>
                <w:b/>
                <w:bCs/>
                <w:kern w:val="0"/>
                <w:sz w:val="24"/>
              </w:rPr>
            </w:pPr>
            <w:r>
              <w:rPr>
                <w:rFonts w:hint="eastAsia" w:ascii="仿宋" w:hAnsi="仿宋" w:eastAsia="仿宋" w:cs="仿宋"/>
                <w:b/>
                <w:bCs/>
                <w:kern w:val="0"/>
                <w:sz w:val="24"/>
              </w:rPr>
              <w:t>2</w:t>
            </w:r>
          </w:p>
        </w:tc>
        <w:tc>
          <w:tcPr>
            <w:tcW w:w="2383" w:type="dxa"/>
            <w:vAlign w:val="center"/>
          </w:tcPr>
          <w:p>
            <w:pPr>
              <w:widowControl/>
              <w:spacing w:line="360" w:lineRule="auto"/>
              <w:jc w:val="center"/>
              <w:rPr>
                <w:rFonts w:ascii="仿宋" w:hAnsi="仿宋" w:eastAsia="仿宋" w:cs="仿宋"/>
                <w:b/>
                <w:bCs/>
                <w:kern w:val="0"/>
                <w:sz w:val="24"/>
              </w:rPr>
            </w:pPr>
            <w:r>
              <w:rPr>
                <w:rFonts w:hint="eastAsia" w:ascii="仿宋" w:hAnsi="仿宋" w:eastAsia="仿宋" w:cs="仿宋"/>
                <w:b/>
                <w:bCs/>
                <w:kern w:val="0"/>
                <w:sz w:val="24"/>
              </w:rPr>
              <w:t>扬尘检测巡查服务</w:t>
            </w:r>
          </w:p>
        </w:tc>
        <w:tc>
          <w:tcPr>
            <w:tcW w:w="789"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1</w:t>
            </w:r>
          </w:p>
        </w:tc>
        <w:tc>
          <w:tcPr>
            <w:tcW w:w="850"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项</w:t>
            </w:r>
          </w:p>
        </w:tc>
        <w:tc>
          <w:tcPr>
            <w:tcW w:w="4551"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组成专业队伍４人，巡查车２辆，开展施工工地大气污染防治专项检查；配备非道路移动检测设备2套，对非道路移动源等开展抽测检查。检查工地不少于2000家次，发现问题不少于150个。服务周期1年。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widowControl/>
              <w:spacing w:line="360" w:lineRule="auto"/>
              <w:jc w:val="center"/>
              <w:rPr>
                <w:rFonts w:ascii="仿宋" w:hAnsi="仿宋" w:eastAsia="仿宋" w:cs="仿宋"/>
                <w:b/>
                <w:bCs/>
                <w:kern w:val="0"/>
                <w:sz w:val="24"/>
              </w:rPr>
            </w:pPr>
            <w:r>
              <w:rPr>
                <w:rFonts w:hint="eastAsia" w:ascii="仿宋" w:hAnsi="仿宋" w:eastAsia="仿宋" w:cs="仿宋"/>
                <w:b/>
                <w:bCs/>
                <w:kern w:val="0"/>
                <w:sz w:val="24"/>
              </w:rPr>
              <w:t>3</w:t>
            </w:r>
          </w:p>
        </w:tc>
        <w:tc>
          <w:tcPr>
            <w:tcW w:w="0" w:type="auto"/>
            <w:gridSpan w:val="4"/>
            <w:vAlign w:val="center"/>
          </w:tcPr>
          <w:p>
            <w:pPr>
              <w:widowControl/>
              <w:spacing w:line="360" w:lineRule="auto"/>
              <w:rPr>
                <w:rFonts w:ascii="仿宋" w:hAnsi="仿宋" w:eastAsia="仿宋" w:cs="仿宋"/>
                <w:kern w:val="0"/>
                <w:sz w:val="24"/>
              </w:rPr>
            </w:pPr>
            <w:r>
              <w:rPr>
                <w:rFonts w:hint="eastAsia" w:ascii="仿宋" w:hAnsi="仿宋" w:eastAsia="仿宋" w:cs="仿宋"/>
                <w:b/>
                <w:bCs/>
                <w:kern w:val="0"/>
                <w:sz w:val="24"/>
              </w:rPr>
              <w:t>道路扬尘综合监管技术服务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3.1</w:t>
            </w:r>
          </w:p>
        </w:tc>
        <w:tc>
          <w:tcPr>
            <w:tcW w:w="2383" w:type="dxa"/>
            <w:vAlign w:val="center"/>
          </w:tcPr>
          <w:p>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车载空气检测仪服务</w:t>
            </w:r>
          </w:p>
        </w:tc>
        <w:tc>
          <w:tcPr>
            <w:tcW w:w="789"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50</w:t>
            </w:r>
          </w:p>
        </w:tc>
        <w:tc>
          <w:tcPr>
            <w:tcW w:w="850"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套</w:t>
            </w:r>
          </w:p>
        </w:tc>
        <w:tc>
          <w:tcPr>
            <w:tcW w:w="4551" w:type="dxa"/>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车载式空气检测仪50套，集成PM</w:t>
            </w:r>
            <w:r>
              <w:rPr>
                <w:rFonts w:hint="eastAsia" w:ascii="仿宋" w:hAnsi="仿宋" w:eastAsia="仿宋" w:cs="仿宋"/>
                <w:kern w:val="0"/>
                <w:sz w:val="24"/>
                <w:vertAlign w:val="subscript"/>
              </w:rPr>
              <w:t>2.5</w:t>
            </w:r>
            <w:r>
              <w:rPr>
                <w:rFonts w:hint="eastAsia" w:ascii="仿宋" w:hAnsi="仿宋" w:eastAsia="仿宋" w:cs="仿宋"/>
                <w:kern w:val="0"/>
                <w:sz w:val="24"/>
              </w:rPr>
              <w:t>、PM</w:t>
            </w:r>
            <w:r>
              <w:rPr>
                <w:rFonts w:hint="eastAsia" w:ascii="仿宋" w:hAnsi="仿宋" w:eastAsia="仿宋" w:cs="仿宋"/>
                <w:kern w:val="0"/>
                <w:sz w:val="24"/>
                <w:vertAlign w:val="subscript"/>
              </w:rPr>
              <w:t>10</w:t>
            </w:r>
            <w:r>
              <w:rPr>
                <w:rFonts w:hint="eastAsia" w:ascii="仿宋" w:hAnsi="仿宋" w:eastAsia="仿宋" w:cs="仿宋"/>
                <w:kern w:val="0"/>
                <w:sz w:val="24"/>
              </w:rPr>
              <w:t>、SO</w:t>
            </w:r>
            <w:r>
              <w:rPr>
                <w:rFonts w:hint="eastAsia" w:ascii="仿宋" w:hAnsi="仿宋" w:eastAsia="仿宋" w:cs="仿宋"/>
                <w:kern w:val="0"/>
                <w:sz w:val="24"/>
                <w:vertAlign w:val="subscript"/>
              </w:rPr>
              <w:t>2</w:t>
            </w:r>
            <w:r>
              <w:rPr>
                <w:rFonts w:hint="eastAsia" w:ascii="仿宋" w:hAnsi="仿宋" w:eastAsia="仿宋" w:cs="仿宋"/>
                <w:kern w:val="0"/>
                <w:sz w:val="24"/>
              </w:rPr>
              <w:t>、CO、O</w:t>
            </w:r>
            <w:r>
              <w:rPr>
                <w:rFonts w:hint="eastAsia" w:ascii="仿宋" w:hAnsi="仿宋" w:eastAsia="仿宋" w:cs="仿宋"/>
                <w:kern w:val="0"/>
                <w:sz w:val="24"/>
                <w:vertAlign w:val="subscript"/>
              </w:rPr>
              <w:t>3</w:t>
            </w:r>
            <w:r>
              <w:rPr>
                <w:rFonts w:hint="eastAsia" w:ascii="仿宋" w:hAnsi="仿宋" w:eastAsia="仿宋" w:cs="仿宋"/>
                <w:kern w:val="0"/>
                <w:sz w:val="24"/>
              </w:rPr>
              <w:t>、NO</w:t>
            </w:r>
            <w:r>
              <w:rPr>
                <w:rFonts w:hint="eastAsia" w:ascii="仿宋" w:hAnsi="仿宋" w:eastAsia="仿宋" w:cs="仿宋"/>
                <w:kern w:val="0"/>
                <w:sz w:val="24"/>
                <w:vertAlign w:val="subscript"/>
              </w:rPr>
              <w:t>2</w:t>
            </w:r>
            <w:r>
              <w:rPr>
                <w:rFonts w:hint="eastAsia" w:ascii="仿宋" w:hAnsi="仿宋" w:eastAsia="仿宋" w:cs="仿宋"/>
                <w:kern w:val="0"/>
                <w:sz w:val="24"/>
              </w:rPr>
              <w:t>、TVOC、视频一体化监测。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0" w:type="auto"/>
            <w:shd w:val="clear" w:color="auto" w:fill="auto"/>
            <w:vAlign w:val="center"/>
          </w:tcPr>
          <w:p>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3.2</w:t>
            </w:r>
          </w:p>
        </w:tc>
        <w:tc>
          <w:tcPr>
            <w:tcW w:w="2383" w:type="dxa"/>
            <w:vAlign w:val="center"/>
          </w:tcPr>
          <w:p>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道路扬尘监管大脑</w:t>
            </w:r>
          </w:p>
        </w:tc>
        <w:tc>
          <w:tcPr>
            <w:tcW w:w="789"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1</w:t>
            </w:r>
          </w:p>
        </w:tc>
        <w:tc>
          <w:tcPr>
            <w:tcW w:w="850"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项</w:t>
            </w:r>
          </w:p>
        </w:tc>
        <w:tc>
          <w:tcPr>
            <w:tcW w:w="4551" w:type="dxa"/>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包含数据接入、扬尘总量核算、智能监管预警、智能指挥调度等功能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0" w:type="auto"/>
            <w:shd w:val="clear" w:color="auto" w:fill="auto"/>
            <w:vAlign w:val="center"/>
          </w:tcPr>
          <w:p>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3.3</w:t>
            </w:r>
          </w:p>
        </w:tc>
        <w:tc>
          <w:tcPr>
            <w:tcW w:w="2383" w:type="dxa"/>
            <w:vAlign w:val="center"/>
          </w:tcPr>
          <w:p>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全闭环应用支撑</w:t>
            </w:r>
          </w:p>
        </w:tc>
        <w:tc>
          <w:tcPr>
            <w:tcW w:w="789"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1</w:t>
            </w:r>
          </w:p>
        </w:tc>
        <w:tc>
          <w:tcPr>
            <w:tcW w:w="850"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项</w:t>
            </w:r>
          </w:p>
        </w:tc>
        <w:tc>
          <w:tcPr>
            <w:tcW w:w="4551" w:type="dxa"/>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包含指挥调度、精准管控、移动监管、智能监管等功能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0" w:type="auto"/>
            <w:shd w:val="clear" w:color="auto" w:fill="auto"/>
            <w:vAlign w:val="center"/>
          </w:tcPr>
          <w:p>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3.4</w:t>
            </w:r>
          </w:p>
        </w:tc>
        <w:tc>
          <w:tcPr>
            <w:tcW w:w="2383" w:type="dxa"/>
            <w:vAlign w:val="center"/>
          </w:tcPr>
          <w:p>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全周期配套服务</w:t>
            </w:r>
          </w:p>
        </w:tc>
        <w:tc>
          <w:tcPr>
            <w:tcW w:w="789"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1</w:t>
            </w:r>
          </w:p>
        </w:tc>
        <w:tc>
          <w:tcPr>
            <w:tcW w:w="850" w:type="dxa"/>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项</w:t>
            </w:r>
          </w:p>
        </w:tc>
        <w:tc>
          <w:tcPr>
            <w:tcW w:w="4551" w:type="dxa"/>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全周期平台运维服务</w:t>
            </w:r>
          </w:p>
        </w:tc>
      </w:tr>
    </w:tbl>
    <w:p>
      <w:pPr>
        <w:pStyle w:val="3"/>
        <w:numPr>
          <w:ilvl w:val="0"/>
          <w:numId w:val="0"/>
        </w:numPr>
        <w:spacing w:before="156" w:after="156"/>
        <w:rPr>
          <w:sz w:val="24"/>
          <w:szCs w:val="24"/>
        </w:rPr>
      </w:pPr>
      <w:r>
        <w:rPr>
          <w:rFonts w:hint="eastAsia"/>
          <w:sz w:val="24"/>
          <w:szCs w:val="24"/>
        </w:rPr>
        <w:t>4.项目详细内容及要求</w:t>
      </w:r>
    </w:p>
    <w:p>
      <w:pPr>
        <w:pStyle w:val="5"/>
        <w:numPr>
          <w:ilvl w:val="0"/>
          <w:numId w:val="0"/>
        </w:numPr>
        <w:spacing w:before="156" w:after="156"/>
        <w:rPr>
          <w:sz w:val="24"/>
          <w:szCs w:val="24"/>
        </w:rPr>
      </w:pPr>
      <w:r>
        <w:rPr>
          <w:rFonts w:hint="eastAsia"/>
          <w:sz w:val="24"/>
          <w:szCs w:val="24"/>
        </w:rPr>
        <w:t>（1）VOCs检测巡查服务</w:t>
      </w:r>
    </w:p>
    <w:p>
      <w:pPr>
        <w:pStyle w:val="6"/>
        <w:numPr>
          <w:ilvl w:val="0"/>
          <w:numId w:val="0"/>
        </w:numPr>
        <w:spacing w:line="360" w:lineRule="auto"/>
        <w:rPr>
          <w:rFonts w:cs="仿宋"/>
          <w:sz w:val="24"/>
          <w:szCs w:val="24"/>
        </w:rPr>
      </w:pPr>
      <w:r>
        <w:rPr>
          <w:rFonts w:hint="eastAsia" w:cs="仿宋"/>
          <w:sz w:val="24"/>
          <w:szCs w:val="24"/>
        </w:rPr>
        <w:t>（1.1）LDAR红外检测服务</w:t>
      </w:r>
    </w:p>
    <w:p>
      <w:pPr>
        <w:spacing w:line="360" w:lineRule="auto"/>
        <w:ind w:firstLine="480"/>
        <w:rPr>
          <w:rFonts w:ascii="仿宋" w:hAnsi="仿宋" w:eastAsia="仿宋" w:cs="仿宋"/>
          <w:color w:val="000000"/>
          <w:sz w:val="24"/>
        </w:rPr>
      </w:pPr>
      <w:r>
        <w:rPr>
          <w:rFonts w:hint="eastAsia" w:ascii="仿宋" w:hAnsi="仿宋" w:eastAsia="仿宋" w:cs="仿宋"/>
          <w:color w:val="000000"/>
          <w:sz w:val="24"/>
        </w:rPr>
        <w:t>投标人配置至少一套便携式红外热成像气体泄漏检测仪，对开展LDAR的企业进行一轮LDAR数据质量检查抽测，检测天数20天，抽测企业不少于40家次。所使用的便携式红外热成像气体泄漏检测仪应该符合以下技术参数：</w:t>
      </w:r>
    </w:p>
    <w:p>
      <w:pPr>
        <w:pStyle w:val="102"/>
        <w:widowControl w:val="0"/>
        <w:numPr>
          <w:ilvl w:val="0"/>
          <w:numId w:val="8"/>
        </w:numPr>
        <w:spacing w:after="0" w:line="360" w:lineRule="auto"/>
        <w:ind w:left="0" w:firstLine="480" w:firstLineChars="200"/>
        <w:contextualSpacing w:val="0"/>
        <w:rPr>
          <w:rFonts w:ascii="仿宋" w:hAnsi="仿宋" w:eastAsia="仿宋" w:cs="仿宋"/>
          <w:sz w:val="24"/>
        </w:rPr>
      </w:pPr>
      <w:r>
        <w:rPr>
          <w:rFonts w:hint="eastAsia" w:ascii="仿宋" w:hAnsi="仿宋" w:eastAsia="仿宋" w:cs="仿宋"/>
          <w:sz w:val="24"/>
        </w:rPr>
        <w:t>针对挥发性有机气体的非接触式检测仪，以图像形式快速发现挥发性有机气体泄漏，并能精准定位泄漏或排放源头。</w:t>
      </w:r>
    </w:p>
    <w:p>
      <w:pPr>
        <w:numPr>
          <w:ilvl w:val="0"/>
          <w:numId w:val="8"/>
        </w:numPr>
        <w:snapToGrid w:val="0"/>
        <w:spacing w:line="360" w:lineRule="auto"/>
        <w:ind w:left="0" w:firstLine="480" w:firstLineChars="200"/>
        <w:rPr>
          <w:rFonts w:ascii="仿宋" w:hAnsi="仿宋" w:eastAsia="仿宋" w:cs="仿宋"/>
          <w:sz w:val="24"/>
        </w:rPr>
      </w:pPr>
      <w:r>
        <w:rPr>
          <w:rFonts w:hint="eastAsia" w:ascii="仿宋" w:hAnsi="仿宋" w:eastAsia="仿宋" w:cs="仿宋"/>
          <w:sz w:val="24"/>
        </w:rPr>
        <w:t>录制红外视频和可见光视频时，可以同时录制语音数据。</w:t>
      </w:r>
    </w:p>
    <w:p>
      <w:pPr>
        <w:pStyle w:val="102"/>
        <w:widowControl w:val="0"/>
        <w:numPr>
          <w:ilvl w:val="0"/>
          <w:numId w:val="8"/>
        </w:numPr>
        <w:adjustRightInd w:val="0"/>
        <w:spacing w:after="0" w:line="360" w:lineRule="auto"/>
        <w:ind w:left="0" w:firstLine="424" w:firstLineChars="177"/>
        <w:jc w:val="both"/>
        <w:rPr>
          <w:rFonts w:ascii="仿宋" w:hAnsi="仿宋" w:eastAsia="仿宋" w:cs="仿宋"/>
          <w:sz w:val="24"/>
        </w:rPr>
      </w:pPr>
      <w:r>
        <w:rPr>
          <w:rFonts w:hint="eastAsia" w:ascii="仿宋" w:hAnsi="仿宋" w:eastAsia="仿宋" w:cs="仿宋"/>
          <w:sz w:val="24"/>
        </w:rPr>
        <w:t>激光指示：具有激光指示和测距功能，可在屏幕上显示距离信息。（提供加盖投标人公章的省级或省级以上国家计量检测机构出具的检测报告复印件）</w:t>
      </w:r>
    </w:p>
    <w:p>
      <w:pPr>
        <w:numPr>
          <w:ilvl w:val="0"/>
          <w:numId w:val="8"/>
        </w:numPr>
        <w:snapToGrid w:val="0"/>
        <w:spacing w:line="360" w:lineRule="auto"/>
        <w:ind w:left="0" w:firstLine="480" w:firstLineChars="200"/>
        <w:rPr>
          <w:rFonts w:ascii="仿宋" w:hAnsi="仿宋" w:eastAsia="仿宋" w:cs="仿宋"/>
          <w:color w:val="000000" w:themeColor="text1"/>
          <w:sz w:val="24"/>
        </w:rPr>
      </w:pPr>
      <w:r>
        <w:rPr>
          <w:rFonts w:hint="eastAsia" w:ascii="仿宋" w:hAnsi="仿宋" w:eastAsia="仿宋" w:cs="仿宋"/>
          <w:sz w:val="24"/>
        </w:rPr>
        <w:t>通过WIFI连接防爆手操器，可对红外热成像气体泄漏检测仪图像远程传输并可以进行远程控制。</w:t>
      </w:r>
      <w:r>
        <w:rPr>
          <w:rFonts w:hint="eastAsia" w:ascii="仿宋" w:hAnsi="仿宋" w:eastAsia="仿宋" w:cs="仿宋"/>
          <w:color w:val="000000" w:themeColor="text1"/>
          <w:sz w:val="24"/>
        </w:rPr>
        <w:t>（提供加盖投标人公章的省级或省级以上国家计量检测机构出具的检测报告</w:t>
      </w:r>
      <w:r>
        <w:rPr>
          <w:rFonts w:hint="eastAsia" w:ascii="仿宋" w:hAnsi="仿宋" w:eastAsia="仿宋" w:cs="仿宋"/>
          <w:sz w:val="24"/>
        </w:rPr>
        <w:t>复印件</w:t>
      </w:r>
      <w:r>
        <w:rPr>
          <w:rFonts w:hint="eastAsia" w:ascii="仿宋" w:hAnsi="仿宋" w:eastAsia="仿宋" w:cs="仿宋"/>
          <w:color w:val="000000" w:themeColor="text1"/>
          <w:sz w:val="24"/>
        </w:rPr>
        <w:t>）</w:t>
      </w:r>
    </w:p>
    <w:p>
      <w:pPr>
        <w:numPr>
          <w:ilvl w:val="0"/>
          <w:numId w:val="8"/>
        </w:numPr>
        <w:snapToGrid w:val="0"/>
        <w:spacing w:line="360" w:lineRule="auto"/>
        <w:ind w:left="0" w:firstLine="480" w:firstLineChars="200"/>
        <w:rPr>
          <w:rFonts w:ascii="仿宋" w:hAnsi="仿宋" w:eastAsia="仿宋" w:cs="仿宋"/>
          <w:sz w:val="24"/>
        </w:rPr>
      </w:pPr>
      <w:r>
        <w:rPr>
          <w:rFonts w:hint="eastAsia" w:ascii="仿宋" w:hAnsi="仿宋" w:eastAsia="仿宋" w:cs="仿宋"/>
          <w:sz w:val="24"/>
        </w:rPr>
        <w:t>GPS定位：显示屏可以显示实时经纬度信息。</w:t>
      </w:r>
    </w:p>
    <w:p>
      <w:pPr>
        <w:numPr>
          <w:ilvl w:val="0"/>
          <w:numId w:val="8"/>
        </w:numPr>
        <w:snapToGrid w:val="0"/>
        <w:spacing w:line="360" w:lineRule="auto"/>
        <w:ind w:left="0" w:firstLine="480" w:firstLineChars="200"/>
        <w:rPr>
          <w:rFonts w:ascii="仿宋" w:hAnsi="仿宋" w:eastAsia="仿宋" w:cs="仿宋"/>
          <w:sz w:val="24"/>
        </w:rPr>
      </w:pPr>
      <w:r>
        <w:rPr>
          <w:rFonts w:hint="eastAsia" w:ascii="仿宋" w:hAnsi="仿宋" w:eastAsia="仿宋" w:cs="仿宋"/>
          <w:color w:val="000000" w:themeColor="text1"/>
          <w:sz w:val="24"/>
        </w:rPr>
        <w:t>▲防爆等级不低于Ex ic nc IIC T4 Gc。</w:t>
      </w:r>
      <w:r>
        <w:rPr>
          <w:rFonts w:hint="eastAsia" w:ascii="仿宋" w:hAnsi="仿宋" w:eastAsia="仿宋" w:cs="仿宋"/>
          <w:b/>
          <w:color w:val="000000" w:themeColor="text1"/>
          <w:sz w:val="24"/>
        </w:rPr>
        <w:t>（提供加盖投标人公章的防爆合格证及对应报告复印件）</w:t>
      </w:r>
    </w:p>
    <w:p>
      <w:pPr>
        <w:numPr>
          <w:ilvl w:val="0"/>
          <w:numId w:val="8"/>
        </w:numPr>
        <w:snapToGrid w:val="0"/>
        <w:spacing w:line="360" w:lineRule="auto"/>
        <w:ind w:left="0" w:firstLine="480" w:firstLineChars="200"/>
        <w:rPr>
          <w:rFonts w:ascii="仿宋" w:hAnsi="仿宋" w:eastAsia="仿宋" w:cs="仿宋"/>
          <w:sz w:val="24"/>
        </w:rPr>
      </w:pPr>
      <w:r>
        <w:rPr>
          <w:rFonts w:hint="eastAsia" w:ascii="仿宋" w:hAnsi="仿宋" w:eastAsia="仿宋" w:cs="仿宋"/>
          <w:sz w:val="24"/>
        </w:rPr>
        <w:t>可检测气体至少包含：甲烷、乙烷、丙烷、丁烷、戊烷、环氧乙烷、溴甲烷、溴乙烷、氯甲烷、1-己烷、乙烯、丙烯、异戊二烯、异丁烯、1,3-丁二烯、苯、甲苯、二甲苯、三甲苯、对二甲苯、乙苯、苯乙烯、1,2-二甲苯、甲醇、乙醇、异丙醇等多种常见的挥发性有机气体。</w:t>
      </w:r>
    </w:p>
    <w:p>
      <w:pPr>
        <w:pStyle w:val="102"/>
        <w:spacing w:line="360" w:lineRule="auto"/>
        <w:ind w:left="375"/>
        <w:contextualSpacing w:val="0"/>
        <w:rPr>
          <w:rFonts w:ascii="仿宋" w:hAnsi="仿宋" w:eastAsia="仿宋" w:cs="仿宋"/>
          <w:sz w:val="24"/>
        </w:rPr>
      </w:pPr>
      <w:r>
        <w:rPr>
          <w:rFonts w:hint="eastAsia" w:ascii="仿宋" w:hAnsi="仿宋" w:eastAsia="仿宋" w:cs="仿宋"/>
          <w:b/>
          <w:sz w:val="24"/>
        </w:rPr>
        <w:t>参数要求：</w:t>
      </w:r>
    </w:p>
    <w:tbl>
      <w:tblPr>
        <w:tblStyle w:val="44"/>
        <w:tblW w:w="8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2335"/>
        <w:gridCol w:w="5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34" w:type="dxa"/>
            <w:vAlign w:val="center"/>
          </w:tcPr>
          <w:p>
            <w:pPr>
              <w:spacing w:line="360" w:lineRule="auto"/>
              <w:jc w:val="center"/>
              <w:rPr>
                <w:rFonts w:ascii="仿宋" w:hAnsi="仿宋" w:eastAsia="仿宋" w:cs="仿宋"/>
                <w:b/>
                <w:color w:val="000000"/>
                <w:kern w:val="0"/>
                <w:sz w:val="24"/>
              </w:rPr>
            </w:pPr>
            <w:r>
              <w:rPr>
                <w:rFonts w:hint="eastAsia" w:ascii="仿宋" w:hAnsi="仿宋" w:eastAsia="仿宋" w:cs="仿宋"/>
                <w:b/>
                <w:color w:val="000000"/>
                <w:kern w:val="0"/>
                <w:sz w:val="24"/>
              </w:rPr>
              <w:t>序号</w:t>
            </w:r>
          </w:p>
        </w:tc>
        <w:tc>
          <w:tcPr>
            <w:tcW w:w="2335" w:type="dxa"/>
            <w:vAlign w:val="center"/>
          </w:tcPr>
          <w:p>
            <w:pPr>
              <w:spacing w:line="360" w:lineRule="auto"/>
              <w:jc w:val="center"/>
              <w:rPr>
                <w:rFonts w:ascii="仿宋" w:hAnsi="仿宋" w:eastAsia="仿宋" w:cs="仿宋"/>
                <w:b/>
                <w:color w:val="000000"/>
                <w:kern w:val="0"/>
                <w:sz w:val="24"/>
              </w:rPr>
            </w:pPr>
            <w:r>
              <w:rPr>
                <w:rFonts w:hint="eastAsia" w:ascii="仿宋" w:hAnsi="仿宋" w:eastAsia="仿宋" w:cs="仿宋"/>
                <w:b/>
                <w:color w:val="000000"/>
                <w:kern w:val="0"/>
                <w:sz w:val="24"/>
              </w:rPr>
              <w:t>项目</w:t>
            </w:r>
          </w:p>
        </w:tc>
        <w:tc>
          <w:tcPr>
            <w:tcW w:w="5126" w:type="dxa"/>
            <w:vAlign w:val="center"/>
          </w:tcPr>
          <w:p>
            <w:pPr>
              <w:spacing w:line="360" w:lineRule="auto"/>
              <w:jc w:val="center"/>
              <w:rPr>
                <w:rFonts w:ascii="仿宋" w:hAnsi="仿宋" w:eastAsia="仿宋" w:cs="仿宋"/>
                <w:b/>
                <w:color w:val="000000"/>
                <w:kern w:val="0"/>
                <w:sz w:val="24"/>
              </w:rPr>
            </w:pPr>
            <w:r>
              <w:rPr>
                <w:rFonts w:hint="eastAsia" w:ascii="仿宋" w:hAnsi="仿宋" w:eastAsia="仿宋" w:cs="仿宋"/>
                <w:b/>
                <w:color w:val="000000"/>
                <w:kern w:val="0"/>
                <w:sz w:val="24"/>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34" w:type="dxa"/>
            <w:vAlign w:val="center"/>
          </w:tcPr>
          <w:p>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2335" w:type="dxa"/>
            <w:vAlign w:val="center"/>
          </w:tcPr>
          <w:p>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工作温度</w:t>
            </w:r>
          </w:p>
        </w:tc>
        <w:tc>
          <w:tcPr>
            <w:tcW w:w="5126" w:type="dxa"/>
            <w:vAlign w:val="center"/>
          </w:tcPr>
          <w:p>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34" w:type="dxa"/>
            <w:vAlign w:val="center"/>
          </w:tcPr>
          <w:p>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2335" w:type="dxa"/>
            <w:vAlign w:val="center"/>
          </w:tcPr>
          <w:p>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存储温度</w:t>
            </w:r>
          </w:p>
        </w:tc>
        <w:tc>
          <w:tcPr>
            <w:tcW w:w="5126" w:type="dxa"/>
            <w:vAlign w:val="center"/>
          </w:tcPr>
          <w:p>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34" w:type="dxa"/>
            <w:vAlign w:val="center"/>
          </w:tcPr>
          <w:p>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(3)</w:t>
            </w:r>
          </w:p>
        </w:tc>
        <w:tc>
          <w:tcPr>
            <w:tcW w:w="2335" w:type="dxa"/>
            <w:vAlign w:val="center"/>
          </w:tcPr>
          <w:p>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工作波段</w:t>
            </w:r>
          </w:p>
        </w:tc>
        <w:tc>
          <w:tcPr>
            <w:tcW w:w="5126" w:type="dxa"/>
            <w:vAlign w:val="center"/>
          </w:tcPr>
          <w:p>
            <w:pPr>
              <w:spacing w:line="360" w:lineRule="auto"/>
              <w:jc w:val="left"/>
              <w:rPr>
                <w:rFonts w:ascii="仿宋" w:hAnsi="仿宋" w:eastAsia="仿宋" w:cs="仿宋"/>
                <w:color w:val="000000"/>
                <w:kern w:val="0"/>
                <w:sz w:val="24"/>
                <w:lang w:eastAsia="ja-JP"/>
              </w:rPr>
            </w:pPr>
            <w:r>
              <w:rPr>
                <w:rFonts w:hint="eastAsia" w:ascii="仿宋" w:hAnsi="仿宋" w:eastAsia="仿宋" w:cs="仿宋"/>
                <w:color w:val="000000"/>
                <w:kern w:val="0"/>
                <w:sz w:val="24"/>
              </w:rPr>
              <w:t>3.2~3.5μm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34" w:type="dxa"/>
            <w:vAlign w:val="center"/>
          </w:tcPr>
          <w:p>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2335" w:type="dxa"/>
            <w:vAlign w:val="center"/>
          </w:tcPr>
          <w:p>
            <w:pPr>
              <w:spacing w:line="360" w:lineRule="auto"/>
              <w:jc w:val="left"/>
              <w:rPr>
                <w:rFonts w:ascii="仿宋" w:hAnsi="仿宋" w:eastAsia="仿宋" w:cs="仿宋"/>
                <w:color w:val="000000"/>
                <w:kern w:val="0"/>
                <w:sz w:val="24"/>
              </w:rPr>
            </w:pPr>
            <w:r>
              <w:rPr>
                <w:rFonts w:hint="eastAsia" w:ascii="仿宋" w:hAnsi="仿宋" w:eastAsia="仿宋" w:cs="仿宋"/>
                <w:kern w:val="0"/>
                <w:sz w:val="24"/>
              </w:rPr>
              <w:t>分辨率</w:t>
            </w:r>
          </w:p>
        </w:tc>
        <w:tc>
          <w:tcPr>
            <w:tcW w:w="5126" w:type="dxa"/>
            <w:vAlign w:val="center"/>
          </w:tcPr>
          <w:p>
            <w:pPr>
              <w:spacing w:line="360" w:lineRule="auto"/>
              <w:jc w:val="left"/>
              <w:rPr>
                <w:rFonts w:ascii="仿宋" w:hAnsi="仿宋" w:eastAsia="仿宋" w:cs="仿宋"/>
                <w:color w:val="000000"/>
                <w:kern w:val="0"/>
                <w:sz w:val="24"/>
              </w:rPr>
            </w:pPr>
            <w:r>
              <w:rPr>
                <w:rFonts w:hint="eastAsia" w:ascii="仿宋" w:hAnsi="仿宋" w:eastAsia="仿宋" w:cs="仿宋"/>
                <w:kern w:val="0"/>
                <w:sz w:val="24"/>
              </w:rPr>
              <w:t>≥320×256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34" w:type="dxa"/>
            <w:vAlign w:val="center"/>
          </w:tcPr>
          <w:p>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(5)</w:t>
            </w:r>
          </w:p>
        </w:tc>
        <w:tc>
          <w:tcPr>
            <w:tcW w:w="2335" w:type="dxa"/>
            <w:vAlign w:val="center"/>
          </w:tcPr>
          <w:p>
            <w:pPr>
              <w:spacing w:line="360" w:lineRule="auto"/>
              <w:jc w:val="left"/>
              <w:rPr>
                <w:rFonts w:ascii="仿宋" w:hAnsi="仿宋" w:eastAsia="仿宋" w:cs="仿宋"/>
                <w:color w:val="000000"/>
                <w:kern w:val="0"/>
                <w:sz w:val="24"/>
              </w:rPr>
            </w:pPr>
            <w:r>
              <w:rPr>
                <w:rFonts w:hint="eastAsia" w:ascii="仿宋" w:hAnsi="仿宋" w:eastAsia="仿宋" w:cs="仿宋"/>
                <w:kern w:val="0"/>
                <w:sz w:val="24"/>
              </w:rPr>
              <w:t>热灵敏度</w:t>
            </w:r>
          </w:p>
        </w:tc>
        <w:tc>
          <w:tcPr>
            <w:tcW w:w="5126" w:type="dxa"/>
            <w:vAlign w:val="center"/>
          </w:tcPr>
          <w:p>
            <w:pPr>
              <w:spacing w:line="360" w:lineRule="auto"/>
              <w:jc w:val="left"/>
              <w:rPr>
                <w:rFonts w:ascii="仿宋" w:hAnsi="仿宋" w:eastAsia="仿宋" w:cs="仿宋"/>
                <w:color w:val="000000"/>
                <w:kern w:val="0"/>
                <w:sz w:val="24"/>
              </w:rPr>
            </w:pPr>
            <w:r>
              <w:rPr>
                <w:rFonts w:hint="eastAsia" w:ascii="仿宋" w:hAnsi="仿宋" w:eastAsia="仿宋" w:cs="仿宋"/>
                <w:kern w:val="0"/>
                <w:sz w:val="24"/>
              </w:rPr>
              <w:t>≤10mk@25℃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34" w:type="dxa"/>
            <w:vAlign w:val="center"/>
          </w:tcPr>
          <w:p>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(6)</w:t>
            </w:r>
          </w:p>
        </w:tc>
        <w:tc>
          <w:tcPr>
            <w:tcW w:w="2335" w:type="dxa"/>
            <w:vAlign w:val="center"/>
          </w:tcPr>
          <w:p>
            <w:pPr>
              <w:spacing w:line="360" w:lineRule="auto"/>
              <w:jc w:val="left"/>
              <w:rPr>
                <w:rFonts w:ascii="仿宋" w:hAnsi="仿宋" w:eastAsia="仿宋" w:cs="仿宋"/>
                <w:color w:val="000000"/>
                <w:kern w:val="0"/>
                <w:sz w:val="24"/>
              </w:rPr>
            </w:pPr>
            <w:r>
              <w:rPr>
                <w:rFonts w:hint="eastAsia" w:ascii="仿宋" w:hAnsi="仿宋" w:eastAsia="仿宋" w:cs="仿宋"/>
                <w:kern w:val="0"/>
                <w:sz w:val="24"/>
              </w:rPr>
              <w:t>启动时间</w:t>
            </w:r>
          </w:p>
        </w:tc>
        <w:tc>
          <w:tcPr>
            <w:tcW w:w="5126" w:type="dxa"/>
            <w:vAlign w:val="center"/>
          </w:tcPr>
          <w:p>
            <w:pPr>
              <w:spacing w:line="360" w:lineRule="auto"/>
              <w:jc w:val="left"/>
              <w:rPr>
                <w:rFonts w:ascii="仿宋" w:hAnsi="仿宋" w:eastAsia="仿宋" w:cs="仿宋"/>
                <w:color w:val="000000"/>
                <w:kern w:val="0"/>
                <w:sz w:val="24"/>
              </w:rPr>
            </w:pPr>
            <w:r>
              <w:rPr>
                <w:rFonts w:hint="eastAsia" w:ascii="仿宋" w:hAnsi="仿宋" w:eastAsia="仿宋" w:cs="仿宋"/>
                <w:kern w:val="0"/>
                <w:sz w:val="24"/>
              </w:rPr>
              <w:t>≤5 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34" w:type="dxa"/>
            <w:vAlign w:val="center"/>
          </w:tcPr>
          <w:p>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(7)</w:t>
            </w:r>
          </w:p>
        </w:tc>
        <w:tc>
          <w:tcPr>
            <w:tcW w:w="2335" w:type="dxa"/>
            <w:vAlign w:val="center"/>
          </w:tcPr>
          <w:p>
            <w:pPr>
              <w:spacing w:line="360" w:lineRule="auto"/>
              <w:jc w:val="left"/>
              <w:rPr>
                <w:rFonts w:ascii="仿宋" w:hAnsi="仿宋" w:eastAsia="仿宋" w:cs="仿宋"/>
                <w:color w:val="000000"/>
                <w:kern w:val="0"/>
                <w:sz w:val="24"/>
              </w:rPr>
            </w:pPr>
            <w:r>
              <w:rPr>
                <w:rFonts w:hint="eastAsia" w:ascii="仿宋" w:hAnsi="仿宋" w:eastAsia="仿宋" w:cs="仿宋"/>
                <w:kern w:val="0"/>
                <w:sz w:val="24"/>
              </w:rPr>
              <w:t>视频存储</w:t>
            </w:r>
          </w:p>
        </w:tc>
        <w:tc>
          <w:tcPr>
            <w:tcW w:w="5126" w:type="dxa"/>
            <w:vAlign w:val="center"/>
          </w:tcPr>
          <w:p>
            <w:pPr>
              <w:spacing w:line="360" w:lineRule="auto"/>
              <w:jc w:val="left"/>
              <w:rPr>
                <w:rFonts w:ascii="仿宋" w:hAnsi="仿宋" w:eastAsia="仿宋" w:cs="仿宋"/>
                <w:color w:val="000000"/>
                <w:kern w:val="0"/>
                <w:sz w:val="24"/>
              </w:rPr>
            </w:pPr>
            <w:r>
              <w:rPr>
                <w:rFonts w:hint="eastAsia" w:ascii="仿宋" w:hAnsi="仿宋" w:eastAsia="仿宋" w:cs="仿宋"/>
                <w:kern w:val="0"/>
                <w:sz w:val="24"/>
              </w:rPr>
              <w:t>SD卡≥64G</w:t>
            </w:r>
          </w:p>
        </w:tc>
      </w:tr>
    </w:tbl>
    <w:p>
      <w:pPr>
        <w:pStyle w:val="6"/>
        <w:numPr>
          <w:ilvl w:val="0"/>
          <w:numId w:val="0"/>
        </w:numPr>
        <w:spacing w:line="360" w:lineRule="auto"/>
        <w:rPr>
          <w:rFonts w:cs="仿宋"/>
          <w:sz w:val="24"/>
          <w:szCs w:val="24"/>
        </w:rPr>
      </w:pPr>
      <w:r>
        <w:rPr>
          <w:rFonts w:hint="eastAsia" w:cs="仿宋"/>
          <w:sz w:val="24"/>
          <w:szCs w:val="24"/>
        </w:rPr>
        <w:t>（1.2）VOC检测服务</w:t>
      </w:r>
    </w:p>
    <w:p>
      <w:pPr>
        <w:pStyle w:val="42"/>
        <w:spacing w:line="360" w:lineRule="auto"/>
        <w:rPr>
          <w:rFonts w:ascii="仿宋" w:hAnsi="仿宋" w:eastAsia="仿宋" w:cs="仿宋"/>
          <w:color w:val="000000"/>
        </w:rPr>
      </w:pPr>
      <w:r>
        <w:rPr>
          <w:rFonts w:hint="eastAsia" w:ascii="仿宋" w:hAnsi="仿宋" w:eastAsia="仿宋" w:cs="仿宋"/>
          <w:color w:val="000000"/>
        </w:rPr>
        <w:t>投标人应配备不少于6套手持式VOC检测仪，用于进行企业内各环节VOC浓度检测巡查。手持式VOC检测仪应能满足以下技术参数要求：</w:t>
      </w:r>
    </w:p>
    <w:p>
      <w:pPr>
        <w:pStyle w:val="102"/>
        <w:spacing w:line="360" w:lineRule="auto"/>
        <w:ind w:left="0" w:firstLine="480" w:firstLineChars="200"/>
        <w:contextualSpacing w:val="0"/>
        <w:rPr>
          <w:rFonts w:ascii="仿宋" w:hAnsi="仿宋" w:eastAsia="仿宋" w:cs="仿宋"/>
          <w:color w:val="000000"/>
          <w:sz w:val="24"/>
        </w:rPr>
      </w:pPr>
      <w:r>
        <w:rPr>
          <w:rFonts w:hint="eastAsia" w:ascii="仿宋" w:hAnsi="仿宋" w:eastAsia="仿宋" w:cs="仿宋"/>
          <w:color w:val="000000"/>
          <w:sz w:val="24"/>
        </w:rPr>
        <w:t>（1）传感器类型：10.6eV紫外灯的PID传感器；</w:t>
      </w:r>
    </w:p>
    <w:p>
      <w:pPr>
        <w:pStyle w:val="102"/>
        <w:spacing w:line="360" w:lineRule="auto"/>
        <w:ind w:left="0" w:firstLine="480" w:firstLineChars="200"/>
        <w:contextualSpacing w:val="0"/>
        <w:rPr>
          <w:rFonts w:ascii="仿宋" w:hAnsi="仿宋" w:eastAsia="仿宋" w:cs="仿宋"/>
          <w:color w:val="000000"/>
          <w:sz w:val="24"/>
        </w:rPr>
      </w:pPr>
      <w:r>
        <w:rPr>
          <w:rFonts w:hint="eastAsia" w:ascii="仿宋" w:hAnsi="仿宋" w:eastAsia="仿宋" w:cs="仿宋"/>
          <w:color w:val="000000"/>
          <w:sz w:val="24"/>
        </w:rPr>
        <w:t>（2）检测范围：0.1ppm-5000ppm；</w:t>
      </w:r>
    </w:p>
    <w:p>
      <w:pPr>
        <w:pStyle w:val="102"/>
        <w:spacing w:line="360" w:lineRule="auto"/>
        <w:ind w:left="0" w:firstLine="480" w:firstLineChars="200"/>
        <w:contextualSpacing w:val="0"/>
        <w:rPr>
          <w:rFonts w:ascii="仿宋" w:hAnsi="仿宋" w:eastAsia="仿宋" w:cs="仿宋"/>
          <w:color w:val="000000"/>
          <w:sz w:val="24"/>
        </w:rPr>
      </w:pPr>
      <w:r>
        <w:rPr>
          <w:rFonts w:hint="eastAsia" w:ascii="仿宋" w:hAnsi="仿宋" w:eastAsia="仿宋" w:cs="仿宋"/>
          <w:color w:val="000000"/>
          <w:sz w:val="24"/>
        </w:rPr>
        <w:t>（3）分辨率：0.1ppm；</w:t>
      </w:r>
    </w:p>
    <w:p>
      <w:pPr>
        <w:pStyle w:val="102"/>
        <w:spacing w:line="360" w:lineRule="auto"/>
        <w:ind w:left="0" w:firstLine="480" w:firstLineChars="200"/>
        <w:contextualSpacing w:val="0"/>
        <w:rPr>
          <w:rFonts w:ascii="仿宋" w:hAnsi="仿宋" w:eastAsia="仿宋" w:cs="仿宋"/>
          <w:color w:val="000000"/>
          <w:sz w:val="24"/>
        </w:rPr>
      </w:pPr>
      <w:r>
        <w:rPr>
          <w:rFonts w:hint="eastAsia" w:ascii="仿宋" w:hAnsi="仿宋" w:eastAsia="仿宋" w:cs="仿宋"/>
          <w:color w:val="000000"/>
          <w:sz w:val="24"/>
        </w:rPr>
        <w:t>（4）响应时间：（T90）≤2s；</w:t>
      </w:r>
    </w:p>
    <w:p>
      <w:pPr>
        <w:pStyle w:val="102"/>
        <w:spacing w:line="360" w:lineRule="auto"/>
        <w:ind w:left="0" w:firstLine="480" w:firstLineChars="200"/>
        <w:contextualSpacing w:val="0"/>
        <w:rPr>
          <w:rFonts w:ascii="仿宋" w:hAnsi="仿宋" w:eastAsia="仿宋" w:cs="仿宋"/>
          <w:color w:val="000000"/>
          <w:sz w:val="24"/>
        </w:rPr>
      </w:pPr>
      <w:r>
        <w:rPr>
          <w:rFonts w:hint="eastAsia" w:ascii="仿宋" w:hAnsi="仿宋" w:eastAsia="仿宋" w:cs="仿宋"/>
          <w:color w:val="000000"/>
          <w:sz w:val="24"/>
        </w:rPr>
        <w:t>（5）检测精度：10-2000ppm异丁烯标定点的±5%；</w:t>
      </w:r>
    </w:p>
    <w:p>
      <w:pPr>
        <w:pStyle w:val="102"/>
        <w:spacing w:line="360" w:lineRule="auto"/>
        <w:ind w:left="0" w:firstLine="480" w:firstLineChars="200"/>
        <w:contextualSpacing w:val="0"/>
        <w:rPr>
          <w:rFonts w:ascii="仿宋" w:hAnsi="仿宋" w:eastAsia="仿宋" w:cs="仿宋"/>
          <w:color w:val="000000"/>
          <w:sz w:val="24"/>
        </w:rPr>
      </w:pPr>
      <w:r>
        <w:rPr>
          <w:rFonts w:hint="eastAsia" w:ascii="仿宋" w:hAnsi="仿宋" w:eastAsia="仿宋" w:cs="仿宋"/>
          <w:color w:val="000000"/>
          <w:sz w:val="24"/>
        </w:rPr>
        <w:t>（6）校正系数：内置超过220种VOC气体；</w:t>
      </w:r>
    </w:p>
    <w:p>
      <w:pPr>
        <w:pStyle w:val="102"/>
        <w:spacing w:line="360" w:lineRule="auto"/>
        <w:ind w:left="0" w:firstLine="480" w:firstLineChars="200"/>
        <w:contextualSpacing w:val="0"/>
        <w:rPr>
          <w:rFonts w:ascii="仿宋" w:hAnsi="仿宋" w:eastAsia="仿宋" w:cs="仿宋"/>
          <w:color w:val="000000"/>
          <w:sz w:val="24"/>
        </w:rPr>
      </w:pPr>
      <w:r>
        <w:rPr>
          <w:rFonts w:hint="eastAsia" w:ascii="仿宋" w:hAnsi="仿宋" w:eastAsia="仿宋" w:cs="仿宋"/>
          <w:color w:val="000000"/>
          <w:sz w:val="24"/>
        </w:rPr>
        <w:t>（7）泵方式：内置；</w:t>
      </w:r>
    </w:p>
    <w:p>
      <w:pPr>
        <w:pStyle w:val="102"/>
        <w:spacing w:line="360" w:lineRule="auto"/>
        <w:ind w:left="0" w:firstLine="480" w:firstLineChars="200"/>
        <w:contextualSpacing w:val="0"/>
        <w:rPr>
          <w:rFonts w:ascii="仿宋" w:hAnsi="仿宋" w:eastAsia="仿宋" w:cs="仿宋"/>
          <w:color w:val="000000"/>
          <w:sz w:val="24"/>
        </w:rPr>
      </w:pPr>
      <w:r>
        <w:rPr>
          <w:rFonts w:hint="eastAsia" w:ascii="仿宋" w:hAnsi="仿宋" w:eastAsia="仿宋" w:cs="仿宋"/>
          <w:color w:val="000000"/>
          <w:sz w:val="24"/>
        </w:rPr>
        <w:t>（8）泵流速：450-550cc/min</w:t>
      </w:r>
    </w:p>
    <w:p>
      <w:pPr>
        <w:pStyle w:val="6"/>
        <w:numPr>
          <w:ilvl w:val="0"/>
          <w:numId w:val="0"/>
        </w:numPr>
        <w:spacing w:line="360" w:lineRule="auto"/>
        <w:rPr>
          <w:rFonts w:cs="仿宋"/>
          <w:sz w:val="24"/>
          <w:szCs w:val="24"/>
        </w:rPr>
      </w:pPr>
      <w:r>
        <w:rPr>
          <w:rFonts w:hint="eastAsia" w:cs="仿宋"/>
          <w:sz w:val="24"/>
          <w:szCs w:val="24"/>
        </w:rPr>
        <w:t>（1.3）重点企业抽测服务</w:t>
      </w:r>
    </w:p>
    <w:p>
      <w:pPr>
        <w:widowControl/>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按照相关要求，对重点企业VOCs废气收集情况、排放浓度、治理设施去除效率开展一轮抽测；对储油库、加油站等油气回收设施开展一轮抽测。</w:t>
      </w:r>
    </w:p>
    <w:p>
      <w:pPr>
        <w:widowControl/>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总抽测数目不少于35家，提供重点企业抽测报告不少于35份。</w:t>
      </w:r>
    </w:p>
    <w:p>
      <w:pPr>
        <w:pStyle w:val="6"/>
        <w:numPr>
          <w:ilvl w:val="0"/>
          <w:numId w:val="0"/>
        </w:numPr>
        <w:spacing w:line="360" w:lineRule="auto"/>
        <w:rPr>
          <w:rFonts w:cs="仿宋"/>
          <w:sz w:val="24"/>
          <w:szCs w:val="24"/>
        </w:rPr>
      </w:pPr>
      <w:r>
        <w:rPr>
          <w:rFonts w:hint="eastAsia" w:cs="仿宋"/>
          <w:sz w:val="24"/>
          <w:szCs w:val="24"/>
        </w:rPr>
        <w:t>（1.4）重点项目评估服务</w:t>
      </w:r>
    </w:p>
    <w:p>
      <w:pPr>
        <w:pStyle w:val="42"/>
        <w:spacing w:line="360" w:lineRule="auto"/>
        <w:rPr>
          <w:rFonts w:ascii="仿宋" w:hAnsi="仿宋" w:eastAsia="仿宋" w:cs="仿宋"/>
          <w:color w:val="000000"/>
          <w:sz w:val="24"/>
          <w:szCs w:val="24"/>
        </w:rPr>
      </w:pPr>
      <w:r>
        <w:rPr>
          <w:rFonts w:hint="eastAsia" w:ascii="仿宋" w:hAnsi="仿宋" w:eastAsia="仿宋" w:cs="仿宋"/>
          <w:color w:val="000000"/>
          <w:sz w:val="24"/>
          <w:szCs w:val="24"/>
        </w:rPr>
        <w:t>针对企业VOCs检查与抽测过程中发现的重大问题整改完成情况及整改效果进行复查评估。</w:t>
      </w:r>
    </w:p>
    <w:p>
      <w:pPr>
        <w:pStyle w:val="42"/>
        <w:spacing w:line="360" w:lineRule="auto"/>
        <w:rPr>
          <w:rFonts w:ascii="仿宋" w:hAnsi="仿宋" w:eastAsia="仿宋" w:cs="仿宋"/>
          <w:color w:val="000000"/>
          <w:sz w:val="24"/>
          <w:szCs w:val="24"/>
        </w:rPr>
      </w:pPr>
      <w:r>
        <w:rPr>
          <w:rFonts w:hint="eastAsia" w:ascii="仿宋" w:hAnsi="仿宋" w:eastAsia="仿宋" w:cs="仿宋"/>
          <w:color w:val="000000"/>
          <w:sz w:val="24"/>
          <w:szCs w:val="24"/>
        </w:rPr>
        <w:t>评估项目不少于40个，提供重点项目评估报告不少于40份。</w:t>
      </w:r>
    </w:p>
    <w:p>
      <w:pPr>
        <w:pStyle w:val="6"/>
        <w:numPr>
          <w:ilvl w:val="0"/>
          <w:numId w:val="0"/>
        </w:numPr>
        <w:spacing w:line="360" w:lineRule="auto"/>
        <w:rPr>
          <w:rFonts w:cs="仿宋"/>
          <w:sz w:val="24"/>
          <w:szCs w:val="24"/>
        </w:rPr>
      </w:pPr>
      <w:r>
        <w:rPr>
          <w:rFonts w:hint="eastAsia" w:cs="仿宋"/>
          <w:sz w:val="24"/>
          <w:szCs w:val="24"/>
        </w:rPr>
        <w:t>（1.5）VOCs巡查服务</w:t>
      </w:r>
    </w:p>
    <w:p>
      <w:pPr>
        <w:spacing w:line="360" w:lineRule="auto"/>
        <w:ind w:firstLine="480"/>
        <w:rPr>
          <w:rFonts w:ascii="仿宋" w:hAnsi="仿宋" w:eastAsia="仿宋" w:cs="仿宋"/>
          <w:color w:val="000000"/>
          <w:sz w:val="24"/>
        </w:rPr>
      </w:pPr>
      <w:r>
        <w:rPr>
          <w:rFonts w:hint="eastAsia" w:ascii="仿宋" w:hAnsi="仿宋" w:eastAsia="仿宋" w:cs="仿宋"/>
          <w:color w:val="000000"/>
          <w:sz w:val="24"/>
        </w:rPr>
        <w:t>为加强企业VOCs污染源监管能力，应建立本地化污染巡查服务团队。为保证整改意见顺利实施，团队应与绍兴市生态环境局开展深度合作，组建巡查问题处置组，对发现的环境问题进行处置、跟踪，提高工作效率和管理水平，并配合生态环境局开展其他相关大气污染防治工作。</w:t>
      </w:r>
    </w:p>
    <w:p>
      <w:pPr>
        <w:spacing w:line="360" w:lineRule="auto"/>
        <w:ind w:firstLine="480"/>
        <w:rPr>
          <w:rFonts w:ascii="仿宋" w:hAnsi="仿宋" w:eastAsia="仿宋" w:cs="仿宋"/>
          <w:color w:val="000000"/>
          <w:sz w:val="24"/>
        </w:rPr>
      </w:pPr>
      <w:r>
        <w:rPr>
          <w:rFonts w:hint="eastAsia" w:ascii="仿宋" w:hAnsi="仿宋" w:eastAsia="仿宋" w:cs="仿宋"/>
          <w:color w:val="000000"/>
          <w:sz w:val="24"/>
        </w:rPr>
        <w:t>检查企业不少于1000家次，发现问题不少于300个。</w:t>
      </w:r>
    </w:p>
    <w:p>
      <w:pPr>
        <w:spacing w:line="360" w:lineRule="auto"/>
        <w:ind w:firstLine="480"/>
        <w:rPr>
          <w:rFonts w:ascii="仿宋" w:hAnsi="仿宋" w:eastAsia="仿宋" w:cs="仿宋"/>
          <w:color w:val="000000"/>
          <w:sz w:val="24"/>
        </w:rPr>
      </w:pPr>
      <w:r>
        <w:rPr>
          <w:rFonts w:hint="eastAsia" w:ascii="仿宋" w:hAnsi="仿宋" w:eastAsia="仿宋" w:cs="仿宋"/>
          <w:color w:val="000000"/>
          <w:sz w:val="24"/>
        </w:rPr>
        <w:t>拟投入的本项服务人员至少12人，配备巡查车辆6辆。</w:t>
      </w:r>
    </w:p>
    <w:p>
      <w:pPr>
        <w:pStyle w:val="102"/>
        <w:numPr>
          <w:ilvl w:val="0"/>
          <w:numId w:val="9"/>
        </w:numPr>
        <w:spacing w:after="0" w:line="360" w:lineRule="auto"/>
        <w:contextualSpacing w:val="0"/>
        <w:jc w:val="both"/>
        <w:rPr>
          <w:rFonts w:ascii="仿宋" w:hAnsi="仿宋" w:eastAsia="仿宋" w:cs="仿宋"/>
          <w:color w:val="000000"/>
          <w:sz w:val="24"/>
        </w:rPr>
      </w:pPr>
      <w:r>
        <w:rPr>
          <w:rFonts w:hint="eastAsia" w:ascii="仿宋" w:hAnsi="仿宋" w:eastAsia="仿宋" w:cs="仿宋"/>
          <w:color w:val="000000"/>
          <w:sz w:val="24"/>
        </w:rPr>
        <w:t>技术组</w:t>
      </w:r>
    </w:p>
    <w:p>
      <w:pPr>
        <w:spacing w:line="360" w:lineRule="auto"/>
        <w:ind w:firstLine="480"/>
        <w:rPr>
          <w:rFonts w:ascii="仿宋" w:hAnsi="仿宋" w:eastAsia="仿宋" w:cs="仿宋"/>
          <w:color w:val="000000"/>
          <w:sz w:val="24"/>
        </w:rPr>
      </w:pPr>
      <w:r>
        <w:rPr>
          <w:rFonts w:hint="eastAsia" w:ascii="仿宋" w:hAnsi="仿宋" w:eastAsia="仿宋" w:cs="仿宋"/>
          <w:color w:val="000000"/>
          <w:sz w:val="24"/>
        </w:rPr>
        <w:t>提供2名技术专家人员，要求为环境相关专业硕士及以上学历。</w:t>
      </w:r>
    </w:p>
    <w:p>
      <w:pPr>
        <w:spacing w:line="360" w:lineRule="auto"/>
        <w:ind w:firstLine="480"/>
        <w:rPr>
          <w:rFonts w:ascii="仿宋" w:hAnsi="仿宋" w:eastAsia="仿宋" w:cs="仿宋"/>
          <w:color w:val="000000"/>
          <w:sz w:val="24"/>
        </w:rPr>
      </w:pPr>
      <w:r>
        <w:rPr>
          <w:rFonts w:hint="eastAsia" w:ascii="仿宋" w:hAnsi="仿宋" w:eastAsia="仿宋" w:cs="仿宋"/>
          <w:color w:val="000000"/>
          <w:sz w:val="24"/>
        </w:rPr>
        <w:t>完成巡查工作机制制定、进行日常调度指导、提供问题整改建议、问题整改跟踪等工作。针对绍兴市特征行业，调研行业工艺流程，梳理工业企业VOCs现场检查清单项目。并配合管理部门做好相关大气污染防治工作。</w:t>
      </w:r>
    </w:p>
    <w:p>
      <w:pPr>
        <w:pStyle w:val="102"/>
        <w:numPr>
          <w:ilvl w:val="0"/>
          <w:numId w:val="9"/>
        </w:numPr>
        <w:spacing w:after="0" w:line="360" w:lineRule="auto"/>
        <w:contextualSpacing w:val="0"/>
        <w:jc w:val="both"/>
        <w:rPr>
          <w:rFonts w:ascii="仿宋" w:hAnsi="仿宋" w:eastAsia="仿宋" w:cs="仿宋"/>
          <w:color w:val="000000"/>
          <w:sz w:val="24"/>
        </w:rPr>
      </w:pPr>
      <w:r>
        <w:rPr>
          <w:rFonts w:hint="eastAsia" w:ascii="仿宋" w:hAnsi="仿宋" w:eastAsia="仿宋" w:cs="仿宋"/>
          <w:color w:val="000000"/>
          <w:sz w:val="24"/>
        </w:rPr>
        <w:t>污染巡查组</w:t>
      </w:r>
    </w:p>
    <w:p>
      <w:pPr>
        <w:spacing w:line="360" w:lineRule="auto"/>
        <w:ind w:firstLine="480"/>
        <w:rPr>
          <w:rFonts w:ascii="仿宋" w:hAnsi="仿宋" w:eastAsia="仿宋" w:cs="仿宋"/>
          <w:color w:val="000000"/>
          <w:sz w:val="24"/>
        </w:rPr>
      </w:pPr>
      <w:r>
        <w:rPr>
          <w:rFonts w:hint="eastAsia" w:ascii="仿宋" w:hAnsi="仿宋" w:eastAsia="仿宋" w:cs="仿宋"/>
          <w:color w:val="000000"/>
          <w:sz w:val="24"/>
        </w:rPr>
        <w:t>至少10名，完成绍兴市工业源VOCs巡查、复查工作，问题清单整理工作。每日提供巡查问题清单，按要求提供巡查问题总结分析报告。配合管理部门做好相关大气污染防治工作。</w:t>
      </w:r>
    </w:p>
    <w:p>
      <w:pPr>
        <w:pStyle w:val="6"/>
        <w:numPr>
          <w:ilvl w:val="0"/>
          <w:numId w:val="0"/>
        </w:numPr>
        <w:spacing w:line="360" w:lineRule="auto"/>
        <w:rPr>
          <w:rFonts w:cs="仿宋"/>
          <w:b w:val="0"/>
          <w:bCs/>
          <w:sz w:val="24"/>
          <w:szCs w:val="24"/>
        </w:rPr>
      </w:pPr>
      <w:r>
        <w:rPr>
          <w:rFonts w:hint="eastAsia" w:cs="仿宋"/>
          <w:sz w:val="24"/>
          <w:szCs w:val="24"/>
        </w:rPr>
        <w:t>（1.6）绍兴市大气污染热点网格监管平台及小程序运维服务</w:t>
      </w:r>
    </w:p>
    <w:p>
      <w:pPr>
        <w:pStyle w:val="42"/>
        <w:spacing w:line="360" w:lineRule="auto"/>
        <w:rPr>
          <w:rFonts w:ascii="仿宋" w:hAnsi="仿宋" w:eastAsia="仿宋" w:cs="仿宋"/>
          <w:sz w:val="24"/>
          <w:szCs w:val="24"/>
        </w:rPr>
      </w:pPr>
      <w:r>
        <w:rPr>
          <w:rFonts w:hint="eastAsia" w:ascii="仿宋" w:hAnsi="仿宋" w:eastAsia="仿宋" w:cs="仿宋"/>
          <w:sz w:val="24"/>
          <w:szCs w:val="24"/>
        </w:rPr>
        <w:t>为绍兴市已建大气污染热点网格监管平台及小程序提供运维服务，包括但不限于故障问题解决、新增需求与功能开发。</w:t>
      </w:r>
    </w:p>
    <w:p>
      <w:pPr>
        <w:pStyle w:val="5"/>
        <w:numPr>
          <w:ilvl w:val="0"/>
          <w:numId w:val="0"/>
        </w:numPr>
        <w:spacing w:before="156" w:after="156"/>
        <w:rPr>
          <w:sz w:val="24"/>
          <w:szCs w:val="24"/>
        </w:rPr>
      </w:pPr>
      <w:r>
        <w:rPr>
          <w:rFonts w:hint="eastAsia"/>
          <w:sz w:val="24"/>
          <w:szCs w:val="24"/>
        </w:rPr>
        <w:t>（2）扬尘检测巡查服务</w:t>
      </w:r>
    </w:p>
    <w:p>
      <w:pPr>
        <w:spacing w:line="360" w:lineRule="auto"/>
        <w:ind w:firstLine="480"/>
        <w:rPr>
          <w:rFonts w:ascii="仿宋" w:hAnsi="仿宋" w:eastAsia="仿宋" w:cs="仿宋"/>
          <w:color w:val="000000"/>
          <w:sz w:val="24"/>
        </w:rPr>
      </w:pPr>
      <w:r>
        <w:rPr>
          <w:rFonts w:hint="eastAsia" w:ascii="仿宋" w:hAnsi="仿宋" w:eastAsia="仿宋" w:cs="仿宋"/>
          <w:color w:val="000000"/>
          <w:sz w:val="24"/>
        </w:rPr>
        <w:t>为加强工地扬尘、非道路移动机械监管能力，应建立本地化污染巡查服务团队，配备巡查车。开展施工工地大气污染防治专项检查，对重点区域工地全面实现8个100%和推动柴油动力源绿色化进程，实现对工地污染物排放的有效管控，降低对PM10、PM2.5的贡献值，有效改善环境空气质量，并配合生态环境局开展其他相关大气污染防治工作。</w:t>
      </w:r>
    </w:p>
    <w:p>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拟投入本项服务人员至少4人，配备巡查车辆2辆。</w:t>
      </w:r>
      <w:r>
        <w:rPr>
          <w:rFonts w:hint="eastAsia" w:ascii="仿宋" w:hAnsi="仿宋" w:eastAsia="仿宋" w:cs="仿宋"/>
          <w:sz w:val="24"/>
        </w:rPr>
        <w:t>提供非道路移动检测装备2套，提供巡查所需的其它各类工具。</w:t>
      </w:r>
    </w:p>
    <w:p>
      <w:pPr>
        <w:pStyle w:val="6"/>
        <w:numPr>
          <w:ilvl w:val="0"/>
          <w:numId w:val="0"/>
        </w:numPr>
        <w:spacing w:line="360" w:lineRule="auto"/>
        <w:rPr>
          <w:rFonts w:cs="仿宋"/>
          <w:b w:val="0"/>
          <w:sz w:val="24"/>
          <w:szCs w:val="24"/>
        </w:rPr>
      </w:pPr>
      <w:r>
        <w:rPr>
          <w:rFonts w:hint="eastAsia" w:cs="仿宋"/>
          <w:sz w:val="24"/>
          <w:szCs w:val="24"/>
        </w:rPr>
        <w:t>（2.1）开展日常工地巡查工作</w:t>
      </w:r>
    </w:p>
    <w:p>
      <w:pPr>
        <w:widowControl/>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配合生态环境部门开展工地、道路巡查等相关工作，巡查数量不小于2000家次，发现问题不得少于150例。</w:t>
      </w:r>
    </w:p>
    <w:p>
      <w:pPr>
        <w:widowControl/>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以8个100%抑尘措施为基础进行检查，对工地围挡情况、土方覆盖情况、车辆清洗情况、湿法施工情况、道路硬化情况、建筑垃圾堆放处置进行检查，拍照并做好记录。</w:t>
      </w:r>
    </w:p>
    <w:p>
      <w:pPr>
        <w:widowControl/>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8个100%抑尘措施分别是：</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eq \o\ac(</w:instrText>
      </w:r>
      <w:r>
        <w:rPr>
          <w:rFonts w:hint="eastAsia" w:ascii="仿宋" w:hAnsi="仿宋" w:eastAsia="仿宋" w:cs="仿宋"/>
          <w:position w:val="-4"/>
          <w:sz w:val="36"/>
          <w:szCs w:val="24"/>
        </w:rPr>
        <w:instrText xml:space="preserve">○</w:instrText>
      </w:r>
      <w:r>
        <w:rPr>
          <w:rFonts w:hint="eastAsia" w:ascii="仿宋" w:hAnsi="仿宋" w:eastAsia="仿宋" w:cs="仿宋"/>
          <w:position w:val="0"/>
          <w:sz w:val="24"/>
          <w:szCs w:val="24"/>
        </w:rPr>
        <w:instrText xml:space="preserve">,1)</w:instrText>
      </w:r>
      <w:r>
        <w:rPr>
          <w:rFonts w:hint="eastAsia" w:ascii="仿宋" w:hAnsi="仿宋" w:eastAsia="仿宋" w:cs="仿宋"/>
          <w:sz w:val="24"/>
          <w:szCs w:val="24"/>
        </w:rPr>
        <w:fldChar w:fldCharType="end"/>
      </w:r>
      <w:r>
        <w:rPr>
          <w:rFonts w:hint="eastAsia" w:ascii="仿宋" w:hAnsi="仿宋" w:eastAsia="仿宋" w:cs="仿宋"/>
          <w:sz w:val="24"/>
          <w:szCs w:val="24"/>
        </w:rPr>
        <w:t>施工工地现场围挡和外架防护100%全封闭，围挡保持整洁美观，外架安全网无破损；</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eq \o\ac(</w:instrText>
      </w:r>
      <w:r>
        <w:rPr>
          <w:rFonts w:hint="eastAsia" w:ascii="仿宋" w:hAnsi="仿宋" w:eastAsia="仿宋" w:cs="仿宋"/>
          <w:position w:val="-4"/>
          <w:sz w:val="36"/>
          <w:szCs w:val="24"/>
        </w:rPr>
        <w:instrText xml:space="preserve">○</w:instrText>
      </w:r>
      <w:r>
        <w:rPr>
          <w:rFonts w:hint="eastAsia" w:ascii="仿宋" w:hAnsi="仿宋" w:eastAsia="仿宋" w:cs="仿宋"/>
          <w:position w:val="0"/>
          <w:sz w:val="24"/>
          <w:szCs w:val="24"/>
        </w:rPr>
        <w:instrText xml:space="preserve">,2)</w:instrText>
      </w:r>
      <w:r>
        <w:rPr>
          <w:rFonts w:hint="eastAsia" w:ascii="仿宋" w:hAnsi="仿宋" w:eastAsia="仿宋" w:cs="仿宋"/>
          <w:sz w:val="24"/>
          <w:szCs w:val="24"/>
        </w:rPr>
        <w:fldChar w:fldCharType="end"/>
      </w:r>
      <w:r>
        <w:rPr>
          <w:rFonts w:hint="eastAsia" w:ascii="仿宋" w:hAnsi="仿宋" w:eastAsia="仿宋" w:cs="仿宋"/>
          <w:sz w:val="24"/>
          <w:szCs w:val="24"/>
        </w:rPr>
        <w:t>施工现场出入口及车行道路100%硬化；</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eq \o\ac(</w:instrText>
      </w:r>
      <w:r>
        <w:rPr>
          <w:rFonts w:hint="eastAsia" w:ascii="仿宋" w:hAnsi="仿宋" w:eastAsia="仿宋" w:cs="仿宋"/>
          <w:position w:val="-4"/>
          <w:sz w:val="36"/>
          <w:szCs w:val="24"/>
        </w:rPr>
        <w:instrText xml:space="preserve">○</w:instrText>
      </w:r>
      <w:r>
        <w:rPr>
          <w:rFonts w:hint="eastAsia" w:ascii="仿宋" w:hAnsi="仿宋" w:eastAsia="仿宋" w:cs="仿宋"/>
          <w:position w:val="0"/>
          <w:sz w:val="24"/>
          <w:szCs w:val="24"/>
        </w:rPr>
        <w:instrText xml:space="preserve">,3)</w:instrText>
      </w:r>
      <w:r>
        <w:rPr>
          <w:rFonts w:hint="eastAsia" w:ascii="仿宋" w:hAnsi="仿宋" w:eastAsia="仿宋" w:cs="仿宋"/>
          <w:sz w:val="24"/>
          <w:szCs w:val="24"/>
        </w:rPr>
        <w:fldChar w:fldCharType="end"/>
      </w:r>
      <w:r>
        <w:rPr>
          <w:rFonts w:hint="eastAsia" w:ascii="仿宋" w:hAnsi="仿宋" w:eastAsia="仿宋" w:cs="仿宋"/>
          <w:sz w:val="24"/>
          <w:szCs w:val="24"/>
        </w:rPr>
        <w:t>施工现场出入口100%设置车辆冲洗设施；</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eq \o\ac(</w:instrText>
      </w:r>
      <w:r>
        <w:rPr>
          <w:rFonts w:hint="eastAsia" w:ascii="仿宋" w:hAnsi="仿宋" w:eastAsia="仿宋" w:cs="仿宋"/>
          <w:position w:val="-4"/>
          <w:sz w:val="36"/>
          <w:szCs w:val="24"/>
        </w:rPr>
        <w:instrText xml:space="preserve">○</w:instrText>
      </w:r>
      <w:r>
        <w:rPr>
          <w:rFonts w:hint="eastAsia" w:ascii="仿宋" w:hAnsi="仿宋" w:eastAsia="仿宋" w:cs="仿宋"/>
          <w:position w:val="0"/>
          <w:sz w:val="24"/>
          <w:szCs w:val="24"/>
        </w:rPr>
        <w:instrText xml:space="preserve">,4)</w:instrText>
      </w:r>
      <w:r>
        <w:rPr>
          <w:rFonts w:hint="eastAsia" w:ascii="仿宋" w:hAnsi="仿宋" w:eastAsia="仿宋" w:cs="仿宋"/>
          <w:sz w:val="24"/>
          <w:szCs w:val="24"/>
        </w:rPr>
        <w:fldChar w:fldCharType="end"/>
      </w:r>
      <w:r>
        <w:rPr>
          <w:rFonts w:hint="eastAsia" w:ascii="仿宋" w:hAnsi="仿宋" w:eastAsia="仿宋" w:cs="仿宋"/>
          <w:sz w:val="24"/>
          <w:szCs w:val="24"/>
        </w:rPr>
        <w:t>易起扬尘作业面100%湿法施工；</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eq \o\ac(</w:instrText>
      </w:r>
      <w:r>
        <w:rPr>
          <w:rFonts w:hint="eastAsia" w:ascii="仿宋" w:hAnsi="仿宋" w:eastAsia="仿宋" w:cs="仿宋"/>
          <w:position w:val="-4"/>
          <w:sz w:val="36"/>
          <w:szCs w:val="24"/>
        </w:rPr>
        <w:instrText xml:space="preserve">○</w:instrText>
      </w:r>
      <w:r>
        <w:rPr>
          <w:rFonts w:hint="eastAsia" w:ascii="仿宋" w:hAnsi="仿宋" w:eastAsia="仿宋" w:cs="仿宋"/>
          <w:position w:val="0"/>
          <w:sz w:val="24"/>
          <w:szCs w:val="24"/>
        </w:rPr>
        <w:instrText xml:space="preserve">,5)</w:instrText>
      </w:r>
      <w:r>
        <w:rPr>
          <w:rFonts w:hint="eastAsia" w:ascii="仿宋" w:hAnsi="仿宋" w:eastAsia="仿宋" w:cs="仿宋"/>
          <w:sz w:val="24"/>
          <w:szCs w:val="24"/>
        </w:rPr>
        <w:fldChar w:fldCharType="end"/>
      </w:r>
      <w:r>
        <w:rPr>
          <w:rFonts w:hint="eastAsia" w:ascii="仿宋" w:hAnsi="仿宋" w:eastAsia="仿宋" w:cs="仿宋"/>
          <w:sz w:val="24"/>
          <w:szCs w:val="24"/>
        </w:rPr>
        <w:t>裸露黄土及易起尘物料100%覆盖；</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eq \o\ac(</w:instrText>
      </w:r>
      <w:r>
        <w:rPr>
          <w:rFonts w:hint="eastAsia" w:ascii="仿宋" w:hAnsi="仿宋" w:eastAsia="仿宋" w:cs="仿宋"/>
          <w:position w:val="-4"/>
          <w:sz w:val="36"/>
          <w:szCs w:val="24"/>
        </w:rPr>
        <w:instrText xml:space="preserve">○</w:instrText>
      </w:r>
      <w:r>
        <w:rPr>
          <w:rFonts w:hint="eastAsia" w:ascii="仿宋" w:hAnsi="仿宋" w:eastAsia="仿宋" w:cs="仿宋"/>
          <w:position w:val="0"/>
          <w:sz w:val="24"/>
          <w:szCs w:val="24"/>
        </w:rPr>
        <w:instrText xml:space="preserve">,6)</w:instrText>
      </w:r>
      <w:r>
        <w:rPr>
          <w:rFonts w:hint="eastAsia" w:ascii="仿宋" w:hAnsi="仿宋" w:eastAsia="仿宋" w:cs="仿宋"/>
          <w:sz w:val="24"/>
          <w:szCs w:val="24"/>
        </w:rPr>
        <w:fldChar w:fldCharType="end"/>
      </w:r>
      <w:r>
        <w:rPr>
          <w:rFonts w:hint="eastAsia" w:ascii="仿宋" w:hAnsi="仿宋" w:eastAsia="仿宋" w:cs="仿宋"/>
          <w:sz w:val="24"/>
          <w:szCs w:val="24"/>
        </w:rPr>
        <w:t>渣土实施100%密封运输；</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eq \o\ac(</w:instrText>
      </w:r>
      <w:r>
        <w:rPr>
          <w:rFonts w:hint="eastAsia" w:ascii="仿宋" w:hAnsi="仿宋" w:eastAsia="仿宋" w:cs="仿宋"/>
          <w:position w:val="-4"/>
          <w:sz w:val="36"/>
          <w:szCs w:val="24"/>
        </w:rPr>
        <w:instrText xml:space="preserve">○</w:instrText>
      </w:r>
      <w:r>
        <w:rPr>
          <w:rFonts w:hint="eastAsia" w:ascii="仿宋" w:hAnsi="仿宋" w:eastAsia="仿宋" w:cs="仿宋"/>
          <w:position w:val="0"/>
          <w:sz w:val="24"/>
          <w:szCs w:val="24"/>
        </w:rPr>
        <w:instrText xml:space="preserve">,7)</w:instrText>
      </w:r>
      <w:r>
        <w:rPr>
          <w:rFonts w:hint="eastAsia" w:ascii="仿宋" w:hAnsi="仿宋" w:eastAsia="仿宋" w:cs="仿宋"/>
          <w:sz w:val="24"/>
          <w:szCs w:val="24"/>
        </w:rPr>
        <w:fldChar w:fldCharType="end"/>
      </w:r>
      <w:r>
        <w:rPr>
          <w:rFonts w:hint="eastAsia" w:ascii="仿宋" w:hAnsi="仿宋" w:eastAsia="仿宋" w:cs="仿宋"/>
          <w:sz w:val="24"/>
          <w:szCs w:val="24"/>
        </w:rPr>
        <w:t>建筑垃圾100%规范管理，必须集中堆放、及时清运，严禁高空抛洒和焚烧；</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eq \o\ac(</w:instrText>
      </w:r>
      <w:r>
        <w:rPr>
          <w:rFonts w:hint="eastAsia" w:ascii="仿宋" w:hAnsi="仿宋" w:eastAsia="仿宋" w:cs="仿宋"/>
          <w:position w:val="-4"/>
          <w:sz w:val="36"/>
          <w:szCs w:val="24"/>
        </w:rPr>
        <w:instrText xml:space="preserve">○</w:instrText>
      </w:r>
      <w:r>
        <w:rPr>
          <w:rFonts w:hint="eastAsia" w:ascii="仿宋" w:hAnsi="仿宋" w:eastAsia="仿宋" w:cs="仿宋"/>
          <w:position w:val="0"/>
          <w:sz w:val="24"/>
          <w:szCs w:val="24"/>
        </w:rPr>
        <w:instrText xml:space="preserve">,8)</w:instrText>
      </w:r>
      <w:r>
        <w:rPr>
          <w:rFonts w:hint="eastAsia" w:ascii="仿宋" w:hAnsi="仿宋" w:eastAsia="仿宋" w:cs="仿宋"/>
          <w:sz w:val="24"/>
          <w:szCs w:val="24"/>
        </w:rPr>
        <w:fldChar w:fldCharType="end"/>
      </w:r>
      <w:r>
        <w:rPr>
          <w:rFonts w:hint="eastAsia" w:ascii="仿宋" w:hAnsi="仿宋" w:eastAsia="仿宋" w:cs="仿宋"/>
          <w:sz w:val="24"/>
          <w:szCs w:val="24"/>
        </w:rPr>
        <w:t>非道路移动工程机械尾气排放100%达标，严禁使用劣质油品，严禁冒烟作业。</w:t>
      </w:r>
    </w:p>
    <w:p>
      <w:pPr>
        <w:pStyle w:val="6"/>
        <w:numPr>
          <w:ilvl w:val="0"/>
          <w:numId w:val="0"/>
        </w:numPr>
        <w:spacing w:line="360" w:lineRule="auto"/>
        <w:rPr>
          <w:rFonts w:cs="仿宋"/>
          <w:sz w:val="24"/>
          <w:szCs w:val="24"/>
        </w:rPr>
      </w:pPr>
      <w:r>
        <w:rPr>
          <w:rFonts w:hint="eastAsia" w:cs="仿宋"/>
          <w:sz w:val="24"/>
          <w:szCs w:val="24"/>
        </w:rPr>
        <w:t>（2.2）非道路移动机械检测</w:t>
      </w:r>
    </w:p>
    <w:p>
      <w:pPr>
        <w:snapToGrid w:val="0"/>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对全市工地非道路移动机械进行抽检，抽检数量不少于100台，对重点区域进行柴油动力移动源分类管理的宣传。</w:t>
      </w:r>
    </w:p>
    <w:p>
      <w:pPr>
        <w:pStyle w:val="6"/>
        <w:numPr>
          <w:ilvl w:val="0"/>
          <w:numId w:val="0"/>
        </w:numPr>
        <w:spacing w:line="360" w:lineRule="auto"/>
        <w:rPr>
          <w:rFonts w:cs="仿宋"/>
          <w:sz w:val="24"/>
          <w:szCs w:val="24"/>
        </w:rPr>
      </w:pPr>
      <w:r>
        <w:rPr>
          <w:rFonts w:hint="eastAsia" w:cs="仿宋"/>
          <w:sz w:val="24"/>
          <w:szCs w:val="24"/>
        </w:rPr>
        <w:t>（2.3）秋冬季重污染天的应急工作</w:t>
      </w:r>
    </w:p>
    <w:p>
      <w:pPr>
        <w:spacing w:line="44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针对秋冬季气候变化特点，参与应急工作，包括重点区域的空气污染巡查、处置工作，如焚烧秸秆，需自带灭火工具。</w:t>
      </w:r>
    </w:p>
    <w:p>
      <w:pPr>
        <w:pStyle w:val="5"/>
        <w:numPr>
          <w:ilvl w:val="0"/>
          <w:numId w:val="0"/>
        </w:numPr>
        <w:spacing w:before="156" w:after="156"/>
        <w:rPr>
          <w:sz w:val="24"/>
          <w:szCs w:val="24"/>
        </w:rPr>
      </w:pPr>
      <w:r>
        <w:rPr>
          <w:rFonts w:hint="eastAsia"/>
          <w:sz w:val="24"/>
          <w:szCs w:val="24"/>
        </w:rPr>
        <w:t>（3）道路扬尘综合监管技术服务</w:t>
      </w:r>
    </w:p>
    <w:p>
      <w:pPr>
        <w:pStyle w:val="6"/>
        <w:numPr>
          <w:ilvl w:val="0"/>
          <w:numId w:val="0"/>
        </w:numPr>
        <w:spacing w:line="360" w:lineRule="auto"/>
        <w:rPr>
          <w:rFonts w:cs="仿宋"/>
          <w:sz w:val="24"/>
          <w:szCs w:val="24"/>
        </w:rPr>
      </w:pPr>
      <w:r>
        <w:rPr>
          <w:rFonts w:hint="eastAsia" w:cs="仿宋"/>
          <w:sz w:val="24"/>
          <w:szCs w:val="24"/>
        </w:rPr>
        <w:t>（3.1）车载式空气检测仪服务</w:t>
      </w:r>
    </w:p>
    <w:p>
      <w:pPr>
        <w:pStyle w:val="42"/>
        <w:spacing w:line="360" w:lineRule="auto"/>
        <w:rPr>
          <w:rFonts w:ascii="仿宋" w:hAnsi="仿宋" w:eastAsia="仿宋" w:cs="仿宋"/>
          <w:color w:val="000000"/>
          <w:sz w:val="24"/>
          <w:szCs w:val="24"/>
        </w:rPr>
      </w:pPr>
      <w:r>
        <w:rPr>
          <w:rFonts w:hint="eastAsia" w:ascii="仿宋" w:hAnsi="仿宋" w:eastAsia="仿宋" w:cs="仿宋"/>
          <w:color w:val="000000"/>
          <w:sz w:val="24"/>
          <w:szCs w:val="24"/>
        </w:rPr>
        <w:t>提供车载空气检测仪50套，所提供设备应满足以下技术参数：</w:t>
      </w:r>
    </w:p>
    <w:p>
      <w:pPr>
        <w:pStyle w:val="7"/>
        <w:spacing w:before="156"/>
        <w:rPr>
          <w:rFonts w:cs="仿宋"/>
          <w:sz w:val="24"/>
          <w:szCs w:val="24"/>
        </w:rPr>
      </w:pPr>
      <w:r>
        <w:rPr>
          <w:rFonts w:hint="eastAsia" w:cs="仿宋"/>
          <w:sz w:val="24"/>
          <w:szCs w:val="24"/>
        </w:rPr>
        <w:t>3.1.1 车载空气检测仪</w:t>
      </w:r>
    </w:p>
    <w:p>
      <w:pPr>
        <w:pStyle w:val="7"/>
        <w:rPr>
          <w:rFonts w:cs="仿宋"/>
          <w:sz w:val="24"/>
          <w:szCs w:val="24"/>
        </w:rPr>
      </w:pPr>
      <w:r>
        <w:rPr>
          <w:rFonts w:hint="eastAsia" w:cs="仿宋"/>
          <w:sz w:val="24"/>
          <w:szCs w:val="24"/>
        </w:rPr>
        <w:t>3.1.1.1 车载空气检测仪检测模块：</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（1）多参数检测，可同时实现PM</w:t>
      </w:r>
      <w:r>
        <w:rPr>
          <w:rFonts w:hint="eastAsia" w:ascii="仿宋" w:hAnsi="仿宋" w:eastAsia="仿宋" w:cs="仿宋"/>
          <w:sz w:val="24"/>
          <w:szCs w:val="24"/>
          <w:vertAlign w:val="subscript"/>
        </w:rPr>
        <w:t>10</w:t>
      </w:r>
      <w:r>
        <w:rPr>
          <w:rFonts w:hint="eastAsia" w:ascii="仿宋" w:hAnsi="仿宋" w:eastAsia="仿宋" w:cs="仿宋"/>
          <w:sz w:val="24"/>
          <w:szCs w:val="24"/>
        </w:rPr>
        <w:t>、PM</w:t>
      </w:r>
      <w:r>
        <w:rPr>
          <w:rFonts w:hint="eastAsia" w:ascii="仿宋" w:hAnsi="仿宋" w:eastAsia="仿宋" w:cs="仿宋"/>
          <w:sz w:val="24"/>
          <w:szCs w:val="24"/>
          <w:vertAlign w:val="subscript"/>
        </w:rPr>
        <w:t>2.5</w:t>
      </w:r>
      <w:r>
        <w:rPr>
          <w:rFonts w:hint="eastAsia" w:ascii="仿宋" w:hAnsi="仿宋" w:eastAsia="仿宋" w:cs="仿宋"/>
          <w:sz w:val="24"/>
          <w:szCs w:val="24"/>
        </w:rPr>
        <w:t>、SO</w:t>
      </w:r>
      <w:r>
        <w:rPr>
          <w:rFonts w:hint="eastAsia" w:ascii="仿宋" w:hAnsi="仿宋" w:eastAsia="仿宋" w:cs="仿宋"/>
          <w:sz w:val="24"/>
          <w:szCs w:val="24"/>
          <w:vertAlign w:val="subscript"/>
        </w:rPr>
        <w:t>2</w:t>
      </w:r>
      <w:r>
        <w:rPr>
          <w:rFonts w:hint="eastAsia" w:ascii="仿宋" w:hAnsi="仿宋" w:eastAsia="仿宋" w:cs="仿宋"/>
          <w:sz w:val="24"/>
          <w:szCs w:val="24"/>
        </w:rPr>
        <w:t>、NO</w:t>
      </w:r>
      <w:r>
        <w:rPr>
          <w:rFonts w:hint="eastAsia" w:ascii="仿宋" w:hAnsi="仿宋" w:eastAsia="仿宋" w:cs="仿宋"/>
          <w:sz w:val="24"/>
          <w:szCs w:val="24"/>
          <w:vertAlign w:val="subscript"/>
        </w:rPr>
        <w:t>2</w:t>
      </w:r>
      <w:r>
        <w:rPr>
          <w:rFonts w:hint="eastAsia" w:ascii="仿宋" w:hAnsi="仿宋" w:eastAsia="仿宋" w:cs="仿宋"/>
          <w:sz w:val="24"/>
          <w:szCs w:val="24"/>
        </w:rPr>
        <w:t>、O</w:t>
      </w:r>
      <w:r>
        <w:rPr>
          <w:rFonts w:hint="eastAsia" w:ascii="仿宋" w:hAnsi="仿宋" w:eastAsia="仿宋" w:cs="仿宋"/>
          <w:sz w:val="24"/>
          <w:szCs w:val="24"/>
          <w:vertAlign w:val="subscript"/>
        </w:rPr>
        <w:t>3</w:t>
      </w:r>
      <w:r>
        <w:rPr>
          <w:rFonts w:hint="eastAsia" w:ascii="仿宋" w:hAnsi="仿宋" w:eastAsia="仿宋" w:cs="仿宋"/>
          <w:sz w:val="24"/>
          <w:szCs w:val="24"/>
        </w:rPr>
        <w:t>、CO、TVOC等多个参数；</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（2）体积小、重量轻、安装部署维护方便，可方便进行点位迁移；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（3）采用模块化设计，气体及颗粒物检测模块化更方便维护；</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（4）工作温度：-30~60℃；</w:t>
      </w:r>
    </w:p>
    <w:p>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（5）供电方式要求：设备配置锂电池，保证在外接电源断电后可持续工作6小时以上；</w:t>
      </w:r>
    </w:p>
    <w:p>
      <w:pPr>
        <w:spacing w:line="360" w:lineRule="auto"/>
        <w:ind w:firstLine="480" w:firstLineChars="200"/>
        <w:rPr>
          <w:rFonts w:ascii="仿宋" w:hAnsi="仿宋" w:eastAsia="仿宋" w:cs="仿宋"/>
          <w:sz w:val="24"/>
          <w:szCs w:val="24"/>
        </w:rPr>
      </w:pPr>
      <w:r>
        <w:rPr>
          <w:rFonts w:hint="eastAsia" w:ascii="仿宋" w:hAnsi="仿宋" w:eastAsia="仿宋" w:cs="仿宋"/>
          <w:kern w:val="0"/>
          <w:sz w:val="24"/>
          <w:szCs w:val="24"/>
        </w:rPr>
        <w:t>（6）</w:t>
      </w:r>
      <w:r>
        <w:rPr>
          <w:rFonts w:hint="eastAsia" w:ascii="仿宋" w:hAnsi="仿宋" w:eastAsia="仿宋" w:cs="仿宋"/>
          <w:sz w:val="24"/>
          <w:szCs w:val="24"/>
        </w:rPr>
        <w:t>IP等级：IP55；</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（7）颗粒物最小测量粒径至少可达到0.38μm；</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（8）设备散热性能好，无需通过强制散热方式控温，避免机械振动对传感器测量精度的影响；</w:t>
      </w:r>
    </w:p>
    <w:p>
      <w:pPr>
        <w:spacing w:line="360" w:lineRule="auto"/>
        <w:ind w:firstLine="480" w:firstLineChars="200"/>
        <w:rPr>
          <w:rFonts w:ascii="仿宋" w:hAnsi="仿宋" w:eastAsia="仿宋" w:cs="仿宋"/>
          <w:sz w:val="24"/>
          <w:szCs w:val="24"/>
        </w:rPr>
      </w:pPr>
      <w:r>
        <w:rPr>
          <w:rFonts w:hint="eastAsia" w:ascii="仿宋" w:hAnsi="仿宋" w:eastAsia="仿宋" w:cs="仿宋"/>
          <w:color w:val="000000"/>
          <w:kern w:val="0"/>
          <w:sz w:val="24"/>
          <w:szCs w:val="24"/>
        </w:rPr>
        <w:t>（9）</w:t>
      </w:r>
      <w:r>
        <w:rPr>
          <w:rFonts w:hint="eastAsia" w:ascii="仿宋" w:hAnsi="仿宋" w:eastAsia="仿宋" w:cs="仿宋"/>
          <w:kern w:val="0"/>
          <w:sz w:val="24"/>
          <w:szCs w:val="24"/>
        </w:rPr>
        <w:t>▲</w:t>
      </w:r>
      <w:r>
        <w:rPr>
          <w:rFonts w:hint="eastAsia" w:ascii="仿宋" w:hAnsi="仿宋" w:eastAsia="仿宋" w:cs="仿宋"/>
          <w:sz w:val="24"/>
          <w:szCs w:val="24"/>
        </w:rPr>
        <w:t>设备具备零气发生模块和自动零校功能。（需提供加盖投标人公章的知识产权部门出具的权威证明）</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（10）</w:t>
      </w:r>
      <w:r>
        <w:rPr>
          <w:rFonts w:hint="eastAsia" w:ascii="仿宋" w:hAnsi="仿宋" w:eastAsia="仿宋" w:cs="仿宋"/>
          <w:kern w:val="0"/>
          <w:sz w:val="24"/>
          <w:szCs w:val="24"/>
        </w:rPr>
        <w:t>▲</w:t>
      </w:r>
      <w:r>
        <w:rPr>
          <w:rFonts w:hint="eastAsia" w:ascii="仿宋" w:hAnsi="仿宋" w:eastAsia="仿宋" w:cs="仿宋"/>
          <w:sz w:val="24"/>
          <w:szCs w:val="24"/>
        </w:rPr>
        <w:t>车载空气检测仪产品软件获得计算机软件著作权登记证书（需提供加盖投标人公章的计算机软件著作权登记证书）。</w:t>
      </w:r>
    </w:p>
    <w:p>
      <w:pPr>
        <w:pStyle w:val="7"/>
        <w:rPr>
          <w:rFonts w:cs="仿宋"/>
          <w:sz w:val="24"/>
          <w:szCs w:val="24"/>
        </w:rPr>
      </w:pPr>
      <w:r>
        <w:rPr>
          <w:rFonts w:hint="eastAsia" w:cs="仿宋"/>
          <w:sz w:val="24"/>
          <w:szCs w:val="24"/>
        </w:rPr>
        <w:t>3.1.1.2颗粒物浓度检测模块：</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（1）监测原理：光散射法，可实时监测PM</w:t>
      </w:r>
      <w:r>
        <w:rPr>
          <w:rFonts w:hint="eastAsia" w:ascii="仿宋" w:hAnsi="仿宋" w:eastAsia="仿宋" w:cs="仿宋"/>
          <w:sz w:val="24"/>
          <w:szCs w:val="24"/>
          <w:vertAlign w:val="subscript"/>
        </w:rPr>
        <w:t>2.5</w:t>
      </w:r>
      <w:r>
        <w:rPr>
          <w:rFonts w:hint="eastAsia" w:ascii="仿宋" w:hAnsi="仿宋" w:eastAsia="仿宋" w:cs="仿宋"/>
          <w:sz w:val="24"/>
          <w:szCs w:val="24"/>
        </w:rPr>
        <w:t>与PM</w:t>
      </w:r>
      <w:r>
        <w:rPr>
          <w:rFonts w:hint="eastAsia" w:ascii="仿宋" w:hAnsi="仿宋" w:eastAsia="仿宋" w:cs="仿宋"/>
          <w:sz w:val="24"/>
          <w:szCs w:val="24"/>
          <w:vertAlign w:val="subscript"/>
        </w:rPr>
        <w:t>10</w:t>
      </w:r>
      <w:r>
        <w:rPr>
          <w:rFonts w:hint="eastAsia" w:ascii="仿宋" w:hAnsi="仿宋" w:eastAsia="仿宋" w:cs="仿宋"/>
          <w:sz w:val="24"/>
          <w:szCs w:val="24"/>
        </w:rPr>
        <w:t>；</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（2）测量范围：0~10mg/m³；</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（3）检出限：≤5μg/m³；</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（4）平行性：≤20%。</w:t>
      </w:r>
    </w:p>
    <w:p>
      <w:pPr>
        <w:pStyle w:val="7"/>
        <w:rPr>
          <w:rFonts w:cs="仿宋"/>
          <w:sz w:val="24"/>
          <w:szCs w:val="24"/>
        </w:rPr>
      </w:pPr>
      <w:r>
        <w:rPr>
          <w:rFonts w:hint="eastAsia" w:cs="仿宋"/>
          <w:sz w:val="24"/>
          <w:szCs w:val="24"/>
        </w:rPr>
        <w:t>3.1.1.3气态污染物检测模块：</w:t>
      </w:r>
    </w:p>
    <w:p>
      <w:pPr>
        <w:numPr>
          <w:ilvl w:val="0"/>
          <w:numId w:val="10"/>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测量原理：电化学传感器，泵吸式采样；</w:t>
      </w:r>
    </w:p>
    <w:p>
      <w:pPr>
        <w:numPr>
          <w:ilvl w:val="0"/>
          <w:numId w:val="10"/>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NO</w:t>
      </w:r>
      <w:r>
        <w:rPr>
          <w:rFonts w:hint="eastAsia" w:ascii="仿宋" w:hAnsi="仿宋" w:eastAsia="仿宋" w:cs="仿宋"/>
          <w:sz w:val="24"/>
          <w:szCs w:val="24"/>
          <w:vertAlign w:val="subscript"/>
        </w:rPr>
        <w:t>2</w:t>
      </w:r>
      <w:r>
        <w:rPr>
          <w:rFonts w:hint="eastAsia" w:ascii="仿宋" w:hAnsi="仿宋" w:eastAsia="仿宋" w:cs="仿宋"/>
          <w:sz w:val="24"/>
          <w:szCs w:val="24"/>
        </w:rPr>
        <w:t>因子：</w:t>
      </w:r>
    </w:p>
    <w:p>
      <w:pPr>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测量范围：0~500ppb；</w:t>
      </w:r>
    </w:p>
    <w:p>
      <w:pPr>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响应时间：≤120s；</w:t>
      </w:r>
    </w:p>
    <w:p>
      <w:pPr>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示值误差：≤±10%F.S；</w:t>
      </w:r>
    </w:p>
    <w:p>
      <w:pPr>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检出限：≤5ppb。</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（3）O</w:t>
      </w:r>
      <w:r>
        <w:rPr>
          <w:rFonts w:hint="eastAsia" w:ascii="仿宋" w:hAnsi="仿宋" w:eastAsia="仿宋" w:cs="仿宋"/>
          <w:sz w:val="24"/>
          <w:szCs w:val="24"/>
          <w:vertAlign w:val="subscript"/>
        </w:rPr>
        <w:t>3</w:t>
      </w:r>
      <w:r>
        <w:rPr>
          <w:rFonts w:hint="eastAsia" w:ascii="仿宋" w:hAnsi="仿宋" w:eastAsia="仿宋" w:cs="仿宋"/>
          <w:sz w:val="24"/>
          <w:szCs w:val="24"/>
        </w:rPr>
        <w:t>因子：</w:t>
      </w:r>
    </w:p>
    <w:p>
      <w:pPr>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测量范围：0~500ppb；</w:t>
      </w:r>
    </w:p>
    <w:p>
      <w:pPr>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响应时间：≤120s；</w:t>
      </w:r>
    </w:p>
    <w:p>
      <w:pPr>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示值误差：±10%F.S；</w:t>
      </w:r>
    </w:p>
    <w:p>
      <w:pPr>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检出限：≤5ppb。</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（4）SO</w:t>
      </w:r>
      <w:r>
        <w:rPr>
          <w:rFonts w:hint="eastAsia" w:ascii="仿宋" w:hAnsi="仿宋" w:eastAsia="仿宋" w:cs="仿宋"/>
          <w:sz w:val="24"/>
          <w:szCs w:val="24"/>
          <w:vertAlign w:val="subscript"/>
        </w:rPr>
        <w:t>2</w:t>
      </w:r>
      <w:r>
        <w:rPr>
          <w:rFonts w:hint="eastAsia" w:ascii="仿宋" w:hAnsi="仿宋" w:eastAsia="仿宋" w:cs="仿宋"/>
          <w:sz w:val="24"/>
          <w:szCs w:val="24"/>
        </w:rPr>
        <w:t>因子：</w:t>
      </w:r>
    </w:p>
    <w:p>
      <w:pPr>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测量范围：0~500ppb；</w:t>
      </w:r>
    </w:p>
    <w:p>
      <w:pPr>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响应时间：≤120s；</w:t>
      </w:r>
    </w:p>
    <w:p>
      <w:pPr>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示值误差：±10%F.S；</w:t>
      </w:r>
    </w:p>
    <w:p>
      <w:pPr>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检出限：≤5ppb。</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（5）CO因子：</w:t>
      </w:r>
    </w:p>
    <w:p>
      <w:pPr>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测量范围：0~50ppm；</w:t>
      </w:r>
    </w:p>
    <w:p>
      <w:pPr>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响应时间：≤120s；</w:t>
      </w:r>
    </w:p>
    <w:p>
      <w:pPr>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示值误差：≤±10%F.S；</w:t>
      </w:r>
    </w:p>
    <w:p>
      <w:pPr>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检出限：</w:t>
      </w:r>
      <w:r>
        <w:rPr>
          <w:rFonts w:hint="eastAsia" w:ascii="仿宋" w:hAnsi="仿宋" w:eastAsia="仿宋" w:cs="仿宋"/>
          <w:color w:val="000000"/>
          <w:kern w:val="0"/>
          <w:sz w:val="24"/>
          <w:szCs w:val="24"/>
        </w:rPr>
        <w:t>≤0.04ppm</w:t>
      </w:r>
      <w:r>
        <w:rPr>
          <w:rFonts w:hint="eastAsia" w:ascii="仿宋" w:hAnsi="仿宋" w:eastAsia="仿宋" w:cs="仿宋"/>
          <w:sz w:val="24"/>
          <w:szCs w:val="24"/>
        </w:rPr>
        <w:t>。</w:t>
      </w:r>
    </w:p>
    <w:p>
      <w:pPr>
        <w:pStyle w:val="7"/>
        <w:rPr>
          <w:rFonts w:cs="仿宋"/>
          <w:sz w:val="24"/>
          <w:szCs w:val="24"/>
        </w:rPr>
      </w:pPr>
      <w:r>
        <w:rPr>
          <w:rFonts w:hint="eastAsia" w:cs="仿宋"/>
          <w:sz w:val="24"/>
          <w:szCs w:val="24"/>
        </w:rPr>
        <w:t>3.1.1.4 TVOC检测模块：</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测量原理：PID；</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测量范围：0~10ppm；</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响应时间：≤120s；</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检出限：1ppb。</w:t>
      </w:r>
    </w:p>
    <w:p>
      <w:pPr>
        <w:pStyle w:val="7"/>
        <w:rPr>
          <w:rFonts w:cs="仿宋"/>
          <w:sz w:val="24"/>
          <w:szCs w:val="24"/>
        </w:rPr>
      </w:pPr>
      <w:r>
        <w:rPr>
          <w:rFonts w:hint="eastAsia" w:cs="仿宋"/>
          <w:sz w:val="24"/>
          <w:szCs w:val="24"/>
        </w:rPr>
        <w:t>3.1.1.5污染智能识别终端：</w:t>
      </w:r>
    </w:p>
    <w:p>
      <w:pPr>
        <w:pStyle w:val="8"/>
        <w:spacing w:before="0" w:after="0"/>
        <w:rPr>
          <w:rFonts w:ascii="仿宋" w:hAnsi="仿宋" w:eastAsia="仿宋" w:cs="仿宋"/>
          <w:b/>
          <w:bCs/>
          <w:sz w:val="24"/>
          <w:szCs w:val="24"/>
        </w:rPr>
      </w:pPr>
      <w:r>
        <w:rPr>
          <w:rFonts w:hint="eastAsia" w:ascii="仿宋" w:hAnsi="仿宋" w:eastAsia="仿宋" w:cs="仿宋"/>
          <w:sz w:val="24"/>
          <w:szCs w:val="24"/>
        </w:rPr>
        <w:t>3.1.1.5.1污染智能识别分析单元技术参数：</w:t>
      </w:r>
    </w:p>
    <w:p>
      <w:p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zh-CN"/>
        </w:rPr>
        <w:t>处理器</w:t>
      </w:r>
      <w:r>
        <w:rPr>
          <w:rFonts w:hint="eastAsia" w:ascii="仿宋" w:hAnsi="仿宋" w:eastAsia="仿宋" w:cs="仿宋"/>
          <w:sz w:val="24"/>
          <w:szCs w:val="24"/>
        </w:rPr>
        <w:t>：</w:t>
      </w:r>
      <w:r>
        <w:rPr>
          <w:rFonts w:hint="eastAsia" w:ascii="仿宋" w:hAnsi="仿宋" w:eastAsia="仿宋" w:cs="仿宋"/>
          <w:sz w:val="24"/>
          <w:szCs w:val="24"/>
          <w:lang w:val="zh-CN"/>
        </w:rPr>
        <w:t>双大核</w:t>
      </w:r>
      <w:r>
        <w:rPr>
          <w:rFonts w:hint="eastAsia" w:ascii="仿宋" w:hAnsi="仿宋" w:eastAsia="仿宋" w:cs="仿宋"/>
          <w:sz w:val="24"/>
          <w:szCs w:val="24"/>
        </w:rPr>
        <w:t xml:space="preserve">（Cortex-A72）+ </w:t>
      </w:r>
      <w:r>
        <w:rPr>
          <w:rFonts w:hint="eastAsia" w:ascii="仿宋" w:hAnsi="仿宋" w:eastAsia="仿宋" w:cs="仿宋"/>
          <w:sz w:val="24"/>
          <w:szCs w:val="24"/>
          <w:lang w:val="zh-CN"/>
        </w:rPr>
        <w:t>四小核</w:t>
      </w:r>
      <w:r>
        <w:rPr>
          <w:rFonts w:hint="eastAsia" w:ascii="仿宋" w:hAnsi="仿宋" w:eastAsia="仿宋" w:cs="仿宋"/>
          <w:sz w:val="24"/>
          <w:szCs w:val="24"/>
        </w:rPr>
        <w:t>（Cortex-A53），</w:t>
      </w:r>
      <w:r>
        <w:rPr>
          <w:rFonts w:hint="eastAsia" w:ascii="仿宋" w:hAnsi="仿宋" w:eastAsia="仿宋" w:cs="仿宋"/>
          <w:sz w:val="24"/>
          <w:szCs w:val="24"/>
          <w:lang w:val="zh-CN"/>
        </w:rPr>
        <w:t>主频最高</w:t>
      </w:r>
      <w:r>
        <w:rPr>
          <w:rFonts w:hint="eastAsia" w:ascii="仿宋" w:hAnsi="仿宋" w:eastAsia="仿宋" w:cs="仿宋"/>
          <w:sz w:val="24"/>
          <w:szCs w:val="24"/>
        </w:rPr>
        <w:t xml:space="preserve"> 1.8 GHz;</w:t>
      </w:r>
    </w:p>
    <w:p>
      <w:p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zh-CN"/>
        </w:rPr>
        <w:t>图形处理器</w:t>
      </w:r>
      <w:r>
        <w:rPr>
          <w:rFonts w:hint="eastAsia" w:ascii="仿宋" w:hAnsi="仿宋" w:eastAsia="仿宋" w:cs="仿宋"/>
          <w:sz w:val="24"/>
          <w:szCs w:val="24"/>
        </w:rPr>
        <w:t xml:space="preserve">：ARM® Mali-T860 MP4 </w:t>
      </w:r>
      <w:r>
        <w:rPr>
          <w:rFonts w:hint="eastAsia" w:ascii="仿宋" w:hAnsi="仿宋" w:eastAsia="仿宋" w:cs="仿宋"/>
          <w:sz w:val="24"/>
          <w:szCs w:val="24"/>
          <w:lang w:val="zh-CN"/>
        </w:rPr>
        <w:t>四核</w:t>
      </w:r>
      <w:r>
        <w:rPr>
          <w:rFonts w:hint="eastAsia" w:ascii="仿宋" w:hAnsi="仿宋" w:eastAsia="仿宋" w:cs="仿宋"/>
          <w:sz w:val="24"/>
          <w:szCs w:val="24"/>
        </w:rPr>
        <w:t>GPU；</w:t>
      </w:r>
      <w:r>
        <w:rPr>
          <w:rFonts w:hint="eastAsia" w:ascii="仿宋" w:hAnsi="仿宋" w:eastAsia="仿宋" w:cs="仿宋"/>
          <w:sz w:val="24"/>
          <w:szCs w:val="24"/>
          <w:lang w:val="zh-CN"/>
        </w:rPr>
        <w:t>支持</w:t>
      </w:r>
      <w:r>
        <w:rPr>
          <w:rFonts w:hint="eastAsia" w:ascii="仿宋" w:hAnsi="仿宋" w:eastAsia="仿宋" w:cs="仿宋"/>
          <w:sz w:val="24"/>
          <w:szCs w:val="24"/>
        </w:rPr>
        <w:t>OpenGL ES1.1/2.0/3.0/3.1,openVG1.1, OpenCL, DX11；</w:t>
      </w:r>
      <w:r>
        <w:rPr>
          <w:rFonts w:hint="eastAsia" w:ascii="仿宋" w:hAnsi="仿宋" w:eastAsia="仿宋" w:cs="仿宋"/>
          <w:sz w:val="24"/>
          <w:szCs w:val="24"/>
          <w:lang w:val="zh-CN"/>
        </w:rPr>
        <w:t>支持</w:t>
      </w:r>
      <w:r>
        <w:rPr>
          <w:rFonts w:hint="eastAsia" w:ascii="仿宋" w:hAnsi="仿宋" w:eastAsia="仿宋" w:cs="仿宋"/>
          <w:sz w:val="24"/>
          <w:szCs w:val="24"/>
        </w:rPr>
        <w:t>AFBC（</w:t>
      </w:r>
      <w:r>
        <w:rPr>
          <w:rFonts w:hint="eastAsia" w:ascii="仿宋" w:hAnsi="仿宋" w:eastAsia="仿宋" w:cs="仿宋"/>
          <w:sz w:val="24"/>
          <w:szCs w:val="24"/>
          <w:lang w:val="zh-CN"/>
        </w:rPr>
        <w:t>帧缓冲压缩</w:t>
      </w:r>
      <w:r>
        <w:rPr>
          <w:rFonts w:hint="eastAsia" w:ascii="仿宋" w:hAnsi="仿宋" w:eastAsia="仿宋" w:cs="仿宋"/>
          <w:sz w:val="24"/>
          <w:szCs w:val="24"/>
        </w:rPr>
        <w:t>）；</w:t>
      </w:r>
    </w:p>
    <w:p>
      <w:p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（3）NPU：</w:t>
      </w:r>
      <w:r>
        <w:rPr>
          <w:rFonts w:hint="eastAsia" w:ascii="仿宋" w:hAnsi="仿宋" w:eastAsia="仿宋" w:cs="仿宋"/>
          <w:sz w:val="24"/>
          <w:szCs w:val="24"/>
          <w:lang w:val="zh-CN"/>
        </w:rPr>
        <w:t>内置神经网络处理器</w:t>
      </w:r>
      <w:r>
        <w:rPr>
          <w:rFonts w:hint="eastAsia" w:ascii="仿宋" w:hAnsi="仿宋" w:eastAsia="仿宋" w:cs="仿宋"/>
          <w:sz w:val="24"/>
          <w:szCs w:val="24"/>
        </w:rPr>
        <w:t xml:space="preserve"> NPU，AI </w:t>
      </w:r>
      <w:r>
        <w:rPr>
          <w:rFonts w:hint="eastAsia" w:ascii="仿宋" w:hAnsi="仿宋" w:eastAsia="仿宋" w:cs="仿宋"/>
          <w:sz w:val="24"/>
          <w:szCs w:val="24"/>
          <w:lang w:val="zh-CN"/>
        </w:rPr>
        <w:t>运算性能强</w:t>
      </w:r>
      <w:r>
        <w:rPr>
          <w:rFonts w:hint="eastAsia" w:ascii="仿宋" w:hAnsi="仿宋" w:eastAsia="仿宋" w:cs="仿宋"/>
          <w:sz w:val="24"/>
          <w:szCs w:val="24"/>
        </w:rPr>
        <w:t>，-</w:t>
      </w:r>
      <w:r>
        <w:rPr>
          <w:rFonts w:hint="eastAsia" w:ascii="仿宋" w:hAnsi="仿宋" w:eastAsia="仿宋" w:cs="仿宋"/>
          <w:sz w:val="24"/>
          <w:szCs w:val="24"/>
          <w:lang w:val="zh-CN"/>
        </w:rPr>
        <w:t>支持</w:t>
      </w:r>
      <w:r>
        <w:rPr>
          <w:rFonts w:hint="eastAsia" w:ascii="仿宋" w:hAnsi="仿宋" w:eastAsia="仿宋" w:cs="仿宋"/>
          <w:sz w:val="24"/>
          <w:szCs w:val="24"/>
        </w:rPr>
        <w:t xml:space="preserve"> 8bit/16bit </w:t>
      </w:r>
      <w:r>
        <w:rPr>
          <w:rFonts w:hint="eastAsia" w:ascii="仿宋" w:hAnsi="仿宋" w:eastAsia="仿宋" w:cs="仿宋"/>
          <w:sz w:val="24"/>
          <w:szCs w:val="24"/>
          <w:lang w:val="zh-CN"/>
        </w:rPr>
        <w:t>运算</w:t>
      </w:r>
      <w:r>
        <w:rPr>
          <w:rFonts w:hint="eastAsia" w:ascii="仿宋" w:hAnsi="仿宋" w:eastAsia="仿宋" w:cs="仿宋"/>
          <w:sz w:val="24"/>
          <w:szCs w:val="24"/>
        </w:rPr>
        <w:t>，</w:t>
      </w:r>
      <w:r>
        <w:rPr>
          <w:rFonts w:hint="eastAsia" w:ascii="仿宋" w:hAnsi="仿宋" w:eastAsia="仿宋" w:cs="仿宋"/>
          <w:sz w:val="24"/>
          <w:szCs w:val="24"/>
          <w:lang w:val="zh-CN"/>
        </w:rPr>
        <w:t>运算性能高达</w:t>
      </w:r>
      <w:r>
        <w:rPr>
          <w:rFonts w:hint="eastAsia" w:ascii="仿宋" w:hAnsi="仿宋" w:eastAsia="仿宋" w:cs="仿宋"/>
          <w:sz w:val="24"/>
          <w:szCs w:val="24"/>
        </w:rPr>
        <w:t>3.0TOPS；</w:t>
      </w:r>
    </w:p>
    <w:p>
      <w:pPr>
        <w:spacing w:line="360" w:lineRule="auto"/>
        <w:ind w:firstLine="480" w:firstLineChars="200"/>
        <w:jc w:val="left"/>
        <w:rPr>
          <w:rFonts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rPr>
        <w:t>4</w:t>
      </w:r>
      <w:r>
        <w:rPr>
          <w:rFonts w:hint="eastAsia" w:ascii="仿宋" w:hAnsi="仿宋" w:eastAsia="仿宋" w:cs="仿宋"/>
          <w:sz w:val="24"/>
          <w:szCs w:val="24"/>
          <w:lang w:val="zh-CN"/>
        </w:rPr>
        <w:t>）视频处理器：支持4K VP9 and 4K 10bits H265/H264 视频解码，高达60fps；1080P 多格式视频解码 (WMV, MPEG-1/2/4, VP8)；1080P 视频编码，支持H.264，VP8格式；视频后期处理器：反交错、去噪、边缘/细节/色彩优化；</w:t>
      </w:r>
    </w:p>
    <w:p>
      <w:pPr>
        <w:numPr>
          <w:ilvl w:val="255"/>
          <w:numId w:val="0"/>
        </w:num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lang w:val="zh-CN"/>
        </w:rPr>
        <w:t>（</w:t>
      </w:r>
      <w:r>
        <w:rPr>
          <w:rFonts w:hint="eastAsia" w:ascii="仿宋" w:hAnsi="仿宋" w:eastAsia="仿宋" w:cs="仿宋"/>
          <w:sz w:val="24"/>
          <w:szCs w:val="24"/>
        </w:rPr>
        <w:t>5</w:t>
      </w:r>
      <w:r>
        <w:rPr>
          <w:rFonts w:hint="eastAsia" w:ascii="仿宋" w:hAnsi="仿宋" w:eastAsia="仿宋" w:cs="仿宋"/>
          <w:sz w:val="24"/>
          <w:szCs w:val="24"/>
          <w:lang w:val="zh-CN"/>
        </w:rPr>
        <w:t>）内存：4GB</w:t>
      </w:r>
      <w:r>
        <w:rPr>
          <w:rFonts w:hint="eastAsia" w:ascii="仿宋" w:hAnsi="仿宋" w:eastAsia="仿宋" w:cs="仿宋"/>
          <w:sz w:val="24"/>
          <w:szCs w:val="24"/>
        </w:rPr>
        <w:t>;</w:t>
      </w:r>
    </w:p>
    <w:p>
      <w:pPr>
        <w:numPr>
          <w:ilvl w:val="255"/>
          <w:numId w:val="0"/>
        </w:num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lang w:val="zh-CN"/>
        </w:rPr>
        <w:t>（</w:t>
      </w:r>
      <w:r>
        <w:rPr>
          <w:rFonts w:hint="eastAsia" w:ascii="仿宋" w:hAnsi="仿宋" w:eastAsia="仿宋" w:cs="仿宋"/>
          <w:sz w:val="24"/>
          <w:szCs w:val="24"/>
        </w:rPr>
        <w:t>6</w:t>
      </w:r>
      <w:r>
        <w:rPr>
          <w:rFonts w:hint="eastAsia" w:ascii="仿宋" w:hAnsi="仿宋" w:eastAsia="仿宋" w:cs="仿宋"/>
          <w:sz w:val="24"/>
          <w:szCs w:val="24"/>
          <w:lang w:val="zh-CN"/>
        </w:rPr>
        <w:t>）存储：80G</w:t>
      </w:r>
      <w:r>
        <w:rPr>
          <w:rFonts w:hint="eastAsia" w:ascii="仿宋" w:hAnsi="仿宋" w:eastAsia="仿宋" w:cs="仿宋"/>
          <w:sz w:val="24"/>
          <w:szCs w:val="24"/>
        </w:rPr>
        <w:t>;</w:t>
      </w:r>
    </w:p>
    <w:p>
      <w:pPr>
        <w:numPr>
          <w:ilvl w:val="255"/>
          <w:numId w:val="0"/>
        </w:num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lang w:val="zh-CN"/>
        </w:rPr>
        <w:t>（</w:t>
      </w:r>
      <w:r>
        <w:rPr>
          <w:rFonts w:hint="eastAsia" w:ascii="仿宋" w:hAnsi="仿宋" w:eastAsia="仿宋" w:cs="仿宋"/>
          <w:sz w:val="24"/>
          <w:szCs w:val="24"/>
        </w:rPr>
        <w:t>7</w:t>
      </w:r>
      <w:r>
        <w:rPr>
          <w:rFonts w:hint="eastAsia" w:ascii="仿宋" w:hAnsi="仿宋" w:eastAsia="仿宋" w:cs="仿宋"/>
          <w:sz w:val="24"/>
          <w:szCs w:val="24"/>
          <w:lang w:val="zh-CN"/>
        </w:rPr>
        <w:t>）网络：以太网、支持扩展 3G/4G模块</w:t>
      </w:r>
      <w:r>
        <w:rPr>
          <w:rFonts w:hint="eastAsia" w:ascii="仿宋" w:hAnsi="仿宋" w:eastAsia="仿宋" w:cs="仿宋"/>
          <w:sz w:val="24"/>
          <w:szCs w:val="24"/>
        </w:rPr>
        <w:t>;</w:t>
      </w:r>
    </w:p>
    <w:p>
      <w:pPr>
        <w:numPr>
          <w:ilvl w:val="255"/>
          <w:numId w:val="0"/>
        </w:num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lang w:val="zh-CN"/>
        </w:rPr>
        <w:t>（</w:t>
      </w:r>
      <w:r>
        <w:rPr>
          <w:rFonts w:hint="eastAsia" w:ascii="仿宋" w:hAnsi="仿宋" w:eastAsia="仿宋" w:cs="仿宋"/>
          <w:sz w:val="24"/>
          <w:szCs w:val="24"/>
        </w:rPr>
        <w:t>8</w:t>
      </w:r>
      <w:r>
        <w:rPr>
          <w:rFonts w:hint="eastAsia" w:ascii="仿宋" w:hAnsi="仿宋" w:eastAsia="仿宋" w:cs="仿宋"/>
          <w:sz w:val="24"/>
          <w:szCs w:val="24"/>
          <w:lang w:val="zh-CN"/>
        </w:rPr>
        <w:t>）GPS:支持扩展GPS</w:t>
      </w:r>
      <w:r>
        <w:rPr>
          <w:rFonts w:hint="eastAsia" w:ascii="仿宋" w:hAnsi="仿宋" w:eastAsia="仿宋" w:cs="仿宋"/>
          <w:sz w:val="24"/>
          <w:szCs w:val="24"/>
        </w:rPr>
        <w:t>;</w:t>
      </w:r>
    </w:p>
    <w:p>
      <w:pPr>
        <w:numPr>
          <w:ilvl w:val="255"/>
          <w:numId w:val="0"/>
        </w:num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lang w:val="zh-CN"/>
        </w:rPr>
        <w:t>（</w:t>
      </w:r>
      <w:r>
        <w:rPr>
          <w:rFonts w:hint="eastAsia" w:ascii="仿宋" w:hAnsi="仿宋" w:eastAsia="仿宋" w:cs="仿宋"/>
          <w:sz w:val="24"/>
          <w:szCs w:val="24"/>
        </w:rPr>
        <w:t>9</w:t>
      </w:r>
      <w:r>
        <w:rPr>
          <w:rFonts w:hint="eastAsia" w:ascii="仿宋" w:hAnsi="仿宋" w:eastAsia="仿宋" w:cs="仿宋"/>
          <w:sz w:val="24"/>
          <w:szCs w:val="24"/>
          <w:lang w:val="zh-CN"/>
        </w:rPr>
        <w:t>）系统：Ubuntu</w:t>
      </w:r>
      <w:r>
        <w:rPr>
          <w:rFonts w:hint="eastAsia" w:ascii="仿宋" w:hAnsi="仿宋" w:eastAsia="仿宋" w:cs="仿宋"/>
          <w:sz w:val="24"/>
          <w:szCs w:val="24"/>
        </w:rPr>
        <w:t>;</w:t>
      </w:r>
    </w:p>
    <w:p>
      <w:pPr>
        <w:numPr>
          <w:ilvl w:val="255"/>
          <w:numId w:val="0"/>
        </w:num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lang w:val="zh-CN"/>
        </w:rPr>
        <w:t>（</w:t>
      </w:r>
      <w:r>
        <w:rPr>
          <w:rFonts w:hint="eastAsia" w:ascii="仿宋" w:hAnsi="仿宋" w:eastAsia="仿宋" w:cs="仿宋"/>
          <w:sz w:val="24"/>
          <w:szCs w:val="24"/>
        </w:rPr>
        <w:t>10</w:t>
      </w:r>
      <w:r>
        <w:rPr>
          <w:rFonts w:hint="eastAsia" w:ascii="仿宋" w:hAnsi="仿宋" w:eastAsia="仿宋" w:cs="仿宋"/>
          <w:sz w:val="24"/>
          <w:szCs w:val="24"/>
          <w:lang w:val="zh-CN"/>
        </w:rPr>
        <w:t>）电源：12V。</w:t>
      </w:r>
    </w:p>
    <w:p>
      <w:pPr>
        <w:pStyle w:val="8"/>
        <w:spacing w:before="0" w:after="0"/>
        <w:rPr>
          <w:rFonts w:ascii="仿宋" w:hAnsi="仿宋" w:eastAsia="仿宋" w:cs="仿宋"/>
          <w:sz w:val="24"/>
          <w:szCs w:val="24"/>
        </w:rPr>
      </w:pPr>
      <w:r>
        <w:rPr>
          <w:rFonts w:hint="eastAsia" w:ascii="仿宋" w:hAnsi="仿宋" w:eastAsia="仿宋" w:cs="仿宋"/>
          <w:sz w:val="24"/>
          <w:szCs w:val="24"/>
        </w:rPr>
        <w:t>3.1.1.5.2污染智能识别终端视频检测单元技术参数：</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（1）300万像素网络高清智能相机；</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（2）焦距4mm；</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（3）视场角：H水平：108°；V垂直：58°；D对角：126°;</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（4）含拓展TF板卡;</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（5）支持SDK功能；</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（6）支持GB/T28181协议；</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（7）视频压缩标准 H264/H265；</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（8）视频码率 61Kbps~8Mbps可调。</w:t>
      </w:r>
    </w:p>
    <w:p>
      <w:pPr>
        <w:pStyle w:val="8"/>
        <w:spacing w:before="0" w:after="0"/>
        <w:rPr>
          <w:rFonts w:ascii="仿宋" w:hAnsi="仿宋" w:eastAsia="仿宋" w:cs="仿宋"/>
          <w:sz w:val="24"/>
          <w:szCs w:val="24"/>
        </w:rPr>
      </w:pPr>
      <w:r>
        <w:rPr>
          <w:rFonts w:hint="eastAsia" w:ascii="仿宋" w:hAnsi="仿宋" w:eastAsia="仿宋" w:cs="仿宋"/>
          <w:sz w:val="24"/>
          <w:szCs w:val="24"/>
        </w:rPr>
        <w:t>3.1.1.5.3人工智能模型云边协同自学习引擎</w:t>
      </w:r>
    </w:p>
    <w:p>
      <w:pPr>
        <w:pStyle w:val="4"/>
        <w:ind w:firstLine="480"/>
        <w:rPr>
          <w:rFonts w:ascii="仿宋" w:hAnsi="仿宋" w:eastAsia="仿宋" w:cs="仿宋"/>
          <w:sz w:val="24"/>
          <w:szCs w:val="24"/>
        </w:rPr>
      </w:pPr>
      <w:r>
        <w:rPr>
          <w:rFonts w:hint="eastAsia" w:ascii="仿宋" w:hAnsi="仿宋" w:eastAsia="仿宋" w:cs="仿宋"/>
          <w:sz w:val="24"/>
          <w:szCs w:val="24"/>
        </w:rPr>
        <w:t>该引擎软件需具备云边协同调度的能力，在云端进行模型训练，然后将训练后的模型自动下发到边缘端，供边缘端模型计算使用。</w:t>
      </w:r>
    </w:p>
    <w:p>
      <w:pPr>
        <w:pStyle w:val="4"/>
        <w:ind w:firstLine="480"/>
        <w:rPr>
          <w:rFonts w:ascii="仿宋" w:hAnsi="仿宋" w:eastAsia="仿宋" w:cs="仿宋"/>
          <w:sz w:val="24"/>
          <w:szCs w:val="24"/>
        </w:rPr>
      </w:pPr>
      <w:r>
        <w:rPr>
          <w:rFonts w:hint="eastAsia" w:ascii="仿宋" w:hAnsi="仿宋" w:eastAsia="仿宋" w:cs="仿宋"/>
          <w:sz w:val="24"/>
          <w:szCs w:val="24"/>
        </w:rPr>
        <w:t>该引擎软件需根据本地特征进行再学习，实现本地化，从而能够最大限度的提高模型的准确性。</w:t>
      </w:r>
    </w:p>
    <w:p>
      <w:pPr>
        <w:pStyle w:val="4"/>
        <w:ind w:firstLine="480"/>
        <w:rPr>
          <w:rFonts w:ascii="仿宋" w:hAnsi="仿宋" w:eastAsia="仿宋" w:cs="仿宋"/>
          <w:sz w:val="24"/>
          <w:szCs w:val="24"/>
        </w:rPr>
      </w:pPr>
      <w:r>
        <w:rPr>
          <w:rFonts w:hint="eastAsia" w:ascii="仿宋" w:hAnsi="仿宋" w:eastAsia="仿宋" w:cs="仿宋"/>
          <w:sz w:val="24"/>
          <w:szCs w:val="24"/>
        </w:rPr>
        <w:t>该引擎软件需具备自学习能力。根据边缘端采集到的本地化数据，以及业务本身产生的本地数据，根据设置好的触发条件，该引擎可以驱动模型训练中心，针对每一个边缘端本地化的数据进行自动化的训练学习和自动化的测试，从而生成符合标准的本地化模型，最后引擎会通过边缘计算服务平台将模型自动下发到特定的边缘端，从而实现基于云边协同平台的模型自学习和自动升级功能。</w:t>
      </w:r>
    </w:p>
    <w:p>
      <w:pPr>
        <w:pStyle w:val="4"/>
        <w:ind w:firstLine="480"/>
        <w:rPr>
          <w:rFonts w:ascii="仿宋" w:hAnsi="仿宋" w:eastAsia="仿宋" w:cs="仿宋"/>
          <w:sz w:val="24"/>
          <w:szCs w:val="24"/>
        </w:rPr>
      </w:pPr>
      <w:r>
        <w:rPr>
          <w:rFonts w:hint="eastAsia" w:ascii="仿宋" w:hAnsi="仿宋" w:eastAsia="仿宋" w:cs="仿宋"/>
          <w:sz w:val="24"/>
          <w:szCs w:val="24"/>
        </w:rPr>
        <w:t>主要功能包括数据资源管理、训练学习调度管理、模型管理、模型训练中心。</w:t>
      </w:r>
    </w:p>
    <w:p>
      <w:pPr>
        <w:pStyle w:val="4"/>
        <w:ind w:firstLine="480"/>
        <w:rPr>
          <w:sz w:val="24"/>
          <w:szCs w:val="24"/>
        </w:rPr>
      </w:pPr>
      <w:r>
        <w:rPr>
          <w:rFonts w:hint="eastAsia" w:ascii="仿宋" w:hAnsi="仿宋" w:eastAsia="仿宋" w:cs="仿宋"/>
          <w:sz w:val="24"/>
          <w:szCs w:val="24"/>
        </w:rPr>
        <w:t>人工智能模型云边协同自学习引擎需提供相关计算机软件著作权登记证书。</w:t>
      </w:r>
    </w:p>
    <w:p>
      <w:pPr>
        <w:pStyle w:val="8"/>
        <w:spacing w:before="0" w:after="0"/>
        <w:rPr>
          <w:rFonts w:ascii="仿宋" w:hAnsi="仿宋" w:eastAsia="仿宋" w:cs="仿宋"/>
          <w:sz w:val="24"/>
          <w:szCs w:val="24"/>
        </w:rPr>
      </w:pPr>
      <w:r>
        <w:rPr>
          <w:rFonts w:hint="eastAsia" w:ascii="仿宋" w:hAnsi="仿宋" w:eastAsia="仿宋" w:cs="仿宋"/>
          <w:sz w:val="24"/>
          <w:szCs w:val="24"/>
        </w:rPr>
        <w:t>3.1.1.5.4环境模型边缘计算服务平台</w:t>
      </w:r>
    </w:p>
    <w:p>
      <w:pPr>
        <w:ind w:firstLine="480" w:firstLineChars="200"/>
        <w:rPr>
          <w:rFonts w:ascii="仿宋" w:hAnsi="仿宋" w:eastAsia="仿宋" w:cs="仿宋"/>
          <w:sz w:val="24"/>
          <w:szCs w:val="24"/>
        </w:rPr>
      </w:pPr>
      <w:r>
        <w:rPr>
          <w:rFonts w:hint="eastAsia" w:ascii="仿宋" w:hAnsi="仿宋" w:eastAsia="仿宋" w:cs="仿宋"/>
          <w:sz w:val="24"/>
          <w:szCs w:val="24"/>
        </w:rPr>
        <w:t>该软件需具备以下环境：</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（1）低内存占用：要求边缘端占用内存资源小于100Mb。</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（2）安全通信：要求可使用 TLS 协议，进行全程加密。</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（3）要求可以提供</w:t>
      </w:r>
      <w:r>
        <w:rPr>
          <w:rFonts w:hint="eastAsia" w:ascii="仿宋" w:hAnsi="仿宋" w:eastAsia="仿宋" w:cs="仿宋"/>
          <w:bCs/>
          <w:sz w:val="24"/>
          <w:szCs w:val="24"/>
        </w:rPr>
        <w:t>弱网、无网环境支持：在</w:t>
      </w:r>
      <w:r>
        <w:rPr>
          <w:rFonts w:hint="eastAsia" w:ascii="仿宋" w:hAnsi="仿宋" w:eastAsia="仿宋" w:cs="仿宋"/>
          <w:sz w:val="24"/>
          <w:szCs w:val="24"/>
        </w:rPr>
        <w:t>弱网或无网环境下，可设置边缘设备在内网环境；</w:t>
      </w:r>
      <w:r>
        <w:rPr>
          <w:rFonts w:hint="eastAsia" w:ascii="仿宋" w:hAnsi="仿宋" w:eastAsia="仿宋" w:cs="仿宋"/>
          <w:color w:val="000000"/>
          <w:sz w:val="24"/>
          <w:szCs w:val="24"/>
        </w:rPr>
        <w:t>可实时监控管理边缘设备状态；</w:t>
      </w:r>
      <w:r>
        <w:rPr>
          <w:rFonts w:hint="eastAsia" w:ascii="仿宋" w:hAnsi="仿宋" w:eastAsia="仿宋" w:cs="仿宋"/>
          <w:sz w:val="24"/>
          <w:szCs w:val="24"/>
        </w:rPr>
        <w:t>边缘端工作负载可正常运行；可在边缘端工作负载出现异常时退出，并能在退出后进行自我修复；可在边缘设备异常重启时，边缘工作负载自我修复；可在云端更新边缘端的工作负载；工作负载仍然可以当前状态继续运行。网络从无网环境恢复正常，可自动同步更新到边缘端，并能自动触发边缘端的工作负载更新。</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（4）设备管理要求：可对云端的边缘端设备进行管理；可以从云端对边缘端设备进行分组管理。</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（5）负载管理要求：可对边缘设备的工作负载进行精准管理；可进行分组批量管理；可进行资源限制可新增边缘设备，并能自动运行对应的工作负载；可设置边缘端工作负载的定时运行。</w:t>
      </w:r>
    </w:p>
    <w:p>
      <w:p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（6）硬件接入要求：可接入arm64和amd64平台；可将设备进行抽象，以相同的方式管理各种异构设备；可以相同的方式管理运行在不同架构上的边缘端工作负载。</w:t>
      </w:r>
    </w:p>
    <w:p>
      <w:p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（7）容器化编排要求：可对应用进行容器化编排。</w:t>
      </w:r>
    </w:p>
    <w:p>
      <w:p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（8）部署要求：可提供一键部署脚本。</w:t>
      </w:r>
    </w:p>
    <w:p>
      <w:p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环境模型边缘计算服务平台需提供具备资质（CNAS和CMA资质）的第三方测评报告复印件及测评单位资质证明复印件并加盖投标人公章。</w:t>
      </w:r>
    </w:p>
    <w:p>
      <w:p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环境模型边缘计算服务平台需提供相关计算机软件著作权登记证书。</w:t>
      </w:r>
    </w:p>
    <w:p>
      <w:pPr>
        <w:pStyle w:val="8"/>
        <w:spacing w:before="0" w:after="0"/>
        <w:rPr>
          <w:rFonts w:ascii="仿宋" w:hAnsi="仿宋" w:eastAsia="仿宋" w:cs="仿宋"/>
          <w:b/>
          <w:bCs/>
          <w:sz w:val="24"/>
          <w:szCs w:val="24"/>
        </w:rPr>
      </w:pPr>
      <w:r>
        <w:rPr>
          <w:rFonts w:hint="eastAsia" w:ascii="仿宋" w:hAnsi="仿宋" w:eastAsia="仿宋" w:cs="仿宋"/>
          <w:sz w:val="24"/>
          <w:szCs w:val="24"/>
        </w:rPr>
        <w:t>3.1.1.5.5车载大气环境智能监管指挥调度软件</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（1）4G通信模块实现无线数据传输，结合地理位置信息实时更新绘制监测路线，将走航路线与地图关联，并在GIS地图中按照色阶及对应数据柱状图显示道路污染程度,在“走航模式”下查看实时数据情况。</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（2）要求可分屏（包括单屏、四分屏、五分屏和七分屏）；可显示分屏信息（包括基础走航、实时视频、走航监测数据、路面颠簸情况、基于LBS、事件池和遥感信息提取）。</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要求可将实时对车载视频进行智能识别，并能对环境问题进行识别(包括对火点、裸土未覆盖、路上黑烟车和路边土方作业等)；可自动生成监管事件并及时推送微信小程序，并能处置反馈。（需提供具备资质（CNAS和CMA资质）的第三方测评报告复印件及测评单位资质证明复印件并加盖投标人公章。）</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（4）要求可展示车辆实时走航所在位置周边事件、视频智能识别到的问题。</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（5）要求可以根据遥感数据，自动提取污染源对象，如工地、裸土和堆场。</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（6）要求车载模型准确率：车载模型的识别准确率≥95%。</w:t>
      </w:r>
    </w:p>
    <w:p>
      <w:pPr>
        <w:spacing w:line="360" w:lineRule="auto"/>
        <w:ind w:firstLine="480" w:firstLineChars="200"/>
        <w:rPr>
          <w:rFonts w:eastAsia="仿宋"/>
          <w:sz w:val="24"/>
          <w:szCs w:val="24"/>
        </w:rPr>
      </w:pPr>
      <w:r>
        <w:rPr>
          <w:rFonts w:hint="eastAsia" w:ascii="仿宋" w:hAnsi="仿宋" w:eastAsia="仿宋"/>
          <w:sz w:val="24"/>
          <w:szCs w:val="24"/>
        </w:rPr>
        <w:t>车载大气环境智能监管指挥调度软件需提供相关计算机软件著作权登记证书。</w:t>
      </w:r>
    </w:p>
    <w:p>
      <w:pPr>
        <w:pStyle w:val="6"/>
        <w:numPr>
          <w:ilvl w:val="0"/>
          <w:numId w:val="0"/>
        </w:numPr>
        <w:spacing w:beforeLines="50" w:line="360" w:lineRule="auto"/>
        <w:rPr>
          <w:rFonts w:cs="仿宋"/>
          <w:sz w:val="24"/>
          <w:szCs w:val="24"/>
        </w:rPr>
      </w:pPr>
      <w:r>
        <w:rPr>
          <w:rFonts w:hint="eastAsia" w:cs="仿宋"/>
          <w:sz w:val="24"/>
          <w:szCs w:val="24"/>
        </w:rPr>
        <w:t>（3.2）全场景道路扬尘整治大脑</w:t>
      </w:r>
    </w:p>
    <w:p>
      <w:pPr>
        <w:pStyle w:val="7"/>
        <w:spacing w:before="156"/>
        <w:rPr>
          <w:rFonts w:cs="仿宋"/>
          <w:sz w:val="24"/>
          <w:szCs w:val="24"/>
        </w:rPr>
      </w:pPr>
      <w:r>
        <w:rPr>
          <w:rFonts w:hint="eastAsia" w:cs="仿宋"/>
          <w:sz w:val="24"/>
          <w:szCs w:val="24"/>
        </w:rPr>
        <w:t>3.2.1 扬尘污染整治主题数据</w:t>
      </w:r>
    </w:p>
    <w:p>
      <w:pPr>
        <w:pStyle w:val="8"/>
        <w:rPr>
          <w:rFonts w:ascii="仿宋" w:hAnsi="仿宋" w:eastAsia="仿宋" w:cs="仿宋"/>
          <w:sz w:val="24"/>
          <w:szCs w:val="24"/>
        </w:rPr>
      </w:pPr>
      <w:r>
        <w:rPr>
          <w:rFonts w:hint="eastAsia" w:ascii="仿宋" w:hAnsi="仿宋" w:eastAsia="仿宋" w:cs="仿宋"/>
          <w:sz w:val="24"/>
          <w:szCs w:val="24"/>
        </w:rPr>
        <w:t>3.2.1.1 自带数据赋能</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要求承建单位能够自带海量数据，直接导入国家权威部门公开、互联网公开的生态环境监测及污染源类数据，减少本地化人工源摸排时间，加快数据资源中心成型效率。自带数据具体类型及规模要求如下：</w:t>
      </w:r>
    </w:p>
    <w:p>
      <w:pPr>
        <w:spacing w:line="360" w:lineRule="auto"/>
        <w:ind w:firstLine="480"/>
        <w:rPr>
          <w:rFonts w:ascii="仿宋" w:hAnsi="仿宋" w:eastAsia="仿宋" w:cs="仿宋"/>
          <w:sz w:val="24"/>
          <w:szCs w:val="24"/>
        </w:rPr>
      </w:pPr>
      <w:r>
        <w:rPr>
          <w:rFonts w:hint="eastAsia" w:ascii="仿宋" w:hAnsi="仿宋" w:eastAsia="仿宋" w:cs="仿宋"/>
          <w:color w:val="000000"/>
          <w:kern w:val="0"/>
          <w:sz w:val="24"/>
          <w:szCs w:val="24"/>
        </w:rPr>
        <w:t>（1）</w:t>
      </w:r>
      <w:r>
        <w:rPr>
          <w:rFonts w:hint="eastAsia" w:ascii="仿宋" w:hAnsi="仿宋" w:eastAsia="仿宋" w:cs="仿宋"/>
          <w:sz w:val="24"/>
          <w:szCs w:val="24"/>
        </w:rPr>
        <w:t>数据来源：空气质量实测数据、空气质量预报数据、污染源清单数据、气象数据、空气质量考核发布数据、行政区划数据、交通流量数据、重点污染源排放数据、污染行为样本数据等；</w:t>
      </w:r>
    </w:p>
    <w:p>
      <w:pPr>
        <w:spacing w:line="360" w:lineRule="auto"/>
        <w:ind w:firstLine="480"/>
        <w:rPr>
          <w:rFonts w:ascii="仿宋" w:hAnsi="仿宋" w:eastAsia="仿宋" w:cs="仿宋"/>
          <w:sz w:val="24"/>
          <w:szCs w:val="24"/>
        </w:rPr>
      </w:pPr>
      <w:r>
        <w:rPr>
          <w:rFonts w:hint="eastAsia" w:ascii="仿宋" w:hAnsi="仿宋" w:eastAsia="仿宋" w:cs="仿宋"/>
          <w:color w:val="000000"/>
          <w:kern w:val="0"/>
          <w:sz w:val="24"/>
          <w:szCs w:val="24"/>
        </w:rPr>
        <w:t>（2）</w:t>
      </w:r>
      <w:r>
        <w:rPr>
          <w:rFonts w:hint="eastAsia" w:ascii="仿宋" w:hAnsi="仿宋" w:eastAsia="仿宋" w:cs="仿宋"/>
          <w:sz w:val="24"/>
          <w:szCs w:val="24"/>
        </w:rPr>
        <w:t>数据总量：大于 100000（万条）；</w:t>
      </w:r>
    </w:p>
    <w:p>
      <w:pPr>
        <w:spacing w:line="360" w:lineRule="auto"/>
        <w:ind w:firstLine="480"/>
        <w:rPr>
          <w:rFonts w:ascii="仿宋" w:hAnsi="仿宋" w:eastAsia="仿宋" w:cs="仿宋"/>
          <w:sz w:val="24"/>
          <w:szCs w:val="24"/>
        </w:rPr>
      </w:pPr>
      <w:r>
        <w:rPr>
          <w:rFonts w:hint="eastAsia" w:ascii="仿宋" w:hAnsi="仿宋" w:eastAsia="仿宋" w:cs="仿宋"/>
          <w:color w:val="000000"/>
          <w:kern w:val="0"/>
          <w:sz w:val="24"/>
          <w:szCs w:val="24"/>
        </w:rPr>
        <w:t>（3）</w:t>
      </w:r>
      <w:r>
        <w:rPr>
          <w:rFonts w:hint="eastAsia" w:ascii="仿宋" w:hAnsi="仿宋" w:eastAsia="仿宋" w:cs="仿宋"/>
          <w:sz w:val="24"/>
          <w:szCs w:val="24"/>
        </w:rPr>
        <w:t>数据更新：数据更新延迟小于1小时。</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为保证投标人自带海量数据真实性，针对数据规模需提供第三方测评报告。测评报告中应包含以上3条内容。（需提供具备资质（CNAS和CMA资质）的第三方测评报告复印件及测评单位资质证明复印件并加盖投标人公章。）</w:t>
      </w:r>
    </w:p>
    <w:p>
      <w:pPr>
        <w:pStyle w:val="8"/>
        <w:rPr>
          <w:rFonts w:ascii="仿宋" w:hAnsi="仿宋" w:eastAsia="仿宋" w:cs="仿宋"/>
          <w:sz w:val="24"/>
          <w:szCs w:val="24"/>
        </w:rPr>
      </w:pPr>
      <w:r>
        <w:rPr>
          <w:rFonts w:hint="eastAsia" w:ascii="仿宋" w:hAnsi="仿宋" w:eastAsia="仿宋" w:cs="仿宋"/>
          <w:sz w:val="24"/>
          <w:szCs w:val="24"/>
        </w:rPr>
        <w:t>3.2.1.2 数据融合</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针对海量的多元异构的汇聚接入数据和自带数据，根据数据类别，要求建立统一标准的生态环境数据资源库，形成基础信息库、业务信息库和分析主题库，实现数据的分门别类的有序存储、融合。</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1、基础信息库：用来存储和管理各类基础信息，如环境基础信息库、污染源基础信息库、指标信息库等。</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2、业务信息库：用来为业务应用系统提供数据管理和支撑，存储业务应用系统处理业务过程中产生的业务过程信息和业务结果信息，如环境地理信息库、环境监测数据库、污染源综合数据库等。</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3、分析主题库：面向分析决策的专用数据库。分析展现库中的数据来源于基础信息库和业务信息库。可以方便地根据维度表对数据进行多层次的深度分析。</w:t>
      </w:r>
    </w:p>
    <w:p>
      <w:pPr>
        <w:pStyle w:val="8"/>
        <w:rPr>
          <w:rFonts w:ascii="仿宋" w:hAnsi="仿宋" w:eastAsia="仿宋" w:cs="仿宋"/>
          <w:sz w:val="24"/>
          <w:szCs w:val="24"/>
        </w:rPr>
      </w:pPr>
      <w:r>
        <w:rPr>
          <w:rFonts w:hint="eastAsia" w:ascii="仿宋" w:hAnsi="仿宋" w:eastAsia="仿宋" w:cs="仿宋"/>
          <w:sz w:val="24"/>
          <w:szCs w:val="24"/>
        </w:rPr>
        <w:t>3.2.1.4 数据共享交换</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要求承建单位充分考虑业务对数据需求，满足系统中所有类型的数据的共享交换，包括文本数据、报表数据、监测数据、管理数据，为市生态环境局对外提供数据共享交换的统一出口。</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要求建立环境数据共享交换标准规范，提供各业务数据集成到环境数据资源中心的标准数据内容和数据格式、数据集成方式、数据传输标准，完成各业务系统之间的数据交换与共享。</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要求定制出一套平台的交换标准，支持SOAP、RMI、Rest Service、Web Service等信息传输方式，将各类数据信息资源封装为服务接口，满足各类应用的数据访问需要。</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系统能够将信息资源通过编目、注册、审核然后对外发布到数据中心，供有权限的用户检索并查阅实现数据共享。同时可通过数据订阅方式，允许用户通过订阅某一类型的数据，系统定期将数据推送给用户。</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对于各类服务接口，系统提供接口数据信息的查询、服务接口调用日志的查看等辅助功能。</w:t>
      </w:r>
    </w:p>
    <w:p>
      <w:pPr>
        <w:pStyle w:val="7"/>
        <w:spacing w:before="156"/>
        <w:rPr>
          <w:rFonts w:cs="仿宋"/>
          <w:sz w:val="24"/>
          <w:szCs w:val="24"/>
        </w:rPr>
      </w:pPr>
      <w:r>
        <w:rPr>
          <w:rFonts w:hint="eastAsia" w:cs="仿宋"/>
          <w:sz w:val="24"/>
          <w:szCs w:val="24"/>
        </w:rPr>
        <w:t>3.2.2 扬尘智能核算模型</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利用设备内置的气象模型和扬尘总量核算模型计算系统开展扬尘总量的核算，提供区域的总扬尘量；结合实时气象场数据反演污染源实际位置。</w:t>
      </w:r>
    </w:p>
    <w:p>
      <w:pPr>
        <w:pStyle w:val="7"/>
        <w:spacing w:before="156"/>
        <w:rPr>
          <w:rFonts w:cs="仿宋"/>
          <w:sz w:val="24"/>
          <w:szCs w:val="24"/>
        </w:rPr>
      </w:pPr>
      <w:r>
        <w:rPr>
          <w:rFonts w:hint="eastAsia" w:cs="仿宋"/>
          <w:sz w:val="24"/>
          <w:szCs w:val="24"/>
        </w:rPr>
        <w:t>3.2.3 扬尘污染智能管控模型</w:t>
      </w:r>
    </w:p>
    <w:p>
      <w:pPr>
        <w:pStyle w:val="102"/>
        <w:widowControl w:val="0"/>
        <w:numPr>
          <w:ilvl w:val="0"/>
          <w:numId w:val="11"/>
        </w:numPr>
        <w:spacing w:after="0" w:line="360" w:lineRule="auto"/>
        <w:ind w:left="1202"/>
        <w:contextualSpacing w:val="0"/>
        <w:rPr>
          <w:rFonts w:ascii="仿宋" w:hAnsi="仿宋" w:eastAsia="仿宋" w:cs="仿宋"/>
          <w:sz w:val="24"/>
          <w:szCs w:val="24"/>
        </w:rPr>
      </w:pPr>
      <w:r>
        <w:rPr>
          <w:rFonts w:hint="eastAsia" w:ascii="仿宋" w:hAnsi="仿宋" w:eastAsia="仿宋" w:cs="仿宋"/>
          <w:sz w:val="24"/>
          <w:szCs w:val="24"/>
        </w:rPr>
        <w:t>污染评价模型</w:t>
      </w:r>
    </w:p>
    <w:p>
      <w:pPr>
        <w:pStyle w:val="323"/>
        <w:ind w:firstLine="480"/>
        <w:rPr>
          <w:rFonts w:ascii="仿宋" w:hAnsi="仿宋" w:eastAsia="仿宋" w:cs="仿宋"/>
          <w:sz w:val="24"/>
          <w:szCs w:val="24"/>
        </w:rPr>
      </w:pPr>
      <w:r>
        <w:rPr>
          <w:rFonts w:hint="eastAsia" w:ascii="仿宋" w:hAnsi="仿宋" w:eastAsia="仿宋" w:cs="仿宋"/>
          <w:sz w:val="24"/>
          <w:szCs w:val="24"/>
        </w:rPr>
        <w:t>通过污染评价模型，了解道路空气中扬尘情况，对比空气质量目标进行数据分析，发现与目标的差距。</w:t>
      </w:r>
    </w:p>
    <w:p>
      <w:pPr>
        <w:pStyle w:val="102"/>
        <w:widowControl w:val="0"/>
        <w:numPr>
          <w:ilvl w:val="0"/>
          <w:numId w:val="11"/>
        </w:numPr>
        <w:spacing w:after="0" w:line="360" w:lineRule="auto"/>
        <w:ind w:left="1202"/>
        <w:contextualSpacing w:val="0"/>
        <w:rPr>
          <w:rFonts w:ascii="仿宋" w:hAnsi="仿宋" w:eastAsia="仿宋" w:cs="仿宋"/>
          <w:sz w:val="24"/>
          <w:szCs w:val="24"/>
        </w:rPr>
      </w:pPr>
      <w:r>
        <w:rPr>
          <w:rFonts w:hint="eastAsia" w:ascii="仿宋" w:hAnsi="仿宋" w:eastAsia="仿宋" w:cs="仿宋"/>
          <w:sz w:val="24"/>
          <w:szCs w:val="24"/>
        </w:rPr>
        <w:t>监测预警模型</w:t>
      </w:r>
    </w:p>
    <w:p>
      <w:pPr>
        <w:pStyle w:val="323"/>
        <w:ind w:firstLine="480"/>
        <w:rPr>
          <w:rFonts w:ascii="仿宋" w:hAnsi="仿宋" w:eastAsia="仿宋" w:cs="仿宋"/>
          <w:sz w:val="24"/>
          <w:szCs w:val="24"/>
        </w:rPr>
      </w:pPr>
      <w:r>
        <w:rPr>
          <w:rFonts w:hint="eastAsia" w:ascii="仿宋" w:hAnsi="仿宋" w:eastAsia="仿宋" w:cs="仿宋"/>
          <w:sz w:val="24"/>
          <w:szCs w:val="24"/>
        </w:rPr>
        <w:t>监测预警模型根据实时空气监测数据，当数据出现数据突高、数据离群、数据连续上升、设备故障等异常情况时，通过预设的预警规则，进行逻辑判断，识别问题，通知到相关管理部门。</w:t>
      </w:r>
    </w:p>
    <w:p>
      <w:pPr>
        <w:pStyle w:val="102"/>
        <w:widowControl w:val="0"/>
        <w:numPr>
          <w:ilvl w:val="0"/>
          <w:numId w:val="11"/>
        </w:numPr>
        <w:spacing w:after="0" w:line="360" w:lineRule="auto"/>
        <w:ind w:left="1202"/>
        <w:contextualSpacing w:val="0"/>
        <w:rPr>
          <w:rFonts w:ascii="仿宋" w:hAnsi="仿宋" w:eastAsia="仿宋" w:cs="仿宋"/>
          <w:sz w:val="24"/>
          <w:szCs w:val="24"/>
        </w:rPr>
      </w:pPr>
      <w:r>
        <w:rPr>
          <w:rFonts w:hint="eastAsia" w:ascii="仿宋" w:hAnsi="仿宋" w:eastAsia="仿宋" w:cs="仿宋"/>
          <w:sz w:val="24"/>
          <w:szCs w:val="24"/>
        </w:rPr>
        <w:t>措施评估模型</w:t>
      </w:r>
    </w:p>
    <w:p>
      <w:pPr>
        <w:pStyle w:val="323"/>
        <w:ind w:firstLine="480"/>
        <w:rPr>
          <w:rFonts w:ascii="仿宋" w:hAnsi="仿宋" w:eastAsia="仿宋" w:cs="仿宋"/>
          <w:sz w:val="24"/>
          <w:szCs w:val="24"/>
        </w:rPr>
      </w:pPr>
      <w:r>
        <w:rPr>
          <w:rFonts w:hint="eastAsia" w:ascii="仿宋" w:hAnsi="仿宋" w:eastAsia="仿宋" w:cs="仿宋"/>
          <w:sz w:val="24"/>
          <w:szCs w:val="24"/>
        </w:rPr>
        <w:t>根据管理部门日常巡查、处置工作开展，处置数据等进行数据汇总统计，评估每个周期空气质量目标达成情况和各部门执行力度。</w:t>
      </w:r>
    </w:p>
    <w:p>
      <w:pPr>
        <w:pStyle w:val="7"/>
        <w:spacing w:before="156"/>
        <w:rPr>
          <w:rFonts w:cs="仿宋"/>
          <w:sz w:val="24"/>
          <w:szCs w:val="24"/>
        </w:rPr>
      </w:pPr>
      <w:r>
        <w:rPr>
          <w:rFonts w:hint="eastAsia" w:cs="仿宋"/>
          <w:sz w:val="24"/>
          <w:szCs w:val="24"/>
        </w:rPr>
        <w:t>3.2.4 模型智能集成服务</w:t>
      </w:r>
    </w:p>
    <w:p>
      <w:pPr>
        <w:pStyle w:val="323"/>
        <w:ind w:firstLine="480"/>
        <w:rPr>
          <w:rFonts w:ascii="仿宋" w:hAnsi="仿宋" w:eastAsia="仿宋" w:cs="仿宋"/>
          <w:sz w:val="24"/>
          <w:szCs w:val="24"/>
        </w:rPr>
      </w:pPr>
      <w:r>
        <w:rPr>
          <w:rFonts w:hint="eastAsia" w:ascii="仿宋" w:hAnsi="仿宋" w:eastAsia="仿宋" w:cs="仿宋"/>
          <w:sz w:val="24"/>
          <w:szCs w:val="24"/>
        </w:rPr>
        <w:t>用模型智能集成服务，实现对道路环境的全方位的实时监测、并且根据监测数据进行污染溯源、科学研判。</w:t>
      </w:r>
    </w:p>
    <w:p>
      <w:pPr>
        <w:pStyle w:val="6"/>
        <w:numPr>
          <w:ilvl w:val="0"/>
          <w:numId w:val="0"/>
        </w:numPr>
        <w:rPr>
          <w:rFonts w:cs="仿宋"/>
          <w:sz w:val="24"/>
          <w:szCs w:val="24"/>
        </w:rPr>
      </w:pPr>
      <w:r>
        <w:rPr>
          <w:rFonts w:hint="eastAsia" w:cs="仿宋"/>
          <w:sz w:val="24"/>
          <w:szCs w:val="24"/>
        </w:rPr>
        <w:t>（3.3）全闭环应用支撑</w:t>
      </w:r>
    </w:p>
    <w:p>
      <w:pPr>
        <w:pStyle w:val="7"/>
        <w:spacing w:before="156"/>
        <w:rPr>
          <w:rFonts w:cs="仿宋"/>
          <w:sz w:val="24"/>
          <w:szCs w:val="24"/>
        </w:rPr>
      </w:pPr>
      <w:r>
        <w:rPr>
          <w:rFonts w:hint="eastAsia" w:cs="仿宋"/>
          <w:sz w:val="24"/>
          <w:szCs w:val="24"/>
        </w:rPr>
        <w:t>3.3.1 道路扬尘智能指挥调度系统</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要求根据总体设计、分布实施原则，搭建可支持多部门多层级使用的生态环境协同指挥调度整体框架，为各级政府、行业监管部门提供一体化指挥调度系统，满足监测预警-精准监管-精细整治相关基层应用系统的业务实现。</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指挥调度系统功能内容包括不限于以下功能：</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1、目标调控指挥大屏功能：能够在大屏上展示绍兴市大气、污染源等信息，目标达成情况，管控建议以及预警预报列表信息等。可以提供快速指挥调度。</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shd w:val="clear" w:color="auto" w:fill="FFFFFF"/>
        </w:rPr>
        <w:t>2、监控告警功能：可直观展示发生区域及事件情况，提供监控预警。</w:t>
      </w:r>
    </w:p>
    <w:p>
      <w:pPr>
        <w:spacing w:line="360" w:lineRule="auto"/>
        <w:ind w:firstLine="480"/>
        <w:rPr>
          <w:rFonts w:ascii="仿宋" w:hAnsi="仿宋" w:eastAsia="仿宋" w:cs="仿宋"/>
          <w:sz w:val="24"/>
          <w:szCs w:val="24"/>
        </w:rPr>
      </w:pPr>
      <w:r>
        <w:rPr>
          <w:rFonts w:hint="eastAsia" w:ascii="仿宋" w:hAnsi="仿宋" w:eastAsia="仿宋" w:cs="仿宋"/>
          <w:sz w:val="24"/>
          <w:szCs w:val="24"/>
          <w:shd w:val="clear" w:color="auto" w:fill="FFFFFF"/>
        </w:rPr>
        <w:t>3、量化评估功能：能直观展示区域内所有事件以及预警报警管控工作整体的完成情况并可以进行自定义统计。</w:t>
      </w:r>
      <w:r>
        <w:rPr>
          <w:rFonts w:hint="eastAsia" w:ascii="仿宋" w:hAnsi="仿宋" w:eastAsia="仿宋" w:cs="仿宋"/>
          <w:sz w:val="24"/>
          <w:szCs w:val="24"/>
        </w:rPr>
        <w:t xml:space="preserve"> </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4、目标达成功能：</w:t>
      </w:r>
      <w:r>
        <w:rPr>
          <w:rFonts w:hint="eastAsia" w:ascii="仿宋" w:hAnsi="仿宋" w:eastAsia="仿宋" w:cs="仿宋"/>
          <w:sz w:val="24"/>
          <w:szCs w:val="24"/>
          <w:shd w:val="clear" w:color="auto" w:fill="FFFFFF"/>
        </w:rPr>
        <w:t>对周期调度目标、分解目标和总目标达成情况进行分析，能够形成报表类反馈信息。</w:t>
      </w:r>
    </w:p>
    <w:p>
      <w:pPr>
        <w:spacing w:line="360" w:lineRule="auto"/>
        <w:ind w:firstLine="480"/>
        <w:rPr>
          <w:rFonts w:ascii="仿宋" w:hAnsi="仿宋" w:eastAsia="仿宋" w:cs="仿宋"/>
          <w:sz w:val="24"/>
          <w:szCs w:val="24"/>
          <w:shd w:val="clear" w:color="auto" w:fill="FFFFFF"/>
        </w:rPr>
      </w:pPr>
      <w:r>
        <w:rPr>
          <w:rFonts w:hint="eastAsia" w:ascii="仿宋" w:hAnsi="仿宋" w:eastAsia="仿宋" w:cs="仿宋"/>
          <w:sz w:val="24"/>
          <w:szCs w:val="24"/>
        </w:rPr>
        <w:t>5、指挥调度功能：根据环境指标、特殊时期、分解指标可以形成调度工作，并</w:t>
      </w:r>
      <w:r>
        <w:rPr>
          <w:rFonts w:hint="eastAsia" w:ascii="仿宋" w:hAnsi="仿宋" w:eastAsia="仿宋" w:cs="仿宋"/>
          <w:sz w:val="24"/>
          <w:szCs w:val="24"/>
          <w:shd w:val="clear" w:color="auto" w:fill="FFFFFF"/>
        </w:rPr>
        <w:t>进行全过程动态跟踪，直至指标闭环。</w:t>
      </w:r>
    </w:p>
    <w:p>
      <w:pPr>
        <w:pStyle w:val="7"/>
        <w:spacing w:before="156"/>
        <w:rPr>
          <w:rFonts w:cs="仿宋"/>
          <w:sz w:val="24"/>
          <w:szCs w:val="24"/>
        </w:rPr>
      </w:pPr>
      <w:r>
        <w:rPr>
          <w:rFonts w:hint="eastAsia" w:cs="仿宋"/>
          <w:sz w:val="24"/>
          <w:szCs w:val="24"/>
        </w:rPr>
        <w:t>3.3.2 道路扬尘精准管控系统</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道路扬尘精准管控系统可以为环境管理者提供随时随地查看全局概览、调度地图以及报警信息等。</w:t>
      </w:r>
    </w:p>
    <w:p>
      <w:pPr>
        <w:spacing w:line="360" w:lineRule="auto"/>
        <w:ind w:firstLine="480"/>
        <w:contextualSpacing/>
        <w:rPr>
          <w:rFonts w:ascii="仿宋" w:hAnsi="仿宋" w:eastAsia="仿宋" w:cs="仿宋"/>
          <w:sz w:val="24"/>
          <w:szCs w:val="24"/>
        </w:rPr>
      </w:pPr>
      <w:r>
        <w:rPr>
          <w:rFonts w:hint="eastAsia" w:ascii="仿宋" w:hAnsi="仿宋" w:eastAsia="仿宋" w:cs="仿宋"/>
          <w:sz w:val="24"/>
          <w:szCs w:val="24"/>
        </w:rPr>
        <w:t xml:space="preserve">1、全局概览功能：可直观地显示用户所在区域的空气质量保障工作情况包括空气质量监测数值、目标值、目标达成概率、月度排名等。 </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2、调度地图功能：展示装有车载空气检测仪的实时位置，移动轨迹上污染物浓度变化情况。可以查看车辆号牌、设备在线情况、监测数据、监控视频及历史轨迹等信息。</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3、报警信息功能：可在报警信息中查看设备报警详情，支持EXCEL表格的形式导出。</w:t>
      </w:r>
    </w:p>
    <w:p>
      <w:pPr>
        <w:pStyle w:val="7"/>
        <w:spacing w:before="156"/>
        <w:rPr>
          <w:rFonts w:cs="仿宋"/>
          <w:sz w:val="24"/>
          <w:szCs w:val="24"/>
        </w:rPr>
      </w:pPr>
      <w:r>
        <w:rPr>
          <w:rFonts w:hint="eastAsia" w:cs="仿宋"/>
          <w:sz w:val="24"/>
          <w:szCs w:val="24"/>
        </w:rPr>
        <w:t>3.3.3 道路扬尘移动监管系统</w:t>
      </w:r>
    </w:p>
    <w:p>
      <w:pPr>
        <w:pStyle w:val="4"/>
        <w:ind w:firstLine="480"/>
        <w:rPr>
          <w:rFonts w:ascii="仿宋" w:hAnsi="仿宋" w:eastAsia="仿宋" w:cs="仿宋"/>
          <w:sz w:val="24"/>
          <w:szCs w:val="24"/>
        </w:rPr>
      </w:pPr>
      <w:r>
        <w:rPr>
          <w:rFonts w:hint="eastAsia" w:ascii="仿宋" w:hAnsi="仿宋" w:eastAsia="仿宋" w:cs="仿宋"/>
          <w:sz w:val="24"/>
          <w:szCs w:val="24"/>
        </w:rPr>
        <w:t>道路扬尘移动监管系统具有如下功能：页面总览、实时数据、污染云图、报警查询、在线率以及远程控制。</w:t>
      </w:r>
    </w:p>
    <w:p>
      <w:pPr>
        <w:pStyle w:val="4"/>
        <w:ind w:firstLine="480"/>
        <w:rPr>
          <w:rFonts w:ascii="仿宋" w:hAnsi="仿宋" w:eastAsia="仿宋" w:cs="仿宋"/>
          <w:sz w:val="24"/>
          <w:szCs w:val="24"/>
        </w:rPr>
      </w:pPr>
      <w:r>
        <w:rPr>
          <w:rFonts w:hint="eastAsia" w:ascii="仿宋" w:hAnsi="仿宋" w:eastAsia="仿宋" w:cs="仿宋"/>
          <w:sz w:val="24"/>
          <w:szCs w:val="24"/>
        </w:rPr>
        <w:t>1、页面总览功能：展示绍兴市安装车载式空气检测仪的车辆总数、实时数量，在线数量等内容，可实时反馈异常信息。</w:t>
      </w:r>
    </w:p>
    <w:p>
      <w:pPr>
        <w:pStyle w:val="4"/>
        <w:ind w:firstLine="480"/>
        <w:rPr>
          <w:rFonts w:ascii="仿宋" w:hAnsi="仿宋" w:eastAsia="仿宋" w:cs="仿宋"/>
          <w:sz w:val="24"/>
          <w:szCs w:val="24"/>
        </w:rPr>
      </w:pPr>
      <w:r>
        <w:rPr>
          <w:rFonts w:hint="eastAsia" w:ascii="仿宋" w:hAnsi="仿宋" w:eastAsia="仿宋" w:cs="仿宋"/>
          <w:sz w:val="24"/>
          <w:szCs w:val="24"/>
        </w:rPr>
        <w:t>2、移动站详情功能：展示绍兴市安装车载式空气检测仪车辆的实时位置，可显示车辆基本信息、车辆位置、实时数据趋势、监控视频和历史预警信息等。</w:t>
      </w:r>
    </w:p>
    <w:p>
      <w:pPr>
        <w:pStyle w:val="4"/>
        <w:ind w:firstLine="480"/>
        <w:rPr>
          <w:rFonts w:ascii="仿宋" w:hAnsi="仿宋" w:eastAsia="仿宋" w:cs="仿宋"/>
          <w:sz w:val="24"/>
          <w:szCs w:val="24"/>
        </w:rPr>
      </w:pPr>
      <w:r>
        <w:rPr>
          <w:rFonts w:hint="eastAsia" w:ascii="仿宋" w:hAnsi="仿宋" w:eastAsia="仿宋" w:cs="仿宋"/>
          <w:sz w:val="24"/>
          <w:szCs w:val="24"/>
        </w:rPr>
        <w:t>3、移动污染图功能：车载式空气检测仪在移动过程中建立区域污染路径分布图，多个路径分布图在GIS地图上形成移动污染图，直观展示一段时间内环境空气污染现状。</w:t>
      </w:r>
    </w:p>
    <w:p>
      <w:pPr>
        <w:pStyle w:val="4"/>
        <w:ind w:firstLine="480"/>
        <w:rPr>
          <w:rFonts w:ascii="仿宋" w:hAnsi="仿宋" w:eastAsia="仿宋" w:cs="仿宋"/>
          <w:sz w:val="24"/>
          <w:szCs w:val="24"/>
        </w:rPr>
      </w:pPr>
      <w:r>
        <w:rPr>
          <w:rFonts w:hint="eastAsia" w:ascii="仿宋" w:hAnsi="仿宋" w:eastAsia="仿宋" w:cs="仿宋"/>
          <w:sz w:val="24"/>
          <w:szCs w:val="24"/>
        </w:rPr>
        <w:t>4、实时数据功能：展示设备实时监测数据，根据系统设置的污染物浓度色阶，车辆图标颜色随着污染浓度的不同显示不同的颜色，可进行污染因子切换。</w:t>
      </w:r>
    </w:p>
    <w:p>
      <w:pPr>
        <w:pStyle w:val="4"/>
        <w:ind w:firstLine="480"/>
        <w:rPr>
          <w:rFonts w:ascii="仿宋" w:hAnsi="仿宋" w:eastAsia="仿宋" w:cs="仿宋"/>
          <w:sz w:val="24"/>
          <w:szCs w:val="24"/>
        </w:rPr>
      </w:pPr>
      <w:r>
        <w:rPr>
          <w:rFonts w:hint="eastAsia" w:ascii="仿宋" w:hAnsi="仿宋" w:eastAsia="仿宋" w:cs="仿宋"/>
          <w:sz w:val="24"/>
          <w:szCs w:val="24"/>
        </w:rPr>
        <w:t>5、污染云图功能：可自定义选择时间段和污染因子，展示相应的污染云图轨迹。</w:t>
      </w:r>
    </w:p>
    <w:p>
      <w:pPr>
        <w:pStyle w:val="4"/>
        <w:ind w:firstLine="480"/>
        <w:rPr>
          <w:rFonts w:ascii="仿宋" w:hAnsi="仿宋" w:eastAsia="仿宋" w:cs="仿宋"/>
          <w:sz w:val="24"/>
          <w:szCs w:val="24"/>
        </w:rPr>
      </w:pPr>
      <w:r>
        <w:rPr>
          <w:rFonts w:hint="eastAsia" w:ascii="仿宋" w:hAnsi="仿宋" w:eastAsia="仿宋" w:cs="仿宋"/>
          <w:sz w:val="24"/>
          <w:szCs w:val="24"/>
        </w:rPr>
        <w:t>6、报警查询功能：可自定义时间段，选择处置状态和报警因子可以进行查看信息详情。支持报警信息批量导出。</w:t>
      </w:r>
    </w:p>
    <w:p>
      <w:pPr>
        <w:pStyle w:val="4"/>
        <w:ind w:firstLine="480"/>
        <w:rPr>
          <w:rFonts w:ascii="仿宋" w:hAnsi="仿宋" w:eastAsia="仿宋" w:cs="仿宋"/>
          <w:sz w:val="24"/>
          <w:szCs w:val="24"/>
        </w:rPr>
      </w:pPr>
      <w:r>
        <w:rPr>
          <w:rFonts w:hint="eastAsia" w:ascii="仿宋" w:hAnsi="仿宋" w:eastAsia="仿宋" w:cs="仿宋"/>
          <w:sz w:val="24"/>
          <w:szCs w:val="24"/>
        </w:rPr>
        <w:t>7、在线率功能。可自定义时间段查看不同号牌车辆的在线时长、在线率。可搜索指定车辆，查看在线详情等。</w:t>
      </w:r>
    </w:p>
    <w:p>
      <w:pPr>
        <w:pStyle w:val="7"/>
        <w:spacing w:before="156"/>
        <w:rPr>
          <w:rFonts w:cs="仿宋"/>
          <w:sz w:val="24"/>
          <w:szCs w:val="24"/>
        </w:rPr>
      </w:pPr>
      <w:r>
        <w:rPr>
          <w:rFonts w:hint="eastAsia" w:cs="仿宋"/>
          <w:sz w:val="24"/>
          <w:szCs w:val="24"/>
        </w:rPr>
        <w:t>3.3.4 道路扬尘智能监管系统</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为实现更好的道路扬尘监管，道路扬尘智能监管系统需具有如下功能：</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1、目标管理功能：结合年度空气质量对比空气质量目标进行数据分析，提供污染管控措施。</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2、标准制定功能：为实现空气质量达标制定相应标准。</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3、减排行动功能：根据空气质量目标、空气质量现状、年度历史空气质量情况来制定污染减排行动，拉进与目标的差距，完成达标管控。</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4、措施评估功能：根据管理部门日常巡查、处置工作开展，部门数据等进行汇总统计，评估每个周期空气质量目标达成情况，各部门执行力度。</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5、监测预警功能：在站点数据出现异常报警时系统自动分析报警原因，指导排查。</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6、考核评价功能：根据空气质量监测数据、事情处置情况对管控区域进行考核，评价管控措施的效率。</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7、污染诊断功能：根据空气质量监测数据，通过空气质量站点位置，气象数据，污染源数据等，对污染形成原因进行诊断，分析污染来源。</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8、总量核算功能：通过道路扬尘智能监测监管站获取的污染物浓度，结合气象条件，核算扬尘总量。</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9、闭环监管功能：从事件发生、事件上报、响应调度、处置反馈、到最后措施评估形成一个闭环监管。</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10、风险预警功能：通过设定各类监测数据的联动警戒值，平台集中通知相关管理人员。</w:t>
      </w:r>
    </w:p>
    <w:p>
      <w:pPr>
        <w:spacing w:line="360" w:lineRule="auto"/>
        <w:ind w:firstLine="480"/>
        <w:rPr>
          <w:rFonts w:ascii="仿宋" w:hAnsi="仿宋" w:eastAsia="仿宋" w:cs="仿宋"/>
          <w:sz w:val="24"/>
          <w:szCs w:val="24"/>
        </w:rPr>
      </w:pPr>
      <w:r>
        <w:rPr>
          <w:rFonts w:hint="eastAsia" w:ascii="仿宋" w:hAnsi="仿宋" w:eastAsia="仿宋" w:cs="仿宋"/>
          <w:sz w:val="24"/>
          <w:szCs w:val="24"/>
        </w:rPr>
        <w:t>10、应急响应功能：在发生重污染应急事件时，可以及时了解事件地理位置及环境信息，实现应急响应。</w:t>
      </w:r>
    </w:p>
    <w:p>
      <w:pPr>
        <w:pStyle w:val="6"/>
        <w:numPr>
          <w:ilvl w:val="0"/>
          <w:numId w:val="0"/>
        </w:numPr>
        <w:rPr>
          <w:rFonts w:cs="仿宋"/>
          <w:sz w:val="24"/>
          <w:szCs w:val="24"/>
        </w:rPr>
      </w:pPr>
      <w:r>
        <w:rPr>
          <w:rFonts w:hint="eastAsia" w:cs="仿宋"/>
          <w:sz w:val="24"/>
          <w:szCs w:val="24"/>
        </w:rPr>
        <w:t>（3.4）全周期配套服务</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保障绍兴市道路扬尘综合整治目标达成，实现道路扬尘精细化监管机制、各级部门组织及人员、各类监测-监管-管控-治理设备设施、各类量化管理数据、多跨场景全面融合。自监测数据接入平台且验收合格起，需提供1年配套设备运维服务。</w:t>
      </w:r>
    </w:p>
    <w:p>
      <w:pPr>
        <w:pStyle w:val="3"/>
        <w:numPr>
          <w:ilvl w:val="0"/>
          <w:numId w:val="0"/>
        </w:numPr>
        <w:spacing w:before="156" w:after="156"/>
        <w:ind w:left="992" w:hanging="567"/>
        <w:rPr>
          <w:sz w:val="24"/>
          <w:szCs w:val="24"/>
        </w:rPr>
      </w:pPr>
      <w:r>
        <w:rPr>
          <w:rFonts w:hint="eastAsia"/>
          <w:sz w:val="24"/>
          <w:szCs w:val="24"/>
        </w:rPr>
        <w:t>5.项目进度</w:t>
      </w:r>
    </w:p>
    <w:p>
      <w:pPr>
        <w:ind w:firstLine="480" w:firstLineChars="200"/>
        <w:rPr>
          <w:rFonts w:ascii="仿宋" w:hAnsi="仿宋" w:eastAsia="仿宋" w:cs="仿宋"/>
          <w:sz w:val="24"/>
          <w:szCs w:val="24"/>
        </w:rPr>
      </w:pPr>
      <w:r>
        <w:rPr>
          <w:rFonts w:hint="eastAsia" w:ascii="仿宋" w:hAnsi="仿宋" w:eastAsia="仿宋" w:cs="仿宋"/>
          <w:sz w:val="24"/>
          <w:szCs w:val="24"/>
        </w:rPr>
        <w:t>5.1 2022年1月20日，驻场巡查人员进场；</w:t>
      </w:r>
    </w:p>
    <w:p>
      <w:pPr>
        <w:pStyle w:val="4"/>
        <w:ind w:firstLine="480"/>
        <w:rPr>
          <w:rFonts w:ascii="仿宋" w:hAnsi="仿宋" w:eastAsia="仿宋" w:cs="仿宋"/>
          <w:sz w:val="24"/>
          <w:szCs w:val="24"/>
        </w:rPr>
      </w:pPr>
      <w:r>
        <w:rPr>
          <w:rFonts w:hint="eastAsia" w:ascii="仿宋" w:hAnsi="仿宋" w:eastAsia="仿宋" w:cs="仿宋"/>
          <w:sz w:val="24"/>
          <w:szCs w:val="24"/>
        </w:rPr>
        <w:t>5.2 2022年3月底前，完成车载空气检测仪安装调式工作；</w:t>
      </w:r>
    </w:p>
    <w:p>
      <w:pPr>
        <w:pStyle w:val="42"/>
        <w:rPr>
          <w:rFonts w:ascii="仿宋" w:hAnsi="仿宋" w:eastAsia="仿宋" w:cs="仿宋"/>
          <w:sz w:val="24"/>
          <w:szCs w:val="24"/>
        </w:rPr>
      </w:pPr>
      <w:r>
        <w:rPr>
          <w:rFonts w:hint="eastAsia" w:ascii="仿宋" w:hAnsi="仿宋" w:eastAsia="仿宋" w:cs="仿宋"/>
          <w:sz w:val="24"/>
          <w:szCs w:val="24"/>
        </w:rPr>
        <w:t>5.3 2022年3月底前，完成相关平台建设并接入监测数据；</w:t>
      </w:r>
    </w:p>
    <w:p>
      <w:pPr>
        <w:ind w:firstLine="480" w:firstLineChars="200"/>
        <w:rPr>
          <w:rFonts w:ascii="仿宋" w:hAnsi="仿宋" w:eastAsia="仿宋" w:cs="仿宋"/>
          <w:sz w:val="24"/>
          <w:szCs w:val="24"/>
        </w:rPr>
      </w:pPr>
      <w:r>
        <w:rPr>
          <w:rFonts w:hint="eastAsia" w:ascii="仿宋" w:hAnsi="仿宋" w:eastAsia="仿宋" w:cs="仿宋"/>
          <w:sz w:val="24"/>
          <w:szCs w:val="24"/>
        </w:rPr>
        <w:t>5.4 2022年9月31日前，完成红外检测工作；</w:t>
      </w:r>
    </w:p>
    <w:p>
      <w:pPr>
        <w:pStyle w:val="4"/>
        <w:ind w:firstLine="480"/>
        <w:rPr>
          <w:rFonts w:ascii="仿宋" w:hAnsi="仿宋" w:eastAsia="仿宋" w:cs="仿宋"/>
          <w:sz w:val="24"/>
          <w:szCs w:val="24"/>
        </w:rPr>
      </w:pPr>
      <w:r>
        <w:rPr>
          <w:rFonts w:hint="eastAsia" w:ascii="仿宋" w:hAnsi="仿宋" w:eastAsia="仿宋" w:cs="仿宋"/>
          <w:sz w:val="24"/>
          <w:szCs w:val="24"/>
        </w:rPr>
        <w:t>5.5 2022年1月20日-2023年1月，常态化开展巡查、抽测、评估工作；</w:t>
      </w:r>
    </w:p>
    <w:p>
      <w:pPr>
        <w:pStyle w:val="42"/>
        <w:rPr>
          <w:rFonts w:ascii="仿宋" w:hAnsi="仿宋" w:eastAsia="仿宋" w:cs="仿宋"/>
          <w:sz w:val="24"/>
          <w:szCs w:val="24"/>
        </w:rPr>
      </w:pPr>
      <w:r>
        <w:rPr>
          <w:rFonts w:hint="eastAsia" w:ascii="仿宋" w:hAnsi="仿宋" w:eastAsia="仿宋" w:cs="仿宋"/>
          <w:sz w:val="24"/>
          <w:szCs w:val="24"/>
        </w:rPr>
        <w:t>5.6 监测数据接入平台且验收合格起，提供1年配套设备运维服务；</w:t>
      </w:r>
    </w:p>
    <w:p>
      <w:pPr>
        <w:pStyle w:val="3"/>
        <w:numPr>
          <w:ilvl w:val="0"/>
          <w:numId w:val="0"/>
        </w:numPr>
        <w:spacing w:before="156" w:after="156"/>
        <w:ind w:left="992" w:hanging="567"/>
        <w:rPr>
          <w:sz w:val="24"/>
          <w:szCs w:val="24"/>
        </w:rPr>
      </w:pPr>
      <w:r>
        <w:rPr>
          <w:rFonts w:hint="eastAsia"/>
          <w:sz w:val="24"/>
          <w:szCs w:val="24"/>
        </w:rPr>
        <w:t>6.工作成果提交</w:t>
      </w:r>
    </w:p>
    <w:p>
      <w:pPr>
        <w:widowControl/>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6.1企业VOCs问题清单；</w:t>
      </w:r>
    </w:p>
    <w:p>
      <w:pPr>
        <w:widowControl/>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6.2 LDAR企业数据质量检查抽测报告 40份；</w:t>
      </w:r>
    </w:p>
    <w:p>
      <w:pPr>
        <w:widowControl/>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6.3 重点企业抽测报告 35份；</w:t>
      </w:r>
    </w:p>
    <w:p>
      <w:pPr>
        <w:widowControl/>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6.4 重点项目评估报告 40份；</w:t>
      </w:r>
    </w:p>
    <w:p>
      <w:pPr>
        <w:widowControl/>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6.5 工地污染管控巡查技术综合服务项目分析报告；</w:t>
      </w:r>
    </w:p>
    <w:p>
      <w:pPr>
        <w:pStyle w:val="4"/>
        <w:ind w:firstLine="480"/>
        <w:rPr>
          <w:rFonts w:ascii="仿宋" w:hAnsi="仿宋" w:eastAsia="仿宋" w:cs="仿宋"/>
          <w:sz w:val="24"/>
          <w:szCs w:val="24"/>
        </w:rPr>
      </w:pPr>
      <w:r>
        <w:rPr>
          <w:rFonts w:hint="eastAsia" w:ascii="仿宋" w:hAnsi="仿宋" w:eastAsia="仿宋" w:cs="仿宋"/>
          <w:sz w:val="24"/>
          <w:szCs w:val="24"/>
        </w:rPr>
        <w:t>6.6 非道路移动机械抽测报告100份；</w:t>
      </w:r>
    </w:p>
    <w:p>
      <w:pPr>
        <w:widowControl/>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6.7其他日常行政性工作材料（周报、专报等）。</w:t>
      </w:r>
    </w:p>
    <w:p>
      <w:pPr>
        <w:pStyle w:val="3"/>
        <w:numPr>
          <w:ilvl w:val="0"/>
          <w:numId w:val="0"/>
        </w:numPr>
        <w:spacing w:before="156" w:after="156"/>
        <w:ind w:left="992" w:hanging="567"/>
        <w:rPr>
          <w:sz w:val="24"/>
          <w:szCs w:val="24"/>
        </w:rPr>
      </w:pPr>
      <w:r>
        <w:rPr>
          <w:rFonts w:hint="eastAsia"/>
          <w:sz w:val="24"/>
          <w:szCs w:val="24"/>
        </w:rPr>
        <w:t>7.其他事项：</w:t>
      </w:r>
    </w:p>
    <w:p>
      <w:pPr>
        <w:widowControl/>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7.1 中标人通过本项目研究所取得相关成果的知识产权归采购人所有。中标人对所有成果资料和采购人提供的所有资料负有保密的责任，未经采购人认可，中标人不得向第三方提供本合同范围内的研究成果。否则，采购人有权提起诉讼，由此引起的所有费用及损失由中标人承担。</w:t>
      </w:r>
    </w:p>
    <w:p>
      <w:pPr>
        <w:widowControl/>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7.2中标人要按投标文件的承诺配备各类专业人员，要求中标人提供工作计划进度表。</w:t>
      </w:r>
    </w:p>
    <w:p>
      <w:pPr>
        <w:ind w:firstLine="480" w:firstLineChars="200"/>
        <w:rPr>
          <w:rFonts w:ascii="仿宋" w:hAnsi="仿宋" w:eastAsia="仿宋" w:cs="仿宋"/>
          <w:sz w:val="24"/>
          <w:szCs w:val="24"/>
        </w:rPr>
      </w:pPr>
      <w:r>
        <w:rPr>
          <w:rFonts w:hint="eastAsia" w:ascii="仿宋" w:hAnsi="仿宋" w:eastAsia="仿宋" w:cs="仿宋"/>
          <w:sz w:val="24"/>
          <w:szCs w:val="24"/>
        </w:rPr>
        <w:t>7.3在项目实施过程中，其发生的一切费用（包括税费、打印装订、车辆保障、验收等）均由中标人负责，与采购人无涉。</w:t>
      </w:r>
    </w:p>
    <w:p>
      <w:pPr>
        <w:pStyle w:val="3"/>
        <w:numPr>
          <w:ilvl w:val="0"/>
          <w:numId w:val="0"/>
        </w:numPr>
        <w:spacing w:before="156" w:after="156"/>
        <w:ind w:left="992" w:hanging="567"/>
        <w:rPr>
          <w:sz w:val="24"/>
          <w:szCs w:val="24"/>
        </w:rPr>
      </w:pPr>
      <w:r>
        <w:rPr>
          <w:rFonts w:hint="eastAsia"/>
          <w:sz w:val="24"/>
          <w:szCs w:val="24"/>
        </w:rPr>
        <w:t>8.付款方式</w:t>
      </w:r>
    </w:p>
    <w:p>
      <w:pPr>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szCs w:val="24"/>
        </w:rPr>
        <w:t>按浙财采监{2020}3号文件执行，具体支付条款由双方协</w:t>
      </w:r>
      <w:r>
        <w:rPr>
          <w:rFonts w:hint="eastAsia" w:ascii="仿宋" w:hAnsi="仿宋" w:eastAsia="仿宋" w:cs="仿宋"/>
          <w:color w:val="000000" w:themeColor="text1"/>
          <w:sz w:val="24"/>
        </w:rPr>
        <w:t>商确定合同中明确。</w:t>
      </w:r>
    </w:p>
    <w:p>
      <w:pPr>
        <w:pStyle w:val="104"/>
        <w:rPr>
          <w:rFonts w:ascii="仿宋" w:hAnsi="仿宋" w:eastAsia="仿宋" w:cs="仿宋"/>
        </w:rPr>
      </w:pPr>
    </w:p>
    <w:p>
      <w:pPr>
        <w:rPr>
          <w:rFonts w:ascii="仿宋" w:hAnsi="仿宋" w:eastAsia="仿宋" w:cs="仿宋"/>
          <w:b/>
          <w:sz w:val="24"/>
        </w:rPr>
      </w:pPr>
      <w:r>
        <w:rPr>
          <w:rFonts w:hint="eastAsia" w:ascii="仿宋" w:hAnsi="仿宋" w:eastAsia="仿宋" w:cs="仿宋"/>
          <w:b/>
          <w:sz w:val="24"/>
        </w:rPr>
        <w:br w:type="page"/>
      </w:r>
    </w:p>
    <w:p>
      <w:pPr>
        <w:pStyle w:val="23"/>
        <w:pageBreakBefore/>
        <w:spacing w:line="800" w:lineRule="exact"/>
        <w:ind w:firstLine="726"/>
        <w:jc w:val="center"/>
        <w:rPr>
          <w:rFonts w:ascii="仿宋_GB2312" w:hAnsi="宋体" w:eastAsia="仿宋_GB2312"/>
          <w:b/>
          <w:sz w:val="36"/>
          <w:szCs w:val="36"/>
        </w:rPr>
      </w:pPr>
      <w:bookmarkStart w:id="7" w:name="_Toc84325981"/>
      <w:bookmarkStart w:id="8" w:name="_Toc80157775"/>
      <w:bookmarkStart w:id="9" w:name="_Toc81372787"/>
      <w:bookmarkStart w:id="10" w:name="_Toc81372964"/>
      <w:r>
        <w:rPr>
          <w:rFonts w:hint="eastAsia" w:ascii="仿宋_GB2312" w:hAnsi="宋体" w:eastAsia="仿宋_GB2312"/>
          <w:b/>
          <w:sz w:val="36"/>
          <w:szCs w:val="36"/>
        </w:rPr>
        <w:t>第四部分 合同主要条款</w:t>
      </w:r>
    </w:p>
    <w:p>
      <w:pPr>
        <w:spacing w:line="440" w:lineRule="exact"/>
        <w:jc w:val="left"/>
        <w:rPr>
          <w:rFonts w:ascii="仿宋_GB2312" w:hAnsi="宋体" w:eastAsia="仿宋_GB2312"/>
          <w:b/>
          <w:sz w:val="24"/>
        </w:rPr>
      </w:pPr>
      <w:r>
        <w:rPr>
          <w:rFonts w:hint="eastAsia" w:ascii="仿宋_GB2312" w:hAnsi="宋体" w:eastAsia="仿宋_GB2312"/>
          <w:b/>
          <w:sz w:val="24"/>
        </w:rPr>
        <w:t>1.合同</w:t>
      </w:r>
      <w:bookmarkStart w:id="11" w:name="OLE_LINK1"/>
      <w:r>
        <w:rPr>
          <w:rFonts w:hint="eastAsia" w:ascii="仿宋_GB2312" w:hAnsi="宋体" w:eastAsia="仿宋_GB2312"/>
          <w:b/>
          <w:sz w:val="24"/>
        </w:rPr>
        <w:t>范围</w:t>
      </w:r>
      <w:bookmarkEnd w:id="11"/>
    </w:p>
    <w:p>
      <w:pPr>
        <w:spacing w:line="440" w:lineRule="exact"/>
        <w:ind w:firstLine="480" w:firstLineChars="200"/>
        <w:jc w:val="left"/>
        <w:rPr>
          <w:rFonts w:ascii="仿宋_GB2312" w:hAnsi="宋体" w:eastAsia="仿宋_GB2312"/>
          <w:sz w:val="24"/>
        </w:rPr>
      </w:pPr>
      <w:r>
        <w:rPr>
          <w:rFonts w:hint="eastAsia" w:ascii="仿宋_GB2312" w:hAnsi="仿宋_GB2312" w:eastAsia="仿宋_GB2312" w:cs="仿宋_GB2312"/>
          <w:sz w:val="24"/>
        </w:rPr>
        <w:t>本合同条款适用与本次采购活动。项目实施范围详见附件——招标文件和投标文件及补充文件、采购设计图、承诺书等。</w:t>
      </w:r>
    </w:p>
    <w:p>
      <w:pPr>
        <w:pStyle w:val="85"/>
        <w:spacing w:line="440" w:lineRule="exact"/>
        <w:rPr>
          <w:rFonts w:ascii="仿宋_GB2312" w:hAnsi="宋体" w:eastAsia="仿宋_GB2312"/>
          <w:b/>
          <w:sz w:val="24"/>
          <w:szCs w:val="24"/>
        </w:rPr>
      </w:pPr>
      <w:r>
        <w:rPr>
          <w:rFonts w:hint="eastAsia" w:ascii="仿宋_GB2312" w:hAnsi="宋体" w:eastAsia="仿宋_GB2312"/>
          <w:b/>
          <w:sz w:val="24"/>
          <w:szCs w:val="24"/>
        </w:rPr>
        <w:t>2.合同的签订</w:t>
      </w:r>
    </w:p>
    <w:p>
      <w:pPr>
        <w:snapToGrid w:val="0"/>
        <w:spacing w:line="440" w:lineRule="exact"/>
        <w:jc w:val="left"/>
        <w:rPr>
          <w:rFonts w:ascii="仿宋_GB2312" w:hAnsi="宋体" w:eastAsia="仿宋_GB2312"/>
          <w:sz w:val="24"/>
        </w:rPr>
      </w:pPr>
      <w:r>
        <w:rPr>
          <w:rFonts w:hint="eastAsia"/>
          <w:sz w:val="24"/>
        </w:rPr>
        <w:t>2.1</w:t>
      </w:r>
      <w:r>
        <w:rPr>
          <w:rFonts w:hint="eastAsia" w:ascii="仿宋_GB2312" w:hAnsi="宋体" w:eastAsia="仿宋_GB2312"/>
          <w:sz w:val="24"/>
        </w:rPr>
        <w:t>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_GB2312" w:hAnsi="宋体" w:eastAsia="仿宋_GB2312"/>
        </w:rPr>
      </w:pPr>
      <w:r>
        <w:rPr>
          <w:rFonts w:hint="eastAsia" w:ascii="仿宋_GB2312" w:hAnsi="宋体" w:eastAsia="仿宋_GB2312"/>
        </w:rPr>
        <w:t>2.1.1交货地点：用户指定地点。</w:t>
      </w:r>
    </w:p>
    <w:p>
      <w:pPr>
        <w:pStyle w:val="12"/>
        <w:widowControl w:val="0"/>
        <w:tabs>
          <w:tab w:val="clear" w:pos="1697"/>
        </w:tabs>
        <w:spacing w:afterLines="0" w:line="440" w:lineRule="exact"/>
        <w:ind w:left="0" w:firstLine="0"/>
        <w:rPr>
          <w:rFonts w:ascii="仿宋_GB2312" w:hAnsi="宋体" w:eastAsia="仿宋_GB2312"/>
        </w:rPr>
      </w:pPr>
      <w:r>
        <w:rPr>
          <w:rFonts w:hint="eastAsia" w:ascii="仿宋_GB2312" w:hAnsi="宋体" w:eastAsia="仿宋_GB2312"/>
          <w:szCs w:val="24"/>
        </w:rPr>
        <w:t>2.1.2</w:t>
      </w:r>
      <w:r>
        <w:rPr>
          <w:rFonts w:hint="eastAsia" w:ascii="仿宋_GB2312" w:hAnsi="宋体" w:eastAsia="仿宋_GB2312"/>
        </w:rPr>
        <w:t>到货期：</w:t>
      </w:r>
      <w:r>
        <w:rPr>
          <w:rFonts w:hint="eastAsia" w:ascii="仿宋_GB2312" w:eastAsia="仿宋_GB2312"/>
        </w:rPr>
        <w:t>按标项内具体要求执行</w:t>
      </w:r>
      <w:r>
        <w:rPr>
          <w:rFonts w:hint="eastAsia" w:ascii="仿宋_GB2312" w:hAnsi="宋体" w:eastAsia="仿宋_GB2312"/>
        </w:rPr>
        <w:t>。</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b/>
          <w:szCs w:val="24"/>
        </w:rPr>
        <w:t>3.付款方式：</w:t>
      </w:r>
      <w:r>
        <w:rPr>
          <w:rFonts w:hint="eastAsia" w:ascii="仿宋_GB2312" w:eastAsia="仿宋_GB2312"/>
        </w:rPr>
        <w:t>按标项内具体要求执行。</w:t>
      </w:r>
    </w:p>
    <w:p>
      <w:pPr>
        <w:tabs>
          <w:tab w:val="left" w:pos="7950"/>
        </w:tabs>
        <w:spacing w:line="440" w:lineRule="exact"/>
        <w:jc w:val="left"/>
        <w:rPr>
          <w:rFonts w:ascii="仿宋_GB2312" w:hAnsi="宋体" w:eastAsia="仿宋_GB2312"/>
          <w:b/>
          <w:sz w:val="24"/>
        </w:rPr>
      </w:pPr>
      <w:r>
        <w:rPr>
          <w:rFonts w:hint="eastAsia" w:ascii="仿宋_GB2312" w:hAnsi="宋体" w:eastAsia="仿宋_GB2312"/>
          <w:b/>
          <w:sz w:val="24"/>
        </w:rPr>
        <w:t>4.合同修改</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w:t>
      </w:r>
      <w:r>
        <w:rPr>
          <w:rFonts w:hint="eastAsia"/>
        </w:rPr>
        <w:t xml:space="preserve"> </w:t>
      </w:r>
      <w:r>
        <w:rPr>
          <w:rFonts w:hint="eastAsia" w:ascii="仿宋_GB2312" w:hAnsi="宋体" w:eastAsia="仿宋_GB2312"/>
          <w:b/>
          <w:sz w:val="24"/>
        </w:rPr>
        <w:t>商品包装和快递包装要求</w:t>
      </w:r>
    </w:p>
    <w:p>
      <w:pPr>
        <w:snapToGrid w:val="0"/>
        <w:spacing w:line="440" w:lineRule="exact"/>
        <w:ind w:firstLine="482" w:firstLineChars="200"/>
        <w:jc w:val="left"/>
        <w:rPr>
          <w:rFonts w:ascii="仿宋_GB2312" w:hAnsi="宋体" w:eastAsia="仿宋_GB2312"/>
          <w:b/>
          <w:sz w:val="24"/>
        </w:rPr>
      </w:pPr>
      <w:r>
        <w:rPr>
          <w:rFonts w:hint="eastAsia" w:ascii="仿宋_GB2312" w:hAnsi="宋体" w:eastAsia="仿宋_GB2312"/>
          <w:b/>
          <w:sz w:val="24"/>
        </w:rPr>
        <w:t>本次项目采购所涉及的商品包装和快递包装要求均应符合《关于印发《商品包装政府采购需求标准（试行）》、 《快递包装政府采购需求标准（试行）》的通知》（财办库〔2020〕123号）文件要求，必要时由采购人在履约验收环节根据实际情况要求供应商出具检测报告。</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6. 质量标准和验收</w:t>
      </w:r>
    </w:p>
    <w:p>
      <w:pPr>
        <w:snapToGrid w:val="0"/>
        <w:spacing w:line="440" w:lineRule="exact"/>
        <w:jc w:val="left"/>
        <w:rPr>
          <w:rFonts w:ascii="仿宋_GB2312" w:hAnsi="宋体" w:eastAsia="仿宋_GB2312"/>
          <w:sz w:val="24"/>
        </w:rPr>
      </w:pPr>
      <w:r>
        <w:rPr>
          <w:rFonts w:hint="eastAsia" w:ascii="仿宋_GB2312" w:hAnsi="宋体" w:eastAsia="仿宋_GB2312"/>
          <w:sz w:val="24"/>
        </w:rPr>
        <w:t>6.1中标人提供的产品及服务必须是经合法途径取得的。</w:t>
      </w:r>
    </w:p>
    <w:p>
      <w:pPr>
        <w:snapToGrid w:val="0"/>
        <w:spacing w:line="440" w:lineRule="exact"/>
        <w:jc w:val="left"/>
        <w:rPr>
          <w:rFonts w:ascii="仿宋_GB2312" w:hAnsi="宋体" w:eastAsia="仿宋_GB2312"/>
          <w:sz w:val="24"/>
        </w:rPr>
      </w:pPr>
      <w:r>
        <w:rPr>
          <w:rFonts w:hint="eastAsia" w:ascii="仿宋_GB2312" w:hAnsi="宋体" w:eastAsia="仿宋_GB2312"/>
          <w:sz w:val="24"/>
        </w:rPr>
        <w:t>6.2中标人应按现行的国家或行业技术及验收标准和招标文件的规定提供工程、货物或服务，因中标人提供的工程、货物或服务达不到约定的质量标准，中标人承担违约责任。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sz w:val="24"/>
        </w:rPr>
      </w:pPr>
      <w:r>
        <w:rPr>
          <w:rFonts w:hint="eastAsia" w:ascii="仿宋_GB2312" w:hAnsi="宋体" w:eastAsia="仿宋_GB2312"/>
          <w:sz w:val="24"/>
        </w:rPr>
        <w:t>6.3验收由使用单位按规定组织相关人员或专家进行。</w:t>
      </w:r>
    </w:p>
    <w:p>
      <w:pPr>
        <w:spacing w:line="440" w:lineRule="exact"/>
        <w:ind w:hanging="2"/>
        <w:jc w:val="left"/>
        <w:rPr>
          <w:rFonts w:ascii="仿宋_GB2312" w:hAnsi="宋体" w:eastAsia="仿宋_GB2312"/>
          <w:sz w:val="24"/>
        </w:rPr>
      </w:pPr>
      <w:r>
        <w:rPr>
          <w:rFonts w:hint="eastAsia" w:ascii="仿宋_GB2312" w:hAnsi="宋体" w:eastAsia="仿宋_GB2312"/>
          <w:sz w:val="24"/>
        </w:rPr>
        <w:t>6.4双方对工程、货物或服务的质量有争议的，由双方同意的专业检测机构鉴定，所需费及因此造成的损失由责任方承担，双方均有责任的，双方根据其责任分别承担。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sz w:val="24"/>
        </w:rPr>
      </w:pPr>
      <w:r>
        <w:rPr>
          <w:rFonts w:hint="eastAsia" w:ascii="仿宋_GB2312" w:hAnsi="宋体" w:eastAsia="仿宋_GB2312"/>
          <w:b/>
          <w:sz w:val="24"/>
        </w:rPr>
        <w:t>7.违约责任</w:t>
      </w:r>
    </w:p>
    <w:p>
      <w:pPr>
        <w:pStyle w:val="20"/>
        <w:widowControl w:val="0"/>
        <w:tabs>
          <w:tab w:val="left" w:pos="1540"/>
          <w:tab w:val="clear" w:pos="482"/>
        </w:tabs>
        <w:spacing w:afterLines="0" w:line="440" w:lineRule="exact"/>
        <w:ind w:left="-2" w:leftChars="-1" w:firstLine="0"/>
        <w:rPr>
          <w:rFonts w:ascii="仿宋_GB2312" w:hAnsi="宋体" w:eastAsia="仿宋_GB2312"/>
          <w:szCs w:val="24"/>
        </w:rPr>
      </w:pPr>
      <w:r>
        <w:rPr>
          <w:rFonts w:hint="eastAsia" w:ascii="仿宋_GB2312" w:hAnsi="宋体" w:eastAsia="仿宋_GB2312"/>
          <w:szCs w:val="24"/>
        </w:rPr>
        <w:t>7.1提供的货物和服务质量必须达到合格，凡安装调试、设备试运转过程中发现的设备质量问题，中标人必须无偿返工直至符合质量要求，承担返工所发生的一切费用和招标人的直接经济损失。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ascii="仿宋_GB2312" w:hAnsi="宋体" w:eastAsia="仿宋_GB2312"/>
          <w:szCs w:val="24"/>
        </w:rPr>
      </w:pPr>
      <w:r>
        <w:rPr>
          <w:rFonts w:hint="eastAsia" w:ascii="仿宋_GB2312" w:hAnsi="宋体" w:eastAsia="仿宋_GB2312"/>
          <w:szCs w:val="24"/>
        </w:rPr>
        <w:t>7.2由于招标人保管不善或使用不当造成设备短缺、</w:t>
      </w:r>
      <w:r>
        <w:rPr>
          <w:rFonts w:hint="eastAsia" w:ascii="仿宋_GB2312" w:hAnsi="宋体" w:eastAsia="仿宋_GB2312"/>
          <w:kern w:val="2"/>
          <w:szCs w:val="24"/>
        </w:rPr>
        <w:t>故障或损坏，中标人</w:t>
      </w:r>
      <w:r>
        <w:rPr>
          <w:rFonts w:hint="eastAsia" w:ascii="仿宋_GB2312" w:hAnsi="宋体" w:eastAsia="仿宋_GB2312"/>
          <w:szCs w:val="24"/>
        </w:rPr>
        <w:t>协助招标人及时给予补齐或修复。</w:t>
      </w:r>
    </w:p>
    <w:p>
      <w:pPr>
        <w:pStyle w:val="12"/>
        <w:widowControl w:val="0"/>
        <w:tabs>
          <w:tab w:val="left" w:pos="1560"/>
          <w:tab w:val="clear" w:pos="1697"/>
        </w:tabs>
        <w:spacing w:afterLines="0" w:line="440" w:lineRule="exact"/>
        <w:ind w:left="-2" w:leftChars="-1" w:firstLine="0"/>
        <w:rPr>
          <w:rFonts w:ascii="仿宋_GB2312" w:hAnsi="宋体" w:eastAsia="仿宋_GB2312"/>
          <w:b/>
          <w:szCs w:val="24"/>
        </w:rPr>
      </w:pPr>
      <w:r>
        <w:rPr>
          <w:rFonts w:hint="eastAsia" w:ascii="仿宋_GB2312" w:hAnsi="宋体" w:eastAsia="仿宋_GB2312"/>
          <w:b/>
          <w:szCs w:val="24"/>
        </w:rPr>
        <w:t>8．违约赔偿</w:t>
      </w:r>
    </w:p>
    <w:p>
      <w:pPr>
        <w:spacing w:line="440" w:lineRule="exact"/>
        <w:rPr>
          <w:rFonts w:ascii="仿宋_GB2312" w:hAnsi="宋体" w:eastAsia="仿宋_GB2312"/>
          <w:sz w:val="24"/>
        </w:rPr>
      </w:pPr>
      <w:r>
        <w:rPr>
          <w:rFonts w:hint="eastAsia" w:ascii="仿宋_GB2312" w:hAnsi="宋体" w:eastAsia="仿宋_GB2312"/>
          <w:sz w:val="24"/>
        </w:rPr>
        <w:t>8.1除不可抗力外，如中标人发生不能按期完成供货任务，招标人发生中途变更等情况，应及时以书面形式通知对方。双方应本着友好的态度进行协商，妥善解决。如协商无效，按规定处以违约金。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kern w:val="0"/>
          <w:sz w:val="24"/>
        </w:rPr>
        <w:t xml:space="preserve">8.2 </w:t>
      </w:r>
      <w:r>
        <w:rPr>
          <w:rFonts w:hint="eastAsia" w:ascii="仿宋_GB2312" w:hAnsi="宋体" w:eastAsia="仿宋_GB2312"/>
          <w:sz w:val="24"/>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sz w:val="24"/>
        </w:rPr>
      </w:pPr>
      <w:r>
        <w:rPr>
          <w:rFonts w:hint="eastAsia" w:ascii="仿宋_GB2312" w:hAnsi="宋体" w:eastAsia="仿宋_GB2312"/>
          <w:sz w:val="24"/>
        </w:rPr>
        <w:t>8.3招标人在规定时间无正当理由拒签合同者，以招标违约处理，并赔偿中标人由此造成的直接经济损失。</w:t>
      </w:r>
    </w:p>
    <w:p>
      <w:pPr>
        <w:spacing w:line="440" w:lineRule="exact"/>
        <w:jc w:val="left"/>
        <w:rPr>
          <w:rFonts w:ascii="仿宋_GB2312" w:hAnsi="宋体" w:eastAsia="仿宋_GB2312"/>
          <w:b/>
          <w:sz w:val="24"/>
        </w:rPr>
      </w:pPr>
      <w:r>
        <w:rPr>
          <w:rFonts w:hint="eastAsia" w:ascii="仿宋_GB2312" w:hAnsi="宋体" w:eastAsia="仿宋_GB2312"/>
          <w:b/>
          <w:sz w:val="24"/>
        </w:rPr>
        <w:t>9.不可抗力</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9.1如果双方中任何一方由于战争、严重火灾、水灾、台风和地震以及其它经双方同意属于不可抗力的事故，致使合同履行受阻时，履行合同的期限应予延长，延长的期限应相当于事故所影响的时间。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sz w:val="24"/>
        </w:rPr>
      </w:pPr>
      <w:r>
        <w:rPr>
          <w:rFonts w:hint="eastAsia" w:ascii="仿宋_GB2312" w:hAnsi="宋体" w:eastAsia="仿宋_GB2312"/>
          <w:b/>
          <w:sz w:val="24"/>
        </w:rPr>
        <w:t>10.解决合同纠纷的方式</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10.1凡有关本合同或与本合同中发生的争端，双方应通过友好协商，妥善解决。如通过协商仍不能解决时，可向当地的仲裁机构申请仲裁或人民法院起诉。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10.2仲裁和诉讼费用除仲裁机构和人民法院另有裁决外，由败诉方承担。</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10.3在仲裁和诉讼期间，除正在进行裁定的部分外，本合同其他部分应继续执行。</w:t>
      </w:r>
    </w:p>
    <w:p>
      <w:pPr>
        <w:spacing w:line="440" w:lineRule="exact"/>
        <w:jc w:val="left"/>
        <w:rPr>
          <w:rFonts w:ascii="仿宋_GB2312" w:hAnsi="宋体" w:eastAsia="仿宋_GB2312"/>
          <w:sz w:val="24"/>
        </w:rPr>
      </w:pPr>
      <w:r>
        <w:rPr>
          <w:rFonts w:hint="eastAsia" w:ascii="仿宋_GB2312" w:hAnsi="宋体" w:eastAsia="仿宋_GB2312"/>
          <w:sz w:val="24"/>
        </w:rPr>
        <w:t>10.4合同应在双方签字盖章后开始生效。</w:t>
      </w:r>
    </w:p>
    <w:p>
      <w:pPr>
        <w:spacing w:line="440" w:lineRule="exact"/>
        <w:rPr>
          <w:rFonts w:ascii="仿宋_GB2312" w:hAnsi="宋体" w:eastAsia="仿宋_GB2312"/>
          <w:sz w:val="24"/>
        </w:rPr>
      </w:pPr>
      <w:r>
        <w:rPr>
          <w:rFonts w:hint="eastAsia" w:ascii="仿宋_GB2312" w:hAnsi="宋体" w:eastAsia="仿宋_GB2312"/>
          <w:sz w:val="24"/>
        </w:rPr>
        <w:t>（注：在正式签约时，根据上述精神应拟就更为详尽的合同书）</w:t>
      </w:r>
    </w:p>
    <w:p>
      <w:pPr>
        <w:spacing w:line="380" w:lineRule="exact"/>
        <w:ind w:firstLine="480" w:firstLineChars="200"/>
        <w:jc w:val="left"/>
        <w:rPr>
          <w:rFonts w:ascii="仿宋_GB2312" w:eastAsia="仿宋_GB2312"/>
          <w:sz w:val="24"/>
        </w:rPr>
      </w:pPr>
    </w:p>
    <w:p>
      <w:pPr>
        <w:pStyle w:val="23"/>
        <w:spacing w:line="800" w:lineRule="exact"/>
        <w:ind w:firstLine="723"/>
        <w:jc w:val="center"/>
        <w:rPr>
          <w:rFonts w:ascii="仿宋_GB2312" w:hAnsi="宋体" w:eastAsia="仿宋_GB2312"/>
          <w:b/>
          <w:sz w:val="36"/>
          <w:szCs w:val="36"/>
        </w:rPr>
      </w:pPr>
    </w:p>
    <w:p>
      <w:pPr>
        <w:pStyle w:val="23"/>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 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共100分，其中商务技术分80分，价格分20分。评分依下述所列为评标打分依据，分值如下（计算分值时，按其算术平均值保留小数2位）。</w:t>
      </w:r>
    </w:p>
    <w:p>
      <w:pPr>
        <w:spacing w:line="440" w:lineRule="exact"/>
        <w:rPr>
          <w:rFonts w:ascii="仿宋_GB2312" w:hAnsi="宋体" w:eastAsia="仿宋_GB2312"/>
          <w:b/>
          <w:bCs/>
          <w:iCs/>
          <w:sz w:val="24"/>
        </w:rPr>
      </w:pPr>
      <w:r>
        <w:rPr>
          <w:rFonts w:hint="eastAsia" w:ascii="仿宋_GB2312" w:hAnsi="宋体" w:eastAsia="仿宋_GB2312"/>
          <w:b/>
          <w:bCs/>
          <w:iCs/>
          <w:sz w:val="24"/>
        </w:rPr>
        <w:t>2.1.商务技术分（80分）</w:t>
      </w:r>
    </w:p>
    <w:tbl>
      <w:tblPr>
        <w:tblStyle w:val="43"/>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165"/>
        <w:gridCol w:w="501"/>
        <w:gridCol w:w="6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24" w:type="dxa"/>
            <w:shd w:val="clear" w:color="auto" w:fill="auto"/>
            <w:vAlign w:val="center"/>
          </w:tcPr>
          <w:p>
            <w:pPr>
              <w:widowControl/>
              <w:jc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序号</w:t>
            </w:r>
          </w:p>
        </w:tc>
        <w:tc>
          <w:tcPr>
            <w:tcW w:w="1165" w:type="dxa"/>
            <w:shd w:val="clear" w:color="auto" w:fill="auto"/>
            <w:vAlign w:val="center"/>
          </w:tcPr>
          <w:p>
            <w:pPr>
              <w:widowControl/>
              <w:jc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评审内容</w:t>
            </w:r>
          </w:p>
        </w:tc>
        <w:tc>
          <w:tcPr>
            <w:tcW w:w="501" w:type="dxa"/>
            <w:shd w:val="clear" w:color="auto" w:fill="auto"/>
            <w:vAlign w:val="center"/>
          </w:tcPr>
          <w:p>
            <w:pPr>
              <w:widowControl/>
              <w:jc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分值</w:t>
            </w:r>
          </w:p>
        </w:tc>
        <w:tc>
          <w:tcPr>
            <w:tcW w:w="6759" w:type="dxa"/>
            <w:shd w:val="clear" w:color="auto" w:fill="auto"/>
            <w:vAlign w:val="center"/>
          </w:tcPr>
          <w:p>
            <w:pPr>
              <w:widowControl/>
              <w:jc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724" w:type="dxa"/>
            <w:shd w:val="clear" w:color="auto" w:fill="auto"/>
            <w:vAlign w:val="center"/>
          </w:tcPr>
          <w:p>
            <w:pPr>
              <w:widowControl/>
              <w:jc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w:t>
            </w:r>
          </w:p>
        </w:tc>
        <w:tc>
          <w:tcPr>
            <w:tcW w:w="1165" w:type="dxa"/>
            <w:shd w:val="clear" w:color="auto" w:fill="auto"/>
            <w:vAlign w:val="center"/>
          </w:tcPr>
          <w:p>
            <w:pPr>
              <w:widowControl/>
              <w:jc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企业实力</w:t>
            </w:r>
          </w:p>
        </w:tc>
        <w:tc>
          <w:tcPr>
            <w:tcW w:w="501" w:type="dxa"/>
            <w:shd w:val="clear" w:color="auto" w:fill="auto"/>
            <w:vAlign w:val="center"/>
          </w:tcPr>
          <w:p>
            <w:pPr>
              <w:widowControl/>
              <w:jc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w:t>
            </w:r>
          </w:p>
        </w:tc>
        <w:tc>
          <w:tcPr>
            <w:tcW w:w="6759" w:type="dxa"/>
            <w:shd w:val="clear" w:color="auto" w:fill="auto"/>
            <w:vAlign w:val="center"/>
          </w:tcPr>
          <w:p>
            <w:pPr>
              <w:pStyle w:val="102"/>
              <w:numPr>
                <w:numId w:val="0"/>
              </w:numPr>
              <w:spacing w:after="0" w:line="240" w:lineRule="auto"/>
              <w:ind w:leftChars="0"/>
              <w:jc w:val="both"/>
              <w:rPr>
                <w:rFonts w:ascii="仿宋" w:hAnsi="仿宋" w:eastAsia="仿宋" w:cs="仿宋"/>
                <w:color w:val="auto"/>
                <w:sz w:val="24"/>
              </w:rPr>
            </w:pPr>
            <w:r>
              <w:rPr>
                <w:rFonts w:hint="eastAsia" w:ascii="仿宋" w:hAnsi="仿宋" w:eastAsia="仿宋" w:cs="仿宋"/>
                <w:color w:val="auto"/>
                <w:sz w:val="24"/>
                <w:lang w:val="en-US" w:eastAsia="zh-CN"/>
              </w:rPr>
              <w:t>1.</w:t>
            </w:r>
            <w:r>
              <w:rPr>
                <w:rFonts w:hint="eastAsia" w:ascii="仿宋" w:hAnsi="仿宋" w:eastAsia="仿宋" w:cs="仿宋"/>
                <w:color w:val="auto"/>
                <w:sz w:val="24"/>
              </w:rPr>
              <w:t>投标人需具有较强的技术研发能力，是国家级企业技术中心，得5分；是省级企业技术中心得3分；是市级企业技术中心得1分；其他不得分。（以国家或各省市认定企业技术中心名单为准，</w:t>
            </w:r>
            <w:r>
              <w:rPr>
                <w:rFonts w:hint="eastAsia" w:ascii="仿宋" w:hAnsi="仿宋" w:eastAsia="仿宋" w:cs="宋体"/>
                <w:color w:val="auto"/>
                <w:sz w:val="24"/>
              </w:rPr>
              <w:t>提供</w:t>
            </w:r>
            <w:r>
              <w:rPr>
                <w:rFonts w:hint="eastAsia" w:ascii="仿宋" w:hAnsi="仿宋" w:eastAsia="仿宋" w:cs="仿宋"/>
                <w:color w:val="auto"/>
                <w:sz w:val="24"/>
              </w:rPr>
              <w:t>证明材料</w:t>
            </w:r>
            <w:r>
              <w:rPr>
                <w:rFonts w:hint="eastAsia" w:ascii="仿宋" w:hAnsi="仿宋" w:eastAsia="仿宋" w:cs="宋体"/>
                <w:color w:val="auto"/>
                <w:sz w:val="24"/>
              </w:rPr>
              <w:t>原件扫描件加盖单位公章</w:t>
            </w:r>
            <w:r>
              <w:rPr>
                <w:rFonts w:hint="eastAsia" w:ascii="仿宋" w:hAnsi="仿宋" w:eastAsia="仿宋" w:cs="仿宋"/>
                <w:color w:val="auto"/>
                <w:sz w:val="24"/>
              </w:rPr>
              <w:t>）</w:t>
            </w:r>
          </w:p>
          <w:p>
            <w:pPr>
              <w:widowControl/>
              <w:rPr>
                <w:rFonts w:ascii="仿宋" w:hAnsi="仿宋" w:eastAsia="仿宋" w:cs="仿宋"/>
                <w:color w:val="auto"/>
                <w:kern w:val="0"/>
                <w:sz w:val="24"/>
              </w:rPr>
            </w:pPr>
            <w:r>
              <w:rPr>
                <w:rFonts w:hint="eastAsia" w:ascii="仿宋" w:hAnsi="仿宋" w:eastAsia="仿宋" w:cs="仿宋"/>
                <w:color w:val="auto"/>
                <w:kern w:val="0"/>
                <w:sz w:val="24"/>
              </w:rPr>
              <w:t>2.本项目需要投标人具有较高的软件研发能力，具备环保智能化软件开发能力，投标人完成软件过程及能力成熟度评估，投标人获得CMMI5级证书得5分，获得CMMI4得3分，获得CMMI3得1分，没有的不得分。（</w:t>
            </w:r>
            <w:r>
              <w:rPr>
                <w:rFonts w:hint="eastAsia" w:ascii="仿宋" w:hAnsi="仿宋" w:eastAsia="仿宋" w:cs="宋体"/>
                <w:color w:val="auto"/>
                <w:sz w:val="24"/>
              </w:rPr>
              <w:t>提供证书原件扫描件加盖单位公章</w:t>
            </w:r>
            <w:r>
              <w:rPr>
                <w:rFonts w:hint="eastAsia" w:ascii="仿宋" w:hAnsi="仿宋" w:eastAsia="仿宋" w:cs="仿宋"/>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4" w:type="dxa"/>
            <w:shd w:val="clear" w:color="auto" w:fill="auto"/>
            <w:vAlign w:val="center"/>
          </w:tcPr>
          <w:p>
            <w:pPr>
              <w:widowControl/>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165" w:type="dxa"/>
            <w:shd w:val="clear" w:color="auto" w:fill="auto"/>
            <w:vAlign w:val="center"/>
          </w:tcPr>
          <w:p>
            <w:pPr>
              <w:widowControl/>
              <w:jc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服务方案</w:t>
            </w:r>
          </w:p>
        </w:tc>
        <w:tc>
          <w:tcPr>
            <w:tcW w:w="501" w:type="dxa"/>
            <w:shd w:val="clear" w:color="auto" w:fill="auto"/>
            <w:vAlign w:val="center"/>
          </w:tcPr>
          <w:p>
            <w:pPr>
              <w:widowControl/>
              <w:jc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30</w:t>
            </w:r>
          </w:p>
        </w:tc>
        <w:tc>
          <w:tcPr>
            <w:tcW w:w="6759" w:type="dxa"/>
            <w:tcBorders>
              <w:bottom w:val="single" w:color="auto" w:sz="4" w:space="0"/>
            </w:tcBorders>
            <w:shd w:val="clear" w:color="auto" w:fill="auto"/>
            <w:vAlign w:val="center"/>
          </w:tcPr>
          <w:p>
            <w:pPr>
              <w:rPr>
                <w:rFonts w:ascii="仿宋" w:hAnsi="仿宋" w:eastAsia="仿宋" w:cs="仿宋"/>
                <w:color w:val="auto"/>
                <w:kern w:val="0"/>
                <w:sz w:val="24"/>
              </w:rPr>
            </w:pPr>
            <w:r>
              <w:rPr>
                <w:rFonts w:hint="eastAsia" w:ascii="仿宋" w:hAnsi="仿宋" w:eastAsia="仿宋" w:cs="仿宋"/>
                <w:color w:val="auto"/>
                <w:kern w:val="0"/>
                <w:sz w:val="24"/>
              </w:rPr>
              <w:t>（1）根据投标人提供的对我市空气质量、大气污染特征与成因、污染源排放情况的分析总结进行评分。分析透彻并提出合理性建议的得10-7分；分析基本清楚的得6.9-4分；一般的得3.9-0分；未提供不得分。</w:t>
            </w:r>
          </w:p>
          <w:p>
            <w:pPr>
              <w:widowControl/>
              <w:rPr>
                <w:rFonts w:ascii="仿宋" w:hAnsi="仿宋" w:eastAsia="仿宋" w:cs="仿宋"/>
                <w:color w:val="auto"/>
                <w:kern w:val="0"/>
                <w:sz w:val="24"/>
              </w:rPr>
            </w:pPr>
            <w:r>
              <w:rPr>
                <w:rFonts w:hint="eastAsia" w:ascii="仿宋" w:hAnsi="仿宋" w:eastAsia="仿宋" w:cs="仿宋"/>
                <w:color w:val="auto"/>
                <w:kern w:val="0"/>
                <w:sz w:val="24"/>
              </w:rPr>
              <w:t>（2）根据项目服务方案综合评分，项目总体方案对项目需求、特点、重点的分析，分析合理透彻得8-6分；分析基本清楚得5.9-4分；一般得3.9-0分；未提供不得分。</w:t>
            </w:r>
          </w:p>
          <w:p>
            <w:pPr>
              <w:pStyle w:val="4"/>
              <w:ind w:firstLine="0" w:firstLineChars="0"/>
              <w:rPr>
                <w:rFonts w:ascii="仿宋" w:hAnsi="仿宋" w:eastAsia="仿宋" w:cs="仿宋"/>
                <w:color w:val="auto"/>
                <w:kern w:val="0"/>
                <w:sz w:val="24"/>
              </w:rPr>
            </w:pPr>
            <w:r>
              <w:rPr>
                <w:rFonts w:hint="eastAsia" w:ascii="仿宋" w:hAnsi="仿宋" w:eastAsia="仿宋" w:cs="仿宋"/>
                <w:color w:val="auto"/>
                <w:kern w:val="0"/>
                <w:sz w:val="24"/>
              </w:rPr>
              <w:t>（3）根据提供的工作内容完整性、工作流程规范性、工作安排科学合理性进行评分。分析合理透彻得8-6分；分析基本清楚得5.9-4分；一般得3.9-0分；未提供不得分。</w:t>
            </w:r>
          </w:p>
          <w:p>
            <w:pPr>
              <w:pStyle w:val="4"/>
              <w:ind w:firstLine="0" w:firstLineChars="0"/>
              <w:rPr>
                <w:rFonts w:ascii="仿宋" w:hAnsi="仿宋" w:eastAsia="仿宋" w:cs="仿宋"/>
                <w:color w:val="auto"/>
                <w:sz w:val="24"/>
              </w:rPr>
            </w:pPr>
            <w:r>
              <w:rPr>
                <w:rFonts w:hint="eastAsia" w:ascii="仿宋" w:hAnsi="仿宋" w:eastAsia="仿宋" w:cs="仿宋"/>
                <w:color w:val="auto"/>
                <w:kern w:val="0"/>
                <w:sz w:val="24"/>
              </w:rPr>
              <w:t>（4）本项目要求投标人具有完善的售后服务，根据投标人提供的售后服务方案进行评分，分析合理透彻得4-3分；分析基本清楚得2.9-2分；一般得1.9-0分；未提供不得分。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24" w:type="dxa"/>
            <w:vMerge w:val="restart"/>
            <w:shd w:val="clear" w:color="auto" w:fill="auto"/>
            <w:vAlign w:val="center"/>
          </w:tcPr>
          <w:p>
            <w:pPr>
              <w:widowControl/>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1165" w:type="dxa"/>
            <w:vMerge w:val="restart"/>
            <w:shd w:val="clear" w:color="auto" w:fill="auto"/>
            <w:vAlign w:val="center"/>
          </w:tcPr>
          <w:p>
            <w:pPr>
              <w:widowControl/>
              <w:jc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服务团队</w:t>
            </w:r>
          </w:p>
        </w:tc>
        <w:tc>
          <w:tcPr>
            <w:tcW w:w="501" w:type="dxa"/>
            <w:vMerge w:val="restart"/>
            <w:shd w:val="clear" w:color="auto" w:fill="auto"/>
            <w:vAlign w:val="center"/>
          </w:tcPr>
          <w:p>
            <w:pPr>
              <w:widowControl/>
              <w:jc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6</w:t>
            </w:r>
          </w:p>
        </w:tc>
        <w:tc>
          <w:tcPr>
            <w:tcW w:w="6759" w:type="dxa"/>
            <w:tcBorders>
              <w:bottom w:val="nil"/>
            </w:tcBorders>
            <w:shd w:val="clear" w:color="auto" w:fill="auto"/>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1.项目负责人具有环境类高级职称的一个得2分。（</w:t>
            </w:r>
            <w:r>
              <w:rPr>
                <w:rFonts w:hint="eastAsia" w:ascii="仿宋" w:hAnsi="仿宋" w:eastAsia="仿宋" w:cs="宋体"/>
                <w:color w:val="auto"/>
                <w:kern w:val="0"/>
                <w:sz w:val="24"/>
              </w:rPr>
              <w:t>其证书在有效期内，上传证书原件扫描件</w:t>
            </w:r>
            <w:r>
              <w:rPr>
                <w:rFonts w:hint="eastAsia" w:ascii="仿宋" w:hAnsi="仿宋" w:eastAsia="仿宋" w:cs="仿宋"/>
                <w:color w:val="auto"/>
                <w:kern w:val="0"/>
                <w:sz w:val="24"/>
              </w:rPr>
              <w:t>并加盖单位公章</w:t>
            </w:r>
            <w:r>
              <w:rPr>
                <w:rFonts w:hint="eastAsia" w:ascii="仿宋" w:hAnsi="仿宋" w:eastAsia="仿宋" w:cs="宋体"/>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24" w:type="dxa"/>
            <w:vMerge w:val="continue"/>
            <w:vAlign w:val="center"/>
          </w:tcPr>
          <w:p>
            <w:pPr>
              <w:widowControl/>
              <w:jc w:val="center"/>
              <w:rPr>
                <w:rFonts w:ascii="仿宋" w:hAnsi="仿宋" w:eastAsia="仿宋" w:cs="仿宋"/>
                <w:color w:val="auto"/>
                <w:kern w:val="0"/>
                <w:sz w:val="24"/>
              </w:rPr>
            </w:pPr>
          </w:p>
        </w:tc>
        <w:tc>
          <w:tcPr>
            <w:tcW w:w="1165" w:type="dxa"/>
            <w:vMerge w:val="continue"/>
            <w:vAlign w:val="center"/>
          </w:tcPr>
          <w:p>
            <w:pPr>
              <w:widowControl/>
              <w:jc w:val="center"/>
              <w:rPr>
                <w:rFonts w:ascii="仿宋" w:hAnsi="仿宋" w:eastAsia="仿宋" w:cs="仿宋"/>
                <w:color w:val="000000" w:themeColor="text1"/>
                <w:kern w:val="0"/>
                <w:sz w:val="24"/>
              </w:rPr>
            </w:pPr>
          </w:p>
        </w:tc>
        <w:tc>
          <w:tcPr>
            <w:tcW w:w="501" w:type="dxa"/>
            <w:vMerge w:val="continue"/>
            <w:vAlign w:val="center"/>
          </w:tcPr>
          <w:p>
            <w:pPr>
              <w:widowControl/>
              <w:jc w:val="center"/>
              <w:rPr>
                <w:rFonts w:ascii="仿宋" w:hAnsi="仿宋" w:eastAsia="仿宋" w:cs="仿宋"/>
                <w:color w:val="000000" w:themeColor="text1"/>
                <w:kern w:val="0"/>
                <w:sz w:val="24"/>
              </w:rPr>
            </w:pPr>
          </w:p>
        </w:tc>
        <w:tc>
          <w:tcPr>
            <w:tcW w:w="6759" w:type="dxa"/>
            <w:tcBorders>
              <w:top w:val="nil"/>
              <w:bottom w:val="nil"/>
            </w:tcBorders>
            <w:shd w:val="clear" w:color="auto" w:fill="auto"/>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2.参与本项目的驻场人员须有一定的挥发性有机物监测与分析能力，有通过中国环境监测总站环境空气挥发性有机物监测技术培训考核的，每提供一人加1分，最高得4分。（</w:t>
            </w:r>
            <w:r>
              <w:rPr>
                <w:rFonts w:hint="eastAsia" w:ascii="仿宋" w:hAnsi="仿宋" w:eastAsia="仿宋" w:cs="宋体"/>
                <w:color w:val="auto"/>
                <w:kern w:val="0"/>
                <w:sz w:val="24"/>
              </w:rPr>
              <w:t>其证书在有效期内，上传证书原件扫描件</w:t>
            </w:r>
            <w:r>
              <w:rPr>
                <w:rFonts w:hint="eastAsia" w:ascii="仿宋" w:hAnsi="仿宋" w:eastAsia="仿宋" w:cs="仿宋"/>
                <w:color w:val="auto"/>
                <w:kern w:val="0"/>
                <w:sz w:val="24"/>
              </w:rPr>
              <w:t>并加盖单位公章</w:t>
            </w:r>
            <w:r>
              <w:rPr>
                <w:rFonts w:hint="eastAsia" w:ascii="仿宋" w:hAnsi="仿宋" w:eastAsia="仿宋" w:cs="宋体"/>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24" w:type="dxa"/>
            <w:vMerge w:val="continue"/>
            <w:vAlign w:val="center"/>
          </w:tcPr>
          <w:p>
            <w:pPr>
              <w:widowControl/>
              <w:jc w:val="center"/>
              <w:rPr>
                <w:rFonts w:ascii="仿宋" w:hAnsi="仿宋" w:eastAsia="仿宋" w:cs="仿宋"/>
                <w:color w:val="auto"/>
                <w:kern w:val="0"/>
                <w:sz w:val="24"/>
              </w:rPr>
            </w:pPr>
          </w:p>
        </w:tc>
        <w:tc>
          <w:tcPr>
            <w:tcW w:w="1165" w:type="dxa"/>
            <w:vMerge w:val="continue"/>
            <w:vAlign w:val="center"/>
          </w:tcPr>
          <w:p>
            <w:pPr>
              <w:widowControl/>
              <w:jc w:val="center"/>
              <w:rPr>
                <w:rFonts w:ascii="仿宋" w:hAnsi="仿宋" w:eastAsia="仿宋" w:cs="仿宋"/>
                <w:color w:val="000000" w:themeColor="text1"/>
                <w:kern w:val="0"/>
                <w:sz w:val="24"/>
              </w:rPr>
            </w:pPr>
          </w:p>
        </w:tc>
        <w:tc>
          <w:tcPr>
            <w:tcW w:w="501" w:type="dxa"/>
            <w:vMerge w:val="continue"/>
            <w:vAlign w:val="center"/>
          </w:tcPr>
          <w:p>
            <w:pPr>
              <w:widowControl/>
              <w:jc w:val="center"/>
              <w:rPr>
                <w:rFonts w:ascii="仿宋" w:hAnsi="仿宋" w:eastAsia="仿宋" w:cs="仿宋"/>
                <w:color w:val="000000" w:themeColor="text1"/>
                <w:kern w:val="0"/>
                <w:sz w:val="24"/>
              </w:rPr>
            </w:pPr>
          </w:p>
        </w:tc>
        <w:tc>
          <w:tcPr>
            <w:tcW w:w="6759" w:type="dxa"/>
            <w:tcBorders>
              <w:top w:val="nil"/>
            </w:tcBorders>
            <w:shd w:val="clear" w:color="auto" w:fill="auto"/>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（投标人须提供社保部门出具的2021年任意一个月在投标人处缴纳社保的凭证</w:t>
            </w:r>
            <w:r>
              <w:rPr>
                <w:rFonts w:hint="eastAsia" w:ascii="仿宋" w:hAnsi="仿宋" w:eastAsia="仿宋" w:cs="宋体"/>
                <w:color w:val="auto"/>
                <w:sz w:val="24"/>
              </w:rPr>
              <w:t>原件扫描件</w:t>
            </w:r>
            <w:r>
              <w:rPr>
                <w:rFonts w:hint="eastAsia" w:ascii="仿宋" w:hAnsi="仿宋" w:eastAsia="仿宋" w:cs="仿宋"/>
                <w:color w:val="auto"/>
                <w:kern w:val="0"/>
                <w:sz w:val="24"/>
              </w:rPr>
              <w:t>并加盖单位公章）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724" w:type="dxa"/>
            <w:shd w:val="clear" w:color="auto" w:fill="auto"/>
            <w:vAlign w:val="center"/>
          </w:tcPr>
          <w:p>
            <w:pPr>
              <w:widowControl/>
              <w:jc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1165" w:type="dxa"/>
            <w:shd w:val="clear" w:color="auto" w:fill="auto"/>
            <w:vAlign w:val="center"/>
          </w:tcPr>
          <w:p>
            <w:pPr>
              <w:widowControl/>
              <w:jc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技术响应</w:t>
            </w:r>
          </w:p>
        </w:tc>
        <w:tc>
          <w:tcPr>
            <w:tcW w:w="501" w:type="dxa"/>
            <w:shd w:val="clear" w:color="auto" w:fill="auto"/>
            <w:vAlign w:val="center"/>
          </w:tcPr>
          <w:p>
            <w:pPr>
              <w:widowControl/>
              <w:jc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30</w:t>
            </w:r>
          </w:p>
        </w:tc>
        <w:tc>
          <w:tcPr>
            <w:tcW w:w="6759" w:type="dxa"/>
            <w:shd w:val="clear" w:color="auto" w:fill="auto"/>
            <w:vAlign w:val="center"/>
          </w:tcPr>
          <w:p>
            <w:pPr>
              <w:widowControl/>
              <w:rPr>
                <w:rFonts w:ascii="仿宋" w:hAnsi="仿宋" w:eastAsia="仿宋" w:cs="仿宋"/>
                <w:color w:val="auto"/>
                <w:kern w:val="0"/>
                <w:sz w:val="24"/>
              </w:rPr>
            </w:pPr>
            <w:r>
              <w:rPr>
                <w:rFonts w:hint="eastAsia" w:ascii="仿宋_GB2312" w:hAnsi="宋体" w:eastAsia="仿宋_GB2312" w:cs="宋体"/>
                <w:color w:val="auto"/>
                <w:sz w:val="24"/>
              </w:rPr>
              <w:t>满足招标文件要求的得30分，打“★”号的指标为实质性指标不允许出现负偏离，如出现负偏离则作无效投标处理；打“▲”号的指标为主要功能、配置每有一项偏离的扣2分；一般指标每有一项偏离的扣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724" w:type="dxa"/>
            <w:shd w:val="clear" w:color="auto" w:fill="auto"/>
            <w:vAlign w:val="center"/>
          </w:tcPr>
          <w:p>
            <w:pPr>
              <w:widowControl/>
              <w:jc w:val="center"/>
              <w:rPr>
                <w:rFonts w:ascii="仿宋" w:hAnsi="仿宋" w:eastAsia="仿宋" w:cs="仿宋"/>
                <w:color w:val="auto"/>
                <w:kern w:val="0"/>
                <w:sz w:val="24"/>
              </w:rPr>
            </w:pPr>
            <w:r>
              <w:rPr>
                <w:rFonts w:hint="eastAsia" w:ascii="仿宋" w:hAnsi="仿宋" w:eastAsia="仿宋" w:cs="仿宋"/>
                <w:color w:val="auto"/>
                <w:kern w:val="0"/>
                <w:sz w:val="24"/>
              </w:rPr>
              <w:t>5.</w:t>
            </w:r>
          </w:p>
        </w:tc>
        <w:tc>
          <w:tcPr>
            <w:tcW w:w="1165" w:type="dxa"/>
            <w:shd w:val="clear" w:color="auto" w:fill="auto"/>
            <w:vAlign w:val="center"/>
          </w:tcPr>
          <w:p>
            <w:pPr>
              <w:widowControl/>
              <w:jc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业绩</w:t>
            </w:r>
          </w:p>
        </w:tc>
        <w:tc>
          <w:tcPr>
            <w:tcW w:w="501" w:type="dxa"/>
            <w:shd w:val="clear" w:color="auto" w:fill="auto"/>
            <w:vAlign w:val="center"/>
          </w:tcPr>
          <w:p>
            <w:pPr>
              <w:widowControl/>
              <w:jc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4</w:t>
            </w:r>
          </w:p>
        </w:tc>
        <w:tc>
          <w:tcPr>
            <w:tcW w:w="6759" w:type="dxa"/>
            <w:shd w:val="clear" w:color="auto" w:fill="auto"/>
            <w:vAlign w:val="center"/>
          </w:tcPr>
          <w:p>
            <w:pPr>
              <w:numPr>
                <w:ilvl w:val="0"/>
                <w:numId w:val="12"/>
              </w:numPr>
              <w:adjustRightInd w:val="0"/>
              <w:spacing w:line="360" w:lineRule="auto"/>
              <w:jc w:val="left"/>
              <w:rPr>
                <w:rFonts w:ascii="仿宋" w:hAnsi="仿宋" w:eastAsia="仿宋"/>
                <w:color w:val="auto"/>
                <w:sz w:val="24"/>
                <w:lang w:val="zh-CN"/>
              </w:rPr>
            </w:pPr>
            <w:bookmarkStart w:id="12" w:name="_GoBack"/>
            <w:r>
              <w:rPr>
                <w:rFonts w:hint="eastAsia" w:ascii="仿宋" w:hAnsi="仿宋" w:eastAsia="仿宋"/>
                <w:color w:val="auto"/>
                <w:sz w:val="24"/>
                <w:lang w:val="zh-CN"/>
              </w:rPr>
              <w:t>投标人提供</w:t>
            </w:r>
            <w:r>
              <w:rPr>
                <w:rFonts w:hint="eastAsia" w:ascii="仿宋" w:hAnsi="仿宋" w:eastAsia="仿宋"/>
                <w:color w:val="auto"/>
                <w:sz w:val="24"/>
              </w:rPr>
              <w:t>2019年1月1日至今同类</w:t>
            </w:r>
            <w:r>
              <w:rPr>
                <w:rFonts w:hint="eastAsia" w:ascii="仿宋" w:hAnsi="仿宋" w:eastAsia="仿宋"/>
                <w:color w:val="auto"/>
                <w:sz w:val="24"/>
                <w:lang w:val="zh-CN"/>
              </w:rPr>
              <w:t>项目合同，</w:t>
            </w:r>
            <w:r>
              <w:rPr>
                <w:rFonts w:hint="eastAsia" w:ascii="仿宋" w:hAnsi="仿宋" w:eastAsia="仿宋"/>
                <w:color w:val="auto"/>
                <w:sz w:val="24"/>
              </w:rPr>
              <w:t>每一个得1分</w:t>
            </w:r>
            <w:r>
              <w:rPr>
                <w:rFonts w:hint="eastAsia" w:ascii="仿宋" w:hAnsi="仿宋" w:eastAsia="仿宋"/>
                <w:color w:val="auto"/>
                <w:sz w:val="24"/>
                <w:lang w:val="zh-CN"/>
              </w:rPr>
              <w:t>，最高得</w:t>
            </w:r>
            <w:r>
              <w:rPr>
                <w:rFonts w:hint="eastAsia" w:ascii="仿宋" w:hAnsi="仿宋" w:eastAsia="仿宋"/>
                <w:color w:val="auto"/>
                <w:sz w:val="24"/>
              </w:rPr>
              <w:t>4</w:t>
            </w:r>
            <w:r>
              <w:rPr>
                <w:rFonts w:hint="eastAsia" w:ascii="仿宋" w:hAnsi="仿宋" w:eastAsia="仿宋"/>
                <w:color w:val="auto"/>
                <w:sz w:val="24"/>
                <w:lang w:val="zh-CN"/>
              </w:rPr>
              <w:t>分。</w:t>
            </w:r>
          </w:p>
          <w:p>
            <w:pPr>
              <w:widowControl/>
              <w:rPr>
                <w:rFonts w:ascii="仿宋" w:hAnsi="仿宋" w:eastAsia="仿宋" w:cs="仿宋"/>
                <w:color w:val="auto"/>
                <w:kern w:val="0"/>
                <w:sz w:val="24"/>
              </w:rPr>
            </w:pPr>
            <w:r>
              <w:rPr>
                <w:rFonts w:hint="eastAsia" w:ascii="仿宋" w:hAnsi="仿宋" w:eastAsia="仿宋" w:cs="宋体"/>
                <w:color w:val="auto"/>
                <w:sz w:val="24"/>
                <w:lang w:val="zh-CN"/>
              </w:rPr>
              <w:t>（</w:t>
            </w:r>
            <w:r>
              <w:rPr>
                <w:rFonts w:hint="eastAsia" w:ascii="仿宋" w:hAnsi="仿宋" w:eastAsia="仿宋" w:cs="宋体"/>
                <w:color w:val="auto"/>
                <w:sz w:val="24"/>
              </w:rPr>
              <w:t>提供业绩原件扫描件加盖单位公章</w:t>
            </w:r>
            <w:r>
              <w:rPr>
                <w:rFonts w:hint="eastAsia" w:ascii="仿宋" w:hAnsi="仿宋" w:eastAsia="仿宋" w:cs="宋体"/>
                <w:color w:val="auto"/>
                <w:sz w:val="24"/>
                <w:lang w:val="zh-CN"/>
              </w:rPr>
              <w:t>）</w:t>
            </w:r>
            <w:bookmarkEnd w:id="12"/>
          </w:p>
        </w:tc>
      </w:tr>
    </w:tbl>
    <w:p>
      <w:pPr>
        <w:spacing w:line="281" w:lineRule="auto"/>
        <w:rPr>
          <w:rFonts w:ascii="仿宋" w:hAnsi="仿宋" w:eastAsia="仿宋" w:cs="仿宋"/>
          <w:b/>
          <w:color w:val="000000" w:themeColor="text1"/>
          <w:sz w:val="24"/>
        </w:rPr>
      </w:pPr>
      <w:r>
        <w:rPr>
          <w:rFonts w:hint="eastAsia" w:ascii="仿宋" w:hAnsi="仿宋" w:eastAsia="仿宋" w:cs="仿宋"/>
          <w:b/>
          <w:bCs/>
          <w:color w:val="000000" w:themeColor="text1"/>
          <w:sz w:val="24"/>
        </w:rPr>
        <w:t>注：</w:t>
      </w:r>
      <w:r>
        <w:rPr>
          <w:rFonts w:hint="eastAsia" w:ascii="仿宋" w:hAnsi="仿宋" w:eastAsia="仿宋" w:cs="仿宋"/>
          <w:b/>
          <w:color w:val="000000" w:themeColor="text1"/>
          <w:sz w:val="24"/>
        </w:rPr>
        <w:t>1、本项目招标文件内对开标现场原件核验不作要求，招标人有权在标后对中标候选人进行原件核验，投标人对所提供的全部资料的真实性承担法律责任。</w:t>
      </w:r>
    </w:p>
    <w:p>
      <w:pPr>
        <w:spacing w:line="281" w:lineRule="auto"/>
        <w:ind w:firstLine="482" w:firstLineChars="200"/>
        <w:rPr>
          <w:rFonts w:ascii="仿宋" w:hAnsi="仿宋" w:eastAsia="仿宋" w:cs="仿宋"/>
          <w:b/>
          <w:color w:val="000000" w:themeColor="text1"/>
          <w:sz w:val="24"/>
        </w:rPr>
      </w:pPr>
      <w:r>
        <w:rPr>
          <w:rFonts w:hint="eastAsia" w:ascii="仿宋" w:hAnsi="仿宋" w:eastAsia="仿宋" w:cs="仿宋"/>
          <w:b/>
          <w:color w:val="000000" w:themeColor="text1"/>
          <w:sz w:val="24"/>
        </w:rPr>
        <w:t>2、所有的证书必须在有效期内，不在有效期内的不得分。</w:t>
      </w:r>
    </w:p>
    <w:p>
      <w:pPr>
        <w:pStyle w:val="23"/>
        <w:snapToGrid w:val="0"/>
        <w:spacing w:line="440" w:lineRule="exact"/>
        <w:rPr>
          <w:rFonts w:ascii="仿宋_GB2312" w:hAnsi="仿宋_GB2312" w:eastAsia="仿宋_GB2312" w:cs="仿宋_GB2312"/>
          <w:color w:val="000000" w:themeColor="text1"/>
          <w:sz w:val="24"/>
        </w:rPr>
      </w:pPr>
      <w:r>
        <w:rPr>
          <w:rFonts w:hint="eastAsia" w:ascii="仿宋" w:hAnsi="仿宋" w:eastAsia="仿宋" w:cs="仿宋_GB2312"/>
          <w:b/>
          <w:color w:val="000000" w:themeColor="text1"/>
          <w:sz w:val="24"/>
        </w:rPr>
        <w:t>▲</w:t>
      </w:r>
      <w:r>
        <w:rPr>
          <w:rFonts w:hint="eastAsia" w:ascii="仿宋_GB2312" w:hAnsi="仿宋_GB2312" w:eastAsia="仿宋_GB2312" w:cs="仿宋_GB2312"/>
          <w:b/>
          <w:color w:val="000000" w:themeColor="text1"/>
          <w:sz w:val="24"/>
        </w:rPr>
        <w:t>减分：投标人的信誉情况：</w:t>
      </w:r>
      <w:r>
        <w:rPr>
          <w:rFonts w:hint="eastAsia" w:ascii="仿宋_GB2312" w:hAnsi="仿宋_GB2312" w:eastAsia="仿宋_GB2312" w:cs="仿宋_GB2312"/>
          <w:color w:val="000000" w:themeColor="text1"/>
          <w:kern w:val="0"/>
          <w:sz w:val="24"/>
        </w:rPr>
        <w:t>政府采购领域中</w:t>
      </w:r>
      <w:r>
        <w:rPr>
          <w:rFonts w:hint="eastAsia" w:ascii="仿宋_GB2312" w:hAnsi="仿宋_GB2312" w:eastAsia="仿宋_GB2312" w:cs="仿宋_GB2312"/>
          <w:color w:val="000000" w:themeColor="text1"/>
          <w:sz w:val="24"/>
        </w:rPr>
        <w:t>投标人在项目招标、投标和合同履约期间是否存在不良行为记录。</w:t>
      </w:r>
    </w:p>
    <w:p>
      <w:pPr>
        <w:spacing w:line="440" w:lineRule="exac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●投标人参加本次政府采购活动前三年内在浙江省范围内政府采购领域中受到不良行为记录处罚的每次扣1分。</w:t>
      </w:r>
    </w:p>
    <w:p>
      <w:pPr>
        <w:spacing w:line="440" w:lineRule="exact"/>
        <w:rPr>
          <w:rFonts w:ascii="仿宋_GB2312" w:hAnsi="宋体" w:eastAsia="仿宋_GB2312"/>
          <w:b/>
          <w:bCs/>
          <w:iCs/>
          <w:color w:val="000000" w:themeColor="text1"/>
          <w:sz w:val="24"/>
        </w:rPr>
      </w:pPr>
      <w:r>
        <w:rPr>
          <w:rFonts w:hint="eastAsia" w:ascii="仿宋_GB2312" w:hAnsi="宋体" w:eastAsia="仿宋_GB2312"/>
          <w:b/>
          <w:bCs/>
          <w:iCs/>
          <w:color w:val="000000" w:themeColor="text1"/>
          <w:sz w:val="24"/>
        </w:rPr>
        <w:t>2.2价格分（20分）</w:t>
      </w:r>
    </w:p>
    <w:p>
      <w:pPr>
        <w:spacing w:line="440" w:lineRule="exact"/>
        <w:rPr>
          <w:rFonts w:ascii="仿宋_GB2312" w:hAnsi="宋体" w:eastAsia="仿宋_GB2312"/>
          <w:bCs/>
          <w:iCs/>
          <w:sz w:val="24"/>
        </w:rPr>
      </w:pPr>
      <w:r>
        <w:rPr>
          <w:rFonts w:hint="eastAsia" w:ascii="仿宋_GB2312" w:hAnsi="宋体" w:eastAsia="仿宋_GB2312"/>
          <w:bCs/>
          <w:iCs/>
          <w:color w:val="000000" w:themeColor="text1"/>
          <w:sz w:val="24"/>
        </w:rPr>
        <w:t>2.2.1评标基准价：即满足招标文件要求且投标价格最低</w:t>
      </w:r>
      <w:r>
        <w:rPr>
          <w:rFonts w:hint="eastAsia" w:ascii="仿宋_GB2312" w:hAnsi="宋体" w:eastAsia="仿宋_GB2312"/>
          <w:bCs/>
          <w:iCs/>
          <w:sz w:val="24"/>
        </w:rPr>
        <w:t>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即：投标报价得分=(评标基准价／投标报价)×20</w:t>
      </w:r>
    </w:p>
    <w:p>
      <w:pPr>
        <w:snapToGrid w:val="0"/>
        <w:rPr>
          <w:rFonts w:ascii="仿宋_GB2312" w:hAnsi="宋体" w:eastAsia="仿宋_GB2312"/>
          <w:b/>
          <w:sz w:val="24"/>
          <w:u w:val="single"/>
        </w:rPr>
      </w:pPr>
    </w:p>
    <w:bookmarkEnd w:id="7"/>
    <w:bookmarkEnd w:id="8"/>
    <w:bookmarkEnd w:id="9"/>
    <w:bookmarkEnd w:id="10"/>
    <w:p>
      <w:pPr>
        <w:snapToGrid w:val="0"/>
        <w:spacing w:line="360" w:lineRule="auto"/>
        <w:jc w:val="center"/>
        <w:rPr>
          <w:rFonts w:ascii="仿宋_GB2312" w:hAnsi="仿宋_GB2312" w:eastAsia="仿宋_GB2312" w:cs="仿宋_GB2312"/>
          <w:b/>
          <w:sz w:val="36"/>
          <w:szCs w:val="20"/>
        </w:rPr>
      </w:pPr>
    </w:p>
    <w:p>
      <w:pPr>
        <w:snapToGrid w:val="0"/>
        <w:spacing w:line="360" w:lineRule="auto"/>
        <w:jc w:val="center"/>
        <w:rPr>
          <w:rFonts w:ascii="仿宋_GB2312" w:hAnsi="仿宋_GB2312" w:eastAsia="仿宋_GB2312" w:cs="仿宋_GB2312"/>
          <w:b/>
          <w:sz w:val="36"/>
          <w:szCs w:val="20"/>
        </w:rPr>
      </w:pP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w:t>
      </w:r>
      <w:r>
        <w:rPr>
          <w:rFonts w:hint="eastAsia" w:ascii="仿宋" w:hAnsi="仿宋" w:eastAsia="仿宋" w:cs="仿宋_GB2312"/>
          <w:kern w:val="0"/>
          <w:sz w:val="24"/>
        </w:rPr>
        <w:t>中小企业声明函</w:t>
      </w:r>
      <w:r>
        <w:rPr>
          <w:rFonts w:hint="eastAsia" w:ascii="仿宋_GB2312" w:hAnsi="仿宋_GB2312" w:eastAsia="仿宋_GB2312" w:cs="仿宋_GB2312"/>
          <w:kern w:val="0"/>
          <w:sz w:val="24"/>
        </w:rPr>
        <w:t>………………………………………………（页码）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86"/>
        <w:spacing w:afterLines="0" w:line="440" w:lineRule="exact"/>
        <w:ind w:firstLine="0" w:firstLineChars="0"/>
        <w:rPr>
          <w:rFonts w:ascii="仿宋_GB2312" w:hAnsi="宋体" w:eastAsia="仿宋_GB2312"/>
          <w:szCs w:val="24"/>
        </w:rPr>
      </w:pPr>
    </w:p>
    <w:p>
      <w:pPr>
        <w:pStyle w:val="86"/>
        <w:spacing w:afterLines="0" w:line="440" w:lineRule="exact"/>
        <w:ind w:firstLine="0" w:firstLineChars="0"/>
        <w:rPr>
          <w:rFonts w:ascii="仿宋_GB2312" w:hAnsi="宋体" w:eastAsia="仿宋_GB2312"/>
          <w:szCs w:val="24"/>
        </w:rPr>
      </w:pPr>
      <w:r>
        <w:rPr>
          <w:rFonts w:hint="eastAsia" w:ascii="仿宋_GB2312" w:hAnsi="宋体" w:eastAsia="仿宋_GB2312"/>
          <w:szCs w:val="24"/>
        </w:rPr>
        <w:t>致：</w:t>
      </w:r>
      <w:r>
        <w:rPr>
          <w:rFonts w:hint="eastAsia" w:ascii="仿宋_GB2312" w:hAnsi="宋体" w:eastAsia="仿宋_GB2312"/>
          <w:szCs w:val="24"/>
          <w:u w:val="single"/>
        </w:rPr>
        <w:t>绍兴市生态环境局、耀华建设管理有限公司</w:t>
      </w:r>
    </w:p>
    <w:p>
      <w:pPr>
        <w:pStyle w:val="86"/>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86"/>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2"/>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86"/>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86"/>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向耀华建设管理有限公司提供可能另外要求的与投标有关的任何数据或资料。</w:t>
      </w:r>
    </w:p>
    <w:p>
      <w:pPr>
        <w:pStyle w:val="86"/>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2"/>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86"/>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86"/>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86"/>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86"/>
        <w:spacing w:afterLines="0" w:line="440" w:lineRule="exact"/>
        <w:ind w:firstLine="480"/>
        <w:rPr>
          <w:rFonts w:ascii="仿宋_GB2312" w:hAnsi="宋体" w:eastAsia="仿宋_GB2312"/>
          <w:szCs w:val="24"/>
        </w:rPr>
      </w:pPr>
      <w:r>
        <w:rPr>
          <w:rFonts w:hint="eastAsia" w:ascii="仿宋_GB2312" w:hAnsi="宋体" w:eastAsia="仿宋_GB2312"/>
          <w:szCs w:val="24"/>
        </w:rPr>
        <w:t>开户银行：                          帐号：</w:t>
      </w:r>
    </w:p>
    <w:p>
      <w:pPr>
        <w:pStyle w:val="86"/>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86"/>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投标人(电子签章)：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spacing w:val="20"/>
                <w:sz w:val="18"/>
                <w:szCs w:val="18"/>
              </w:rPr>
            </w:pPr>
            <w:r>
              <w:rPr>
                <w:rFonts w:hint="eastAsia" w:ascii="宋体" w:hAnsi="宋体"/>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spacing w:val="20"/>
                <w:sz w:val="18"/>
                <w:szCs w:val="18"/>
              </w:rPr>
            </w:pPr>
            <w:r>
              <w:rPr>
                <w:rFonts w:hint="eastAsia" w:ascii="宋体" w:hAnsi="宋体"/>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spacing w:val="20"/>
                <w:sz w:val="18"/>
                <w:szCs w:val="18"/>
              </w:rPr>
            </w:pPr>
            <w:r>
              <w:rPr>
                <w:rFonts w:hint="eastAsia" w:ascii="宋体" w:hAnsi="宋体"/>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宋体" w:hAnsi="宋体"/>
                <w:spacing w:val="20"/>
                <w:sz w:val="18"/>
                <w:szCs w:val="18"/>
              </w:rPr>
            </w:pPr>
            <w:r>
              <w:rPr>
                <w:rFonts w:hint="eastAsia" w:ascii="宋体" w:hAnsi="宋体"/>
                <w:spacing w:val="20"/>
                <w:sz w:val="18"/>
                <w:szCs w:val="18"/>
              </w:rPr>
              <w:t>品牌（如有）</w:t>
            </w:r>
          </w:p>
        </w:tc>
        <w:tc>
          <w:tcPr>
            <w:tcW w:w="720" w:type="dxa"/>
            <w:vAlign w:val="center"/>
          </w:tcPr>
          <w:p>
            <w:pPr>
              <w:adjustRightInd w:val="0"/>
              <w:snapToGrid w:val="0"/>
              <w:ind w:left="-107" w:leftChars="-51" w:right="-107" w:rightChars="-51"/>
              <w:jc w:val="center"/>
              <w:rPr>
                <w:rFonts w:ascii="宋体" w:hAnsi="宋体"/>
                <w:spacing w:val="20"/>
                <w:sz w:val="18"/>
                <w:szCs w:val="18"/>
              </w:rPr>
            </w:pPr>
            <w:r>
              <w:rPr>
                <w:rFonts w:hint="eastAsia" w:ascii="宋体" w:hAnsi="宋体"/>
                <w:spacing w:val="20"/>
                <w:sz w:val="18"/>
                <w:szCs w:val="18"/>
              </w:rPr>
              <w:t>数量</w:t>
            </w:r>
          </w:p>
        </w:tc>
        <w:tc>
          <w:tcPr>
            <w:tcW w:w="1440" w:type="dxa"/>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型号和规格</w:t>
            </w:r>
            <w:r>
              <w:rPr>
                <w:rFonts w:hint="eastAsia" w:ascii="宋体" w:hAnsi="宋体"/>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宋体" w:hAnsi="宋体"/>
                <w:spacing w:val="20"/>
                <w:sz w:val="18"/>
                <w:szCs w:val="18"/>
              </w:rPr>
            </w:pPr>
            <w:r>
              <w:rPr>
                <w:rFonts w:hint="eastAsia" w:ascii="宋体" w:hAnsi="宋体"/>
                <w:spacing w:val="20"/>
                <w:sz w:val="18"/>
                <w:szCs w:val="18"/>
              </w:rPr>
              <w:t>交货期</w:t>
            </w:r>
          </w:p>
        </w:tc>
        <w:tc>
          <w:tcPr>
            <w:tcW w:w="1078" w:type="dxa"/>
            <w:vAlign w:val="center"/>
          </w:tcPr>
          <w:p>
            <w:pPr>
              <w:tabs>
                <w:tab w:val="left" w:pos="1224"/>
              </w:tabs>
              <w:adjustRightInd w:val="0"/>
              <w:snapToGrid w:val="0"/>
              <w:ind w:right="-107" w:rightChars="-51"/>
              <w:rPr>
                <w:rFonts w:ascii="宋体" w:hAnsi="宋体"/>
                <w:spacing w:val="20"/>
                <w:sz w:val="18"/>
                <w:szCs w:val="18"/>
              </w:rPr>
            </w:pPr>
            <w:r>
              <w:rPr>
                <w:rFonts w:hint="eastAsia" w:ascii="宋体" w:hAnsi="宋体"/>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440" w:type="dxa"/>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r>
              <w:rPr>
                <w:rFonts w:hint="eastAsia" w:ascii="宋体" w:hAnsi="宋体"/>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kern w:val="0"/>
          <w:sz w:val="24"/>
          <w:lang w:val="zh-CN"/>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snapToGrid w:val="0"/>
        <w:ind w:firstLine="482" w:firstLineChars="200"/>
        <w:jc w:val="left"/>
        <w:rPr>
          <w:rFonts w:ascii="仿宋_GB2312" w:hAnsi="宋体" w:eastAsia="仿宋_GB2312"/>
          <w:b/>
          <w:kern w:val="0"/>
          <w:sz w:val="24"/>
          <w:lang w:val="zh-CN"/>
        </w:rPr>
      </w:pPr>
      <w:r>
        <w:rPr>
          <w:rFonts w:hint="eastAsia" w:ascii="仿宋_GB2312" w:hAnsi="宋体" w:eastAsia="仿宋_GB2312"/>
          <w:b/>
          <w:kern w:val="0"/>
          <w:sz w:val="24"/>
          <w:lang w:val="zh-CN"/>
        </w:rPr>
        <w:t>6.特别提示：采购机构将对</w:t>
      </w:r>
      <w:r>
        <w:rPr>
          <w:rFonts w:hint="eastAsia" w:ascii="仿宋_GB2312" w:hAnsi="仿宋" w:eastAsia="仿宋_GB2312" w:cs="宋体"/>
          <w:b/>
          <w:kern w:val="0"/>
          <w:sz w:val="24"/>
        </w:rPr>
        <w:t>项目名称和项目编号，中标供应商名称、地址和中标金额，主要中标标的的名称、规格型号、数量、单价、服务要求等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投标人（电子签章）：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rPr>
          <w:rFonts w:ascii="仿宋_GB2312" w:hAnsi="仿宋_GB2312" w:eastAsia="仿宋_GB2312" w:cs="仿宋_GB2312"/>
          <w:b/>
          <w:sz w:val="32"/>
          <w:szCs w:val="32"/>
        </w:rPr>
      </w:pPr>
      <w:r>
        <w:rPr>
          <w:rFonts w:hint="eastAsia" w:ascii="仿宋_GB2312" w:eastAsia="仿宋_GB2312"/>
          <w:b/>
          <w:sz w:val="32"/>
          <w:szCs w:val="32"/>
        </w:rPr>
        <w:t>3、中小企业声明函（二选一）</w:t>
      </w: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的 </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绍兴市生态环境局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注：</w:t>
      </w:r>
    </w:p>
    <w:p>
      <w:pPr>
        <w:rPr>
          <w:rFonts w:ascii="仿宋" w:hAnsi="仿宋" w:eastAsia="仿宋"/>
          <w:b/>
          <w:color w:val="000000" w:themeColor="text1"/>
          <w:sz w:val="24"/>
        </w:rPr>
      </w:pPr>
      <w:r>
        <w:rPr>
          <w:rFonts w:hint="eastAsia" w:ascii="仿宋" w:hAnsi="仿宋" w:eastAsia="仿宋"/>
          <w:b/>
          <w:color w:val="000000" w:themeColor="text1"/>
          <w:sz w:val="24"/>
        </w:rPr>
        <w:t>1、从业人员、营业收入、资产总额填报上一年度数据，无上一年度数据的新成立企业可不填报。</w:t>
      </w:r>
    </w:p>
    <w:p>
      <w:pPr>
        <w:rPr>
          <w:rFonts w:ascii="仿宋_GB2312" w:hAnsi="仿宋_GB2312" w:eastAsia="仿宋_GB2312" w:cs="仿宋_GB2312"/>
          <w:sz w:val="24"/>
        </w:rPr>
      </w:pPr>
      <w:r>
        <w:rPr>
          <w:rFonts w:hint="eastAsia" w:ascii="仿宋" w:hAnsi="仿宋" w:eastAsia="仿宋"/>
          <w:b/>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r>
        <w:rPr>
          <w:rFonts w:hint="eastAsia" w:ascii="仿宋_GB2312" w:hAnsi="仿宋_GB2312" w:eastAsia="仿宋_GB2312" w:cs="仿宋_GB2312"/>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rPr>
          <w:rFonts w:ascii="仿宋_GB2312" w:hAnsi="仿宋_GB2312" w:eastAsia="仿宋_GB2312" w:cs="仿宋_GB2312"/>
          <w:sz w:val="24"/>
        </w:rPr>
      </w:pPr>
      <w:r>
        <w:rPr>
          <w:rFonts w:hint="eastAsia" w:ascii="仿宋_GB2312" w:hAnsi="仿宋_GB2312" w:eastAsia="仿宋_GB2312" w:cs="仿宋_GB2312"/>
          <w:sz w:val="24"/>
        </w:rPr>
        <w:t>。</w:t>
      </w:r>
    </w:p>
    <w:p>
      <w:pPr>
        <w:ind w:firstLine="480" w:firstLineChars="200"/>
        <w:rPr>
          <w:rFonts w:ascii="仿宋_GB2312" w:hAnsi="仿宋_GB2312" w:eastAsia="仿宋_GB2312" w:cs="仿宋_GB2312"/>
          <w:sz w:val="24"/>
        </w:rPr>
      </w:pPr>
    </w:p>
    <w:p>
      <w:pPr>
        <w:ind w:firstLine="420" w:firstLineChars="200"/>
        <w:rPr>
          <w:rFonts w:ascii="仿宋_GB2312" w:eastAsia="仿宋_GB2312"/>
        </w:rPr>
      </w:pPr>
    </w:p>
    <w:p>
      <w:pPr>
        <w:spacing w:line="588" w:lineRule="exact"/>
        <w:rPr>
          <w:rFonts w:ascii="仿宋_GB2312" w:hAnsi="仿宋_GB2312" w:eastAsia="仿宋_GB2312" w:cs="仿宋_GB2312"/>
          <w:sz w:val="24"/>
        </w:rPr>
      </w:pPr>
    </w:p>
    <w:p>
      <w:pPr>
        <w:pageBreakBefore/>
        <w:spacing w:line="588" w:lineRule="exact"/>
        <w:rPr>
          <w:rFonts w:ascii="仿宋_GB2312" w:eastAsia="仿宋_GB2312"/>
          <w:b/>
          <w:spacing w:val="6"/>
          <w:sz w:val="32"/>
          <w:szCs w:val="32"/>
        </w:rPr>
      </w:pPr>
      <w:r>
        <w:rPr>
          <w:rFonts w:hint="eastAsia" w:ascii="仿宋_GB2312" w:eastAsia="仿宋_GB2312"/>
          <w:b/>
          <w:spacing w:val="6"/>
          <w:sz w:val="32"/>
          <w:szCs w:val="32"/>
        </w:rPr>
        <w:t>4、残疾人福利性单位声明函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eastAsia="仿宋_GB2312"/>
        </w:rPr>
      </w:pPr>
    </w:p>
    <w:p>
      <w:pPr>
        <w:tabs>
          <w:tab w:val="left" w:pos="4860"/>
        </w:tabs>
        <w:spacing w:line="588" w:lineRule="exact"/>
        <w:ind w:right="1560" w:firstLine="480" w:firstLineChars="200"/>
        <w:jc w:val="center"/>
        <w:rPr>
          <w:rFonts w:ascii="仿宋_GB2312" w:hAnsi="仿宋_GB2312" w:eastAsia="仿宋_GB2312" w:cs="仿宋_GB2312"/>
          <w:sz w:val="24"/>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800" w:lineRule="exact"/>
        <w:rPr>
          <w:rFonts w:ascii="仿宋_GB2312" w:hAnsi="宋体" w:eastAsia="仿宋_GB2312"/>
          <w:b/>
          <w:sz w:val="24"/>
        </w:rPr>
      </w:pPr>
    </w:p>
    <w:p>
      <w:pPr>
        <w:pageBreakBefore/>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商务技术（资信）文件部分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目录</w:t>
      </w:r>
    </w:p>
    <w:p>
      <w:pPr>
        <w:pStyle w:val="202"/>
        <w:spacing w:line="360" w:lineRule="auto"/>
        <w:ind w:left="0" w:firstLine="0" w:firstLineChars="0"/>
        <w:rPr>
          <w:rFonts w:hAnsi="仿宋_GB2312" w:cs="仿宋_GB2312"/>
        </w:rPr>
      </w:pPr>
      <w:r>
        <w:rPr>
          <w:rFonts w:hint="eastAsia" w:hAnsi="仿宋_GB2312" w:cs="仿宋_GB2312"/>
        </w:rPr>
        <w:t>（1）法定代表人授权书 …………………………………………………………（页码）</w:t>
      </w:r>
    </w:p>
    <w:p>
      <w:pPr>
        <w:pStyle w:val="202"/>
        <w:spacing w:line="360" w:lineRule="auto"/>
        <w:ind w:left="0" w:firstLine="0" w:firstLineChars="0"/>
        <w:rPr>
          <w:rFonts w:hAnsi="仿宋_GB2312" w:cs="仿宋_GB2312"/>
        </w:rPr>
      </w:pPr>
      <w:r>
        <w:rPr>
          <w:rFonts w:hint="eastAsia" w:hAnsi="仿宋_GB2312" w:cs="仿宋_GB2312"/>
        </w:rPr>
        <w:t>（2）授权代表社保证明（复印件）………………………………………………（页码）</w:t>
      </w:r>
    </w:p>
    <w:p>
      <w:pPr>
        <w:pStyle w:val="202"/>
        <w:spacing w:line="360" w:lineRule="auto"/>
        <w:ind w:left="0" w:firstLine="0" w:firstLineChars="0"/>
        <w:rPr>
          <w:rFonts w:hAnsi="仿宋_GB2312" w:cs="仿宋_GB2312"/>
        </w:rPr>
      </w:pPr>
      <w:r>
        <w:rPr>
          <w:rFonts w:hint="eastAsia" w:hAnsi="仿宋_GB2312" w:cs="仿宋_GB2312"/>
        </w:rPr>
        <w:t>（3）法定代表人及其授权代表的身份证（复印件）……………………………（页码）（4）法定代表人身份证明书………………………………………………………（页码）</w:t>
      </w:r>
    </w:p>
    <w:p>
      <w:pPr>
        <w:spacing w:line="360" w:lineRule="auto"/>
        <w:outlineLvl w:val="0"/>
        <w:rPr>
          <w:rFonts w:ascii="仿宋_GB2312" w:hAnsi="仿宋_GB2312" w:eastAsia="仿宋_GB2312" w:cs="仿宋_GB2312"/>
          <w:sz w:val="24"/>
        </w:rPr>
      </w:pPr>
      <w:r>
        <w:rPr>
          <w:rFonts w:hint="eastAsia" w:ascii="仿宋_GB2312" w:hAnsi="仿宋_GB2312" w:eastAsia="仿宋_GB2312" w:cs="仿宋_GB2312"/>
          <w:sz w:val="24"/>
        </w:rPr>
        <w:t>（5）所有与符合性审查有关的资信文件（复印件）（营业执照、2020年度财务报表、纳税和社保缴纳证明</w:t>
      </w:r>
      <w:r>
        <w:rPr>
          <w:rFonts w:hint="eastAsia" w:ascii="仿宋_GB2312" w:hAnsi="仿宋_GB2312" w:eastAsia="仿宋_GB2312" w:cs="仿宋_GB2312"/>
          <w:kern w:val="0"/>
          <w:sz w:val="24"/>
        </w:rPr>
        <w:t>）</w:t>
      </w:r>
      <w:r>
        <w:rPr>
          <w:rFonts w:hint="eastAsia" w:hAnsi="仿宋_GB2312" w:cs="仿宋_GB2312"/>
          <w:lang w:val="zh-CN"/>
        </w:rPr>
        <w:t>………………………………………………………</w:t>
      </w:r>
      <w:r>
        <w:rPr>
          <w:rFonts w:hint="eastAsia" w:hAnsi="仿宋_GB2312" w:cs="仿宋_GB2312"/>
        </w:rPr>
        <w:t>…………</w:t>
      </w:r>
      <w:r>
        <w:rPr>
          <w:rFonts w:hint="eastAsia" w:hAnsi="仿宋_GB2312" w:cs="仿宋_GB2312"/>
          <w:lang w:val="zh-CN"/>
        </w:rPr>
        <w:t>…</w:t>
      </w:r>
      <w:r>
        <w:rPr>
          <w:rFonts w:hint="eastAsia" w:ascii="仿宋_GB2312" w:hAnsi="仿宋_GB2312" w:eastAsia="仿宋_GB2312" w:cs="仿宋_GB2312"/>
          <w:kern w:val="0"/>
          <w:sz w:val="24"/>
        </w:rPr>
        <w:t>（页码）</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sz w:val="24"/>
        </w:rPr>
        <w:t>（6）具有履</w:t>
      </w:r>
      <w:r>
        <w:rPr>
          <w:rFonts w:hint="eastAsia" w:ascii="仿宋_GB2312" w:hAnsi="仿宋_GB2312" w:eastAsia="仿宋_GB2312" w:cs="仿宋_GB2312"/>
          <w:kern w:val="0"/>
          <w:sz w:val="24"/>
        </w:rPr>
        <w:t>行合同所必需的设备和专业技术能力的承诺函……………………（页码）</w:t>
      </w:r>
    </w:p>
    <w:p>
      <w:pPr>
        <w:pStyle w:val="202"/>
        <w:spacing w:line="360" w:lineRule="auto"/>
        <w:ind w:firstLine="0" w:firstLineChars="0"/>
        <w:rPr>
          <w:rFonts w:hAnsi="仿宋_GB2312" w:cs="仿宋_GB2312"/>
        </w:rPr>
      </w:pPr>
      <w:r>
        <w:rPr>
          <w:rFonts w:hint="eastAsia" w:hAnsi="仿宋_GB2312" w:cs="仿宋_GB2312"/>
        </w:rPr>
        <w:t>（7）重大违法记录的声明</w:t>
      </w:r>
      <w:r>
        <w:rPr>
          <w:rFonts w:hint="eastAsia" w:hAnsi="仿宋_GB2312" w:cs="仿宋_GB2312"/>
          <w:kern w:val="0"/>
        </w:rPr>
        <w:t xml:space="preserve"> …</w:t>
      </w:r>
      <w:r>
        <w:rPr>
          <w:rFonts w:hint="eastAsia" w:hAnsi="仿宋_GB2312" w:cs="仿宋_GB2312"/>
        </w:rPr>
        <w:t>……………………………………………………</w:t>
      </w:r>
      <w:r>
        <w:rPr>
          <w:rFonts w:hint="eastAsia" w:hAnsi="仿宋_GB2312" w:cs="仿宋_GB2312"/>
          <w:kern w:val="0"/>
        </w:rPr>
        <w:t>（页码）</w:t>
      </w:r>
      <w:r>
        <w:rPr>
          <w:rFonts w:hint="eastAsia" w:hAnsi="仿宋_GB2312" w:cs="仿宋_GB2312"/>
        </w:rPr>
        <w:t>（8）符合特定资格条件（如果项目要求）的有关证明材料（复印件）………（页码）</w:t>
      </w:r>
    </w:p>
    <w:p>
      <w:pPr>
        <w:pStyle w:val="202"/>
        <w:spacing w:line="360" w:lineRule="auto"/>
        <w:ind w:left="0" w:firstLine="0" w:firstLineChars="0"/>
        <w:rPr>
          <w:rFonts w:hAnsi="仿宋_GB2312" w:cs="仿宋_GB2312"/>
        </w:rPr>
      </w:pPr>
      <w:r>
        <w:rPr>
          <w:rFonts w:hint="eastAsia" w:hAnsi="仿宋_GB2312" w:cs="仿宋_GB2312"/>
        </w:rPr>
        <w:t>（9）</w:t>
      </w:r>
      <w:r>
        <w:rPr>
          <w:rFonts w:hint="eastAsia" w:hAnsi="仿宋_GB2312" w:cs="仿宋_GB2312"/>
          <w:snapToGrid w:val="0"/>
        </w:rPr>
        <w:t>非本地投标人售后服务机构证明材料</w:t>
      </w:r>
      <w:r>
        <w:rPr>
          <w:rFonts w:hint="eastAsia" w:hAnsi="仿宋_GB2312" w:cs="仿宋_GB2312"/>
        </w:rPr>
        <w:t>……………………………………（页码）</w:t>
      </w:r>
    </w:p>
    <w:p>
      <w:pPr>
        <w:pStyle w:val="202"/>
        <w:spacing w:line="360" w:lineRule="auto"/>
        <w:ind w:left="0" w:firstLine="0" w:firstLineChars="0"/>
        <w:rPr>
          <w:rFonts w:hAnsi="仿宋_GB2312" w:cs="仿宋_GB2312"/>
        </w:rPr>
      </w:pPr>
      <w:r>
        <w:rPr>
          <w:rFonts w:hint="eastAsia" w:hAnsi="仿宋_GB2312" w:cs="仿宋_GB2312"/>
        </w:rPr>
        <w:t>（10）</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202"/>
        <w:spacing w:line="360" w:lineRule="auto"/>
        <w:ind w:left="0" w:firstLine="0" w:firstLineChars="0"/>
        <w:rPr>
          <w:rFonts w:hAnsi="仿宋_GB2312" w:cs="仿宋_GB2312"/>
        </w:rPr>
      </w:pPr>
      <w:r>
        <w:rPr>
          <w:rFonts w:hint="eastAsia" w:hAnsi="仿宋_GB2312" w:cs="仿宋_GB2312"/>
        </w:rPr>
        <w:t>（11）廉政承诺书 …………………………………………………………………（页码）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（12）技术解决方案…………………………………………………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（13）技术偏离说明表………………………………………………</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（14）组织实施方案……………………………………………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（15）售后服务方案……………………………………………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（16）项目小组人员名单………………………………………</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优惠条件及特殊承诺……………………………………</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备品备件及供选择的配套零部件清单………………………</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（19）消耗品、维修零配件购买价格清单</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（20）</w:t>
      </w:r>
      <w:r>
        <w:rPr>
          <w:rFonts w:hint="eastAsia" w:ascii="仿宋_GB2312" w:hAnsi="仿宋_GB2312" w:eastAsia="仿宋_GB2312" w:cs="仿宋_GB2312"/>
          <w:kern w:val="0"/>
          <w:sz w:val="24"/>
          <w:lang w:val="zh-CN"/>
        </w:rPr>
        <w:t>培训计划………………………………………………………</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（21）</w:t>
      </w:r>
      <w:r>
        <w:rPr>
          <w:rFonts w:hint="eastAsia" w:ascii="仿宋_GB2312" w:hAnsi="仿宋_GB2312" w:eastAsia="仿宋_GB2312" w:cs="仿宋_GB2312"/>
          <w:kern w:val="0"/>
          <w:sz w:val="24"/>
          <w:lang w:val="zh-CN"/>
        </w:rPr>
        <w:t>验收方案…………………………………………………………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（22）</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注：以上目录是基本格式要求，各投标人可根据自身情况进一步细化。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rPr>
        <w:t>绍兴市生态环境局、耀华建设管理有限公司</w:t>
      </w:r>
      <w:r>
        <w:rPr>
          <w:rFonts w:hint="eastAsia" w:ascii="仿宋_GB2312" w:hAnsi="宋体" w:eastAsia="仿宋_GB2312"/>
          <w:sz w:val="24"/>
        </w:rPr>
        <w:t>组织的</w:t>
      </w:r>
      <w:r>
        <w:rPr>
          <w:rFonts w:hint="eastAsia" w:ascii="仿宋_GB2312" w:hAnsi="宋体" w:eastAsia="仿宋_GB2312"/>
          <w:sz w:val="24"/>
          <w:u w:val="single"/>
        </w:rPr>
        <w:t xml:space="preserve">         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投标人（电子签章）：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（电子签章）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年月日</w:t>
      </w:r>
    </w:p>
    <w:p>
      <w:pPr>
        <w:spacing w:line="360" w:lineRule="auto"/>
        <w:jc w:val="center"/>
        <w:rPr>
          <w:rFonts w:ascii="仿宋_GB2312" w:hAnsi="宋体" w:eastAsia="仿宋_GB2312"/>
          <w:b/>
          <w:sz w:val="30"/>
          <w:szCs w:val="30"/>
        </w:rPr>
      </w:pPr>
    </w:p>
    <w:p>
      <w:pPr>
        <w:pageBreakBefore/>
        <w:rPr>
          <w:rFonts w:ascii="仿宋_GB2312" w:hAnsi="仿宋_GB2312" w:eastAsia="仿宋_GB2312" w:cs="仿宋_GB2312"/>
          <w:b/>
          <w:sz w:val="28"/>
          <w:szCs w:val="28"/>
        </w:rPr>
      </w:pPr>
      <w:r>
        <w:rPr>
          <w:rFonts w:hint="eastAsia" w:ascii="仿宋_GB2312" w:hAnsi="宋体" w:eastAsia="仿宋_GB2312"/>
          <w:b/>
          <w:sz w:val="30"/>
          <w:szCs w:val="30"/>
        </w:rPr>
        <w:t>5、与符合性审查有关的资信文件（复印件）</w:t>
      </w:r>
      <w:r>
        <w:rPr>
          <w:rFonts w:hint="eastAsia" w:ascii="仿宋_GB2312" w:hAnsi="宋体" w:eastAsia="仿宋_GB2312"/>
          <w:b/>
          <w:sz w:val="28"/>
          <w:szCs w:val="28"/>
        </w:rPr>
        <w:t>（1</w:t>
      </w:r>
      <w:r>
        <w:rPr>
          <w:rFonts w:hint="eastAsia" w:ascii="仿宋_GB2312" w:hAnsi="仿宋_GB2312" w:eastAsia="仿宋_GB2312" w:cs="仿宋_GB2312"/>
          <w:b/>
          <w:kern w:val="0"/>
          <w:sz w:val="28"/>
          <w:szCs w:val="28"/>
          <w:lang w:val="zh-CN"/>
        </w:rPr>
        <w:t>.</w:t>
      </w:r>
      <w:r>
        <w:rPr>
          <w:rFonts w:hint="eastAsia" w:ascii="仿宋_GB2312" w:hAnsi="仿宋_GB2312" w:eastAsia="仿宋_GB2312" w:cs="仿宋_GB2312"/>
          <w:b/>
          <w:sz w:val="28"/>
          <w:szCs w:val="28"/>
        </w:rPr>
        <w:t>营业执照（或事业法人登记证或其他登记证明材料）（复印件）；2.财务报表资料文件（2020年度资产负债表等财务报表资料文件(新成立的公司，提供情况说明，格式自拟)）；</w:t>
      </w:r>
      <w:r>
        <w:rPr>
          <w:rFonts w:hint="eastAsia" w:ascii="仿宋_GB2312" w:hAnsi="宋体" w:eastAsia="仿宋_GB2312"/>
          <w:b/>
          <w:sz w:val="28"/>
          <w:szCs w:val="28"/>
        </w:rPr>
        <w:t>3.提供依法缴纳税收和社会保障资金的良好记录证明，税收和社保证明打印时间不得早于投标截止时间前1个月；4.其他资料由投标人根据采购需求及招标文件要求编制。）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napToGrid w:val="0"/>
        <w:spacing w:line="360" w:lineRule="auto"/>
        <w:ind w:right="480"/>
        <w:jc w:val="center"/>
        <w:rPr>
          <w:rFonts w:ascii="仿宋_GB2312" w:hAnsi="仿宋_GB2312" w:eastAsia="仿宋_GB2312" w:cs="仿宋_GB2312"/>
          <w:b/>
          <w:kern w:val="0"/>
          <w:sz w:val="32"/>
          <w:szCs w:val="32"/>
          <w:lang w:val="zh-CN"/>
        </w:rPr>
      </w:pPr>
    </w:p>
    <w:p>
      <w:pPr>
        <w:snapToGrid w:val="0"/>
        <w:spacing w:line="360" w:lineRule="auto"/>
        <w:ind w:right="480"/>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6、具有履行合同所必需的设备和专业技术能力的承诺函</w:t>
      </w:r>
    </w:p>
    <w:p>
      <w:pPr>
        <w:snapToGrid w:val="0"/>
        <w:spacing w:line="360" w:lineRule="auto"/>
        <w:rPr>
          <w:rFonts w:ascii="仿宋" w:hAnsi="仿宋" w:eastAsia="仿宋" w:cs="仿宋_GB2312"/>
          <w:sz w:val="24"/>
        </w:rPr>
      </w:pPr>
      <w:r>
        <w:rPr>
          <w:rFonts w:hint="eastAsia" w:ascii="仿宋_GB2312" w:hAnsi="仿宋_GB2312" w:eastAsia="仿宋_GB2312" w:cs="仿宋_GB2312"/>
          <w:sz w:val="24"/>
        </w:rPr>
        <w:t>绍兴市生态环境局、耀华建设管理有限公司</w:t>
      </w:r>
      <w:r>
        <w:rPr>
          <w:rFonts w:hint="eastAsia" w:ascii="仿宋_GB2312" w:hAnsi="仿宋_GB2312" w:eastAsia="仿宋_GB2312" w:cs="仿宋_GB2312"/>
          <w:kern w:val="0"/>
          <w:sz w:val="24"/>
          <w:lang w:val="zh-CN"/>
        </w:rPr>
        <w:t>：</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我方郑重承诺，我方具有履行绍兴市生态环境局训练队保障经费项目（招标编号:              ）合同所必需的设备和专业技术能力。如中标，我方将保证合同顺利履行。</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w:t>
      </w:r>
    </w:p>
    <w:p>
      <w:pPr>
        <w:spacing w:line="360" w:lineRule="auto"/>
        <w:jc w:val="center"/>
        <w:rPr>
          <w:rFonts w:ascii="仿宋_GB2312" w:hAnsi="仿宋_GB2312" w:eastAsia="仿宋_GB2312" w:cs="仿宋_GB2312"/>
          <w:b/>
          <w:kern w:val="0"/>
          <w:sz w:val="32"/>
          <w:szCs w:val="32"/>
        </w:rPr>
      </w:pPr>
    </w:p>
    <w:p>
      <w:pPr>
        <w:spacing w:line="360" w:lineRule="auto"/>
        <w:jc w:val="center"/>
        <w:rPr>
          <w:rFonts w:ascii="仿宋_GB2312" w:hAnsi="仿宋_GB2312" w:eastAsia="仿宋_GB2312" w:cs="仿宋_GB2312"/>
          <w:b/>
          <w:kern w:val="0"/>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rPr>
        <w:t>7、重大违法记录的声明</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sz w:val="24"/>
        </w:rPr>
        <w:t>绍兴市生态环境局、耀华建设管理有限公司</w:t>
      </w:r>
      <w:r>
        <w:rPr>
          <w:rFonts w:hint="eastAsia" w:ascii="仿宋_GB2312" w:hAnsi="仿宋_GB2312" w:eastAsia="仿宋_GB2312" w:cs="仿宋_GB2312"/>
          <w:kern w:val="0"/>
          <w:sz w:val="24"/>
          <w:lang w:val="zh-CN"/>
        </w:rPr>
        <w:t>：</w:t>
      </w:r>
    </w:p>
    <w:p>
      <w:pPr>
        <w:spacing w:line="360" w:lineRule="auto"/>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声明参加本次政府采购活动前三年内，在</w:t>
      </w:r>
      <w:r>
        <w:rPr>
          <w:rFonts w:hint="eastAsia" w:ascii="仿宋_GB2312" w:hAnsi="仿宋_GB2312" w:eastAsia="仿宋_GB2312" w:cs="仿宋_GB2312"/>
          <w:kern w:val="0"/>
          <w:sz w:val="24"/>
        </w:rPr>
        <w:t>经营活动中</w:t>
      </w:r>
      <w:r>
        <w:rPr>
          <w:rFonts w:hint="eastAsia" w:ascii="仿宋_GB2312" w:hAnsi="仿宋_GB2312" w:eastAsia="仿宋_GB2312" w:cs="仿宋_GB2312"/>
          <w:sz w:val="24"/>
        </w:rPr>
        <w:t>没有重大违法记录；也</w:t>
      </w:r>
      <w:r>
        <w:rPr>
          <w:rFonts w:hint="eastAsia" w:ascii="仿宋_GB2312" w:hAnsi="仿宋_GB2312" w:eastAsia="仿宋_GB2312" w:cs="仿宋_GB2312"/>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w:t>
      </w:r>
    </w:p>
    <w:p>
      <w:pPr>
        <w:snapToGrid w:val="0"/>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8、特定资格条件要求的资质文件（复印件）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9、非本地投标人售后服务机构证明材料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（由非本地投标人根据采购需求及招标文件要求编制）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3"/>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203"/>
        <w:ind w:firstLine="0"/>
        <w:jc w:val="both"/>
        <w:rPr>
          <w:rFonts w:hAnsi="仿宋_GB2312" w:cs="仿宋_GB2312"/>
        </w:rPr>
      </w:pPr>
    </w:p>
    <w:p>
      <w:pPr>
        <w:pStyle w:val="203"/>
        <w:ind w:firstLine="0"/>
        <w:jc w:val="both"/>
        <w:rPr>
          <w:rFonts w:hAnsi="仿宋_GB2312" w:cs="仿宋_GB2312"/>
        </w:rPr>
      </w:pPr>
    </w:p>
    <w:p>
      <w:pPr>
        <w:pStyle w:val="203"/>
        <w:pageBreakBefore/>
        <w:ind w:firstLine="0"/>
        <w:jc w:val="both"/>
        <w:rPr>
          <w:rFonts w:hAnsi="仿宋_GB2312" w:cs="仿宋_GB2312"/>
        </w:rPr>
      </w:pPr>
      <w:r>
        <w:rPr>
          <w:rFonts w:hint="eastAsia" w:hAnsi="仿宋_GB2312" w:cs="仿宋_GB2312"/>
        </w:rPr>
        <w:t>11、廉政承诺书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绍兴市生态环境局</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12、技术解决方案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2.8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_GB2312" w:hAnsi="仿宋_GB2312" w:eastAsia="仿宋_GB2312" w:cs="仿宋_GB2312"/>
          <w:b/>
          <w:kern w:val="0"/>
          <w:sz w:val="28"/>
          <w:szCs w:val="28"/>
        </w:rPr>
        <w:object>
          <v:shape id="_x0000_i1026" o:spt="75" type="#_x0000_t75" style="height:42pt;width:442.8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14、组织实施方案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15、售后服务方案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16、项目小组人员名单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3"/>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注：须随表提交相应的证书复印件并注明所在投标商务技术（资信）文件页码。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3"/>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注：投标人可按上述的格式自行编制，须随表提交相应的证书复印件并注明所在投标商务技术（资信）文件页码。</w:t>
      </w:r>
    </w:p>
    <w:p>
      <w:pPr>
        <w:spacing w:line="360" w:lineRule="auto"/>
        <w:ind w:firstLine="482" w:firstLineChars="200"/>
        <w:rPr>
          <w:rFonts w:ascii="仿宋_GB2312" w:hAnsi="仿宋_GB2312" w:eastAsia="仿宋_GB2312" w:cs="仿宋_GB2312"/>
          <w:sz w:val="24"/>
          <w:szCs w:val="20"/>
        </w:rPr>
      </w:pPr>
      <w:r>
        <w:rPr>
          <w:rFonts w:hint="eastAsia" w:ascii="仿宋_GB2312" w:hAnsi="仿宋_GB2312" w:eastAsia="仿宋_GB2312" w:cs="仿宋_GB2312"/>
          <w:b/>
          <w:sz w:val="24"/>
        </w:rPr>
        <w:t>附表C:本项目的项目经理和小组人员提供近3个月交纳社保记录情况表</w:t>
      </w:r>
      <w:r>
        <w:rPr>
          <w:rFonts w:hint="eastAsia" w:ascii="仿宋_GB2312" w:hAnsi="仿宋_GB2312" w:eastAsia="仿宋_GB2312" w:cs="仿宋_GB2312"/>
          <w:sz w:val="24"/>
        </w:rPr>
        <w:t>（以社保局缴纳凭证作附件）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17、</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18、</w:t>
      </w:r>
      <w:r>
        <w:rPr>
          <w:rFonts w:hint="eastAsia" w:ascii="仿宋_GB2312" w:hAnsi="仿宋_GB2312" w:eastAsia="仿宋_GB2312" w:cs="仿宋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440" w:lineRule="exact"/>
        <w:rPr>
          <w:rFonts w:ascii="仿宋_GB2312" w:hAnsi="宋体" w:eastAsia="仿宋_GB2312"/>
          <w:b/>
          <w:spacing w:val="20"/>
          <w:sz w:val="24"/>
        </w:rPr>
      </w:pPr>
      <w:r>
        <w:rPr>
          <w:rFonts w:hint="eastAsia" w:ascii="仿宋_GB2312" w:hAnsi="宋体" w:eastAsia="仿宋_GB2312"/>
          <w:b/>
          <w:sz w:val="32"/>
          <w:szCs w:val="32"/>
        </w:rPr>
        <w:t>19、</w:t>
      </w:r>
      <w:r>
        <w:rPr>
          <w:rFonts w:hint="eastAsia" w:ascii="仿宋_GB2312" w:hAnsi="宋体" w:eastAsia="仿宋_GB2312"/>
          <w:b/>
          <w:spacing w:val="20"/>
          <w:sz w:val="32"/>
          <w:szCs w:val="32"/>
        </w:rPr>
        <w:t>消耗品、维修零配件购买价格清单</w:t>
      </w:r>
      <w:r>
        <w:rPr>
          <w:rFonts w:hint="eastAsia" w:ascii="仿宋_GB2312" w:hAnsi="宋体" w:eastAsia="仿宋_GB2312"/>
          <w:b/>
          <w:spacing w:val="20"/>
          <w:sz w:val="24"/>
        </w:rPr>
        <w:t>(如有</w:t>
      </w:r>
      <w:r>
        <w:rPr>
          <w:rFonts w:hint="eastAsia" w:ascii="仿宋_GB2312" w:hAnsi="宋体" w:eastAsia="仿宋_GB2312"/>
          <w:b/>
          <w:sz w:val="24"/>
        </w:rPr>
        <w:t>，放入“技术资料部分”</w:t>
      </w:r>
      <w:r>
        <w:rPr>
          <w:rFonts w:hint="eastAsia" w:ascii="仿宋_GB2312" w:hAnsi="宋体" w:eastAsia="仿宋_GB2312"/>
          <w:b/>
          <w:spacing w:val="20"/>
          <w:sz w:val="24"/>
        </w:rPr>
        <w:t>)</w:t>
      </w:r>
    </w:p>
    <w:tbl>
      <w:tblPr>
        <w:tblStyle w:val="43"/>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ascii="仿宋_GB2312" w:eastAsia="仿宋_GB2312"/>
              </w:rPr>
            </w:pPr>
            <w:r>
              <w:rPr>
                <w:rFonts w:hint="eastAsia" w:ascii="仿宋_GB2312" w:eastAsia="仿宋_GB2312"/>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ascii="仿宋_GB2312" w:eastAsia="仿宋_GB2312"/>
              </w:rPr>
            </w:pPr>
            <w:r>
              <w:rPr>
                <w:rFonts w:hint="eastAsia" w:ascii="仿宋_GB2312" w:eastAsia="仿宋_GB2312"/>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_GB2312" w:eastAsia="仿宋_GB2312"/>
              </w:rPr>
            </w:pPr>
            <w:r>
              <w:rPr>
                <w:rFonts w:hint="eastAsia" w:ascii="仿宋_GB2312" w:eastAsia="仿宋_GB2312"/>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ascii="仿宋_GB2312" w:eastAsia="仿宋_GB2312"/>
              </w:rPr>
            </w:pPr>
            <w:r>
              <w:rPr>
                <w:rFonts w:hint="eastAsia" w:ascii="仿宋_GB2312" w:eastAsia="仿宋_GB2312"/>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_GB2312" w:eastAsia="仿宋_GB2312"/>
              </w:rPr>
            </w:pPr>
            <w:r>
              <w:rPr>
                <w:rFonts w:hint="eastAsia" w:ascii="仿宋_GB2312" w:eastAsia="仿宋_GB2312"/>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ascii="仿宋_GB2312" w:eastAsia="仿宋_GB2312"/>
              </w:rPr>
            </w:pPr>
            <w:r>
              <w:rPr>
                <w:rFonts w:hint="eastAsia" w:ascii="仿宋_GB2312" w:eastAsia="仿宋_GB2312"/>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ascii="仿宋_GB2312" w:eastAsia="仿宋_GB2312"/>
              </w:rPr>
            </w:pPr>
            <w:r>
              <w:rPr>
                <w:rFonts w:hint="eastAsia" w:ascii="仿宋_GB2312" w:eastAsia="仿宋_GB2312"/>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ascii="仿宋_GB2312" w:eastAsia="仿宋_GB2312"/>
              </w:rPr>
            </w:pPr>
            <w:r>
              <w:rPr>
                <w:rFonts w:hint="eastAsia" w:ascii="仿宋_GB2312" w:eastAsia="仿宋_GB2312"/>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rPr>
            </w:pPr>
            <w:r>
              <w:rPr>
                <w:rFonts w:hint="eastAsia" w:ascii="仿宋_GB2312" w:eastAsia="仿宋_GB2312"/>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rPr>
            </w:pPr>
            <w:r>
              <w:rPr>
                <w:rFonts w:hint="eastAsia" w:ascii="仿宋_GB2312" w:eastAsia="仿宋_GB2312"/>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rPr>
            </w:pPr>
            <w:r>
              <w:rPr>
                <w:rFonts w:hint="eastAsia" w:ascii="仿宋_GB2312" w:eastAsia="仿宋_GB2312"/>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rPr>
            </w:pPr>
            <w:r>
              <w:rPr>
                <w:rFonts w:hint="eastAsia" w:ascii="仿宋_GB2312" w:eastAsia="仿宋_GB2312"/>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rPr>
            </w:pPr>
            <w:r>
              <w:rPr>
                <w:rFonts w:hint="eastAsia" w:ascii="仿宋_GB2312" w:eastAsia="仿宋_GB2312"/>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rPr>
            </w:pPr>
            <w:r>
              <w:rPr>
                <w:rFonts w:hint="eastAsia" w:ascii="仿宋_GB2312" w:eastAsia="仿宋_GB2312"/>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ascii="仿宋_GB2312" w:eastAsia="仿宋_GB2312"/>
              </w:rPr>
            </w:pPr>
            <w:r>
              <w:rPr>
                <w:rFonts w:hint="eastAsia" w:ascii="仿宋_GB2312" w:eastAsia="仿宋_GB2312"/>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ascii="仿宋_GB2312" w:eastAsia="仿宋_GB2312"/>
              </w:rPr>
            </w:pPr>
          </w:p>
        </w:tc>
      </w:tr>
    </w:tbl>
    <w:p>
      <w:pPr>
        <w:adjustRightInd w:val="0"/>
        <w:snapToGrid w:val="0"/>
        <w:ind w:right="172" w:rightChars="82"/>
        <w:rPr>
          <w:rFonts w:ascii="仿宋_GB2312" w:hAnsi="宋体" w:eastAsia="仿宋_GB2312"/>
          <w:szCs w:val="21"/>
        </w:rPr>
      </w:pPr>
      <w:r>
        <w:rPr>
          <w:rFonts w:hint="eastAsia" w:ascii="仿宋_GB2312" w:hAnsi="宋体" w:eastAsia="仿宋_GB2312"/>
          <w:szCs w:val="21"/>
        </w:rPr>
        <w:t>注：消耗品和零配件必须是常用的主要部件类品目，此报价的优惠度将作为综合评标的重要依据之一。</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5160" w:firstLineChars="2150"/>
        <w:rPr>
          <w:rFonts w:ascii="仿宋_GB2312" w:hAnsi="宋体" w:eastAsia="仿宋_GB2312"/>
          <w:sz w:val="24"/>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r>
        <w:rPr>
          <w:rFonts w:hint="eastAsia" w:ascii="仿宋_GB2312" w:hAnsi="宋体" w:eastAsia="仿宋_GB2312"/>
          <w:sz w:val="24"/>
        </w:rPr>
        <w:tab/>
      </w:r>
    </w:p>
    <w:p>
      <w:pPr>
        <w:spacing w:line="440" w:lineRule="exact"/>
        <w:rPr>
          <w:rFonts w:ascii="仿宋_GB2312" w:hAnsi="宋体" w:eastAsia="仿宋_GB2312"/>
          <w:b/>
          <w:sz w:val="24"/>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20、</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注：须随表提交相应的证书复印件并注明所在投标商务技术（资信）文件页码。</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21、验收方案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24"/>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22、认为需要的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altName w:val="Calibri"/>
    <w:panose1 w:val="020F0302020204030204"/>
    <w:charset w:val="00"/>
    <w:family w:val="swiss"/>
    <w:pitch w:val="default"/>
    <w:sig w:usb0="00000000" w:usb1="00000000" w:usb2="00000000" w:usb3="00000000" w:csb0="0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Corbel"/>
    <w:panose1 w:val="00000000000000000000"/>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ST Xihei">
    <w:altName w:val="宋体"/>
    <w:panose1 w:val="00000000000000000000"/>
    <w:charset w:val="86"/>
    <w:family w:val="modern"/>
    <w:pitch w:val="default"/>
    <w:sig w:usb0="00000000" w:usb1="00000000" w:usb2="00000010" w:usb3="00000000" w:csb0="00040000" w:csb1="00000000"/>
  </w:font>
  <w:font w:name="MicrosoftYaHei">
    <w:altName w:val="Times New Roman"/>
    <w:panose1 w:val="00000000000000000000"/>
    <w:charset w:val="00"/>
    <w:family w:val="roman"/>
    <w:pitch w:val="default"/>
    <w:sig w:usb0="0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45</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99070"/>
    <w:multiLevelType w:val="singleLevel"/>
    <w:tmpl w:val="9E299070"/>
    <w:lvl w:ilvl="0" w:tentative="0">
      <w:start w:val="1"/>
      <w:numFmt w:val="decimal"/>
      <w:suff w:val="nothing"/>
      <w:lvlText w:val="%1、"/>
      <w:lvlJc w:val="left"/>
    </w:lvl>
  </w:abstractNum>
  <w:abstractNum w:abstractNumId="1">
    <w:nsid w:val="BE1F686F"/>
    <w:multiLevelType w:val="singleLevel"/>
    <w:tmpl w:val="BE1F686F"/>
    <w:lvl w:ilvl="0" w:tentative="0">
      <w:start w:val="1"/>
      <w:numFmt w:val="decimal"/>
      <w:suff w:val="nothing"/>
      <w:lvlText w:val="（%1）"/>
      <w:lvlJc w:val="left"/>
    </w:lvl>
  </w:abstractNum>
  <w:abstractNum w:abstractNumId="2">
    <w:nsid w:val="D9A1BF86"/>
    <w:multiLevelType w:val="multilevel"/>
    <w:tmpl w:val="D9A1BF86"/>
    <w:lvl w:ilvl="0" w:tentative="0">
      <w:start w:val="1"/>
      <w:numFmt w:val="decimal"/>
      <w:lvlText w:val="%1."/>
      <w:legacy w:legacy="1" w:legacySpace="0" w:legacyIndent="425"/>
      <w:lvlJc w:val="left"/>
      <w:pPr>
        <w:ind w:left="425" w:hanging="425"/>
      </w:pPr>
    </w:lvl>
    <w:lvl w:ilvl="1" w:tentative="0">
      <w:start w:val="1"/>
      <w:numFmt w:val="decimal"/>
      <w:pStyle w:val="286"/>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3">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4">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125C7EAC"/>
    <w:multiLevelType w:val="multilevel"/>
    <w:tmpl w:val="125C7EAC"/>
    <w:lvl w:ilvl="0" w:tentative="0">
      <w:start w:val="1"/>
      <w:numFmt w:val="chineseCountingThousand"/>
      <w:lvlText w:val="第%1章"/>
      <w:lvlJc w:val="left"/>
      <w:pPr>
        <w:ind w:left="2836" w:firstLine="0"/>
      </w:pPr>
    </w:lvl>
    <w:lvl w:ilvl="1" w:tentative="0">
      <w:start w:val="1"/>
      <w:numFmt w:val="decimal"/>
      <w:isLgl/>
      <w:lvlText w:val="%1.%2"/>
      <w:lvlJc w:val="left"/>
      <w:pPr>
        <w:tabs>
          <w:tab w:val="left" w:pos="907"/>
        </w:tabs>
        <w:ind w:left="0" w:firstLine="0"/>
      </w:pPr>
      <w:rPr>
        <w:rFonts w:hint="eastAsia" w:ascii="Times New Roman" w:hAnsi="Times New Roman" w:cs="Times New Roman"/>
        <w:bCs w:val="0"/>
        <w:i w:val="0"/>
        <w:iCs w:val="0"/>
        <w:caps w:val="0"/>
        <w:smallCaps w:val="0"/>
        <w:strike w:val="0"/>
        <w:dstrike w:val="0"/>
        <w:vanish w:val="0"/>
        <w:spacing w:val="0"/>
        <w:kern w:val="0"/>
        <w:position w:val="0"/>
        <w:u w:val="none"/>
        <w:vertAlign w:val="baseline"/>
      </w:rPr>
    </w:lvl>
    <w:lvl w:ilvl="2" w:tentative="0">
      <w:start w:val="1"/>
      <w:numFmt w:val="decimal"/>
      <w:pStyle w:val="282"/>
      <w:isLgl/>
      <w:lvlText w:val="%1.%2.%3"/>
      <w:lvlJc w:val="left"/>
      <w:pPr>
        <w:ind w:left="0" w:firstLine="0"/>
      </w:pPr>
      <w:rPr>
        <w:rFonts w:hint="eastAsia"/>
      </w:rPr>
    </w:lvl>
    <w:lvl w:ilvl="3" w:tentative="0">
      <w:start w:val="1"/>
      <w:numFmt w:val="decimal"/>
      <w:pStyle w:val="281"/>
      <w:isLgl/>
      <w:lvlText w:val="%1.%2.%3.%4"/>
      <w:lvlJc w:val="left"/>
      <w:pPr>
        <w:ind w:left="0" w:firstLine="0"/>
      </w:pPr>
      <w:rPr>
        <w:rFonts w:hint="eastAsia"/>
      </w:rPr>
    </w:lvl>
    <w:lvl w:ilvl="4" w:tentative="0">
      <w:start w:val="1"/>
      <w:numFmt w:val="decimal"/>
      <w:isLgl/>
      <w:lvlText w:val="%1.%2.%3.%4.%5"/>
      <w:lvlJc w:val="left"/>
      <w:pPr>
        <w:ind w:left="0" w:firstLine="0"/>
      </w:pPr>
      <w:rPr>
        <w:rFonts w:hint="eastAsia"/>
      </w:rPr>
    </w:lvl>
    <w:lvl w:ilvl="5" w:tentative="0">
      <w:start w:val="1"/>
      <w:numFmt w:val="decimal"/>
      <w:lvlText w:val="（%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
    <w:nsid w:val="542F4A1C"/>
    <w:multiLevelType w:val="multilevel"/>
    <w:tmpl w:val="542F4A1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0">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75CB2F0F"/>
    <w:multiLevelType w:val="multilevel"/>
    <w:tmpl w:val="75CB2F0F"/>
    <w:lvl w:ilvl="0" w:tentative="0">
      <w:start w:val="1"/>
      <w:numFmt w:val="decimal"/>
      <w:suff w:val="nothing"/>
      <w:lvlText w:val="（%1）"/>
      <w:lvlJc w:val="left"/>
      <w:pPr>
        <w:ind w:left="709" w:hanging="709"/>
      </w:pPr>
      <w:rPr>
        <w:rFonts w:hint="default"/>
        <w:b w:val="0"/>
        <w:color w:val="000000" w:themeColor="text1"/>
        <w:sz w:val="24"/>
      </w:rPr>
    </w:lvl>
    <w:lvl w:ilvl="1" w:tentative="0">
      <w:start w:val="1"/>
      <w:numFmt w:val="lowerLetter"/>
      <w:lvlText w:val="%2)"/>
      <w:lvlJc w:val="left"/>
      <w:pPr>
        <w:ind w:left="739" w:hanging="420"/>
      </w:pPr>
    </w:lvl>
    <w:lvl w:ilvl="2" w:tentative="0">
      <w:start w:val="1"/>
      <w:numFmt w:val="lowerRoman"/>
      <w:lvlText w:val="%3."/>
      <w:lvlJc w:val="right"/>
      <w:pPr>
        <w:ind w:left="1159" w:hanging="420"/>
      </w:pPr>
    </w:lvl>
    <w:lvl w:ilvl="3" w:tentative="0">
      <w:start w:val="1"/>
      <w:numFmt w:val="decimal"/>
      <w:lvlText w:val="%4."/>
      <w:lvlJc w:val="left"/>
      <w:pPr>
        <w:ind w:left="1579" w:hanging="420"/>
      </w:pPr>
    </w:lvl>
    <w:lvl w:ilvl="4" w:tentative="0">
      <w:start w:val="1"/>
      <w:numFmt w:val="lowerLetter"/>
      <w:lvlText w:val="%5)"/>
      <w:lvlJc w:val="left"/>
      <w:pPr>
        <w:ind w:left="1999" w:hanging="420"/>
      </w:pPr>
    </w:lvl>
    <w:lvl w:ilvl="5" w:tentative="0">
      <w:start w:val="1"/>
      <w:numFmt w:val="lowerRoman"/>
      <w:lvlText w:val="%6."/>
      <w:lvlJc w:val="right"/>
      <w:pPr>
        <w:ind w:left="2419" w:hanging="420"/>
      </w:pPr>
    </w:lvl>
    <w:lvl w:ilvl="6" w:tentative="0">
      <w:start w:val="1"/>
      <w:numFmt w:val="decimal"/>
      <w:lvlText w:val="%7."/>
      <w:lvlJc w:val="left"/>
      <w:pPr>
        <w:ind w:left="2839" w:hanging="420"/>
      </w:pPr>
    </w:lvl>
    <w:lvl w:ilvl="7" w:tentative="0">
      <w:start w:val="1"/>
      <w:numFmt w:val="lowerLetter"/>
      <w:lvlText w:val="%8)"/>
      <w:lvlJc w:val="left"/>
      <w:pPr>
        <w:ind w:left="3259" w:hanging="420"/>
      </w:pPr>
    </w:lvl>
    <w:lvl w:ilvl="8" w:tentative="0">
      <w:start w:val="1"/>
      <w:numFmt w:val="lowerRoman"/>
      <w:lvlText w:val="%9."/>
      <w:lvlJc w:val="right"/>
      <w:pPr>
        <w:ind w:left="3679" w:hanging="420"/>
      </w:pPr>
    </w:lvl>
  </w:abstractNum>
  <w:abstractNum w:abstractNumId="12">
    <w:nsid w:val="7BDF738D"/>
    <w:multiLevelType w:val="multilevel"/>
    <w:tmpl w:val="7BDF738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4"/>
  </w:num>
  <w:num w:numId="3">
    <w:abstractNumId w:val="3"/>
  </w:num>
  <w:num w:numId="4">
    <w:abstractNumId w:val="9"/>
  </w:num>
  <w:num w:numId="5">
    <w:abstractNumId w:val="6"/>
  </w:num>
  <w:num w:numId="6">
    <w:abstractNumId w:val="2"/>
  </w:num>
  <w:num w:numId="7">
    <w:abstractNumId w:val="10"/>
  </w:num>
  <w:num w:numId="8">
    <w:abstractNumId w:val="11"/>
  </w:num>
  <w:num w:numId="9">
    <w:abstractNumId w:val="12"/>
  </w:num>
  <w:num w:numId="10">
    <w:abstractNumId w:val="1"/>
  </w:num>
  <w:num w:numId="11">
    <w:abstractNumId w:val="7"/>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17C8A"/>
    <w:rsid w:val="00001659"/>
    <w:rsid w:val="00005125"/>
    <w:rsid w:val="00010C9A"/>
    <w:rsid w:val="00010FC1"/>
    <w:rsid w:val="0001278F"/>
    <w:rsid w:val="00015D94"/>
    <w:rsid w:val="00016537"/>
    <w:rsid w:val="0002045E"/>
    <w:rsid w:val="00021D87"/>
    <w:rsid w:val="0002200C"/>
    <w:rsid w:val="0002203D"/>
    <w:rsid w:val="0002468D"/>
    <w:rsid w:val="00025A9F"/>
    <w:rsid w:val="00026762"/>
    <w:rsid w:val="00031F75"/>
    <w:rsid w:val="000329A7"/>
    <w:rsid w:val="00033D7B"/>
    <w:rsid w:val="000348DB"/>
    <w:rsid w:val="00034CF4"/>
    <w:rsid w:val="000402F5"/>
    <w:rsid w:val="00040A03"/>
    <w:rsid w:val="00047118"/>
    <w:rsid w:val="0005172F"/>
    <w:rsid w:val="000517D0"/>
    <w:rsid w:val="00051C47"/>
    <w:rsid w:val="000535F4"/>
    <w:rsid w:val="000550BC"/>
    <w:rsid w:val="00056199"/>
    <w:rsid w:val="000564A2"/>
    <w:rsid w:val="0005700A"/>
    <w:rsid w:val="00057E03"/>
    <w:rsid w:val="0006049D"/>
    <w:rsid w:val="000609BF"/>
    <w:rsid w:val="0006344A"/>
    <w:rsid w:val="00063460"/>
    <w:rsid w:val="00063938"/>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B0284"/>
    <w:rsid w:val="000B1744"/>
    <w:rsid w:val="000B1D0B"/>
    <w:rsid w:val="000B2A94"/>
    <w:rsid w:val="000B4B04"/>
    <w:rsid w:val="000B625B"/>
    <w:rsid w:val="000C14CF"/>
    <w:rsid w:val="000C1AFA"/>
    <w:rsid w:val="000C1F3C"/>
    <w:rsid w:val="000C3344"/>
    <w:rsid w:val="000C6761"/>
    <w:rsid w:val="000C7D4D"/>
    <w:rsid w:val="000D0E6C"/>
    <w:rsid w:val="000D110F"/>
    <w:rsid w:val="000D1267"/>
    <w:rsid w:val="000D1D59"/>
    <w:rsid w:val="000D4D0E"/>
    <w:rsid w:val="000D69FD"/>
    <w:rsid w:val="000D7422"/>
    <w:rsid w:val="000E1C88"/>
    <w:rsid w:val="000E378E"/>
    <w:rsid w:val="000E4A4F"/>
    <w:rsid w:val="000E5C9B"/>
    <w:rsid w:val="000E6F8C"/>
    <w:rsid w:val="000E72A0"/>
    <w:rsid w:val="000E7AC9"/>
    <w:rsid w:val="000F7FA8"/>
    <w:rsid w:val="001023D9"/>
    <w:rsid w:val="00103B47"/>
    <w:rsid w:val="00104327"/>
    <w:rsid w:val="00104663"/>
    <w:rsid w:val="00104A07"/>
    <w:rsid w:val="00106F3C"/>
    <w:rsid w:val="0010763D"/>
    <w:rsid w:val="00111E93"/>
    <w:rsid w:val="00112B08"/>
    <w:rsid w:val="00113215"/>
    <w:rsid w:val="00114BF9"/>
    <w:rsid w:val="00114C81"/>
    <w:rsid w:val="00115363"/>
    <w:rsid w:val="00116EDA"/>
    <w:rsid w:val="0012018C"/>
    <w:rsid w:val="00120D86"/>
    <w:rsid w:val="00123450"/>
    <w:rsid w:val="001259AD"/>
    <w:rsid w:val="00125D70"/>
    <w:rsid w:val="00132EE2"/>
    <w:rsid w:val="001345B3"/>
    <w:rsid w:val="0013527E"/>
    <w:rsid w:val="00137525"/>
    <w:rsid w:val="0014242C"/>
    <w:rsid w:val="00143AC3"/>
    <w:rsid w:val="0014545F"/>
    <w:rsid w:val="00145D25"/>
    <w:rsid w:val="00150A24"/>
    <w:rsid w:val="00154591"/>
    <w:rsid w:val="00154E3A"/>
    <w:rsid w:val="00156633"/>
    <w:rsid w:val="00157269"/>
    <w:rsid w:val="0015771E"/>
    <w:rsid w:val="00157914"/>
    <w:rsid w:val="00157FB7"/>
    <w:rsid w:val="0016125D"/>
    <w:rsid w:val="00161F66"/>
    <w:rsid w:val="00162D1A"/>
    <w:rsid w:val="00162DD9"/>
    <w:rsid w:val="001637A2"/>
    <w:rsid w:val="00163B9C"/>
    <w:rsid w:val="00165068"/>
    <w:rsid w:val="001657B2"/>
    <w:rsid w:val="00171701"/>
    <w:rsid w:val="00172732"/>
    <w:rsid w:val="00172B24"/>
    <w:rsid w:val="0017455C"/>
    <w:rsid w:val="00174F52"/>
    <w:rsid w:val="0017513B"/>
    <w:rsid w:val="001751A8"/>
    <w:rsid w:val="00180B77"/>
    <w:rsid w:val="001811DD"/>
    <w:rsid w:val="0018130F"/>
    <w:rsid w:val="00181544"/>
    <w:rsid w:val="0018376B"/>
    <w:rsid w:val="001841D9"/>
    <w:rsid w:val="00184C15"/>
    <w:rsid w:val="001851F6"/>
    <w:rsid w:val="0019064E"/>
    <w:rsid w:val="00190DB7"/>
    <w:rsid w:val="00191263"/>
    <w:rsid w:val="00191BE8"/>
    <w:rsid w:val="00191EE1"/>
    <w:rsid w:val="00193494"/>
    <w:rsid w:val="00194583"/>
    <w:rsid w:val="001A0C24"/>
    <w:rsid w:val="001A15C0"/>
    <w:rsid w:val="001A19AE"/>
    <w:rsid w:val="001A4A9D"/>
    <w:rsid w:val="001A6712"/>
    <w:rsid w:val="001A723D"/>
    <w:rsid w:val="001B2171"/>
    <w:rsid w:val="001B2597"/>
    <w:rsid w:val="001B2770"/>
    <w:rsid w:val="001B2D20"/>
    <w:rsid w:val="001B485F"/>
    <w:rsid w:val="001B4C51"/>
    <w:rsid w:val="001B589D"/>
    <w:rsid w:val="001B70E5"/>
    <w:rsid w:val="001B79C2"/>
    <w:rsid w:val="001C07C7"/>
    <w:rsid w:val="001C57F3"/>
    <w:rsid w:val="001C6042"/>
    <w:rsid w:val="001D24BB"/>
    <w:rsid w:val="001D3CEA"/>
    <w:rsid w:val="001D6ED7"/>
    <w:rsid w:val="001D76A1"/>
    <w:rsid w:val="001E0CB0"/>
    <w:rsid w:val="001E3B20"/>
    <w:rsid w:val="001E4A9F"/>
    <w:rsid w:val="001E4F02"/>
    <w:rsid w:val="001F14C4"/>
    <w:rsid w:val="001F2767"/>
    <w:rsid w:val="001F381E"/>
    <w:rsid w:val="001F3FD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1176"/>
    <w:rsid w:val="002148E5"/>
    <w:rsid w:val="00214C2B"/>
    <w:rsid w:val="002237EF"/>
    <w:rsid w:val="00223848"/>
    <w:rsid w:val="00223A5B"/>
    <w:rsid w:val="00226041"/>
    <w:rsid w:val="002261D7"/>
    <w:rsid w:val="0022698F"/>
    <w:rsid w:val="00231CB7"/>
    <w:rsid w:val="00233356"/>
    <w:rsid w:val="00235AC1"/>
    <w:rsid w:val="0023638E"/>
    <w:rsid w:val="00240411"/>
    <w:rsid w:val="00244110"/>
    <w:rsid w:val="002442F3"/>
    <w:rsid w:val="00244766"/>
    <w:rsid w:val="00247AB8"/>
    <w:rsid w:val="00250764"/>
    <w:rsid w:val="00251888"/>
    <w:rsid w:val="0025660E"/>
    <w:rsid w:val="00256A92"/>
    <w:rsid w:val="0025747B"/>
    <w:rsid w:val="0025749B"/>
    <w:rsid w:val="00260A0D"/>
    <w:rsid w:val="00262E82"/>
    <w:rsid w:val="002635C3"/>
    <w:rsid w:val="00264A33"/>
    <w:rsid w:val="00264FFB"/>
    <w:rsid w:val="00266447"/>
    <w:rsid w:val="00267D7C"/>
    <w:rsid w:val="00270E20"/>
    <w:rsid w:val="00271324"/>
    <w:rsid w:val="00274B01"/>
    <w:rsid w:val="00275AA0"/>
    <w:rsid w:val="002774D0"/>
    <w:rsid w:val="00283EAF"/>
    <w:rsid w:val="002860D2"/>
    <w:rsid w:val="00286495"/>
    <w:rsid w:val="00291839"/>
    <w:rsid w:val="002945E5"/>
    <w:rsid w:val="00295DD9"/>
    <w:rsid w:val="002A0921"/>
    <w:rsid w:val="002A13E9"/>
    <w:rsid w:val="002A168D"/>
    <w:rsid w:val="002A1EBF"/>
    <w:rsid w:val="002A22BB"/>
    <w:rsid w:val="002A2667"/>
    <w:rsid w:val="002A3119"/>
    <w:rsid w:val="002A4A75"/>
    <w:rsid w:val="002A683A"/>
    <w:rsid w:val="002A7514"/>
    <w:rsid w:val="002A7EFA"/>
    <w:rsid w:val="002B186A"/>
    <w:rsid w:val="002B1BA5"/>
    <w:rsid w:val="002B3711"/>
    <w:rsid w:val="002B4310"/>
    <w:rsid w:val="002B4A4B"/>
    <w:rsid w:val="002B6B66"/>
    <w:rsid w:val="002C0C85"/>
    <w:rsid w:val="002C2C53"/>
    <w:rsid w:val="002C7F65"/>
    <w:rsid w:val="002D602B"/>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166FB"/>
    <w:rsid w:val="003214B7"/>
    <w:rsid w:val="00322583"/>
    <w:rsid w:val="00322E59"/>
    <w:rsid w:val="00323B52"/>
    <w:rsid w:val="00323E60"/>
    <w:rsid w:val="003250A1"/>
    <w:rsid w:val="0032789C"/>
    <w:rsid w:val="003302F0"/>
    <w:rsid w:val="00332DA4"/>
    <w:rsid w:val="00334D83"/>
    <w:rsid w:val="003371DD"/>
    <w:rsid w:val="0034033B"/>
    <w:rsid w:val="00342881"/>
    <w:rsid w:val="0034305B"/>
    <w:rsid w:val="003468F8"/>
    <w:rsid w:val="00347CAD"/>
    <w:rsid w:val="00351EEF"/>
    <w:rsid w:val="003618CE"/>
    <w:rsid w:val="00365766"/>
    <w:rsid w:val="00365F56"/>
    <w:rsid w:val="003670EB"/>
    <w:rsid w:val="00367EAB"/>
    <w:rsid w:val="0037368A"/>
    <w:rsid w:val="0037507E"/>
    <w:rsid w:val="00375107"/>
    <w:rsid w:val="0037517D"/>
    <w:rsid w:val="003802FA"/>
    <w:rsid w:val="00381113"/>
    <w:rsid w:val="003822F9"/>
    <w:rsid w:val="00384E3C"/>
    <w:rsid w:val="00385323"/>
    <w:rsid w:val="00385341"/>
    <w:rsid w:val="0039130B"/>
    <w:rsid w:val="00391E7C"/>
    <w:rsid w:val="00393589"/>
    <w:rsid w:val="00393657"/>
    <w:rsid w:val="00393A4C"/>
    <w:rsid w:val="003949AE"/>
    <w:rsid w:val="003A137B"/>
    <w:rsid w:val="003A19D2"/>
    <w:rsid w:val="003A546B"/>
    <w:rsid w:val="003A74F5"/>
    <w:rsid w:val="003B1CEB"/>
    <w:rsid w:val="003B24CA"/>
    <w:rsid w:val="003B2B02"/>
    <w:rsid w:val="003B39CB"/>
    <w:rsid w:val="003B774D"/>
    <w:rsid w:val="003B7907"/>
    <w:rsid w:val="003C46C5"/>
    <w:rsid w:val="003C4B74"/>
    <w:rsid w:val="003C527A"/>
    <w:rsid w:val="003C637D"/>
    <w:rsid w:val="003C7F20"/>
    <w:rsid w:val="003D10C3"/>
    <w:rsid w:val="003D1A22"/>
    <w:rsid w:val="003D7052"/>
    <w:rsid w:val="003E074D"/>
    <w:rsid w:val="003E0777"/>
    <w:rsid w:val="003E3021"/>
    <w:rsid w:val="003E4007"/>
    <w:rsid w:val="003E6C02"/>
    <w:rsid w:val="003E77DD"/>
    <w:rsid w:val="003F2982"/>
    <w:rsid w:val="003F4084"/>
    <w:rsid w:val="003F77E0"/>
    <w:rsid w:val="00400057"/>
    <w:rsid w:val="004014D1"/>
    <w:rsid w:val="00407D03"/>
    <w:rsid w:val="00407D88"/>
    <w:rsid w:val="004109FD"/>
    <w:rsid w:val="0041394C"/>
    <w:rsid w:val="00413B7A"/>
    <w:rsid w:val="00417C8A"/>
    <w:rsid w:val="0042136D"/>
    <w:rsid w:val="0042557D"/>
    <w:rsid w:val="00426003"/>
    <w:rsid w:val="00432A67"/>
    <w:rsid w:val="004350B7"/>
    <w:rsid w:val="0043766D"/>
    <w:rsid w:val="0043778D"/>
    <w:rsid w:val="00437B34"/>
    <w:rsid w:val="00441896"/>
    <w:rsid w:val="00442935"/>
    <w:rsid w:val="0044422F"/>
    <w:rsid w:val="00445C1C"/>
    <w:rsid w:val="00447789"/>
    <w:rsid w:val="00451BB6"/>
    <w:rsid w:val="004525DC"/>
    <w:rsid w:val="00457231"/>
    <w:rsid w:val="00457E62"/>
    <w:rsid w:val="004600A6"/>
    <w:rsid w:val="00460793"/>
    <w:rsid w:val="00461637"/>
    <w:rsid w:val="004617D1"/>
    <w:rsid w:val="00463E5C"/>
    <w:rsid w:val="00464359"/>
    <w:rsid w:val="00465D0D"/>
    <w:rsid w:val="00467CFF"/>
    <w:rsid w:val="00471407"/>
    <w:rsid w:val="00471DA5"/>
    <w:rsid w:val="004720E8"/>
    <w:rsid w:val="00472E4E"/>
    <w:rsid w:val="0047483C"/>
    <w:rsid w:val="00476C0B"/>
    <w:rsid w:val="00477EFE"/>
    <w:rsid w:val="00485E04"/>
    <w:rsid w:val="00486B01"/>
    <w:rsid w:val="00487465"/>
    <w:rsid w:val="0049097A"/>
    <w:rsid w:val="004939A7"/>
    <w:rsid w:val="00494584"/>
    <w:rsid w:val="00495C41"/>
    <w:rsid w:val="0049644B"/>
    <w:rsid w:val="00497699"/>
    <w:rsid w:val="00497DB2"/>
    <w:rsid w:val="004A0174"/>
    <w:rsid w:val="004A0A95"/>
    <w:rsid w:val="004A0D5E"/>
    <w:rsid w:val="004A236E"/>
    <w:rsid w:val="004A3418"/>
    <w:rsid w:val="004A403F"/>
    <w:rsid w:val="004A51BA"/>
    <w:rsid w:val="004A5DF1"/>
    <w:rsid w:val="004A6677"/>
    <w:rsid w:val="004A7A78"/>
    <w:rsid w:val="004B10C4"/>
    <w:rsid w:val="004B3B15"/>
    <w:rsid w:val="004B5136"/>
    <w:rsid w:val="004B5B9E"/>
    <w:rsid w:val="004C0238"/>
    <w:rsid w:val="004C06FF"/>
    <w:rsid w:val="004C0EE6"/>
    <w:rsid w:val="004C31E2"/>
    <w:rsid w:val="004C3EFB"/>
    <w:rsid w:val="004C40D8"/>
    <w:rsid w:val="004C5147"/>
    <w:rsid w:val="004C6D62"/>
    <w:rsid w:val="004D0304"/>
    <w:rsid w:val="004D0BAA"/>
    <w:rsid w:val="004D0DB1"/>
    <w:rsid w:val="004D0EA8"/>
    <w:rsid w:val="004D2D24"/>
    <w:rsid w:val="004D314A"/>
    <w:rsid w:val="004D4938"/>
    <w:rsid w:val="004D5FE6"/>
    <w:rsid w:val="004D68EC"/>
    <w:rsid w:val="004E05D9"/>
    <w:rsid w:val="004E1AB8"/>
    <w:rsid w:val="004E2D4B"/>
    <w:rsid w:val="004E4899"/>
    <w:rsid w:val="004E7CD7"/>
    <w:rsid w:val="004F1366"/>
    <w:rsid w:val="004F3734"/>
    <w:rsid w:val="004F69CA"/>
    <w:rsid w:val="004F7507"/>
    <w:rsid w:val="004F7995"/>
    <w:rsid w:val="00502F3E"/>
    <w:rsid w:val="00503093"/>
    <w:rsid w:val="00503425"/>
    <w:rsid w:val="00503D74"/>
    <w:rsid w:val="005041C0"/>
    <w:rsid w:val="0050629F"/>
    <w:rsid w:val="00513DE6"/>
    <w:rsid w:val="005144B2"/>
    <w:rsid w:val="00517733"/>
    <w:rsid w:val="00522839"/>
    <w:rsid w:val="005230CA"/>
    <w:rsid w:val="00524FD6"/>
    <w:rsid w:val="00527E1C"/>
    <w:rsid w:val="00532937"/>
    <w:rsid w:val="005351C1"/>
    <w:rsid w:val="00536FBF"/>
    <w:rsid w:val="0054018C"/>
    <w:rsid w:val="00544130"/>
    <w:rsid w:val="005459FE"/>
    <w:rsid w:val="00545F40"/>
    <w:rsid w:val="005468EF"/>
    <w:rsid w:val="00552DAC"/>
    <w:rsid w:val="00553FE7"/>
    <w:rsid w:val="0055544C"/>
    <w:rsid w:val="00555780"/>
    <w:rsid w:val="00556840"/>
    <w:rsid w:val="00557737"/>
    <w:rsid w:val="0055773A"/>
    <w:rsid w:val="0056065C"/>
    <w:rsid w:val="00566FBC"/>
    <w:rsid w:val="00567FD1"/>
    <w:rsid w:val="0057066B"/>
    <w:rsid w:val="00572BAD"/>
    <w:rsid w:val="00573677"/>
    <w:rsid w:val="005738F4"/>
    <w:rsid w:val="00573BCB"/>
    <w:rsid w:val="00576529"/>
    <w:rsid w:val="00576EFE"/>
    <w:rsid w:val="005770CA"/>
    <w:rsid w:val="0058001B"/>
    <w:rsid w:val="00585918"/>
    <w:rsid w:val="00586C3A"/>
    <w:rsid w:val="005879E7"/>
    <w:rsid w:val="00591190"/>
    <w:rsid w:val="00591584"/>
    <w:rsid w:val="00594CDD"/>
    <w:rsid w:val="005A32FB"/>
    <w:rsid w:val="005A3E6E"/>
    <w:rsid w:val="005A7A4A"/>
    <w:rsid w:val="005B180C"/>
    <w:rsid w:val="005C30CF"/>
    <w:rsid w:val="005C3154"/>
    <w:rsid w:val="005C3A22"/>
    <w:rsid w:val="005C46D7"/>
    <w:rsid w:val="005C54A7"/>
    <w:rsid w:val="005C6F10"/>
    <w:rsid w:val="005C74E7"/>
    <w:rsid w:val="005D0155"/>
    <w:rsid w:val="005D2F62"/>
    <w:rsid w:val="005D4D58"/>
    <w:rsid w:val="005D6575"/>
    <w:rsid w:val="005D73EA"/>
    <w:rsid w:val="005E236C"/>
    <w:rsid w:val="005E282B"/>
    <w:rsid w:val="005E33BD"/>
    <w:rsid w:val="005E468A"/>
    <w:rsid w:val="005E68E7"/>
    <w:rsid w:val="005F0DDF"/>
    <w:rsid w:val="005F510E"/>
    <w:rsid w:val="005F5691"/>
    <w:rsid w:val="005F5F69"/>
    <w:rsid w:val="005F6AEE"/>
    <w:rsid w:val="005F78A5"/>
    <w:rsid w:val="006029F2"/>
    <w:rsid w:val="00606ED5"/>
    <w:rsid w:val="006073C6"/>
    <w:rsid w:val="00607E60"/>
    <w:rsid w:val="006107F3"/>
    <w:rsid w:val="006120C0"/>
    <w:rsid w:val="00615BAF"/>
    <w:rsid w:val="00615BFA"/>
    <w:rsid w:val="00617775"/>
    <w:rsid w:val="00622201"/>
    <w:rsid w:val="006225CB"/>
    <w:rsid w:val="00624516"/>
    <w:rsid w:val="00624C6F"/>
    <w:rsid w:val="00625BC2"/>
    <w:rsid w:val="0062625D"/>
    <w:rsid w:val="00630ADC"/>
    <w:rsid w:val="00630CF7"/>
    <w:rsid w:val="006351A3"/>
    <w:rsid w:val="006378C9"/>
    <w:rsid w:val="00643AA9"/>
    <w:rsid w:val="0064613F"/>
    <w:rsid w:val="006465FE"/>
    <w:rsid w:val="00646E44"/>
    <w:rsid w:val="00651D54"/>
    <w:rsid w:val="00651F43"/>
    <w:rsid w:val="00665466"/>
    <w:rsid w:val="00665C19"/>
    <w:rsid w:val="00665CBD"/>
    <w:rsid w:val="00671A32"/>
    <w:rsid w:val="006744B5"/>
    <w:rsid w:val="00675C4B"/>
    <w:rsid w:val="00675D6B"/>
    <w:rsid w:val="00680B4E"/>
    <w:rsid w:val="006839B6"/>
    <w:rsid w:val="006843E1"/>
    <w:rsid w:val="00684C2D"/>
    <w:rsid w:val="0068671B"/>
    <w:rsid w:val="00686935"/>
    <w:rsid w:val="00686F48"/>
    <w:rsid w:val="00687DA3"/>
    <w:rsid w:val="006924DF"/>
    <w:rsid w:val="006936A5"/>
    <w:rsid w:val="006948E4"/>
    <w:rsid w:val="00694B34"/>
    <w:rsid w:val="00694D00"/>
    <w:rsid w:val="00695963"/>
    <w:rsid w:val="00695B26"/>
    <w:rsid w:val="006A1607"/>
    <w:rsid w:val="006A1781"/>
    <w:rsid w:val="006A1906"/>
    <w:rsid w:val="006A1E0D"/>
    <w:rsid w:val="006A3D9E"/>
    <w:rsid w:val="006A69A8"/>
    <w:rsid w:val="006B123C"/>
    <w:rsid w:val="006B183A"/>
    <w:rsid w:val="006B3A51"/>
    <w:rsid w:val="006B4F54"/>
    <w:rsid w:val="006B6B67"/>
    <w:rsid w:val="006C002F"/>
    <w:rsid w:val="006C02F5"/>
    <w:rsid w:val="006C15A6"/>
    <w:rsid w:val="006C5FEF"/>
    <w:rsid w:val="006C7EB3"/>
    <w:rsid w:val="006D629D"/>
    <w:rsid w:val="006E51D3"/>
    <w:rsid w:val="006E64A5"/>
    <w:rsid w:val="006E6C77"/>
    <w:rsid w:val="006E797A"/>
    <w:rsid w:val="006F0A0C"/>
    <w:rsid w:val="006F2510"/>
    <w:rsid w:val="006F3A0F"/>
    <w:rsid w:val="006F4652"/>
    <w:rsid w:val="006F6E17"/>
    <w:rsid w:val="007014C0"/>
    <w:rsid w:val="00701D85"/>
    <w:rsid w:val="00702458"/>
    <w:rsid w:val="007047D8"/>
    <w:rsid w:val="00707395"/>
    <w:rsid w:val="007122EB"/>
    <w:rsid w:val="007152E3"/>
    <w:rsid w:val="00721675"/>
    <w:rsid w:val="00721BF4"/>
    <w:rsid w:val="007266EE"/>
    <w:rsid w:val="0072764B"/>
    <w:rsid w:val="00727936"/>
    <w:rsid w:val="00727E2C"/>
    <w:rsid w:val="00727F6F"/>
    <w:rsid w:val="007327FF"/>
    <w:rsid w:val="0073496F"/>
    <w:rsid w:val="0073712B"/>
    <w:rsid w:val="007402C2"/>
    <w:rsid w:val="007402D5"/>
    <w:rsid w:val="00740EED"/>
    <w:rsid w:val="00741976"/>
    <w:rsid w:val="00741F19"/>
    <w:rsid w:val="00742B3C"/>
    <w:rsid w:val="007435B2"/>
    <w:rsid w:val="00743C5C"/>
    <w:rsid w:val="0074432E"/>
    <w:rsid w:val="0075094E"/>
    <w:rsid w:val="00751DF3"/>
    <w:rsid w:val="00752F32"/>
    <w:rsid w:val="00757BAC"/>
    <w:rsid w:val="0076108E"/>
    <w:rsid w:val="00762B5C"/>
    <w:rsid w:val="00764016"/>
    <w:rsid w:val="007670D8"/>
    <w:rsid w:val="007715B9"/>
    <w:rsid w:val="00771654"/>
    <w:rsid w:val="00772AC2"/>
    <w:rsid w:val="00773A2C"/>
    <w:rsid w:val="00774065"/>
    <w:rsid w:val="00775269"/>
    <w:rsid w:val="00776ABF"/>
    <w:rsid w:val="007774FA"/>
    <w:rsid w:val="00777C1A"/>
    <w:rsid w:val="00780272"/>
    <w:rsid w:val="007804F7"/>
    <w:rsid w:val="007809BE"/>
    <w:rsid w:val="007812D5"/>
    <w:rsid w:val="007814B9"/>
    <w:rsid w:val="007822C3"/>
    <w:rsid w:val="00784810"/>
    <w:rsid w:val="00785B15"/>
    <w:rsid w:val="00787752"/>
    <w:rsid w:val="007910DD"/>
    <w:rsid w:val="0079174D"/>
    <w:rsid w:val="0079212F"/>
    <w:rsid w:val="0079412B"/>
    <w:rsid w:val="00794F1B"/>
    <w:rsid w:val="00797A2E"/>
    <w:rsid w:val="007A06F3"/>
    <w:rsid w:val="007A179B"/>
    <w:rsid w:val="007A419E"/>
    <w:rsid w:val="007A4FF4"/>
    <w:rsid w:val="007A5361"/>
    <w:rsid w:val="007A54F9"/>
    <w:rsid w:val="007A6CC8"/>
    <w:rsid w:val="007B0001"/>
    <w:rsid w:val="007B15C5"/>
    <w:rsid w:val="007B58B1"/>
    <w:rsid w:val="007B61A4"/>
    <w:rsid w:val="007B6A7E"/>
    <w:rsid w:val="007B7257"/>
    <w:rsid w:val="007C0695"/>
    <w:rsid w:val="007C12F6"/>
    <w:rsid w:val="007C2503"/>
    <w:rsid w:val="007C2B7A"/>
    <w:rsid w:val="007C480F"/>
    <w:rsid w:val="007C5716"/>
    <w:rsid w:val="007D0823"/>
    <w:rsid w:val="007D20D9"/>
    <w:rsid w:val="007D3E95"/>
    <w:rsid w:val="007D4361"/>
    <w:rsid w:val="007D4C14"/>
    <w:rsid w:val="007D5266"/>
    <w:rsid w:val="007D7005"/>
    <w:rsid w:val="007D7783"/>
    <w:rsid w:val="007E2E16"/>
    <w:rsid w:val="007E3068"/>
    <w:rsid w:val="007E6B32"/>
    <w:rsid w:val="007E6C18"/>
    <w:rsid w:val="007E765C"/>
    <w:rsid w:val="007F0029"/>
    <w:rsid w:val="007F0976"/>
    <w:rsid w:val="007F168D"/>
    <w:rsid w:val="007F3580"/>
    <w:rsid w:val="007F5965"/>
    <w:rsid w:val="007F5CEC"/>
    <w:rsid w:val="007F7C80"/>
    <w:rsid w:val="00800AE2"/>
    <w:rsid w:val="00802471"/>
    <w:rsid w:val="008030DC"/>
    <w:rsid w:val="0080418D"/>
    <w:rsid w:val="008070F4"/>
    <w:rsid w:val="008070FB"/>
    <w:rsid w:val="008125CD"/>
    <w:rsid w:val="00813057"/>
    <w:rsid w:val="00815230"/>
    <w:rsid w:val="00816FC2"/>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1928"/>
    <w:rsid w:val="00831C34"/>
    <w:rsid w:val="008325F0"/>
    <w:rsid w:val="00834788"/>
    <w:rsid w:val="008424CD"/>
    <w:rsid w:val="00842C80"/>
    <w:rsid w:val="00844F41"/>
    <w:rsid w:val="008457C1"/>
    <w:rsid w:val="0084613D"/>
    <w:rsid w:val="00850E6B"/>
    <w:rsid w:val="00852E88"/>
    <w:rsid w:val="008557E8"/>
    <w:rsid w:val="00863478"/>
    <w:rsid w:val="00863945"/>
    <w:rsid w:val="0086439F"/>
    <w:rsid w:val="00864E3D"/>
    <w:rsid w:val="0086796F"/>
    <w:rsid w:val="00875064"/>
    <w:rsid w:val="00877472"/>
    <w:rsid w:val="00877F0F"/>
    <w:rsid w:val="008800C8"/>
    <w:rsid w:val="0088347A"/>
    <w:rsid w:val="0088618F"/>
    <w:rsid w:val="00886234"/>
    <w:rsid w:val="008863D4"/>
    <w:rsid w:val="00886634"/>
    <w:rsid w:val="00887B85"/>
    <w:rsid w:val="00890B37"/>
    <w:rsid w:val="00890DCD"/>
    <w:rsid w:val="008939B8"/>
    <w:rsid w:val="0089581B"/>
    <w:rsid w:val="00896287"/>
    <w:rsid w:val="00896BE8"/>
    <w:rsid w:val="008A030A"/>
    <w:rsid w:val="008A037C"/>
    <w:rsid w:val="008A251A"/>
    <w:rsid w:val="008A5161"/>
    <w:rsid w:val="008A6135"/>
    <w:rsid w:val="008B43D4"/>
    <w:rsid w:val="008B470F"/>
    <w:rsid w:val="008B6655"/>
    <w:rsid w:val="008B71EE"/>
    <w:rsid w:val="008B77B2"/>
    <w:rsid w:val="008C06C7"/>
    <w:rsid w:val="008C0B06"/>
    <w:rsid w:val="008C1197"/>
    <w:rsid w:val="008C3401"/>
    <w:rsid w:val="008C4226"/>
    <w:rsid w:val="008C4325"/>
    <w:rsid w:val="008C4B7C"/>
    <w:rsid w:val="008C4E5B"/>
    <w:rsid w:val="008C764A"/>
    <w:rsid w:val="008D10A0"/>
    <w:rsid w:val="008D406B"/>
    <w:rsid w:val="008D4AB1"/>
    <w:rsid w:val="008D7471"/>
    <w:rsid w:val="008D7B31"/>
    <w:rsid w:val="008E19EE"/>
    <w:rsid w:val="008E316D"/>
    <w:rsid w:val="008E379F"/>
    <w:rsid w:val="008E4B80"/>
    <w:rsid w:val="008E6364"/>
    <w:rsid w:val="008E63AE"/>
    <w:rsid w:val="008E6415"/>
    <w:rsid w:val="008F03D5"/>
    <w:rsid w:val="008F07DF"/>
    <w:rsid w:val="00900D76"/>
    <w:rsid w:val="0090287D"/>
    <w:rsid w:val="00906681"/>
    <w:rsid w:val="00907BAD"/>
    <w:rsid w:val="00910AEC"/>
    <w:rsid w:val="00911FE1"/>
    <w:rsid w:val="00912BD2"/>
    <w:rsid w:val="0091751B"/>
    <w:rsid w:val="009175CE"/>
    <w:rsid w:val="009202F7"/>
    <w:rsid w:val="0092030F"/>
    <w:rsid w:val="0092200F"/>
    <w:rsid w:val="00922782"/>
    <w:rsid w:val="00925291"/>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0AAE"/>
    <w:rsid w:val="00951939"/>
    <w:rsid w:val="00952269"/>
    <w:rsid w:val="00952CE1"/>
    <w:rsid w:val="00953507"/>
    <w:rsid w:val="00953E87"/>
    <w:rsid w:val="009557D2"/>
    <w:rsid w:val="00956495"/>
    <w:rsid w:val="009568DF"/>
    <w:rsid w:val="00961105"/>
    <w:rsid w:val="009639DC"/>
    <w:rsid w:val="00963B11"/>
    <w:rsid w:val="0096450C"/>
    <w:rsid w:val="00966ED1"/>
    <w:rsid w:val="009700D6"/>
    <w:rsid w:val="00970329"/>
    <w:rsid w:val="00970F9E"/>
    <w:rsid w:val="009712BD"/>
    <w:rsid w:val="00975C87"/>
    <w:rsid w:val="00976585"/>
    <w:rsid w:val="009868BA"/>
    <w:rsid w:val="00986A65"/>
    <w:rsid w:val="009924D5"/>
    <w:rsid w:val="009931AC"/>
    <w:rsid w:val="00993E50"/>
    <w:rsid w:val="0099447F"/>
    <w:rsid w:val="00995623"/>
    <w:rsid w:val="0099775A"/>
    <w:rsid w:val="00997ACE"/>
    <w:rsid w:val="009A2940"/>
    <w:rsid w:val="009A373E"/>
    <w:rsid w:val="009A5E9D"/>
    <w:rsid w:val="009A728E"/>
    <w:rsid w:val="009B206E"/>
    <w:rsid w:val="009B24E0"/>
    <w:rsid w:val="009B2EAF"/>
    <w:rsid w:val="009B55F5"/>
    <w:rsid w:val="009B61E3"/>
    <w:rsid w:val="009C17E3"/>
    <w:rsid w:val="009C3B05"/>
    <w:rsid w:val="009C406B"/>
    <w:rsid w:val="009C473A"/>
    <w:rsid w:val="009C4827"/>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2865"/>
    <w:rsid w:val="009F3AC5"/>
    <w:rsid w:val="009F51CF"/>
    <w:rsid w:val="009F55BF"/>
    <w:rsid w:val="009F5CDD"/>
    <w:rsid w:val="009F71BB"/>
    <w:rsid w:val="009F7C75"/>
    <w:rsid w:val="00A0629A"/>
    <w:rsid w:val="00A10B9C"/>
    <w:rsid w:val="00A13213"/>
    <w:rsid w:val="00A134FC"/>
    <w:rsid w:val="00A15C91"/>
    <w:rsid w:val="00A200B6"/>
    <w:rsid w:val="00A2031E"/>
    <w:rsid w:val="00A20F2A"/>
    <w:rsid w:val="00A216B1"/>
    <w:rsid w:val="00A22975"/>
    <w:rsid w:val="00A23624"/>
    <w:rsid w:val="00A23D3B"/>
    <w:rsid w:val="00A26379"/>
    <w:rsid w:val="00A26F86"/>
    <w:rsid w:val="00A27EE2"/>
    <w:rsid w:val="00A30247"/>
    <w:rsid w:val="00A30D6F"/>
    <w:rsid w:val="00A31703"/>
    <w:rsid w:val="00A36348"/>
    <w:rsid w:val="00A36FB8"/>
    <w:rsid w:val="00A40FD5"/>
    <w:rsid w:val="00A41EAC"/>
    <w:rsid w:val="00A428D5"/>
    <w:rsid w:val="00A42B9E"/>
    <w:rsid w:val="00A43C2E"/>
    <w:rsid w:val="00A44F6D"/>
    <w:rsid w:val="00A44FE5"/>
    <w:rsid w:val="00A4609C"/>
    <w:rsid w:val="00A472EC"/>
    <w:rsid w:val="00A52AE3"/>
    <w:rsid w:val="00A5358B"/>
    <w:rsid w:val="00A557D8"/>
    <w:rsid w:val="00A55F87"/>
    <w:rsid w:val="00A56E2E"/>
    <w:rsid w:val="00A662C5"/>
    <w:rsid w:val="00A66B6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C38"/>
    <w:rsid w:val="00A95DBC"/>
    <w:rsid w:val="00A95E12"/>
    <w:rsid w:val="00A96926"/>
    <w:rsid w:val="00A97180"/>
    <w:rsid w:val="00AA17DC"/>
    <w:rsid w:val="00AA49E0"/>
    <w:rsid w:val="00AA5252"/>
    <w:rsid w:val="00AA7A18"/>
    <w:rsid w:val="00AB01E4"/>
    <w:rsid w:val="00AB1582"/>
    <w:rsid w:val="00AB29D3"/>
    <w:rsid w:val="00AB39F3"/>
    <w:rsid w:val="00AB43D4"/>
    <w:rsid w:val="00AB454D"/>
    <w:rsid w:val="00AC0148"/>
    <w:rsid w:val="00AC0828"/>
    <w:rsid w:val="00AC0A1D"/>
    <w:rsid w:val="00AC1694"/>
    <w:rsid w:val="00AC2B19"/>
    <w:rsid w:val="00AC3A1C"/>
    <w:rsid w:val="00AC4A89"/>
    <w:rsid w:val="00AC6CEC"/>
    <w:rsid w:val="00AC7411"/>
    <w:rsid w:val="00AD0DBF"/>
    <w:rsid w:val="00AD4250"/>
    <w:rsid w:val="00AD6ACB"/>
    <w:rsid w:val="00AE1B40"/>
    <w:rsid w:val="00AE2ED6"/>
    <w:rsid w:val="00AE53AC"/>
    <w:rsid w:val="00AF039F"/>
    <w:rsid w:val="00AF4A99"/>
    <w:rsid w:val="00AF6325"/>
    <w:rsid w:val="00AF7A6A"/>
    <w:rsid w:val="00B00F7A"/>
    <w:rsid w:val="00B012D5"/>
    <w:rsid w:val="00B0332B"/>
    <w:rsid w:val="00B0578F"/>
    <w:rsid w:val="00B077EB"/>
    <w:rsid w:val="00B11D62"/>
    <w:rsid w:val="00B1230F"/>
    <w:rsid w:val="00B127DA"/>
    <w:rsid w:val="00B12ECD"/>
    <w:rsid w:val="00B14C0B"/>
    <w:rsid w:val="00B2146D"/>
    <w:rsid w:val="00B243CC"/>
    <w:rsid w:val="00B257CC"/>
    <w:rsid w:val="00B25D56"/>
    <w:rsid w:val="00B26E26"/>
    <w:rsid w:val="00B27632"/>
    <w:rsid w:val="00B3174F"/>
    <w:rsid w:val="00B31EAF"/>
    <w:rsid w:val="00B3313A"/>
    <w:rsid w:val="00B34302"/>
    <w:rsid w:val="00B3480D"/>
    <w:rsid w:val="00B36043"/>
    <w:rsid w:val="00B37734"/>
    <w:rsid w:val="00B37BCC"/>
    <w:rsid w:val="00B40E51"/>
    <w:rsid w:val="00B41823"/>
    <w:rsid w:val="00B41870"/>
    <w:rsid w:val="00B47039"/>
    <w:rsid w:val="00B47E7B"/>
    <w:rsid w:val="00B512DA"/>
    <w:rsid w:val="00B5558C"/>
    <w:rsid w:val="00B55791"/>
    <w:rsid w:val="00B63318"/>
    <w:rsid w:val="00B665B5"/>
    <w:rsid w:val="00B66DC1"/>
    <w:rsid w:val="00B67101"/>
    <w:rsid w:val="00B6753A"/>
    <w:rsid w:val="00B702AD"/>
    <w:rsid w:val="00B708EA"/>
    <w:rsid w:val="00B73A67"/>
    <w:rsid w:val="00B73DD6"/>
    <w:rsid w:val="00B8043F"/>
    <w:rsid w:val="00B8187B"/>
    <w:rsid w:val="00B8308E"/>
    <w:rsid w:val="00B85012"/>
    <w:rsid w:val="00B91124"/>
    <w:rsid w:val="00B9180C"/>
    <w:rsid w:val="00B92477"/>
    <w:rsid w:val="00B9298C"/>
    <w:rsid w:val="00B929F6"/>
    <w:rsid w:val="00B94480"/>
    <w:rsid w:val="00B97B7B"/>
    <w:rsid w:val="00BA18A9"/>
    <w:rsid w:val="00BA2C2D"/>
    <w:rsid w:val="00BA4F14"/>
    <w:rsid w:val="00BB14F8"/>
    <w:rsid w:val="00BB1D3E"/>
    <w:rsid w:val="00BC02D7"/>
    <w:rsid w:val="00BC31DA"/>
    <w:rsid w:val="00BC3D6F"/>
    <w:rsid w:val="00BC61AC"/>
    <w:rsid w:val="00BD0EBD"/>
    <w:rsid w:val="00BD20CF"/>
    <w:rsid w:val="00BD3984"/>
    <w:rsid w:val="00BD3B87"/>
    <w:rsid w:val="00BD4C35"/>
    <w:rsid w:val="00BE230E"/>
    <w:rsid w:val="00BE6FA5"/>
    <w:rsid w:val="00BF28ED"/>
    <w:rsid w:val="00BF35A8"/>
    <w:rsid w:val="00C013D8"/>
    <w:rsid w:val="00C0150B"/>
    <w:rsid w:val="00C0221B"/>
    <w:rsid w:val="00C036EC"/>
    <w:rsid w:val="00C04347"/>
    <w:rsid w:val="00C04372"/>
    <w:rsid w:val="00C0598F"/>
    <w:rsid w:val="00C05D83"/>
    <w:rsid w:val="00C06B27"/>
    <w:rsid w:val="00C1042C"/>
    <w:rsid w:val="00C12C11"/>
    <w:rsid w:val="00C1324C"/>
    <w:rsid w:val="00C13CEC"/>
    <w:rsid w:val="00C13CF5"/>
    <w:rsid w:val="00C142D9"/>
    <w:rsid w:val="00C14BD8"/>
    <w:rsid w:val="00C16235"/>
    <w:rsid w:val="00C17776"/>
    <w:rsid w:val="00C1781A"/>
    <w:rsid w:val="00C2059D"/>
    <w:rsid w:val="00C20DC8"/>
    <w:rsid w:val="00C23661"/>
    <w:rsid w:val="00C24D30"/>
    <w:rsid w:val="00C2561D"/>
    <w:rsid w:val="00C26C2B"/>
    <w:rsid w:val="00C300F2"/>
    <w:rsid w:val="00C31EB2"/>
    <w:rsid w:val="00C320DF"/>
    <w:rsid w:val="00C329C3"/>
    <w:rsid w:val="00C3454B"/>
    <w:rsid w:val="00C34C64"/>
    <w:rsid w:val="00C35D54"/>
    <w:rsid w:val="00C37CF2"/>
    <w:rsid w:val="00C4126C"/>
    <w:rsid w:val="00C42C0C"/>
    <w:rsid w:val="00C42C40"/>
    <w:rsid w:val="00C45A36"/>
    <w:rsid w:val="00C55889"/>
    <w:rsid w:val="00C55E95"/>
    <w:rsid w:val="00C57162"/>
    <w:rsid w:val="00C62563"/>
    <w:rsid w:val="00C6395F"/>
    <w:rsid w:val="00C649BC"/>
    <w:rsid w:val="00C66128"/>
    <w:rsid w:val="00C66549"/>
    <w:rsid w:val="00C66EE6"/>
    <w:rsid w:val="00C66FCB"/>
    <w:rsid w:val="00C670AB"/>
    <w:rsid w:val="00C721C3"/>
    <w:rsid w:val="00C77945"/>
    <w:rsid w:val="00C77B89"/>
    <w:rsid w:val="00C8023C"/>
    <w:rsid w:val="00C80443"/>
    <w:rsid w:val="00C815B8"/>
    <w:rsid w:val="00C8216B"/>
    <w:rsid w:val="00C83068"/>
    <w:rsid w:val="00C83429"/>
    <w:rsid w:val="00C8410F"/>
    <w:rsid w:val="00C8637A"/>
    <w:rsid w:val="00C86BAA"/>
    <w:rsid w:val="00C870A4"/>
    <w:rsid w:val="00C87C97"/>
    <w:rsid w:val="00C90DAA"/>
    <w:rsid w:val="00C90ECA"/>
    <w:rsid w:val="00C93022"/>
    <w:rsid w:val="00C93982"/>
    <w:rsid w:val="00C9436C"/>
    <w:rsid w:val="00C946D2"/>
    <w:rsid w:val="00C96894"/>
    <w:rsid w:val="00CA4195"/>
    <w:rsid w:val="00CA45AE"/>
    <w:rsid w:val="00CA535D"/>
    <w:rsid w:val="00CA6080"/>
    <w:rsid w:val="00CA616C"/>
    <w:rsid w:val="00CA61D7"/>
    <w:rsid w:val="00CA70BF"/>
    <w:rsid w:val="00CA7348"/>
    <w:rsid w:val="00CB16E8"/>
    <w:rsid w:val="00CB364F"/>
    <w:rsid w:val="00CB394A"/>
    <w:rsid w:val="00CB7229"/>
    <w:rsid w:val="00CC1D36"/>
    <w:rsid w:val="00CC33F4"/>
    <w:rsid w:val="00CC4095"/>
    <w:rsid w:val="00CC58B4"/>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4036"/>
    <w:rsid w:val="00D05597"/>
    <w:rsid w:val="00D05BBB"/>
    <w:rsid w:val="00D1373D"/>
    <w:rsid w:val="00D13ABF"/>
    <w:rsid w:val="00D16316"/>
    <w:rsid w:val="00D16D1C"/>
    <w:rsid w:val="00D200E4"/>
    <w:rsid w:val="00D2049A"/>
    <w:rsid w:val="00D213FC"/>
    <w:rsid w:val="00D24803"/>
    <w:rsid w:val="00D24ACD"/>
    <w:rsid w:val="00D25F92"/>
    <w:rsid w:val="00D268BA"/>
    <w:rsid w:val="00D311D4"/>
    <w:rsid w:val="00D322B6"/>
    <w:rsid w:val="00D32534"/>
    <w:rsid w:val="00D32B75"/>
    <w:rsid w:val="00D32C17"/>
    <w:rsid w:val="00D353FF"/>
    <w:rsid w:val="00D37F4F"/>
    <w:rsid w:val="00D402F9"/>
    <w:rsid w:val="00D44839"/>
    <w:rsid w:val="00D44B18"/>
    <w:rsid w:val="00D47043"/>
    <w:rsid w:val="00D47915"/>
    <w:rsid w:val="00D51479"/>
    <w:rsid w:val="00D5551B"/>
    <w:rsid w:val="00D57D32"/>
    <w:rsid w:val="00D625F8"/>
    <w:rsid w:val="00D63D29"/>
    <w:rsid w:val="00D649AA"/>
    <w:rsid w:val="00D6571C"/>
    <w:rsid w:val="00D65D38"/>
    <w:rsid w:val="00D73693"/>
    <w:rsid w:val="00D74A49"/>
    <w:rsid w:val="00D74BEC"/>
    <w:rsid w:val="00D75A07"/>
    <w:rsid w:val="00D80A4D"/>
    <w:rsid w:val="00D83294"/>
    <w:rsid w:val="00D832F2"/>
    <w:rsid w:val="00D83A4D"/>
    <w:rsid w:val="00D840D8"/>
    <w:rsid w:val="00D85827"/>
    <w:rsid w:val="00D90C1D"/>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1AE7"/>
    <w:rsid w:val="00DC33B6"/>
    <w:rsid w:val="00DC4097"/>
    <w:rsid w:val="00DC5F66"/>
    <w:rsid w:val="00DC63F9"/>
    <w:rsid w:val="00DC726D"/>
    <w:rsid w:val="00DD29D3"/>
    <w:rsid w:val="00DD4B24"/>
    <w:rsid w:val="00DD5651"/>
    <w:rsid w:val="00DE0E2E"/>
    <w:rsid w:val="00DE12F4"/>
    <w:rsid w:val="00DE1DFC"/>
    <w:rsid w:val="00DE208C"/>
    <w:rsid w:val="00DE53B2"/>
    <w:rsid w:val="00DE6077"/>
    <w:rsid w:val="00DE6B52"/>
    <w:rsid w:val="00DE7E73"/>
    <w:rsid w:val="00DF0C37"/>
    <w:rsid w:val="00DF13FF"/>
    <w:rsid w:val="00DF1553"/>
    <w:rsid w:val="00DF4624"/>
    <w:rsid w:val="00DF46D3"/>
    <w:rsid w:val="00DF4743"/>
    <w:rsid w:val="00DF7B2B"/>
    <w:rsid w:val="00E01909"/>
    <w:rsid w:val="00E04FDF"/>
    <w:rsid w:val="00E05F15"/>
    <w:rsid w:val="00E05F71"/>
    <w:rsid w:val="00E07D2B"/>
    <w:rsid w:val="00E10531"/>
    <w:rsid w:val="00E10877"/>
    <w:rsid w:val="00E1304F"/>
    <w:rsid w:val="00E13BC1"/>
    <w:rsid w:val="00E1419F"/>
    <w:rsid w:val="00E17315"/>
    <w:rsid w:val="00E178C5"/>
    <w:rsid w:val="00E17D79"/>
    <w:rsid w:val="00E20A02"/>
    <w:rsid w:val="00E238C5"/>
    <w:rsid w:val="00E35D90"/>
    <w:rsid w:val="00E373E8"/>
    <w:rsid w:val="00E3742A"/>
    <w:rsid w:val="00E37A46"/>
    <w:rsid w:val="00E42DE4"/>
    <w:rsid w:val="00E45EE2"/>
    <w:rsid w:val="00E46623"/>
    <w:rsid w:val="00E51C1B"/>
    <w:rsid w:val="00E5260E"/>
    <w:rsid w:val="00E56E61"/>
    <w:rsid w:val="00E57296"/>
    <w:rsid w:val="00E622B2"/>
    <w:rsid w:val="00E633B5"/>
    <w:rsid w:val="00E644CD"/>
    <w:rsid w:val="00E65A9B"/>
    <w:rsid w:val="00E7134F"/>
    <w:rsid w:val="00E715C6"/>
    <w:rsid w:val="00E720E4"/>
    <w:rsid w:val="00E7370C"/>
    <w:rsid w:val="00E76835"/>
    <w:rsid w:val="00E80AE9"/>
    <w:rsid w:val="00E82E66"/>
    <w:rsid w:val="00E83B41"/>
    <w:rsid w:val="00E85789"/>
    <w:rsid w:val="00E9005A"/>
    <w:rsid w:val="00E90688"/>
    <w:rsid w:val="00E91461"/>
    <w:rsid w:val="00E91B94"/>
    <w:rsid w:val="00E93356"/>
    <w:rsid w:val="00EA357D"/>
    <w:rsid w:val="00EA37AB"/>
    <w:rsid w:val="00EA4442"/>
    <w:rsid w:val="00EA4736"/>
    <w:rsid w:val="00EA60CE"/>
    <w:rsid w:val="00EA62B8"/>
    <w:rsid w:val="00EA6B0D"/>
    <w:rsid w:val="00EA74B8"/>
    <w:rsid w:val="00EB01A7"/>
    <w:rsid w:val="00EB0AE3"/>
    <w:rsid w:val="00EB0BD9"/>
    <w:rsid w:val="00EB4FA7"/>
    <w:rsid w:val="00EB5222"/>
    <w:rsid w:val="00EB68EE"/>
    <w:rsid w:val="00EB7174"/>
    <w:rsid w:val="00EB7E69"/>
    <w:rsid w:val="00EC00DB"/>
    <w:rsid w:val="00EC155E"/>
    <w:rsid w:val="00EC1F57"/>
    <w:rsid w:val="00EC287E"/>
    <w:rsid w:val="00EC3182"/>
    <w:rsid w:val="00EC35BE"/>
    <w:rsid w:val="00EC3F23"/>
    <w:rsid w:val="00EC57BD"/>
    <w:rsid w:val="00EC74CE"/>
    <w:rsid w:val="00EC7697"/>
    <w:rsid w:val="00EC77D6"/>
    <w:rsid w:val="00ED1F25"/>
    <w:rsid w:val="00ED27D5"/>
    <w:rsid w:val="00ED3A71"/>
    <w:rsid w:val="00ED758C"/>
    <w:rsid w:val="00EE06ED"/>
    <w:rsid w:val="00EE4212"/>
    <w:rsid w:val="00EE54FE"/>
    <w:rsid w:val="00EE5E15"/>
    <w:rsid w:val="00EF20FA"/>
    <w:rsid w:val="00EF45EE"/>
    <w:rsid w:val="00EF4800"/>
    <w:rsid w:val="00EF52D6"/>
    <w:rsid w:val="00EF5601"/>
    <w:rsid w:val="00EF7E5B"/>
    <w:rsid w:val="00F0162F"/>
    <w:rsid w:val="00F01C96"/>
    <w:rsid w:val="00F0482D"/>
    <w:rsid w:val="00F0661F"/>
    <w:rsid w:val="00F12CBB"/>
    <w:rsid w:val="00F1355C"/>
    <w:rsid w:val="00F15BE3"/>
    <w:rsid w:val="00F16F5E"/>
    <w:rsid w:val="00F2566F"/>
    <w:rsid w:val="00F30E51"/>
    <w:rsid w:val="00F31AD0"/>
    <w:rsid w:val="00F33527"/>
    <w:rsid w:val="00F35DF7"/>
    <w:rsid w:val="00F37F36"/>
    <w:rsid w:val="00F41632"/>
    <w:rsid w:val="00F42267"/>
    <w:rsid w:val="00F454C9"/>
    <w:rsid w:val="00F502E8"/>
    <w:rsid w:val="00F50FCE"/>
    <w:rsid w:val="00F517B3"/>
    <w:rsid w:val="00F51AF2"/>
    <w:rsid w:val="00F5295B"/>
    <w:rsid w:val="00F5588F"/>
    <w:rsid w:val="00F55C7F"/>
    <w:rsid w:val="00F56AD8"/>
    <w:rsid w:val="00F57CCC"/>
    <w:rsid w:val="00F6137E"/>
    <w:rsid w:val="00F63771"/>
    <w:rsid w:val="00F63922"/>
    <w:rsid w:val="00F65D89"/>
    <w:rsid w:val="00F673BD"/>
    <w:rsid w:val="00F675E2"/>
    <w:rsid w:val="00F70C83"/>
    <w:rsid w:val="00F7566D"/>
    <w:rsid w:val="00F75E0E"/>
    <w:rsid w:val="00F76826"/>
    <w:rsid w:val="00F76A15"/>
    <w:rsid w:val="00F776BE"/>
    <w:rsid w:val="00F77A72"/>
    <w:rsid w:val="00F8143A"/>
    <w:rsid w:val="00F82E38"/>
    <w:rsid w:val="00F83C52"/>
    <w:rsid w:val="00F83D25"/>
    <w:rsid w:val="00F84A1B"/>
    <w:rsid w:val="00F84D88"/>
    <w:rsid w:val="00F85A41"/>
    <w:rsid w:val="00F8782E"/>
    <w:rsid w:val="00F87DA7"/>
    <w:rsid w:val="00F90A9D"/>
    <w:rsid w:val="00F92229"/>
    <w:rsid w:val="00F925C5"/>
    <w:rsid w:val="00F942DD"/>
    <w:rsid w:val="00F97C8E"/>
    <w:rsid w:val="00F97E58"/>
    <w:rsid w:val="00FA0AAD"/>
    <w:rsid w:val="00FA1DC1"/>
    <w:rsid w:val="00FB0E70"/>
    <w:rsid w:val="00FB1EB6"/>
    <w:rsid w:val="00FB1F05"/>
    <w:rsid w:val="00FB3989"/>
    <w:rsid w:val="00FB5FF6"/>
    <w:rsid w:val="00FB67DD"/>
    <w:rsid w:val="00FB748E"/>
    <w:rsid w:val="00FC02C4"/>
    <w:rsid w:val="00FC066F"/>
    <w:rsid w:val="00FC33BC"/>
    <w:rsid w:val="00FC5B79"/>
    <w:rsid w:val="00FC7905"/>
    <w:rsid w:val="00FD0273"/>
    <w:rsid w:val="00FD0B4A"/>
    <w:rsid w:val="00FD423F"/>
    <w:rsid w:val="00FD6EB4"/>
    <w:rsid w:val="00FE35D0"/>
    <w:rsid w:val="00FE4310"/>
    <w:rsid w:val="00FE5E89"/>
    <w:rsid w:val="00FE7260"/>
    <w:rsid w:val="00FF02E7"/>
    <w:rsid w:val="00FF0866"/>
    <w:rsid w:val="00FF0CA9"/>
    <w:rsid w:val="00FF12E9"/>
    <w:rsid w:val="00FF6B38"/>
    <w:rsid w:val="00FF724C"/>
    <w:rsid w:val="00FF7BD2"/>
    <w:rsid w:val="038804AE"/>
    <w:rsid w:val="042A45A4"/>
    <w:rsid w:val="043C7948"/>
    <w:rsid w:val="077E62A4"/>
    <w:rsid w:val="08295EE1"/>
    <w:rsid w:val="09AB38DD"/>
    <w:rsid w:val="0BA8113F"/>
    <w:rsid w:val="0D2724C0"/>
    <w:rsid w:val="10AF1798"/>
    <w:rsid w:val="14577CCA"/>
    <w:rsid w:val="14FC6D48"/>
    <w:rsid w:val="15451D8A"/>
    <w:rsid w:val="15520BE1"/>
    <w:rsid w:val="186C7E5C"/>
    <w:rsid w:val="1CEB4107"/>
    <w:rsid w:val="22077051"/>
    <w:rsid w:val="227510A5"/>
    <w:rsid w:val="245C26E0"/>
    <w:rsid w:val="24CC1497"/>
    <w:rsid w:val="25730F6C"/>
    <w:rsid w:val="2D2500A9"/>
    <w:rsid w:val="2FE804A9"/>
    <w:rsid w:val="324B19B3"/>
    <w:rsid w:val="33713303"/>
    <w:rsid w:val="363F0ACD"/>
    <w:rsid w:val="3F27564B"/>
    <w:rsid w:val="48737009"/>
    <w:rsid w:val="48912C89"/>
    <w:rsid w:val="4AB45A51"/>
    <w:rsid w:val="4F49020C"/>
    <w:rsid w:val="5B72502E"/>
    <w:rsid w:val="609D67C3"/>
    <w:rsid w:val="61720AC6"/>
    <w:rsid w:val="63A63A58"/>
    <w:rsid w:val="6BD274DD"/>
    <w:rsid w:val="714014DE"/>
    <w:rsid w:val="72E87C49"/>
    <w:rsid w:val="7942379D"/>
    <w:rsid w:val="7A5A1396"/>
    <w:rsid w:val="7B3101FD"/>
    <w:rsid w:val="7F7767D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99"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99" w:semiHidden="0" w:name="List Number 2"/>
    <w:lsdException w:qFormat="1" w:unhideWhenUsed="0" w:uiPriority="99" w:semiHidden="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uiPriority="1" w:name="Default Paragraph Font"/>
    <w:lsdException w:qFormat="1" w:unhideWhenUsed="0" w:uiPriority="99" w:semiHidden="0" w:name="Body Text"/>
    <w:lsdException w:qFormat="1" w:unhideWhenUsed="0" w:uiPriority="99"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iPriority="0" w:name="Note Heading"/>
    <w:lsdException w:qFormat="1" w:unhideWhenUsed="0" w:uiPriority="99"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9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4"/>
    <w:qFormat/>
    <w:uiPriority w:val="99"/>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5"/>
    <w:qFormat/>
    <w:uiPriority w:val="99"/>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6"/>
    <w:qFormat/>
    <w:uiPriority w:val="99"/>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7"/>
    <w:qFormat/>
    <w:uiPriority w:val="0"/>
    <w:pPr>
      <w:keepNext/>
      <w:widowControl/>
      <w:numPr>
        <w:ilvl w:val="0"/>
        <w:numId w:val="4"/>
      </w:numPr>
      <w:jc w:val="left"/>
      <w:outlineLvl w:val="4"/>
    </w:pPr>
    <w:rPr>
      <w:kern w:val="0"/>
      <w:sz w:val="24"/>
      <w:szCs w:val="20"/>
    </w:rPr>
  </w:style>
  <w:style w:type="paragraph" w:styleId="8">
    <w:name w:val="heading 6"/>
    <w:basedOn w:val="1"/>
    <w:next w:val="1"/>
    <w:link w:val="58"/>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3"/>
    <w:qFormat/>
    <w:uiPriority w:val="99"/>
    <w:pPr>
      <w:ind w:firstLine="420" w:firstLineChars="200"/>
    </w:pPr>
  </w:style>
  <w:style w:type="paragraph" w:styleId="12">
    <w:name w:val="List Number 2"/>
    <w:basedOn w:val="1"/>
    <w:qFormat/>
    <w:uiPriority w:val="99"/>
    <w:pPr>
      <w:widowControl/>
      <w:tabs>
        <w:tab w:val="left" w:pos="1697"/>
      </w:tabs>
      <w:spacing w:afterLines="50"/>
      <w:ind w:left="1697" w:hanging="420"/>
      <w:jc w:val="left"/>
    </w:pPr>
    <w:rPr>
      <w:kern w:val="0"/>
      <w:sz w:val="24"/>
      <w:szCs w:val="20"/>
    </w:rPr>
  </w:style>
  <w:style w:type="paragraph" w:styleId="13">
    <w:name w:val="List Number"/>
    <w:basedOn w:val="1"/>
    <w:qFormat/>
    <w:uiPriority w:val="99"/>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62"/>
    <w:semiHidden/>
    <w:qFormat/>
    <w:uiPriority w:val="99"/>
    <w:pPr>
      <w:shd w:val="clear" w:color="auto" w:fill="000080"/>
    </w:pPr>
  </w:style>
  <w:style w:type="paragraph" w:styleId="16">
    <w:name w:val="annotation text"/>
    <w:basedOn w:val="1"/>
    <w:link w:val="63"/>
    <w:qFormat/>
    <w:uiPriority w:val="99"/>
    <w:pPr>
      <w:jc w:val="left"/>
    </w:pPr>
  </w:style>
  <w:style w:type="paragraph" w:styleId="17">
    <w:name w:val="Body Text 3"/>
    <w:link w:val="64"/>
    <w:qFormat/>
    <w:uiPriority w:val="0"/>
    <w:pPr>
      <w:widowControl w:val="0"/>
      <w:snapToGrid w:val="0"/>
      <w:spacing w:before="50" w:after="50"/>
      <w:jc w:val="both"/>
    </w:pPr>
    <w:rPr>
      <w:rFonts w:ascii="Times New Roman" w:hAnsi="Times New Roman" w:eastAsia="仿宋_GB2312" w:cs="Times New Roman"/>
      <w:b/>
      <w:bCs/>
      <w:kern w:val="2"/>
      <w:sz w:val="24"/>
      <w:lang w:val="en-US" w:eastAsia="zh-CN" w:bidi="ar-SA"/>
    </w:rPr>
  </w:style>
  <w:style w:type="paragraph" w:styleId="18">
    <w:name w:val="Body Text"/>
    <w:basedOn w:val="1"/>
    <w:link w:val="65"/>
    <w:qFormat/>
    <w:uiPriority w:val="99"/>
    <w:pPr>
      <w:spacing w:line="360" w:lineRule="auto"/>
    </w:pPr>
    <w:rPr>
      <w:rFonts w:eastAsia="仿宋_GB2312"/>
      <w:sz w:val="28"/>
    </w:rPr>
  </w:style>
  <w:style w:type="paragraph" w:styleId="19">
    <w:name w:val="Body Text Indent"/>
    <w:basedOn w:val="1"/>
    <w:link w:val="66"/>
    <w:qFormat/>
    <w:uiPriority w:val="99"/>
    <w:pPr>
      <w:spacing w:after="120"/>
      <w:ind w:left="420" w:leftChars="200"/>
    </w:pPr>
  </w:style>
  <w:style w:type="paragraph" w:styleId="20">
    <w:name w:val="List Number 3"/>
    <w:basedOn w:val="1"/>
    <w:qFormat/>
    <w:uiPriority w:val="99"/>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7"/>
    <w:qFormat/>
    <w:uiPriority w:val="99"/>
    <w:rPr>
      <w:rFonts w:ascii="宋体" w:hAnsi="Courier New"/>
      <w:szCs w:val="20"/>
    </w:rPr>
  </w:style>
  <w:style w:type="paragraph" w:styleId="24">
    <w:name w:val="Date"/>
    <w:basedOn w:val="1"/>
    <w:next w:val="1"/>
    <w:link w:val="68"/>
    <w:qFormat/>
    <w:uiPriority w:val="99"/>
    <w:rPr>
      <w:rFonts w:ascii="楷体_GB2312" w:eastAsia="楷体_GB2312"/>
      <w:b/>
      <w:sz w:val="28"/>
      <w:szCs w:val="20"/>
    </w:rPr>
  </w:style>
  <w:style w:type="paragraph" w:styleId="25">
    <w:name w:val="Body Text Indent 2"/>
    <w:basedOn w:val="1"/>
    <w:link w:val="69"/>
    <w:qFormat/>
    <w:uiPriority w:val="99"/>
    <w:pPr>
      <w:spacing w:after="120" w:line="480" w:lineRule="auto"/>
      <w:ind w:left="420" w:leftChars="200"/>
    </w:pPr>
  </w:style>
  <w:style w:type="paragraph" w:styleId="26">
    <w:name w:val="Balloon Text"/>
    <w:basedOn w:val="1"/>
    <w:link w:val="70"/>
    <w:semiHidden/>
    <w:qFormat/>
    <w:uiPriority w:val="99"/>
    <w:rPr>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footnote text"/>
    <w:basedOn w:val="1"/>
    <w:link w:val="293"/>
    <w:qFormat/>
    <w:uiPriority w:val="99"/>
    <w:pPr>
      <w:adjustRightInd w:val="0"/>
      <w:snapToGrid w:val="0"/>
      <w:jc w:val="left"/>
    </w:pPr>
    <w:rPr>
      <w:sz w:val="18"/>
    </w:rPr>
  </w:style>
  <w:style w:type="paragraph" w:styleId="32">
    <w:name w:val="Body Text Indent 3"/>
    <w:basedOn w:val="1"/>
    <w:link w:val="73"/>
    <w:qFormat/>
    <w:uiPriority w:val="0"/>
    <w:pPr>
      <w:spacing w:after="120"/>
      <w:ind w:left="420" w:leftChars="200"/>
    </w:pPr>
    <w:rPr>
      <w:sz w:val="16"/>
      <w:szCs w:val="16"/>
    </w:rPr>
  </w:style>
  <w:style w:type="paragraph" w:styleId="33">
    <w:name w:val="toc 2"/>
    <w:basedOn w:val="1"/>
    <w:next w:val="1"/>
    <w:qFormat/>
    <w:uiPriority w:val="0"/>
    <w:pPr>
      <w:ind w:left="420" w:leftChars="200"/>
    </w:pPr>
  </w:style>
  <w:style w:type="paragraph" w:styleId="34">
    <w:name w:val="Body Text 2"/>
    <w:basedOn w:val="1"/>
    <w:link w:val="74"/>
    <w:qFormat/>
    <w:uiPriority w:val="99"/>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75"/>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76"/>
    <w:qFormat/>
    <w:uiPriority w:val="99"/>
    <w:pPr>
      <w:adjustRightInd w:val="0"/>
      <w:spacing w:before="240" w:after="60"/>
      <w:jc w:val="center"/>
      <w:outlineLvl w:val="0"/>
    </w:pPr>
    <w:rPr>
      <w:rFonts w:ascii="Calibri Light" w:hAnsi="Calibri Light"/>
      <w:b/>
      <w:bCs/>
      <w:sz w:val="32"/>
      <w:szCs w:val="32"/>
    </w:rPr>
  </w:style>
  <w:style w:type="paragraph" w:styleId="40">
    <w:name w:val="annotation subject"/>
    <w:basedOn w:val="16"/>
    <w:next w:val="16"/>
    <w:link w:val="77"/>
    <w:qFormat/>
    <w:uiPriority w:val="99"/>
    <w:pPr>
      <w:widowControl/>
      <w:spacing w:afterLines="50"/>
    </w:pPr>
    <w:rPr>
      <w:b/>
      <w:bCs/>
      <w:kern w:val="0"/>
      <w:sz w:val="24"/>
      <w:szCs w:val="20"/>
    </w:rPr>
  </w:style>
  <w:style w:type="paragraph" w:styleId="41">
    <w:name w:val="Body Text First Indent"/>
    <w:basedOn w:val="18"/>
    <w:link w:val="79"/>
    <w:qFormat/>
    <w:uiPriority w:val="99"/>
    <w:pPr>
      <w:spacing w:after="120" w:line="240" w:lineRule="auto"/>
      <w:ind w:firstLine="420" w:firstLineChars="100"/>
    </w:pPr>
    <w:rPr>
      <w:rFonts w:eastAsia="宋体"/>
      <w:sz w:val="21"/>
    </w:rPr>
  </w:style>
  <w:style w:type="paragraph" w:styleId="42">
    <w:name w:val="Body Text First Indent 2"/>
    <w:basedOn w:val="19"/>
    <w:link w:val="81"/>
    <w:qFormat/>
    <w:uiPriority w:val="0"/>
    <w:pPr>
      <w:ind w:firstLine="420" w:firstLineChars="200"/>
    </w:pPr>
  </w:style>
  <w:style w:type="table" w:styleId="44">
    <w:name w:val="Table Grid"/>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99"/>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99"/>
    <w:rPr>
      <w:sz w:val="21"/>
      <w:szCs w:val="21"/>
    </w:rPr>
  </w:style>
  <w:style w:type="character" w:customStyle="1" w:styleId="52">
    <w:name w:val="标题 1 Char"/>
    <w:link w:val="2"/>
    <w:qFormat/>
    <w:uiPriority w:val="99"/>
    <w:rPr>
      <w:rFonts w:eastAsia="仿宋_GB2312"/>
      <w:b/>
      <w:kern w:val="44"/>
      <w:sz w:val="44"/>
      <w:lang w:val="en-US" w:eastAsia="zh-CN" w:bidi="ar-SA"/>
    </w:rPr>
  </w:style>
  <w:style w:type="character" w:customStyle="1" w:styleId="53">
    <w:name w:val="正文缩进 Char"/>
    <w:link w:val="4"/>
    <w:qFormat/>
    <w:uiPriority w:val="99"/>
    <w:rPr>
      <w:rFonts w:eastAsia="宋体"/>
      <w:kern w:val="2"/>
      <w:sz w:val="21"/>
      <w:szCs w:val="24"/>
      <w:lang w:val="en-US" w:eastAsia="zh-CN" w:bidi="ar-SA"/>
    </w:rPr>
  </w:style>
  <w:style w:type="character" w:customStyle="1" w:styleId="54">
    <w:name w:val="标题 2 Char"/>
    <w:link w:val="3"/>
    <w:qFormat/>
    <w:uiPriority w:val="99"/>
    <w:rPr>
      <w:rFonts w:ascii="Arial" w:hAnsi="Arial" w:eastAsia="黑体"/>
      <w:b/>
      <w:kern w:val="2"/>
      <w:sz w:val="32"/>
      <w:lang w:val="en-US" w:eastAsia="zh-CN" w:bidi="ar-SA"/>
    </w:rPr>
  </w:style>
  <w:style w:type="character" w:customStyle="1" w:styleId="55">
    <w:name w:val="标题 3 Char"/>
    <w:link w:val="5"/>
    <w:qFormat/>
    <w:uiPriority w:val="99"/>
    <w:rPr>
      <w:rFonts w:eastAsia="仿宋_GB2312"/>
      <w:b/>
      <w:kern w:val="2"/>
      <w:sz w:val="32"/>
      <w:lang w:val="en-US" w:eastAsia="zh-CN" w:bidi="ar-SA"/>
    </w:rPr>
  </w:style>
  <w:style w:type="character" w:customStyle="1" w:styleId="56">
    <w:name w:val="标题 4 Char1"/>
    <w:link w:val="6"/>
    <w:qFormat/>
    <w:uiPriority w:val="0"/>
    <w:rPr>
      <w:rFonts w:ascii="Arial" w:hAnsi="Arial" w:eastAsia="黑体"/>
      <w:b/>
      <w:kern w:val="2"/>
      <w:sz w:val="28"/>
      <w:lang w:val="en-US" w:eastAsia="zh-CN" w:bidi="ar-SA"/>
    </w:rPr>
  </w:style>
  <w:style w:type="character" w:customStyle="1" w:styleId="57">
    <w:name w:val="标题 5 Char1"/>
    <w:link w:val="7"/>
    <w:qFormat/>
    <w:uiPriority w:val="0"/>
    <w:rPr>
      <w:rFonts w:eastAsia="宋体"/>
      <w:sz w:val="24"/>
      <w:lang w:val="en-US" w:eastAsia="zh-CN" w:bidi="ar-SA"/>
    </w:rPr>
  </w:style>
  <w:style w:type="character" w:customStyle="1" w:styleId="58">
    <w:name w:val="标题 6 Char1"/>
    <w:link w:val="8"/>
    <w:qFormat/>
    <w:uiPriority w:val="0"/>
    <w:rPr>
      <w:rFonts w:ascii="宋体" w:hAnsi="Arial" w:eastAsia="宋体"/>
      <w:sz w:val="24"/>
      <w:lang w:val="en-US" w:eastAsia="zh-CN" w:bidi="ar-SA"/>
    </w:rPr>
  </w:style>
  <w:style w:type="character" w:customStyle="1" w:styleId="59">
    <w:name w:val="标题 7 Char1"/>
    <w:link w:val="9"/>
    <w:qFormat/>
    <w:uiPriority w:val="0"/>
    <w:rPr>
      <w:rFonts w:ascii="宋体" w:hAnsi="Arial" w:eastAsia="宋体"/>
      <w:b/>
      <w:sz w:val="24"/>
      <w:lang w:val="en-US" w:eastAsia="zh-CN" w:bidi="ar-SA"/>
    </w:rPr>
  </w:style>
  <w:style w:type="character" w:customStyle="1" w:styleId="60">
    <w:name w:val="标题 8 Char1"/>
    <w:link w:val="10"/>
    <w:qFormat/>
    <w:uiPriority w:val="0"/>
    <w:rPr>
      <w:rFonts w:ascii="Arial" w:hAnsi="Arial" w:eastAsia="黑体"/>
      <w:sz w:val="24"/>
      <w:lang w:val="en-US" w:eastAsia="zh-CN" w:bidi="ar-SA"/>
    </w:rPr>
  </w:style>
  <w:style w:type="character" w:customStyle="1" w:styleId="61">
    <w:name w:val="标题 9 Char1"/>
    <w:link w:val="11"/>
    <w:qFormat/>
    <w:uiPriority w:val="0"/>
    <w:rPr>
      <w:rFonts w:ascii="Arial" w:hAnsi="Arial" w:eastAsia="黑体"/>
      <w:sz w:val="24"/>
      <w:lang w:val="en-US" w:eastAsia="zh-CN" w:bidi="ar-SA"/>
    </w:rPr>
  </w:style>
  <w:style w:type="character" w:customStyle="1" w:styleId="62">
    <w:name w:val="文档结构图 Char"/>
    <w:link w:val="15"/>
    <w:semiHidden/>
    <w:qFormat/>
    <w:uiPriority w:val="99"/>
    <w:rPr>
      <w:rFonts w:eastAsia="宋体"/>
      <w:kern w:val="2"/>
      <w:sz w:val="21"/>
      <w:szCs w:val="24"/>
      <w:lang w:val="en-US" w:eastAsia="zh-CN" w:bidi="ar-SA"/>
    </w:rPr>
  </w:style>
  <w:style w:type="character" w:customStyle="1" w:styleId="63">
    <w:name w:val="批注文字 Char1"/>
    <w:link w:val="16"/>
    <w:qFormat/>
    <w:uiPriority w:val="0"/>
    <w:rPr>
      <w:rFonts w:eastAsia="宋体"/>
      <w:kern w:val="2"/>
      <w:sz w:val="21"/>
      <w:szCs w:val="24"/>
      <w:lang w:val="en-US" w:eastAsia="zh-CN" w:bidi="ar-SA"/>
    </w:rPr>
  </w:style>
  <w:style w:type="character" w:customStyle="1" w:styleId="64">
    <w:name w:val="正文文本 3 Char"/>
    <w:basedOn w:val="45"/>
    <w:link w:val="17"/>
    <w:qFormat/>
    <w:uiPriority w:val="0"/>
    <w:rPr>
      <w:rFonts w:eastAsia="仿宋_GB2312"/>
      <w:b/>
      <w:bCs/>
      <w:kern w:val="2"/>
      <w:sz w:val="24"/>
    </w:rPr>
  </w:style>
  <w:style w:type="character" w:customStyle="1" w:styleId="65">
    <w:name w:val="正文文本 Char1"/>
    <w:link w:val="18"/>
    <w:qFormat/>
    <w:locked/>
    <w:uiPriority w:val="0"/>
    <w:rPr>
      <w:rFonts w:eastAsia="仿宋_GB2312"/>
      <w:kern w:val="2"/>
      <w:sz w:val="28"/>
      <w:szCs w:val="24"/>
      <w:lang w:val="en-US" w:eastAsia="zh-CN" w:bidi="ar-SA"/>
    </w:rPr>
  </w:style>
  <w:style w:type="character" w:customStyle="1" w:styleId="66">
    <w:name w:val="正文文本缩进 Char"/>
    <w:link w:val="19"/>
    <w:qFormat/>
    <w:uiPriority w:val="99"/>
    <w:rPr>
      <w:rFonts w:eastAsia="宋体"/>
      <w:kern w:val="2"/>
      <w:sz w:val="21"/>
      <w:szCs w:val="24"/>
      <w:lang w:val="en-US" w:eastAsia="zh-CN" w:bidi="ar-SA"/>
    </w:rPr>
  </w:style>
  <w:style w:type="character" w:customStyle="1" w:styleId="67">
    <w:name w:val="纯文本 Char"/>
    <w:link w:val="23"/>
    <w:qFormat/>
    <w:uiPriority w:val="99"/>
    <w:rPr>
      <w:rFonts w:ascii="宋体" w:hAnsi="Courier New" w:eastAsia="宋体"/>
      <w:kern w:val="2"/>
      <w:sz w:val="21"/>
      <w:lang w:val="en-US" w:eastAsia="zh-CN" w:bidi="ar-SA"/>
    </w:rPr>
  </w:style>
  <w:style w:type="character" w:customStyle="1" w:styleId="68">
    <w:name w:val="日期 Char2"/>
    <w:link w:val="24"/>
    <w:qFormat/>
    <w:uiPriority w:val="99"/>
    <w:rPr>
      <w:rFonts w:ascii="楷体_GB2312" w:eastAsia="楷体_GB2312"/>
      <w:b/>
      <w:kern w:val="2"/>
      <w:sz w:val="28"/>
      <w:lang w:val="en-US" w:eastAsia="zh-CN" w:bidi="ar-SA"/>
    </w:rPr>
  </w:style>
  <w:style w:type="character" w:customStyle="1" w:styleId="69">
    <w:name w:val="正文文本缩进 2 Char1"/>
    <w:link w:val="25"/>
    <w:qFormat/>
    <w:locked/>
    <w:uiPriority w:val="0"/>
    <w:rPr>
      <w:rFonts w:eastAsia="宋体"/>
      <w:kern w:val="2"/>
      <w:sz w:val="21"/>
      <w:szCs w:val="24"/>
      <w:lang w:val="en-US" w:eastAsia="zh-CN" w:bidi="ar-SA"/>
    </w:rPr>
  </w:style>
  <w:style w:type="character" w:customStyle="1" w:styleId="70">
    <w:name w:val="批注框文本 Char"/>
    <w:basedOn w:val="45"/>
    <w:link w:val="26"/>
    <w:semiHidden/>
    <w:qFormat/>
    <w:uiPriority w:val="99"/>
    <w:rPr>
      <w:kern w:val="2"/>
      <w:sz w:val="18"/>
      <w:szCs w:val="18"/>
    </w:rPr>
  </w:style>
  <w:style w:type="character" w:customStyle="1" w:styleId="71">
    <w:name w:val="页脚 Char"/>
    <w:link w:val="27"/>
    <w:qFormat/>
    <w:locked/>
    <w:uiPriority w:val="99"/>
    <w:rPr>
      <w:rFonts w:eastAsia="宋体"/>
      <w:kern w:val="2"/>
      <w:sz w:val="18"/>
      <w:szCs w:val="18"/>
      <w:lang w:val="en-US" w:eastAsia="zh-CN" w:bidi="ar-SA"/>
    </w:rPr>
  </w:style>
  <w:style w:type="character" w:customStyle="1" w:styleId="72">
    <w:name w:val="页眉 Char1"/>
    <w:link w:val="28"/>
    <w:qFormat/>
    <w:uiPriority w:val="0"/>
    <w:rPr>
      <w:rFonts w:eastAsia="宋体"/>
      <w:kern w:val="2"/>
      <w:sz w:val="18"/>
      <w:szCs w:val="18"/>
      <w:lang w:val="en-US" w:eastAsia="zh-CN" w:bidi="ar-SA"/>
    </w:rPr>
  </w:style>
  <w:style w:type="character" w:customStyle="1" w:styleId="73">
    <w:name w:val="正文文本缩进 3 Char"/>
    <w:basedOn w:val="45"/>
    <w:link w:val="32"/>
    <w:qFormat/>
    <w:uiPriority w:val="0"/>
    <w:rPr>
      <w:kern w:val="2"/>
      <w:sz w:val="16"/>
      <w:szCs w:val="16"/>
    </w:rPr>
  </w:style>
  <w:style w:type="character" w:customStyle="1" w:styleId="74">
    <w:name w:val="正文文本 2 Char1"/>
    <w:link w:val="34"/>
    <w:qFormat/>
    <w:uiPriority w:val="0"/>
    <w:rPr>
      <w:rFonts w:ascii="隶书" w:eastAsia="隶书"/>
      <w:bCs/>
      <w:sz w:val="72"/>
      <w:szCs w:val="84"/>
      <w:lang w:val="en-US" w:eastAsia="zh-CN" w:bidi="ar-SA"/>
    </w:rPr>
  </w:style>
  <w:style w:type="character" w:customStyle="1" w:styleId="75">
    <w:name w:val="HTML 预设格式 Char"/>
    <w:basedOn w:val="45"/>
    <w:link w:val="36"/>
    <w:qFormat/>
    <w:uiPriority w:val="0"/>
    <w:rPr>
      <w:rFonts w:ascii="黑体" w:hAnsi="Courier New" w:eastAsia="黑体" w:cs="Courier New"/>
    </w:rPr>
  </w:style>
  <w:style w:type="character" w:customStyle="1" w:styleId="76">
    <w:name w:val="标题 Char"/>
    <w:link w:val="39"/>
    <w:qFormat/>
    <w:locked/>
    <w:uiPriority w:val="99"/>
    <w:rPr>
      <w:rFonts w:ascii="Calibri Light" w:hAnsi="Calibri Light" w:eastAsia="宋体"/>
      <w:b/>
      <w:bCs/>
      <w:kern w:val="2"/>
      <w:sz w:val="32"/>
      <w:szCs w:val="32"/>
      <w:lang w:val="en-US" w:eastAsia="zh-CN" w:bidi="ar-SA"/>
    </w:rPr>
  </w:style>
  <w:style w:type="character" w:customStyle="1" w:styleId="77">
    <w:name w:val="批注主题 Char"/>
    <w:basedOn w:val="78"/>
    <w:link w:val="40"/>
    <w:semiHidden/>
    <w:qFormat/>
    <w:uiPriority w:val="99"/>
    <w:rPr>
      <w:rFonts w:eastAsia="宋体"/>
      <w:b/>
      <w:bCs/>
      <w:kern w:val="2"/>
      <w:sz w:val="24"/>
      <w:szCs w:val="24"/>
      <w:lang w:val="en-US" w:eastAsia="zh-CN" w:bidi="ar-SA"/>
    </w:rPr>
  </w:style>
  <w:style w:type="character" w:customStyle="1" w:styleId="78">
    <w:name w:val="批注文字 Char"/>
    <w:qFormat/>
    <w:uiPriority w:val="99"/>
    <w:rPr>
      <w:rFonts w:eastAsia="宋体"/>
      <w:kern w:val="2"/>
      <w:sz w:val="21"/>
      <w:szCs w:val="24"/>
      <w:lang w:val="en-US" w:eastAsia="zh-CN" w:bidi="ar-SA"/>
    </w:rPr>
  </w:style>
  <w:style w:type="character" w:customStyle="1" w:styleId="79">
    <w:name w:val="正文首行缩进 Char"/>
    <w:basedOn w:val="80"/>
    <w:link w:val="41"/>
    <w:qFormat/>
    <w:uiPriority w:val="0"/>
    <w:rPr>
      <w:rFonts w:eastAsia="仿宋_GB2312"/>
      <w:kern w:val="2"/>
      <w:sz w:val="21"/>
      <w:szCs w:val="24"/>
      <w:lang w:val="en-US" w:eastAsia="zh-CN" w:bidi="ar-SA"/>
    </w:rPr>
  </w:style>
  <w:style w:type="character" w:customStyle="1" w:styleId="80">
    <w:name w:val="正文文本 Char"/>
    <w:qFormat/>
    <w:locked/>
    <w:uiPriority w:val="99"/>
    <w:rPr>
      <w:rFonts w:eastAsia="仿宋_GB2312"/>
      <w:kern w:val="2"/>
      <w:sz w:val="28"/>
      <w:szCs w:val="24"/>
      <w:lang w:val="en-US" w:eastAsia="zh-CN" w:bidi="ar-SA"/>
    </w:rPr>
  </w:style>
  <w:style w:type="character" w:customStyle="1" w:styleId="81">
    <w:name w:val="正文首行缩进 2 Char"/>
    <w:basedOn w:val="66"/>
    <w:link w:val="42"/>
    <w:qFormat/>
    <w:uiPriority w:val="0"/>
    <w:rPr>
      <w:rFonts w:eastAsia="宋体"/>
      <w:kern w:val="2"/>
      <w:sz w:val="21"/>
      <w:szCs w:val="24"/>
      <w:lang w:val="en-US" w:eastAsia="zh-CN" w:bidi="ar-SA"/>
    </w:rPr>
  </w:style>
  <w:style w:type="paragraph" w:customStyle="1" w:styleId="82">
    <w:name w:val="正文首行缩进 21"/>
    <w:basedOn w:val="83"/>
    <w:qFormat/>
    <w:uiPriority w:val="0"/>
    <w:pPr>
      <w:ind w:firstLine="420"/>
    </w:pPr>
    <w:rPr>
      <w:kern w:val="2"/>
      <w:sz w:val="21"/>
    </w:rPr>
  </w:style>
  <w:style w:type="paragraph" w:customStyle="1" w:styleId="83">
    <w:name w:val="正文文本缩进1"/>
    <w:basedOn w:val="1"/>
    <w:next w:val="1"/>
    <w:qFormat/>
    <w:uiPriority w:val="0"/>
    <w:pPr>
      <w:ind w:left="420" w:leftChars="200"/>
    </w:pPr>
    <w:rPr>
      <w:kern w:val="0"/>
      <w:sz w:val="24"/>
    </w:rPr>
  </w:style>
  <w:style w:type="paragraph" w:customStyle="1" w:styleId="84">
    <w:name w:val="_Style 15"/>
    <w:basedOn w:val="1"/>
    <w:qFormat/>
    <w:uiPriority w:val="0"/>
    <w:rPr>
      <w:rFonts w:ascii="Tahoma" w:hAnsi="Tahoma"/>
      <w:sz w:val="24"/>
      <w:szCs w:val="20"/>
    </w:rPr>
  </w:style>
  <w:style w:type="paragraph" w:customStyle="1" w:styleId="85">
    <w:name w:val="表正文"/>
    <w:basedOn w:val="1"/>
    <w:next w:val="23"/>
    <w:qFormat/>
    <w:uiPriority w:val="99"/>
    <w:rPr>
      <w:rFonts w:ascii="宋体" w:hAnsi="Courier New"/>
      <w:szCs w:val="20"/>
    </w:rPr>
  </w:style>
  <w:style w:type="paragraph" w:customStyle="1" w:styleId="86">
    <w:name w:val="正文段"/>
    <w:basedOn w:val="1"/>
    <w:link w:val="87"/>
    <w:qFormat/>
    <w:uiPriority w:val="99"/>
    <w:pPr>
      <w:widowControl/>
      <w:snapToGrid w:val="0"/>
      <w:spacing w:afterLines="50"/>
      <w:ind w:firstLine="200" w:firstLineChars="200"/>
    </w:pPr>
    <w:rPr>
      <w:kern w:val="0"/>
      <w:sz w:val="24"/>
      <w:szCs w:val="20"/>
    </w:rPr>
  </w:style>
  <w:style w:type="character" w:customStyle="1" w:styleId="87">
    <w:name w:val="正文段 Char"/>
    <w:link w:val="86"/>
    <w:qFormat/>
    <w:uiPriority w:val="99"/>
    <w:rPr>
      <w:rFonts w:eastAsia="宋体"/>
      <w:sz w:val="24"/>
      <w:lang w:val="en-US" w:eastAsia="zh-CN" w:bidi="ar-SA"/>
    </w:rPr>
  </w:style>
  <w:style w:type="paragraph" w:customStyle="1" w:styleId="88">
    <w:name w:val="Char"/>
    <w:basedOn w:val="1"/>
    <w:qFormat/>
    <w:uiPriority w:val="0"/>
    <w:rPr>
      <w:rFonts w:ascii="仿宋_GB2312" w:eastAsia="仿宋_GB2312"/>
      <w:b/>
      <w:sz w:val="32"/>
      <w:szCs w:val="32"/>
    </w:rPr>
  </w:style>
  <w:style w:type="paragraph" w:customStyle="1" w:styleId="89">
    <w:name w:val="Table Text"/>
    <w:link w:val="90"/>
    <w:qFormat/>
    <w:uiPriority w:val="0"/>
    <w:pPr>
      <w:snapToGrid w:val="0"/>
      <w:spacing w:before="80" w:after="80"/>
    </w:pPr>
    <w:rPr>
      <w:rFonts w:ascii="Arial" w:hAnsi="Arial" w:eastAsia="宋体" w:cs="Times New Roman"/>
      <w:sz w:val="18"/>
      <w:lang w:val="en-US" w:eastAsia="zh-CN" w:bidi="ar-SA"/>
    </w:rPr>
  </w:style>
  <w:style w:type="character" w:customStyle="1" w:styleId="90">
    <w:name w:val="Table Text Char1"/>
    <w:link w:val="89"/>
    <w:qFormat/>
    <w:uiPriority w:val="0"/>
    <w:rPr>
      <w:rFonts w:ascii="Arial" w:hAnsi="Arial"/>
      <w:sz w:val="18"/>
      <w:lang w:val="en-US" w:eastAsia="zh-CN" w:bidi="ar-SA"/>
    </w:rPr>
  </w:style>
  <w:style w:type="character" w:customStyle="1" w:styleId="91">
    <w:name w:val="正文（缩进2汉字） Char"/>
    <w:link w:val="92"/>
    <w:qFormat/>
    <w:uiPriority w:val="0"/>
    <w:rPr>
      <w:rFonts w:ascii="宋体"/>
      <w:kern w:val="2"/>
      <w:sz w:val="21"/>
      <w:lang w:bidi="ar-SA"/>
    </w:rPr>
  </w:style>
  <w:style w:type="paragraph" w:customStyle="1" w:styleId="92">
    <w:name w:val="正文（缩进2汉字）"/>
    <w:basedOn w:val="1"/>
    <w:link w:val="91"/>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93">
    <w:name w:val="Char111"/>
    <w:basedOn w:val="1"/>
    <w:qFormat/>
    <w:uiPriority w:val="0"/>
    <w:pPr>
      <w:tabs>
        <w:tab w:val="left" w:pos="432"/>
      </w:tabs>
      <w:spacing w:beforeLines="50" w:afterLines="50"/>
      <w:ind w:left="432" w:hanging="432"/>
      <w:jc w:val="center"/>
    </w:pPr>
    <w:rPr>
      <w:sz w:val="24"/>
    </w:rPr>
  </w:style>
  <w:style w:type="paragraph" w:customStyle="1" w:styleId="94">
    <w:name w:val="模板普通正文"/>
    <w:basedOn w:val="19"/>
    <w:qFormat/>
    <w:uiPriority w:val="0"/>
    <w:pPr>
      <w:spacing w:beforeLines="50" w:after="10" w:line="360" w:lineRule="auto"/>
      <w:ind w:left="0" w:leftChars="0" w:firstLine="175" w:firstLineChars="175"/>
      <w:jc w:val="left"/>
    </w:pPr>
    <w:rPr>
      <w:sz w:val="24"/>
    </w:rPr>
  </w:style>
  <w:style w:type="paragraph" w:customStyle="1" w:styleId="95">
    <w:name w:val="缺省文本"/>
    <w:basedOn w:val="1"/>
    <w:qFormat/>
    <w:uiPriority w:val="0"/>
    <w:pPr>
      <w:autoSpaceDE w:val="0"/>
      <w:autoSpaceDN w:val="0"/>
      <w:adjustRightInd w:val="0"/>
      <w:jc w:val="left"/>
    </w:pPr>
    <w:rPr>
      <w:kern w:val="0"/>
      <w:sz w:val="24"/>
    </w:rPr>
  </w:style>
  <w:style w:type="paragraph" w:customStyle="1" w:styleId="96">
    <w:name w:val="WW-正文文字缩进 2"/>
    <w:basedOn w:val="1"/>
    <w:qFormat/>
    <w:uiPriority w:val="0"/>
    <w:pPr>
      <w:suppressAutoHyphens/>
      <w:ind w:firstLine="420"/>
    </w:pPr>
    <w:rPr>
      <w:kern w:val="1"/>
      <w:szCs w:val="20"/>
    </w:rPr>
  </w:style>
  <w:style w:type="paragraph" w:customStyle="1" w:styleId="97">
    <w:name w:val="默认段落字体 Para Char Char Char Char Char Char Char Char Char1 Char Char Char Char"/>
    <w:basedOn w:val="1"/>
    <w:qFormat/>
    <w:uiPriority w:val="0"/>
    <w:rPr>
      <w:rFonts w:ascii="Tahoma" w:hAnsi="Tahoma"/>
      <w:sz w:val="24"/>
      <w:szCs w:val="20"/>
    </w:rPr>
  </w:style>
  <w:style w:type="paragraph" w:customStyle="1" w:styleId="98">
    <w:name w:val="项目排列"/>
    <w:basedOn w:val="1"/>
    <w:link w:val="99"/>
    <w:qFormat/>
    <w:uiPriority w:val="0"/>
    <w:pPr>
      <w:tabs>
        <w:tab w:val="left" w:pos="900"/>
      </w:tabs>
      <w:spacing w:beforeLines="50" w:afterLines="50" w:line="300" w:lineRule="auto"/>
      <w:ind w:left="900" w:hanging="420"/>
    </w:pPr>
    <w:rPr>
      <w:sz w:val="24"/>
    </w:rPr>
  </w:style>
  <w:style w:type="character" w:customStyle="1" w:styleId="99">
    <w:name w:val="项目排列 Char"/>
    <w:link w:val="98"/>
    <w:qFormat/>
    <w:uiPriority w:val="0"/>
    <w:rPr>
      <w:kern w:val="2"/>
      <w:sz w:val="24"/>
      <w:szCs w:val="24"/>
    </w:rPr>
  </w:style>
  <w:style w:type="character" w:customStyle="1" w:styleId="100">
    <w:name w:val="style21"/>
    <w:qFormat/>
    <w:uiPriority w:val="0"/>
    <w:rPr>
      <w:sz w:val="15"/>
      <w:szCs w:val="15"/>
    </w:rPr>
  </w:style>
  <w:style w:type="paragraph" w:customStyle="1" w:styleId="10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02">
    <w:name w:val="List Paragraph"/>
    <w:basedOn w:val="1"/>
    <w:qFormat/>
    <w:uiPriority w:val="34"/>
    <w:pPr>
      <w:widowControl/>
      <w:spacing w:after="200" w:line="276" w:lineRule="auto"/>
      <w:ind w:left="720"/>
      <w:contextualSpacing/>
      <w:jc w:val="left"/>
    </w:pPr>
    <w:rPr>
      <w:rFonts w:ascii="Calibri" w:hAnsi="Calibri"/>
      <w:kern w:val="0"/>
      <w:sz w:val="22"/>
      <w:szCs w:val="22"/>
    </w:rPr>
  </w:style>
  <w:style w:type="paragraph" w:customStyle="1" w:styleId="103">
    <w:name w:val="Char1"/>
    <w:basedOn w:val="1"/>
    <w:qFormat/>
    <w:uiPriority w:val="0"/>
    <w:rPr>
      <w:szCs w:val="20"/>
    </w:rPr>
  </w:style>
  <w:style w:type="paragraph" w:customStyle="1" w:styleId="104">
    <w:name w:val="列出段落1"/>
    <w:basedOn w:val="1"/>
    <w:qFormat/>
    <w:uiPriority w:val="99"/>
    <w:pPr>
      <w:ind w:firstLine="420" w:firstLineChars="200"/>
    </w:pPr>
    <w:rPr>
      <w:rFonts w:ascii="Calibri" w:hAnsi="Calibri"/>
      <w:szCs w:val="22"/>
    </w:rPr>
  </w:style>
  <w:style w:type="paragraph" w:customStyle="1" w:styleId="105">
    <w:name w:val="默认段落字体 Para Char Char Char Char"/>
    <w:basedOn w:val="1"/>
    <w:qFormat/>
    <w:uiPriority w:val="0"/>
  </w:style>
  <w:style w:type="paragraph" w:customStyle="1" w:styleId="106">
    <w:name w:val="Char Char Char1 Char Char Char1 Char Char Char Char"/>
    <w:basedOn w:val="1"/>
    <w:qFormat/>
    <w:uiPriority w:val="0"/>
  </w:style>
  <w:style w:type="character" w:customStyle="1" w:styleId="107">
    <w:name w:val="font1"/>
    <w:qFormat/>
    <w:uiPriority w:val="0"/>
    <w:rPr>
      <w:color w:val="999999"/>
      <w:sz w:val="18"/>
      <w:szCs w:val="18"/>
      <w:u w:val="none"/>
    </w:rPr>
  </w:style>
  <w:style w:type="paragraph" w:customStyle="1" w:styleId="10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09">
    <w:name w:val="Char Char Char Char Char Char Char Char Char Char"/>
    <w:basedOn w:val="1"/>
    <w:qFormat/>
    <w:uiPriority w:val="0"/>
    <w:rPr>
      <w:rFonts w:ascii="Tahoma" w:hAnsi="Tahoma"/>
      <w:sz w:val="24"/>
      <w:szCs w:val="20"/>
    </w:rPr>
  </w:style>
  <w:style w:type="character" w:customStyle="1" w:styleId="110">
    <w:name w:val="apple-style-span"/>
    <w:basedOn w:val="45"/>
    <w:qFormat/>
    <w:uiPriority w:val="0"/>
  </w:style>
  <w:style w:type="paragraph" w:customStyle="1" w:styleId="111">
    <w:name w:val="正文无缩进"/>
    <w:basedOn w:val="1"/>
    <w:link w:val="112"/>
    <w:qFormat/>
    <w:uiPriority w:val="0"/>
    <w:pPr>
      <w:spacing w:line="360" w:lineRule="auto"/>
    </w:pPr>
    <w:rPr>
      <w:rFonts w:ascii="宋体"/>
      <w:color w:val="000000"/>
      <w:sz w:val="24"/>
    </w:rPr>
  </w:style>
  <w:style w:type="character" w:customStyle="1" w:styleId="112">
    <w:name w:val="正文无缩进 Char"/>
    <w:link w:val="111"/>
    <w:qFormat/>
    <w:uiPriority w:val="0"/>
    <w:rPr>
      <w:rFonts w:ascii="宋体" w:eastAsia="宋体"/>
      <w:color w:val="000000"/>
      <w:kern w:val="2"/>
      <w:sz w:val="24"/>
      <w:szCs w:val="24"/>
      <w:lang w:val="en-US" w:eastAsia="zh-CN" w:bidi="ar-SA"/>
    </w:rPr>
  </w:style>
  <w:style w:type="paragraph" w:customStyle="1" w:styleId="11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14">
    <w:name w:val="ca-3"/>
    <w:basedOn w:val="45"/>
    <w:qFormat/>
    <w:uiPriority w:val="0"/>
  </w:style>
  <w:style w:type="paragraph" w:customStyle="1" w:styleId="115">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16">
    <w:name w:val="表格 Char Char"/>
    <w:link w:val="117"/>
    <w:qFormat/>
    <w:locked/>
    <w:uiPriority w:val="0"/>
    <w:rPr>
      <w:rFonts w:ascii="宋体" w:hAnsi="宋体" w:eastAsia="宋体"/>
      <w:lang w:val="en-US" w:eastAsia="zh-CN" w:bidi="ar-SA"/>
    </w:rPr>
  </w:style>
  <w:style w:type="paragraph" w:customStyle="1" w:styleId="117">
    <w:name w:val="表格"/>
    <w:basedOn w:val="1"/>
    <w:link w:val="116"/>
    <w:qFormat/>
    <w:uiPriority w:val="0"/>
    <w:pPr>
      <w:snapToGrid w:val="0"/>
      <w:ind w:firstLine="42" w:firstLineChars="21"/>
    </w:pPr>
    <w:rPr>
      <w:rFonts w:ascii="宋体" w:hAnsi="宋体"/>
      <w:kern w:val="0"/>
      <w:sz w:val="20"/>
      <w:szCs w:val="20"/>
    </w:rPr>
  </w:style>
  <w:style w:type="paragraph" w:customStyle="1" w:styleId="118">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19">
    <w:name w:val="Char Char1 Char Char Char Char Char Char"/>
    <w:basedOn w:val="1"/>
    <w:qFormat/>
    <w:uiPriority w:val="0"/>
    <w:pPr>
      <w:widowControl/>
      <w:spacing w:after="160" w:line="240" w:lineRule="exact"/>
      <w:jc w:val="left"/>
    </w:pPr>
  </w:style>
  <w:style w:type="character" w:customStyle="1" w:styleId="120">
    <w:name w:val="Char Char"/>
    <w:qFormat/>
    <w:uiPriority w:val="0"/>
    <w:rPr>
      <w:rFonts w:hint="eastAsia" w:ascii="宋体" w:hAnsi="Courier New" w:eastAsia="宋体"/>
      <w:kern w:val="2"/>
      <w:sz w:val="21"/>
      <w:lang w:val="en-US" w:eastAsia="zh-CN" w:bidi="ar-SA"/>
    </w:rPr>
  </w:style>
  <w:style w:type="character" w:customStyle="1" w:styleId="121">
    <w:name w:val="style51"/>
    <w:qFormat/>
    <w:uiPriority w:val="0"/>
    <w:rPr>
      <w:sz w:val="21"/>
      <w:szCs w:val="21"/>
    </w:rPr>
  </w:style>
  <w:style w:type="paragraph" w:customStyle="1" w:styleId="122">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23">
    <w:name w:val="标准文本"/>
    <w:basedOn w:val="1"/>
    <w:link w:val="124"/>
    <w:qFormat/>
    <w:uiPriority w:val="0"/>
    <w:pPr>
      <w:spacing w:line="360" w:lineRule="auto"/>
      <w:ind w:firstLine="480" w:firstLineChars="200"/>
    </w:pPr>
    <w:rPr>
      <w:rFonts w:cs="宋体"/>
      <w:sz w:val="24"/>
      <w:szCs w:val="20"/>
    </w:rPr>
  </w:style>
  <w:style w:type="character" w:customStyle="1" w:styleId="124">
    <w:name w:val="标准文本 Char"/>
    <w:link w:val="123"/>
    <w:qFormat/>
    <w:uiPriority w:val="0"/>
    <w:rPr>
      <w:rFonts w:eastAsia="宋体" w:cs="宋体"/>
      <w:kern w:val="2"/>
      <w:sz w:val="24"/>
      <w:lang w:val="en-US" w:eastAsia="zh-CN" w:bidi="ar-SA"/>
    </w:rPr>
  </w:style>
  <w:style w:type="paragraph" w:customStyle="1" w:styleId="12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26">
    <w:name w:val="自定义正文"/>
    <w:basedOn w:val="1"/>
    <w:link w:val="127"/>
    <w:qFormat/>
    <w:uiPriority w:val="0"/>
    <w:pPr>
      <w:spacing w:line="480" w:lineRule="exact"/>
      <w:ind w:firstLine="200" w:firstLineChars="200"/>
      <w:jc w:val="left"/>
    </w:pPr>
    <w:rPr>
      <w:rFonts w:ascii="仿宋_GB2312" w:eastAsia="仿宋_GB2312"/>
      <w:sz w:val="28"/>
    </w:rPr>
  </w:style>
  <w:style w:type="character" w:customStyle="1" w:styleId="127">
    <w:name w:val="自定义正文 Char"/>
    <w:link w:val="126"/>
    <w:qFormat/>
    <w:uiPriority w:val="0"/>
    <w:rPr>
      <w:rFonts w:ascii="仿宋_GB2312" w:eastAsia="仿宋_GB2312"/>
      <w:kern w:val="2"/>
      <w:sz w:val="28"/>
      <w:szCs w:val="24"/>
      <w:lang w:val="en-US" w:eastAsia="zh-CN" w:bidi="ar-SA"/>
    </w:rPr>
  </w:style>
  <w:style w:type="paragraph" w:customStyle="1" w:styleId="128">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29">
    <w:name w:val="自定义表格文字"/>
    <w:basedOn w:val="1"/>
    <w:qFormat/>
    <w:uiPriority w:val="0"/>
    <w:pPr>
      <w:spacing w:before="60" w:after="60" w:line="320" w:lineRule="exact"/>
      <w:jc w:val="left"/>
    </w:pPr>
    <w:rPr>
      <w:rFonts w:ascii="宋体" w:eastAsia="楷体_GB2312"/>
    </w:rPr>
  </w:style>
  <w:style w:type="paragraph" w:customStyle="1" w:styleId="130">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1">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2">
    <w:name w:val="Char Char12"/>
    <w:qFormat/>
    <w:uiPriority w:val="0"/>
    <w:rPr>
      <w:rFonts w:ascii="宋体" w:hAnsi="Courier New" w:eastAsia="宋体"/>
      <w:kern w:val="2"/>
      <w:sz w:val="21"/>
      <w:lang w:val="en-US" w:eastAsia="zh-CN" w:bidi="ar-SA"/>
    </w:rPr>
  </w:style>
  <w:style w:type="character" w:customStyle="1" w:styleId="133">
    <w:name w:val="H4 Char"/>
    <w:qFormat/>
    <w:uiPriority w:val="0"/>
    <w:rPr>
      <w:rFonts w:ascii="宋体" w:hAnsi="宋体" w:eastAsia="黑体"/>
      <w:b/>
      <w:bCs/>
      <w:color w:val="000000"/>
      <w:spacing w:val="-4"/>
      <w:kern w:val="2"/>
      <w:sz w:val="24"/>
      <w:szCs w:val="30"/>
      <w:lang w:val="en-US" w:eastAsia="zh-CN" w:bidi="ar-SA"/>
    </w:rPr>
  </w:style>
  <w:style w:type="character" w:customStyle="1" w:styleId="134">
    <w:name w:val="H5 Char"/>
    <w:qFormat/>
    <w:uiPriority w:val="0"/>
    <w:rPr>
      <w:rFonts w:ascii="Arial" w:hAnsi="Arial" w:eastAsia="宋体"/>
      <w:sz w:val="24"/>
      <w:lang w:val="en-US" w:eastAsia="zh-CN" w:bidi="ar-SA"/>
    </w:rPr>
  </w:style>
  <w:style w:type="character" w:customStyle="1" w:styleId="135">
    <w:name w:val="Char Char8"/>
    <w:qFormat/>
    <w:uiPriority w:val="0"/>
    <w:rPr>
      <w:rFonts w:ascii="宋体" w:eastAsia="宋体"/>
      <w:kern w:val="2"/>
      <w:sz w:val="28"/>
      <w:lang w:val="en-US" w:eastAsia="zh-CN" w:bidi="ar-SA"/>
    </w:rPr>
  </w:style>
  <w:style w:type="character" w:customStyle="1" w:styleId="136">
    <w:name w:val="Char Char7"/>
    <w:qFormat/>
    <w:uiPriority w:val="0"/>
    <w:rPr>
      <w:rFonts w:eastAsia="仿宋_GB2312"/>
      <w:kern w:val="2"/>
      <w:sz w:val="24"/>
      <w:szCs w:val="24"/>
      <w:lang w:val="en-US" w:eastAsia="zh-CN" w:bidi="ar-SA"/>
    </w:rPr>
  </w:style>
  <w:style w:type="paragraph" w:customStyle="1" w:styleId="137">
    <w:name w:val="表内文字"/>
    <w:basedOn w:val="1"/>
    <w:qFormat/>
    <w:uiPriority w:val="0"/>
    <w:pPr>
      <w:jc w:val="center"/>
    </w:pPr>
    <w:rPr>
      <w:color w:val="FF0000"/>
      <w:kern w:val="0"/>
      <w:sz w:val="24"/>
    </w:rPr>
  </w:style>
  <w:style w:type="character" w:customStyle="1" w:styleId="138">
    <w:name w:val="Char Char3"/>
    <w:qFormat/>
    <w:uiPriority w:val="0"/>
    <w:rPr>
      <w:rFonts w:eastAsia="仿宋_GB2312"/>
      <w:kern w:val="2"/>
      <w:sz w:val="28"/>
      <w:szCs w:val="24"/>
      <w:lang w:val="en-US" w:eastAsia="zh-CN" w:bidi="ar-SA"/>
    </w:rPr>
  </w:style>
  <w:style w:type="paragraph" w:customStyle="1" w:styleId="13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4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4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4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43">
    <w:name w:val="项目1"/>
    <w:basedOn w:val="1"/>
    <w:qFormat/>
    <w:uiPriority w:val="0"/>
    <w:pPr>
      <w:tabs>
        <w:tab w:val="left" w:pos="840"/>
      </w:tabs>
      <w:spacing w:after="60"/>
      <w:ind w:left="840" w:hanging="420"/>
    </w:pPr>
    <w:rPr>
      <w:rFonts w:ascii="宋体"/>
      <w:spacing w:val="4"/>
      <w:szCs w:val="20"/>
    </w:rPr>
  </w:style>
  <w:style w:type="paragraph" w:customStyle="1" w:styleId="144">
    <w:name w:val="编10号"/>
    <w:basedOn w:val="1"/>
    <w:qFormat/>
    <w:uiPriority w:val="0"/>
    <w:pPr>
      <w:tabs>
        <w:tab w:val="left" w:pos="1620"/>
      </w:tabs>
      <w:ind w:left="1620" w:hanging="360"/>
    </w:pPr>
  </w:style>
  <w:style w:type="paragraph" w:customStyle="1" w:styleId="145">
    <w:name w:val="段"/>
    <w:basedOn w:val="1"/>
    <w:qFormat/>
    <w:uiPriority w:val="0"/>
    <w:pPr>
      <w:ind w:firstLine="425"/>
    </w:pPr>
    <w:rPr>
      <w:rFonts w:ascii="宋体"/>
      <w:szCs w:val="20"/>
    </w:rPr>
  </w:style>
  <w:style w:type="paragraph" w:customStyle="1" w:styleId="146">
    <w:name w:val="Char Char Char Char"/>
    <w:basedOn w:val="1"/>
    <w:qFormat/>
    <w:uiPriority w:val="0"/>
    <w:pPr>
      <w:widowControl/>
      <w:spacing w:after="160" w:line="240" w:lineRule="exact"/>
      <w:jc w:val="left"/>
    </w:pPr>
    <w:rPr>
      <w:kern w:val="0"/>
      <w:sz w:val="24"/>
    </w:rPr>
  </w:style>
  <w:style w:type="paragraph" w:customStyle="1" w:styleId="14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bulletintext1"/>
    <w:qFormat/>
    <w:uiPriority w:val="0"/>
    <w:rPr>
      <w:rFonts w:hint="eastAsia" w:ascii="宋体" w:hAnsi="宋体" w:eastAsia="宋体"/>
      <w:sz w:val="18"/>
      <w:szCs w:val="18"/>
    </w:rPr>
  </w:style>
  <w:style w:type="paragraph" w:customStyle="1" w:styleId="149">
    <w:name w:val="Char1 Char Char Char Char Char Char"/>
    <w:basedOn w:val="1"/>
    <w:qFormat/>
    <w:uiPriority w:val="0"/>
    <w:rPr>
      <w:rFonts w:ascii="Tahoma" w:hAnsi="Tahoma"/>
      <w:sz w:val="24"/>
      <w:szCs w:val="20"/>
    </w:rPr>
  </w:style>
  <w:style w:type="paragraph" w:customStyle="1" w:styleId="150">
    <w:name w:val="Char Char2 Char Char Char Char"/>
    <w:basedOn w:val="15"/>
    <w:qFormat/>
    <w:uiPriority w:val="0"/>
    <w:rPr>
      <w:rFonts w:ascii="Tahoma" w:hAnsi="Tahoma"/>
      <w:sz w:val="24"/>
    </w:rPr>
  </w:style>
  <w:style w:type="paragraph" w:customStyle="1" w:styleId="151">
    <w:name w:val="Char Char Char"/>
    <w:basedOn w:val="15"/>
    <w:qFormat/>
    <w:uiPriority w:val="0"/>
    <w:rPr>
      <w:rFonts w:ascii="Tahoma" w:hAnsi="Tahoma"/>
      <w:sz w:val="24"/>
    </w:rPr>
  </w:style>
  <w:style w:type="paragraph" w:customStyle="1" w:styleId="152">
    <w:name w:val="正文缩进 New"/>
    <w:basedOn w:val="1"/>
    <w:qFormat/>
    <w:uiPriority w:val="0"/>
    <w:pPr>
      <w:ind w:firstLine="420" w:firstLineChars="200"/>
    </w:pPr>
    <w:rPr>
      <w:szCs w:val="20"/>
    </w:rPr>
  </w:style>
  <w:style w:type="paragraph" w:customStyle="1" w:styleId="15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54">
    <w:name w:val="tpc_content1"/>
    <w:qFormat/>
    <w:uiPriority w:val="0"/>
    <w:rPr>
      <w:sz w:val="20"/>
      <w:szCs w:val="20"/>
    </w:rPr>
  </w:style>
  <w:style w:type="character" w:customStyle="1" w:styleId="155">
    <w:name w:val="Char Char11"/>
    <w:qFormat/>
    <w:uiPriority w:val="0"/>
    <w:rPr>
      <w:b/>
      <w:kern w:val="44"/>
      <w:sz w:val="44"/>
    </w:rPr>
  </w:style>
  <w:style w:type="character" w:customStyle="1" w:styleId="156">
    <w:name w:val="Char Char10"/>
    <w:qFormat/>
    <w:uiPriority w:val="0"/>
    <w:rPr>
      <w:b/>
      <w:kern w:val="2"/>
      <w:sz w:val="28"/>
      <w:szCs w:val="28"/>
    </w:rPr>
  </w:style>
  <w:style w:type="character" w:customStyle="1" w:styleId="157">
    <w:name w:val="Char Char9"/>
    <w:qFormat/>
    <w:uiPriority w:val="0"/>
    <w:rPr>
      <w:b/>
      <w:kern w:val="2"/>
      <w:sz w:val="24"/>
      <w:szCs w:val="24"/>
    </w:rPr>
  </w:style>
  <w:style w:type="paragraph" w:customStyle="1" w:styleId="158">
    <w:name w:val="Char Char Char 字元 字元"/>
    <w:basedOn w:val="1"/>
    <w:qFormat/>
    <w:uiPriority w:val="0"/>
    <w:pPr>
      <w:spacing w:line="360" w:lineRule="auto"/>
      <w:ind w:firstLine="200" w:firstLineChars="200"/>
    </w:pPr>
    <w:rPr>
      <w:szCs w:val="20"/>
    </w:rPr>
  </w:style>
  <w:style w:type="paragraph" w:customStyle="1" w:styleId="15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6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61">
    <w:name w:val="style11"/>
    <w:qFormat/>
    <w:uiPriority w:val="0"/>
    <w:rPr>
      <w:b/>
      <w:bCs/>
      <w:color w:val="FF0000"/>
    </w:rPr>
  </w:style>
  <w:style w:type="character" w:customStyle="1" w:styleId="162">
    <w:name w:val="info"/>
    <w:basedOn w:val="45"/>
    <w:qFormat/>
    <w:uiPriority w:val="0"/>
  </w:style>
  <w:style w:type="paragraph" w:customStyle="1" w:styleId="163">
    <w:name w:val="样式 正文缩进 + 首行缩进:  2 字符"/>
    <w:basedOn w:val="4"/>
    <w:link w:val="164"/>
    <w:qFormat/>
    <w:uiPriority w:val="0"/>
    <w:pPr>
      <w:spacing w:line="360" w:lineRule="auto"/>
      <w:ind w:firstLine="480"/>
    </w:pPr>
    <w:rPr>
      <w:rFonts w:ascii="宋体" w:hAnsi="宋体"/>
      <w:color w:val="000000"/>
      <w:kern w:val="0"/>
      <w:sz w:val="24"/>
      <w:szCs w:val="20"/>
    </w:rPr>
  </w:style>
  <w:style w:type="character" w:customStyle="1" w:styleId="164">
    <w:name w:val="样式 正文缩进 + 首行缩进:  2 字符 Char"/>
    <w:link w:val="163"/>
    <w:qFormat/>
    <w:locked/>
    <w:uiPriority w:val="0"/>
    <w:rPr>
      <w:rFonts w:ascii="宋体" w:hAnsi="宋体" w:eastAsia="宋体"/>
      <w:color w:val="000000"/>
      <w:sz w:val="24"/>
      <w:lang w:bidi="ar-SA"/>
    </w:rPr>
  </w:style>
  <w:style w:type="paragraph" w:customStyle="1" w:styleId="165">
    <w:name w:val="正文2"/>
    <w:basedOn w:val="1"/>
    <w:link w:val="166"/>
    <w:qFormat/>
    <w:uiPriority w:val="99"/>
    <w:pPr>
      <w:spacing w:before="156" w:line="360" w:lineRule="auto"/>
      <w:ind w:firstLine="510" w:firstLineChars="200"/>
    </w:pPr>
    <w:rPr>
      <w:sz w:val="24"/>
      <w:szCs w:val="20"/>
    </w:rPr>
  </w:style>
  <w:style w:type="character" w:customStyle="1" w:styleId="166">
    <w:name w:val="正文2 Char"/>
    <w:link w:val="165"/>
    <w:qFormat/>
    <w:uiPriority w:val="99"/>
    <w:rPr>
      <w:rFonts w:eastAsia="宋体"/>
      <w:kern w:val="2"/>
      <w:sz w:val="24"/>
      <w:lang w:val="en-US" w:eastAsia="zh-CN" w:bidi="ar-SA"/>
    </w:rPr>
  </w:style>
  <w:style w:type="paragraph" w:customStyle="1" w:styleId="167">
    <w:name w:val="p0"/>
    <w:basedOn w:val="1"/>
    <w:qFormat/>
    <w:uiPriority w:val="0"/>
    <w:pPr>
      <w:widowControl/>
    </w:pPr>
    <w:rPr>
      <w:kern w:val="0"/>
      <w:szCs w:val="21"/>
    </w:rPr>
  </w:style>
  <w:style w:type="character" w:customStyle="1" w:styleId="168">
    <w:name w:val="param-name"/>
    <w:basedOn w:val="45"/>
    <w:qFormat/>
    <w:uiPriority w:val="0"/>
  </w:style>
  <w:style w:type="character" w:customStyle="1" w:styleId="169">
    <w:name w:val="日期 Char"/>
    <w:qFormat/>
    <w:uiPriority w:val="99"/>
    <w:rPr>
      <w:rFonts w:ascii="楷体_GB2312" w:eastAsia="楷体_GB2312"/>
      <w:b/>
      <w:kern w:val="2"/>
      <w:sz w:val="28"/>
      <w:lang w:val="en-US" w:eastAsia="zh-CN" w:bidi="ar-SA"/>
    </w:rPr>
  </w:style>
  <w:style w:type="character" w:customStyle="1" w:styleId="170">
    <w:name w:val="标题 4 Char"/>
    <w:qFormat/>
    <w:uiPriority w:val="99"/>
    <w:rPr>
      <w:rFonts w:ascii="Arial" w:hAnsi="Arial" w:eastAsia="黑体"/>
      <w:b/>
      <w:kern w:val="2"/>
      <w:sz w:val="28"/>
      <w:lang w:val="en-US" w:eastAsia="zh-CN" w:bidi="ar-SA"/>
    </w:rPr>
  </w:style>
  <w:style w:type="character" w:customStyle="1" w:styleId="171">
    <w:name w:val="标题 6 Char"/>
    <w:qFormat/>
    <w:uiPriority w:val="0"/>
    <w:rPr>
      <w:rFonts w:ascii="宋体" w:hAnsi="Arial" w:eastAsia="宋体"/>
      <w:sz w:val="24"/>
      <w:lang w:val="en-US" w:eastAsia="zh-CN" w:bidi="ar-SA"/>
    </w:rPr>
  </w:style>
  <w:style w:type="character" w:customStyle="1" w:styleId="172">
    <w:name w:val="标题 8 Char"/>
    <w:qFormat/>
    <w:uiPriority w:val="0"/>
    <w:rPr>
      <w:rFonts w:ascii="Arial" w:hAnsi="Arial" w:eastAsia="黑体"/>
      <w:sz w:val="24"/>
      <w:lang w:val="en-US" w:eastAsia="zh-CN" w:bidi="ar-SA"/>
    </w:rPr>
  </w:style>
  <w:style w:type="character" w:customStyle="1" w:styleId="173">
    <w:name w:val="标题 9 Char"/>
    <w:qFormat/>
    <w:uiPriority w:val="0"/>
    <w:rPr>
      <w:rFonts w:ascii="Arial" w:hAnsi="Arial" w:eastAsia="黑体"/>
      <w:sz w:val="24"/>
      <w:lang w:val="en-US" w:eastAsia="zh-CN" w:bidi="ar-SA"/>
    </w:rPr>
  </w:style>
  <w:style w:type="character" w:customStyle="1" w:styleId="174">
    <w:name w:val="标题 5 Char"/>
    <w:qFormat/>
    <w:uiPriority w:val="0"/>
    <w:rPr>
      <w:rFonts w:eastAsia="宋体"/>
      <w:sz w:val="24"/>
      <w:lang w:val="en-US" w:eastAsia="zh-CN" w:bidi="ar-SA"/>
    </w:rPr>
  </w:style>
  <w:style w:type="character" w:customStyle="1" w:styleId="175">
    <w:name w:val="正文文本缩进 2 Char"/>
    <w:qFormat/>
    <w:locked/>
    <w:uiPriority w:val="99"/>
    <w:rPr>
      <w:rFonts w:eastAsia="宋体"/>
      <w:kern w:val="2"/>
      <w:sz w:val="21"/>
      <w:szCs w:val="24"/>
      <w:lang w:val="en-US" w:eastAsia="zh-CN" w:bidi="ar-SA"/>
    </w:rPr>
  </w:style>
  <w:style w:type="character" w:customStyle="1" w:styleId="176">
    <w:name w:val="正文文本 2 Char"/>
    <w:qFormat/>
    <w:uiPriority w:val="99"/>
    <w:rPr>
      <w:rFonts w:ascii="隶书" w:eastAsia="隶书"/>
      <w:bCs/>
      <w:sz w:val="72"/>
      <w:szCs w:val="84"/>
      <w:lang w:val="en-US" w:eastAsia="zh-CN" w:bidi="ar-SA"/>
    </w:rPr>
  </w:style>
  <w:style w:type="character" w:customStyle="1" w:styleId="177">
    <w:name w:val="标题 7 Char"/>
    <w:qFormat/>
    <w:uiPriority w:val="0"/>
    <w:rPr>
      <w:rFonts w:ascii="宋体" w:hAnsi="Arial" w:eastAsia="宋体"/>
      <w:b/>
      <w:sz w:val="24"/>
      <w:lang w:val="en-US" w:eastAsia="zh-CN" w:bidi="ar-SA"/>
    </w:rPr>
  </w:style>
  <w:style w:type="character" w:customStyle="1" w:styleId="178">
    <w:name w:val="页眉 Char"/>
    <w:qFormat/>
    <w:uiPriority w:val="99"/>
    <w:rPr>
      <w:rFonts w:eastAsia="宋体"/>
      <w:kern w:val="2"/>
      <w:sz w:val="18"/>
      <w:szCs w:val="18"/>
      <w:lang w:val="en-US" w:eastAsia="zh-CN" w:bidi="ar-SA"/>
    </w:rPr>
  </w:style>
  <w:style w:type="character" w:customStyle="1" w:styleId="179">
    <w:name w:val="汇视源正文 Char"/>
    <w:link w:val="180"/>
    <w:qFormat/>
    <w:uiPriority w:val="0"/>
    <w:rPr>
      <w:rFonts w:cs="宋体"/>
      <w:kern w:val="2"/>
      <w:sz w:val="24"/>
      <w:lang w:val="en-US" w:eastAsia="zh-CN" w:bidi="ar-SA"/>
    </w:rPr>
  </w:style>
  <w:style w:type="paragraph" w:customStyle="1" w:styleId="180">
    <w:name w:val="汇视源正文"/>
    <w:link w:val="17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81">
    <w:name w:val="样式 列表编号 + 段后: 0.5 行"/>
    <w:basedOn w:val="13"/>
    <w:qFormat/>
    <w:uiPriority w:val="0"/>
    <w:pPr>
      <w:tabs>
        <w:tab w:val="left" w:pos="840"/>
      </w:tabs>
      <w:spacing w:afterLines="0"/>
      <w:ind w:left="425" w:hanging="425"/>
    </w:pPr>
    <w:rPr>
      <w:rFonts w:cs="宋体"/>
    </w:rPr>
  </w:style>
  <w:style w:type="paragraph" w:customStyle="1" w:styleId="18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83">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84">
    <w:name w:val="Date Char"/>
    <w:qFormat/>
    <w:locked/>
    <w:uiPriority w:val="0"/>
    <w:rPr>
      <w:rFonts w:ascii="宋体"/>
      <w:sz w:val="21"/>
      <w:lang w:val="zh-CN"/>
    </w:rPr>
  </w:style>
  <w:style w:type="character" w:customStyle="1" w:styleId="185">
    <w:name w:val="Normal Indent Char"/>
    <w:qFormat/>
    <w:locked/>
    <w:uiPriority w:val="0"/>
    <w:rPr>
      <w:rFonts w:ascii="宋体" w:eastAsia="宋体"/>
      <w:snapToGrid w:val="0"/>
      <w:color w:val="000000"/>
      <w:kern w:val="28"/>
      <w:sz w:val="28"/>
    </w:rPr>
  </w:style>
  <w:style w:type="character" w:customStyle="1" w:styleId="186">
    <w:name w:val="Plain Text Char"/>
    <w:qFormat/>
    <w:locked/>
    <w:uiPriority w:val="0"/>
    <w:rPr>
      <w:rFonts w:ascii="宋体" w:hAnsi="Courier New" w:eastAsia="宋体"/>
      <w:snapToGrid w:val="0"/>
      <w:sz w:val="21"/>
    </w:rPr>
  </w:style>
  <w:style w:type="character" w:customStyle="1" w:styleId="187">
    <w:name w:val="日期 Char1"/>
    <w:qFormat/>
    <w:uiPriority w:val="99"/>
    <w:rPr>
      <w:rFonts w:ascii="Times New Roman" w:hAnsi="Times New Roman" w:eastAsia="宋体" w:cs="Times New Roman"/>
      <w:sz w:val="24"/>
      <w:szCs w:val="24"/>
    </w:rPr>
  </w:style>
  <w:style w:type="character" w:customStyle="1" w:styleId="188">
    <w:name w:val="纯文本 Char1"/>
    <w:qFormat/>
    <w:uiPriority w:val="99"/>
    <w:rPr>
      <w:rFonts w:ascii="宋体" w:hAnsi="Courier New" w:eastAsia="宋体" w:cs="Courier New"/>
      <w:sz w:val="21"/>
      <w:szCs w:val="21"/>
    </w:rPr>
  </w:style>
  <w:style w:type="paragraph" w:customStyle="1" w:styleId="189">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90">
    <w:name w:val="列出段落112"/>
    <w:basedOn w:val="1"/>
    <w:link w:val="191"/>
    <w:qFormat/>
    <w:uiPriority w:val="0"/>
    <w:pPr>
      <w:adjustRightInd w:val="0"/>
      <w:spacing w:line="360" w:lineRule="auto"/>
      <w:ind w:firstLine="200" w:firstLineChars="200"/>
    </w:pPr>
    <w:rPr>
      <w:rFonts w:eastAsia="楷体_GB2312" w:cs="Lucida Sans"/>
      <w:sz w:val="24"/>
    </w:rPr>
  </w:style>
  <w:style w:type="character" w:customStyle="1" w:styleId="191">
    <w:name w:val="列出段落 Char"/>
    <w:link w:val="190"/>
    <w:qFormat/>
    <w:uiPriority w:val="34"/>
    <w:rPr>
      <w:rFonts w:eastAsia="楷体_GB2312" w:cs="Lucida Sans"/>
      <w:kern w:val="2"/>
      <w:sz w:val="24"/>
      <w:szCs w:val="24"/>
    </w:rPr>
  </w:style>
  <w:style w:type="paragraph" w:customStyle="1" w:styleId="192">
    <w:name w:val="标题2def"/>
    <w:basedOn w:val="39"/>
    <w:qFormat/>
    <w:uiPriority w:val="99"/>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93">
    <w:name w:val="标题3def"/>
    <w:basedOn w:val="5"/>
    <w:next w:val="1"/>
    <w:qFormat/>
    <w:uiPriority w:val="99"/>
    <w:pPr>
      <w:numPr>
        <w:numId w:val="0"/>
      </w:numPr>
      <w:adjustRightInd w:val="0"/>
      <w:snapToGrid w:val="0"/>
      <w:spacing w:before="80" w:after="160" w:line="400" w:lineRule="exact"/>
    </w:pPr>
    <w:rPr>
      <w:rFonts w:ascii="仿宋_GB2312" w:hAnsi="宋体"/>
      <w:sz w:val="24"/>
    </w:rPr>
  </w:style>
  <w:style w:type="character" w:customStyle="1" w:styleId="194">
    <w:name w:val="Header Char"/>
    <w:qFormat/>
    <w:locked/>
    <w:uiPriority w:val="99"/>
    <w:rPr>
      <w:rFonts w:ascii="Times New Roman" w:hAnsi="Times New Roman" w:eastAsia="宋体" w:cs="Times New Roman"/>
      <w:sz w:val="18"/>
      <w:szCs w:val="18"/>
    </w:rPr>
  </w:style>
  <w:style w:type="paragraph" w:customStyle="1" w:styleId="195">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96">
    <w:name w:val="Char Char2 Char Char"/>
    <w:basedOn w:val="1"/>
    <w:qFormat/>
    <w:uiPriority w:val="99"/>
    <w:pPr>
      <w:widowControl/>
      <w:spacing w:line="400" w:lineRule="exact"/>
      <w:jc w:val="center"/>
    </w:pPr>
    <w:rPr>
      <w:rFonts w:ascii="Verdana" w:hAnsi="Verdana"/>
      <w:kern w:val="0"/>
      <w:szCs w:val="20"/>
      <w:lang w:eastAsia="en-US"/>
    </w:rPr>
  </w:style>
  <w:style w:type="character" w:customStyle="1" w:styleId="197">
    <w:name w:val="Comment Text Char"/>
    <w:qFormat/>
    <w:locked/>
    <w:uiPriority w:val="0"/>
    <w:rPr>
      <w:rFonts w:ascii="Times New Roman" w:hAnsi="Times New Roman" w:eastAsia="宋体" w:cs="Times New Roman"/>
      <w:kern w:val="0"/>
      <w:sz w:val="24"/>
      <w:szCs w:val="24"/>
      <w:lang w:val="zh-CN" w:eastAsia="zh-CN"/>
    </w:rPr>
  </w:style>
  <w:style w:type="paragraph" w:customStyle="1" w:styleId="198">
    <w:name w:val="正文文本缩进 21"/>
    <w:basedOn w:val="1"/>
    <w:qFormat/>
    <w:uiPriority w:val="99"/>
    <w:pPr>
      <w:spacing w:line="520" w:lineRule="exact"/>
      <w:ind w:firstLine="848" w:firstLineChars="303"/>
    </w:pPr>
    <w:rPr>
      <w:rFonts w:ascii="黑体" w:hAnsi="Calibri" w:eastAsia="黑体" w:cs="黑体"/>
      <w:sz w:val="28"/>
      <w:szCs w:val="22"/>
    </w:rPr>
  </w:style>
  <w:style w:type="paragraph" w:customStyle="1" w:styleId="199">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200">
    <w:name w:val="Char Char Char Char1"/>
    <w:basedOn w:val="1"/>
    <w:qFormat/>
    <w:uiPriority w:val="99"/>
    <w:rPr>
      <w:rFonts w:ascii="Tahoma" w:hAnsi="Tahoma"/>
      <w:sz w:val="24"/>
      <w:szCs w:val="20"/>
    </w:rPr>
  </w:style>
  <w:style w:type="paragraph" w:customStyle="1" w:styleId="20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02">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203">
    <w:name w:val="样式4"/>
    <w:basedOn w:val="1"/>
    <w:qFormat/>
    <w:uiPriority w:val="99"/>
    <w:pPr>
      <w:adjustRightInd w:val="0"/>
      <w:spacing w:line="360" w:lineRule="auto"/>
      <w:ind w:firstLine="420"/>
      <w:jc w:val="center"/>
      <w:outlineLvl w:val="2"/>
    </w:pPr>
    <w:rPr>
      <w:rFonts w:ascii="仿宋_GB2312" w:hAnsi="仿宋" w:eastAsia="仿宋_GB2312"/>
      <w:b/>
      <w:sz w:val="32"/>
      <w:szCs w:val="32"/>
    </w:rPr>
  </w:style>
  <w:style w:type="character" w:customStyle="1" w:styleId="204">
    <w:name w:val="正文2 Char Char"/>
    <w:qFormat/>
    <w:uiPriority w:val="0"/>
    <w:rPr>
      <w:kern w:val="2"/>
      <w:sz w:val="24"/>
    </w:rPr>
  </w:style>
  <w:style w:type="character" w:customStyle="1" w:styleId="205">
    <w:name w:val="普通文字 Char Char3"/>
    <w:qFormat/>
    <w:uiPriority w:val="0"/>
    <w:rPr>
      <w:rFonts w:ascii="宋体" w:hAnsi="Courier New"/>
      <w:kern w:val="2"/>
      <w:sz w:val="24"/>
      <w:szCs w:val="24"/>
    </w:rPr>
  </w:style>
  <w:style w:type="character" w:customStyle="1" w:styleId="206">
    <w:name w:val="特点 Char2"/>
    <w:qFormat/>
    <w:uiPriority w:val="0"/>
    <w:rPr>
      <w:rFonts w:ascii="Times New Roman" w:hAnsi="Times New Roman" w:eastAsia="宋体" w:cs="Times New Roman"/>
      <w:szCs w:val="24"/>
    </w:rPr>
  </w:style>
  <w:style w:type="paragraph" w:customStyle="1" w:styleId="207">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8">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99"/>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99"/>
    <w:pPr>
      <w:spacing w:line="440" w:lineRule="exact"/>
      <w:ind w:firstLine="420" w:firstLineChars="200"/>
    </w:pPr>
    <w:rPr>
      <w:rFonts w:eastAsia="仿宋_GB2312"/>
      <w:sz w:val="24"/>
    </w:rPr>
  </w:style>
  <w:style w:type="paragraph" w:customStyle="1" w:styleId="257">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5"/>
    <w:qFormat/>
    <w:uiPriority w:val="0"/>
    <w:rPr>
      <w:rFonts w:hint="eastAsia" w:ascii="宋体" w:hAnsi="宋体" w:eastAsia="宋体" w:cs="宋体"/>
      <w:color w:val="000000"/>
      <w:sz w:val="22"/>
      <w:szCs w:val="22"/>
      <w:u w:val="none"/>
    </w:rPr>
  </w:style>
  <w:style w:type="character" w:customStyle="1" w:styleId="268">
    <w:name w:val="font11"/>
    <w:basedOn w:val="45"/>
    <w:qFormat/>
    <w:uiPriority w:val="0"/>
    <w:rPr>
      <w:rFonts w:hint="eastAsia" w:ascii="宋体" w:hAnsi="宋体" w:eastAsia="宋体" w:cs="宋体"/>
      <w:color w:val="FF0000"/>
      <w:sz w:val="22"/>
      <w:szCs w:val="22"/>
      <w:u w:val="none"/>
    </w:rPr>
  </w:style>
  <w:style w:type="character" w:customStyle="1" w:styleId="269">
    <w:name w:val="font41"/>
    <w:basedOn w:val="45"/>
    <w:qFormat/>
    <w:uiPriority w:val="0"/>
    <w:rPr>
      <w:rFonts w:hint="default" w:ascii="等线" w:hAnsi="等线" w:eastAsia="等线" w:cs="等线"/>
      <w:color w:val="FF0000"/>
      <w:sz w:val="22"/>
      <w:szCs w:val="22"/>
      <w:u w:val="none"/>
    </w:rPr>
  </w:style>
  <w:style w:type="character" w:customStyle="1" w:styleId="270">
    <w:name w:val="font21"/>
    <w:basedOn w:val="45"/>
    <w:qFormat/>
    <w:uiPriority w:val="0"/>
    <w:rPr>
      <w:rFonts w:hint="default" w:ascii="等线" w:hAnsi="等线" w:eastAsia="等线" w:cs="等线"/>
      <w:color w:val="000000"/>
      <w:sz w:val="22"/>
      <w:szCs w:val="22"/>
      <w:u w:val="none"/>
    </w:rPr>
  </w:style>
  <w:style w:type="character" w:customStyle="1" w:styleId="271">
    <w:name w:val="font51"/>
    <w:basedOn w:val="45"/>
    <w:qFormat/>
    <w:uiPriority w:val="0"/>
    <w:rPr>
      <w:rFonts w:hint="default" w:ascii="等线" w:hAnsi="等线" w:eastAsia="等线" w:cs="等线"/>
      <w:color w:val="FF0000"/>
      <w:sz w:val="22"/>
      <w:szCs w:val="22"/>
      <w:u w:val="none"/>
    </w:rPr>
  </w:style>
  <w:style w:type="character" w:customStyle="1" w:styleId="272">
    <w:name w:val="font61"/>
    <w:basedOn w:val="45"/>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5"/>
    <w:semiHidden/>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paragraph" w:customStyle="1" w:styleId="280">
    <w:name w:val="正文-首行空格"/>
    <w:basedOn w:val="1"/>
    <w:qFormat/>
    <w:uiPriority w:val="0"/>
    <w:pPr>
      <w:spacing w:line="360" w:lineRule="auto"/>
      <w:ind w:firstLine="200" w:firstLineChars="200"/>
    </w:pPr>
    <w:rPr>
      <w:szCs w:val="20"/>
    </w:rPr>
  </w:style>
  <w:style w:type="paragraph" w:customStyle="1" w:styleId="281">
    <w:name w:val="政务 4"/>
    <w:basedOn w:val="282"/>
    <w:qFormat/>
    <w:uiPriority w:val="0"/>
    <w:pPr>
      <w:numPr>
        <w:ilvl w:val="3"/>
      </w:numPr>
      <w:outlineLvl w:val="3"/>
    </w:pPr>
    <w:rPr>
      <w:sz w:val="30"/>
    </w:rPr>
  </w:style>
  <w:style w:type="paragraph" w:customStyle="1" w:styleId="282">
    <w:name w:val="政务 3"/>
    <w:basedOn w:val="1"/>
    <w:qFormat/>
    <w:uiPriority w:val="0"/>
    <w:pPr>
      <w:numPr>
        <w:ilvl w:val="2"/>
        <w:numId w:val="5"/>
      </w:numPr>
      <w:spacing w:beforeLines="50" w:afterLines="50" w:line="360" w:lineRule="auto"/>
      <w:outlineLvl w:val="2"/>
    </w:pPr>
    <w:rPr>
      <w:b/>
      <w:sz w:val="32"/>
      <w:szCs w:val="20"/>
    </w:rPr>
  </w:style>
  <w:style w:type="paragraph" w:customStyle="1" w:styleId="283">
    <w:name w:val="正文文字"/>
    <w:basedOn w:val="1"/>
    <w:qFormat/>
    <w:uiPriority w:val="99"/>
    <w:pPr>
      <w:adjustRightInd w:val="0"/>
      <w:spacing w:before="60" w:after="60" w:line="360" w:lineRule="auto"/>
      <w:ind w:firstLine="420" w:firstLineChars="200"/>
    </w:pPr>
    <w:rPr>
      <w:szCs w:val="20"/>
    </w:rPr>
  </w:style>
  <w:style w:type="paragraph" w:customStyle="1" w:styleId="284">
    <w:name w:val="Proposals body"/>
    <w:next w:val="1"/>
    <w:qFormat/>
    <w:uiPriority w:val="0"/>
    <w:pPr>
      <w:spacing w:line="360" w:lineRule="auto"/>
    </w:pPr>
    <w:rPr>
      <w:rFonts w:ascii="宋体" w:hAnsi="Times New Roman" w:eastAsia="宋体" w:cs="Times New Roman"/>
      <w:snapToGrid w:val="0"/>
      <w:color w:val="000000"/>
      <w:sz w:val="24"/>
      <w:lang w:val="en-US" w:eastAsia="zh-CN" w:bidi="ar-SA"/>
    </w:rPr>
  </w:style>
  <w:style w:type="paragraph" w:customStyle="1" w:styleId="285">
    <w:name w:val="样式 首行缩进:  2 字符"/>
    <w:basedOn w:val="1"/>
    <w:qFormat/>
    <w:uiPriority w:val="0"/>
    <w:pPr>
      <w:ind w:firstLine="560"/>
    </w:pPr>
    <w:rPr>
      <w:rFonts w:ascii="Calibri" w:hAnsi="Calibri" w:eastAsia="仿宋_GB2312" w:cs="宋体"/>
      <w:sz w:val="24"/>
      <w:szCs w:val="20"/>
    </w:rPr>
  </w:style>
  <w:style w:type="paragraph" w:customStyle="1" w:styleId="286">
    <w:name w:val="正文文字 8"/>
    <w:basedOn w:val="1"/>
    <w:next w:val="1"/>
    <w:qFormat/>
    <w:uiPriority w:val="0"/>
    <w:pPr>
      <w:numPr>
        <w:ilvl w:val="1"/>
        <w:numId w:val="6"/>
      </w:numPr>
      <w:ind w:left="805"/>
    </w:pPr>
    <w:rPr>
      <w:sz w:val="16"/>
      <w:szCs w:val="20"/>
    </w:rPr>
  </w:style>
  <w:style w:type="paragraph" w:customStyle="1" w:styleId="287">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正文文字 7"/>
    <w:basedOn w:val="1"/>
    <w:next w:val="1"/>
    <w:qFormat/>
    <w:uiPriority w:val="0"/>
    <w:pPr>
      <w:ind w:left="240"/>
    </w:pPr>
    <w:rPr>
      <w:sz w:val="20"/>
      <w:szCs w:val="20"/>
    </w:rPr>
  </w:style>
  <w:style w:type="character" w:customStyle="1" w:styleId="289">
    <w:name w:val="apple-converted-space"/>
    <w:qFormat/>
    <w:uiPriority w:val="0"/>
  </w:style>
  <w:style w:type="paragraph" w:customStyle="1" w:styleId="290">
    <w:name w:val="￥正文"/>
    <w:basedOn w:val="1"/>
    <w:qFormat/>
    <w:uiPriority w:val="0"/>
    <w:pPr>
      <w:spacing w:line="360" w:lineRule="auto"/>
      <w:ind w:firstLine="454"/>
    </w:pPr>
    <w:rPr>
      <w:color w:val="000000"/>
      <w:kern w:val="0"/>
      <w:sz w:val="24"/>
      <w:szCs w:val="28"/>
    </w:rPr>
  </w:style>
  <w:style w:type="paragraph" w:customStyle="1" w:styleId="291">
    <w:name w:val="_Style 3"/>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292">
    <w:name w:val="xl53"/>
    <w:basedOn w:val="1"/>
    <w:next w:val="1"/>
    <w:qFormat/>
    <w:uiPriority w:val="0"/>
    <w:pPr>
      <w:widowControl/>
      <w:pBdr>
        <w:top w:val="single" w:color="auto" w:sz="4" w:space="0"/>
        <w:left w:val="single" w:color="auto" w:sz="8" w:space="0"/>
        <w:bottom w:val="single" w:color="auto" w:sz="8" w:space="0"/>
        <w:right w:val="single" w:color="auto" w:sz="4" w:space="0"/>
      </w:pBdr>
      <w:adjustRightInd w:val="0"/>
      <w:spacing w:before="100" w:beforeAutospacing="1" w:after="100" w:afterAutospacing="1" w:line="100" w:lineRule="exact"/>
      <w:jc w:val="center"/>
    </w:pPr>
    <w:rPr>
      <w:rFonts w:ascii="宋体" w:hAnsi="宋体"/>
      <w:b/>
      <w:bCs/>
      <w:kern w:val="0"/>
      <w:sz w:val="20"/>
      <w:szCs w:val="20"/>
    </w:rPr>
  </w:style>
  <w:style w:type="character" w:customStyle="1" w:styleId="293">
    <w:name w:val="脚注文本 Char"/>
    <w:basedOn w:val="45"/>
    <w:link w:val="31"/>
    <w:uiPriority w:val="99"/>
    <w:rPr>
      <w:kern w:val="2"/>
      <w:sz w:val="18"/>
      <w:szCs w:val="24"/>
    </w:rPr>
  </w:style>
  <w:style w:type="paragraph" w:customStyle="1" w:styleId="294">
    <w:name w:val="[Normal]"/>
    <w:qFormat/>
    <w:uiPriority w:val="0"/>
    <w:rPr>
      <w:rFonts w:ascii="宋体" w:hAnsi="宋体" w:eastAsia="宋体" w:cs="Times New Roman"/>
      <w:sz w:val="24"/>
      <w:szCs w:val="22"/>
      <w:lang w:val="zh-CN" w:eastAsia="zh-CN" w:bidi="ar-SA"/>
    </w:rPr>
  </w:style>
  <w:style w:type="paragraph" w:customStyle="1" w:styleId="295">
    <w:name w:val="首行缩进"/>
    <w:basedOn w:val="1"/>
    <w:next w:val="18"/>
    <w:qFormat/>
    <w:uiPriority w:val="99"/>
    <w:pPr>
      <w:adjustRightInd w:val="0"/>
      <w:spacing w:line="360" w:lineRule="auto"/>
      <w:ind w:firstLine="480" w:firstLineChars="200"/>
    </w:pPr>
    <w:rPr>
      <w:sz w:val="24"/>
      <w:szCs w:val="22"/>
      <w:lang w:val="zh-CN"/>
    </w:rPr>
  </w:style>
  <w:style w:type="paragraph" w:customStyle="1" w:styleId="296">
    <w:name w:val="正文 A"/>
    <w:qFormat/>
    <w:uiPriority w:val="99"/>
    <w:pPr>
      <w:widowControl w:val="0"/>
      <w:spacing w:line="360" w:lineRule="atLeast"/>
    </w:pPr>
    <w:rPr>
      <w:rFonts w:ascii="Times New Roman" w:hAnsi="Times New Roman" w:eastAsia="宋体" w:cs="Times New Roman"/>
      <w:color w:val="000000"/>
      <w:sz w:val="24"/>
      <w:szCs w:val="24"/>
      <w:lang w:val="en-US" w:eastAsia="zh-CN" w:bidi="ar-SA"/>
    </w:rPr>
  </w:style>
  <w:style w:type="character" w:customStyle="1" w:styleId="297">
    <w:name w:val="px_10"/>
    <w:qFormat/>
    <w:uiPriority w:val="99"/>
    <w:rPr>
      <w:lang w:val="zh-TW" w:eastAsia="zh-TW"/>
    </w:rPr>
  </w:style>
  <w:style w:type="paragraph" w:customStyle="1" w:styleId="298">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299">
    <w:name w:val="正文 New New New New"/>
    <w:qFormat/>
    <w:uiPriority w:val="99"/>
    <w:pPr>
      <w:widowControl w:val="0"/>
      <w:jc w:val="both"/>
    </w:pPr>
    <w:rPr>
      <w:rFonts w:ascii="Calibri" w:hAnsi="Calibri" w:eastAsia="宋体" w:cs="Times New Roman"/>
      <w:sz w:val="21"/>
      <w:szCs w:val="24"/>
      <w:lang w:val="en-US" w:eastAsia="zh-CN" w:bidi="ar-SA"/>
    </w:rPr>
  </w:style>
  <w:style w:type="paragraph" w:customStyle="1" w:styleId="300">
    <w:name w:val="列出段落5"/>
    <w:basedOn w:val="1"/>
    <w:qFormat/>
    <w:uiPriority w:val="34"/>
    <w:pPr>
      <w:adjustRightInd w:val="0"/>
      <w:ind w:firstLine="420" w:firstLineChars="200"/>
    </w:pPr>
    <w:rPr>
      <w:rFonts w:ascii="Calibri" w:hAnsi="Calibri"/>
      <w:sz w:val="24"/>
    </w:rPr>
  </w:style>
  <w:style w:type="paragraph" w:customStyle="1" w:styleId="301">
    <w:name w:val="unnamed1"/>
    <w:basedOn w:val="1"/>
    <w:qFormat/>
    <w:uiPriority w:val="0"/>
    <w:pPr>
      <w:widowControl/>
      <w:adjustRightInd w:val="0"/>
      <w:spacing w:before="100" w:beforeAutospacing="1" w:after="100" w:afterAutospacing="1" w:line="288" w:lineRule="auto"/>
      <w:jc w:val="left"/>
    </w:pPr>
    <w:rPr>
      <w:rFonts w:hint="eastAsia" w:ascii="宋体" w:hAnsi="宋体"/>
      <w:kern w:val="0"/>
      <w:szCs w:val="21"/>
    </w:rPr>
  </w:style>
  <w:style w:type="character" w:customStyle="1" w:styleId="302">
    <w:name w:val="unnamed11"/>
    <w:basedOn w:val="45"/>
    <w:qFormat/>
    <w:uiPriority w:val="0"/>
    <w:rPr>
      <w:rFonts w:hint="eastAsia" w:ascii="宋体" w:hAnsi="宋体" w:eastAsia="宋体"/>
      <w:sz w:val="21"/>
      <w:szCs w:val="21"/>
    </w:rPr>
  </w:style>
  <w:style w:type="paragraph" w:customStyle="1" w:styleId="303">
    <w:name w:val="样式2 Char Char Char"/>
    <w:basedOn w:val="1"/>
    <w:qFormat/>
    <w:uiPriority w:val="0"/>
    <w:pPr>
      <w:widowControl/>
      <w:adjustRightInd w:val="0"/>
      <w:spacing w:line="360" w:lineRule="auto"/>
      <w:ind w:firstLine="480" w:firstLineChars="200"/>
      <w:jc w:val="left"/>
    </w:pPr>
    <w:rPr>
      <w:rFonts w:ascii="宋体" w:hAnsi="宋体"/>
      <w:bCs/>
      <w:kern w:val="0"/>
      <w:sz w:val="24"/>
      <w:lang w:eastAsia="en-US"/>
    </w:rPr>
  </w:style>
  <w:style w:type="paragraph" w:customStyle="1" w:styleId="304">
    <w:name w:val="样式 首行缩进:  0.74 厘米"/>
    <w:basedOn w:val="1"/>
    <w:qFormat/>
    <w:uiPriority w:val="0"/>
    <w:pPr>
      <w:adjustRightInd w:val="0"/>
      <w:ind w:firstLine="420"/>
    </w:pPr>
    <w:rPr>
      <w:rFonts w:ascii="Arial" w:hAnsi="Arial" w:eastAsia="仿宋_GB2312" w:cs="Arial"/>
      <w:bCs/>
      <w:sz w:val="28"/>
      <w:szCs w:val="28"/>
    </w:rPr>
  </w:style>
  <w:style w:type="paragraph" w:customStyle="1" w:styleId="305">
    <w:name w:val="正文格式（小四）"/>
    <w:basedOn w:val="1"/>
    <w:qFormat/>
    <w:uiPriority w:val="0"/>
    <w:pPr>
      <w:widowControl/>
      <w:adjustRightInd w:val="0"/>
      <w:snapToGrid w:val="0"/>
      <w:spacing w:line="360" w:lineRule="auto"/>
      <w:ind w:firstLine="482"/>
      <w:jc w:val="left"/>
      <w:textAlignment w:val="baseline"/>
    </w:pPr>
    <w:rPr>
      <w:kern w:val="24"/>
      <w:sz w:val="24"/>
    </w:rPr>
  </w:style>
  <w:style w:type="paragraph" w:customStyle="1" w:styleId="306">
    <w:name w:val="_Style 1"/>
    <w:basedOn w:val="1"/>
    <w:qFormat/>
    <w:uiPriority w:val="99"/>
    <w:pPr>
      <w:adjustRightInd w:val="0"/>
      <w:ind w:firstLine="420" w:firstLineChars="200"/>
    </w:pPr>
  </w:style>
  <w:style w:type="paragraph" w:customStyle="1" w:styleId="307">
    <w:name w:val="_Style 2"/>
    <w:basedOn w:val="1"/>
    <w:qFormat/>
    <w:uiPriority w:val="99"/>
    <w:pPr>
      <w:adjustRightInd w:val="0"/>
      <w:ind w:firstLine="420" w:firstLineChars="200"/>
    </w:pPr>
  </w:style>
  <w:style w:type="paragraph" w:customStyle="1" w:styleId="308">
    <w:name w:val="（1）"/>
    <w:basedOn w:val="1"/>
    <w:qFormat/>
    <w:uiPriority w:val="0"/>
    <w:pPr>
      <w:tabs>
        <w:tab w:val="left" w:pos="961"/>
        <w:tab w:val="left" w:pos="1200"/>
      </w:tabs>
      <w:adjustRightInd w:val="0"/>
      <w:spacing w:line="360" w:lineRule="auto"/>
      <w:ind w:left="1200" w:leftChars="400" w:hanging="360" w:hangingChars="200"/>
    </w:pPr>
    <w:rPr>
      <w:sz w:val="24"/>
    </w:rPr>
  </w:style>
  <w:style w:type="paragraph" w:customStyle="1" w:styleId="309">
    <w:name w:val="CM18"/>
    <w:basedOn w:val="125"/>
    <w:next w:val="125"/>
    <w:qFormat/>
    <w:uiPriority w:val="99"/>
    <w:rPr>
      <w:rFonts w:ascii="ST Xihei" w:hAnsi="Calibri" w:eastAsia="ST Xihei"/>
      <w:color w:val="auto"/>
    </w:rPr>
  </w:style>
  <w:style w:type="character" w:customStyle="1" w:styleId="310">
    <w:name w:val="qxdate"/>
    <w:basedOn w:val="45"/>
    <w:qFormat/>
    <w:uiPriority w:val="0"/>
    <w:rPr>
      <w:color w:val="333333"/>
      <w:sz w:val="18"/>
      <w:szCs w:val="18"/>
    </w:rPr>
  </w:style>
  <w:style w:type="character" w:customStyle="1" w:styleId="311">
    <w:name w:val="cfdate"/>
    <w:basedOn w:val="45"/>
    <w:qFormat/>
    <w:uiPriority w:val="0"/>
    <w:rPr>
      <w:color w:val="333333"/>
      <w:sz w:val="18"/>
      <w:szCs w:val="18"/>
    </w:rPr>
  </w:style>
  <w:style w:type="character" w:customStyle="1" w:styleId="312">
    <w:name w:val="redfilefwwh"/>
    <w:basedOn w:val="45"/>
    <w:qFormat/>
    <w:uiPriority w:val="0"/>
    <w:rPr>
      <w:color w:val="BA2636"/>
      <w:sz w:val="18"/>
      <w:szCs w:val="18"/>
    </w:rPr>
  </w:style>
  <w:style w:type="character" w:customStyle="1" w:styleId="313">
    <w:name w:val="displayarti"/>
    <w:basedOn w:val="45"/>
    <w:qFormat/>
    <w:uiPriority w:val="0"/>
    <w:rPr>
      <w:color w:val="FFFFFF"/>
      <w:shd w:val="clear" w:color="auto" w:fill="A00000"/>
    </w:rPr>
  </w:style>
  <w:style w:type="character" w:customStyle="1" w:styleId="314">
    <w:name w:val="gjfg"/>
    <w:basedOn w:val="45"/>
    <w:qFormat/>
    <w:uiPriority w:val="0"/>
  </w:style>
  <w:style w:type="character" w:customStyle="1" w:styleId="315">
    <w:name w:val="redfilenumber"/>
    <w:basedOn w:val="45"/>
    <w:qFormat/>
    <w:uiPriority w:val="0"/>
    <w:rPr>
      <w:color w:val="BA2636"/>
      <w:sz w:val="18"/>
      <w:szCs w:val="18"/>
    </w:rPr>
  </w:style>
  <w:style w:type="character" w:customStyle="1" w:styleId="316">
    <w:name w:val="15"/>
    <w:qFormat/>
    <w:uiPriority w:val="0"/>
    <w:rPr>
      <w:rFonts w:hint="eastAsia" w:ascii="宋体" w:hAnsi="宋体" w:eastAsia="宋体" w:cs="宋体"/>
      <w:color w:val="000000"/>
      <w:sz w:val="24"/>
      <w:szCs w:val="24"/>
    </w:rPr>
  </w:style>
  <w:style w:type="paragraph" w:customStyle="1" w:styleId="317">
    <w:name w:val="0正文"/>
    <w:basedOn w:val="1"/>
    <w:qFormat/>
    <w:uiPriority w:val="0"/>
    <w:pPr>
      <w:adjustRightInd w:val="0"/>
      <w:spacing w:line="360" w:lineRule="auto"/>
      <w:ind w:firstLine="200" w:firstLineChars="200"/>
    </w:pPr>
  </w:style>
  <w:style w:type="paragraph" w:customStyle="1" w:styleId="318">
    <w:name w:val="cn7"/>
    <w:basedOn w:val="1"/>
    <w:qFormat/>
    <w:uiPriority w:val="0"/>
    <w:pPr>
      <w:widowControl/>
      <w:adjustRightInd w:val="0"/>
      <w:spacing w:before="100" w:beforeAutospacing="1" w:after="100" w:afterAutospacing="1"/>
      <w:jc w:val="left"/>
    </w:pPr>
    <w:rPr>
      <w:rFonts w:ascii="宋体" w:hAnsi="宋体"/>
      <w:b/>
      <w:bCs/>
      <w:color w:val="000000"/>
      <w:kern w:val="0"/>
      <w:sz w:val="30"/>
      <w:szCs w:val="30"/>
    </w:rPr>
  </w:style>
  <w:style w:type="paragraph" w:customStyle="1" w:styleId="319">
    <w:name w:val="Table Paragraph"/>
    <w:basedOn w:val="1"/>
    <w:unhideWhenUsed/>
    <w:qFormat/>
    <w:uiPriority w:val="0"/>
    <w:pPr>
      <w:adjustRightInd w:val="0"/>
      <w:spacing w:line="500" w:lineRule="exact"/>
      <w:ind w:firstLine="200" w:firstLineChars="200"/>
    </w:pPr>
    <w:rPr>
      <w:rFonts w:hint="eastAsia" w:ascii="Calibri" w:hAnsi="Calibri"/>
      <w:sz w:val="22"/>
      <w:szCs w:val="21"/>
    </w:rPr>
  </w:style>
  <w:style w:type="character" w:customStyle="1" w:styleId="320">
    <w:name w:val="fontstyle01"/>
    <w:basedOn w:val="45"/>
    <w:qFormat/>
    <w:uiPriority w:val="0"/>
    <w:rPr>
      <w:rFonts w:hint="default" w:ascii="MicrosoftYaHei" w:hAnsi="MicrosoftYaHei"/>
      <w:color w:val="231F20"/>
      <w:sz w:val="16"/>
      <w:szCs w:val="16"/>
    </w:rPr>
  </w:style>
  <w:style w:type="character" w:customStyle="1" w:styleId="321">
    <w:name w:val="（0）正文 Char"/>
    <w:link w:val="322"/>
    <w:qFormat/>
    <w:uiPriority w:val="0"/>
    <w:rPr>
      <w:rFonts w:ascii="仿宋" w:hAnsi="仿宋" w:eastAsia="仿宋"/>
      <w:sz w:val="24"/>
      <w:szCs w:val="24"/>
    </w:rPr>
  </w:style>
  <w:style w:type="paragraph" w:customStyle="1" w:styleId="322">
    <w:name w:val="（0）正文"/>
    <w:basedOn w:val="1"/>
    <w:link w:val="321"/>
    <w:qFormat/>
    <w:uiPriority w:val="0"/>
    <w:pPr>
      <w:spacing w:line="360" w:lineRule="auto"/>
      <w:ind w:firstLine="480" w:firstLineChars="200"/>
    </w:pPr>
    <w:rPr>
      <w:rFonts w:ascii="仿宋" w:hAnsi="仿宋" w:eastAsia="仿宋"/>
      <w:kern w:val="0"/>
      <w:sz w:val="24"/>
    </w:rPr>
  </w:style>
  <w:style w:type="paragraph" w:customStyle="1" w:styleId="323">
    <w:name w:val="标正文"/>
    <w:basedOn w:val="19"/>
    <w:qFormat/>
    <w:uiPriority w:val="0"/>
    <w:pPr>
      <w:spacing w:after="0" w:line="360" w:lineRule="auto"/>
      <w:ind w:left="0" w:leftChars="0" w:firstLine="200" w:firstLineChars="200"/>
    </w:pPr>
    <w:rPr>
      <w:rFonts w:asciiTheme="minorHAnsi" w:hAnsiTheme="minorHAnsi" w:eastAsiaTheme="minorEastAsia" w:cstheme="minorBidi"/>
      <w:sz w:val="24"/>
      <w:szCs w:val="22"/>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D77A52-1A04-488E-829C-58DCC121EE4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6492</Words>
  <Characters>37009</Characters>
  <Lines>308</Lines>
  <Paragraphs>86</Paragraphs>
  <TotalTime>193</TotalTime>
  <ScaleCrop>false</ScaleCrop>
  <LinksUpToDate>false</LinksUpToDate>
  <CharactersWithSpaces>43415</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2021-08-20T06:22:00Z</dcterms:created>
  <dc:creator>USER</dc:creator>
  <cp:lastModifiedBy>郭虹</cp:lastModifiedBy>
  <cp:lastPrinted>2021-05-18T06:46:00Z</cp:lastPrinted>
  <dcterms:modified xsi:type="dcterms:W3CDTF">2021-11-26T08:20:19Z</dcterms:modified>
  <dc:title>绍兴文理学院计算机机房设备及录播系统供货项目</dc:title>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4D4D1710C26E4A4D9B46F25ECB9E2937</vt:lpwstr>
  </property>
</Properties>
</file>