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0" w:firstLineChars="50"/>
        <w:jc w:val="center"/>
        <w:outlineLvl w:val="0"/>
        <w:rPr>
          <w:rFonts w:hint="eastAsia" w:ascii="隶书" w:hAnsi="Arial" w:eastAsia="隶书" w:cs="Arial"/>
          <w:b/>
          <w:sz w:val="48"/>
          <w:szCs w:val="48"/>
          <w:lang w:eastAsia="zh-CN"/>
        </w:rPr>
      </w:pPr>
      <w:r>
        <w:rPr>
          <w:rFonts w:hint="eastAsia" w:ascii="隶书" w:hAnsi="Arial" w:eastAsia="隶书" w:cs="Arial"/>
          <w:b/>
          <w:sz w:val="48"/>
          <w:szCs w:val="48"/>
          <w:lang w:eastAsia="zh-CN"/>
        </w:rPr>
        <w:t>2022年汤浦水库流域水质监测及市级河长管理河道水质监测、市级湖长管理湖库水质监测项目</w:t>
      </w:r>
    </w:p>
    <w:p>
      <w:pPr>
        <w:spacing w:line="312" w:lineRule="auto"/>
        <w:jc w:val="both"/>
        <w:rPr>
          <w:rFonts w:ascii="隶书" w:hAnsi="Arial" w:eastAsia="隶书" w:cs="Arial"/>
          <w:b/>
          <w:sz w:val="13"/>
          <w:szCs w:val="13"/>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招标编号:YH2021-</w:t>
      </w:r>
      <w:r>
        <w:rPr>
          <w:rFonts w:hint="eastAsia" w:ascii="隶书" w:eastAsia="隶书"/>
          <w:b/>
          <w:sz w:val="28"/>
          <w:szCs w:val="28"/>
          <w:lang w:val="en-US" w:eastAsia="zh-CN"/>
        </w:rPr>
        <w:t>11048</w:t>
      </w:r>
    </w:p>
    <w:tbl>
      <w:tblPr>
        <w:tblStyle w:val="30"/>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绍兴市生态环境局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二一年</w:t>
            </w:r>
            <w:r>
              <w:rPr>
                <w:rFonts w:hint="eastAsia" w:ascii="隶书" w:eastAsia="隶书"/>
                <w:b/>
                <w:sz w:val="28"/>
                <w:szCs w:val="28"/>
                <w:lang w:eastAsia="zh-CN"/>
              </w:rPr>
              <w:t>十一</w:t>
            </w:r>
            <w:r>
              <w:rPr>
                <w:rFonts w:hint="eastAsia" w:ascii="隶书" w:eastAsia="隶书"/>
                <w:b/>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30"/>
        <w:tblW w:w="9026" w:type="dxa"/>
        <w:tblInd w:w="0" w:type="dxa"/>
        <w:tblLayout w:type="fixed"/>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9026" w:type="dxa"/>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3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eastAsia="zh-CN"/>
                    </w:rPr>
                    <w:t>2022年汤浦水库流域水质监测及市级河长管理河道水质监测、市级湖长管理湖库水质监测项目</w:t>
                  </w:r>
                  <w:r>
                    <w:rPr>
                      <w:rFonts w:hint="eastAsia" w:ascii="仿宋" w:hAnsi="仿宋" w:eastAsia="仿宋" w:cs="仿宋"/>
                      <w:kern w:val="0"/>
                      <w:sz w:val="24"/>
                    </w:rPr>
                    <w:t>的潜在供应商应在http://www.zcygov.cn/ 获取（下载）采购文件，并于2021年</w:t>
                  </w:r>
                  <w:r>
                    <w:rPr>
                      <w:rFonts w:hint="eastAsia" w:ascii="仿宋" w:hAnsi="仿宋" w:eastAsia="仿宋" w:cs="仿宋"/>
                      <w:kern w:val="0"/>
                      <w:sz w:val="24"/>
                      <w:lang w:val="en-US" w:eastAsia="zh-CN"/>
                    </w:rPr>
                    <w:t>12</w:t>
                  </w:r>
                  <w:r>
                    <w:rPr>
                      <w:rFonts w:hint="eastAsia" w:ascii="仿宋" w:hAnsi="仿宋" w:eastAsia="仿宋" w:cs="仿宋"/>
                      <w:kern w:val="0"/>
                      <w:sz w:val="24"/>
                    </w:rPr>
                    <w:t>月</w:t>
                  </w:r>
                  <w:r>
                    <w:rPr>
                      <w:rFonts w:hint="eastAsia" w:ascii="仿宋" w:hAnsi="仿宋" w:eastAsia="仿宋" w:cs="仿宋"/>
                      <w:kern w:val="0"/>
                      <w:sz w:val="24"/>
                      <w:lang w:val="en-US" w:eastAsia="zh-CN"/>
                    </w:rPr>
                    <w:t>17</w:t>
                  </w:r>
                  <w:r>
                    <w:rPr>
                      <w:rFonts w:hint="eastAsia" w:ascii="仿宋" w:hAnsi="仿宋" w:eastAsia="仿宋" w:cs="仿宋"/>
                      <w:kern w:val="0"/>
                      <w:sz w:val="24"/>
                    </w:rPr>
                    <w:t>日</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项目编号：YH2021-</w:t>
            </w:r>
            <w:r>
              <w:rPr>
                <w:rFonts w:hint="eastAsia" w:ascii="仿宋" w:hAnsi="仿宋" w:eastAsia="仿宋" w:cs="仿宋"/>
                <w:kern w:val="0"/>
                <w:sz w:val="24"/>
                <w:lang w:val="en-US" w:eastAsia="zh-CN"/>
              </w:rPr>
              <w:t>11048</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rPr>
              <w:t>项目名称：</w:t>
            </w:r>
            <w:r>
              <w:rPr>
                <w:rFonts w:hint="eastAsia" w:ascii="仿宋" w:hAnsi="仿宋" w:eastAsia="仿宋" w:cs="仿宋"/>
                <w:kern w:val="0"/>
                <w:sz w:val="24"/>
                <w:lang w:eastAsia="zh-CN"/>
              </w:rPr>
              <w:t>2022年汤浦水库流域水质监测及市级河长管理河道水质监测、市级湖长管理湖库水质监测项目</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采购方式：公开招标</w:t>
            </w:r>
          </w:p>
          <w:p>
            <w:pPr>
              <w:widowControl/>
              <w:snapToGrid w:val="0"/>
              <w:spacing w:line="288" w:lineRule="auto"/>
              <w:ind w:firstLine="480" w:firstLineChars="200"/>
              <w:rPr>
                <w:rFonts w:hint="default" w:ascii="仿宋" w:hAnsi="仿宋" w:eastAsia="仿宋" w:cs="仿宋"/>
                <w:kern w:val="0"/>
                <w:sz w:val="24"/>
                <w:lang w:val="en-US"/>
              </w:rPr>
            </w:pPr>
            <w:r>
              <w:rPr>
                <w:rFonts w:hint="eastAsia" w:ascii="仿宋" w:hAnsi="仿宋" w:eastAsia="仿宋" w:cs="仿宋"/>
                <w:kern w:val="0"/>
                <w:sz w:val="24"/>
              </w:rPr>
              <w:t>预算金额（元）：</w:t>
            </w:r>
            <w:r>
              <w:rPr>
                <w:rFonts w:hint="eastAsia" w:ascii="仿宋" w:hAnsi="仿宋" w:eastAsia="仿宋" w:cs="仿宋"/>
                <w:kern w:val="0"/>
                <w:sz w:val="24"/>
                <w:lang w:val="en-US" w:eastAsia="zh-CN"/>
              </w:rPr>
              <w:t>1050000</w:t>
            </w:r>
          </w:p>
          <w:p>
            <w:pPr>
              <w:widowControl/>
              <w:snapToGrid w:val="0"/>
              <w:spacing w:line="288" w:lineRule="auto"/>
              <w:ind w:firstLine="480" w:firstLineChars="200"/>
              <w:rPr>
                <w:rFonts w:hint="default" w:ascii="仿宋" w:hAnsi="仿宋" w:eastAsia="仿宋" w:cs="仿宋"/>
                <w:kern w:val="0"/>
                <w:sz w:val="24"/>
                <w:lang w:val="en-US"/>
              </w:rPr>
            </w:pPr>
            <w:r>
              <w:rPr>
                <w:rFonts w:hint="eastAsia" w:ascii="仿宋" w:hAnsi="仿宋" w:eastAsia="仿宋" w:cs="仿宋"/>
                <w:kern w:val="0"/>
                <w:sz w:val="24"/>
              </w:rPr>
              <w:t>最高限价（元）：</w:t>
            </w:r>
            <w:r>
              <w:rPr>
                <w:rFonts w:hint="eastAsia" w:ascii="仿宋" w:hAnsi="仿宋" w:eastAsia="仿宋" w:cs="仿宋"/>
                <w:kern w:val="0"/>
                <w:sz w:val="24"/>
                <w:lang w:val="en-US" w:eastAsia="zh-CN"/>
              </w:rPr>
              <w:t>1050000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标项名称:</w:t>
            </w:r>
            <w:r>
              <w:rPr>
                <w:rFonts w:hint="eastAsia" w:ascii="仿宋" w:hAnsi="仿宋" w:eastAsia="仿宋" w:cs="仿宋"/>
                <w:kern w:val="0"/>
                <w:sz w:val="24"/>
                <w:lang w:eastAsia="zh-CN"/>
              </w:rPr>
              <w:t>2022年汤浦水库流域水质监测及市级河长管理河道水质监测、市级湖长管理湖库水质监测项目</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数量:不限</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hint="eastAsia" w:ascii="仿宋" w:hAnsi="仿宋" w:eastAsia="仿宋" w:cs="仿宋"/>
                <w:kern w:val="0"/>
                <w:sz w:val="24"/>
                <w:lang w:val="en-US" w:eastAsia="zh-CN"/>
              </w:rPr>
              <w:t>1050000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9"/>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3.本项目的特定资格要求：无。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时间：/至2021年</w:t>
            </w:r>
            <w:r>
              <w:rPr>
                <w:rFonts w:hint="eastAsia" w:ascii="仿宋" w:hAnsi="仿宋" w:eastAsia="仿宋" w:cs="仿宋"/>
                <w:kern w:val="0"/>
                <w:sz w:val="24"/>
                <w:lang w:val="en-US" w:eastAsia="zh-CN"/>
              </w:rPr>
              <w:t>12</w:t>
            </w:r>
            <w:r>
              <w:rPr>
                <w:rFonts w:hint="eastAsia" w:ascii="仿宋" w:hAnsi="仿宋" w:eastAsia="仿宋" w:cs="仿宋"/>
                <w:kern w:val="0"/>
                <w:sz w:val="24"/>
              </w:rPr>
              <w:t>月</w:t>
            </w:r>
            <w:r>
              <w:rPr>
                <w:rFonts w:hint="eastAsia" w:ascii="仿宋" w:hAnsi="仿宋" w:eastAsia="仿宋" w:cs="仿宋"/>
                <w:kern w:val="0"/>
                <w:sz w:val="24"/>
                <w:lang w:val="en-US" w:eastAsia="zh-CN"/>
              </w:rPr>
              <w:t>17</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提交投标文件截止时间：2021年</w:t>
            </w:r>
            <w:r>
              <w:rPr>
                <w:rFonts w:hint="eastAsia" w:ascii="仿宋" w:hAnsi="仿宋" w:eastAsia="仿宋" w:cs="仿宋"/>
                <w:kern w:val="0"/>
                <w:sz w:val="24"/>
                <w:lang w:val="en-US" w:eastAsia="zh-CN"/>
              </w:rPr>
              <w:t>12</w:t>
            </w:r>
            <w:r>
              <w:rPr>
                <w:rFonts w:hint="eastAsia" w:ascii="仿宋" w:hAnsi="仿宋" w:eastAsia="仿宋" w:cs="仿宋"/>
                <w:kern w:val="0"/>
                <w:sz w:val="24"/>
              </w:rPr>
              <w:t>月</w:t>
            </w:r>
            <w:r>
              <w:rPr>
                <w:rFonts w:hint="eastAsia" w:ascii="仿宋" w:hAnsi="仿宋" w:eastAsia="仿宋" w:cs="仿宋"/>
                <w:kern w:val="0"/>
                <w:sz w:val="24"/>
                <w:lang w:val="en-US" w:eastAsia="zh-CN"/>
              </w:rPr>
              <w:t>17</w:t>
            </w:r>
            <w:r>
              <w:rPr>
                <w:rFonts w:hint="eastAsia" w:ascii="仿宋" w:hAnsi="仿宋" w:eastAsia="仿宋" w:cs="仿宋"/>
                <w:kern w:val="0"/>
                <w:sz w:val="24"/>
              </w:rPr>
              <w:t>日</w:t>
            </w:r>
            <w:r>
              <w:rPr>
                <w:rFonts w:hint="eastAsia" w:ascii="仿宋" w:hAnsi="仿宋" w:eastAsia="仿宋" w:cs="仿宋"/>
                <w:kern w:val="0"/>
                <w:sz w:val="24"/>
                <w:lang w:val="en-US" w:eastAsia="zh-CN"/>
              </w:rPr>
              <w:t>14：00</w:t>
            </w:r>
            <w:r>
              <w:rPr>
                <w:rFonts w:hint="eastAsia" w:ascii="仿宋" w:hAnsi="仿宋" w:eastAsia="仿宋" w:cs="仿宋"/>
                <w:kern w:val="0"/>
                <w:sz w:val="24"/>
              </w:rPr>
              <w:t>（北京时间）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开标时间：2021年</w:t>
            </w:r>
            <w:r>
              <w:rPr>
                <w:rFonts w:hint="eastAsia" w:ascii="仿宋" w:hAnsi="仿宋" w:eastAsia="仿宋" w:cs="仿宋"/>
                <w:kern w:val="0"/>
                <w:sz w:val="24"/>
                <w:lang w:val="en-US" w:eastAsia="zh-CN"/>
              </w:rPr>
              <w:t>12</w:t>
            </w:r>
            <w:r>
              <w:rPr>
                <w:rFonts w:hint="eastAsia" w:ascii="仿宋" w:hAnsi="仿宋" w:eastAsia="仿宋" w:cs="仿宋"/>
                <w:kern w:val="0"/>
                <w:sz w:val="24"/>
              </w:rPr>
              <w:t>月</w:t>
            </w:r>
            <w:r>
              <w:rPr>
                <w:rFonts w:hint="eastAsia" w:ascii="仿宋" w:hAnsi="仿宋" w:eastAsia="仿宋" w:cs="仿宋"/>
                <w:kern w:val="0"/>
                <w:sz w:val="24"/>
                <w:lang w:val="en-US" w:eastAsia="zh-CN"/>
              </w:rPr>
              <w:t>17</w:t>
            </w:r>
            <w:r>
              <w:rPr>
                <w:rFonts w:hint="eastAsia" w:ascii="仿宋" w:hAnsi="仿宋" w:eastAsia="仿宋" w:cs="仿宋"/>
                <w:kern w:val="0"/>
                <w:sz w:val="24"/>
              </w:rPr>
              <w:t>日</w:t>
            </w:r>
            <w:r>
              <w:rPr>
                <w:rFonts w:hint="eastAsia" w:ascii="仿宋" w:hAnsi="仿宋" w:eastAsia="仿宋" w:cs="仿宋"/>
                <w:kern w:val="0"/>
                <w:sz w:val="24"/>
                <w:lang w:val="en-US" w:eastAsia="zh-CN"/>
              </w:rPr>
              <w:t>14</w:t>
            </w:r>
            <w:bookmarkStart w:id="8" w:name="_GoBack"/>
            <w:bookmarkEnd w:id="8"/>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w:t>
            </w:r>
            <w:r>
              <w:rPr>
                <w:rFonts w:hint="eastAsia" w:ascii="仿宋" w:hAnsi="仿宋" w:eastAsia="仿宋" w:cs="仿宋"/>
                <w:kern w:val="0"/>
                <w:sz w:val="24"/>
                <w:lang w:eastAsia="zh-CN"/>
              </w:rPr>
              <w:t>绍兴市生态环境局</w:t>
            </w:r>
            <w:r>
              <w:rPr>
                <w:rFonts w:hint="eastAsia" w:ascii="仿宋" w:hAnsi="仿宋" w:eastAsia="仿宋" w:cs="仿宋"/>
                <w:kern w:val="0"/>
                <w:sz w:val="24"/>
              </w:rPr>
              <w:t xml:space="preserve"> </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地址：浙江省绍兴市越城区解放北路588号</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 xml:space="preserve">传真：/  </w:t>
            </w:r>
          </w:p>
          <w:p>
            <w:pPr>
              <w:spacing w:line="420" w:lineRule="exact"/>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项目联系人（询问）：</w:t>
            </w:r>
            <w:r>
              <w:rPr>
                <w:rFonts w:hint="eastAsia" w:ascii="仿宋" w:hAnsi="仿宋" w:eastAsia="仿宋" w:cs="仿宋"/>
                <w:bCs/>
                <w:sz w:val="24"/>
              </w:rPr>
              <w:t>叶</w:t>
            </w:r>
            <w:r>
              <w:rPr>
                <w:rFonts w:hint="eastAsia" w:ascii="仿宋" w:hAnsi="仿宋" w:eastAsia="仿宋" w:cs="仿宋"/>
                <w:bCs/>
                <w:color w:val="auto"/>
                <w:sz w:val="24"/>
              </w:rPr>
              <w:t xml:space="preserve">兴方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eastAsia="zh-CN"/>
              </w:rPr>
              <w:t>项目联系方式（询问）：</w:t>
            </w:r>
            <w:r>
              <w:rPr>
                <w:rFonts w:hint="eastAsia" w:ascii="仿宋" w:hAnsi="仿宋" w:eastAsia="仿宋" w:cs="仿宋"/>
                <w:bCs/>
                <w:color w:val="auto"/>
                <w:sz w:val="24"/>
              </w:rPr>
              <w:t>0575-85137421</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质疑联系人：</w:t>
            </w:r>
            <w:r>
              <w:rPr>
                <w:rFonts w:hint="eastAsia" w:ascii="仿宋" w:hAnsi="仿宋" w:eastAsia="仿宋" w:cs="仿宋"/>
                <w:bCs/>
                <w:color w:val="auto"/>
                <w:sz w:val="24"/>
              </w:rPr>
              <w:t>叶兴方</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质疑联系方式：</w:t>
            </w:r>
            <w:r>
              <w:rPr>
                <w:rFonts w:hint="eastAsia" w:ascii="仿宋" w:hAnsi="仿宋" w:eastAsia="仿宋" w:cs="仿宋"/>
                <w:bCs/>
                <w:color w:val="auto"/>
                <w:sz w:val="24"/>
              </w:rPr>
              <w:t>0575-85137421</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w:t>
            </w:r>
            <w:r>
              <w:rPr>
                <w:rFonts w:hint="eastAsia" w:ascii="仿宋" w:hAnsi="仿宋" w:eastAsia="仿宋" w:cs="仿宋"/>
                <w:kern w:val="0"/>
                <w:sz w:val="24"/>
                <w:lang w:eastAsia="zh-CN"/>
              </w:rPr>
              <w:t>凌静</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b/>
                <w:bCs/>
                <w:kern w:val="0"/>
                <w:sz w:val="24"/>
              </w:rPr>
            </w:pPr>
            <w:r>
              <w:rPr>
                <w:rFonts w:hint="eastAsia" w:ascii="仿宋" w:hAnsi="仿宋" w:eastAsia="仿宋" w:cs="仿宋"/>
                <w:kern w:val="0"/>
                <w:sz w:val="24"/>
              </w:rPr>
              <w:t>项目联系方式（询问）：0575-</w:t>
            </w:r>
            <w:r>
              <w:rPr>
                <w:rFonts w:hint="eastAsia" w:ascii="仿宋" w:hAnsi="仿宋" w:eastAsia="仿宋" w:cs="仿宋"/>
                <w:kern w:val="0"/>
                <w:sz w:val="24"/>
                <w:lang w:val="en-US" w:eastAsia="zh-CN"/>
              </w:rPr>
              <w:t>88776697</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质疑联系方式：0575-88</w:t>
            </w:r>
            <w:r>
              <w:rPr>
                <w:rFonts w:hint="eastAsia" w:ascii="仿宋" w:hAnsi="仿宋" w:eastAsia="仿宋" w:cs="仿宋"/>
                <w:kern w:val="0"/>
                <w:sz w:val="24"/>
                <w:lang w:val="en-US" w:eastAsia="zh-CN"/>
              </w:rPr>
              <w:t>336881</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联系人：</w:t>
            </w:r>
            <w:r>
              <w:rPr>
                <w:rFonts w:hint="eastAsia" w:ascii="仿宋" w:hAnsi="仿宋" w:eastAsia="仿宋" w:cs="仿宋"/>
                <w:kern w:val="0"/>
                <w:sz w:val="24"/>
                <w:lang w:eastAsia="zh-CN"/>
              </w:rPr>
              <w:t>宋晓林</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监督投诉电话：0575-85209</w:t>
            </w:r>
            <w:r>
              <w:rPr>
                <w:rFonts w:hint="eastAsia" w:ascii="仿宋" w:hAnsi="仿宋" w:eastAsia="仿宋" w:cs="仿宋"/>
                <w:kern w:val="0"/>
                <w:sz w:val="24"/>
                <w:lang w:val="en-US" w:eastAsia="zh-CN"/>
              </w:rPr>
              <w:t>697</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3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tcBorders>
              <w:bottom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tcBorders>
              <w:bottom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tcBorders>
              <w:top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本项目不采购进口产品，投标人所提供的货物和服务须在我国境内合法销售。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rPr>
                <w:rFonts w:hint="eastAsia"/>
              </w:rPr>
              <w:fldChar w:fldCharType="begin"/>
            </w:r>
            <w:r>
              <w:instrText xml:space="preserve"> HYPERLINK "https://help.zcygov.cn/web/site_2/2018/12-28/2573.html" </w:instrText>
            </w:r>
            <w:r>
              <w:rPr>
                <w:rFonts w:hint="eastAsia"/>
              </w:rPr>
              <w:fldChar w:fldCharType="separate"/>
            </w:r>
            <w:r>
              <w:rPr>
                <w:rStyle w:val="37"/>
                <w:rFonts w:hint="eastAsia" w:ascii="仿宋" w:hAnsi="仿宋" w:eastAsia="仿宋" w:cs="仿宋"/>
                <w:color w:val="auto"/>
                <w:sz w:val="24"/>
              </w:rPr>
              <w:t>https://help.zcygov.cn/web/site_2/2018/12-28/2573.html</w:t>
            </w:r>
            <w:r>
              <w:rPr>
                <w:rStyle w:val="37"/>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color w:val="auto"/>
                <w:sz w:val="24"/>
              </w:rPr>
            </w:pPr>
            <w:r>
              <w:rPr>
                <w:rFonts w:hint="eastAsia" w:ascii="仿宋" w:hAnsi="仿宋" w:eastAsia="仿宋" w:cs="仿宋"/>
                <w:sz w:val="24"/>
              </w:rPr>
              <w:t>其他：</w:t>
            </w:r>
            <w:r>
              <w:rPr>
                <w:rFonts w:hint="eastAsia" w:ascii="仿宋" w:hAnsi="仿宋" w:eastAsia="仿宋" w:cs="仿宋"/>
                <w:color w:val="auto"/>
                <w:sz w:val="24"/>
              </w:rPr>
              <w:t>中标服务费</w:t>
            </w:r>
          </w:p>
          <w:p>
            <w:pPr>
              <w:spacing w:line="312" w:lineRule="auto"/>
              <w:rPr>
                <w:rFonts w:ascii="仿宋" w:hAnsi="仿宋" w:eastAsia="仿宋" w:cs="仿宋"/>
                <w:color w:val="auto"/>
                <w:sz w:val="24"/>
              </w:rPr>
            </w:pPr>
            <w:r>
              <w:rPr>
                <w:rFonts w:hint="eastAsia" w:ascii="仿宋" w:hAnsi="仿宋" w:eastAsia="仿宋" w:cs="仿宋"/>
                <w:color w:val="auto"/>
                <w:sz w:val="24"/>
              </w:rPr>
              <w:t>中标人须向招标代理机构交纳中标服务费：</w:t>
            </w:r>
          </w:p>
          <w:p>
            <w:pPr>
              <w:numPr>
                <w:ilvl w:val="0"/>
                <w:numId w:val="6"/>
              </w:numPr>
              <w:spacing w:line="340" w:lineRule="exact"/>
              <w:rPr>
                <w:rFonts w:hint="eastAsia" w:ascii="仿宋" w:hAnsi="仿宋" w:eastAsia="仿宋"/>
                <w:color w:val="auto"/>
                <w:sz w:val="24"/>
              </w:rPr>
            </w:pPr>
            <w:r>
              <w:rPr>
                <w:rFonts w:hint="eastAsia" w:ascii="仿宋" w:hAnsi="仿宋" w:eastAsia="仿宋" w:cs="仿宋"/>
                <w:color w:val="auto"/>
                <w:sz w:val="24"/>
              </w:rPr>
              <w:t>中标人须向招标代理机构交纳代理服务费：</w:t>
            </w:r>
            <w:r>
              <w:rPr>
                <w:rFonts w:hint="eastAsia" w:ascii="仿宋" w:hAnsi="仿宋" w:eastAsia="仿宋"/>
                <w:color w:val="auto"/>
                <w:sz w:val="24"/>
              </w:rPr>
              <w:t>以中标通知中确定的中标总金额作为服务费的计算基数，具体比例参照《国家计委关于印发&lt;招标代理服务收费管理暂行办法&gt;的通知》（计价格[ 2002 ] 1980号）执行。收费标准：中标金额在100万以下部分为1.5%，不足5000元按5000元收取。</w:t>
            </w:r>
          </w:p>
          <w:p>
            <w:pPr>
              <w:spacing w:line="288" w:lineRule="auto"/>
              <w:rPr>
                <w:rFonts w:hint="eastAsia"/>
                <w:color w:val="auto"/>
                <w:lang w:eastAsia="zh-CN"/>
              </w:rPr>
            </w:pPr>
            <w:r>
              <w:rPr>
                <w:rFonts w:hint="eastAsia" w:ascii="仿宋" w:hAnsi="仿宋" w:eastAsia="仿宋" w:cs="仿宋"/>
                <w:color w:val="auto"/>
                <w:sz w:val="24"/>
              </w:rPr>
              <w:t>（2）本次招标评审所产生的费用由中标单位支付（备注：评审费不提供发票，只提供评委签收单据）。</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）中标服务费的交纳方式：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rPr>
          <w:rFonts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ascii="仿宋" w:hAnsi="仿宋" w:eastAsia="仿宋" w:cs="仿宋"/>
          <w:sz w:val="24"/>
        </w:rPr>
      </w:pPr>
      <w:r>
        <w:rPr>
          <w:rFonts w:hint="eastAsia" w:ascii="仿宋" w:hAnsi="仿宋" w:eastAsia="仿宋" w:cs="仿宋"/>
          <w:b/>
          <w:bCs/>
          <w:sz w:val="24"/>
        </w:rPr>
        <w:t>1. 项目说明</w:t>
      </w:r>
    </w:p>
    <w:p>
      <w:pPr>
        <w:snapToGrid w:val="0"/>
        <w:spacing w:line="288"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cs="仿宋"/>
          <w:b/>
          <w:sz w:val="24"/>
        </w:rPr>
      </w:pPr>
      <w:r>
        <w:rPr>
          <w:rFonts w:hint="eastAsia" w:ascii="仿宋" w:hAnsi="仿宋" w:eastAsia="仿宋" w:cs="仿宋"/>
          <w:b/>
          <w:sz w:val="24"/>
        </w:rPr>
        <w:t>2.定义</w:t>
      </w:r>
    </w:p>
    <w:p>
      <w:pPr>
        <w:snapToGrid w:val="0"/>
        <w:spacing w:line="288"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绍兴市生态环境局</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2.1.3中小企业声明函（如有，格式见第六部分附件）；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8" w:lineRule="auto"/>
        <w:ind w:firstLine="480" w:firstLineChars="200"/>
        <w:rPr>
          <w:rFonts w:ascii="仿宋" w:hAnsi="仿宋" w:eastAsia="仿宋" w:cs="仿宋"/>
          <w:sz w:val="24"/>
        </w:rPr>
      </w:pPr>
      <w:bookmarkStart w:id="0" w:name="_Hlt68072998"/>
      <w:bookmarkEnd w:id="0"/>
      <w:bookmarkStart w:id="1" w:name="_Hlt68403820"/>
      <w:bookmarkEnd w:id="1"/>
      <w:bookmarkStart w:id="2" w:name="_Hlt68073093"/>
      <w:bookmarkEnd w:id="2"/>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（2）2020年度资产负债表等财务报表资料文件(新成立的公司提供情况证明)；</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r>
        <w:rPr>
          <w:rFonts w:hint="eastAsia" w:ascii="仿宋" w:hAnsi="仿宋" w:eastAsia="仿宋" w:cs="仿宋"/>
          <w:sz w:val="24"/>
          <w:szCs w:val="20"/>
        </w:rPr>
        <w:t>需要特别声明“没有因违反《浙江省政府采购供应商注册及诚信管理暂行办法》被列入‘黑名单’，在处罚有效期”）；</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napToGrid w:val="0"/>
        <w:spacing w:line="288" w:lineRule="auto"/>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15"/>
        <w:snapToGrid w:val="0"/>
        <w:spacing w:line="288" w:lineRule="auto"/>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2.2.13培训计划；（如果有）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2.2.14验收方案；</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ascii="仿宋" w:hAnsi="仿宋" w:eastAsia="仿宋" w:cs="仿宋"/>
          <w:kern w:val="0"/>
          <w:sz w:val="24"/>
        </w:rPr>
      </w:pPr>
      <w:r>
        <w:rPr>
          <w:rFonts w:hint="eastAsia" w:ascii="仿宋" w:hAnsi="仿宋" w:eastAsia="仿宋" w:cs="仿宋"/>
          <w:sz w:val="24"/>
          <w:lang w:val="zh-CN"/>
        </w:rPr>
        <w:t>2.2.16廉政承诺书</w:t>
      </w:r>
      <w:r>
        <w:rPr>
          <w:rFonts w:hint="eastAsia" w:ascii="仿宋" w:hAnsi="仿宋" w:eastAsia="仿宋" w:cs="仿宋"/>
          <w:sz w:val="24"/>
        </w:rPr>
        <w:t>（格式见第六部分附件）；</w:t>
      </w:r>
    </w:p>
    <w:p>
      <w:pPr>
        <w:snapToGrid w:val="0"/>
        <w:spacing w:line="288" w:lineRule="auto"/>
        <w:jc w:val="left"/>
        <w:rPr>
          <w:rFonts w:ascii="仿宋" w:hAnsi="仿宋" w:eastAsia="仿宋" w:cs="仿宋"/>
          <w:sz w:val="24"/>
        </w:rPr>
      </w:pPr>
      <w:r>
        <w:rPr>
          <w:rFonts w:hint="eastAsia" w:ascii="仿宋" w:hAnsi="仿宋" w:eastAsia="仿宋" w:cs="仿宋"/>
          <w:sz w:val="24"/>
        </w:rPr>
        <w:t>2.2.17</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2.2.18投标人需要说明的其他文件和说明（格式自拟）。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5"/>
        <w:spacing w:line="288" w:lineRule="auto"/>
        <w:ind w:firstLine="726"/>
        <w:jc w:val="center"/>
        <w:rPr>
          <w:rFonts w:ascii="仿宋" w:hAnsi="仿宋" w:eastAsia="仿宋" w:cs="仿宋"/>
          <w:b/>
          <w:color w:val="000000" w:themeColor="text1"/>
          <w:sz w:val="36"/>
          <w:szCs w:val="36"/>
        </w:rPr>
      </w:pPr>
      <w:bookmarkStart w:id="3" w:name="_Toc84325929"/>
      <w:bookmarkStart w:id="4" w:name="_Toc81372776"/>
      <w:bookmarkStart w:id="5" w:name="_Toc81372953"/>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70"/>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rPr>
          <w:rFonts w:hint="eastAsia"/>
        </w:rPr>
        <w:fldChar w:fldCharType="begin"/>
      </w:r>
      <w:r>
        <w:instrText xml:space="preserve"> HYPERLINK "http://zfcg.czt.zj.gov.cn/" </w:instrText>
      </w:r>
      <w:r>
        <w:rPr>
          <w:rFonts w:hint="eastAsia"/>
        </w:rPr>
        <w:fldChar w:fldCharType="separate"/>
      </w:r>
      <w:r>
        <w:rPr>
          <w:rStyle w:val="37"/>
          <w:rFonts w:hint="eastAsia" w:ascii="仿宋" w:hAnsi="仿宋" w:eastAsia="仿宋" w:cs="仿宋"/>
          <w:color w:val="000000" w:themeColor="text1"/>
          <w:szCs w:val="24"/>
        </w:rPr>
        <w:t>http://zfcg.czt.zj.gov.cn</w:t>
      </w:r>
      <w:r>
        <w:rPr>
          <w:rStyle w:val="37"/>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rPr>
          <w:rFonts w:hint="eastAsia"/>
        </w:rPr>
        <w:fldChar w:fldCharType="begin"/>
      </w:r>
      <w:r>
        <w:instrText xml:space="preserve"> HYPERLINK "http://ggb.sx.gov.cn" </w:instrText>
      </w:r>
      <w:r>
        <w:rPr>
          <w:rFonts w:hint="eastAsia"/>
        </w:rPr>
        <w:fldChar w:fldCharType="separate"/>
      </w:r>
      <w:r>
        <w:rPr>
          <w:rStyle w:val="37"/>
          <w:rFonts w:hint="eastAsia" w:ascii="仿宋" w:hAnsi="仿宋" w:eastAsia="仿宋" w:cs="仿宋"/>
          <w:color w:val="000000" w:themeColor="text1"/>
        </w:rPr>
        <w:t>http://ggb.sx.gov.cn</w:t>
      </w:r>
      <w:r>
        <w:rPr>
          <w:rStyle w:val="37"/>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hint="eastAsia" w:ascii="仿宋" w:hAnsi="仿宋" w:eastAsia="仿宋" w:cs="仿宋"/>
          <w:b/>
          <w:color w:val="auto"/>
          <w:sz w:val="24"/>
          <w:lang w:eastAsia="zh-CN"/>
        </w:rPr>
      </w:pPr>
      <w:r>
        <w:rPr>
          <w:rFonts w:hint="eastAsia" w:ascii="仿宋" w:hAnsi="仿宋" w:eastAsia="仿宋" w:cs="仿宋"/>
          <w:b/>
          <w:color w:val="auto"/>
          <w:sz w:val="24"/>
        </w:rPr>
        <w:t>4.履约保证金</w:t>
      </w:r>
      <w:r>
        <w:rPr>
          <w:rFonts w:hint="eastAsia" w:ascii="仿宋" w:hAnsi="仿宋" w:eastAsia="仿宋" w:cs="仿宋"/>
          <w:b/>
          <w:color w:val="auto"/>
          <w:sz w:val="24"/>
          <w:lang w:eastAsia="zh-CN"/>
        </w:rPr>
        <w:t>：无</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15"/>
        <w:spacing w:line="288"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5"/>
        <w:adjustRightInd/>
        <w:spacing w:line="288" w:lineRule="auto"/>
        <w:ind w:firstLine="480" w:firstLineChars="200"/>
        <w:rPr>
          <w:rFonts w:ascii="仿宋" w:hAnsi="仿宋" w:eastAsia="仿宋" w:cs="仿宋"/>
          <w:b/>
          <w:sz w:val="36"/>
          <w:szCs w:val="36"/>
        </w:rPr>
      </w:pPr>
      <w:r>
        <w:rPr>
          <w:rFonts w:hint="eastAsia" w:ascii="仿宋" w:hAnsi="仿宋" w:eastAsia="仿宋" w:cs="仿宋"/>
          <w:sz w:val="24"/>
        </w:rPr>
        <w:t>7.质疑函范本、投诉书范本请到浙江政府采购网下载专区下载。</w:t>
      </w:r>
    </w:p>
    <w:p>
      <w:pPr>
        <w:pStyle w:val="15"/>
        <w:adjustRightInd/>
        <w:spacing w:line="288" w:lineRule="auto"/>
        <w:jc w:val="center"/>
        <w:rPr>
          <w:rFonts w:ascii="仿宋" w:hAnsi="仿宋" w:eastAsia="仿宋" w:cs="仿宋"/>
          <w:b/>
          <w:sz w:val="36"/>
          <w:szCs w:val="36"/>
        </w:rPr>
      </w:pPr>
    </w:p>
    <w:p>
      <w:pPr>
        <w:pStyle w:val="15"/>
        <w:adjustRightInd/>
        <w:spacing w:line="288" w:lineRule="auto"/>
        <w:jc w:val="both"/>
        <w:rPr>
          <w:rFonts w:hint="eastAsia" w:ascii="仿宋" w:hAnsi="仿宋" w:eastAsia="仿宋" w:cs="仿宋"/>
          <w:b/>
          <w:sz w:val="36"/>
          <w:szCs w:val="36"/>
        </w:rPr>
      </w:pPr>
    </w:p>
    <w:p>
      <w:pPr>
        <w:pStyle w:val="15"/>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b/>
          <w:sz w:val="36"/>
          <w:szCs w:val="36"/>
        </w:rPr>
      </w:pPr>
    </w:p>
    <w:p>
      <w:pPr>
        <w:pStyle w:val="15"/>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b/>
          <w:sz w:val="36"/>
          <w:szCs w:val="36"/>
        </w:rPr>
      </w:pPr>
    </w:p>
    <w:p>
      <w:pPr>
        <w:pStyle w:val="15"/>
        <w:keepNext w:val="0"/>
        <w:keepLines w:val="0"/>
        <w:pageBreakBefore w:val="0"/>
        <w:kinsoku/>
        <w:wordWrap/>
        <w:overflowPunct/>
        <w:topLinePunct w:val="0"/>
        <w:bidi w:val="0"/>
        <w:adjustRightInd/>
        <w:spacing w:line="288" w:lineRule="auto"/>
        <w:jc w:val="center"/>
        <w:textAlignment w:val="auto"/>
        <w:rPr>
          <w:rFonts w:hint="eastAsia" w:ascii="仿宋" w:hAnsi="仿宋" w:eastAsia="仿宋" w:cs="仿宋"/>
          <w:b/>
          <w:sz w:val="36"/>
          <w:szCs w:val="36"/>
        </w:rPr>
      </w:pPr>
    </w:p>
    <w:p>
      <w:pPr>
        <w:pStyle w:val="15"/>
        <w:keepNext w:val="0"/>
        <w:keepLines w:val="0"/>
        <w:pageBreakBefore w:val="0"/>
        <w:kinsoku/>
        <w:wordWrap/>
        <w:overflowPunct/>
        <w:topLinePunct w:val="0"/>
        <w:bidi w:val="0"/>
        <w:adjustRightInd/>
        <w:spacing w:line="288" w:lineRule="auto"/>
        <w:jc w:val="center"/>
        <w:textAlignment w:val="auto"/>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autoSpaceDE w:val="0"/>
        <w:autoSpaceDN w:val="0"/>
        <w:spacing w:line="360" w:lineRule="exact"/>
        <w:jc w:val="left"/>
        <w:rPr>
          <w:rFonts w:hint="eastAsia" w:ascii="仿宋" w:hAnsi="仿宋" w:eastAsia="仿宋" w:cs="仿宋"/>
          <w:b/>
          <w:color w:val="000000"/>
          <w:sz w:val="24"/>
        </w:rPr>
      </w:pPr>
      <w:r>
        <w:rPr>
          <w:rFonts w:hint="eastAsia" w:ascii="仿宋" w:hAnsi="仿宋" w:eastAsia="仿宋" w:cs="仿宋"/>
          <w:b/>
          <w:color w:val="000000"/>
          <w:sz w:val="24"/>
        </w:rPr>
        <w:t>一、项目概况</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根据《关于加强汤浦水库流域地表水水质监测工作的通知》（绍市环函〔2018〕260号）、《中共绍兴市委办公室、绍兴市人民政府办公室关于调整市级河长及其管理河道的通知》（绍市委办综〔2016〕36 号）；《关于调整绍兴市级河长管理河道水质监测工作的函》（绍市水城办函〔2016〕105号）；《关于新增市级河长管理河道（片区）水质监测考核断面的函》（绍市水城办函〔2017〕63 号）、省治水办《关于全面推进河（湖）长制提档升级工作的通知》（浙治水办发〔2020〕1号）文件精神，为推进和保障汤浦水库流域地表水水质，和河（湖）长制实施,促进综合治水,及时掌握水质状况变化，突出水质提升在汤浦水库、河（湖）长制工作中的引领作用，由市生态环境局组织开展汤浦水库流域和市级河（湖）长管理河道（湖库）水质断面监测工作。</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汤浦水库流域地表水水质监测共23个水质断面，分布在汤浦水库及上游，监测指标为pH、高锰酸盐指数、氨氮、总磷、总氮等5项。</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市级河长管理河道水质监测</w:t>
      </w:r>
      <w:r>
        <w:rPr>
          <w:rFonts w:hint="eastAsia" w:ascii="仿宋" w:hAnsi="仿宋" w:eastAsia="仿宋" w:cs="仿宋"/>
          <w:bCs/>
          <w:color w:val="auto"/>
          <w:sz w:val="24"/>
        </w:rPr>
        <w:t>共85个水</w:t>
      </w:r>
      <w:r>
        <w:rPr>
          <w:rFonts w:hint="eastAsia" w:ascii="仿宋" w:hAnsi="仿宋" w:eastAsia="仿宋" w:cs="仿宋"/>
          <w:bCs/>
          <w:sz w:val="24"/>
        </w:rPr>
        <w:t>质断面，分布在各区、县（市），监测指标为高锰酸盐指数、氨氮、总磷、溶解氧、五日生化需氧量、化学需氧量等6项。</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市级湖长管理湖库水质监测共29个市级湖库水质断面，分布在各区、县（市），监测指标为高锰酸盐指数、氨氮、总磷、溶解氧、五日生化需氧量、化学需氧量等6项。2022年1月开始，每月监测1次，月初监测，当月上报。</w:t>
      </w:r>
    </w:p>
    <w:p>
      <w:pPr>
        <w:spacing w:line="400" w:lineRule="exact"/>
        <w:rPr>
          <w:rFonts w:hint="eastAsia" w:ascii="仿宋" w:hAnsi="仿宋" w:eastAsia="仿宋" w:cs="仿宋"/>
          <w:b/>
          <w:sz w:val="24"/>
        </w:rPr>
      </w:pPr>
      <w:r>
        <w:rPr>
          <w:rFonts w:hint="eastAsia" w:ascii="仿宋" w:hAnsi="仿宋" w:eastAsia="仿宋" w:cs="仿宋"/>
          <w:b/>
          <w:sz w:val="24"/>
        </w:rPr>
        <w:t>二、项目要求</w:t>
      </w:r>
    </w:p>
    <w:p>
      <w:pPr>
        <w:spacing w:line="400" w:lineRule="exact"/>
        <w:rPr>
          <w:rFonts w:hint="eastAsia" w:ascii="仿宋" w:hAnsi="仿宋" w:eastAsia="仿宋" w:cs="仿宋"/>
          <w:b/>
          <w:sz w:val="24"/>
        </w:rPr>
      </w:pPr>
      <w:r>
        <w:rPr>
          <w:rFonts w:hint="eastAsia" w:ascii="仿宋" w:hAnsi="仿宋" w:eastAsia="仿宋" w:cs="仿宋"/>
          <w:b/>
          <w:sz w:val="24"/>
        </w:rPr>
        <w:t>1.监测要求</w:t>
      </w:r>
    </w:p>
    <w:p>
      <w:pPr>
        <w:spacing w:line="400" w:lineRule="exact"/>
        <w:ind w:firstLine="472" w:firstLineChars="196"/>
        <w:rPr>
          <w:rFonts w:hint="eastAsia" w:ascii="仿宋" w:hAnsi="仿宋" w:eastAsia="仿宋" w:cs="仿宋"/>
          <w:b/>
          <w:bCs/>
          <w:sz w:val="24"/>
        </w:rPr>
      </w:pPr>
      <w:r>
        <w:rPr>
          <w:rFonts w:hint="eastAsia" w:ascii="仿宋" w:hAnsi="仿宋" w:eastAsia="仿宋" w:cs="仿宋"/>
          <w:b/>
          <w:bCs/>
          <w:sz w:val="24"/>
        </w:rPr>
        <w:t>1.1 监测范围：</w:t>
      </w:r>
    </w:p>
    <w:p>
      <w:pPr>
        <w:spacing w:line="400" w:lineRule="exact"/>
        <w:ind w:firstLine="360" w:firstLineChars="150"/>
        <w:rPr>
          <w:rFonts w:hint="eastAsia" w:ascii="仿宋" w:hAnsi="仿宋" w:eastAsia="仿宋" w:cs="仿宋"/>
          <w:bCs/>
          <w:sz w:val="24"/>
        </w:rPr>
      </w:pPr>
      <w:r>
        <w:rPr>
          <w:rFonts w:hint="eastAsia" w:ascii="仿宋" w:hAnsi="仿宋" w:eastAsia="仿宋" w:cs="仿宋"/>
          <w:bCs/>
          <w:sz w:val="24"/>
        </w:rPr>
        <w:t>全市汤浦水库流域地表水水质监测23个水质断面，市级河长管理河道水质监测</w:t>
      </w:r>
      <w:r>
        <w:rPr>
          <w:rFonts w:hint="eastAsia" w:ascii="仿宋" w:hAnsi="仿宋" w:eastAsia="仿宋" w:cs="仿宋"/>
          <w:bCs/>
          <w:color w:val="FF0000"/>
          <w:sz w:val="24"/>
        </w:rPr>
        <w:t>85个</w:t>
      </w:r>
      <w:r>
        <w:rPr>
          <w:rFonts w:hint="eastAsia" w:ascii="仿宋" w:hAnsi="仿宋" w:eastAsia="仿宋" w:cs="仿宋"/>
          <w:bCs/>
          <w:sz w:val="24"/>
        </w:rPr>
        <w:t>水质断面，市级湖长管理湖库水质监测29个市级湖库水质断面。</w:t>
      </w:r>
    </w:p>
    <w:p>
      <w:pPr>
        <w:spacing w:line="400" w:lineRule="exact"/>
        <w:ind w:firstLine="482" w:firstLineChars="200"/>
        <w:rPr>
          <w:rFonts w:hint="eastAsia" w:ascii="仿宋" w:hAnsi="仿宋" w:eastAsia="仿宋" w:cs="仿宋"/>
          <w:b/>
          <w:bCs/>
          <w:sz w:val="24"/>
        </w:rPr>
      </w:pPr>
      <w:r>
        <w:rPr>
          <w:rFonts w:hint="eastAsia" w:ascii="仿宋" w:hAnsi="仿宋" w:eastAsia="仿宋" w:cs="仿宋"/>
          <w:b/>
          <w:bCs/>
          <w:sz w:val="24"/>
        </w:rPr>
        <w:t>1.2 监测点位：</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汤浦水库流域地表水水质监测23个水质断面，市级河长管理河道水质监测</w:t>
      </w:r>
      <w:r>
        <w:rPr>
          <w:rFonts w:hint="eastAsia" w:ascii="仿宋" w:hAnsi="仿宋" w:eastAsia="仿宋" w:cs="仿宋"/>
          <w:bCs/>
          <w:color w:val="FF0000"/>
          <w:sz w:val="24"/>
        </w:rPr>
        <w:t>85个</w:t>
      </w:r>
      <w:r>
        <w:rPr>
          <w:rFonts w:hint="eastAsia" w:ascii="仿宋" w:hAnsi="仿宋" w:eastAsia="仿宋" w:cs="仿宋"/>
          <w:bCs/>
          <w:sz w:val="24"/>
        </w:rPr>
        <w:t>水质断面，市级湖长管理湖库水质监测29个市级湖库水质断面。</w:t>
      </w:r>
    </w:p>
    <w:p>
      <w:pPr>
        <w:spacing w:line="400" w:lineRule="exact"/>
        <w:ind w:firstLine="479" w:firstLineChars="199"/>
        <w:rPr>
          <w:rFonts w:hint="eastAsia" w:ascii="仿宋" w:hAnsi="仿宋" w:eastAsia="仿宋" w:cs="仿宋"/>
          <w:bCs/>
          <w:sz w:val="24"/>
        </w:rPr>
      </w:pPr>
      <w:r>
        <w:rPr>
          <w:rFonts w:hint="eastAsia" w:ascii="仿宋" w:hAnsi="仿宋" w:eastAsia="仿宋" w:cs="仿宋"/>
          <w:b/>
          <w:bCs/>
          <w:sz w:val="24"/>
        </w:rPr>
        <w:t>1.3 监测项目：</w:t>
      </w:r>
      <w:r>
        <w:rPr>
          <w:rFonts w:hint="eastAsia" w:ascii="仿宋" w:hAnsi="仿宋" w:eastAsia="仿宋" w:cs="仿宋"/>
          <w:bCs/>
          <w:sz w:val="24"/>
        </w:rPr>
        <w:t>pH、高锰酸盐指数、氨氮、总磷、溶解氧、五日生化需氧量、化学需氧量、总氮。</w:t>
      </w:r>
    </w:p>
    <w:p>
      <w:pPr>
        <w:spacing w:line="400" w:lineRule="exact"/>
        <w:ind w:firstLine="479" w:firstLineChars="199"/>
        <w:rPr>
          <w:rFonts w:hint="eastAsia" w:ascii="仿宋" w:hAnsi="仿宋" w:eastAsia="仿宋" w:cs="仿宋"/>
          <w:b/>
          <w:bCs/>
          <w:sz w:val="24"/>
        </w:rPr>
      </w:pPr>
      <w:r>
        <w:rPr>
          <w:rFonts w:hint="eastAsia" w:ascii="仿宋" w:hAnsi="仿宋" w:eastAsia="仿宋" w:cs="仿宋"/>
          <w:b/>
          <w:bCs/>
          <w:sz w:val="24"/>
        </w:rPr>
        <w:t>1.4监测频次：</w:t>
      </w:r>
      <w:r>
        <w:rPr>
          <w:rFonts w:hint="eastAsia" w:ascii="仿宋" w:hAnsi="仿宋" w:eastAsia="仿宋" w:cs="仿宋"/>
          <w:bCs/>
          <w:sz w:val="24"/>
        </w:rPr>
        <w:t>2022年1月开始，每月监测1次，月初监测，全年共12次。</w:t>
      </w:r>
    </w:p>
    <w:p>
      <w:pPr>
        <w:spacing w:line="400" w:lineRule="exact"/>
        <w:ind w:firstLine="479" w:firstLineChars="199"/>
        <w:rPr>
          <w:rFonts w:hint="eastAsia" w:ascii="仿宋" w:hAnsi="仿宋" w:eastAsia="仿宋" w:cs="仿宋"/>
          <w:bCs/>
          <w:sz w:val="24"/>
        </w:rPr>
      </w:pPr>
      <w:r>
        <w:rPr>
          <w:rFonts w:hint="eastAsia" w:ascii="仿宋" w:hAnsi="仿宋" w:eastAsia="仿宋" w:cs="仿宋"/>
          <w:b/>
          <w:bCs/>
          <w:sz w:val="24"/>
        </w:rPr>
        <w:t>1.5监测时间：</w:t>
      </w:r>
      <w:r>
        <w:rPr>
          <w:rFonts w:hint="eastAsia" w:ascii="仿宋" w:hAnsi="仿宋" w:eastAsia="仿宋" w:cs="仿宋"/>
          <w:bCs/>
          <w:sz w:val="24"/>
        </w:rPr>
        <w:t>自完成招标后，2022年1月-12月。原则上每月头一周开始采样，5天内完成采样，10日内完成所有测试，如遇特殊情况除外。</w:t>
      </w:r>
    </w:p>
    <w:p>
      <w:pPr>
        <w:spacing w:line="400" w:lineRule="exact"/>
        <w:rPr>
          <w:rFonts w:hint="eastAsia" w:ascii="仿宋" w:hAnsi="仿宋" w:eastAsia="仿宋" w:cs="仿宋"/>
          <w:b/>
          <w:color w:val="000000"/>
          <w:sz w:val="24"/>
        </w:rPr>
      </w:pPr>
      <w:r>
        <w:rPr>
          <w:rFonts w:hint="eastAsia" w:ascii="仿宋" w:hAnsi="仿宋" w:eastAsia="仿宋" w:cs="仿宋"/>
          <w:b/>
          <w:color w:val="000000"/>
          <w:sz w:val="24"/>
        </w:rPr>
        <w:t>2.测试方法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809"/>
        <w:gridCol w:w="6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797" w:type="dxa"/>
            <w:tcBorders>
              <w:top w:val="single" w:color="auto" w:sz="4" w:space="0"/>
              <w:left w:val="single" w:color="auto" w:sz="4" w:space="0"/>
              <w:bottom w:val="single" w:color="auto" w:sz="4" w:space="0"/>
              <w:right w:val="single" w:color="auto" w:sz="4" w:space="0"/>
            </w:tcBorders>
            <w:noWrap w:val="0"/>
            <w:vAlign w:val="center"/>
          </w:tcPr>
          <w:p>
            <w:pPr>
              <w:tabs>
                <w:tab w:val="left" w:pos="3119"/>
              </w:tabs>
              <w:spacing w:line="2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序号</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tabs>
                <w:tab w:val="left" w:pos="3119"/>
              </w:tabs>
              <w:spacing w:line="2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检测项目</w:t>
            </w:r>
          </w:p>
        </w:tc>
        <w:tc>
          <w:tcPr>
            <w:tcW w:w="6575" w:type="dxa"/>
            <w:tcBorders>
              <w:top w:val="single" w:color="auto" w:sz="4" w:space="0"/>
              <w:left w:val="single" w:color="auto" w:sz="4" w:space="0"/>
              <w:bottom w:val="single" w:color="auto" w:sz="4" w:space="0"/>
              <w:right w:val="single" w:color="auto" w:sz="4" w:space="0"/>
            </w:tcBorders>
            <w:noWrap w:val="0"/>
            <w:vAlign w:val="center"/>
          </w:tcPr>
          <w:p>
            <w:pPr>
              <w:tabs>
                <w:tab w:val="left" w:pos="3119"/>
              </w:tabs>
              <w:spacing w:line="32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检测依据的标准（方法）名称及编号（含年号）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7"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高锰酸盐指数</w:t>
            </w:r>
          </w:p>
        </w:tc>
        <w:tc>
          <w:tcPr>
            <w:tcW w:w="6575"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rPr>
                <w:rFonts w:hint="eastAsia" w:ascii="仿宋" w:hAnsi="仿宋" w:eastAsia="仿宋" w:cs="仿宋"/>
                <w:color w:val="000000"/>
                <w:sz w:val="24"/>
              </w:rPr>
            </w:pPr>
            <w:r>
              <w:rPr>
                <w:rFonts w:hint="eastAsia" w:ascii="仿宋" w:hAnsi="仿宋" w:eastAsia="仿宋" w:cs="仿宋"/>
                <w:color w:val="000000"/>
                <w:sz w:val="28"/>
                <w:szCs w:val="28"/>
              </w:rPr>
              <w:t>*</w:t>
            </w:r>
            <w:r>
              <w:rPr>
                <w:rFonts w:hint="eastAsia" w:ascii="仿宋" w:hAnsi="仿宋" w:eastAsia="仿宋" w:cs="仿宋"/>
                <w:color w:val="000000"/>
                <w:sz w:val="24"/>
              </w:rPr>
              <w:t>水质 高锰酸盐指数的测定 GB/T 11892-1989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9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2</w:t>
            </w:r>
          </w:p>
        </w:tc>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color w:val="000000"/>
                <w:sz w:val="24"/>
              </w:rPr>
            </w:pPr>
            <w:r>
              <w:rPr>
                <w:rFonts w:hint="eastAsia" w:ascii="仿宋" w:hAnsi="仿宋" w:eastAsia="仿宋" w:cs="仿宋"/>
                <w:color w:val="000000"/>
                <w:sz w:val="24"/>
              </w:rPr>
              <w:t>氨氮</w:t>
            </w:r>
          </w:p>
        </w:tc>
        <w:tc>
          <w:tcPr>
            <w:tcW w:w="6575"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rPr>
                <w:rFonts w:hint="eastAsia" w:ascii="仿宋" w:hAnsi="仿宋" w:eastAsia="仿宋" w:cs="仿宋"/>
                <w:color w:val="000000"/>
                <w:sz w:val="24"/>
              </w:rPr>
            </w:pPr>
            <w:r>
              <w:rPr>
                <w:rFonts w:hint="eastAsia" w:ascii="仿宋" w:hAnsi="仿宋" w:eastAsia="仿宋" w:cs="仿宋"/>
                <w:color w:val="000000"/>
                <w:sz w:val="28"/>
                <w:szCs w:val="28"/>
              </w:rPr>
              <w:t>*</w:t>
            </w:r>
            <w:r>
              <w:rPr>
                <w:rFonts w:hint="eastAsia" w:ascii="仿宋" w:hAnsi="仿宋" w:eastAsia="仿宋" w:cs="仿宋"/>
                <w:bCs/>
                <w:color w:val="000000"/>
                <w:sz w:val="24"/>
              </w:rPr>
              <w:t xml:space="preserve">水质 氨氮的测定 纳氏试剂分光光度法 </w:t>
            </w:r>
            <w:r>
              <w:rPr>
                <w:rFonts w:hint="eastAsia" w:ascii="仿宋" w:hAnsi="仿宋" w:eastAsia="仿宋" w:cs="仿宋"/>
                <w:color w:val="000000"/>
                <w:sz w:val="24"/>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color w:val="000000"/>
                <w:sz w:val="24"/>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rPr>
                <w:rFonts w:hint="eastAsia" w:ascii="仿宋" w:hAnsi="仿宋" w:eastAsia="仿宋" w:cs="仿宋"/>
                <w:color w:val="000000"/>
                <w:sz w:val="24"/>
              </w:rPr>
            </w:pPr>
            <w:r>
              <w:rPr>
                <w:rFonts w:hint="eastAsia" w:ascii="仿宋" w:hAnsi="仿宋" w:eastAsia="仿宋" w:cs="仿宋"/>
                <w:color w:val="000000"/>
                <w:sz w:val="24"/>
              </w:rPr>
              <w:t>水质 氨氮的测定 气相分子吸收光谱法 HJ/T 195-2005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color w:val="000000"/>
                <w:sz w:val="24"/>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rPr>
                <w:rFonts w:hint="eastAsia" w:ascii="仿宋" w:hAnsi="仿宋" w:eastAsia="仿宋" w:cs="仿宋"/>
                <w:color w:val="000000"/>
                <w:sz w:val="24"/>
              </w:rPr>
            </w:pPr>
            <w:r>
              <w:rPr>
                <w:rFonts w:hint="eastAsia" w:ascii="仿宋" w:hAnsi="仿宋" w:eastAsia="仿宋" w:cs="仿宋"/>
              </w:rPr>
              <w:fldChar w:fldCharType="begin"/>
            </w:r>
            <w:r>
              <w:rPr>
                <w:rFonts w:hint="eastAsia" w:ascii="仿宋" w:hAnsi="仿宋" w:eastAsia="仿宋" w:cs="仿宋"/>
              </w:rPr>
              <w:instrText xml:space="preserve"> HYPERLINK "http://www.es.org.cn/download/2013/7-12/2653-1.pdf" </w:instrText>
            </w:r>
            <w:r>
              <w:rPr>
                <w:rFonts w:hint="eastAsia" w:ascii="仿宋" w:hAnsi="仿宋" w:eastAsia="仿宋" w:cs="仿宋"/>
              </w:rPr>
              <w:fldChar w:fldCharType="separate"/>
            </w:r>
            <w:r>
              <w:rPr>
                <w:rStyle w:val="37"/>
                <w:rFonts w:hint="eastAsia" w:ascii="仿宋" w:hAnsi="仿宋" w:eastAsia="仿宋" w:cs="仿宋"/>
                <w:color w:val="000000"/>
                <w:sz w:val="24"/>
              </w:rPr>
              <w:t>水质 氨氮的测定 流动注射-水杨酸分光光度法</w:t>
            </w:r>
            <w:r>
              <w:rPr>
                <w:rStyle w:val="37"/>
                <w:rFonts w:hint="eastAsia" w:ascii="仿宋" w:hAnsi="仿宋" w:eastAsia="仿宋" w:cs="仿宋"/>
                <w:color w:val="000000"/>
                <w:sz w:val="24"/>
              </w:rPr>
              <w:fldChar w:fldCharType="end"/>
            </w:r>
          </w:p>
          <w:p>
            <w:pPr>
              <w:spacing w:line="260" w:lineRule="exact"/>
              <w:rPr>
                <w:rFonts w:hint="eastAsia" w:ascii="仿宋" w:hAnsi="仿宋" w:eastAsia="仿宋" w:cs="仿宋"/>
                <w:color w:val="000000"/>
                <w:sz w:val="24"/>
              </w:rPr>
            </w:pPr>
            <w:r>
              <w:rPr>
                <w:rFonts w:hint="eastAsia" w:ascii="仿宋" w:hAnsi="仿宋" w:eastAsia="仿宋" w:cs="仿宋"/>
              </w:rPr>
              <w:fldChar w:fldCharType="begin"/>
            </w:r>
            <w:r>
              <w:rPr>
                <w:rFonts w:hint="eastAsia" w:ascii="仿宋" w:hAnsi="仿宋" w:eastAsia="仿宋" w:cs="仿宋"/>
              </w:rPr>
              <w:instrText xml:space="preserve"> HYPERLINK "http://www.es.org.cn/siteadmin/File/StdView.php?bzlistID=1312" </w:instrText>
            </w:r>
            <w:r>
              <w:rPr>
                <w:rFonts w:hint="eastAsia" w:ascii="仿宋" w:hAnsi="仿宋" w:eastAsia="仿宋" w:cs="仿宋"/>
              </w:rPr>
              <w:fldChar w:fldCharType="separate"/>
            </w:r>
            <w:r>
              <w:rPr>
                <w:rStyle w:val="37"/>
                <w:rFonts w:hint="eastAsia" w:ascii="仿宋" w:hAnsi="仿宋" w:eastAsia="仿宋" w:cs="仿宋"/>
                <w:color w:val="000000"/>
                <w:sz w:val="24"/>
              </w:rPr>
              <w:t>HJ 666-2013</w:t>
            </w:r>
            <w:r>
              <w:rPr>
                <w:rStyle w:val="37"/>
                <w:rFonts w:hint="eastAsia" w:ascii="仿宋" w:hAnsi="仿宋" w:eastAsia="仿宋" w:cs="仿宋"/>
                <w:color w:val="00000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color w:val="000000"/>
                <w:sz w:val="24"/>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 w:val="24"/>
              </w:rPr>
            </w:pPr>
            <w:r>
              <w:rPr>
                <w:rFonts w:hint="eastAsia" w:ascii="仿宋" w:hAnsi="仿宋" w:eastAsia="仿宋" w:cs="仿宋"/>
              </w:rPr>
              <w:fldChar w:fldCharType="begin"/>
            </w:r>
            <w:r>
              <w:rPr>
                <w:rFonts w:hint="eastAsia" w:ascii="仿宋" w:hAnsi="仿宋" w:eastAsia="仿宋" w:cs="仿宋"/>
              </w:rPr>
              <w:instrText xml:space="preserve"> HYPERLINK "http://www.es.org.cn/download/1928-1.pdf" </w:instrText>
            </w:r>
            <w:r>
              <w:rPr>
                <w:rFonts w:hint="eastAsia" w:ascii="仿宋" w:hAnsi="仿宋" w:eastAsia="仿宋" w:cs="仿宋"/>
              </w:rPr>
              <w:fldChar w:fldCharType="separate"/>
            </w:r>
            <w:r>
              <w:rPr>
                <w:rStyle w:val="37"/>
                <w:rFonts w:hint="eastAsia" w:ascii="仿宋" w:hAnsi="仿宋" w:eastAsia="仿宋" w:cs="仿宋"/>
                <w:color w:val="000000"/>
                <w:sz w:val="24"/>
              </w:rPr>
              <w:t>水质 氨氮的测定 蒸馏-中和滴定法</w:t>
            </w:r>
            <w:r>
              <w:rPr>
                <w:rStyle w:val="37"/>
                <w:rFonts w:hint="eastAsia" w:ascii="仿宋" w:hAnsi="仿宋" w:eastAsia="仿宋" w:cs="仿宋"/>
                <w:color w:val="000000"/>
                <w:sz w:val="24"/>
              </w:rPr>
              <w:fldChar w:fldCharType="end"/>
            </w:r>
            <w:r>
              <w:rPr>
                <w:rFonts w:hint="eastAsia" w:ascii="仿宋" w:hAnsi="仿宋" w:eastAsia="仿宋" w:cs="仿宋"/>
              </w:rPr>
              <w:fldChar w:fldCharType="begin"/>
            </w:r>
            <w:r>
              <w:rPr>
                <w:rFonts w:hint="eastAsia" w:ascii="仿宋" w:hAnsi="仿宋" w:eastAsia="仿宋" w:cs="仿宋"/>
              </w:rPr>
              <w:instrText xml:space="preserve"> HYPERLINK "http://www.es.org.cn/siteadmin/File/StdView.php?bzlistID=1046" </w:instrText>
            </w:r>
            <w:r>
              <w:rPr>
                <w:rFonts w:hint="eastAsia" w:ascii="仿宋" w:hAnsi="仿宋" w:eastAsia="仿宋" w:cs="仿宋"/>
              </w:rPr>
              <w:fldChar w:fldCharType="separate"/>
            </w:r>
            <w:r>
              <w:rPr>
                <w:rStyle w:val="37"/>
                <w:rFonts w:hint="eastAsia" w:ascii="仿宋" w:hAnsi="仿宋" w:eastAsia="仿宋" w:cs="仿宋"/>
                <w:color w:val="000000"/>
                <w:sz w:val="24"/>
              </w:rPr>
              <w:t>HJ 537-2009</w:t>
            </w:r>
            <w:r>
              <w:rPr>
                <w:rStyle w:val="37"/>
                <w:rFonts w:hint="eastAsia" w:ascii="仿宋" w:hAnsi="仿宋" w:eastAsia="仿宋" w:cs="仿宋"/>
                <w:color w:val="00000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97"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3</w:t>
            </w:r>
          </w:p>
        </w:tc>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总磷</w:t>
            </w:r>
          </w:p>
        </w:tc>
        <w:tc>
          <w:tcPr>
            <w:tcW w:w="6575"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rPr>
                <w:rFonts w:hint="eastAsia" w:ascii="仿宋" w:hAnsi="仿宋" w:eastAsia="仿宋" w:cs="仿宋"/>
                <w:color w:val="000000"/>
                <w:sz w:val="24"/>
              </w:rPr>
            </w:pPr>
            <w:r>
              <w:rPr>
                <w:rFonts w:hint="eastAsia" w:ascii="仿宋" w:hAnsi="仿宋" w:eastAsia="仿宋" w:cs="仿宋"/>
                <w:color w:val="000000"/>
                <w:sz w:val="28"/>
                <w:szCs w:val="28"/>
              </w:rPr>
              <w:t>*</w:t>
            </w:r>
            <w:r>
              <w:rPr>
                <w:rFonts w:hint="eastAsia" w:ascii="仿宋" w:hAnsi="仿宋" w:eastAsia="仿宋" w:cs="仿宋"/>
                <w:color w:val="000000"/>
                <w:sz w:val="24"/>
              </w:rPr>
              <w:t>水质 总磷的测定 钼酸铵分光光度法GB/T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pPr>
              <w:suppressAutoHyphens/>
              <w:snapToGrid w:val="0"/>
              <w:ind w:left="-105" w:leftChars="-50" w:right="-105" w:rightChars="-50"/>
              <w:rPr>
                <w:rFonts w:hint="eastAsia" w:ascii="仿宋" w:hAnsi="仿宋" w:eastAsia="仿宋" w:cs="仿宋"/>
                <w:color w:val="000000"/>
                <w:sz w:val="24"/>
              </w:rPr>
            </w:pPr>
            <w:r>
              <w:rPr>
                <w:rFonts w:hint="eastAsia" w:ascii="仿宋" w:hAnsi="仿宋" w:eastAsia="仿宋" w:cs="仿宋"/>
              </w:rPr>
              <w:fldChar w:fldCharType="begin"/>
            </w:r>
            <w:r>
              <w:rPr>
                <w:rFonts w:hint="eastAsia" w:ascii="仿宋" w:hAnsi="仿宋" w:eastAsia="仿宋" w:cs="仿宋"/>
              </w:rPr>
              <w:instrText xml:space="preserve"> HYPERLINK "http://www.es.org.cn/download/2013/7-12/2658-1.pdf" </w:instrText>
            </w:r>
            <w:r>
              <w:rPr>
                <w:rFonts w:hint="eastAsia" w:ascii="仿宋" w:hAnsi="仿宋" w:eastAsia="仿宋" w:cs="仿宋"/>
              </w:rPr>
              <w:fldChar w:fldCharType="separate"/>
            </w:r>
            <w:r>
              <w:rPr>
                <w:rStyle w:val="37"/>
                <w:rFonts w:hint="eastAsia" w:ascii="仿宋" w:hAnsi="仿宋" w:eastAsia="仿宋" w:cs="仿宋"/>
                <w:color w:val="000000"/>
                <w:sz w:val="24"/>
              </w:rPr>
              <w:t>水质 总磷的测定 流动注射-钼酸铵分光光度法</w:t>
            </w:r>
            <w:r>
              <w:rPr>
                <w:rStyle w:val="37"/>
                <w:rFonts w:hint="eastAsia" w:ascii="仿宋" w:hAnsi="仿宋" w:eastAsia="仿宋" w:cs="仿宋"/>
                <w:color w:val="000000"/>
                <w:sz w:val="24"/>
              </w:rPr>
              <w:fldChar w:fldCharType="end"/>
            </w:r>
            <w:r>
              <w:rPr>
                <w:rFonts w:hint="eastAsia" w:ascii="仿宋" w:hAnsi="仿宋" w:eastAsia="仿宋" w:cs="仿宋"/>
              </w:rPr>
              <w:fldChar w:fldCharType="begin"/>
            </w:r>
            <w:r>
              <w:rPr>
                <w:rFonts w:hint="eastAsia" w:ascii="仿宋" w:hAnsi="仿宋" w:eastAsia="仿宋" w:cs="仿宋"/>
              </w:rPr>
              <w:instrText xml:space="preserve"> HYPERLINK "http://www.es.org.cn/siteadmin/File/StdView.php?bzlistID=1317" </w:instrText>
            </w:r>
            <w:r>
              <w:rPr>
                <w:rFonts w:hint="eastAsia" w:ascii="仿宋" w:hAnsi="仿宋" w:eastAsia="仿宋" w:cs="仿宋"/>
              </w:rPr>
              <w:fldChar w:fldCharType="separate"/>
            </w:r>
            <w:r>
              <w:rPr>
                <w:rStyle w:val="37"/>
                <w:rFonts w:hint="eastAsia" w:ascii="仿宋" w:hAnsi="仿宋" w:eastAsia="仿宋" w:cs="仿宋"/>
                <w:color w:val="000000"/>
                <w:sz w:val="24"/>
              </w:rPr>
              <w:t>HJ 671-2013</w:t>
            </w:r>
            <w:r>
              <w:rPr>
                <w:rStyle w:val="37"/>
                <w:rFonts w:hint="eastAsia" w:ascii="仿宋" w:hAnsi="仿宋" w:eastAsia="仿宋" w:cs="仿宋"/>
                <w:color w:val="00000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657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 w:val="24"/>
                <w:shd w:val="clear" w:color="auto" w:fill="DEEFFF"/>
              </w:rPr>
            </w:pPr>
            <w:r>
              <w:rPr>
                <w:rFonts w:hint="eastAsia" w:ascii="仿宋" w:hAnsi="仿宋" w:eastAsia="仿宋" w:cs="仿宋"/>
              </w:rPr>
              <w:fldChar w:fldCharType="begin"/>
            </w:r>
            <w:r>
              <w:rPr>
                <w:rFonts w:hint="eastAsia" w:ascii="仿宋" w:hAnsi="仿宋" w:eastAsia="仿宋" w:cs="仿宋"/>
              </w:rPr>
              <w:instrText xml:space="preserve"> HYPERLINK "http://www.es.org.cn/download/2013/7-12/2657-1.pdf" </w:instrText>
            </w:r>
            <w:r>
              <w:rPr>
                <w:rFonts w:hint="eastAsia" w:ascii="仿宋" w:hAnsi="仿宋" w:eastAsia="仿宋" w:cs="仿宋"/>
              </w:rPr>
              <w:fldChar w:fldCharType="separate"/>
            </w:r>
            <w:r>
              <w:rPr>
                <w:rStyle w:val="37"/>
                <w:rFonts w:hint="eastAsia" w:ascii="仿宋" w:hAnsi="仿宋" w:eastAsia="仿宋" w:cs="仿宋"/>
                <w:color w:val="000000"/>
                <w:sz w:val="24"/>
              </w:rPr>
              <w:t>水质 磷酸盐和总磷的测定 连续流动-钼酸铵分光光度法</w:t>
            </w:r>
            <w:r>
              <w:rPr>
                <w:rStyle w:val="37"/>
                <w:rFonts w:hint="eastAsia" w:ascii="仿宋" w:hAnsi="仿宋" w:eastAsia="仿宋" w:cs="仿宋"/>
                <w:color w:val="000000"/>
                <w:sz w:val="24"/>
              </w:rPr>
              <w:fldChar w:fldCharType="end"/>
            </w:r>
            <w:r>
              <w:rPr>
                <w:rFonts w:hint="eastAsia" w:ascii="仿宋" w:hAnsi="仿宋" w:eastAsia="仿宋" w:cs="仿宋"/>
              </w:rPr>
              <w:fldChar w:fldCharType="begin"/>
            </w:r>
            <w:r>
              <w:rPr>
                <w:rFonts w:hint="eastAsia" w:ascii="仿宋" w:hAnsi="仿宋" w:eastAsia="仿宋" w:cs="仿宋"/>
              </w:rPr>
              <w:instrText xml:space="preserve"> HYPERLINK "http://www.es.org.cn/siteadmin/File/StdView.php?bzlistID=1316" </w:instrText>
            </w:r>
            <w:r>
              <w:rPr>
                <w:rFonts w:hint="eastAsia" w:ascii="仿宋" w:hAnsi="仿宋" w:eastAsia="仿宋" w:cs="仿宋"/>
              </w:rPr>
              <w:fldChar w:fldCharType="separate"/>
            </w:r>
            <w:r>
              <w:rPr>
                <w:rStyle w:val="37"/>
                <w:rFonts w:hint="eastAsia" w:ascii="仿宋" w:hAnsi="仿宋" w:eastAsia="仿宋" w:cs="仿宋"/>
                <w:color w:val="000000"/>
                <w:sz w:val="24"/>
              </w:rPr>
              <w:t>HJ 670-2013</w:t>
            </w:r>
            <w:r>
              <w:rPr>
                <w:rStyle w:val="37"/>
                <w:rFonts w:hint="eastAsia" w:ascii="仿宋" w:hAnsi="仿宋" w:eastAsia="仿宋" w:cs="仿宋"/>
                <w:color w:val="00000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4</w:t>
            </w:r>
          </w:p>
        </w:tc>
        <w:tc>
          <w:tcPr>
            <w:tcW w:w="1809" w:type="dxa"/>
            <w:tcBorders>
              <w:top w:val="single" w:color="auto" w:sz="4" w:space="0"/>
              <w:left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五日生化需氧量</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uppressAutoHyphens/>
              <w:snapToGrid w:val="0"/>
              <w:spacing w:line="320" w:lineRule="exact"/>
              <w:ind w:left="-105" w:leftChars="-50" w:right="-105" w:rightChars="-50"/>
              <w:rPr>
                <w:rFonts w:hint="eastAsia" w:ascii="仿宋" w:hAnsi="仿宋" w:eastAsia="仿宋" w:cs="仿宋"/>
                <w:color w:val="000000"/>
                <w:sz w:val="24"/>
              </w:rPr>
            </w:pPr>
            <w:r>
              <w:rPr>
                <w:rFonts w:hint="eastAsia" w:ascii="仿宋" w:hAnsi="仿宋" w:eastAsia="仿宋" w:cs="仿宋"/>
                <w:color w:val="000000"/>
                <w:sz w:val="24"/>
              </w:rPr>
              <w:t>水质 五日生化需氧量（BOD5）的测定 稀释与接种法HJ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5</w:t>
            </w:r>
          </w:p>
        </w:tc>
        <w:tc>
          <w:tcPr>
            <w:tcW w:w="1809" w:type="dxa"/>
            <w:vMerge w:val="restart"/>
            <w:tcBorders>
              <w:top w:val="single" w:color="auto" w:sz="4" w:space="0"/>
              <w:left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化学需氧量</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color w:val="000000"/>
                <w:sz w:val="24"/>
              </w:rPr>
            </w:pPr>
          </w:p>
        </w:tc>
        <w:tc>
          <w:tcPr>
            <w:tcW w:w="1809" w:type="dxa"/>
            <w:vMerge w:val="continue"/>
            <w:tcBorders>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color w:val="000000"/>
                <w:sz w:val="24"/>
              </w:rPr>
            </w:pP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水质 化学需氧量的测定 快速消解分光光度法HJ/T 399-2007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6</w:t>
            </w:r>
          </w:p>
        </w:tc>
        <w:tc>
          <w:tcPr>
            <w:tcW w:w="180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溶解氧</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*水质 溶解氧的测定 电化学探头法 HJ 506-2009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color w:val="000000"/>
                <w:sz w:val="24"/>
              </w:rPr>
            </w:pPr>
          </w:p>
        </w:tc>
        <w:tc>
          <w:tcPr>
            <w:tcW w:w="180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仿宋" w:hAnsi="仿宋" w:eastAsia="仿宋" w:cs="仿宋"/>
                <w:color w:val="000000"/>
                <w:sz w:val="24"/>
              </w:rPr>
            </w:pP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水质 溶解氧的测定 碘量法 GB 7489-87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sz w:val="24"/>
              </w:rPr>
            </w:pPr>
            <w:r>
              <w:rPr>
                <w:rFonts w:hint="eastAsia" w:ascii="仿宋" w:hAnsi="仿宋" w:eastAsia="仿宋" w:cs="仿宋"/>
                <w:color w:val="000000"/>
                <w:sz w:val="24"/>
              </w:rPr>
              <w:t>7</w:t>
            </w:r>
          </w:p>
        </w:tc>
        <w:tc>
          <w:tcPr>
            <w:tcW w:w="1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uppressAutoHyphens/>
              <w:snapToGrid w:val="0"/>
              <w:ind w:left="-105" w:leftChars="-50" w:right="-105" w:rightChars="-50"/>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pH</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水质 pH 值的测定 玻璃电极法</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GB/T 6920-1986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8</w:t>
            </w:r>
          </w:p>
        </w:tc>
        <w:tc>
          <w:tcPr>
            <w:tcW w:w="18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总氮</w:t>
            </w:r>
          </w:p>
        </w:tc>
        <w:tc>
          <w:tcPr>
            <w:tcW w:w="657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水质 总氮的测定 碱性过硫酸钾消解紫外分光光度法</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HJ 636-2012</w:t>
            </w:r>
          </w:p>
        </w:tc>
      </w:tr>
    </w:tbl>
    <w:p>
      <w:pPr>
        <w:tabs>
          <w:tab w:val="left" w:pos="456"/>
        </w:tabs>
        <w:spacing w:line="320" w:lineRule="exact"/>
        <w:ind w:left="281" w:leftChars="134"/>
        <w:jc w:val="left"/>
        <w:rPr>
          <w:rFonts w:hint="eastAsia" w:ascii="仿宋" w:hAnsi="仿宋" w:eastAsia="仿宋" w:cs="仿宋"/>
          <w:b/>
          <w:color w:val="000000"/>
          <w:szCs w:val="21"/>
        </w:rPr>
      </w:pPr>
      <w:r>
        <w:rPr>
          <w:rFonts w:hint="eastAsia" w:ascii="仿宋" w:hAnsi="仿宋" w:eastAsia="仿宋" w:cs="仿宋"/>
          <w:b/>
          <w:color w:val="000000"/>
          <w:szCs w:val="21"/>
        </w:rPr>
        <w:t xml:space="preserve">注：打*为推荐方法。地表水各项目的检出限至少达到《地表水环境质量标准》（GB3838-2002）一级标准限值。 </w:t>
      </w:r>
    </w:p>
    <w:p>
      <w:pPr>
        <w:spacing w:line="400" w:lineRule="exact"/>
        <w:rPr>
          <w:rFonts w:hint="eastAsia" w:ascii="仿宋" w:hAnsi="仿宋" w:eastAsia="仿宋" w:cs="仿宋"/>
          <w:b/>
          <w:color w:val="000000"/>
          <w:sz w:val="24"/>
        </w:rPr>
      </w:pPr>
      <w:r>
        <w:rPr>
          <w:rFonts w:hint="eastAsia" w:ascii="仿宋" w:hAnsi="仿宋" w:eastAsia="仿宋" w:cs="仿宋"/>
          <w:b/>
          <w:color w:val="000000"/>
          <w:sz w:val="24"/>
        </w:rPr>
        <w:t>3.监测资质</w:t>
      </w:r>
    </w:p>
    <w:p>
      <w:pPr>
        <w:spacing w:line="400" w:lineRule="exact"/>
        <w:ind w:firstLine="480" w:firstLineChars="200"/>
        <w:rPr>
          <w:rFonts w:hint="eastAsia" w:ascii="仿宋" w:hAnsi="仿宋" w:eastAsia="仿宋" w:cs="仿宋"/>
          <w:bCs/>
          <w:sz w:val="24"/>
        </w:rPr>
      </w:pPr>
      <w:r>
        <w:rPr>
          <w:rFonts w:hint="eastAsia" w:ascii="仿宋" w:hAnsi="仿宋" w:eastAsia="仿宋" w:cs="仿宋"/>
          <w:bCs/>
          <w:color w:val="000000"/>
          <w:sz w:val="24"/>
        </w:rPr>
        <w:t>要求检验检测机构必须获得国家或浙江省质监部</w:t>
      </w:r>
      <w:r>
        <w:rPr>
          <w:rFonts w:hint="eastAsia" w:ascii="仿宋" w:hAnsi="仿宋" w:eastAsia="仿宋" w:cs="仿宋"/>
          <w:bCs/>
          <w:sz w:val="24"/>
        </w:rPr>
        <w:t>门颁发的且在有效期内的《实验室资质认定》（CMA）证书，认证过的检测项目中应包括高锰酸盐指数、氨氮、总磷、溶解氧、五日生化需氧量、化学需氧量、pH、总氮等8项。</w:t>
      </w:r>
    </w:p>
    <w:p>
      <w:pPr>
        <w:spacing w:line="400" w:lineRule="exact"/>
        <w:rPr>
          <w:rFonts w:hint="eastAsia" w:ascii="仿宋" w:hAnsi="仿宋" w:eastAsia="仿宋" w:cs="仿宋"/>
          <w:b/>
          <w:sz w:val="24"/>
        </w:rPr>
      </w:pPr>
      <w:r>
        <w:rPr>
          <w:rFonts w:hint="eastAsia" w:ascii="仿宋" w:hAnsi="仿宋" w:eastAsia="仿宋" w:cs="仿宋"/>
          <w:b/>
          <w:sz w:val="24"/>
        </w:rPr>
        <w:t xml:space="preserve">4.质控要求 </w:t>
      </w:r>
    </w:p>
    <w:p>
      <w:pPr>
        <w:spacing w:line="400" w:lineRule="exact"/>
        <w:ind w:firstLine="480" w:firstLineChars="200"/>
        <w:rPr>
          <w:rFonts w:hint="eastAsia" w:ascii="仿宋" w:hAnsi="仿宋" w:eastAsia="仿宋" w:cs="仿宋"/>
          <w:bCs/>
          <w:color w:val="000000"/>
          <w:sz w:val="24"/>
        </w:rPr>
      </w:pPr>
      <w:r>
        <w:rPr>
          <w:rFonts w:hint="eastAsia" w:ascii="仿宋" w:hAnsi="仿宋" w:eastAsia="仿宋" w:cs="仿宋"/>
          <w:bCs/>
          <w:color w:val="000000"/>
          <w:sz w:val="24"/>
        </w:rPr>
        <w:t>为保证数据的准确、真实、可靠，同时保证检测结果的公平、公正，中标实验室需按照4.1、4.2质控要求执行，并按照4.4要求接受绍兴市生态环境局委托的第三方质控单位（以下简称质控单位）的质量监督，未达到相关要求的按照4.5进行责任追究。</w:t>
      </w:r>
    </w:p>
    <w:p>
      <w:pPr>
        <w:spacing w:line="400" w:lineRule="exact"/>
        <w:ind w:firstLine="482" w:firstLineChars="200"/>
        <w:rPr>
          <w:rFonts w:hint="eastAsia" w:ascii="仿宋" w:hAnsi="仿宋" w:eastAsia="仿宋" w:cs="仿宋"/>
          <w:b/>
          <w:bCs/>
          <w:color w:val="000000"/>
          <w:sz w:val="24"/>
        </w:rPr>
      </w:pPr>
      <w:r>
        <w:rPr>
          <w:rFonts w:hint="eastAsia" w:ascii="仿宋" w:hAnsi="仿宋" w:eastAsia="仿宋" w:cs="仿宋"/>
          <w:b/>
          <w:bCs/>
          <w:color w:val="000000"/>
          <w:sz w:val="24"/>
        </w:rPr>
        <w:t>4.1采样质控要求</w:t>
      </w:r>
    </w:p>
    <w:p>
      <w:pPr>
        <w:spacing w:line="400" w:lineRule="exact"/>
        <w:ind w:firstLine="480" w:firstLineChars="200"/>
        <w:rPr>
          <w:rFonts w:hint="eastAsia" w:ascii="仿宋" w:hAnsi="仿宋" w:eastAsia="仿宋" w:cs="仿宋"/>
          <w:b/>
          <w:bCs/>
          <w:color w:val="000000"/>
          <w:sz w:val="24"/>
        </w:rPr>
      </w:pPr>
      <w:r>
        <w:rPr>
          <w:rFonts w:hint="eastAsia" w:ascii="仿宋" w:hAnsi="仿宋" w:eastAsia="仿宋" w:cs="仿宋"/>
          <w:bCs/>
          <w:color w:val="000000"/>
          <w:sz w:val="24"/>
        </w:rPr>
        <w:t>4.1.1采样运输车辆要求：能够满足保证样品完整性和保存条件的企业自有车辆。</w:t>
      </w:r>
    </w:p>
    <w:p>
      <w:pPr>
        <w:spacing w:line="400" w:lineRule="exact"/>
        <w:ind w:firstLine="480" w:firstLineChars="200"/>
        <w:rPr>
          <w:rFonts w:hint="eastAsia" w:ascii="仿宋" w:hAnsi="仿宋" w:eastAsia="仿宋" w:cs="仿宋"/>
          <w:bCs/>
          <w:color w:val="000000"/>
          <w:sz w:val="24"/>
        </w:rPr>
      </w:pPr>
      <w:r>
        <w:rPr>
          <w:rFonts w:hint="eastAsia" w:ascii="仿宋" w:hAnsi="仿宋" w:eastAsia="仿宋" w:cs="仿宋"/>
          <w:bCs/>
          <w:color w:val="000000"/>
          <w:sz w:val="24"/>
        </w:rPr>
        <w:t>4.1.2 采样容器材质要求：采样容器严格按照《浙江省环境监测质量保证技术规定》附表1的相关要求执行。</w:t>
      </w:r>
    </w:p>
    <w:p>
      <w:pPr>
        <w:spacing w:line="400" w:lineRule="exact"/>
        <w:ind w:firstLine="480" w:firstLineChars="200"/>
        <w:rPr>
          <w:rFonts w:hint="eastAsia" w:ascii="仿宋" w:hAnsi="仿宋" w:eastAsia="仿宋" w:cs="仿宋"/>
          <w:bCs/>
          <w:color w:val="000000"/>
          <w:sz w:val="24"/>
        </w:rPr>
      </w:pPr>
      <w:r>
        <w:rPr>
          <w:rFonts w:hint="eastAsia" w:ascii="仿宋" w:hAnsi="仿宋" w:eastAsia="仿宋" w:cs="仿宋"/>
          <w:bCs/>
          <w:color w:val="000000"/>
          <w:sz w:val="24"/>
        </w:rPr>
        <w:t>4.1.3 样品保存要求：水样的保存严格参照《浙江省环境监测质量保证技术规定》附表1中的相关要求执行。</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4.1.4</w:t>
      </w:r>
      <w:r>
        <w:rPr>
          <w:rFonts w:hint="eastAsia" w:ascii="仿宋" w:hAnsi="仿宋" w:eastAsia="仿宋" w:cs="仿宋"/>
          <w:color w:val="000000"/>
          <w:sz w:val="24"/>
        </w:rPr>
        <w:t xml:space="preserve"> 采样方法：按照招标文件附表水质断面经纬度要求，采集采样点位表层水的瞬时样。</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4.1.5采样时间：原则上定在</w:t>
      </w:r>
      <w:r>
        <w:rPr>
          <w:rFonts w:hint="eastAsia" w:ascii="仿宋" w:hAnsi="仿宋" w:eastAsia="仿宋" w:cs="仿宋"/>
          <w:bCs/>
          <w:color w:val="000000"/>
          <w:sz w:val="24"/>
        </w:rPr>
        <w:t>每月第一周开始采样，5天内完成采样，10天内完成测试</w:t>
      </w:r>
      <w:r>
        <w:rPr>
          <w:rFonts w:hint="eastAsia" w:ascii="仿宋" w:hAnsi="仿宋" w:eastAsia="仿宋" w:cs="仿宋"/>
          <w:color w:val="000000"/>
          <w:sz w:val="24"/>
        </w:rPr>
        <w:t>。遇暴雨、台风等恶劣天气延期采样。</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4.1.6</w:t>
      </w:r>
      <w:r>
        <w:rPr>
          <w:rFonts w:hint="eastAsia" w:ascii="仿宋" w:hAnsi="仿宋" w:eastAsia="仿宋" w:cs="仿宋"/>
          <w:color w:val="000000"/>
          <w:sz w:val="24"/>
        </w:rPr>
        <w:t>质控样品的采集：每批次每个项目采集所需水样的同时各采集两个全程序现场空白和不少于5%的现场平行样，不足20个样品的至少加采1个平行样，同时，加采5%的现场平行样用于留样比对。</w:t>
      </w:r>
    </w:p>
    <w:p>
      <w:pPr>
        <w:spacing w:line="400" w:lineRule="exact"/>
        <w:ind w:firstLine="480" w:firstLineChars="200"/>
        <w:rPr>
          <w:rFonts w:hint="eastAsia" w:ascii="仿宋" w:hAnsi="仿宋" w:eastAsia="仿宋" w:cs="仿宋"/>
          <w:bCs/>
          <w:color w:val="000000"/>
          <w:sz w:val="24"/>
        </w:rPr>
      </w:pPr>
      <w:r>
        <w:rPr>
          <w:rFonts w:hint="eastAsia" w:ascii="仿宋" w:hAnsi="仿宋" w:eastAsia="仿宋" w:cs="仿宋"/>
          <w:bCs/>
          <w:color w:val="000000"/>
          <w:sz w:val="24"/>
        </w:rPr>
        <w:t>4.1.7采样记录：每次采样的同时需拍摄现场照片（断面周边有明显标志物或专业GPS定位图片）并做好采样记录，内容应包括采样时间、采样点位置、采样人员等相关信息。</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4.1.8</w:t>
      </w:r>
      <w:r>
        <w:rPr>
          <w:rFonts w:hint="eastAsia" w:ascii="仿宋" w:hAnsi="仿宋" w:eastAsia="仿宋" w:cs="仿宋"/>
          <w:color w:val="000000"/>
          <w:sz w:val="24"/>
        </w:rPr>
        <w:t xml:space="preserve"> 未尽事宜，严格按照《地表水和污水监测技术规范》HJ/T 91-2002、《水质 采样技术指导》HJ494-2009、《水质采样 样品的保存和管理技术规定》HJ493-2009中的相关规定执行。</w:t>
      </w:r>
    </w:p>
    <w:p>
      <w:pPr>
        <w:spacing w:line="400" w:lineRule="exact"/>
        <w:ind w:firstLine="482" w:firstLineChars="200"/>
        <w:rPr>
          <w:rFonts w:hint="eastAsia" w:ascii="仿宋" w:hAnsi="仿宋" w:eastAsia="仿宋" w:cs="仿宋"/>
          <w:b/>
          <w:color w:val="000000"/>
          <w:sz w:val="24"/>
        </w:rPr>
      </w:pPr>
      <w:r>
        <w:rPr>
          <w:rFonts w:hint="eastAsia" w:ascii="仿宋" w:hAnsi="仿宋" w:eastAsia="仿宋" w:cs="仿宋"/>
          <w:b/>
          <w:bCs/>
          <w:color w:val="000000"/>
          <w:sz w:val="24"/>
        </w:rPr>
        <w:t>4.2</w:t>
      </w:r>
      <w:r>
        <w:rPr>
          <w:rFonts w:hint="eastAsia" w:ascii="仿宋" w:hAnsi="仿宋" w:eastAsia="仿宋" w:cs="仿宋"/>
          <w:b/>
          <w:color w:val="000000"/>
          <w:sz w:val="24"/>
        </w:rPr>
        <w:t xml:space="preserve">  实验室质控要求</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4.2.1</w:t>
      </w:r>
      <w:r>
        <w:rPr>
          <w:rFonts w:hint="eastAsia" w:ascii="仿宋" w:hAnsi="仿宋" w:eastAsia="仿宋" w:cs="仿宋"/>
          <w:color w:val="000000"/>
          <w:sz w:val="24"/>
        </w:rPr>
        <w:t xml:space="preserve"> 校准曲线：应在每期分析样品的同时，同步制作校准曲线；校准曲线回归方程的相关系数、截距和斜率应符合方法中规定的要求；校准曲线只能在其线性范围内使用，在使用中不得在两端随意外推。工作确实有困难时，对校准曲线斜率较为稳定的分析方法，至少在分析样品的同时，带两个适当浓度（高、低浓度）标准管和两个实验室空白，减去空白均值后，与原校准曲线的相同浓度点校核，相对偏差小于5%，原曲线可用，否则，应重新制作校准曲线。</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4.2.2</w:t>
      </w:r>
      <w:r>
        <w:rPr>
          <w:rFonts w:hint="eastAsia" w:ascii="仿宋" w:hAnsi="仿宋" w:eastAsia="仿宋" w:cs="仿宋"/>
          <w:color w:val="000000"/>
          <w:sz w:val="24"/>
        </w:rPr>
        <w:t xml:space="preserve"> 实验室空白：每批次每个项目都应做现场空白和实验室空白。两种结果之间应无明显差异，如现场空白明显高于实验室空白，表明采样过程中可能有意外玷污，在查清原因后方能做出本次采样是否有效以及分析数据能否接受的决定。</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4.2.3</w:t>
      </w:r>
      <w:r>
        <w:rPr>
          <w:rFonts w:hint="eastAsia" w:ascii="仿宋" w:hAnsi="仿宋" w:eastAsia="仿宋" w:cs="仿宋"/>
          <w:color w:val="000000"/>
          <w:sz w:val="24"/>
        </w:rPr>
        <w:t xml:space="preserve"> 精密度控制：每批样品随机抽取10%的实验室平行样，平行双样的偏差需在《浙江省环境监测质量保证技术规定》附表2所规定的允许偏差内。</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4.2.4</w:t>
      </w:r>
      <w:r>
        <w:rPr>
          <w:rFonts w:hint="eastAsia" w:ascii="仿宋" w:hAnsi="仿宋" w:eastAsia="仿宋" w:cs="仿宋"/>
          <w:color w:val="000000"/>
          <w:sz w:val="24"/>
        </w:rPr>
        <w:t xml:space="preserve"> 准确度控制：实验室内部自身对每期样品设置1-2个质控样，测定结果准确度合格率必须达到100%。</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4.2.5</w:t>
      </w:r>
      <w:r>
        <w:rPr>
          <w:rFonts w:hint="eastAsia" w:ascii="仿宋" w:hAnsi="仿宋" w:eastAsia="仿宋" w:cs="仿宋"/>
          <w:color w:val="000000"/>
          <w:sz w:val="24"/>
        </w:rPr>
        <w:t>分析时间要求：所有样品必须按照《浙江省环境监测质量保证技术规定》的相关要求在有效期限内完成分析。</w:t>
      </w:r>
    </w:p>
    <w:p>
      <w:pPr>
        <w:spacing w:line="400" w:lineRule="exact"/>
        <w:ind w:left="120" w:leftChars="57" w:firstLine="304" w:firstLineChars="126"/>
        <w:rPr>
          <w:rFonts w:hint="eastAsia" w:ascii="仿宋" w:hAnsi="仿宋" w:eastAsia="仿宋" w:cs="仿宋"/>
          <w:b/>
          <w:bCs/>
          <w:color w:val="000000"/>
          <w:sz w:val="24"/>
        </w:rPr>
      </w:pPr>
      <w:r>
        <w:rPr>
          <w:rFonts w:hint="eastAsia" w:ascii="仿宋" w:hAnsi="仿宋" w:eastAsia="仿宋" w:cs="仿宋"/>
          <w:b/>
          <w:bCs/>
          <w:color w:val="000000"/>
          <w:sz w:val="24"/>
        </w:rPr>
        <w:t>4.3实验室其它管理要求</w:t>
      </w:r>
    </w:p>
    <w:p>
      <w:pPr>
        <w:spacing w:line="400" w:lineRule="exact"/>
        <w:ind w:left="120" w:leftChars="57" w:firstLine="420" w:firstLineChars="175"/>
        <w:rPr>
          <w:rFonts w:hint="eastAsia" w:ascii="仿宋" w:hAnsi="仿宋" w:eastAsia="仿宋" w:cs="仿宋"/>
          <w:color w:val="000000"/>
          <w:sz w:val="24"/>
        </w:rPr>
      </w:pPr>
      <w:r>
        <w:rPr>
          <w:rFonts w:hint="eastAsia" w:ascii="仿宋" w:hAnsi="仿宋" w:eastAsia="仿宋" w:cs="仿宋"/>
          <w:color w:val="000000"/>
          <w:sz w:val="24"/>
        </w:rPr>
        <w:t>实验室内应有能够覆盖高锰酸盐指数、氨氮、总磷、</w:t>
      </w:r>
      <w:r>
        <w:rPr>
          <w:rFonts w:hint="eastAsia" w:ascii="仿宋" w:hAnsi="仿宋" w:eastAsia="仿宋" w:cs="仿宋"/>
          <w:bCs/>
          <w:color w:val="000000"/>
          <w:sz w:val="24"/>
        </w:rPr>
        <w:t>五日生化需氧量、化学需氧量、溶解氧、pH、总氮八项</w:t>
      </w:r>
      <w:r>
        <w:rPr>
          <w:rFonts w:hint="eastAsia" w:ascii="仿宋" w:hAnsi="仿宋" w:eastAsia="仿宋" w:cs="仿宋"/>
          <w:color w:val="000000"/>
          <w:sz w:val="24"/>
        </w:rPr>
        <w:t>监测项目工位的监控设备；实验过程影像资料至少保存一年以上。</w:t>
      </w:r>
    </w:p>
    <w:p>
      <w:pPr>
        <w:spacing w:line="400" w:lineRule="exact"/>
        <w:ind w:firstLine="482" w:firstLineChars="200"/>
        <w:rPr>
          <w:rFonts w:hint="eastAsia" w:ascii="仿宋" w:hAnsi="仿宋" w:eastAsia="仿宋" w:cs="仿宋"/>
          <w:b/>
          <w:bCs/>
          <w:color w:val="000000"/>
          <w:sz w:val="24"/>
        </w:rPr>
      </w:pPr>
      <w:r>
        <w:rPr>
          <w:rFonts w:hint="eastAsia" w:ascii="仿宋" w:hAnsi="仿宋" w:eastAsia="仿宋" w:cs="仿宋"/>
          <w:b/>
          <w:bCs/>
          <w:color w:val="000000"/>
          <w:sz w:val="24"/>
        </w:rPr>
        <w:t>4.4质控单位监督考核要求</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4.4</w:t>
      </w:r>
      <w:r>
        <w:rPr>
          <w:rFonts w:hint="eastAsia" w:ascii="仿宋" w:hAnsi="仿宋" w:eastAsia="仿宋" w:cs="仿宋"/>
          <w:color w:val="000000"/>
          <w:sz w:val="24"/>
        </w:rPr>
        <w:t>.1 所有样品（包括5%的现场平行样）由中标方采集后统一交由</w:t>
      </w:r>
      <w:r>
        <w:rPr>
          <w:rFonts w:hint="eastAsia" w:ascii="仿宋" w:hAnsi="仿宋" w:eastAsia="仿宋" w:cs="仿宋"/>
          <w:bCs/>
          <w:color w:val="000000"/>
          <w:sz w:val="24"/>
        </w:rPr>
        <w:t>质控单位</w:t>
      </w:r>
      <w:r>
        <w:rPr>
          <w:rFonts w:hint="eastAsia" w:ascii="仿宋" w:hAnsi="仿宋" w:eastAsia="仿宋" w:cs="仿宋"/>
          <w:color w:val="000000"/>
          <w:sz w:val="24"/>
        </w:rPr>
        <w:t>重新编号，再发放至中标实验室检测。重新编号时，</w:t>
      </w:r>
      <w:r>
        <w:rPr>
          <w:rFonts w:hint="eastAsia" w:ascii="仿宋" w:hAnsi="仿宋" w:eastAsia="仿宋" w:cs="仿宋"/>
          <w:bCs/>
          <w:color w:val="000000"/>
          <w:sz w:val="24"/>
        </w:rPr>
        <w:t>质控单位</w:t>
      </w:r>
      <w:r>
        <w:rPr>
          <w:rFonts w:hint="eastAsia" w:ascii="仿宋" w:hAnsi="仿宋" w:eastAsia="仿宋" w:cs="仿宋"/>
          <w:color w:val="000000"/>
          <w:sz w:val="24"/>
        </w:rPr>
        <w:t>将现场平行样也以一般样品编号的形式编号，中标实验室在未知哪些样品是现场平行样的情况下出具数据。同一样品的两组数据需符合《浙江省环境监测质量保证技术规定》中实验室内精密度相关技术要求方可采纳。</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4.4</w:t>
      </w:r>
      <w:r>
        <w:rPr>
          <w:rFonts w:hint="eastAsia" w:ascii="仿宋" w:hAnsi="仿宋" w:eastAsia="仿宋" w:cs="仿宋"/>
          <w:color w:val="000000"/>
          <w:sz w:val="24"/>
        </w:rPr>
        <w:t>.2 所有5%的留样比对样品交由</w:t>
      </w:r>
      <w:r>
        <w:rPr>
          <w:rFonts w:hint="eastAsia" w:ascii="仿宋" w:hAnsi="仿宋" w:eastAsia="仿宋" w:cs="仿宋"/>
          <w:bCs/>
          <w:color w:val="000000"/>
          <w:sz w:val="24"/>
        </w:rPr>
        <w:t>质控单位</w:t>
      </w:r>
      <w:r>
        <w:rPr>
          <w:rFonts w:hint="eastAsia" w:ascii="仿宋" w:hAnsi="仿宋" w:eastAsia="仿宋" w:cs="仿宋"/>
          <w:color w:val="000000"/>
          <w:sz w:val="24"/>
        </w:rPr>
        <w:t>分析，</w:t>
      </w:r>
      <w:r>
        <w:rPr>
          <w:rFonts w:hint="eastAsia" w:ascii="仿宋" w:hAnsi="仿宋" w:eastAsia="仿宋" w:cs="仿宋"/>
          <w:bCs/>
          <w:color w:val="000000"/>
          <w:sz w:val="24"/>
        </w:rPr>
        <w:t>质控单位</w:t>
      </w:r>
      <w:r>
        <w:rPr>
          <w:rFonts w:hint="eastAsia" w:ascii="仿宋" w:hAnsi="仿宋" w:eastAsia="仿宋" w:cs="仿宋"/>
          <w:color w:val="000000"/>
          <w:sz w:val="24"/>
        </w:rPr>
        <w:t>的检测数据与中标实验室的检测数据需符合《浙江省环境监测质量保证技术规定》中实验室间精密度相关技术要求，中标实验室出具的数据方可采纳。</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bCs/>
          <w:color w:val="000000"/>
          <w:sz w:val="24"/>
        </w:rPr>
        <w:t>4.4</w:t>
      </w:r>
      <w:r>
        <w:rPr>
          <w:rFonts w:hint="eastAsia" w:ascii="仿宋" w:hAnsi="仿宋" w:eastAsia="仿宋" w:cs="仿宋"/>
          <w:color w:val="000000"/>
          <w:sz w:val="24"/>
        </w:rPr>
        <w:t>.3</w:t>
      </w:r>
      <w:r>
        <w:rPr>
          <w:rFonts w:hint="eastAsia" w:ascii="仿宋" w:hAnsi="仿宋" w:eastAsia="仿宋" w:cs="仿宋"/>
          <w:bCs/>
          <w:color w:val="000000"/>
          <w:sz w:val="24"/>
        </w:rPr>
        <w:t>质控单位</w:t>
      </w:r>
      <w:r>
        <w:rPr>
          <w:rFonts w:hint="eastAsia" w:ascii="仿宋" w:hAnsi="仿宋" w:eastAsia="仿宋" w:cs="仿宋"/>
          <w:color w:val="000000"/>
          <w:sz w:val="24"/>
        </w:rPr>
        <w:t>不定期发放氨氮、总磷、高锰酸盐指数、</w:t>
      </w:r>
      <w:r>
        <w:rPr>
          <w:rFonts w:hint="eastAsia" w:ascii="仿宋" w:hAnsi="仿宋" w:eastAsia="仿宋" w:cs="仿宋"/>
          <w:bCs/>
          <w:color w:val="000000"/>
          <w:sz w:val="24"/>
        </w:rPr>
        <w:t>五日生化需氧量、化学需氧量、pH、总氮</w:t>
      </w:r>
      <w:r>
        <w:rPr>
          <w:rFonts w:hint="eastAsia" w:ascii="仿宋" w:hAnsi="仿宋" w:eastAsia="仿宋" w:cs="仿宋"/>
          <w:color w:val="000000"/>
          <w:sz w:val="24"/>
        </w:rPr>
        <w:t>质控样交由中标实验室进行分析，质控样分析结果必须在不确定度范围内，数据方可采纳。</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4.4.4 中标方的质控达不到</w:t>
      </w:r>
      <w:r>
        <w:rPr>
          <w:rFonts w:hint="eastAsia" w:ascii="仿宋" w:hAnsi="仿宋" w:eastAsia="仿宋" w:cs="仿宋"/>
          <w:bCs/>
          <w:color w:val="000000"/>
          <w:sz w:val="24"/>
        </w:rPr>
        <w:t>4.4</w:t>
      </w:r>
      <w:r>
        <w:rPr>
          <w:rFonts w:hint="eastAsia" w:ascii="仿宋" w:hAnsi="仿宋" w:eastAsia="仿宋" w:cs="仿宋"/>
          <w:color w:val="000000"/>
          <w:sz w:val="24"/>
        </w:rPr>
        <w:t>.1、</w:t>
      </w:r>
      <w:r>
        <w:rPr>
          <w:rFonts w:hint="eastAsia" w:ascii="仿宋" w:hAnsi="仿宋" w:eastAsia="仿宋" w:cs="仿宋"/>
          <w:bCs/>
          <w:color w:val="000000"/>
          <w:sz w:val="24"/>
        </w:rPr>
        <w:t>4.4</w:t>
      </w:r>
      <w:r>
        <w:rPr>
          <w:rFonts w:hint="eastAsia" w:ascii="仿宋" w:hAnsi="仿宋" w:eastAsia="仿宋" w:cs="仿宋"/>
          <w:color w:val="000000"/>
          <w:sz w:val="24"/>
        </w:rPr>
        <w:t>.2、</w:t>
      </w:r>
      <w:r>
        <w:rPr>
          <w:rFonts w:hint="eastAsia" w:ascii="仿宋" w:hAnsi="仿宋" w:eastAsia="仿宋" w:cs="仿宋"/>
          <w:bCs/>
          <w:color w:val="000000"/>
          <w:sz w:val="24"/>
        </w:rPr>
        <w:t>4.4</w:t>
      </w:r>
      <w:r>
        <w:rPr>
          <w:rFonts w:hint="eastAsia" w:ascii="仿宋" w:hAnsi="仿宋" w:eastAsia="仿宋" w:cs="仿宋"/>
          <w:color w:val="000000"/>
          <w:sz w:val="24"/>
        </w:rPr>
        <w:t>.3相关要求时，说明该批（期）次水样检测数据存在可疑，承接方应在有效期间内对该批次样品进行重新检测，若重新检测结果还未满足质控要求，承接方需在2天内重新到现场采样检测，重新采样检测过程中产生的一切费用由承接方承担。若重新现场采样检测后，承接方的检测数据还是达不到质控要求，业主有权单方面解除合同协议，并扣除该批样品的相关检测费用，并根据招标时的打分排名顺延重新选取新的承接方。</w:t>
      </w:r>
    </w:p>
    <w:p>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4.4.5</w:t>
      </w:r>
      <w:r>
        <w:rPr>
          <w:rFonts w:hint="eastAsia" w:ascii="仿宋" w:hAnsi="仿宋" w:eastAsia="仿宋" w:cs="仿宋"/>
          <w:bCs/>
          <w:color w:val="000000"/>
          <w:sz w:val="24"/>
        </w:rPr>
        <w:t>质控单位</w:t>
      </w:r>
      <w:r>
        <w:rPr>
          <w:rFonts w:hint="eastAsia" w:ascii="仿宋" w:hAnsi="仿宋" w:eastAsia="仿宋" w:cs="仿宋"/>
          <w:color w:val="000000"/>
          <w:sz w:val="24"/>
        </w:rPr>
        <w:t>具体质控实施方案和监督考核办法另行制定，并可视操作情况对质控实施方案和监督考核办法进行调整完善。</w:t>
      </w:r>
    </w:p>
    <w:p>
      <w:pPr>
        <w:spacing w:line="400" w:lineRule="exact"/>
        <w:ind w:firstLine="472" w:firstLineChars="196"/>
        <w:rPr>
          <w:rFonts w:hint="eastAsia" w:ascii="仿宋" w:hAnsi="仿宋" w:eastAsia="仿宋" w:cs="仿宋"/>
          <w:b/>
          <w:bCs/>
          <w:color w:val="000000"/>
          <w:sz w:val="24"/>
        </w:rPr>
      </w:pPr>
      <w:r>
        <w:rPr>
          <w:rFonts w:hint="eastAsia" w:ascii="仿宋" w:hAnsi="仿宋" w:eastAsia="仿宋" w:cs="仿宋"/>
          <w:b/>
          <w:bCs/>
          <w:color w:val="000000"/>
          <w:sz w:val="24"/>
        </w:rPr>
        <w:t>4.5 责任追究</w:t>
      </w:r>
    </w:p>
    <w:p>
      <w:pPr>
        <w:spacing w:line="400" w:lineRule="exact"/>
        <w:ind w:firstLine="470" w:firstLineChars="196"/>
        <w:rPr>
          <w:rFonts w:hint="eastAsia" w:ascii="仿宋" w:hAnsi="仿宋" w:eastAsia="仿宋" w:cs="仿宋"/>
          <w:b/>
          <w:bCs/>
          <w:color w:val="000000"/>
          <w:sz w:val="24"/>
        </w:rPr>
      </w:pPr>
      <w:r>
        <w:rPr>
          <w:rFonts w:hint="eastAsia" w:ascii="仿宋" w:hAnsi="仿宋" w:eastAsia="仿宋" w:cs="仿宋"/>
          <w:color w:val="000000"/>
          <w:sz w:val="24"/>
        </w:rPr>
        <w:t>工作任务未按时完成或质控达不到相关要求，业主有权单方面解除合同协议，并扣除相关检测费用。如发现有违规转包、分包检测业务或编造数据、弄虚作假等其他影响监测活动客观性、公正性的行为，经查情况属实的，取消2年内在绍兴市生态环境系统组织的财政支付检测业务的竞标资质。</w:t>
      </w:r>
    </w:p>
    <w:p>
      <w:pPr>
        <w:spacing w:line="400" w:lineRule="exact"/>
        <w:rPr>
          <w:rFonts w:hint="eastAsia" w:ascii="仿宋" w:hAnsi="仿宋" w:eastAsia="仿宋" w:cs="仿宋"/>
          <w:b/>
          <w:color w:val="000000"/>
          <w:sz w:val="24"/>
        </w:rPr>
      </w:pPr>
      <w:r>
        <w:rPr>
          <w:rFonts w:hint="eastAsia" w:ascii="仿宋" w:hAnsi="仿宋" w:eastAsia="仿宋" w:cs="仿宋"/>
          <w:b/>
          <w:color w:val="000000"/>
          <w:sz w:val="24"/>
        </w:rPr>
        <w:t>5.验收及付款方式</w:t>
      </w:r>
    </w:p>
    <w:p>
      <w:pPr>
        <w:spacing w:line="400" w:lineRule="exact"/>
        <w:ind w:firstLine="354" w:firstLineChars="147"/>
        <w:rPr>
          <w:rFonts w:hint="eastAsia" w:ascii="仿宋" w:hAnsi="仿宋" w:eastAsia="仿宋" w:cs="仿宋"/>
          <w:b/>
          <w:color w:val="000000"/>
          <w:sz w:val="24"/>
        </w:rPr>
      </w:pPr>
      <w:r>
        <w:rPr>
          <w:rFonts w:hint="eastAsia" w:ascii="仿宋" w:hAnsi="仿宋" w:eastAsia="仿宋" w:cs="仿宋"/>
          <w:b/>
          <w:color w:val="000000"/>
          <w:sz w:val="24"/>
        </w:rPr>
        <w:t>5.1验收</w:t>
      </w:r>
    </w:p>
    <w:p>
      <w:pPr>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5.1.1由采购人负责进行验收。</w:t>
      </w:r>
    </w:p>
    <w:p>
      <w:pPr>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5.1.2采购人对中标供应商的服务进行检查验收，如果发现数量不足或有质量、技术等问题，中标供应商应负责根据合同及采购人的要求采取补救措施，并承担由此发生的一切损失和费用。验收合格后，采购人在验收单上签字并加盖单位公章。</w:t>
      </w:r>
    </w:p>
    <w:p>
      <w:pPr>
        <w:spacing w:line="400" w:lineRule="exact"/>
        <w:jc w:val="left"/>
        <w:rPr>
          <w:rFonts w:hint="eastAsia" w:ascii="仿宋" w:hAnsi="仿宋" w:eastAsia="仿宋" w:cs="仿宋"/>
          <w:b/>
          <w:color w:val="000000"/>
          <w:sz w:val="24"/>
        </w:rPr>
      </w:pPr>
      <w:r>
        <w:rPr>
          <w:rFonts w:hint="eastAsia" w:ascii="仿宋" w:hAnsi="仿宋" w:eastAsia="仿宋" w:cs="仿宋"/>
          <w:b/>
          <w:color w:val="000000"/>
          <w:sz w:val="24"/>
        </w:rPr>
        <w:t xml:space="preserve"> 5.2付款方式</w:t>
      </w:r>
    </w:p>
    <w:p>
      <w:pPr>
        <w:spacing w:line="400" w:lineRule="exact"/>
        <w:ind w:firstLine="470" w:firstLineChars="196"/>
        <w:outlineLvl w:val="1"/>
        <w:rPr>
          <w:rFonts w:hint="eastAsia" w:ascii="仿宋" w:hAnsi="仿宋" w:eastAsia="仿宋" w:cs="仿宋"/>
          <w:color w:val="000000"/>
          <w:sz w:val="24"/>
        </w:rPr>
      </w:pPr>
      <w:r>
        <w:rPr>
          <w:rFonts w:hint="eastAsia" w:ascii="仿宋" w:hAnsi="仿宋" w:eastAsia="仿宋" w:cs="仿宋"/>
          <w:color w:val="000000"/>
          <w:sz w:val="24"/>
        </w:rPr>
        <w:t>合同签订生效后，</w:t>
      </w:r>
      <w:bookmarkStart w:id="6" w:name="_Toc397330528"/>
      <w:r>
        <w:rPr>
          <w:rFonts w:hint="eastAsia" w:ascii="仿宋" w:hAnsi="仿宋" w:eastAsia="仿宋" w:cs="仿宋"/>
          <w:color w:val="000000"/>
          <w:sz w:val="24"/>
        </w:rPr>
        <w:t>先支付80%的检测费用再支付余额部分;若中标供应商在合同履行过程中出现严重质量问题或其他不可抗,待完成全部检测内容后因素造成合同终止的，服务经费结算至合同终止时为止。</w:t>
      </w:r>
      <w:bookmarkEnd w:id="6"/>
    </w:p>
    <w:p>
      <w:pPr>
        <w:spacing w:line="400" w:lineRule="exact"/>
        <w:rPr>
          <w:rFonts w:hint="eastAsia" w:ascii="仿宋" w:hAnsi="仿宋" w:eastAsia="仿宋" w:cs="仿宋"/>
          <w:b/>
          <w:color w:val="000000"/>
          <w:sz w:val="24"/>
        </w:rPr>
      </w:pPr>
      <w:r>
        <w:rPr>
          <w:rFonts w:hint="eastAsia" w:ascii="仿宋" w:hAnsi="仿宋" w:eastAsia="仿宋" w:cs="仿宋"/>
          <w:b/>
          <w:color w:val="000000"/>
          <w:sz w:val="24"/>
        </w:rPr>
        <w:t>三、报告提交要求</w:t>
      </w:r>
    </w:p>
    <w:p>
      <w:pPr>
        <w:spacing w:line="400" w:lineRule="exact"/>
        <w:ind w:firstLine="480" w:firstLineChars="200"/>
        <w:rPr>
          <w:rFonts w:hint="eastAsia" w:ascii="仿宋" w:hAnsi="仿宋" w:eastAsia="仿宋" w:cs="仿宋"/>
          <w:bCs/>
          <w:color w:val="000000"/>
          <w:sz w:val="24"/>
        </w:rPr>
      </w:pPr>
      <w:r>
        <w:rPr>
          <w:rFonts w:hint="eastAsia" w:ascii="仿宋" w:hAnsi="仿宋" w:eastAsia="仿宋" w:cs="仿宋"/>
          <w:bCs/>
          <w:color w:val="000000"/>
          <w:sz w:val="24"/>
        </w:rPr>
        <w:t>在服务期内，中标单位应在当月20日前向市生态环境局出具检测报告，并按照市生态环境局指定格式向质控单位报送当月检测数据及采样照片材料的电子文档。采样记录、质控记录等原始记录留档备查。</w:t>
      </w:r>
    </w:p>
    <w:p>
      <w:pPr>
        <w:spacing w:line="400" w:lineRule="exact"/>
        <w:rPr>
          <w:rFonts w:hint="eastAsia" w:ascii="仿宋" w:hAnsi="仿宋" w:eastAsia="仿宋" w:cs="仿宋"/>
          <w:b/>
          <w:color w:val="000000"/>
          <w:sz w:val="24"/>
        </w:rPr>
      </w:pPr>
      <w:r>
        <w:rPr>
          <w:rFonts w:hint="eastAsia" w:ascii="仿宋" w:hAnsi="仿宋" w:eastAsia="仿宋" w:cs="仿宋"/>
          <w:b/>
          <w:color w:val="000000"/>
          <w:sz w:val="24"/>
        </w:rPr>
        <w:t>四、其他要求</w:t>
      </w:r>
    </w:p>
    <w:p>
      <w:pPr>
        <w:spacing w:line="400" w:lineRule="exact"/>
        <w:ind w:firstLine="470" w:firstLineChars="196"/>
        <w:rPr>
          <w:rFonts w:hint="eastAsia" w:ascii="仿宋" w:hAnsi="仿宋" w:eastAsia="仿宋" w:cs="仿宋"/>
          <w:b/>
          <w:color w:val="000000"/>
          <w:sz w:val="24"/>
        </w:rPr>
      </w:pPr>
      <w:r>
        <w:rPr>
          <w:rFonts w:hint="eastAsia" w:ascii="仿宋" w:hAnsi="仿宋" w:eastAsia="仿宋" w:cs="仿宋"/>
          <w:bCs/>
          <w:color w:val="000000"/>
          <w:sz w:val="24"/>
        </w:rPr>
        <w:t>1.本项目采购人书面材料都将做为本项目实施时的技术文件内容，中标供应商应无条件按采购人要求进行实施,投标供应商实施过程中涉及不清楚的内容应及时与采购人联系后再进行操作。</w:t>
      </w:r>
    </w:p>
    <w:p>
      <w:pPr>
        <w:spacing w:line="400" w:lineRule="exact"/>
        <w:ind w:firstLine="470" w:firstLineChars="196"/>
        <w:rPr>
          <w:rFonts w:hint="eastAsia" w:ascii="仿宋" w:hAnsi="仿宋" w:eastAsia="仿宋" w:cs="仿宋"/>
          <w:sz w:val="24"/>
        </w:rPr>
      </w:pPr>
      <w:r>
        <w:rPr>
          <w:rFonts w:hint="eastAsia" w:ascii="仿宋" w:hAnsi="仿宋" w:eastAsia="仿宋" w:cs="仿宋"/>
          <w:color w:val="000000"/>
          <w:sz w:val="24"/>
        </w:rPr>
        <w:t>2.服务</w:t>
      </w:r>
      <w:r>
        <w:rPr>
          <w:rFonts w:hint="eastAsia" w:ascii="仿宋" w:hAnsi="仿宋" w:eastAsia="仿宋" w:cs="仿宋"/>
          <w:sz w:val="24"/>
        </w:rPr>
        <w:t>合同自2022年1月1日起至2022年12月31日止。</w:t>
      </w:r>
    </w:p>
    <w:p>
      <w:pPr>
        <w:spacing w:line="400" w:lineRule="exact"/>
        <w:ind w:firstLine="470" w:firstLineChars="196"/>
        <w:rPr>
          <w:rFonts w:hint="eastAsia" w:ascii="仿宋" w:hAnsi="仿宋" w:eastAsia="仿宋" w:cs="仿宋"/>
          <w:bCs/>
          <w:sz w:val="24"/>
        </w:rPr>
      </w:pPr>
      <w:r>
        <w:rPr>
          <w:rFonts w:hint="eastAsia" w:ascii="仿宋" w:hAnsi="仿宋" w:eastAsia="仿宋" w:cs="仿宋"/>
          <w:bCs/>
          <w:color w:val="000000"/>
          <w:sz w:val="24"/>
        </w:rPr>
        <w:t>3.质控单位</w:t>
      </w:r>
      <w:r>
        <w:rPr>
          <w:rFonts w:hint="eastAsia" w:ascii="仿宋" w:hAnsi="仿宋" w:eastAsia="仿宋" w:cs="仿宋"/>
          <w:color w:val="000000"/>
          <w:sz w:val="24"/>
        </w:rPr>
        <w:t>受市</w:t>
      </w:r>
      <w:r>
        <w:rPr>
          <w:rFonts w:hint="eastAsia" w:ascii="仿宋" w:hAnsi="仿宋" w:eastAsia="仿宋" w:cs="仿宋"/>
          <w:bCs/>
          <w:color w:val="000000"/>
          <w:sz w:val="24"/>
        </w:rPr>
        <w:t>生态环境</w:t>
      </w:r>
      <w:r>
        <w:rPr>
          <w:rFonts w:hint="eastAsia" w:ascii="仿宋" w:hAnsi="仿宋" w:eastAsia="仿宋" w:cs="仿宋"/>
          <w:color w:val="000000"/>
          <w:sz w:val="24"/>
        </w:rPr>
        <w:t>局委托，承担本项目质控实施方案制定和对环境检测机构检测质量监督考核工</w:t>
      </w:r>
      <w:r>
        <w:rPr>
          <w:rFonts w:hint="eastAsia" w:ascii="仿宋" w:hAnsi="仿宋" w:eastAsia="仿宋" w:cs="仿宋"/>
          <w:sz w:val="24"/>
        </w:rPr>
        <w:t>作,考核结果作为检测机构是否正确履行合同的依据</w:t>
      </w:r>
      <w:r>
        <w:rPr>
          <w:rFonts w:hint="eastAsia" w:ascii="仿宋" w:hAnsi="仿宋" w:eastAsia="仿宋" w:cs="仿宋"/>
          <w:bCs/>
          <w:sz w:val="24"/>
        </w:rPr>
        <w:t>。</w:t>
      </w:r>
    </w:p>
    <w:p>
      <w:pPr>
        <w:pStyle w:val="2"/>
        <w:numPr>
          <w:ilvl w:val="0"/>
          <w:numId w:val="0"/>
        </w:numPr>
        <w:ind w:leftChars="0"/>
        <w:rPr>
          <w:rFonts w:hint="eastAsia" w:ascii="仿宋" w:hAnsi="仿宋" w:eastAsia="仿宋" w:cs="仿宋"/>
        </w:rPr>
      </w:pPr>
    </w:p>
    <w:p>
      <w:pPr>
        <w:pStyle w:val="28"/>
        <w:ind w:firstLine="0" w:firstLineChars="0"/>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hint="eastAsia" w:ascii="仿宋" w:hAnsi="仿宋" w:eastAsia="仿宋" w:cs="仿宋"/>
          <w:b/>
          <w:sz w:val="36"/>
          <w:szCs w:val="36"/>
        </w:rPr>
      </w:pPr>
    </w:p>
    <w:p>
      <w:pPr>
        <w:pStyle w:val="15"/>
        <w:spacing w:line="800" w:lineRule="exact"/>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7" w:name="OLE_LINK1"/>
      <w:r>
        <w:rPr>
          <w:rFonts w:hint="eastAsia" w:ascii="仿宋" w:hAnsi="仿宋" w:eastAsia="仿宋" w:cs="仿宋"/>
          <w:b/>
          <w:bCs/>
          <w:sz w:val="24"/>
        </w:rPr>
        <w:t>范围</w:t>
      </w:r>
      <w:bookmarkEnd w:id="7"/>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71"/>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2.1.1交货地点：用户指定地点。</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2.1.2到货期：按标项内具体要求执行。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2.2交货方式：中标人负责运至现场安装调试，在整个设备安装调试验收合格前的所有设备材料的运输、保管、保险均由中标人负责。</w:t>
      </w:r>
    </w:p>
    <w:p>
      <w:pPr>
        <w:pStyle w:val="7"/>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5.商品包装和快递包装要求</w:t>
      </w:r>
    </w:p>
    <w:p>
      <w:pPr>
        <w:snapToGrid w:val="0"/>
        <w:spacing w:line="288" w:lineRule="auto"/>
        <w:ind w:firstLine="480" w:firstLineChars="200"/>
        <w:jc w:val="left"/>
        <w:rPr>
          <w:rFonts w:ascii="仿宋" w:hAnsi="仿宋" w:eastAsia="仿宋" w:cs="仿宋"/>
          <w:color w:val="FF0000"/>
          <w:sz w:val="24"/>
        </w:rPr>
      </w:pPr>
      <w:r>
        <w:rPr>
          <w:rFonts w:hint="eastAsia" w:ascii="仿宋" w:hAnsi="仿宋" w:eastAsia="仿宋" w:cs="仿宋"/>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rPr>
      </w:pPr>
      <w:r>
        <w:rPr>
          <w:rFonts w:hint="eastAsia" w:ascii="仿宋" w:hAnsi="仿宋" w:eastAsia="仿宋" w:cs="仿宋"/>
          <w:sz w:val="24"/>
        </w:rPr>
        <w:t>8.2 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ascii="仿宋" w:hAnsi="仿宋" w:eastAsia="仿宋" w:cs="仿宋"/>
          <w:sz w:val="24"/>
        </w:rPr>
      </w:pPr>
      <w:r>
        <w:rPr>
          <w:rFonts w:hint="eastAsia" w:ascii="仿宋" w:hAnsi="仿宋" w:eastAsia="仿宋" w:cs="仿宋"/>
          <w:sz w:val="24"/>
        </w:rPr>
        <w:t>10.4合同应在双方签字盖章后开始生效。</w:t>
      </w:r>
    </w:p>
    <w:p>
      <w:pPr>
        <w:snapToGrid w:val="0"/>
        <w:spacing w:line="288" w:lineRule="auto"/>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spacing w:line="288" w:lineRule="auto"/>
        <w:ind w:firstLine="480" w:firstLineChars="200"/>
        <w:jc w:val="left"/>
        <w:rPr>
          <w:rFonts w:ascii="仿宋" w:hAnsi="仿宋" w:eastAsia="仿宋" w:cs="仿宋"/>
          <w:kern w:val="0"/>
          <w:sz w:val="24"/>
        </w:rPr>
      </w:pPr>
    </w:p>
    <w:p>
      <w:pPr>
        <w:spacing w:line="288" w:lineRule="auto"/>
        <w:ind w:hanging="2"/>
        <w:jc w:val="left"/>
        <w:rPr>
          <w:rFonts w:ascii="仿宋" w:hAnsi="仿宋" w:eastAsia="仿宋" w:cs="仿宋"/>
          <w:sz w:val="24"/>
        </w:rPr>
      </w:pPr>
    </w:p>
    <w:p>
      <w:pPr>
        <w:pStyle w:val="7"/>
        <w:numPr>
          <w:ilvl w:val="0"/>
          <w:numId w:val="0"/>
        </w:numPr>
        <w:tabs>
          <w:tab w:val="clear" w:pos="780"/>
        </w:tabs>
        <w:spacing w:line="288" w:lineRule="auto"/>
        <w:rPr>
          <w:rFonts w:ascii="仿宋" w:hAnsi="仿宋" w:eastAsia="仿宋" w:cs="仿宋"/>
          <w:kern w:val="0"/>
          <w:sz w:val="24"/>
          <w:szCs w:val="20"/>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both"/>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pPr>
        <w:keepNext w:val="0"/>
        <w:keepLines w:val="0"/>
        <w:pageBreakBefore w:val="0"/>
        <w:widowControl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eepNext w:val="0"/>
        <w:keepLines w:val="0"/>
        <w:pageBreakBefore w:val="0"/>
        <w:widowControl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85</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15</w:t>
      </w:r>
      <w:r>
        <w:rPr>
          <w:rFonts w:hint="eastAsia" w:ascii="仿宋" w:hAnsi="仿宋" w:eastAsia="仿宋" w:cs="仿宋"/>
          <w:color w:val="auto"/>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85</w:t>
      </w:r>
      <w:r>
        <w:rPr>
          <w:rFonts w:hint="eastAsia" w:ascii="仿宋" w:hAnsi="仿宋" w:eastAsia="仿宋" w:cs="仿宋"/>
          <w:b/>
          <w:bCs/>
          <w:iCs/>
          <w:color w:val="auto"/>
          <w:sz w:val="24"/>
        </w:rPr>
        <w:t>分）</w:t>
      </w:r>
    </w:p>
    <w:tbl>
      <w:tblPr>
        <w:tblStyle w:val="30"/>
        <w:tblW w:w="9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26"/>
        <w:gridCol w:w="660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序号</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评标项目</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评分基本规则</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1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企业综合实力整体监测投标方案</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本招标项目的了解程度（15分）：包括对本项目所涉及到的污染源现状及实际情况的了解和调研、本次监测的关键点和难点以及针对上述关键点、难点和其他可预见问题所提出的合理化建议和相应的解决措施、同类项目的实施经验。评委会根据各投标人对本项目的理解程度、经验进行综合评议，酌情给分：优:11-15分；良:6-10.9分；一般:0-5.9分，无不得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有环境检测类科研项目，省级科研项目得5分，市级科研项目得2分，最高得5分。（投标文件提供科研验收证书的原件扫描件或彩色图片并加盖电子公章，不提供不得分。）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参与检验检测方法类标准制定（排名要求前六），国家标准5分，行业标准3分，省级地方标准1分。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投标人检测专业技术水平、投标人自2020年1月1日以来获得市级及以上生态环境类竞赛的获奖情况：</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1、在市级生态环境类竞赛获奖，得2分,没有不得分。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2、在省级生态环境类竞赛获奖，得3分,没有不得分。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（投标文件提供相关证明材料的复印件加盖单位公章。）</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本地化服务能力</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各投标人实验室地理位置及应变能力、快速测试响应能力，酌情打分（9分）：60分钟内能到达为优，90分钟内能到达为良，90分钟以上到达为一般，优:7-9分；良:4-6.9；一般:0-3.9分；（提供的实体实验室地址及注册、备案信息资料，高德地图网页完整截图复印件加盖单位公章。）</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2" w:hRule="exact"/>
          <w:jc w:val="center"/>
        </w:trPr>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投标文件制作</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文件编制完整，格式规范、符合招标文件要求的，得2分；投标文件有关内容前后矛盾、与招标文件要求不一致等，评标委员会允许且需要通过询标等程序进行澄清的，该项不得分；投标文件存在其他错漏的，每项（次）扣 0.2 分，扣完为止。</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exact"/>
          <w:jc w:val="center"/>
        </w:trPr>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监测设备、材料配置情况</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拟投入本项目的监测设备、材料配置的完整性、先进性和可靠性进行评比，酌情打分（9分）：优:7-9分；良:4-6.9；一般:0-3.9分；未提供配置情况说明的不得分。（证明资料要求能反映检测设备的规格型号、品牌等内容）</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exact"/>
          <w:jc w:val="center"/>
        </w:trPr>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实验室内部管理制度及应急措施</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根据投标人提供的实验室安全管理制度及应急措施进行评比，酌情打分：优:4-6分；良:2-3.9分；一般:0-1.9分。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exact"/>
          <w:jc w:val="center"/>
        </w:trPr>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426"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质量保证措施</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根据投标人提供的针对本项目的质量保证措施等内容进行综合评议，酌情给分：优:4-6分；良:2-3.9分；一般:0-1.9分。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exact"/>
          <w:jc w:val="center"/>
        </w:trPr>
        <w:tc>
          <w:tcPr>
            <w:tcW w:w="7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1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业绩证明</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自2018年1月1日以来承担同类服务项目单个合同得0.5分；本项目最高6分。（投标文件中须提供业绩合同复印件加盖单位公章；时间认定以合同签订时间为准；若合同中未能反映项目内容的，则须提供业主证明材料，否则不得分。）</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2021年1月1日以来，承接环保部门项目后，受到相关环保部门表扬。1次得1分，2次得2分，3次得3分（需提供表扬信或者证明材料的复印件加盖单位公章。）</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exact"/>
          <w:jc w:val="center"/>
        </w:trPr>
        <w:tc>
          <w:tcPr>
            <w:tcW w:w="7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1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投入本项目人员情况</w:t>
            </w: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负责人具有中级以上工程师职称。2021年1月1日以来项目负责人主持过湖库水质断面水质监测服务项目的，主持过的项目成果报告封面及此成果报告内的项目组成员名单，根据项目情况：优:7.0-9.0分；良:4.0-6.9分；一般:0-3.9分。需同时提供项目负责人近3个月的社保缴纳证明（须加盖社保部门公章），(需提供职称证书、成果报告及社保证明复印件加盖单位公章。)</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项目组成员受到区县级人民政府表彰，得4分；受到地市级以上人民政府表彰，得5分。（需提供获奖证书复印件加盖单位公章）</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8" w:hRule="atLeast"/>
          <w:jc w:val="center"/>
        </w:trPr>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1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p>
        </w:tc>
        <w:tc>
          <w:tcPr>
            <w:tcW w:w="6608"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项目组成员稳定性：项目组成员需包含环保领域助理工程师及以上职称，每人得0.2分，最高得2分。投标文件中须提供成员证书、近3个月社保证明复印件加盖单位公章。</w:t>
            </w:r>
          </w:p>
        </w:tc>
        <w:tc>
          <w:tcPr>
            <w:tcW w:w="975"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0-2</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rPr>
      </w:pPr>
      <w:r>
        <w:rPr>
          <w:rFonts w:hint="eastAsia" w:ascii="仿宋" w:hAnsi="仿宋" w:eastAsia="仿宋" w:cs="仿宋"/>
          <w:b/>
          <w:sz w:val="24"/>
        </w:rPr>
        <w:t>2、所有的证书及检测报告必须在有效期内，不在有效期内的不得分。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15</w:t>
      </w:r>
      <w:r>
        <w:rPr>
          <w:rFonts w:hint="eastAsia" w:ascii="仿宋" w:hAnsi="仿宋" w:eastAsia="仿宋" w:cs="仿宋"/>
          <w:b/>
          <w:bCs/>
          <w:iCs/>
          <w:color w:val="auto"/>
          <w:sz w:val="24"/>
        </w:rPr>
        <w:t>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default" w:ascii="仿宋" w:hAnsi="仿宋" w:eastAsia="仿宋" w:cs="仿宋"/>
          <w:bCs/>
          <w:iCs/>
          <w:color w:val="auto"/>
          <w:sz w:val="24"/>
          <w:lang w:val="en-US"/>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15</w:t>
      </w:r>
    </w:p>
    <w:p>
      <w:pPr>
        <w:spacing w:line="288" w:lineRule="auto"/>
        <w:jc w:val="left"/>
        <w:rPr>
          <w:rFonts w:hint="default" w:ascii="仿宋" w:hAnsi="仿宋" w:eastAsia="仿宋" w:cs="仿宋"/>
          <w:color w:val="auto"/>
          <w:sz w:val="24"/>
          <w:highlight w:val="none"/>
          <w:lang w:val="en-US" w:eastAsia="zh-CN"/>
        </w:rPr>
      </w:pPr>
    </w:p>
    <w:p>
      <w:pPr>
        <w:pStyle w:val="11"/>
        <w:rPr>
          <w:rFonts w:eastAsia="仿宋"/>
          <w:color w:val="auto"/>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spacing w:line="288" w:lineRule="auto"/>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288" w:lineRule="auto"/>
        <w:ind w:firstLine="0" w:firstLineChars="0"/>
        <w:rPr>
          <w:rFonts w:ascii="仿宋" w:hAnsi="仿宋" w:eastAsia="仿宋" w:cs="仿宋"/>
          <w:szCs w:val="24"/>
        </w:rPr>
      </w:pPr>
    </w:p>
    <w:p>
      <w:pPr>
        <w:pStyle w:val="69"/>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绍兴市生态环境局</w:t>
      </w:r>
      <w:r>
        <w:rPr>
          <w:rFonts w:hint="eastAsia" w:ascii="仿宋" w:hAnsi="仿宋" w:eastAsia="仿宋" w:cs="仿宋"/>
          <w:szCs w:val="24"/>
          <w:u w:val="single"/>
        </w:rPr>
        <w:t xml:space="preserve">、耀华建设管理有限公司 </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288" w:lineRule="auto"/>
        <w:ind w:firstLine="480"/>
        <w:rPr>
          <w:rFonts w:ascii="仿宋" w:hAnsi="仿宋" w:eastAsia="仿宋" w:cs="仿宋"/>
          <w:szCs w:val="24"/>
        </w:rPr>
      </w:pP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sz w:val="24"/>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rPr>
      </w:pPr>
      <w:r>
        <w:rPr>
          <w:rFonts w:hint="eastAsia" w:ascii="仿宋" w:hAnsi="仿宋" w:eastAsia="仿宋" w:cs="仿宋"/>
          <w:sz w:val="24"/>
        </w:rPr>
        <w:t xml:space="preserve">招标编号：                                                        </w:t>
      </w:r>
    </w:p>
    <w:p>
      <w:pPr>
        <w:spacing w:line="288" w:lineRule="auto"/>
        <w:jc w:val="center"/>
        <w:rPr>
          <w:rFonts w:ascii="仿宋" w:hAnsi="仿宋" w:eastAsia="仿宋" w:cs="仿宋"/>
          <w:sz w:val="24"/>
        </w:rPr>
      </w:pPr>
      <w:r>
        <w:rPr>
          <w:rFonts w:hint="eastAsia" w:ascii="仿宋" w:hAnsi="仿宋" w:eastAsia="仿宋" w:cs="仿宋"/>
          <w:sz w:val="24"/>
        </w:rPr>
        <w:t xml:space="preserve">                                                             单位：元</w:t>
      </w:r>
    </w:p>
    <w:tbl>
      <w:tblPr>
        <w:tblStyle w:val="3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rPr>
        <w:t>5</w:t>
      </w:r>
      <w:r>
        <w:rPr>
          <w:rFonts w:hint="eastAsia" w:ascii="仿宋" w:hAnsi="仿宋" w:eastAsia="仿宋" w:cs="仿宋"/>
          <w:kern w:val="0"/>
          <w:sz w:val="24"/>
          <w:lang w:val="zh-CN"/>
        </w:rPr>
        <w:t>.以上表格要求细分项目及报价，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rPr>
        <w:t>7</w:t>
      </w:r>
      <w:r>
        <w:rPr>
          <w:rFonts w:hint="eastAsia" w:ascii="仿宋" w:hAnsi="仿宋" w:eastAsia="仿宋" w:cs="仿宋"/>
          <w:b/>
          <w:kern w:val="0"/>
          <w:sz w:val="24"/>
          <w:lang w:val="zh-CN"/>
        </w:rPr>
        <w:t>.特别提示：采购代理机构将对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3、中小企业声明函（二选一）</w:t>
      </w: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绍兴市生态环境局</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全体干警人身意外保险项目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lang w:eastAsia="zh-CN"/>
        </w:rPr>
        <w:t>绍兴市生态环境局</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全体干警人身意外保险项目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r>
        <w:rPr>
          <w:rFonts w:hint="eastAsia" w:ascii="仿宋" w:hAnsi="仿宋" w:eastAsia="仿宋" w:cs="仿宋"/>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1、从业人员、营业收入、资产总额填报上一年度数据，无上一年度数据的新成立企业可不填报。</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lang w:eastAsia="zh-CN"/>
        </w:rPr>
        <w:t>绍兴市生态环境局</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全体干警人身意外保险项目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jc w:val="right"/>
        <w:rPr>
          <w:rFonts w:hint="eastAsia" w:ascii="仿宋" w:hAnsi="仿宋" w:eastAsia="仿宋" w:cs="仿宋"/>
          <w:color w:val="auto"/>
          <w:sz w:val="24"/>
        </w:rPr>
      </w:pPr>
      <w:r>
        <w:rPr>
          <w:rFonts w:hint="eastAsia" w:ascii="仿宋" w:hAnsi="仿宋" w:eastAsia="仿宋" w:cs="仿宋"/>
          <w:color w:val="auto"/>
          <w:sz w:val="24"/>
        </w:rPr>
        <w:t>日期：   年     月     日</w:t>
      </w:r>
    </w:p>
    <w:p>
      <w:pPr>
        <w:ind w:right="420" w:firstLine="5880" w:firstLineChars="2450"/>
        <w:rPr>
          <w:rFonts w:hint="eastAsia" w:ascii="仿宋" w:hAnsi="仿宋" w:eastAsia="仿宋" w:cs="仿宋"/>
          <w:color w:val="auto"/>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（1）法定代表人授权书 ……………………………………………………………（页码）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（2）授权代表社保证明（复印件）…………………………………………………（页码）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rPr>
      </w:pPr>
      <w:r>
        <w:rPr>
          <w:rFonts w:hint="eastAsia" w:ascii="仿宋" w:hAnsi="仿宋" w:eastAsia="仿宋" w:cs="仿宋"/>
          <w:color w:val="000000" w:themeColor="text1"/>
          <w:sz w:val="24"/>
        </w:rPr>
        <w:t>（5）所有与符合性审查有关的资信文件（复印件）（营业执照、2020年度财务报表、纳税和社保缴纳证明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（6）具有履</w:t>
      </w:r>
      <w:r>
        <w:rPr>
          <w:rFonts w:hint="eastAsia" w:ascii="仿宋" w:hAnsi="仿宋" w:eastAsia="仿宋" w:cs="仿宋"/>
          <w:color w:val="000000" w:themeColor="text1"/>
          <w:kern w:val="0"/>
          <w:sz w:val="24"/>
        </w:rPr>
        <w:t>行合同所必需的设备和专业技术能力的承诺函……………</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82"/>
        <w:spacing w:line="288" w:lineRule="auto"/>
        <w:ind w:firstLine="0" w:firstLineChars="0"/>
        <w:rPr>
          <w:rFonts w:ascii="仿宋" w:eastAsia="仿宋" w:cs="仿宋"/>
          <w:color w:val="000000" w:themeColor="text1"/>
          <w:kern w:val="0"/>
        </w:rPr>
      </w:pPr>
      <w:r>
        <w:rPr>
          <w:rFonts w:hint="eastAsia" w:ascii="仿宋" w:eastAsia="仿宋" w:cs="仿宋"/>
          <w:color w:val="000000" w:themeColor="text1"/>
        </w:rPr>
        <w:t>（7）重大违法记录的声明</w:t>
      </w:r>
      <w:r>
        <w:rPr>
          <w:rFonts w:hint="eastAsia" w:ascii="仿宋" w:eastAsia="仿宋" w:cs="仿宋"/>
          <w:color w:val="000000" w:themeColor="text1"/>
          <w:kern w:val="0"/>
        </w:rPr>
        <w:t xml:space="preserve"> …</w:t>
      </w:r>
      <w:r>
        <w:rPr>
          <w:rFonts w:hint="eastAsia" w:ascii="仿宋" w:eastAsia="仿宋" w:cs="仿宋"/>
          <w:color w:val="000000" w:themeColor="text1"/>
        </w:rPr>
        <w:t>………………………………………………………</w:t>
      </w:r>
      <w:r>
        <w:rPr>
          <w:rFonts w:hint="eastAsia" w:ascii="仿宋" w:eastAsia="仿宋" w:cs="仿宋"/>
          <w:color w:val="000000" w:themeColor="text1"/>
          <w:kern w:val="0"/>
        </w:rPr>
        <w:t>（页码）</w:t>
      </w:r>
    </w:p>
    <w:p>
      <w:pPr>
        <w:pStyle w:val="82"/>
        <w:spacing w:line="288" w:lineRule="auto"/>
        <w:ind w:firstLine="0" w:firstLineChars="0"/>
        <w:rPr>
          <w:rFonts w:ascii="仿宋" w:eastAsia="仿宋" w:cs="仿宋"/>
          <w:color w:val="000000" w:themeColor="text1"/>
        </w:rPr>
      </w:pPr>
      <w:r>
        <w:rPr>
          <w:rFonts w:hint="eastAsia" w:ascii="仿宋" w:eastAsia="仿宋" w:cs="仿宋"/>
          <w:color w:val="000000" w:themeColor="text1"/>
        </w:rPr>
        <w:t>（8）符合特定资格条件（如果项目要求）的有关证明材料（复印件）…………（页码）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（9）</w:t>
      </w:r>
      <w:r>
        <w:rPr>
          <w:rFonts w:hint="eastAsia" w:ascii="仿宋" w:eastAsia="仿宋" w:cs="仿宋"/>
          <w:snapToGrid w:val="0"/>
          <w:color w:val="000000" w:themeColor="text1"/>
        </w:rPr>
        <w:t>非本地投标人售后服务机构证明材料</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（10）</w:t>
      </w:r>
      <w:r>
        <w:rPr>
          <w:rFonts w:hint="eastAsia" w:ascii="仿宋" w:eastAsia="仿宋" w:cs="仿宋"/>
          <w:color w:val="000000" w:themeColor="text1"/>
          <w:lang w:val="zh-CN"/>
        </w:rPr>
        <w:t>主要业绩证明…………………………………………………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（11）廉政承诺书 ……………………………………………………………………（页码）</w:t>
      </w:r>
    </w:p>
    <w:p>
      <w:pPr>
        <w:spacing w:line="288" w:lineRule="auto"/>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（12）技术解决方案…………………………………………………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kern w:val="0"/>
        </w:rPr>
        <w:t>（13）技术偏离说明表……………………</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（14）组织实施方案…………………………………………………………………（页码）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（15）售后服务方案…………………………………………………………………（页码）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（16）项目小组人员名单……………………………………………………………（页码）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（17）</w:t>
      </w:r>
      <w:r>
        <w:rPr>
          <w:rFonts w:hint="eastAsia" w:ascii="仿宋" w:eastAsia="仿宋" w:cs="仿宋"/>
          <w:color w:val="000000" w:themeColor="text1"/>
          <w:lang w:val="zh-CN"/>
        </w:rPr>
        <w:t>优惠条件及特殊承诺……………………………</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（18）</w:t>
      </w:r>
      <w:r>
        <w:rPr>
          <w:rFonts w:hint="eastAsia" w:ascii="仿宋" w:eastAsia="仿宋" w:cs="仿宋"/>
          <w:color w:val="000000" w:themeColor="text1"/>
          <w:lang w:val="zh-CN"/>
        </w:rPr>
        <w:t>备品备件及供选择的配套零部件清单………………………</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（19）</w:t>
      </w:r>
      <w:r>
        <w:rPr>
          <w:rFonts w:hint="eastAsia" w:ascii="仿宋" w:eastAsia="仿宋" w:cs="仿宋"/>
          <w:color w:val="000000" w:themeColor="text1"/>
          <w:lang w:val="zh-CN"/>
        </w:rPr>
        <w:t>培训计划……………………………………………</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（20）</w:t>
      </w:r>
      <w:r>
        <w:rPr>
          <w:rFonts w:hint="eastAsia" w:ascii="仿宋" w:eastAsia="仿宋" w:cs="仿宋"/>
          <w:color w:val="000000" w:themeColor="text1"/>
          <w:lang w:val="zh-CN"/>
        </w:rPr>
        <w:t>验收方案………………………………………………</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82"/>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（21）</w:t>
      </w:r>
      <w:r>
        <w:rPr>
          <w:rFonts w:hint="eastAsia" w:ascii="仿宋" w:eastAsia="仿宋" w:cs="仿宋"/>
          <w:color w:val="000000" w:themeColor="text1"/>
          <w:lang w:val="zh-CN"/>
        </w:rPr>
        <w:t>认为需要的其他商务技术（资信）文件或说明………………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snapToGrid w:val="0"/>
        <w:spacing w:line="288" w:lineRule="auto"/>
        <w:rPr>
          <w:rFonts w:ascii="仿宋" w:hAnsi="仿宋" w:eastAsia="仿宋" w:cs="仿宋"/>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绍兴市生态环境局</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绍兴市生态环境局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绍兴市生态环境局2022年汤浦水库流域水质监测及市级河长管理河道水质监测、市级湖长管理湖库水质监测项目</w:t>
      </w:r>
      <w:r>
        <w:rPr>
          <w:rFonts w:hint="eastAsia" w:ascii="仿宋" w:hAnsi="仿宋" w:eastAsia="仿宋" w:cs="仿宋"/>
          <w:sz w:val="24"/>
        </w:rPr>
        <w:t>（招标编号:      ）合同所必需的设备和专业技术能力。如中标，我方将保证合同顺利履行。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绍兴市生态环境局</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3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3"/>
        <w:ind w:firstLine="0"/>
        <w:jc w:val="both"/>
        <w:outlineLvl w:val="9"/>
        <w:rPr>
          <w:rFonts w:ascii="仿宋" w:eastAsia="仿宋" w:cs="仿宋"/>
        </w:rPr>
      </w:pPr>
    </w:p>
    <w:p>
      <w:pPr>
        <w:pStyle w:val="83"/>
        <w:ind w:firstLine="0"/>
        <w:jc w:val="both"/>
        <w:outlineLvl w:val="9"/>
        <w:rPr>
          <w:rFonts w:ascii="仿宋" w:eastAsia="仿宋" w:cs="仿宋"/>
        </w:rPr>
      </w:pPr>
    </w:p>
    <w:p>
      <w:pPr>
        <w:pStyle w:val="83"/>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绍兴市生态环境局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3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3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3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30"/>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3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楷体_GB2312">
    <w:panose1 w:val="02010609030101010101"/>
    <w:charset w:val="86"/>
    <w:family w:val="auto"/>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_GB2312">
    <w:altName w:val="RomanS"/>
    <w:panose1 w:val="00000000000000000000"/>
    <w:charset w:val="00"/>
    <w:family w:val="auto"/>
    <w:pitch w:val="default"/>
    <w:sig w:usb0="00000000" w:usb1="00000000" w:usb2="00000000" w:usb3="00000000" w:csb0="00000001" w:csb1="00000000"/>
  </w:font>
  <w:font w:name="RomanS">
    <w:panose1 w:val="02000400000000000000"/>
    <w:charset w:val="00"/>
    <w:family w:val="auto"/>
    <w:pitch w:val="default"/>
    <w:sig w:usb0="00000207" w:usb1="00000000" w:usb2="00000000" w:usb3="00000000" w:csb0="000001F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DengXian">
    <w:altName w:val="宋体"/>
    <w:panose1 w:val="02010600030101010101"/>
    <w:charset w:val="86"/>
    <w:family w:val="auto"/>
    <w:pitch w:val="default"/>
    <w:sig w:usb0="00000000" w:usb1="00000000" w:usb2="00000016" w:usb3="00000000" w:csb0="0004000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3073"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42</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4"/>
        <w:rFonts w:cs="Arial"/>
        <w:sz w:val="18"/>
        <w:szCs w:val="21"/>
      </w:rPr>
    </w:pPr>
    <w:r>
      <w:rPr>
        <w:rStyle w:val="34"/>
        <w:rFonts w:cs="Arial"/>
        <w:sz w:val="18"/>
        <w:szCs w:val="21"/>
      </w:rPr>
      <w:fldChar w:fldCharType="begin"/>
    </w:r>
    <w:r>
      <w:rPr>
        <w:rStyle w:val="34"/>
        <w:rFonts w:cs="Arial"/>
        <w:sz w:val="18"/>
        <w:szCs w:val="21"/>
      </w:rPr>
      <w:instrText xml:space="preserve">PAGE  </w:instrText>
    </w:r>
    <w:r>
      <w:rPr>
        <w:rStyle w:val="34"/>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5"/>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6">
    <w:nsid w:val="6D5D2EE9"/>
    <w:multiLevelType w:val="singleLevel"/>
    <w:tmpl w:val="6D5D2EE9"/>
    <w:lvl w:ilvl="0" w:tentative="0">
      <w:start w:val="1"/>
      <w:numFmt w:val="decimal"/>
      <w:suff w:val="nothing"/>
      <w:lvlText w:val="（%1）"/>
      <w:lvlJc w:val="left"/>
    </w:lvl>
  </w:abstractNum>
  <w:num w:numId="1">
    <w:abstractNumId w:val="5"/>
  </w:num>
  <w:num w:numId="2">
    <w:abstractNumId w:val="2"/>
  </w:num>
  <w:num w:numId="3">
    <w:abstractNumId w:val="3"/>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087B"/>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0474"/>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32DDD"/>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257A9"/>
    <w:rsid w:val="00530F7C"/>
    <w:rsid w:val="00532CC9"/>
    <w:rsid w:val="00545306"/>
    <w:rsid w:val="00546E44"/>
    <w:rsid w:val="00547532"/>
    <w:rsid w:val="005656CD"/>
    <w:rsid w:val="00566429"/>
    <w:rsid w:val="00570C24"/>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381E"/>
    <w:rsid w:val="006940CC"/>
    <w:rsid w:val="00695EF5"/>
    <w:rsid w:val="006A4D37"/>
    <w:rsid w:val="006A5993"/>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132AA"/>
    <w:rsid w:val="00923FCF"/>
    <w:rsid w:val="009333E3"/>
    <w:rsid w:val="00933431"/>
    <w:rsid w:val="009362D2"/>
    <w:rsid w:val="00937337"/>
    <w:rsid w:val="00945D15"/>
    <w:rsid w:val="00950791"/>
    <w:rsid w:val="00955273"/>
    <w:rsid w:val="00957F9C"/>
    <w:rsid w:val="00962E86"/>
    <w:rsid w:val="009660EE"/>
    <w:rsid w:val="00980381"/>
    <w:rsid w:val="009A4CEF"/>
    <w:rsid w:val="009C76A2"/>
    <w:rsid w:val="009D2FED"/>
    <w:rsid w:val="009E0533"/>
    <w:rsid w:val="00A1598B"/>
    <w:rsid w:val="00A16944"/>
    <w:rsid w:val="00A17F42"/>
    <w:rsid w:val="00A27EBF"/>
    <w:rsid w:val="00A30EAA"/>
    <w:rsid w:val="00A35A34"/>
    <w:rsid w:val="00A36A6D"/>
    <w:rsid w:val="00A41BE4"/>
    <w:rsid w:val="00A5075A"/>
    <w:rsid w:val="00A56A1E"/>
    <w:rsid w:val="00A63825"/>
    <w:rsid w:val="00A63FBA"/>
    <w:rsid w:val="00A67091"/>
    <w:rsid w:val="00A738ED"/>
    <w:rsid w:val="00A831F9"/>
    <w:rsid w:val="00A86515"/>
    <w:rsid w:val="00A929F0"/>
    <w:rsid w:val="00A95926"/>
    <w:rsid w:val="00AA1B38"/>
    <w:rsid w:val="00AA527A"/>
    <w:rsid w:val="00AB3AF5"/>
    <w:rsid w:val="00AD0587"/>
    <w:rsid w:val="00AD18FF"/>
    <w:rsid w:val="00AD270F"/>
    <w:rsid w:val="00AD62CB"/>
    <w:rsid w:val="00AE1471"/>
    <w:rsid w:val="00AE1493"/>
    <w:rsid w:val="00AE3AB9"/>
    <w:rsid w:val="00AE6A3D"/>
    <w:rsid w:val="00B01CF7"/>
    <w:rsid w:val="00B06E34"/>
    <w:rsid w:val="00B1333D"/>
    <w:rsid w:val="00B22626"/>
    <w:rsid w:val="00B251FC"/>
    <w:rsid w:val="00B51325"/>
    <w:rsid w:val="00B51D5A"/>
    <w:rsid w:val="00B61CF4"/>
    <w:rsid w:val="00B62E53"/>
    <w:rsid w:val="00B63DE9"/>
    <w:rsid w:val="00B67DBD"/>
    <w:rsid w:val="00B71876"/>
    <w:rsid w:val="00B76EC0"/>
    <w:rsid w:val="00B85839"/>
    <w:rsid w:val="00BA30DB"/>
    <w:rsid w:val="00BF2DFE"/>
    <w:rsid w:val="00C071C6"/>
    <w:rsid w:val="00C135A8"/>
    <w:rsid w:val="00C207BF"/>
    <w:rsid w:val="00C249E6"/>
    <w:rsid w:val="00C33170"/>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216D1"/>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1D643D"/>
    <w:rsid w:val="0135256E"/>
    <w:rsid w:val="017F0419"/>
    <w:rsid w:val="018F4B23"/>
    <w:rsid w:val="01E266F3"/>
    <w:rsid w:val="0202557A"/>
    <w:rsid w:val="02455361"/>
    <w:rsid w:val="026B7D9D"/>
    <w:rsid w:val="02746F0F"/>
    <w:rsid w:val="02B0326C"/>
    <w:rsid w:val="02E03D80"/>
    <w:rsid w:val="02FF6323"/>
    <w:rsid w:val="03166C95"/>
    <w:rsid w:val="033742BA"/>
    <w:rsid w:val="0352039E"/>
    <w:rsid w:val="035D5995"/>
    <w:rsid w:val="03F47058"/>
    <w:rsid w:val="0432047D"/>
    <w:rsid w:val="044736CF"/>
    <w:rsid w:val="04AB653B"/>
    <w:rsid w:val="04B306B5"/>
    <w:rsid w:val="04B348C2"/>
    <w:rsid w:val="04BB2CB1"/>
    <w:rsid w:val="04CE269C"/>
    <w:rsid w:val="052202A5"/>
    <w:rsid w:val="052D2EBC"/>
    <w:rsid w:val="05612999"/>
    <w:rsid w:val="05B40EB1"/>
    <w:rsid w:val="05B75E5D"/>
    <w:rsid w:val="06B00C54"/>
    <w:rsid w:val="06BA5366"/>
    <w:rsid w:val="06E4135A"/>
    <w:rsid w:val="07555EC0"/>
    <w:rsid w:val="07DA186C"/>
    <w:rsid w:val="082169A9"/>
    <w:rsid w:val="084E3C8A"/>
    <w:rsid w:val="08C922E5"/>
    <w:rsid w:val="08DC6D2E"/>
    <w:rsid w:val="08E27460"/>
    <w:rsid w:val="08E429EA"/>
    <w:rsid w:val="08FA3C1C"/>
    <w:rsid w:val="09326399"/>
    <w:rsid w:val="097A3B63"/>
    <w:rsid w:val="0A0A25D7"/>
    <w:rsid w:val="0ADE6281"/>
    <w:rsid w:val="0B3869A1"/>
    <w:rsid w:val="0B637A3A"/>
    <w:rsid w:val="0B9713AA"/>
    <w:rsid w:val="0BF4331C"/>
    <w:rsid w:val="0D2D522C"/>
    <w:rsid w:val="0D917941"/>
    <w:rsid w:val="0DD1638B"/>
    <w:rsid w:val="0E3734EA"/>
    <w:rsid w:val="0E45263B"/>
    <w:rsid w:val="0E7143DA"/>
    <w:rsid w:val="0E901B17"/>
    <w:rsid w:val="0EA54C7F"/>
    <w:rsid w:val="0ED21131"/>
    <w:rsid w:val="0EE1261E"/>
    <w:rsid w:val="0EF438E6"/>
    <w:rsid w:val="0F4B58A1"/>
    <w:rsid w:val="0F4B602A"/>
    <w:rsid w:val="0F6303AF"/>
    <w:rsid w:val="0F765787"/>
    <w:rsid w:val="0FD004FD"/>
    <w:rsid w:val="104D6387"/>
    <w:rsid w:val="10C92ED0"/>
    <w:rsid w:val="10D05303"/>
    <w:rsid w:val="10F654D7"/>
    <w:rsid w:val="114664CC"/>
    <w:rsid w:val="11564EC4"/>
    <w:rsid w:val="11B07BD6"/>
    <w:rsid w:val="11CB3B70"/>
    <w:rsid w:val="11D91565"/>
    <w:rsid w:val="120A1A67"/>
    <w:rsid w:val="125750F6"/>
    <w:rsid w:val="127542AA"/>
    <w:rsid w:val="12F15FC0"/>
    <w:rsid w:val="137333B1"/>
    <w:rsid w:val="13AD3C35"/>
    <w:rsid w:val="142F0303"/>
    <w:rsid w:val="144A5C4D"/>
    <w:rsid w:val="144C4A2E"/>
    <w:rsid w:val="144D3595"/>
    <w:rsid w:val="14685E9F"/>
    <w:rsid w:val="1474034F"/>
    <w:rsid w:val="148167F9"/>
    <w:rsid w:val="149C53ED"/>
    <w:rsid w:val="14A17E3B"/>
    <w:rsid w:val="14C20EED"/>
    <w:rsid w:val="151F45C4"/>
    <w:rsid w:val="1553718A"/>
    <w:rsid w:val="1557079B"/>
    <w:rsid w:val="15661BF2"/>
    <w:rsid w:val="15F9B23E"/>
    <w:rsid w:val="160D5326"/>
    <w:rsid w:val="16955330"/>
    <w:rsid w:val="169F1555"/>
    <w:rsid w:val="16C339B4"/>
    <w:rsid w:val="17E0367B"/>
    <w:rsid w:val="180E0AFF"/>
    <w:rsid w:val="181C3543"/>
    <w:rsid w:val="183550AA"/>
    <w:rsid w:val="1887170A"/>
    <w:rsid w:val="18BE625E"/>
    <w:rsid w:val="18E23B19"/>
    <w:rsid w:val="18F64FE1"/>
    <w:rsid w:val="193E2714"/>
    <w:rsid w:val="197D38E8"/>
    <w:rsid w:val="198960E3"/>
    <w:rsid w:val="199F0C8D"/>
    <w:rsid w:val="19A857C8"/>
    <w:rsid w:val="19C025F8"/>
    <w:rsid w:val="19CE48C9"/>
    <w:rsid w:val="19D9355D"/>
    <w:rsid w:val="19E340C5"/>
    <w:rsid w:val="1A0C3B58"/>
    <w:rsid w:val="1A761D5D"/>
    <w:rsid w:val="1A8B44E3"/>
    <w:rsid w:val="1AA07E89"/>
    <w:rsid w:val="1ABA202B"/>
    <w:rsid w:val="1AC253A6"/>
    <w:rsid w:val="1AEB1C50"/>
    <w:rsid w:val="1B1C0F2A"/>
    <w:rsid w:val="1B1F3315"/>
    <w:rsid w:val="1B5003E0"/>
    <w:rsid w:val="1B632526"/>
    <w:rsid w:val="1B765B82"/>
    <w:rsid w:val="1B965EA6"/>
    <w:rsid w:val="1BE62BE0"/>
    <w:rsid w:val="1BFF42C4"/>
    <w:rsid w:val="1CFC02BB"/>
    <w:rsid w:val="1D155786"/>
    <w:rsid w:val="1D4977E5"/>
    <w:rsid w:val="1D5F12A6"/>
    <w:rsid w:val="1DC00357"/>
    <w:rsid w:val="1DDC590A"/>
    <w:rsid w:val="1DE200F1"/>
    <w:rsid w:val="1E335181"/>
    <w:rsid w:val="1E542B3C"/>
    <w:rsid w:val="1E6472D8"/>
    <w:rsid w:val="1EAA11FB"/>
    <w:rsid w:val="1EE4458C"/>
    <w:rsid w:val="1EE740FD"/>
    <w:rsid w:val="1EE90359"/>
    <w:rsid w:val="1F2C3FB0"/>
    <w:rsid w:val="1F3A2255"/>
    <w:rsid w:val="1F7362DF"/>
    <w:rsid w:val="1FB74E43"/>
    <w:rsid w:val="1FC70F79"/>
    <w:rsid w:val="1FD44083"/>
    <w:rsid w:val="1FDB4036"/>
    <w:rsid w:val="1FFF0B99"/>
    <w:rsid w:val="209A7B6A"/>
    <w:rsid w:val="20B53FC7"/>
    <w:rsid w:val="20BE6021"/>
    <w:rsid w:val="20C15481"/>
    <w:rsid w:val="211076E8"/>
    <w:rsid w:val="214A627F"/>
    <w:rsid w:val="216D4A99"/>
    <w:rsid w:val="21713B15"/>
    <w:rsid w:val="2173797E"/>
    <w:rsid w:val="218642C5"/>
    <w:rsid w:val="218B4CE9"/>
    <w:rsid w:val="21D37273"/>
    <w:rsid w:val="21E26C36"/>
    <w:rsid w:val="22092A2A"/>
    <w:rsid w:val="220D6D28"/>
    <w:rsid w:val="22C65437"/>
    <w:rsid w:val="2304797C"/>
    <w:rsid w:val="230947AF"/>
    <w:rsid w:val="231942C4"/>
    <w:rsid w:val="234940A6"/>
    <w:rsid w:val="238A7522"/>
    <w:rsid w:val="23A62995"/>
    <w:rsid w:val="23BA6B13"/>
    <w:rsid w:val="23BE0F28"/>
    <w:rsid w:val="23CB6CF7"/>
    <w:rsid w:val="23E17F6F"/>
    <w:rsid w:val="240053EC"/>
    <w:rsid w:val="24097FEF"/>
    <w:rsid w:val="241B0907"/>
    <w:rsid w:val="242F6C37"/>
    <w:rsid w:val="248A14B6"/>
    <w:rsid w:val="249D31FD"/>
    <w:rsid w:val="24C720CA"/>
    <w:rsid w:val="24CA6AC2"/>
    <w:rsid w:val="24D972C4"/>
    <w:rsid w:val="24E92B02"/>
    <w:rsid w:val="251D6BC3"/>
    <w:rsid w:val="252565D6"/>
    <w:rsid w:val="25272087"/>
    <w:rsid w:val="253216FD"/>
    <w:rsid w:val="25473C72"/>
    <w:rsid w:val="256D4AB4"/>
    <w:rsid w:val="257F181C"/>
    <w:rsid w:val="25A13331"/>
    <w:rsid w:val="25A57D1C"/>
    <w:rsid w:val="262557A3"/>
    <w:rsid w:val="26294A1D"/>
    <w:rsid w:val="266A0827"/>
    <w:rsid w:val="26B4145F"/>
    <w:rsid w:val="26CC410D"/>
    <w:rsid w:val="26DF2764"/>
    <w:rsid w:val="27105C37"/>
    <w:rsid w:val="27903546"/>
    <w:rsid w:val="27B61D84"/>
    <w:rsid w:val="284D434A"/>
    <w:rsid w:val="28602EA4"/>
    <w:rsid w:val="291E1DAE"/>
    <w:rsid w:val="292C3247"/>
    <w:rsid w:val="294F6FF1"/>
    <w:rsid w:val="298F4DC5"/>
    <w:rsid w:val="29DA29ED"/>
    <w:rsid w:val="2A083150"/>
    <w:rsid w:val="2A523300"/>
    <w:rsid w:val="2AE2680C"/>
    <w:rsid w:val="2AFA300F"/>
    <w:rsid w:val="2B02463D"/>
    <w:rsid w:val="2BB712A2"/>
    <w:rsid w:val="2BBE6841"/>
    <w:rsid w:val="2BD53B46"/>
    <w:rsid w:val="2BD668A3"/>
    <w:rsid w:val="2BF305D1"/>
    <w:rsid w:val="2C273A59"/>
    <w:rsid w:val="2C446861"/>
    <w:rsid w:val="2CB83AD9"/>
    <w:rsid w:val="2CD53511"/>
    <w:rsid w:val="2D2A61CE"/>
    <w:rsid w:val="2D7314ED"/>
    <w:rsid w:val="2D80707D"/>
    <w:rsid w:val="2DA70F1C"/>
    <w:rsid w:val="2DDC2103"/>
    <w:rsid w:val="2DE2488D"/>
    <w:rsid w:val="2DF85E5A"/>
    <w:rsid w:val="2E083145"/>
    <w:rsid w:val="2ED5521A"/>
    <w:rsid w:val="2ED619F5"/>
    <w:rsid w:val="2F0D552B"/>
    <w:rsid w:val="2F55251C"/>
    <w:rsid w:val="2F625C42"/>
    <w:rsid w:val="2F8C4BD5"/>
    <w:rsid w:val="2F9F3A1B"/>
    <w:rsid w:val="303322BF"/>
    <w:rsid w:val="303B0264"/>
    <w:rsid w:val="304B5E64"/>
    <w:rsid w:val="30730BA2"/>
    <w:rsid w:val="30782F4C"/>
    <w:rsid w:val="3091213D"/>
    <w:rsid w:val="30A668D6"/>
    <w:rsid w:val="30ED1CE2"/>
    <w:rsid w:val="31383B62"/>
    <w:rsid w:val="31487038"/>
    <w:rsid w:val="31AE2AD8"/>
    <w:rsid w:val="31AF70A8"/>
    <w:rsid w:val="31C6513D"/>
    <w:rsid w:val="31D76D86"/>
    <w:rsid w:val="32221E3A"/>
    <w:rsid w:val="328D7C02"/>
    <w:rsid w:val="32B05C3D"/>
    <w:rsid w:val="32B65903"/>
    <w:rsid w:val="32C97243"/>
    <w:rsid w:val="32D758ED"/>
    <w:rsid w:val="33012007"/>
    <w:rsid w:val="33AD15F4"/>
    <w:rsid w:val="33F65183"/>
    <w:rsid w:val="341F2A57"/>
    <w:rsid w:val="34842703"/>
    <w:rsid w:val="348450B4"/>
    <w:rsid w:val="34A065F2"/>
    <w:rsid w:val="35653C58"/>
    <w:rsid w:val="359C1A91"/>
    <w:rsid w:val="35F35215"/>
    <w:rsid w:val="3627707A"/>
    <w:rsid w:val="365C2844"/>
    <w:rsid w:val="36763EFF"/>
    <w:rsid w:val="37070C59"/>
    <w:rsid w:val="37186BCB"/>
    <w:rsid w:val="37251CAF"/>
    <w:rsid w:val="373660AC"/>
    <w:rsid w:val="37604E39"/>
    <w:rsid w:val="378D5403"/>
    <w:rsid w:val="37C02DA1"/>
    <w:rsid w:val="37D43997"/>
    <w:rsid w:val="38042CE6"/>
    <w:rsid w:val="38285B2C"/>
    <w:rsid w:val="38387BC2"/>
    <w:rsid w:val="38881FC6"/>
    <w:rsid w:val="38945642"/>
    <w:rsid w:val="38A11738"/>
    <w:rsid w:val="38CF2698"/>
    <w:rsid w:val="38D4603A"/>
    <w:rsid w:val="38F76EE1"/>
    <w:rsid w:val="390304E8"/>
    <w:rsid w:val="392E3D2B"/>
    <w:rsid w:val="3A4719E4"/>
    <w:rsid w:val="3A5F0E06"/>
    <w:rsid w:val="3A685313"/>
    <w:rsid w:val="3B624EB3"/>
    <w:rsid w:val="3B813EB2"/>
    <w:rsid w:val="3B86129B"/>
    <w:rsid w:val="3B9F7E10"/>
    <w:rsid w:val="3BA40ED7"/>
    <w:rsid w:val="3BAA361F"/>
    <w:rsid w:val="3BD2237E"/>
    <w:rsid w:val="3BDE7432"/>
    <w:rsid w:val="3BE67851"/>
    <w:rsid w:val="3C025073"/>
    <w:rsid w:val="3C050B74"/>
    <w:rsid w:val="3C0D4D62"/>
    <w:rsid w:val="3C7E2383"/>
    <w:rsid w:val="3CC151E1"/>
    <w:rsid w:val="3CCC5F8E"/>
    <w:rsid w:val="3CD64465"/>
    <w:rsid w:val="3D0E3394"/>
    <w:rsid w:val="3DCB471C"/>
    <w:rsid w:val="3DE95C60"/>
    <w:rsid w:val="3DF509E6"/>
    <w:rsid w:val="3E253FC4"/>
    <w:rsid w:val="3E520C34"/>
    <w:rsid w:val="3E66686E"/>
    <w:rsid w:val="3E781CBE"/>
    <w:rsid w:val="3ED00895"/>
    <w:rsid w:val="3EF13B78"/>
    <w:rsid w:val="3F063B05"/>
    <w:rsid w:val="3F184BE9"/>
    <w:rsid w:val="3F96657B"/>
    <w:rsid w:val="3F9C4556"/>
    <w:rsid w:val="3FB051C0"/>
    <w:rsid w:val="3FEF33F4"/>
    <w:rsid w:val="3FF45C27"/>
    <w:rsid w:val="3FF47659"/>
    <w:rsid w:val="40017668"/>
    <w:rsid w:val="40712EC2"/>
    <w:rsid w:val="40D9690C"/>
    <w:rsid w:val="410027A2"/>
    <w:rsid w:val="4175100A"/>
    <w:rsid w:val="41A3573D"/>
    <w:rsid w:val="41B434A1"/>
    <w:rsid w:val="41B4707C"/>
    <w:rsid w:val="41BE7A51"/>
    <w:rsid w:val="41E47DCF"/>
    <w:rsid w:val="41EA52BC"/>
    <w:rsid w:val="422A0C37"/>
    <w:rsid w:val="42564596"/>
    <w:rsid w:val="425B70E5"/>
    <w:rsid w:val="428B3B5D"/>
    <w:rsid w:val="42B609F3"/>
    <w:rsid w:val="431D30F1"/>
    <w:rsid w:val="43A94F44"/>
    <w:rsid w:val="43DD0189"/>
    <w:rsid w:val="43E828F9"/>
    <w:rsid w:val="43F07929"/>
    <w:rsid w:val="442B0326"/>
    <w:rsid w:val="44625BB9"/>
    <w:rsid w:val="447A0F60"/>
    <w:rsid w:val="44A620DD"/>
    <w:rsid w:val="44E52F1C"/>
    <w:rsid w:val="450E7493"/>
    <w:rsid w:val="451B5773"/>
    <w:rsid w:val="454753F6"/>
    <w:rsid w:val="457B473E"/>
    <w:rsid w:val="45A339CF"/>
    <w:rsid w:val="45BB538B"/>
    <w:rsid w:val="45C05D72"/>
    <w:rsid w:val="45FD1686"/>
    <w:rsid w:val="4616050C"/>
    <w:rsid w:val="46210DBC"/>
    <w:rsid w:val="4624734D"/>
    <w:rsid w:val="46545BE0"/>
    <w:rsid w:val="47663221"/>
    <w:rsid w:val="47D00196"/>
    <w:rsid w:val="48BF50A6"/>
    <w:rsid w:val="48C46876"/>
    <w:rsid w:val="48CA77E3"/>
    <w:rsid w:val="48E66DBF"/>
    <w:rsid w:val="490143BC"/>
    <w:rsid w:val="49246CEA"/>
    <w:rsid w:val="49255433"/>
    <w:rsid w:val="4964544D"/>
    <w:rsid w:val="498A75F9"/>
    <w:rsid w:val="49E360AC"/>
    <w:rsid w:val="49EC32AB"/>
    <w:rsid w:val="4A04095E"/>
    <w:rsid w:val="4A2E44F7"/>
    <w:rsid w:val="4A373AFF"/>
    <w:rsid w:val="4A575A8E"/>
    <w:rsid w:val="4A7A27F3"/>
    <w:rsid w:val="4AD6257A"/>
    <w:rsid w:val="4B3C70F3"/>
    <w:rsid w:val="4B613872"/>
    <w:rsid w:val="4B923C7B"/>
    <w:rsid w:val="4BB16E3C"/>
    <w:rsid w:val="4BF23C29"/>
    <w:rsid w:val="4C421A3E"/>
    <w:rsid w:val="4D000BB8"/>
    <w:rsid w:val="4D2764E4"/>
    <w:rsid w:val="4D301BA9"/>
    <w:rsid w:val="4D4F434C"/>
    <w:rsid w:val="4D553076"/>
    <w:rsid w:val="4DC16712"/>
    <w:rsid w:val="4DF16406"/>
    <w:rsid w:val="4E083898"/>
    <w:rsid w:val="4E0E52CF"/>
    <w:rsid w:val="4E200A0B"/>
    <w:rsid w:val="4E26397C"/>
    <w:rsid w:val="4E363927"/>
    <w:rsid w:val="4E3B2D1A"/>
    <w:rsid w:val="4EA90E17"/>
    <w:rsid w:val="4EC55EFA"/>
    <w:rsid w:val="4EF418A3"/>
    <w:rsid w:val="4EF92936"/>
    <w:rsid w:val="4F742655"/>
    <w:rsid w:val="4F8F415A"/>
    <w:rsid w:val="4F9153B3"/>
    <w:rsid w:val="4FA53CDC"/>
    <w:rsid w:val="4FF50BC0"/>
    <w:rsid w:val="502A6882"/>
    <w:rsid w:val="504B2A65"/>
    <w:rsid w:val="50BB6A75"/>
    <w:rsid w:val="51D1142A"/>
    <w:rsid w:val="51E45E21"/>
    <w:rsid w:val="52521883"/>
    <w:rsid w:val="52783D74"/>
    <w:rsid w:val="52AB7646"/>
    <w:rsid w:val="52C0259A"/>
    <w:rsid w:val="52FE221E"/>
    <w:rsid w:val="536E0F8E"/>
    <w:rsid w:val="53A129B1"/>
    <w:rsid w:val="53ED7088"/>
    <w:rsid w:val="545E660D"/>
    <w:rsid w:val="54637050"/>
    <w:rsid w:val="54C24A7B"/>
    <w:rsid w:val="552162FB"/>
    <w:rsid w:val="555810A7"/>
    <w:rsid w:val="55902CE3"/>
    <w:rsid w:val="55A42927"/>
    <w:rsid w:val="55C124AC"/>
    <w:rsid w:val="55C422C3"/>
    <w:rsid w:val="55CD1580"/>
    <w:rsid w:val="56152A28"/>
    <w:rsid w:val="561573DE"/>
    <w:rsid w:val="56311879"/>
    <w:rsid w:val="56B87238"/>
    <w:rsid w:val="56CD28B3"/>
    <w:rsid w:val="571E2C5F"/>
    <w:rsid w:val="57351512"/>
    <w:rsid w:val="578053FE"/>
    <w:rsid w:val="57835AC7"/>
    <w:rsid w:val="57C523F6"/>
    <w:rsid w:val="57F303AA"/>
    <w:rsid w:val="58630553"/>
    <w:rsid w:val="5863246B"/>
    <w:rsid w:val="588A53A7"/>
    <w:rsid w:val="59204E23"/>
    <w:rsid w:val="595C082B"/>
    <w:rsid w:val="596E3097"/>
    <w:rsid w:val="59773EED"/>
    <w:rsid w:val="599A244A"/>
    <w:rsid w:val="59D94A1E"/>
    <w:rsid w:val="59F56D5F"/>
    <w:rsid w:val="59FE758C"/>
    <w:rsid w:val="5A2C2425"/>
    <w:rsid w:val="5AD4156D"/>
    <w:rsid w:val="5B14063F"/>
    <w:rsid w:val="5B293378"/>
    <w:rsid w:val="5B301B1F"/>
    <w:rsid w:val="5B3E5312"/>
    <w:rsid w:val="5BCC0969"/>
    <w:rsid w:val="5BF76753"/>
    <w:rsid w:val="5C094E91"/>
    <w:rsid w:val="5C181AA2"/>
    <w:rsid w:val="5CEC747F"/>
    <w:rsid w:val="5D175C03"/>
    <w:rsid w:val="5D534CD8"/>
    <w:rsid w:val="5D9A2ED9"/>
    <w:rsid w:val="5DBD51C2"/>
    <w:rsid w:val="5DC236EC"/>
    <w:rsid w:val="5E277524"/>
    <w:rsid w:val="5E5506C8"/>
    <w:rsid w:val="5EA2001B"/>
    <w:rsid w:val="5F0266A3"/>
    <w:rsid w:val="5F232D5B"/>
    <w:rsid w:val="5F4F005F"/>
    <w:rsid w:val="5F526F22"/>
    <w:rsid w:val="5F744292"/>
    <w:rsid w:val="5F855D12"/>
    <w:rsid w:val="5F952C60"/>
    <w:rsid w:val="5FD51C0C"/>
    <w:rsid w:val="5FF42786"/>
    <w:rsid w:val="606129E7"/>
    <w:rsid w:val="60662262"/>
    <w:rsid w:val="606B60CD"/>
    <w:rsid w:val="60F431B9"/>
    <w:rsid w:val="60F8796B"/>
    <w:rsid w:val="61054BCE"/>
    <w:rsid w:val="610B35BB"/>
    <w:rsid w:val="61731422"/>
    <w:rsid w:val="618F11E9"/>
    <w:rsid w:val="61AA1E9E"/>
    <w:rsid w:val="61CD1945"/>
    <w:rsid w:val="61EB4F88"/>
    <w:rsid w:val="620E2B02"/>
    <w:rsid w:val="624A22BB"/>
    <w:rsid w:val="626B63E3"/>
    <w:rsid w:val="62B65C75"/>
    <w:rsid w:val="62E228B8"/>
    <w:rsid w:val="633D3608"/>
    <w:rsid w:val="63487EAC"/>
    <w:rsid w:val="635349E5"/>
    <w:rsid w:val="63575F25"/>
    <w:rsid w:val="63711DD5"/>
    <w:rsid w:val="637F68CB"/>
    <w:rsid w:val="63FE2657"/>
    <w:rsid w:val="64013D86"/>
    <w:rsid w:val="64031C4A"/>
    <w:rsid w:val="642B75FC"/>
    <w:rsid w:val="643A6EA0"/>
    <w:rsid w:val="64833DD3"/>
    <w:rsid w:val="64A17E2B"/>
    <w:rsid w:val="64A849CD"/>
    <w:rsid w:val="64CF1F8E"/>
    <w:rsid w:val="64EC5A6B"/>
    <w:rsid w:val="650D77AD"/>
    <w:rsid w:val="653666D1"/>
    <w:rsid w:val="65917E54"/>
    <w:rsid w:val="6597576B"/>
    <w:rsid w:val="66090E80"/>
    <w:rsid w:val="6611701E"/>
    <w:rsid w:val="664161A9"/>
    <w:rsid w:val="66D40DCC"/>
    <w:rsid w:val="66E30B4F"/>
    <w:rsid w:val="66FB308E"/>
    <w:rsid w:val="6723482A"/>
    <w:rsid w:val="673F1F48"/>
    <w:rsid w:val="67B44705"/>
    <w:rsid w:val="67FD2A7B"/>
    <w:rsid w:val="680A1519"/>
    <w:rsid w:val="680E4B48"/>
    <w:rsid w:val="68210070"/>
    <w:rsid w:val="686A7490"/>
    <w:rsid w:val="68BB3495"/>
    <w:rsid w:val="68DB190B"/>
    <w:rsid w:val="69634496"/>
    <w:rsid w:val="69A651B9"/>
    <w:rsid w:val="69B03442"/>
    <w:rsid w:val="6A1331D9"/>
    <w:rsid w:val="6A315029"/>
    <w:rsid w:val="6A4A1E1C"/>
    <w:rsid w:val="6AB1009A"/>
    <w:rsid w:val="6ACB360F"/>
    <w:rsid w:val="6AD25354"/>
    <w:rsid w:val="6B8860DC"/>
    <w:rsid w:val="6BAE7000"/>
    <w:rsid w:val="6BB05959"/>
    <w:rsid w:val="6BD67C2C"/>
    <w:rsid w:val="6BEE0B09"/>
    <w:rsid w:val="6BF91AB9"/>
    <w:rsid w:val="6C5C04D5"/>
    <w:rsid w:val="6CB13F20"/>
    <w:rsid w:val="6CCA6527"/>
    <w:rsid w:val="6CE847D1"/>
    <w:rsid w:val="6D1E181B"/>
    <w:rsid w:val="6D523363"/>
    <w:rsid w:val="6D9B2320"/>
    <w:rsid w:val="6EBE746D"/>
    <w:rsid w:val="6EE31042"/>
    <w:rsid w:val="6F4A4DA9"/>
    <w:rsid w:val="6F572D08"/>
    <w:rsid w:val="6F62018A"/>
    <w:rsid w:val="6F6858A1"/>
    <w:rsid w:val="6FB83CDB"/>
    <w:rsid w:val="6FBB0F74"/>
    <w:rsid w:val="6FD5142D"/>
    <w:rsid w:val="6FD548BE"/>
    <w:rsid w:val="6FE11C7C"/>
    <w:rsid w:val="6FE66B4D"/>
    <w:rsid w:val="70063F84"/>
    <w:rsid w:val="702450BC"/>
    <w:rsid w:val="70853498"/>
    <w:rsid w:val="70FC7A0D"/>
    <w:rsid w:val="71192087"/>
    <w:rsid w:val="712F4D7E"/>
    <w:rsid w:val="713A67EE"/>
    <w:rsid w:val="71D613DB"/>
    <w:rsid w:val="720400C9"/>
    <w:rsid w:val="72074872"/>
    <w:rsid w:val="72BB4D4E"/>
    <w:rsid w:val="72BE4B83"/>
    <w:rsid w:val="73094A27"/>
    <w:rsid w:val="73200F6B"/>
    <w:rsid w:val="73EA0BCD"/>
    <w:rsid w:val="73EFE533"/>
    <w:rsid w:val="746A71CC"/>
    <w:rsid w:val="74715CA6"/>
    <w:rsid w:val="74870BE0"/>
    <w:rsid w:val="74BB1904"/>
    <w:rsid w:val="74D249BF"/>
    <w:rsid w:val="74ED4EB1"/>
    <w:rsid w:val="74F0279B"/>
    <w:rsid w:val="74F6543C"/>
    <w:rsid w:val="754358D4"/>
    <w:rsid w:val="75FF0A2F"/>
    <w:rsid w:val="761B1492"/>
    <w:rsid w:val="762A248F"/>
    <w:rsid w:val="767F7FDC"/>
    <w:rsid w:val="76F66D3B"/>
    <w:rsid w:val="770563B7"/>
    <w:rsid w:val="77432189"/>
    <w:rsid w:val="77650660"/>
    <w:rsid w:val="77DE40CB"/>
    <w:rsid w:val="77DF5581"/>
    <w:rsid w:val="781135E0"/>
    <w:rsid w:val="78305FF2"/>
    <w:rsid w:val="78694157"/>
    <w:rsid w:val="78A20774"/>
    <w:rsid w:val="78F745B5"/>
    <w:rsid w:val="78FF382D"/>
    <w:rsid w:val="792E66F3"/>
    <w:rsid w:val="79375A0C"/>
    <w:rsid w:val="796203CB"/>
    <w:rsid w:val="79B44386"/>
    <w:rsid w:val="79EE6A68"/>
    <w:rsid w:val="7A1F36B1"/>
    <w:rsid w:val="7A3E7618"/>
    <w:rsid w:val="7A5717B0"/>
    <w:rsid w:val="7AE5282F"/>
    <w:rsid w:val="7AF956FC"/>
    <w:rsid w:val="7C003A54"/>
    <w:rsid w:val="7C373DB7"/>
    <w:rsid w:val="7C4228B4"/>
    <w:rsid w:val="7C5D47C4"/>
    <w:rsid w:val="7C6B5BDD"/>
    <w:rsid w:val="7C9B7283"/>
    <w:rsid w:val="7CCB7971"/>
    <w:rsid w:val="7CF851FF"/>
    <w:rsid w:val="7D173AAC"/>
    <w:rsid w:val="7D264CD8"/>
    <w:rsid w:val="7D6E0D92"/>
    <w:rsid w:val="7D7E7212"/>
    <w:rsid w:val="7D842440"/>
    <w:rsid w:val="7DA94ABE"/>
    <w:rsid w:val="7DBE0C26"/>
    <w:rsid w:val="7DF243DB"/>
    <w:rsid w:val="7DF539FA"/>
    <w:rsid w:val="7E01518F"/>
    <w:rsid w:val="7E073573"/>
    <w:rsid w:val="7E3B60DE"/>
    <w:rsid w:val="7E5E1EFC"/>
    <w:rsid w:val="7EB245FB"/>
    <w:rsid w:val="7ED2678A"/>
    <w:rsid w:val="7EDC6139"/>
    <w:rsid w:val="7EEE135D"/>
    <w:rsid w:val="7F290C8A"/>
    <w:rsid w:val="7F3C32C9"/>
    <w:rsid w:val="7F57487B"/>
    <w:rsid w:val="7FA239C6"/>
    <w:rsid w:val="7FB7288D"/>
    <w:rsid w:val="7FB73A06"/>
    <w:rsid w:val="7FC24B9F"/>
    <w:rsid w:val="7FC56966"/>
    <w:rsid w:val="7FDA4D25"/>
    <w:rsid w:val="B49AF12D"/>
    <w:rsid w:val="FC87559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iPriority="99" w:semiHidden="0"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qFormat="1" w:unhideWhenUsed="0" w:uiPriority="0" w:semiHidden="0"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42"/>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5"/>
    <w:link w:val="43"/>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4"/>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8"/>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Document Map"/>
    <w:basedOn w:val="1"/>
    <w:link w:val="45"/>
    <w:semiHidden/>
    <w:qFormat/>
    <w:locked/>
    <w:uiPriority w:val="99"/>
    <w:pPr>
      <w:shd w:val="clear" w:color="auto" w:fill="000080"/>
      <w:adjustRightInd/>
    </w:pPr>
    <w:rPr>
      <w:rFonts w:ascii="宋体"/>
      <w:sz w:val="18"/>
      <w:szCs w:val="18"/>
    </w:rPr>
  </w:style>
  <w:style w:type="paragraph" w:styleId="10">
    <w:name w:val="annotation text"/>
    <w:basedOn w:val="1"/>
    <w:link w:val="46"/>
    <w:qFormat/>
    <w:uiPriority w:val="99"/>
    <w:pPr>
      <w:adjustRightInd/>
      <w:jc w:val="left"/>
    </w:pPr>
    <w:rPr>
      <w:kern w:val="0"/>
      <w:sz w:val="24"/>
      <w:lang w:val="zh-CN"/>
    </w:rPr>
  </w:style>
  <w:style w:type="paragraph" w:styleId="11">
    <w:name w:val="Body Text"/>
    <w:basedOn w:val="1"/>
    <w:link w:val="47"/>
    <w:qFormat/>
    <w:locked/>
    <w:uiPriority w:val="99"/>
    <w:pPr>
      <w:spacing w:line="360" w:lineRule="auto"/>
    </w:pPr>
    <w:rPr>
      <w:rFonts w:eastAsia="仿宋_GB2312"/>
      <w:sz w:val="28"/>
    </w:rPr>
  </w:style>
  <w:style w:type="paragraph" w:styleId="12">
    <w:name w:val="Body Text Indent"/>
    <w:basedOn w:val="1"/>
    <w:next w:val="13"/>
    <w:link w:val="48"/>
    <w:qFormat/>
    <w:uiPriority w:val="99"/>
    <w:pPr>
      <w:spacing w:after="120"/>
      <w:ind w:left="420" w:leftChars="200"/>
    </w:pPr>
    <w:rPr>
      <w:kern w:val="0"/>
      <w:sz w:val="24"/>
    </w:rPr>
  </w:style>
  <w:style w:type="paragraph" w:styleId="13">
    <w:name w:val="envelope return"/>
    <w:basedOn w:val="1"/>
    <w:unhideWhenUsed/>
    <w:qFormat/>
    <w:locked/>
    <w:uiPriority w:val="99"/>
    <w:pPr>
      <w:autoSpaceDN w:val="0"/>
      <w:adjustRightInd w:val="0"/>
      <w:spacing w:after="60"/>
      <w:jc w:val="left"/>
    </w:pPr>
    <w:rPr>
      <w:rFonts w:ascii="Arial" w:hAnsi="Arial" w:eastAsia="PMingLiU" w:cs="Times New Roman"/>
      <w:kern w:val="0"/>
      <w:sz w:val="20"/>
      <w:szCs w:val="20"/>
      <w:lang w:val="en-GB" w:eastAsia="zh-TW"/>
    </w:rPr>
  </w:style>
  <w:style w:type="paragraph" w:styleId="14">
    <w:name w:val="List Number 3"/>
    <w:basedOn w:val="1"/>
    <w:qFormat/>
    <w:uiPriority w:val="99"/>
    <w:pPr>
      <w:numPr>
        <w:ilvl w:val="0"/>
        <w:numId w:val="4"/>
      </w:numPr>
    </w:pPr>
  </w:style>
  <w:style w:type="paragraph" w:styleId="15">
    <w:name w:val="Plain Text"/>
    <w:basedOn w:val="1"/>
    <w:link w:val="49"/>
    <w:qFormat/>
    <w:uiPriority w:val="99"/>
    <w:rPr>
      <w:rFonts w:ascii="宋体" w:hAnsi="Courier New"/>
      <w:kern w:val="0"/>
      <w:szCs w:val="20"/>
    </w:rPr>
  </w:style>
  <w:style w:type="paragraph" w:styleId="16">
    <w:name w:val="Date"/>
    <w:basedOn w:val="1"/>
    <w:next w:val="1"/>
    <w:link w:val="50"/>
    <w:qFormat/>
    <w:uiPriority w:val="99"/>
    <w:pPr>
      <w:ind w:left="100" w:leftChars="2500"/>
    </w:pPr>
    <w:rPr>
      <w:rFonts w:ascii="宋体"/>
      <w:kern w:val="0"/>
      <w:szCs w:val="20"/>
      <w:lang w:val="zh-CN"/>
    </w:rPr>
  </w:style>
  <w:style w:type="paragraph" w:styleId="17">
    <w:name w:val="Body Text Indent 2"/>
    <w:basedOn w:val="1"/>
    <w:link w:val="51"/>
    <w:semiHidden/>
    <w:qFormat/>
    <w:locked/>
    <w:uiPriority w:val="99"/>
    <w:pPr>
      <w:spacing w:after="120" w:line="480" w:lineRule="auto"/>
      <w:ind w:left="420" w:leftChars="200"/>
    </w:pPr>
  </w:style>
  <w:style w:type="paragraph" w:styleId="18">
    <w:name w:val="Balloon Text"/>
    <w:basedOn w:val="1"/>
    <w:link w:val="85"/>
    <w:semiHidden/>
    <w:qFormat/>
    <w:locked/>
    <w:uiPriority w:val="99"/>
    <w:rPr>
      <w:sz w:val="18"/>
      <w:szCs w:val="18"/>
    </w:rPr>
  </w:style>
  <w:style w:type="paragraph" w:styleId="19">
    <w:name w:val="footer"/>
    <w:basedOn w:val="1"/>
    <w:link w:val="52"/>
    <w:qFormat/>
    <w:uiPriority w:val="99"/>
    <w:pPr>
      <w:tabs>
        <w:tab w:val="center" w:pos="4153"/>
        <w:tab w:val="right" w:pos="8306"/>
      </w:tabs>
      <w:snapToGrid w:val="0"/>
      <w:jc w:val="left"/>
    </w:pPr>
    <w:rPr>
      <w:kern w:val="0"/>
      <w:sz w:val="18"/>
      <w:szCs w:val="18"/>
    </w:rPr>
  </w:style>
  <w:style w:type="paragraph" w:styleId="20">
    <w:name w:val="header"/>
    <w:basedOn w:val="1"/>
    <w:link w:val="57"/>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Indent 3"/>
    <w:basedOn w:val="1"/>
    <w:qFormat/>
    <w:locked/>
    <w:uiPriority w:val="0"/>
    <w:pPr>
      <w:adjustRightInd/>
      <w:spacing w:after="120"/>
      <w:ind w:left="420" w:leftChars="200"/>
    </w:pPr>
    <w:rPr>
      <w:kern w:val="0"/>
      <w:sz w:val="16"/>
      <w:szCs w:val="16"/>
    </w:rPr>
  </w:style>
  <w:style w:type="paragraph" w:styleId="23">
    <w:name w:val="Body Text 2"/>
    <w:basedOn w:val="1"/>
    <w:link w:val="54"/>
    <w:qFormat/>
    <w:uiPriority w:val="99"/>
    <w:pPr>
      <w:widowControl/>
      <w:spacing w:afterLines="50" w:line="216" w:lineRule="auto"/>
      <w:jc w:val="center"/>
    </w:pPr>
    <w:rPr>
      <w:kern w:val="0"/>
      <w:sz w:val="24"/>
    </w:rPr>
  </w:style>
  <w:style w:type="paragraph" w:styleId="24">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5">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6">
    <w:name w:val="Title"/>
    <w:basedOn w:val="1"/>
    <w:next w:val="1"/>
    <w:link w:val="55"/>
    <w:qFormat/>
    <w:uiPriority w:val="99"/>
    <w:pPr>
      <w:spacing w:before="240" w:after="60"/>
      <w:jc w:val="center"/>
      <w:outlineLvl w:val="0"/>
    </w:pPr>
    <w:rPr>
      <w:rFonts w:ascii="Calibri Light" w:hAnsi="Calibri Light"/>
      <w:b/>
      <w:bCs/>
      <w:kern w:val="0"/>
      <w:sz w:val="32"/>
      <w:szCs w:val="32"/>
    </w:rPr>
  </w:style>
  <w:style w:type="paragraph" w:styleId="27">
    <w:name w:val="annotation subject"/>
    <w:basedOn w:val="10"/>
    <w:next w:val="10"/>
    <w:link w:val="56"/>
    <w:qFormat/>
    <w:uiPriority w:val="99"/>
    <w:pPr>
      <w:widowControl/>
      <w:spacing w:afterLines="50"/>
    </w:pPr>
    <w:rPr>
      <w:b/>
      <w:bCs/>
    </w:rPr>
  </w:style>
  <w:style w:type="paragraph" w:styleId="28">
    <w:name w:val="Body Text First Indent"/>
    <w:basedOn w:val="11"/>
    <w:qFormat/>
    <w:locked/>
    <w:uiPriority w:val="0"/>
    <w:pPr>
      <w:spacing w:after="120" w:line="240" w:lineRule="auto"/>
      <w:ind w:firstLine="420" w:firstLineChars="100"/>
    </w:pPr>
    <w:rPr>
      <w:rFonts w:eastAsia="宋体"/>
      <w:sz w:val="21"/>
    </w:rPr>
  </w:style>
  <w:style w:type="paragraph" w:styleId="29">
    <w:name w:val="Body Text First Indent 2"/>
    <w:basedOn w:val="12"/>
    <w:unhideWhenUsed/>
    <w:qFormat/>
    <w:locked/>
    <w:uiPriority w:val="99"/>
    <w:pPr>
      <w:widowControl w:val="0"/>
      <w:tabs>
        <w:tab w:val="left" w:pos="1680"/>
      </w:tabs>
      <w:autoSpaceDE/>
      <w:autoSpaceDN/>
      <w:snapToGrid/>
      <w:spacing w:before="0" w:after="120" w:line="360" w:lineRule="auto"/>
      <w:ind w:left="420" w:leftChars="200" w:firstLine="420" w:firstLineChars="200"/>
      <w:jc w:val="both"/>
      <w:textAlignment w:val="auto"/>
    </w:pPr>
    <w:rPr>
      <w:rFonts w:ascii="Calibri" w:hAnsi="Calibri" w:eastAsia="宋体" w:cs="Times New Roman"/>
      <w:kern w:val="2"/>
      <w:sz w:val="21"/>
      <w:szCs w:val="22"/>
    </w:r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99"/>
    <w:rPr>
      <w:rFonts w:ascii="Arial" w:hAnsi="Arial" w:eastAsia="黑体" w:cs="Times New Roman"/>
      <w:snapToGrid w:val="0"/>
      <w:kern w:val="0"/>
      <w:sz w:val="21"/>
    </w:rPr>
  </w:style>
  <w:style w:type="character" w:styleId="35">
    <w:name w:val="FollowedHyperlink"/>
    <w:basedOn w:val="32"/>
    <w:qFormat/>
    <w:locked/>
    <w:uiPriority w:val="99"/>
    <w:rPr>
      <w:rFonts w:cs="Times New Roman"/>
      <w:color w:val="800080"/>
      <w:u w:val="none"/>
    </w:rPr>
  </w:style>
  <w:style w:type="character" w:styleId="36">
    <w:name w:val="Emphasis"/>
    <w:basedOn w:val="32"/>
    <w:qFormat/>
    <w:uiPriority w:val="0"/>
    <w:rPr>
      <w:rFonts w:cs="Times New Roman"/>
      <w:color w:val="CC0000"/>
      <w:sz w:val="24"/>
      <w:szCs w:val="24"/>
    </w:rPr>
  </w:style>
  <w:style w:type="character" w:styleId="37">
    <w:name w:val="Hyperlink"/>
    <w:basedOn w:val="32"/>
    <w:qFormat/>
    <w:uiPriority w:val="99"/>
    <w:rPr>
      <w:rFonts w:cs="Times New Roman"/>
      <w:color w:val="0000FF"/>
      <w:u w:val="single"/>
    </w:rPr>
  </w:style>
  <w:style w:type="character" w:styleId="38">
    <w:name w:val="annotation reference"/>
    <w:basedOn w:val="32"/>
    <w:semiHidden/>
    <w:qFormat/>
    <w:locked/>
    <w:uiPriority w:val="99"/>
    <w:rPr>
      <w:rFonts w:cs="Times New Roman"/>
      <w:sz w:val="21"/>
      <w:szCs w:val="21"/>
    </w:rPr>
  </w:style>
  <w:style w:type="paragraph" w:customStyle="1" w:styleId="39">
    <w:name w:val="首行缩进"/>
    <w:basedOn w:val="1"/>
    <w:next w:val="11"/>
    <w:qFormat/>
    <w:uiPriority w:val="99"/>
    <w:pPr>
      <w:spacing w:line="360" w:lineRule="auto"/>
      <w:ind w:firstLine="480" w:firstLineChars="200"/>
    </w:pPr>
    <w:rPr>
      <w:sz w:val="24"/>
      <w:szCs w:val="22"/>
      <w:lang w:val="zh-CN"/>
    </w:rPr>
  </w:style>
  <w:style w:type="paragraph" w:customStyle="1" w:styleId="40">
    <w:name w:val="[Normal]"/>
    <w:qFormat/>
    <w:uiPriority w:val="0"/>
    <w:rPr>
      <w:rFonts w:ascii="宋体" w:hAnsi="宋体" w:eastAsia="宋体" w:cs="Times New Roman"/>
      <w:sz w:val="24"/>
      <w:szCs w:val="22"/>
      <w:lang w:val="zh-CN" w:eastAsia="zh-CN" w:bidi="ar-SA"/>
    </w:rPr>
  </w:style>
  <w:style w:type="character" w:customStyle="1" w:styleId="41">
    <w:name w:val="标题 1 字符"/>
    <w:basedOn w:val="32"/>
    <w:link w:val="2"/>
    <w:qFormat/>
    <w:locked/>
    <w:uiPriority w:val="99"/>
    <w:rPr>
      <w:rFonts w:eastAsia="仿宋_GB2312"/>
      <w:b/>
      <w:kern w:val="44"/>
      <w:sz w:val="44"/>
      <w:szCs w:val="20"/>
    </w:rPr>
  </w:style>
  <w:style w:type="character" w:customStyle="1" w:styleId="42">
    <w:name w:val="标题 2 字符"/>
    <w:basedOn w:val="32"/>
    <w:link w:val="3"/>
    <w:semiHidden/>
    <w:qFormat/>
    <w:locked/>
    <w:uiPriority w:val="99"/>
    <w:rPr>
      <w:rFonts w:ascii="Calibri Light" w:hAnsi="Calibri Light" w:eastAsia="宋体" w:cs="Times New Roman"/>
      <w:b/>
      <w:sz w:val="32"/>
    </w:rPr>
  </w:style>
  <w:style w:type="character" w:customStyle="1" w:styleId="43">
    <w:name w:val="标题 3 字符"/>
    <w:basedOn w:val="32"/>
    <w:link w:val="4"/>
    <w:semiHidden/>
    <w:qFormat/>
    <w:locked/>
    <w:uiPriority w:val="99"/>
    <w:rPr>
      <w:rFonts w:ascii="Times New Roman" w:hAnsi="Times New Roman" w:eastAsia="宋体" w:cs="Times New Roman"/>
      <w:b/>
      <w:sz w:val="32"/>
    </w:rPr>
  </w:style>
  <w:style w:type="character" w:customStyle="1" w:styleId="44">
    <w:name w:val="标题 4 字符"/>
    <w:basedOn w:val="32"/>
    <w:link w:val="6"/>
    <w:semiHidden/>
    <w:qFormat/>
    <w:locked/>
    <w:uiPriority w:val="99"/>
    <w:rPr>
      <w:rFonts w:ascii="Calibri Light" w:hAnsi="Calibri Light" w:eastAsia="宋体" w:cs="Times New Roman"/>
      <w:b/>
      <w:sz w:val="28"/>
    </w:rPr>
  </w:style>
  <w:style w:type="character" w:customStyle="1" w:styleId="45">
    <w:name w:val="文档结构图 字符"/>
    <w:basedOn w:val="32"/>
    <w:link w:val="9"/>
    <w:semiHidden/>
    <w:qFormat/>
    <w:locked/>
    <w:uiPriority w:val="99"/>
    <w:rPr>
      <w:rFonts w:ascii="宋体" w:hAnsi="Times New Roman" w:cs="Times New Roman"/>
      <w:kern w:val="2"/>
      <w:sz w:val="18"/>
    </w:rPr>
  </w:style>
  <w:style w:type="character" w:customStyle="1" w:styleId="46">
    <w:name w:val="批注文字 字符"/>
    <w:basedOn w:val="32"/>
    <w:link w:val="10"/>
    <w:qFormat/>
    <w:locked/>
    <w:uiPriority w:val="99"/>
    <w:rPr>
      <w:rFonts w:ascii="Times New Roman" w:hAnsi="Times New Roman" w:eastAsia="宋体" w:cs="Times New Roman"/>
      <w:kern w:val="0"/>
      <w:sz w:val="24"/>
      <w:lang w:val="zh-CN" w:eastAsia="zh-CN"/>
    </w:rPr>
  </w:style>
  <w:style w:type="character" w:customStyle="1" w:styleId="47">
    <w:name w:val="正文文本 字符"/>
    <w:basedOn w:val="32"/>
    <w:link w:val="11"/>
    <w:semiHidden/>
    <w:qFormat/>
    <w:locked/>
    <w:uiPriority w:val="99"/>
    <w:rPr>
      <w:rFonts w:cs="Times New Roman"/>
      <w:sz w:val="24"/>
      <w:szCs w:val="24"/>
    </w:rPr>
  </w:style>
  <w:style w:type="character" w:customStyle="1" w:styleId="48">
    <w:name w:val="正文文本缩进 字符"/>
    <w:basedOn w:val="32"/>
    <w:link w:val="12"/>
    <w:semiHidden/>
    <w:qFormat/>
    <w:locked/>
    <w:uiPriority w:val="99"/>
    <w:rPr>
      <w:rFonts w:ascii="Times New Roman" w:hAnsi="Times New Roman" w:cs="Times New Roman"/>
      <w:sz w:val="24"/>
    </w:rPr>
  </w:style>
  <w:style w:type="character" w:customStyle="1" w:styleId="49">
    <w:name w:val="纯文本 字符"/>
    <w:basedOn w:val="32"/>
    <w:link w:val="15"/>
    <w:qFormat/>
    <w:locked/>
    <w:uiPriority w:val="99"/>
    <w:rPr>
      <w:rFonts w:ascii="宋体" w:hAnsi="Courier New" w:eastAsia="宋体" w:cs="Times New Roman"/>
      <w:snapToGrid w:val="0"/>
      <w:sz w:val="21"/>
    </w:rPr>
  </w:style>
  <w:style w:type="character" w:customStyle="1" w:styleId="50">
    <w:name w:val="日期 字符"/>
    <w:basedOn w:val="32"/>
    <w:link w:val="16"/>
    <w:qFormat/>
    <w:locked/>
    <w:uiPriority w:val="99"/>
    <w:rPr>
      <w:rFonts w:ascii="宋体" w:cs="Times New Roman"/>
      <w:sz w:val="21"/>
      <w:lang w:val="zh-CN"/>
    </w:rPr>
  </w:style>
  <w:style w:type="character" w:customStyle="1" w:styleId="51">
    <w:name w:val="正文文本缩进 2 字符"/>
    <w:basedOn w:val="32"/>
    <w:link w:val="17"/>
    <w:semiHidden/>
    <w:qFormat/>
    <w:locked/>
    <w:uiPriority w:val="99"/>
    <w:rPr>
      <w:rFonts w:cs="Times New Roman"/>
      <w:sz w:val="24"/>
      <w:szCs w:val="24"/>
    </w:rPr>
  </w:style>
  <w:style w:type="character" w:customStyle="1" w:styleId="52">
    <w:name w:val="页脚 字符"/>
    <w:basedOn w:val="32"/>
    <w:link w:val="19"/>
    <w:qFormat/>
    <w:locked/>
    <w:uiPriority w:val="99"/>
    <w:rPr>
      <w:rFonts w:ascii="Times New Roman" w:hAnsi="Times New Roman" w:eastAsia="宋体" w:cs="Times New Roman"/>
      <w:sz w:val="18"/>
    </w:rPr>
  </w:style>
  <w:style w:type="character" w:customStyle="1" w:styleId="53">
    <w:name w:val="Header Char"/>
    <w:basedOn w:val="32"/>
    <w:qFormat/>
    <w:locked/>
    <w:uiPriority w:val="99"/>
    <w:rPr>
      <w:rFonts w:ascii="Times New Roman" w:hAnsi="Times New Roman" w:eastAsia="宋体" w:cs="Times New Roman"/>
      <w:sz w:val="18"/>
    </w:rPr>
  </w:style>
  <w:style w:type="character" w:customStyle="1" w:styleId="54">
    <w:name w:val="正文文本 2 字符"/>
    <w:basedOn w:val="32"/>
    <w:link w:val="23"/>
    <w:semiHidden/>
    <w:qFormat/>
    <w:locked/>
    <w:uiPriority w:val="99"/>
    <w:rPr>
      <w:rFonts w:ascii="Times New Roman" w:hAnsi="Times New Roman" w:cs="Times New Roman"/>
      <w:sz w:val="24"/>
    </w:rPr>
  </w:style>
  <w:style w:type="character" w:customStyle="1" w:styleId="55">
    <w:name w:val="标题 字符"/>
    <w:basedOn w:val="32"/>
    <w:link w:val="26"/>
    <w:qFormat/>
    <w:locked/>
    <w:uiPriority w:val="99"/>
    <w:rPr>
      <w:rFonts w:ascii="Calibri Light" w:hAnsi="Calibri Light" w:eastAsia="宋体" w:cs="Times New Roman"/>
      <w:b/>
      <w:sz w:val="32"/>
    </w:rPr>
  </w:style>
  <w:style w:type="character" w:customStyle="1" w:styleId="56">
    <w:name w:val="批注主题 字符"/>
    <w:basedOn w:val="46"/>
    <w:link w:val="27"/>
    <w:semiHidden/>
    <w:qFormat/>
    <w:locked/>
    <w:uiPriority w:val="99"/>
    <w:rPr>
      <w:rFonts w:ascii="Times New Roman" w:hAnsi="Times New Roman" w:eastAsia="宋体" w:cs="Times New Roman"/>
      <w:b/>
      <w:kern w:val="0"/>
      <w:sz w:val="24"/>
      <w:lang w:val="zh-CN" w:eastAsia="zh-CN"/>
    </w:rPr>
  </w:style>
  <w:style w:type="character" w:customStyle="1" w:styleId="57">
    <w:name w:val="页眉 字符"/>
    <w:link w:val="20"/>
    <w:qFormat/>
    <w:locked/>
    <w:uiPriority w:val="99"/>
    <w:rPr>
      <w:rFonts w:ascii="Times New Roman" w:hAnsi="Times New Roman" w:eastAsia="宋体"/>
      <w:sz w:val="18"/>
    </w:rPr>
  </w:style>
  <w:style w:type="character" w:customStyle="1" w:styleId="58">
    <w:name w:val="正文缩进 字符"/>
    <w:link w:val="5"/>
    <w:qFormat/>
    <w:locked/>
    <w:uiPriority w:val="99"/>
    <w:rPr>
      <w:rFonts w:ascii="宋体" w:eastAsia="宋体"/>
      <w:snapToGrid w:val="0"/>
      <w:color w:val="000000"/>
      <w:kern w:val="28"/>
      <w:sz w:val="28"/>
    </w:rPr>
  </w:style>
  <w:style w:type="character" w:customStyle="1" w:styleId="59">
    <w:name w:val="日期 Char1"/>
    <w:semiHidden/>
    <w:qFormat/>
    <w:uiPriority w:val="99"/>
    <w:rPr>
      <w:rFonts w:ascii="Times New Roman" w:hAnsi="Times New Roman" w:eastAsia="宋体"/>
      <w:sz w:val="24"/>
    </w:rPr>
  </w:style>
  <w:style w:type="character" w:customStyle="1" w:styleId="60">
    <w:name w:val="纯文本 Char1"/>
    <w:semiHidden/>
    <w:qFormat/>
    <w:uiPriority w:val="99"/>
    <w:rPr>
      <w:rFonts w:ascii="宋体" w:hAnsi="Courier New" w:eastAsia="宋体"/>
      <w:sz w:val="21"/>
    </w:rPr>
  </w:style>
  <w:style w:type="paragraph" w:customStyle="1" w:styleId="61">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62">
    <w:name w:val="列出段落1"/>
    <w:basedOn w:val="1"/>
    <w:qFormat/>
    <w:uiPriority w:val="99"/>
    <w:pPr>
      <w:spacing w:line="360" w:lineRule="auto"/>
      <w:ind w:firstLine="200" w:firstLineChars="200"/>
    </w:pPr>
    <w:rPr>
      <w:rFonts w:eastAsia="楷体_GB2312" w:cs="Lucida Sans"/>
      <w:sz w:val="24"/>
    </w:rPr>
  </w:style>
  <w:style w:type="paragraph" w:customStyle="1" w:styleId="63">
    <w:name w:val="标题2def"/>
    <w:basedOn w:val="26"/>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4">
    <w:name w:val="标题3def"/>
    <w:basedOn w:val="4"/>
    <w:next w:val="1"/>
    <w:qFormat/>
    <w:uiPriority w:val="99"/>
    <w:pPr>
      <w:snapToGrid w:val="0"/>
      <w:spacing w:before="80" w:after="160" w:line="400" w:lineRule="exact"/>
    </w:pPr>
    <w:rPr>
      <w:rFonts w:ascii="??_GB2312" w:hAnsi="宋体" w:eastAsia="Times New Roman"/>
      <w:bCs w:val="0"/>
      <w:sz w:val="24"/>
      <w:szCs w:val="20"/>
    </w:rPr>
  </w:style>
  <w:style w:type="paragraph" w:customStyle="1" w:styleId="65">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6">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7">
    <w:name w:val="Char Char Char Char1"/>
    <w:basedOn w:val="1"/>
    <w:qFormat/>
    <w:uiPriority w:val="99"/>
    <w:pPr>
      <w:adjustRightInd/>
    </w:pPr>
    <w:rPr>
      <w:rFonts w:ascii="Tahoma" w:hAnsi="Tahoma"/>
      <w:sz w:val="24"/>
      <w:szCs w:val="20"/>
    </w:rPr>
  </w:style>
  <w:style w:type="paragraph" w:customStyle="1" w:styleId="68">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9">
    <w:name w:val="正文段"/>
    <w:basedOn w:val="1"/>
    <w:link w:val="75"/>
    <w:qFormat/>
    <w:uiPriority w:val="99"/>
    <w:pPr>
      <w:widowControl/>
      <w:snapToGrid w:val="0"/>
      <w:spacing w:afterLines="50"/>
      <w:ind w:firstLine="200" w:firstLineChars="200"/>
    </w:pPr>
    <w:rPr>
      <w:kern w:val="0"/>
      <w:sz w:val="24"/>
      <w:szCs w:val="20"/>
    </w:rPr>
  </w:style>
  <w:style w:type="paragraph" w:customStyle="1" w:styleId="70">
    <w:name w:val="正文2"/>
    <w:basedOn w:val="1"/>
    <w:link w:val="74"/>
    <w:qFormat/>
    <w:uiPriority w:val="99"/>
    <w:pPr>
      <w:spacing w:before="156" w:line="360" w:lineRule="auto"/>
      <w:ind w:firstLine="510" w:firstLineChars="200"/>
    </w:pPr>
    <w:rPr>
      <w:sz w:val="24"/>
      <w:szCs w:val="20"/>
    </w:rPr>
  </w:style>
  <w:style w:type="paragraph" w:customStyle="1" w:styleId="71">
    <w:name w:val="表正文"/>
    <w:basedOn w:val="1"/>
    <w:next w:val="15"/>
    <w:qFormat/>
    <w:uiPriority w:val="99"/>
    <w:rPr>
      <w:rFonts w:ascii="宋体" w:hAnsi="Courier New"/>
      <w:szCs w:val="20"/>
    </w:rPr>
  </w:style>
  <w:style w:type="character" w:customStyle="1" w:styleId="72">
    <w:name w:val="文档结构图 Char"/>
    <w:semiHidden/>
    <w:qFormat/>
    <w:uiPriority w:val="99"/>
    <w:rPr>
      <w:kern w:val="2"/>
      <w:sz w:val="24"/>
      <w:shd w:val="clear" w:color="auto" w:fill="000080"/>
    </w:rPr>
  </w:style>
  <w:style w:type="character" w:customStyle="1" w:styleId="73">
    <w:name w:val="日期 Char2"/>
    <w:qFormat/>
    <w:uiPriority w:val="99"/>
    <w:rPr>
      <w:rFonts w:ascii="楷体_GB2312" w:eastAsia="楷体_GB2312"/>
      <w:b/>
      <w:kern w:val="2"/>
      <w:sz w:val="28"/>
      <w:lang w:val="en-US" w:eastAsia="zh-CN"/>
    </w:rPr>
  </w:style>
  <w:style w:type="character" w:customStyle="1" w:styleId="74">
    <w:name w:val="正文2 Char"/>
    <w:link w:val="70"/>
    <w:qFormat/>
    <w:locked/>
    <w:uiPriority w:val="99"/>
    <w:rPr>
      <w:rFonts w:ascii="Times New Roman" w:hAnsi="Times New Roman"/>
      <w:kern w:val="2"/>
      <w:sz w:val="24"/>
    </w:rPr>
  </w:style>
  <w:style w:type="character" w:customStyle="1" w:styleId="75">
    <w:name w:val="正文段 Char"/>
    <w:link w:val="69"/>
    <w:qFormat/>
    <w:locked/>
    <w:uiPriority w:val="99"/>
    <w:rPr>
      <w:rFonts w:ascii="Times New Roman" w:hAnsi="Times New Roman"/>
      <w:sz w:val="24"/>
    </w:rPr>
  </w:style>
  <w:style w:type="paragraph" w:styleId="76">
    <w:name w:val="List Paragraph"/>
    <w:basedOn w:val="1"/>
    <w:qFormat/>
    <w:uiPriority w:val="99"/>
    <w:pPr>
      <w:ind w:left="720"/>
      <w:contextualSpacing/>
    </w:pPr>
  </w:style>
  <w:style w:type="paragraph" w:customStyle="1" w:styleId="77">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8">
    <w:name w:val="px_10"/>
    <w:qFormat/>
    <w:uiPriority w:val="99"/>
    <w:rPr>
      <w:lang w:val="zh-TW" w:eastAsia="zh-TW"/>
    </w:rPr>
  </w:style>
  <w:style w:type="paragraph" w:customStyle="1" w:styleId="79">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80">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81">
    <w:name w:val="列出段落11"/>
    <w:basedOn w:val="1"/>
    <w:qFormat/>
    <w:uiPriority w:val="99"/>
    <w:pPr>
      <w:spacing w:line="360" w:lineRule="auto"/>
      <w:ind w:firstLine="200" w:firstLineChars="200"/>
    </w:pPr>
    <w:rPr>
      <w:rFonts w:eastAsia="楷体_GB2312" w:cs="Lucida Sans"/>
      <w:sz w:val="24"/>
    </w:rPr>
  </w:style>
  <w:style w:type="paragraph" w:customStyle="1" w:styleId="82">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3">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4">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5">
    <w:name w:val="批注框文本 字符"/>
    <w:basedOn w:val="32"/>
    <w:link w:val="18"/>
    <w:semiHidden/>
    <w:qFormat/>
    <w:locked/>
    <w:uiPriority w:val="99"/>
    <w:rPr>
      <w:rFonts w:cs="Times New Roman"/>
      <w:sz w:val="2"/>
    </w:rPr>
  </w:style>
  <w:style w:type="paragraph" w:customStyle="1" w:styleId="86">
    <w:name w:val="列出段落5"/>
    <w:basedOn w:val="1"/>
    <w:qFormat/>
    <w:uiPriority w:val="34"/>
    <w:pPr>
      <w:ind w:firstLine="420" w:firstLineChars="200"/>
    </w:pPr>
    <w:rPr>
      <w:rFonts w:ascii="Calibri" w:hAnsi="Calibri"/>
      <w:sz w:val="24"/>
    </w:rPr>
  </w:style>
  <w:style w:type="paragraph" w:customStyle="1" w:styleId="87">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8">
    <w:name w:val="unnamed11"/>
    <w:basedOn w:val="32"/>
    <w:qFormat/>
    <w:uiPriority w:val="0"/>
    <w:rPr>
      <w:rFonts w:hint="eastAsia" w:ascii="宋体" w:hAnsi="宋体" w:eastAsia="宋体"/>
      <w:sz w:val="21"/>
      <w:szCs w:val="21"/>
    </w:rPr>
  </w:style>
  <w:style w:type="paragraph" w:customStyle="1" w:styleId="89">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90">
    <w:name w:val="font11"/>
    <w:basedOn w:val="32"/>
    <w:qFormat/>
    <w:uiPriority w:val="0"/>
    <w:rPr>
      <w:rFonts w:hint="default" w:ascii="微软雅黑" w:hAnsi="微软雅黑" w:eastAsia="微软雅黑" w:cs="微软雅黑"/>
      <w:color w:val="000000"/>
      <w:sz w:val="20"/>
      <w:szCs w:val="20"/>
      <w:u w:val="none"/>
    </w:rPr>
  </w:style>
  <w:style w:type="paragraph" w:customStyle="1" w:styleId="91">
    <w:name w:val="样式 首行缩进:  0.74 厘米"/>
    <w:basedOn w:val="1"/>
    <w:qFormat/>
    <w:uiPriority w:val="0"/>
    <w:pPr>
      <w:ind w:firstLine="420"/>
    </w:pPr>
    <w:rPr>
      <w:rFonts w:ascii="Arial" w:hAnsi="Arial" w:eastAsia="仿宋_GB2312" w:cs="Arial"/>
      <w:bCs/>
      <w:sz w:val="28"/>
      <w:szCs w:val="28"/>
    </w:rPr>
  </w:style>
  <w:style w:type="paragraph" w:customStyle="1" w:styleId="92">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3">
    <w:name w:val="_Style 1"/>
    <w:basedOn w:val="1"/>
    <w:qFormat/>
    <w:uiPriority w:val="99"/>
    <w:pPr>
      <w:ind w:firstLine="420" w:firstLineChars="200"/>
    </w:pPr>
  </w:style>
  <w:style w:type="paragraph" w:customStyle="1" w:styleId="94">
    <w:name w:val="_Style 2"/>
    <w:basedOn w:val="1"/>
    <w:qFormat/>
    <w:uiPriority w:val="99"/>
    <w:pPr>
      <w:ind w:firstLine="420" w:firstLineChars="200"/>
    </w:pPr>
  </w:style>
  <w:style w:type="paragraph" w:customStyle="1" w:styleId="95">
    <w:name w:val="（1）"/>
    <w:basedOn w:val="1"/>
    <w:qFormat/>
    <w:uiPriority w:val="0"/>
    <w:pPr>
      <w:numPr>
        <w:ilvl w:val="0"/>
        <w:numId w:val="5"/>
      </w:numPr>
      <w:tabs>
        <w:tab w:val="left" w:pos="961"/>
      </w:tabs>
      <w:spacing w:line="360" w:lineRule="auto"/>
    </w:pPr>
    <w:rPr>
      <w:sz w:val="24"/>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CM18"/>
    <w:basedOn w:val="96"/>
    <w:next w:val="96"/>
    <w:qFormat/>
    <w:uiPriority w:val="99"/>
    <w:rPr>
      <w:rFonts w:ascii="ST Xihei" w:hAnsi="Calibri" w:eastAsia="ST Xihei"/>
      <w:color w:val="auto"/>
    </w:rPr>
  </w:style>
  <w:style w:type="character" w:customStyle="1" w:styleId="98">
    <w:name w:val="qxdate"/>
    <w:basedOn w:val="32"/>
    <w:qFormat/>
    <w:uiPriority w:val="0"/>
    <w:rPr>
      <w:color w:val="333333"/>
      <w:sz w:val="18"/>
      <w:szCs w:val="18"/>
    </w:rPr>
  </w:style>
  <w:style w:type="character" w:customStyle="1" w:styleId="99">
    <w:name w:val="cfdate"/>
    <w:basedOn w:val="32"/>
    <w:qFormat/>
    <w:uiPriority w:val="0"/>
    <w:rPr>
      <w:color w:val="333333"/>
      <w:sz w:val="18"/>
      <w:szCs w:val="18"/>
    </w:rPr>
  </w:style>
  <w:style w:type="character" w:customStyle="1" w:styleId="100">
    <w:name w:val="redfilefwwh"/>
    <w:basedOn w:val="32"/>
    <w:qFormat/>
    <w:uiPriority w:val="0"/>
    <w:rPr>
      <w:color w:val="BA2636"/>
      <w:sz w:val="18"/>
      <w:szCs w:val="18"/>
    </w:rPr>
  </w:style>
  <w:style w:type="character" w:customStyle="1" w:styleId="101">
    <w:name w:val="displayarti"/>
    <w:basedOn w:val="32"/>
    <w:qFormat/>
    <w:uiPriority w:val="0"/>
    <w:rPr>
      <w:color w:val="FFFFFF"/>
      <w:shd w:val="clear" w:color="auto" w:fill="A00000"/>
    </w:rPr>
  </w:style>
  <w:style w:type="character" w:customStyle="1" w:styleId="102">
    <w:name w:val="gjfg"/>
    <w:basedOn w:val="32"/>
    <w:qFormat/>
    <w:uiPriority w:val="0"/>
  </w:style>
  <w:style w:type="character" w:customStyle="1" w:styleId="103">
    <w:name w:val="redfilenumber"/>
    <w:basedOn w:val="32"/>
    <w:qFormat/>
    <w:uiPriority w:val="0"/>
    <w:rPr>
      <w:color w:val="BA2636"/>
      <w:sz w:val="18"/>
      <w:szCs w:val="18"/>
    </w:rPr>
  </w:style>
  <w:style w:type="character" w:customStyle="1" w:styleId="104">
    <w:name w:val="15"/>
    <w:qFormat/>
    <w:uiPriority w:val="0"/>
    <w:rPr>
      <w:rFonts w:hint="eastAsia" w:ascii="宋体" w:hAnsi="宋体" w:eastAsia="宋体" w:cs="宋体"/>
      <w:color w:val="000000"/>
      <w:sz w:val="24"/>
      <w:szCs w:val="24"/>
    </w:rPr>
  </w:style>
  <w:style w:type="paragraph" w:customStyle="1" w:styleId="105">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6">
    <w:name w:val="网格型1"/>
    <w:basedOn w:val="30"/>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7">
    <w:name w:val="0正文"/>
    <w:basedOn w:val="1"/>
    <w:qFormat/>
    <w:uiPriority w:val="0"/>
    <w:pPr>
      <w:spacing w:line="360" w:lineRule="auto"/>
      <w:ind w:firstLine="200" w:firstLineChars="200"/>
    </w:pPr>
  </w:style>
  <w:style w:type="paragraph" w:customStyle="1" w:styleId="10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9">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10">
    <w:name w:val="样式2"/>
    <w:basedOn w:val="1"/>
    <w:qFormat/>
    <w:uiPriority w:val="0"/>
    <w:pPr>
      <w:spacing w:line="360" w:lineRule="auto"/>
      <w:ind w:firstLine="200" w:firstLineChars="200"/>
    </w:pPr>
    <w:rPr>
      <w:rFonts w:ascii="仿宋_GB2312" w:eastAsia="仿宋_GB2312"/>
      <w:sz w:val="24"/>
    </w:rPr>
  </w:style>
  <w:style w:type="paragraph" w:styleId="11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12">
    <w:name w:val="正文文本1"/>
    <w:basedOn w:val="1"/>
    <w:qFormat/>
    <w:uiPriority w:val="0"/>
    <w:pPr>
      <w:spacing w:after="120"/>
    </w:pPr>
  </w:style>
  <w:style w:type="paragraph" w:customStyle="1" w:styleId="113">
    <w:name w:val="p0"/>
    <w:basedOn w:val="1"/>
    <w:qFormat/>
    <w:uiPriority w:val="0"/>
    <w:pPr>
      <w:widowControl/>
    </w:pPr>
    <w:rPr>
      <w:rFonts w:ascii="Calibri" w:hAnsi="Calibri" w:cs="Calibri"/>
      <w:kern w:val="0"/>
      <w:szCs w:val="21"/>
    </w:rPr>
  </w:style>
  <w:style w:type="paragraph" w:customStyle="1" w:styleId="114">
    <w:name w:val="正文1"/>
    <w:basedOn w:val="1"/>
    <w:next w:val="1"/>
    <w:qFormat/>
    <w:uiPriority w:val="0"/>
    <w:pPr>
      <w:tabs>
        <w:tab w:val="left" w:pos="1980"/>
        <w:tab w:val="left" w:pos="2160"/>
      </w:tabs>
      <w:spacing w:line="360" w:lineRule="auto"/>
      <w:ind w:left="2160"/>
    </w:pPr>
    <w:rPr>
      <w:rFonts w:ascii="宋体" w:hAnsi="宋体"/>
    </w:rPr>
  </w:style>
  <w:style w:type="paragraph" w:customStyle="1" w:styleId="115">
    <w:name w:val="_Style 9"/>
    <w:basedOn w:val="1"/>
    <w:next w:val="76"/>
    <w:qFormat/>
    <w:uiPriority w:val="34"/>
    <w:pPr>
      <w:ind w:firstLine="420" w:firstLineChars="200"/>
    </w:pPr>
    <w:rPr>
      <w:rFonts w:ascii="Calibri" w:hAnsi="Calibri" w:eastAsia="DengXian" w:cs="宋体"/>
      <w:szCs w:val="22"/>
    </w:rPr>
  </w:style>
  <w:style w:type="paragraph" w:customStyle="1" w:styleId="116">
    <w:name w:val="样式1"/>
    <w:basedOn w:val="2"/>
    <w:qFormat/>
    <w:uiPriority w:val="3"/>
    <w:pPr>
      <w:spacing w:before="240" w:after="240" w:line="440" w:lineRule="exact"/>
      <w:jc w:val="center"/>
    </w:pPr>
    <w:rPr>
      <w:sz w:val="36"/>
      <w:szCs w:val="28"/>
    </w:rPr>
  </w:style>
  <w:style w:type="paragraph" w:customStyle="1" w:styleId="117">
    <w:name w:val="无间隔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31513</Words>
  <Characters>33655</Characters>
  <Lines>317</Lines>
  <Paragraphs>89</Paragraphs>
  <TotalTime>46</TotalTime>
  <ScaleCrop>false</ScaleCrop>
  <LinksUpToDate>false</LinksUpToDate>
  <CharactersWithSpaces>35405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2020-11-06T08:05:00Z</dcterms:created>
  <dc:creator>Ting</dc:creator>
  <cp:lastModifiedBy>疯趣味</cp:lastModifiedBy>
  <cp:lastPrinted>2020-08-08T00:05:00Z</cp:lastPrinted>
  <dcterms:modified xsi:type="dcterms:W3CDTF">2021-11-26T08:42:52Z</dcterms:modified>
  <dc:title>绍兴市公安局交通警察支队交警互联网支付及罚缴平台二期项目 </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5959D7E7BAE94747A9445AFA89F02736</vt:lpwstr>
  </property>
</Properties>
</file>