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ind w:firstLine="241" w:firstLineChars="50"/>
        <w:jc w:val="center"/>
        <w:outlineLvl w:val="0"/>
        <w:rPr>
          <w:rFonts w:ascii="隶书" w:hAnsi="Arial" w:eastAsia="隶书" w:cs="Arial"/>
          <w:b/>
          <w:sz w:val="48"/>
          <w:szCs w:val="48"/>
        </w:rPr>
      </w:pPr>
      <w:r>
        <w:rPr>
          <w:rFonts w:hint="eastAsia" w:ascii="隶书" w:hAnsi="Arial" w:eastAsia="隶书" w:cs="Arial"/>
          <w:b/>
          <w:sz w:val="48"/>
          <w:szCs w:val="48"/>
        </w:rPr>
        <w:t>绍兴市公安局交通管理局绍兴市古城交通管理体系调整规划项目</w:t>
      </w:r>
    </w:p>
    <w:p>
      <w:pPr>
        <w:spacing w:line="312" w:lineRule="auto"/>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公</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开</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招</w:t>
      </w:r>
    </w:p>
    <w:p>
      <w:pPr>
        <w:spacing w:line="312" w:lineRule="auto"/>
        <w:jc w:val="center"/>
        <w:outlineLvl w:val="0"/>
        <w:rPr>
          <w:rFonts w:ascii="隶书" w:hAnsi="Arial" w:eastAsia="隶书" w:cs="Arial"/>
          <w:b/>
          <w:sz w:val="72"/>
          <w:szCs w:val="72"/>
        </w:rPr>
      </w:pPr>
      <w:r>
        <w:rPr>
          <w:rFonts w:hint="eastAsia" w:ascii="隶书" w:hAnsi="Arial" w:eastAsia="隶书" w:cs="Arial"/>
          <w:b/>
          <w:sz w:val="72"/>
          <w:szCs w:val="72"/>
        </w:rPr>
        <w:t>标</w:t>
      </w:r>
    </w:p>
    <w:p>
      <w:pPr>
        <w:spacing w:line="312" w:lineRule="auto"/>
        <w:jc w:val="center"/>
        <w:outlineLvl w:val="0"/>
        <w:rPr>
          <w:rFonts w:ascii="隶书" w:eastAsia="隶书"/>
          <w:b/>
          <w:sz w:val="72"/>
          <w:szCs w:val="72"/>
        </w:rPr>
      </w:pPr>
      <w:r>
        <w:rPr>
          <w:rFonts w:hint="eastAsia" w:ascii="隶书" w:eastAsia="隶书"/>
          <w:b/>
          <w:sz w:val="72"/>
          <w:szCs w:val="72"/>
        </w:rPr>
        <w:t>文</w:t>
      </w:r>
    </w:p>
    <w:p>
      <w:pPr>
        <w:spacing w:line="312" w:lineRule="auto"/>
        <w:jc w:val="center"/>
        <w:outlineLvl w:val="0"/>
        <w:rPr>
          <w:rFonts w:ascii="隶书" w:eastAsia="隶书"/>
          <w:b/>
          <w:sz w:val="28"/>
          <w:szCs w:val="28"/>
        </w:rPr>
      </w:pPr>
      <w:r>
        <w:rPr>
          <w:rFonts w:hint="eastAsia" w:ascii="隶书" w:eastAsia="隶书"/>
          <w:b/>
          <w:sz w:val="72"/>
          <w:szCs w:val="72"/>
        </w:rPr>
        <w:t>件</w:t>
      </w:r>
    </w:p>
    <w:p>
      <w:pPr>
        <w:spacing w:line="312" w:lineRule="auto"/>
        <w:rPr>
          <w:rFonts w:ascii="隶书" w:eastAsia="隶书"/>
          <w:b/>
          <w:sz w:val="28"/>
          <w:szCs w:val="28"/>
        </w:rPr>
      </w:pPr>
    </w:p>
    <w:p>
      <w:pPr>
        <w:spacing w:line="312" w:lineRule="auto"/>
        <w:jc w:val="center"/>
        <w:rPr>
          <w:rFonts w:ascii="隶书" w:eastAsia="隶书"/>
          <w:b/>
          <w:sz w:val="28"/>
          <w:szCs w:val="28"/>
        </w:rPr>
      </w:pPr>
    </w:p>
    <w:p>
      <w:pPr>
        <w:spacing w:line="312" w:lineRule="auto"/>
        <w:jc w:val="center"/>
        <w:rPr>
          <w:rFonts w:hint="eastAsia" w:ascii="隶书" w:eastAsia="隶书"/>
          <w:b/>
          <w:sz w:val="28"/>
          <w:szCs w:val="28"/>
        </w:rPr>
      </w:pPr>
      <w:r>
        <w:rPr>
          <w:rFonts w:hint="eastAsia" w:ascii="隶书" w:eastAsia="隶书"/>
          <w:b/>
          <w:sz w:val="28"/>
          <w:szCs w:val="28"/>
        </w:rPr>
        <w:t>招标编号:CGSHZJ-2020-N000486</w:t>
      </w:r>
    </w:p>
    <w:tbl>
      <w:tblPr>
        <w:tblStyle w:val="27"/>
        <w:tblW w:w="7800" w:type="dxa"/>
        <w:jc w:val="center"/>
        <w:tblLayout w:type="fixed"/>
        <w:tblCellMar>
          <w:top w:w="0" w:type="dxa"/>
          <w:left w:w="108" w:type="dxa"/>
          <w:bottom w:w="0" w:type="dxa"/>
          <w:right w:w="108" w:type="dxa"/>
        </w:tblCellMar>
      </w:tblPr>
      <w:tblGrid>
        <w:gridCol w:w="2356"/>
        <w:gridCol w:w="5444"/>
      </w:tblGrid>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采购单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vAlign w:val="center"/>
          </w:tcPr>
          <w:p>
            <w:pPr>
              <w:spacing w:after="100" w:afterAutospacing="1"/>
              <w:rPr>
                <w:rFonts w:ascii="隶书" w:hAnsi="宋体" w:eastAsia="隶书"/>
                <w:sz w:val="28"/>
                <w:szCs w:val="28"/>
              </w:rPr>
            </w:pPr>
            <w:r>
              <w:rPr>
                <w:rFonts w:hint="eastAsia" w:ascii="隶书" w:hAnsi="宋体" w:eastAsia="隶书"/>
                <w:sz w:val="28"/>
                <w:szCs w:val="28"/>
              </w:rPr>
              <w:t>绍兴市公安局交通管理局</w:t>
            </w:r>
          </w:p>
        </w:tc>
      </w:tr>
      <w:tr>
        <w:tblPrEx>
          <w:tblCellMar>
            <w:top w:w="0" w:type="dxa"/>
            <w:left w:w="108" w:type="dxa"/>
            <w:bottom w:w="0" w:type="dxa"/>
            <w:right w:w="108" w:type="dxa"/>
          </w:tblCellMar>
        </w:tblPrEx>
        <w:trPr>
          <w:trHeight w:val="399" w:hRule="atLeast"/>
          <w:jc w:val="center"/>
        </w:trPr>
        <w:tc>
          <w:tcPr>
            <w:tcW w:w="2356" w:type="dxa"/>
            <w:vAlign w:val="center"/>
          </w:tcPr>
          <w:p>
            <w:pPr>
              <w:spacing w:after="100" w:afterAutospacing="1"/>
              <w:rPr>
                <w:rFonts w:ascii="隶书" w:hAnsi="宋体" w:eastAsia="隶书"/>
                <w:sz w:val="28"/>
                <w:szCs w:val="28"/>
              </w:rPr>
            </w:pPr>
            <w:r>
              <w:rPr>
                <w:rFonts w:hint="eastAsia" w:ascii="隶书" w:hAnsi="宋体" w:eastAsia="隶书"/>
                <w:kern w:val="0"/>
                <w:sz w:val="28"/>
                <w:szCs w:val="28"/>
              </w:rPr>
              <w:t>采购代理机构</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耀华建设管理有限公司</w:t>
            </w:r>
          </w:p>
        </w:tc>
      </w:tr>
      <w:tr>
        <w:tblPrEx>
          <w:tblCellMar>
            <w:top w:w="0" w:type="dxa"/>
            <w:left w:w="108" w:type="dxa"/>
            <w:bottom w:w="0" w:type="dxa"/>
            <w:right w:w="108" w:type="dxa"/>
          </w:tblCellMar>
        </w:tblPrEx>
        <w:trPr>
          <w:trHeight w:val="399" w:hRule="atLeast"/>
          <w:jc w:val="center"/>
        </w:trPr>
        <w:tc>
          <w:tcPr>
            <w:tcW w:w="2356" w:type="dxa"/>
            <w:vMerge w:val="restart"/>
            <w:vAlign w:val="center"/>
          </w:tcPr>
          <w:p>
            <w:pPr>
              <w:spacing w:after="100" w:afterAutospacing="1"/>
              <w:rPr>
                <w:rFonts w:ascii="隶书" w:hAnsi="宋体" w:eastAsia="隶书"/>
                <w:sz w:val="28"/>
                <w:szCs w:val="28"/>
              </w:rPr>
            </w:pPr>
            <w:r>
              <w:rPr>
                <w:rFonts w:hint="eastAsia" w:ascii="隶书" w:hAnsi="宋体" w:eastAsia="隶书"/>
                <w:spacing w:val="93"/>
                <w:kern w:val="0"/>
                <w:sz w:val="28"/>
                <w:szCs w:val="28"/>
              </w:rPr>
              <w:t>监督单</w:t>
            </w:r>
            <w:r>
              <w:rPr>
                <w:rFonts w:hint="eastAsia" w:ascii="隶书" w:hAnsi="宋体" w:eastAsia="隶书"/>
                <w:spacing w:val="1"/>
                <w:kern w:val="0"/>
                <w:sz w:val="28"/>
                <w:szCs w:val="28"/>
              </w:rPr>
              <w:t>位</w:t>
            </w:r>
            <w:r>
              <w:rPr>
                <w:rFonts w:hint="eastAsia" w:ascii="隶书" w:hAnsi="宋体" w:eastAsia="隶书"/>
                <w:sz w:val="28"/>
                <w:szCs w:val="28"/>
              </w:rPr>
              <w:t>：</w:t>
            </w: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绍兴市政务服务办公室</w:t>
            </w:r>
          </w:p>
        </w:tc>
      </w:tr>
      <w:tr>
        <w:tblPrEx>
          <w:tblCellMar>
            <w:top w:w="0" w:type="dxa"/>
            <w:left w:w="108" w:type="dxa"/>
            <w:bottom w:w="0" w:type="dxa"/>
            <w:right w:w="108" w:type="dxa"/>
          </w:tblCellMar>
        </w:tblPrEx>
        <w:trPr>
          <w:trHeight w:val="399" w:hRule="atLeast"/>
          <w:jc w:val="center"/>
        </w:trPr>
        <w:tc>
          <w:tcPr>
            <w:tcW w:w="2356" w:type="dxa"/>
            <w:vMerge w:val="continue"/>
            <w:vAlign w:val="center"/>
          </w:tcPr>
          <w:p>
            <w:pPr>
              <w:spacing w:after="100" w:afterAutospacing="1"/>
              <w:rPr>
                <w:rFonts w:ascii="隶书" w:hAnsi="宋体" w:eastAsia="隶书"/>
                <w:spacing w:val="93"/>
                <w:kern w:val="0"/>
                <w:sz w:val="28"/>
                <w:szCs w:val="28"/>
              </w:rPr>
            </w:pPr>
          </w:p>
        </w:tc>
        <w:tc>
          <w:tcPr>
            <w:tcW w:w="5444" w:type="dxa"/>
          </w:tcPr>
          <w:p>
            <w:pPr>
              <w:spacing w:after="100" w:afterAutospacing="1"/>
              <w:rPr>
                <w:rFonts w:ascii="隶书" w:hAnsi="宋体" w:eastAsia="隶书"/>
                <w:sz w:val="28"/>
                <w:szCs w:val="28"/>
              </w:rPr>
            </w:pPr>
            <w:r>
              <w:rPr>
                <w:rFonts w:hint="eastAsia" w:ascii="隶书" w:hAnsi="宋体" w:eastAsia="隶书"/>
                <w:sz w:val="28"/>
                <w:szCs w:val="28"/>
              </w:rPr>
              <w:t>绍兴市财政局</w:t>
            </w:r>
          </w:p>
        </w:tc>
      </w:tr>
      <w:tr>
        <w:tblPrEx>
          <w:tblCellMar>
            <w:top w:w="0" w:type="dxa"/>
            <w:left w:w="108" w:type="dxa"/>
            <w:bottom w:w="0" w:type="dxa"/>
            <w:right w:w="108" w:type="dxa"/>
          </w:tblCellMar>
        </w:tblPrEx>
        <w:trPr>
          <w:trHeight w:val="399" w:hRule="atLeast"/>
          <w:jc w:val="center"/>
        </w:trPr>
        <w:tc>
          <w:tcPr>
            <w:tcW w:w="7800" w:type="dxa"/>
            <w:gridSpan w:val="2"/>
          </w:tcPr>
          <w:p>
            <w:pPr>
              <w:spacing w:after="100" w:afterAutospacing="1"/>
              <w:jc w:val="center"/>
              <w:rPr>
                <w:rFonts w:ascii="隶书" w:hAnsi="宋体" w:eastAsia="隶书"/>
                <w:sz w:val="28"/>
                <w:szCs w:val="28"/>
              </w:rPr>
            </w:pPr>
            <w:r>
              <w:rPr>
                <w:rFonts w:hint="eastAsia" w:ascii="隶书" w:eastAsia="隶书"/>
                <w:b/>
                <w:color w:val="auto"/>
                <w:sz w:val="28"/>
                <w:szCs w:val="28"/>
              </w:rPr>
              <w:t>二</w:t>
            </w:r>
            <w:r>
              <w:rPr>
                <w:rFonts w:ascii="隶书" w:eastAsia="隶书"/>
                <w:b/>
                <w:color w:val="auto"/>
                <w:sz w:val="28"/>
                <w:szCs w:val="28"/>
              </w:rPr>
              <w:t>0</w:t>
            </w:r>
            <w:r>
              <w:rPr>
                <w:rFonts w:hint="eastAsia" w:ascii="隶书" w:eastAsia="隶书"/>
                <w:b/>
                <w:color w:val="auto"/>
                <w:sz w:val="28"/>
                <w:szCs w:val="28"/>
              </w:rPr>
              <w:t>二</w:t>
            </w:r>
            <w:r>
              <w:rPr>
                <w:rFonts w:hint="eastAsia" w:ascii="隶书" w:eastAsia="隶书"/>
                <w:b/>
                <w:color w:val="auto"/>
                <w:sz w:val="28"/>
                <w:szCs w:val="28"/>
                <w:lang w:eastAsia="zh-CN"/>
              </w:rPr>
              <w:t>一</w:t>
            </w:r>
            <w:r>
              <w:rPr>
                <w:rFonts w:hint="eastAsia" w:ascii="隶书" w:eastAsia="隶书"/>
                <w:b/>
                <w:color w:val="auto"/>
                <w:sz w:val="28"/>
                <w:szCs w:val="28"/>
              </w:rPr>
              <w:t>年</w:t>
            </w:r>
            <w:r>
              <w:rPr>
                <w:rFonts w:hint="eastAsia" w:ascii="隶书" w:eastAsia="隶书"/>
                <w:b/>
                <w:color w:val="auto"/>
                <w:sz w:val="28"/>
                <w:szCs w:val="28"/>
                <w:lang w:eastAsia="zh-CN"/>
              </w:rPr>
              <w:t>一</w:t>
            </w:r>
            <w:r>
              <w:rPr>
                <w:rFonts w:hint="eastAsia" w:ascii="隶书" w:eastAsia="隶书"/>
                <w:b/>
                <w:color w:val="auto"/>
                <w:sz w:val="28"/>
                <w:szCs w:val="28"/>
              </w:rPr>
              <w:t>月</w:t>
            </w:r>
          </w:p>
        </w:tc>
      </w:tr>
    </w:tbl>
    <w:p>
      <w:pPr>
        <w:jc w:val="center"/>
        <w:rPr>
          <w:rFonts w:ascii="仿宋" w:hAnsi="仿宋" w:eastAsia="仿宋" w:cs="仿宋"/>
          <w:b/>
          <w:sz w:val="44"/>
          <w:szCs w:val="44"/>
        </w:rPr>
      </w:pPr>
    </w:p>
    <w:p>
      <w:pPr>
        <w:jc w:val="center"/>
        <w:rPr>
          <w:rFonts w:ascii="仿宋" w:hAnsi="仿宋" w:eastAsia="仿宋" w:cs="仿宋"/>
          <w:b/>
          <w:sz w:val="44"/>
          <w:szCs w:val="44"/>
        </w:rPr>
      </w:pPr>
    </w:p>
    <w:p>
      <w:pPr>
        <w:jc w:val="center"/>
        <w:rPr>
          <w:rFonts w:ascii="仿宋" w:hAnsi="仿宋" w:eastAsia="仿宋" w:cs="仿宋"/>
          <w:b/>
          <w:sz w:val="44"/>
          <w:szCs w:val="44"/>
        </w:rPr>
      </w:pPr>
      <w:r>
        <w:rPr>
          <w:rFonts w:hint="eastAsia" w:ascii="仿宋" w:hAnsi="仿宋" w:eastAsia="仿宋" w:cs="仿宋"/>
          <w:b/>
          <w:sz w:val="44"/>
          <w:szCs w:val="44"/>
        </w:rPr>
        <w:t>目录</w:t>
      </w:r>
    </w:p>
    <w:p>
      <w:pPr>
        <w:jc w:val="center"/>
        <w:rPr>
          <w:rFonts w:ascii="仿宋" w:hAnsi="仿宋" w:eastAsia="仿宋" w:cs="仿宋"/>
          <w:b/>
          <w:sz w:val="44"/>
          <w:szCs w:val="44"/>
        </w:rPr>
      </w:pPr>
    </w:p>
    <w:p>
      <w:pPr>
        <w:jc w:val="center"/>
        <w:rPr>
          <w:rFonts w:ascii="仿宋" w:hAnsi="仿宋" w:eastAsia="仿宋" w:cs="仿宋"/>
        </w:rPr>
      </w:pP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 招标公告</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 投标须知</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 招标项目范围及要求</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 合同的主要条款</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 评标方法及标准</w:t>
      </w:r>
    </w:p>
    <w:p>
      <w:pPr>
        <w:snapToGrid w:val="0"/>
        <w:spacing w:line="48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 投标文件及其附件格式</w:t>
      </w: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480" w:lineRule="auto"/>
        <w:jc w:val="left"/>
        <w:rPr>
          <w:rFonts w:ascii="仿宋" w:hAnsi="仿宋" w:eastAsia="仿宋" w:cs="仿宋"/>
          <w:sz w:val="36"/>
          <w:szCs w:val="36"/>
        </w:rPr>
      </w:pPr>
    </w:p>
    <w:p>
      <w:pPr>
        <w:snapToGrid w:val="0"/>
        <w:spacing w:line="288" w:lineRule="auto"/>
        <w:rPr>
          <w:rFonts w:ascii="仿宋" w:hAnsi="仿宋" w:eastAsia="仿宋" w:cs="仿宋"/>
          <w:b/>
          <w:sz w:val="36"/>
          <w:szCs w:val="36"/>
        </w:rPr>
      </w:pP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第一部分 招标公告</w:t>
      </w:r>
    </w:p>
    <w:tbl>
      <w:tblPr>
        <w:tblStyle w:val="27"/>
        <w:tblW w:w="5000" w:type="pct"/>
        <w:tblInd w:w="0" w:type="dxa"/>
        <w:tblLayout w:type="autofit"/>
        <w:tblCellMar>
          <w:top w:w="0" w:type="dxa"/>
          <w:left w:w="0" w:type="dxa"/>
          <w:bottom w:w="0" w:type="dxa"/>
          <w:right w:w="0" w:type="dxa"/>
        </w:tblCellMar>
      </w:tblPr>
      <w:tblGrid>
        <w:gridCol w:w="9026"/>
      </w:tblGrid>
      <w:tr>
        <w:tc>
          <w:tcPr>
            <w:tcW w:w="5000" w:type="pct"/>
            <w:vAlign w:val="center"/>
          </w:tcPr>
          <w:p>
            <w:pPr>
              <w:spacing w:line="288" w:lineRule="auto"/>
              <w:rPr>
                <w:rFonts w:ascii="仿宋" w:hAnsi="仿宋" w:eastAsia="仿宋" w:cs="仿宋"/>
                <w:sz w:val="24"/>
              </w:rPr>
            </w:pPr>
            <w:r>
              <w:rPr>
                <w:rFonts w:hint="eastAsia" w:ascii="仿宋" w:hAnsi="仿宋" w:eastAsia="仿宋" w:cs="仿宋"/>
                <w:sz w:val="24"/>
              </w:rPr>
              <w:br w:type="page"/>
            </w:r>
          </w:p>
          <w:tbl>
            <w:tblPr>
              <w:tblStyle w:val="27"/>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0" w:hRule="atLeast"/>
              </w:trPr>
              <w:tc>
                <w:tcPr>
                  <w:tcW w:w="8612" w:type="dxa"/>
                </w:tcPr>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项目概况：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绍兴市公安局交通管理局绍兴市古城交通管理体系调整规划项目</w:t>
                  </w:r>
                  <w:r>
                    <w:rPr>
                      <w:rFonts w:hint="eastAsia" w:ascii="仿宋" w:hAnsi="仿宋" w:eastAsia="仿宋" w:cs="仿宋"/>
                      <w:kern w:val="0"/>
                      <w:sz w:val="24"/>
                      <w:szCs w:val="24"/>
                      <w:lang w:eastAsia="zh-CN"/>
                    </w:rPr>
                    <w:t>的潜在供应商应在http://www.zcygov.cn/ 获取（下载）采购文件，</w:t>
                  </w:r>
                  <w:r>
                    <w:rPr>
                      <w:rFonts w:hint="eastAsia" w:ascii="仿宋" w:hAnsi="仿宋" w:eastAsia="仿宋" w:cs="仿宋"/>
                      <w:kern w:val="0"/>
                      <w:sz w:val="24"/>
                    </w:rPr>
                    <w:t>并于202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1</w:t>
                  </w:r>
                  <w:r>
                    <w:rPr>
                      <w:rFonts w:hint="eastAsia" w:ascii="仿宋" w:hAnsi="仿宋" w:eastAsia="仿宋" w:cs="仿宋"/>
                      <w:kern w:val="0"/>
                      <w:sz w:val="24"/>
                    </w:rPr>
                    <w:t>月</w:t>
                  </w:r>
                  <w:r>
                    <w:rPr>
                      <w:rFonts w:hint="eastAsia" w:ascii="仿宋" w:hAnsi="仿宋" w:eastAsia="仿宋" w:cs="仿宋"/>
                      <w:kern w:val="0"/>
                      <w:sz w:val="24"/>
                      <w:lang w:val="en-US" w:eastAsia="zh-CN"/>
                    </w:rPr>
                    <w:t>27</w:t>
                  </w:r>
                  <w:r>
                    <w:rPr>
                      <w:rFonts w:hint="eastAsia" w:ascii="仿宋" w:hAnsi="仿宋" w:eastAsia="仿宋" w:cs="仿宋"/>
                      <w:kern w:val="0"/>
                      <w:sz w:val="24"/>
                    </w:rPr>
                    <w:t>日09:00（北京时间）前递交（上传）投标文件。</w:t>
                  </w:r>
                </w:p>
              </w:tc>
            </w:tr>
          </w:tbl>
          <w:p>
            <w:pPr>
              <w:widowControl/>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kern w:val="0"/>
                <w:sz w:val="24"/>
              </w:rPr>
              <w:t>一、项目基本情况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项目编号：CGSHZJ-2020-N000</w:t>
            </w:r>
            <w:r>
              <w:rPr>
                <w:rFonts w:hint="eastAsia" w:ascii="仿宋" w:hAnsi="仿宋" w:eastAsia="仿宋" w:cs="仿宋"/>
                <w:kern w:val="0"/>
                <w:sz w:val="24"/>
                <w:lang w:val="en-US" w:eastAsia="zh-CN"/>
              </w:rPr>
              <w:t>486</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项目名称：绍兴市公安局交通管理局绍兴市古城交通管理体系调整规划项目</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2620000</w:t>
            </w:r>
            <w:r>
              <w:rPr>
                <w:rFonts w:hint="eastAsia" w:ascii="仿宋" w:hAnsi="仿宋" w:eastAsia="仿宋" w:cs="仿宋"/>
                <w:color w:val="auto"/>
                <w:kern w:val="0"/>
                <w:sz w:val="24"/>
                <w:highlight w:val="none"/>
              </w:rPr>
              <w:t>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最高限价（元）：2421619</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采购需求：详见采购文件</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标项一:</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标项名称:绍兴市公安局交通管理局绍兴市古城交通管理体系调整规划项目 </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数量:不限</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预算金额（元）：</w:t>
            </w:r>
            <w:r>
              <w:rPr>
                <w:rFonts w:hint="eastAsia" w:ascii="仿宋" w:hAnsi="仿宋" w:eastAsia="仿宋" w:cs="仿宋"/>
                <w:color w:val="auto"/>
                <w:kern w:val="0"/>
                <w:sz w:val="24"/>
                <w:highlight w:val="none"/>
                <w:lang w:val="en-US" w:eastAsia="zh-CN"/>
              </w:rPr>
              <w:t>2620000</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简要规格描述或项目基本概况介绍、用途：详见采购文件。 </w:t>
            </w:r>
          </w:p>
          <w:p>
            <w:pPr>
              <w:pStyle w:val="64"/>
              <w:spacing w:afterLines="0" w:line="288" w:lineRule="auto"/>
              <w:ind w:left="479" w:leftChars="228"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备注：无。</w:t>
            </w:r>
          </w:p>
          <w:p>
            <w:pPr>
              <w:pStyle w:val="64"/>
              <w:spacing w:afterLines="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本项目（是）接受联合体投标。</w:t>
            </w:r>
          </w:p>
          <w:p>
            <w:pPr>
              <w:widowControl/>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二、申请人的资格要求：</w:t>
            </w:r>
          </w:p>
          <w:p>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widowControl/>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2.落实政府采购政策需满足的资格要求：无。 </w:t>
            </w:r>
          </w:p>
          <w:p>
            <w:pPr>
              <w:widowControl/>
              <w:snapToGrid w:val="0"/>
              <w:spacing w:line="288" w:lineRule="auto"/>
              <w:ind w:firstLine="480" w:firstLineChars="20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3.本项目的特定资格要求：</w:t>
            </w:r>
            <w:r>
              <w:rPr>
                <w:rFonts w:hint="eastAsia" w:ascii="仿宋" w:hAnsi="仿宋" w:eastAsia="仿宋" w:cs="仿宋"/>
                <w:color w:val="auto"/>
                <w:kern w:val="0"/>
                <w:sz w:val="24"/>
                <w:highlight w:val="none"/>
                <w:lang w:eastAsia="zh-CN"/>
              </w:rPr>
              <w:t>无。</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三、获取招标文件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时间：/至202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1</w:t>
            </w:r>
            <w:r>
              <w:rPr>
                <w:rFonts w:hint="eastAsia" w:ascii="仿宋" w:hAnsi="仿宋" w:eastAsia="仿宋" w:cs="仿宋"/>
                <w:kern w:val="0"/>
                <w:sz w:val="24"/>
              </w:rPr>
              <w:t>月</w:t>
            </w:r>
            <w:r>
              <w:rPr>
                <w:rFonts w:hint="eastAsia" w:ascii="仿宋" w:hAnsi="仿宋" w:eastAsia="仿宋" w:cs="仿宋"/>
                <w:kern w:val="0"/>
                <w:sz w:val="24"/>
                <w:lang w:val="en-US" w:eastAsia="zh-CN"/>
              </w:rPr>
              <w:t>27</w:t>
            </w:r>
            <w:r>
              <w:rPr>
                <w:rFonts w:hint="eastAsia" w:ascii="仿宋" w:hAnsi="仿宋" w:eastAsia="仿宋" w:cs="仿宋"/>
                <w:kern w:val="0"/>
                <w:sz w:val="24"/>
              </w:rPr>
              <w:t>日，每天上午00:00至12:00 ，下午12:00至23:59（北京时间，线上获取法定节假日均可，线下获取文件法定节假日除外）</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地点（网址）：</w:t>
            </w:r>
            <w:r>
              <w:rPr>
                <w:rFonts w:hint="eastAsia" w:ascii="仿宋" w:hAnsi="仿宋" w:eastAsia="仿宋" w:cs="仿宋"/>
                <w:bCs/>
                <w:kern w:val="0"/>
                <w:sz w:val="24"/>
              </w:rPr>
              <w:t>http://www.zcygov.cn/</w:t>
            </w:r>
            <w:r>
              <w:rPr>
                <w:rFonts w:hint="eastAsia" w:ascii="仿宋" w:hAnsi="仿宋" w:eastAsia="仿宋" w:cs="仿宋"/>
                <w:kern w:val="0"/>
                <w:sz w:val="24"/>
              </w:rPr>
              <w:t>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方式：</w:t>
            </w:r>
            <w:r>
              <w:rPr>
                <w:rFonts w:hint="eastAsia" w:ascii="仿宋" w:hAnsi="仿宋" w:eastAsia="仿宋" w:cs="仿宋"/>
                <w:bCs/>
                <w:kern w:val="0"/>
                <w:sz w:val="24"/>
              </w:rPr>
              <w:t>供应商登陆政采云平台http://www.zcygov.cn/，在线申请获取采购文件（进入“项目采购”应用，在获取采购文件菜单中选择项目，申请获取采购文件）。</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售价（元）：0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四、提交投标文件截止时间、开标时间和地点</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提交投标文件截止时间：202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1</w:t>
            </w:r>
            <w:r>
              <w:rPr>
                <w:rFonts w:hint="eastAsia" w:ascii="仿宋" w:hAnsi="仿宋" w:eastAsia="仿宋" w:cs="仿宋"/>
                <w:kern w:val="0"/>
                <w:sz w:val="24"/>
              </w:rPr>
              <w:t>月</w:t>
            </w:r>
            <w:r>
              <w:rPr>
                <w:rFonts w:hint="eastAsia" w:ascii="仿宋" w:hAnsi="仿宋" w:eastAsia="仿宋" w:cs="仿宋"/>
                <w:kern w:val="0"/>
                <w:sz w:val="24"/>
                <w:lang w:val="en-US" w:eastAsia="zh-CN"/>
              </w:rPr>
              <w:t>27</w:t>
            </w:r>
            <w:r>
              <w:rPr>
                <w:rFonts w:hint="eastAsia" w:ascii="仿宋" w:hAnsi="仿宋" w:eastAsia="仿宋" w:cs="仿宋"/>
                <w:kern w:val="0"/>
                <w:sz w:val="24"/>
              </w:rPr>
              <w:t>日09:00（北京时间）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投标地点（网址）：</w:t>
            </w:r>
            <w:r>
              <w:rPr>
                <w:rFonts w:hint="eastAsia" w:ascii="仿宋" w:hAnsi="仿宋" w:eastAsia="仿宋" w:cs="仿宋"/>
                <w:bCs/>
                <w:kern w:val="0"/>
                <w:sz w:val="24"/>
              </w:rPr>
              <w:t>http://www.zcygov.cn/</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开标时间：202</w:t>
            </w:r>
            <w:r>
              <w:rPr>
                <w:rFonts w:hint="eastAsia" w:ascii="仿宋" w:hAnsi="仿宋" w:eastAsia="仿宋" w:cs="仿宋"/>
                <w:kern w:val="0"/>
                <w:sz w:val="24"/>
                <w:lang w:val="en-US" w:eastAsia="zh-CN"/>
              </w:rPr>
              <w:t>1</w:t>
            </w:r>
            <w:r>
              <w:rPr>
                <w:rFonts w:hint="eastAsia" w:ascii="仿宋" w:hAnsi="仿宋" w:eastAsia="仿宋" w:cs="仿宋"/>
                <w:kern w:val="0"/>
                <w:sz w:val="24"/>
              </w:rPr>
              <w:t>年</w:t>
            </w:r>
            <w:r>
              <w:rPr>
                <w:rFonts w:hint="eastAsia" w:ascii="仿宋" w:hAnsi="仿宋" w:eastAsia="仿宋" w:cs="仿宋"/>
                <w:kern w:val="0"/>
                <w:sz w:val="24"/>
                <w:lang w:val="en-US" w:eastAsia="zh-CN"/>
              </w:rPr>
              <w:t>1</w:t>
            </w:r>
            <w:r>
              <w:rPr>
                <w:rFonts w:hint="eastAsia" w:ascii="仿宋" w:hAnsi="仿宋" w:eastAsia="仿宋" w:cs="仿宋"/>
                <w:kern w:val="0"/>
                <w:sz w:val="24"/>
              </w:rPr>
              <w:t>月</w:t>
            </w:r>
            <w:r>
              <w:rPr>
                <w:rFonts w:hint="eastAsia" w:ascii="仿宋" w:hAnsi="仿宋" w:eastAsia="仿宋" w:cs="仿宋"/>
                <w:kern w:val="0"/>
                <w:sz w:val="24"/>
                <w:lang w:val="en-US" w:eastAsia="zh-CN"/>
              </w:rPr>
              <w:t>27</w:t>
            </w:r>
            <w:r>
              <w:rPr>
                <w:rFonts w:hint="eastAsia" w:ascii="仿宋" w:hAnsi="仿宋" w:eastAsia="仿宋" w:cs="仿宋"/>
                <w:kern w:val="0"/>
                <w:sz w:val="24"/>
              </w:rPr>
              <w:t>日09:00（北京时间）</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开标地点（网址）：绍兴市迪荡新城惠利街20号鼎盛时代大厦四楼绍兴市公共资源交易中心418室。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五、公告期限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自本公告发布之日起5个工作日。</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六、其他补充事宜</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1.供应商认为采购文件使自己的权益受到损害的，可以自获取采购文件之日或 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2.其他事项：无。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七、对本次采购提出询问、质疑、投诉，请按以下方式联系</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1.采购人信息</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名称：绍兴市公安局交通管理局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地址：绍兴市越城区越西路1号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项目联系人（询问）：</w:t>
            </w:r>
            <w:r>
              <w:rPr>
                <w:rFonts w:hint="eastAsia" w:ascii="仿宋" w:hAnsi="仿宋" w:eastAsia="仿宋" w:cs="仿宋"/>
                <w:kern w:val="0"/>
                <w:sz w:val="24"/>
                <w:lang w:eastAsia="zh-CN"/>
              </w:rPr>
              <w:t>钱彪</w:t>
            </w:r>
            <w:r>
              <w:rPr>
                <w:rFonts w:hint="eastAsia" w:ascii="仿宋" w:hAnsi="仿宋" w:eastAsia="仿宋" w:cs="仿宋"/>
                <w:kern w:val="0"/>
                <w:sz w:val="24"/>
              </w:rPr>
              <w:t xml:space="preserve">  </w:t>
            </w:r>
          </w:p>
          <w:p>
            <w:pPr>
              <w:widowControl/>
              <w:snapToGrid w:val="0"/>
              <w:spacing w:line="288" w:lineRule="auto"/>
              <w:ind w:firstLine="480" w:firstLineChars="200"/>
              <w:rPr>
                <w:rFonts w:hint="default" w:ascii="仿宋" w:hAnsi="仿宋" w:eastAsia="仿宋" w:cs="仿宋"/>
                <w:kern w:val="0"/>
                <w:sz w:val="24"/>
                <w:lang w:val="en-US" w:eastAsia="zh-CN"/>
              </w:rPr>
            </w:pPr>
            <w:r>
              <w:rPr>
                <w:rFonts w:hint="eastAsia" w:ascii="仿宋" w:hAnsi="仿宋" w:eastAsia="仿宋" w:cs="仿宋"/>
                <w:kern w:val="0"/>
                <w:sz w:val="24"/>
              </w:rPr>
              <w:t>项目联系方式（询问）：</w:t>
            </w:r>
            <w:r>
              <w:rPr>
                <w:rFonts w:hint="eastAsia" w:ascii="仿宋" w:hAnsi="仿宋" w:eastAsia="仿宋" w:cs="仿宋"/>
                <w:sz w:val="24"/>
              </w:rPr>
              <w:t>0575-</w:t>
            </w:r>
            <w:r>
              <w:rPr>
                <w:rFonts w:hint="eastAsia" w:ascii="仿宋" w:hAnsi="仿宋" w:eastAsia="仿宋" w:cs="仿宋"/>
                <w:sz w:val="24"/>
                <w:lang w:val="en-US" w:eastAsia="zh-CN"/>
              </w:rPr>
              <w:t>81500086</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质疑联系人：</w:t>
            </w:r>
            <w:r>
              <w:rPr>
                <w:rFonts w:hint="eastAsia" w:ascii="仿宋" w:hAnsi="仿宋" w:eastAsia="仿宋" w:cs="仿宋"/>
                <w:kern w:val="0"/>
                <w:sz w:val="24"/>
                <w:lang w:eastAsia="zh-CN"/>
              </w:rPr>
              <w:t>钱彪</w:t>
            </w:r>
            <w:r>
              <w:rPr>
                <w:rFonts w:hint="eastAsia" w:ascii="仿宋" w:hAnsi="仿宋" w:eastAsia="仿宋" w:cs="仿宋"/>
                <w:kern w:val="0"/>
                <w:sz w:val="24"/>
              </w:rPr>
              <w:t xml:space="preserve">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质疑联系方式：</w:t>
            </w:r>
            <w:r>
              <w:rPr>
                <w:rFonts w:hint="eastAsia" w:ascii="仿宋" w:hAnsi="仿宋" w:eastAsia="仿宋" w:cs="仿宋"/>
                <w:sz w:val="24"/>
              </w:rPr>
              <w:t>0575-</w:t>
            </w:r>
            <w:r>
              <w:rPr>
                <w:rFonts w:hint="eastAsia" w:ascii="仿宋" w:hAnsi="仿宋" w:eastAsia="仿宋" w:cs="仿宋"/>
                <w:sz w:val="24"/>
                <w:lang w:val="en-US" w:eastAsia="zh-CN"/>
              </w:rPr>
              <w:t>81500086</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2.采购代理机构信息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名称：耀华建设管理有限公司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地址：绍兴市越城区阳明北路80号滨江大厦C楼3楼9/10室</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项目联系人（询问）：阮建宏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项目联系方式（询问）：0575-88336881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质疑联系人：单成燕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质疑联系方式：0575-88776697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3.同级政府采购监督管理部门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名称：绍兴市财政局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地址：绍兴市越城区凤林西路151号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传真：/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联系人 ：应春兴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 xml:space="preserve">监督投诉电话：0575-85209806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若对项目采购电子交易系统操作有疑问，可登录政采云（https://www.zcygov.cn/），点击右侧咨询小采，获取采小蜜智能服务管家帮助，或拨打政采云服务热线400-881-7190获取热线服务帮助。    </w:t>
            </w:r>
          </w:p>
          <w:p>
            <w:pPr>
              <w:widowControl/>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CA问题联系电话（人工）：汇信CA 400-888-4636；天谷CA 400-087-8198。</w:t>
            </w:r>
          </w:p>
        </w:tc>
      </w:tr>
    </w:tbl>
    <w:p>
      <w:pPr>
        <w:widowControl/>
        <w:spacing w:line="288" w:lineRule="auto"/>
        <w:jc w:val="left"/>
        <w:rPr>
          <w:rFonts w:ascii="仿宋" w:hAnsi="仿宋" w:eastAsia="仿宋" w:cs="仿宋"/>
          <w:kern w:val="0"/>
          <w:sz w:val="24"/>
        </w:rPr>
      </w:pPr>
    </w:p>
    <w:p>
      <w:pPr>
        <w:widowControl/>
        <w:spacing w:line="288" w:lineRule="auto"/>
        <w:jc w:val="left"/>
        <w:rPr>
          <w:rFonts w:ascii="仿宋" w:hAnsi="仿宋" w:eastAsia="仿宋" w:cs="仿宋"/>
          <w:kern w:val="0"/>
          <w:sz w:val="24"/>
        </w:rPr>
      </w:pPr>
      <w:r>
        <w:rPr>
          <w:rFonts w:hint="eastAsia" w:ascii="仿宋" w:hAnsi="仿宋" w:eastAsia="仿宋" w:cs="仿宋"/>
          <w:sz w:val="24"/>
        </w:rPr>
        <w:br w:type="page"/>
      </w:r>
    </w:p>
    <w:p>
      <w:pPr>
        <w:pageBreakBefore/>
        <w:snapToGrid w:val="0"/>
        <w:spacing w:line="600" w:lineRule="exact"/>
        <w:jc w:val="center"/>
        <w:rPr>
          <w:rFonts w:ascii="仿宋" w:hAnsi="仿宋" w:eastAsia="仿宋" w:cs="仿宋"/>
          <w:b/>
          <w:sz w:val="36"/>
          <w:szCs w:val="36"/>
        </w:rPr>
      </w:pPr>
      <w:r>
        <w:rPr>
          <w:rFonts w:hint="eastAsia" w:ascii="仿宋" w:hAnsi="仿宋" w:eastAsia="仿宋" w:cs="仿宋"/>
          <w:b/>
          <w:sz w:val="36"/>
          <w:szCs w:val="36"/>
        </w:rPr>
        <w:t>第二部分 投标须知</w:t>
      </w:r>
    </w:p>
    <w:p>
      <w:pPr>
        <w:spacing w:line="288" w:lineRule="auto"/>
        <w:ind w:left="238"/>
        <w:jc w:val="center"/>
        <w:rPr>
          <w:rFonts w:ascii="仿宋" w:hAnsi="仿宋" w:eastAsia="仿宋" w:cs="仿宋"/>
          <w:b/>
          <w:sz w:val="24"/>
        </w:rPr>
      </w:pPr>
      <w:r>
        <w:rPr>
          <w:rFonts w:hint="eastAsia" w:ascii="仿宋" w:hAnsi="仿宋" w:eastAsia="仿宋" w:cs="仿宋"/>
          <w:b/>
          <w:sz w:val="24"/>
        </w:rPr>
        <w:t>前附表</w:t>
      </w:r>
    </w:p>
    <w:tbl>
      <w:tblPr>
        <w:tblStyle w:val="27"/>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序号</w:t>
            </w:r>
          </w:p>
        </w:tc>
        <w:tc>
          <w:tcPr>
            <w:tcW w:w="8371" w:type="dxa"/>
            <w:gridSpan w:val="2"/>
            <w:vAlign w:val="center"/>
          </w:tcPr>
          <w:p>
            <w:pPr>
              <w:spacing w:line="288" w:lineRule="auto"/>
              <w:jc w:val="center"/>
              <w:rPr>
                <w:rFonts w:ascii="仿宋" w:hAnsi="仿宋" w:eastAsia="仿宋" w:cs="仿宋"/>
                <w:sz w:val="24"/>
              </w:rPr>
            </w:pPr>
            <w:r>
              <w:rPr>
                <w:rFonts w:hint="eastAsia" w:ascii="仿宋" w:hAnsi="仿宋" w:eastAsia="仿宋" w:cs="仿宋"/>
                <w:sz w:val="24"/>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b/>
                <w:sz w:val="24"/>
              </w:rPr>
              <w:t>投标人应当提交的资格、资信证明文件</w:t>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b/>
                <w:sz w:val="24"/>
              </w:rPr>
              <w:t>（1）相关证明文件：</w:t>
            </w:r>
            <w:r>
              <w:rPr>
                <w:rFonts w:hint="eastAsia" w:ascii="仿宋" w:hAnsi="仿宋" w:eastAsia="仿宋" w:cs="仿宋"/>
                <w:sz w:val="24"/>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288" w:lineRule="auto"/>
              <w:rPr>
                <w:rFonts w:ascii="仿宋" w:hAnsi="仿宋" w:eastAsia="仿宋" w:cs="仿宋"/>
                <w:sz w:val="24"/>
              </w:rPr>
            </w:pPr>
            <w:r>
              <w:rPr>
                <w:rFonts w:hint="eastAsia" w:ascii="仿宋" w:hAnsi="仿宋" w:eastAsia="仿宋" w:cs="仿宋"/>
                <w:b/>
                <w:sz w:val="24"/>
              </w:rPr>
              <w:t>（2）资信证明文件（如果有，按招标文件第三部分招标项目范围及要求和第五部分评分标准提供）。</w:t>
            </w:r>
          </w:p>
          <w:p>
            <w:pPr>
              <w:snapToGrid w:val="0"/>
              <w:spacing w:line="288" w:lineRule="auto"/>
              <w:rPr>
                <w:rFonts w:ascii="仿宋" w:hAnsi="仿宋" w:eastAsia="仿宋" w:cs="仿宋"/>
                <w:sz w:val="24"/>
                <w:u w:val="single"/>
              </w:rPr>
            </w:pPr>
            <w:r>
              <w:rPr>
                <w:rFonts w:hint="eastAsia" w:ascii="仿宋" w:hAnsi="仿宋" w:eastAsia="仿宋" w:cs="仿宋"/>
                <w:b/>
                <w:sz w:val="24"/>
              </w:rPr>
              <w:t>（3）特许资格、资信证明文件（如果有）：</w:t>
            </w:r>
          </w:p>
          <w:p>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2</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资格审查方式：</w:t>
            </w:r>
          </w:p>
          <w:p>
            <w:pPr>
              <w:snapToGrid w:val="0"/>
              <w:spacing w:line="288" w:lineRule="auto"/>
              <w:rPr>
                <w:rFonts w:ascii="仿宋" w:hAnsi="仿宋" w:eastAsia="仿宋" w:cs="仿宋"/>
                <w:b/>
                <w:sz w:val="24"/>
              </w:rPr>
            </w:pPr>
            <w:r>
              <w:rPr>
                <w:rFonts w:hint="eastAsia" w:ascii="仿宋" w:hAnsi="仿宋" w:eastAsia="仿宋" w:cs="仿宋"/>
                <w:b/>
                <w:sz w:val="24"/>
              </w:rPr>
              <w:t>1.资格后审。</w:t>
            </w:r>
          </w:p>
          <w:p>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3</w:t>
            </w:r>
          </w:p>
        </w:tc>
        <w:tc>
          <w:tcPr>
            <w:tcW w:w="8371" w:type="dxa"/>
            <w:gridSpan w:val="2"/>
            <w:vAlign w:val="center"/>
          </w:tcPr>
          <w:p>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4</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分包或转包：</w:t>
            </w:r>
            <w:r>
              <w:rPr>
                <w:rFonts w:hint="eastAsia" w:ascii="仿宋" w:hAnsi="仿宋" w:eastAsia="仿宋" w:cs="仿宋"/>
                <w:sz w:val="24"/>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5</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6</w:t>
            </w:r>
          </w:p>
        </w:tc>
        <w:tc>
          <w:tcPr>
            <w:tcW w:w="8371" w:type="dxa"/>
            <w:gridSpan w:val="2"/>
            <w:vAlign w:val="center"/>
          </w:tcPr>
          <w:p>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7</w:t>
            </w:r>
          </w:p>
        </w:tc>
        <w:tc>
          <w:tcPr>
            <w:tcW w:w="8371" w:type="dxa"/>
            <w:gridSpan w:val="2"/>
            <w:vAlign w:val="center"/>
          </w:tcPr>
          <w:p>
            <w:pPr>
              <w:spacing w:line="288" w:lineRule="auto"/>
              <w:rPr>
                <w:rFonts w:ascii="仿宋" w:hAnsi="仿宋" w:eastAsia="仿宋" w:cs="仿宋"/>
                <w:b/>
                <w:sz w:val="24"/>
              </w:rPr>
            </w:pPr>
            <w:r>
              <w:rPr>
                <w:rFonts w:hint="eastAsia" w:ascii="仿宋" w:hAnsi="仿宋" w:eastAsia="仿宋" w:cs="仿宋"/>
                <w:b/>
                <w:sz w:val="24"/>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8</w:t>
            </w:r>
          </w:p>
        </w:tc>
        <w:tc>
          <w:tcPr>
            <w:tcW w:w="8371" w:type="dxa"/>
            <w:gridSpan w:val="2"/>
            <w:vAlign w:val="center"/>
          </w:tcPr>
          <w:p>
            <w:pPr>
              <w:spacing w:line="288" w:lineRule="auto"/>
              <w:rPr>
                <w:rFonts w:ascii="仿宋" w:hAnsi="仿宋" w:eastAsia="仿宋" w:cs="仿宋"/>
                <w:sz w:val="24"/>
              </w:rPr>
            </w:pPr>
            <w:r>
              <w:rPr>
                <w:rFonts w:hint="eastAsia" w:ascii="仿宋" w:hAnsi="仿宋" w:eastAsia="仿宋" w:cs="仿宋"/>
                <w:b/>
                <w:sz w:val="24"/>
              </w:rPr>
              <w:t>演示(讲解)：无。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9</w:t>
            </w:r>
          </w:p>
        </w:tc>
        <w:tc>
          <w:tcPr>
            <w:tcW w:w="855"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进口产品</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sz w:val="24"/>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288" w:lineRule="auto"/>
              <w:jc w:val="center"/>
              <w:rPr>
                <w:rFonts w:ascii="仿宋" w:hAnsi="仿宋" w:eastAsia="仿宋" w:cs="仿宋"/>
                <w:sz w:val="24"/>
              </w:rPr>
            </w:pPr>
            <w:r>
              <w:rPr>
                <w:rFonts w:hint="eastAsia" w:ascii="仿宋" w:hAnsi="仿宋" w:eastAsia="仿宋" w:cs="仿宋"/>
                <w:sz w:val="24"/>
              </w:rPr>
              <w:t>10</w:t>
            </w:r>
          </w:p>
        </w:tc>
        <w:tc>
          <w:tcPr>
            <w:tcW w:w="855" w:type="dxa"/>
            <w:vMerge w:val="restart"/>
            <w:vAlign w:val="center"/>
          </w:tcPr>
          <w:p>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投标截止时间前</w:t>
            </w:r>
            <w:r>
              <w:rPr>
                <w:rFonts w:hint="eastAsia" w:ascii="仿宋" w:hAnsi="仿宋" w:eastAsia="仿宋" w:cs="仿宋"/>
                <w:sz w:val="24"/>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288" w:lineRule="auto"/>
              <w:jc w:val="center"/>
              <w:rPr>
                <w:rFonts w:ascii="仿宋" w:hAnsi="仿宋" w:eastAsia="仿宋" w:cs="仿宋"/>
                <w:sz w:val="24"/>
              </w:rPr>
            </w:pPr>
          </w:p>
        </w:tc>
        <w:tc>
          <w:tcPr>
            <w:tcW w:w="855" w:type="dxa"/>
            <w:vMerge w:val="continue"/>
            <w:vAlign w:val="center"/>
          </w:tcPr>
          <w:p>
            <w:pPr>
              <w:snapToGrid w:val="0"/>
              <w:spacing w:line="288" w:lineRule="auto"/>
              <w:rPr>
                <w:rFonts w:ascii="仿宋" w:hAnsi="仿宋" w:eastAsia="仿宋" w:cs="仿宋"/>
                <w:b/>
                <w:sz w:val="24"/>
              </w:rPr>
            </w:pPr>
          </w:p>
        </w:tc>
        <w:tc>
          <w:tcPr>
            <w:tcW w:w="7516" w:type="dxa"/>
            <w:vAlign w:val="center"/>
          </w:tcPr>
          <w:p>
            <w:pPr>
              <w:snapToGrid w:val="0"/>
              <w:spacing w:line="288" w:lineRule="auto"/>
              <w:rPr>
                <w:rFonts w:ascii="仿宋" w:hAnsi="仿宋" w:eastAsia="仿宋" w:cs="仿宋"/>
                <w:b/>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11</w:t>
            </w:r>
          </w:p>
        </w:tc>
        <w:tc>
          <w:tcPr>
            <w:tcW w:w="8371" w:type="dxa"/>
            <w:gridSpan w:val="2"/>
            <w:vAlign w:val="center"/>
          </w:tcPr>
          <w:p>
            <w:pPr>
              <w:snapToGrid w:val="0"/>
              <w:spacing w:line="288" w:lineRule="auto"/>
              <w:rPr>
                <w:rFonts w:ascii="仿宋" w:hAnsi="仿宋" w:eastAsia="仿宋" w:cs="仿宋"/>
                <w:b/>
                <w:sz w:val="24"/>
              </w:rPr>
            </w:pPr>
            <w:r>
              <w:rPr>
                <w:rFonts w:hint="eastAsia" w:ascii="仿宋" w:hAnsi="仿宋" w:eastAsia="仿宋" w:cs="仿宋"/>
                <w:b/>
                <w:sz w:val="24"/>
              </w:rPr>
              <w:t>扰乱公共资源交易市场秩序行为：</w:t>
            </w:r>
          </w:p>
          <w:p>
            <w:pPr>
              <w:snapToGrid w:val="0"/>
              <w:spacing w:line="288" w:lineRule="auto"/>
              <w:rPr>
                <w:rFonts w:ascii="仿宋" w:hAnsi="仿宋" w:eastAsia="仿宋" w:cs="仿宋"/>
                <w:sz w:val="24"/>
              </w:rPr>
            </w:pPr>
            <w:r>
              <w:rPr>
                <w:rFonts w:hint="eastAsia" w:ascii="仿宋" w:hAnsi="仿宋" w:eastAsia="仿宋" w:cs="仿宋"/>
                <w:sz w:val="24"/>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12</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13</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14</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投标与开标注意事项：</w:t>
            </w:r>
          </w:p>
          <w:p>
            <w:pPr>
              <w:snapToGrid w:val="0"/>
              <w:spacing w:line="288" w:lineRule="auto"/>
              <w:rPr>
                <w:rFonts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pPr>
              <w:snapToGrid w:val="0"/>
              <w:spacing w:line="288" w:lineRule="auto"/>
              <w:rPr>
                <w:rFonts w:ascii="仿宋" w:hAnsi="仿宋" w:eastAsia="仿宋" w:cs="仿宋"/>
                <w:sz w:val="24"/>
              </w:rPr>
            </w:pPr>
            <w:r>
              <w:rPr>
                <w:rFonts w:hint="eastAsia" w:ascii="仿宋" w:hAnsi="仿宋" w:eastAsia="仿宋" w:cs="仿宋"/>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288" w:lineRule="auto"/>
              <w:rPr>
                <w:rFonts w:ascii="仿宋" w:hAnsi="仿宋" w:eastAsia="仿宋" w:cs="仿宋"/>
                <w:sz w:val="24"/>
              </w:rPr>
            </w:pPr>
            <w:r>
              <w:rPr>
                <w:rFonts w:hint="eastAsia" w:ascii="仿宋" w:hAnsi="仿宋" w:eastAsia="仿宋" w:cs="仿宋"/>
                <w:sz w:val="24"/>
              </w:rPr>
              <w:t>供应商将政采云电子交易客户端下载、安装完成后，可通过账号密码或CA登录客户端进行投标文件制作。在使用政采云投标客户端时，建议使用WIN7及以上操作系统。</w:t>
            </w:r>
          </w:p>
          <w:p>
            <w:pPr>
              <w:snapToGrid w:val="0"/>
              <w:spacing w:line="288" w:lineRule="auto"/>
              <w:rPr>
                <w:rFonts w:ascii="仿宋" w:hAnsi="仿宋" w:eastAsia="仿宋" w:cs="仿宋"/>
                <w:sz w:val="24"/>
              </w:rPr>
            </w:pPr>
            <w:r>
              <w:rPr>
                <w:rFonts w:hint="eastAsia" w:ascii="仿宋" w:hAnsi="仿宋" w:eastAsia="仿宋" w:cs="仿宋"/>
                <w:sz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288" w:lineRule="auto"/>
              <w:jc w:val="left"/>
              <w:rPr>
                <w:rFonts w:ascii="仿宋" w:hAnsi="仿宋" w:eastAsia="仿宋" w:cs="仿宋"/>
                <w:sz w:val="24"/>
              </w:rPr>
            </w:pPr>
            <w:r>
              <w:rPr>
                <w:rFonts w:hint="eastAsia" w:ascii="仿宋" w:hAnsi="仿宋" w:eastAsia="仿宋" w:cs="仿宋"/>
                <w:sz w:val="24"/>
              </w:rPr>
              <w:t>《CA申领操作指南》：https://help.zcygov.cn/web/site_2/2018/11-29/2452.html</w:t>
            </w:r>
          </w:p>
          <w:p>
            <w:pPr>
              <w:snapToGrid w:val="0"/>
              <w:spacing w:line="288" w:lineRule="auto"/>
              <w:jc w:val="left"/>
              <w:rPr>
                <w:rFonts w:ascii="仿宋" w:hAnsi="仿宋" w:eastAsia="仿宋" w:cs="仿宋"/>
                <w:sz w:val="24"/>
              </w:rPr>
            </w:pPr>
            <w:r>
              <w:rPr>
                <w:rFonts w:hint="eastAsia" w:ascii="仿宋" w:hAnsi="仿宋" w:eastAsia="仿宋" w:cs="仿宋"/>
                <w:sz w:val="24"/>
              </w:rPr>
              <w:t>《CA管理操作指南》：https://help.zcygov.cn/web/site_2/2019/08-20/3405.html</w:t>
            </w:r>
          </w:p>
          <w:p>
            <w:pPr>
              <w:snapToGrid w:val="0"/>
              <w:spacing w:line="288" w:lineRule="auto"/>
              <w:rPr>
                <w:rFonts w:ascii="仿宋" w:hAnsi="仿宋" w:eastAsia="仿宋" w:cs="仿宋"/>
                <w:sz w:val="24"/>
              </w:rPr>
            </w:pPr>
            <w:r>
              <w:rPr>
                <w:rFonts w:hint="eastAsia" w:ascii="仿宋" w:hAnsi="仿宋" w:eastAsia="仿宋" w:cs="仿宋"/>
                <w:sz w:val="24"/>
              </w:rPr>
              <w:t>《CA驱动和申领流程》:</w:t>
            </w:r>
          </w:p>
          <w:p>
            <w:pPr>
              <w:snapToGrid w:val="0"/>
              <w:spacing w:line="288" w:lineRule="auto"/>
              <w:rPr>
                <w:rFonts w:ascii="仿宋" w:hAnsi="仿宋" w:eastAsia="仿宋" w:cs="仿宋"/>
                <w:sz w:val="24"/>
              </w:rPr>
            </w:pPr>
            <w:r>
              <w:rPr>
                <w:rFonts w:hint="eastAsia" w:ascii="仿宋" w:hAnsi="仿宋" w:eastAsia="仿宋" w:cs="仿宋"/>
                <w:sz w:val="24"/>
              </w:rPr>
              <w:t>http://zfcg.czt.zj.gov.cn//bidClientTemplate/2019-05-27/12945.html</w:t>
            </w:r>
          </w:p>
          <w:p>
            <w:pPr>
              <w:snapToGrid w:val="0"/>
              <w:spacing w:line="288" w:lineRule="auto"/>
              <w:rPr>
                <w:rFonts w:ascii="仿宋" w:hAnsi="仿宋" w:eastAsia="仿宋" w:cs="仿宋"/>
                <w:sz w:val="24"/>
              </w:rPr>
            </w:pPr>
            <w:r>
              <w:rPr>
                <w:rFonts w:hint="eastAsia" w:ascii="仿宋" w:hAnsi="仿宋" w:eastAsia="仿宋" w:cs="仿宋"/>
                <w:sz w:val="24"/>
              </w:rPr>
              <w:t>3.投标文件制作、递交、解密：</w:t>
            </w:r>
          </w:p>
          <w:p>
            <w:pPr>
              <w:snapToGrid w:val="0"/>
              <w:spacing w:line="288" w:lineRule="auto"/>
              <w:rPr>
                <w:rFonts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288" w:lineRule="auto"/>
              <w:jc w:val="left"/>
              <w:rPr>
                <w:rFonts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r>
              <w:fldChar w:fldCharType="begin"/>
            </w:r>
            <w:r>
              <w:instrText xml:space="preserve"> HYPERLINK "https://help.zcygov.cn/web/site_2/2018/12-28/2573.html" </w:instrText>
            </w:r>
            <w:r>
              <w:fldChar w:fldCharType="separate"/>
            </w:r>
            <w:r>
              <w:rPr>
                <w:rStyle w:val="33"/>
                <w:rFonts w:hint="eastAsia" w:ascii="仿宋" w:hAnsi="仿宋" w:eastAsia="仿宋" w:cs="仿宋"/>
                <w:color w:val="auto"/>
                <w:sz w:val="24"/>
              </w:rPr>
              <w:t>https://help.zcygov.cn/web/site_2/2018/12-28/2573.html</w:t>
            </w:r>
            <w:r>
              <w:rPr>
                <w:rStyle w:val="33"/>
                <w:rFonts w:hint="eastAsia" w:ascii="仿宋" w:hAnsi="仿宋" w:eastAsia="仿宋" w:cs="仿宋"/>
                <w:color w:val="auto"/>
                <w:sz w:val="24"/>
              </w:rPr>
              <w:fldChar w:fldCharType="end"/>
            </w:r>
            <w:r>
              <w:rPr>
                <w:rFonts w:hint="eastAsia" w:ascii="仿宋" w:hAnsi="仿宋" w:eastAsia="仿宋" w:cs="仿宋"/>
                <w:sz w:val="24"/>
              </w:rPr>
              <w:t>”。</w:t>
            </w:r>
          </w:p>
          <w:p>
            <w:pPr>
              <w:snapToGrid w:val="0"/>
              <w:spacing w:line="288" w:lineRule="auto"/>
              <w:rPr>
                <w:rFonts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15</w:t>
            </w:r>
          </w:p>
        </w:tc>
        <w:tc>
          <w:tcPr>
            <w:tcW w:w="8371" w:type="dxa"/>
            <w:gridSpan w:val="2"/>
            <w:vAlign w:val="center"/>
          </w:tcPr>
          <w:p>
            <w:pPr>
              <w:snapToGrid w:val="0"/>
              <w:spacing w:line="288" w:lineRule="auto"/>
              <w:rPr>
                <w:rFonts w:ascii="仿宋" w:hAnsi="仿宋" w:eastAsia="仿宋" w:cs="仿宋"/>
                <w:sz w:val="24"/>
              </w:rPr>
            </w:pPr>
            <w:r>
              <w:rPr>
                <w:rFonts w:hint="eastAsia" w:ascii="仿宋" w:hAnsi="仿宋" w:eastAsia="仿宋" w:cs="仿宋"/>
                <w:sz w:val="24"/>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288" w:lineRule="auto"/>
              <w:jc w:val="center"/>
              <w:rPr>
                <w:rFonts w:ascii="仿宋" w:hAnsi="仿宋" w:eastAsia="仿宋" w:cs="仿宋"/>
                <w:sz w:val="24"/>
              </w:rPr>
            </w:pPr>
            <w:r>
              <w:rPr>
                <w:rFonts w:hint="eastAsia" w:ascii="仿宋" w:hAnsi="仿宋" w:eastAsia="仿宋" w:cs="仿宋"/>
                <w:sz w:val="24"/>
              </w:rPr>
              <w:t>16</w:t>
            </w:r>
          </w:p>
        </w:tc>
        <w:tc>
          <w:tcPr>
            <w:tcW w:w="8371" w:type="dxa"/>
            <w:gridSpan w:val="2"/>
            <w:vAlign w:val="center"/>
          </w:tcPr>
          <w:p>
            <w:pPr>
              <w:spacing w:line="340" w:lineRule="exact"/>
              <w:rPr>
                <w:rFonts w:ascii="仿宋" w:hAnsi="仿宋" w:eastAsia="仿宋" w:cs="仿宋"/>
                <w:b/>
                <w:bCs/>
                <w:sz w:val="24"/>
              </w:rPr>
            </w:pPr>
            <w:r>
              <w:rPr>
                <w:rFonts w:hint="eastAsia" w:ascii="仿宋" w:hAnsi="仿宋" w:eastAsia="仿宋" w:cs="仿宋"/>
                <w:b/>
                <w:bCs/>
                <w:sz w:val="24"/>
              </w:rPr>
              <w:t>其他：代理服务费</w:t>
            </w:r>
          </w:p>
          <w:p>
            <w:pPr>
              <w:spacing w:line="340" w:lineRule="exact"/>
              <w:rPr>
                <w:rFonts w:ascii="仿宋" w:hAnsi="仿宋" w:eastAsia="仿宋" w:cs="仿宋"/>
                <w:sz w:val="24"/>
              </w:rPr>
            </w:pPr>
            <w:r>
              <w:rPr>
                <w:rFonts w:hint="eastAsia" w:ascii="仿宋" w:hAnsi="仿宋" w:eastAsia="仿宋" w:cs="仿宋"/>
                <w:sz w:val="24"/>
              </w:rPr>
              <w:t>中标人须向招标代理机构交纳代理服务费：</w:t>
            </w:r>
          </w:p>
          <w:p>
            <w:pPr>
              <w:spacing w:line="340" w:lineRule="exact"/>
              <w:rPr>
                <w:rFonts w:ascii="仿宋" w:hAnsi="仿宋" w:eastAsia="仿宋" w:cs="仿宋"/>
                <w:sz w:val="24"/>
              </w:rPr>
            </w:pPr>
            <w:r>
              <w:rPr>
                <w:rFonts w:hint="eastAsia" w:ascii="仿宋" w:hAnsi="仿宋" w:eastAsia="仿宋" w:cs="仿宋"/>
                <w:sz w:val="24"/>
              </w:rPr>
              <w:t>（1）以中标通知中确定的中标总金额作为服务费的计算基数，收费标准参照《国家计委关于印发&lt;招标代理服务收费管理暂行办法&gt;的通知》（计价格[2002]1980号）。收费标准：中标金额在100万以下部分为1.5%，100万-500万部分为0.8%</w:t>
            </w:r>
            <w:r>
              <w:rPr>
                <w:rFonts w:hint="eastAsia" w:ascii="仿宋" w:hAnsi="仿宋" w:eastAsia="仿宋" w:cs="仿宋"/>
                <w:color w:val="000000" w:themeColor="text1"/>
                <w:sz w:val="24"/>
              </w:rPr>
              <w:t>。</w:t>
            </w:r>
          </w:p>
          <w:p>
            <w:pPr>
              <w:spacing w:line="340" w:lineRule="exact"/>
              <w:rPr>
                <w:rFonts w:ascii="仿宋" w:hAnsi="仿宋" w:eastAsia="仿宋" w:cs="仿宋"/>
                <w:sz w:val="24"/>
              </w:rPr>
            </w:pPr>
            <w:r>
              <w:rPr>
                <w:rFonts w:hint="eastAsia" w:ascii="仿宋" w:hAnsi="仿宋" w:eastAsia="仿宋" w:cs="仿宋"/>
                <w:sz w:val="24"/>
              </w:rPr>
              <w:t>（2）代理服务费的交纳方式：</w:t>
            </w:r>
          </w:p>
          <w:p>
            <w:pPr>
              <w:spacing w:line="340" w:lineRule="exact"/>
              <w:rPr>
                <w:rFonts w:ascii="仿宋" w:hAnsi="仿宋" w:eastAsia="仿宋" w:cs="仿宋"/>
                <w:sz w:val="24"/>
              </w:rPr>
            </w:pPr>
            <w:r>
              <w:rPr>
                <w:rFonts w:hint="eastAsia" w:ascii="仿宋" w:hAnsi="仿宋" w:eastAsia="仿宋" w:cs="仿宋"/>
                <w:sz w:val="24"/>
              </w:rPr>
              <w:t>用银行支票、汇票、电汇、现金等付款方式直接交纳代理服务费。</w:t>
            </w:r>
          </w:p>
          <w:p>
            <w:pPr>
              <w:spacing w:line="340" w:lineRule="exact"/>
              <w:rPr>
                <w:rFonts w:ascii="仿宋" w:hAnsi="仿宋" w:eastAsia="仿宋" w:cs="仿宋"/>
                <w:sz w:val="24"/>
              </w:rPr>
            </w:pPr>
            <w:r>
              <w:rPr>
                <w:rFonts w:hint="eastAsia" w:ascii="仿宋" w:hAnsi="仿宋" w:eastAsia="仿宋" w:cs="仿宋"/>
                <w:sz w:val="24"/>
              </w:rPr>
              <w:t>公司名称：耀华建设管理有限公司绍兴迪荡分公司</w:t>
            </w:r>
          </w:p>
          <w:p>
            <w:pPr>
              <w:spacing w:line="340" w:lineRule="exact"/>
              <w:rPr>
                <w:rFonts w:ascii="仿宋" w:hAnsi="仿宋" w:eastAsia="仿宋" w:cs="仿宋"/>
                <w:sz w:val="24"/>
              </w:rPr>
            </w:pPr>
            <w:r>
              <w:rPr>
                <w:rFonts w:hint="eastAsia" w:ascii="仿宋" w:hAnsi="仿宋" w:eastAsia="仿宋" w:cs="仿宋"/>
                <w:sz w:val="24"/>
              </w:rPr>
              <w:t>账    号：336006190018819003083</w:t>
            </w:r>
          </w:p>
          <w:p>
            <w:pPr>
              <w:spacing w:line="340" w:lineRule="exact"/>
              <w:rPr>
                <w:rFonts w:ascii="仿宋" w:hAnsi="仿宋" w:eastAsia="仿宋" w:cs="仿宋"/>
                <w:sz w:val="24"/>
              </w:rPr>
            </w:pPr>
            <w:r>
              <w:rPr>
                <w:rFonts w:hint="eastAsia" w:ascii="仿宋" w:hAnsi="仿宋" w:eastAsia="仿宋" w:cs="仿宋"/>
                <w:sz w:val="24"/>
              </w:rPr>
              <w:t>开 户 行：交通银行股份有限公司绍兴迪荡支行</w:t>
            </w:r>
          </w:p>
          <w:p>
            <w:pPr>
              <w:snapToGrid w:val="0"/>
              <w:spacing w:line="288" w:lineRule="auto"/>
              <w:rPr>
                <w:rFonts w:ascii="仿宋" w:hAnsi="仿宋" w:eastAsia="仿宋" w:cs="仿宋"/>
                <w:sz w:val="24"/>
              </w:rPr>
            </w:pPr>
            <w:r>
              <w:rPr>
                <w:rFonts w:hint="eastAsia" w:ascii="仿宋" w:hAnsi="仿宋" w:eastAsia="仿宋" w:cs="仿宋"/>
                <w:sz w:val="24"/>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解释：凡涉及本招标文件的解释权属于采购人和本公司。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tbl>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8" w:lineRule="auto"/>
        <w:jc w:val="center"/>
        <w:rPr>
          <w:rFonts w:ascii="仿宋" w:hAnsi="仿宋" w:eastAsia="仿宋" w:cs="仿宋"/>
          <w:b/>
          <w:sz w:val="36"/>
          <w:szCs w:val="36"/>
        </w:rPr>
      </w:pPr>
    </w:p>
    <w:p>
      <w:pPr>
        <w:snapToGrid w:val="0"/>
        <w:spacing w:line="284" w:lineRule="auto"/>
        <w:rPr>
          <w:rFonts w:ascii="仿宋" w:hAnsi="仿宋" w:eastAsia="仿宋" w:cs="仿宋"/>
          <w:b/>
          <w:sz w:val="36"/>
          <w:szCs w:val="36"/>
        </w:rPr>
      </w:pP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一、总则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b/>
          <w:bCs/>
          <w:sz w:val="24"/>
        </w:rPr>
        <w:t>1. 项目说明</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1.1本招标文件适用于该项目的招标、投标、开标、资格审查及信用信息查询、评标、定标、合同、验收等行为（法律、法规另有规定的，从其规定）。</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1.2投标人一旦参与本次招标活动，即被视为接受了本招标文件的所有内容，如有任何异议，均应在法定时间内提出。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1.4本招标文件所称公章是指单位法定名称章或者冠以法定名称的投标业务专用章或单位法定名称电子公章。</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
          <w:sz w:val="24"/>
        </w:rPr>
      </w:pPr>
      <w:r>
        <w:rPr>
          <w:rFonts w:hint="eastAsia" w:ascii="仿宋" w:hAnsi="仿宋" w:eastAsia="仿宋" w:cs="仿宋"/>
          <w:b/>
          <w:sz w:val="24"/>
        </w:rPr>
        <w:t>2.定义</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sz w:val="24"/>
        </w:rPr>
      </w:pPr>
      <w:r>
        <w:rPr>
          <w:rFonts w:hint="eastAsia" w:ascii="仿宋" w:hAnsi="仿宋" w:eastAsia="仿宋" w:cs="仿宋"/>
          <w:sz w:val="24"/>
        </w:rPr>
        <w:t>2.1政府采购当事人及监管部门：绍兴市公安局交通管理局为本项目的采购人（合同中的甲方），耀华建设管理有限公司为采购代理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2.2“产品”系指供方按招标文件规定，经合法途径取得的，须向采购人提供的一切产品、保险、税金、安装、施工、调试、备品备件、工具、手册及其它有关技术资料和材料。</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2.3“服务”系指招标文件规定投标人须承担的安装、调试、技术协助、校准、培训、技术指导以及其他类似的义务。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2.4“项目”系指投标人按招标文件规定向采购人提供的产品和服务。</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2.5“授权代表”系指法定代表人的被授权委托人。</w:t>
      </w:r>
    </w:p>
    <w:p>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2.6 “★”系指实质性指标要求条款，“▲” 系指主要性能指标要求条款。如任意一条打“★”的指标出现负偏离视为实质性不响应招标文件要求，作无效投标处理；如任意一条打“▲”的指标出现负偏离按评分标准作扣分处理。</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b/>
          <w:color w:val="000000" w:themeColor="text1"/>
          <w:sz w:val="24"/>
        </w:rPr>
        <w:t>3.采购项目需要落实的政府采购政策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 节能环保要求</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
          <w:color w:val="000000" w:themeColor="text1"/>
          <w:sz w:val="24"/>
        </w:rPr>
      </w:pPr>
      <w:r>
        <w:rPr>
          <w:rFonts w:hint="eastAsia" w:ascii="仿宋" w:hAnsi="仿宋" w:eastAsia="仿宋" w:cs="仿宋"/>
          <w:color w:val="000000" w:themeColor="text1"/>
          <w:sz w:val="24"/>
        </w:rPr>
        <w:t>3.2.2</w:t>
      </w:r>
      <w:r>
        <w:rPr>
          <w:rFonts w:hint="eastAsia" w:ascii="仿宋" w:hAnsi="仿宋" w:eastAsia="仿宋" w:cs="仿宋"/>
          <w:b/>
          <w:color w:val="000000" w:themeColor="text1"/>
          <w:sz w:val="24"/>
        </w:rPr>
        <w:t>采购人拟采购的产品属于政府强制采购的节能产品品目清单范围的，投标人未按招标文件要求提供国家确定的认证机构出具的、处于有效期之内的节能产品认证证书，投标无效。</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w:t>
      </w:r>
      <w:r>
        <w:rPr>
          <w:rFonts w:hint="eastAsia" w:ascii="仿宋" w:hAnsi="仿宋" w:eastAsia="仿宋" w:cs="仿宋"/>
          <w:bCs/>
          <w:color w:val="auto"/>
          <w:sz w:val="24"/>
        </w:rPr>
        <w:t>小微</w:t>
      </w:r>
      <w:r>
        <w:rPr>
          <w:rFonts w:hint="eastAsia" w:ascii="仿宋" w:hAnsi="仿宋" w:eastAsia="仿宋" w:cs="仿宋"/>
          <w:color w:val="auto"/>
          <w:sz w:val="24"/>
        </w:rPr>
        <w:t>企业价格扣除。</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auto"/>
          <w:sz w:val="24"/>
        </w:rPr>
      </w:pPr>
      <w:r>
        <w:rPr>
          <w:rFonts w:hint="eastAsia" w:ascii="仿宋" w:hAnsi="仿宋" w:eastAsia="仿宋" w:cs="仿宋"/>
          <w:color w:val="auto"/>
          <w:sz w:val="24"/>
        </w:rPr>
        <w:t>3.3.1小微企业是指</w:t>
      </w:r>
      <w:r>
        <w:rPr>
          <w:rFonts w:hint="eastAsia" w:ascii="仿宋" w:hAnsi="仿宋" w:eastAsia="仿宋" w:cs="仿宋"/>
          <w:bCs/>
          <w:color w:val="auto"/>
          <w:sz w:val="24"/>
        </w:rPr>
        <w:t>在中华人民共和国境内依法设立，依据国务院批准的中小企业划分标准确定的小型企业和微型企业，但与大企业的负责人为同一人，或者与大企业存在直接控股、管理关系的除外。</w:t>
      </w:r>
    </w:p>
    <w:p>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color w:val="auto"/>
          <w:sz w:val="24"/>
        </w:rPr>
      </w:pPr>
      <w:r>
        <w:rPr>
          <w:rFonts w:hint="eastAsia" w:ascii="仿宋" w:hAnsi="仿宋" w:eastAsia="仿宋" w:cs="仿宋"/>
          <w:bCs/>
          <w:color w:val="auto"/>
          <w:sz w:val="24"/>
        </w:rPr>
        <w:t>符合中小企业划分标准的个体工商户，在政府采购活动中视同中小企业。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3.3.2在货物采购项目中，货物由小微企业制造，即货物由小微企业生产且使用该小微企业商号或者注册商标。</w:t>
      </w:r>
      <w:r>
        <w:rPr>
          <w:rFonts w:hint="eastAsia" w:ascii="仿宋" w:hAnsi="仿宋" w:eastAsia="仿宋" w:cs="仿宋"/>
          <w:b/>
          <w:bCs/>
          <w:color w:val="auto"/>
          <w:sz w:val="24"/>
        </w:rPr>
        <w:t>供应商提供的货物既有中小企业制造货物，也有大型企业制造货物的，不享受中小企业扶持政策。</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color w:val="auto"/>
          <w:sz w:val="24"/>
        </w:rPr>
      </w:pPr>
      <w:r>
        <w:rPr>
          <w:rFonts w:hint="eastAsia" w:ascii="仿宋" w:hAnsi="仿宋" w:eastAsia="仿宋" w:cs="仿宋"/>
          <w:bCs/>
          <w:color w:val="auto"/>
          <w:sz w:val="24"/>
        </w:rPr>
        <w:t>3.3.3在服务采购项目中，服务由小微企业承接，即提供服务的人员为小微企业依照《中华人民共和国劳动合同法》订立劳动合同的从业人员。</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3.3.4小微企业应按照招标文件格式要求提供《中小企业声明函》。</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color w:val="auto"/>
          <w:sz w:val="24"/>
        </w:rPr>
      </w:pPr>
      <w:r>
        <w:rPr>
          <w:rFonts w:hint="eastAsia" w:ascii="仿宋" w:hAnsi="仿宋" w:eastAsia="仿宋" w:cs="仿宋"/>
          <w:b/>
          <w:color w:val="auto"/>
          <w:sz w:val="24"/>
        </w:rPr>
        <w:t>以联合体形式参加政府采购活动， 联合体各方均为中小企业的，联合体视同中小企业。其中，联合体各方均为小微企业的，联合体视同小微企业。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3.3.7符合《关于促进残疾人就业政府采购政策的通知》（财库〔2017〕141号）规定的条件并提供《残疾人福利性单位声明函》（附件1）的残疾人福利性单位视同小微企业；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auto"/>
          <w:sz w:val="24"/>
        </w:rPr>
      </w:pPr>
      <w:r>
        <w:rPr>
          <w:rFonts w:hint="eastAsia" w:ascii="仿宋" w:hAnsi="仿宋" w:eastAsia="仿宋" w:cs="仿宋"/>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★4.特别说明：</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4.1供应商投标所使用的资格、信誉、荣誉、业绩与企业认证必须为投标单位所拥有。供应商投标所使用的采购项目实施人员必须为投标单位正式员工。</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4.2供应商应仔细阅读招标文件的所有内容，按照招标文件的要求提交投标文件，并对所提供的全部资料的真实性承担法律责任。</w:t>
      </w:r>
    </w:p>
    <w:p>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color w:val="000000" w:themeColor="text1"/>
          <w:sz w:val="24"/>
        </w:rPr>
      </w:pPr>
      <w:r>
        <w:rPr>
          <w:rFonts w:hint="eastAsia" w:ascii="仿宋" w:hAnsi="仿宋" w:eastAsia="仿宋" w:cs="仿宋"/>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ascii="仿宋" w:hAnsi="仿宋" w:eastAsia="仿宋" w:cs="仿宋"/>
          <w:b/>
          <w:sz w:val="24"/>
        </w:rPr>
      </w:pPr>
      <w:r>
        <w:rPr>
          <w:rFonts w:hint="eastAsia" w:ascii="仿宋" w:hAnsi="仿宋" w:eastAsia="仿宋" w:cs="仿宋"/>
          <w:b/>
          <w:sz w:val="36"/>
          <w:szCs w:val="36"/>
        </w:rPr>
        <w:t>二、招标文件</w:t>
      </w:r>
    </w:p>
    <w:p>
      <w:pPr>
        <w:snapToGrid w:val="0"/>
        <w:spacing w:line="284" w:lineRule="auto"/>
        <w:jc w:val="left"/>
        <w:rPr>
          <w:rFonts w:ascii="仿宋" w:hAnsi="仿宋" w:eastAsia="仿宋" w:cs="仿宋"/>
          <w:b/>
          <w:sz w:val="24"/>
        </w:rPr>
      </w:pPr>
      <w:r>
        <w:rPr>
          <w:rFonts w:hint="eastAsia" w:ascii="仿宋" w:hAnsi="仿宋" w:eastAsia="仿宋" w:cs="仿宋"/>
          <w:b/>
          <w:sz w:val="24"/>
        </w:rPr>
        <w:t>1.招标方式</w:t>
      </w:r>
    </w:p>
    <w:p>
      <w:pPr>
        <w:snapToGrid w:val="0"/>
        <w:spacing w:line="284" w:lineRule="auto"/>
        <w:jc w:val="left"/>
        <w:rPr>
          <w:rFonts w:ascii="仿宋" w:hAnsi="仿宋" w:eastAsia="仿宋" w:cs="仿宋"/>
          <w:sz w:val="24"/>
        </w:rPr>
      </w:pPr>
      <w:r>
        <w:rPr>
          <w:rFonts w:hint="eastAsia" w:ascii="仿宋" w:hAnsi="仿宋" w:eastAsia="仿宋" w:cs="仿宋"/>
          <w:sz w:val="24"/>
        </w:rPr>
        <w:t>1.1 本次招标采用</w:t>
      </w:r>
      <w:r>
        <w:rPr>
          <w:rFonts w:hint="eastAsia" w:ascii="仿宋" w:hAnsi="仿宋" w:eastAsia="仿宋" w:cs="仿宋"/>
          <w:b/>
          <w:kern w:val="0"/>
          <w:sz w:val="24"/>
        </w:rPr>
        <w:t>公开招标</w:t>
      </w:r>
      <w:r>
        <w:rPr>
          <w:rFonts w:hint="eastAsia" w:ascii="仿宋" w:hAnsi="仿宋" w:eastAsia="仿宋" w:cs="仿宋"/>
          <w:sz w:val="24"/>
        </w:rPr>
        <w:t>方式进行。</w:t>
      </w:r>
    </w:p>
    <w:p>
      <w:pPr>
        <w:snapToGrid w:val="0"/>
        <w:spacing w:line="284" w:lineRule="auto"/>
        <w:jc w:val="left"/>
        <w:rPr>
          <w:rFonts w:ascii="仿宋" w:hAnsi="仿宋" w:eastAsia="仿宋" w:cs="仿宋"/>
          <w:b/>
          <w:sz w:val="24"/>
        </w:rPr>
      </w:pPr>
      <w:r>
        <w:rPr>
          <w:rFonts w:hint="eastAsia" w:ascii="仿宋" w:hAnsi="仿宋" w:eastAsia="仿宋" w:cs="仿宋"/>
          <w:sz w:val="24"/>
        </w:rPr>
        <w:t>1.2 如某一标项投标人或实质性响应招标文件的投标人不足三家时，由采购人重新组织招标或按有关规定实施。</w:t>
      </w:r>
    </w:p>
    <w:p>
      <w:pPr>
        <w:snapToGrid w:val="0"/>
        <w:spacing w:line="284" w:lineRule="auto"/>
        <w:jc w:val="left"/>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pPr>
        <w:snapToGrid w:val="0"/>
        <w:spacing w:line="284" w:lineRule="auto"/>
        <w:jc w:val="left"/>
        <w:rPr>
          <w:rFonts w:ascii="仿宋" w:hAnsi="仿宋" w:eastAsia="仿宋" w:cs="仿宋"/>
          <w:b/>
          <w:sz w:val="24"/>
        </w:rPr>
      </w:pPr>
      <w:r>
        <w:rPr>
          <w:rFonts w:hint="eastAsia" w:ascii="仿宋" w:hAnsi="仿宋" w:eastAsia="仿宋" w:cs="仿宋"/>
          <w:b/>
          <w:sz w:val="24"/>
        </w:rPr>
        <w:t>2.投标委托</w:t>
      </w:r>
    </w:p>
    <w:p>
      <w:pPr>
        <w:snapToGrid w:val="0"/>
        <w:spacing w:line="284" w:lineRule="auto"/>
        <w:ind w:firstLine="480" w:firstLineChars="200"/>
        <w:jc w:val="left"/>
        <w:rPr>
          <w:rFonts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pPr>
        <w:snapToGrid w:val="0"/>
        <w:spacing w:line="284" w:lineRule="auto"/>
        <w:jc w:val="left"/>
        <w:rPr>
          <w:rFonts w:ascii="仿宋" w:hAnsi="仿宋" w:eastAsia="仿宋" w:cs="仿宋"/>
          <w:b/>
          <w:sz w:val="24"/>
        </w:rPr>
      </w:pPr>
      <w:r>
        <w:rPr>
          <w:rFonts w:hint="eastAsia" w:ascii="仿宋" w:hAnsi="仿宋" w:eastAsia="仿宋" w:cs="仿宋"/>
          <w:b/>
          <w:sz w:val="24"/>
        </w:rPr>
        <w:t>3.投标费用</w:t>
      </w:r>
    </w:p>
    <w:p>
      <w:pPr>
        <w:pStyle w:val="8"/>
        <w:numPr>
          <w:ilvl w:val="0"/>
          <w:numId w:val="0"/>
        </w:numPr>
        <w:spacing w:line="284" w:lineRule="auto"/>
        <w:ind w:firstLine="480" w:firstLineChars="200"/>
        <w:jc w:val="left"/>
        <w:rPr>
          <w:rFonts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r>
        <w:rPr>
          <w:rFonts w:hint="eastAsia" w:ascii="仿宋" w:hAnsi="仿宋" w:eastAsia="仿宋" w:cs="仿宋"/>
          <w:b/>
          <w:bCs/>
          <w:sz w:val="24"/>
        </w:rPr>
        <w:t>中标人须向招标代理机构交纳代理服务费，具体详见投标人须知前附表。</w:t>
      </w:r>
    </w:p>
    <w:p>
      <w:pPr>
        <w:snapToGrid w:val="0"/>
        <w:spacing w:line="284" w:lineRule="auto"/>
        <w:jc w:val="left"/>
        <w:rPr>
          <w:rFonts w:ascii="仿宋" w:hAnsi="仿宋" w:eastAsia="仿宋" w:cs="仿宋"/>
          <w:b/>
          <w:sz w:val="24"/>
        </w:rPr>
      </w:pPr>
      <w:r>
        <w:rPr>
          <w:rFonts w:hint="eastAsia" w:ascii="仿宋" w:hAnsi="仿宋" w:eastAsia="仿宋" w:cs="仿宋"/>
          <w:b/>
          <w:sz w:val="24"/>
        </w:rPr>
        <w:t>4.招标文件的修改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4.1 招标文件包括本招标文件及所有的招标答疑记录（澄清、修改）和发出的补充通知。</w:t>
      </w:r>
    </w:p>
    <w:p>
      <w:pPr>
        <w:snapToGrid w:val="0"/>
        <w:spacing w:line="284" w:lineRule="auto"/>
        <w:jc w:val="left"/>
        <w:rPr>
          <w:rFonts w:ascii="仿宋" w:hAnsi="仿宋" w:eastAsia="仿宋" w:cs="仿宋"/>
          <w:sz w:val="24"/>
        </w:rPr>
      </w:pPr>
      <w:r>
        <w:rPr>
          <w:rFonts w:hint="eastAsia" w:ascii="仿宋" w:hAnsi="仿宋" w:eastAsia="仿宋" w:cs="仿宋"/>
          <w:sz w:val="24"/>
        </w:rPr>
        <w:t xml:space="preserve">4.2招标文件的澄清 </w:t>
      </w:r>
    </w:p>
    <w:p>
      <w:pPr>
        <w:snapToGrid w:val="0"/>
        <w:spacing w:line="284" w:lineRule="auto"/>
        <w:jc w:val="left"/>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snapToGrid w:val="0"/>
        <w:spacing w:line="284" w:lineRule="auto"/>
        <w:jc w:val="left"/>
        <w:rPr>
          <w:rFonts w:ascii="仿宋" w:hAnsi="仿宋" w:eastAsia="仿宋" w:cs="仿宋"/>
          <w:sz w:val="24"/>
        </w:rPr>
      </w:pPr>
      <w:r>
        <w:rPr>
          <w:rFonts w:hint="eastAsia" w:ascii="仿宋" w:hAnsi="仿宋" w:eastAsia="仿宋" w:cs="仿宋"/>
          <w:sz w:val="24"/>
        </w:rPr>
        <w:t>4.3招标文件的修改</w:t>
      </w:r>
    </w:p>
    <w:p>
      <w:pPr>
        <w:snapToGrid w:val="0"/>
        <w:spacing w:line="284" w:lineRule="auto"/>
        <w:jc w:val="left"/>
        <w:rPr>
          <w:rFonts w:ascii="仿宋" w:hAnsi="仿宋" w:eastAsia="仿宋" w:cs="仿宋"/>
          <w:sz w:val="24"/>
        </w:rPr>
      </w:pPr>
      <w:r>
        <w:rPr>
          <w:rFonts w:hint="eastAsia" w:ascii="仿宋" w:hAnsi="仿宋" w:eastAsia="仿宋" w:cs="仿宋"/>
          <w:sz w:val="24"/>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284" w:lineRule="auto"/>
        <w:jc w:val="left"/>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284" w:lineRule="auto"/>
        <w:jc w:val="left"/>
        <w:rPr>
          <w:rFonts w:ascii="仿宋" w:hAnsi="仿宋" w:eastAsia="仿宋" w:cs="仿宋"/>
          <w:b/>
          <w:sz w:val="24"/>
        </w:rPr>
      </w:pPr>
      <w:r>
        <w:rPr>
          <w:rFonts w:hint="eastAsia" w:ascii="仿宋" w:hAnsi="仿宋" w:eastAsia="仿宋" w:cs="仿宋"/>
          <w:b/>
          <w:sz w:val="24"/>
        </w:rPr>
        <w:t>5.参考品牌</w:t>
      </w:r>
    </w:p>
    <w:p>
      <w:pPr>
        <w:snapToGrid w:val="0"/>
        <w:spacing w:line="284" w:lineRule="auto"/>
        <w:ind w:firstLine="480" w:firstLineChars="200"/>
        <w:jc w:val="left"/>
        <w:rPr>
          <w:rFonts w:ascii="仿宋" w:hAnsi="仿宋" w:eastAsia="仿宋" w:cs="仿宋"/>
          <w:b/>
          <w:sz w:val="36"/>
          <w:szCs w:val="36"/>
        </w:rPr>
      </w:pPr>
      <w:r>
        <w:rPr>
          <w:rFonts w:hint="eastAsia" w:ascii="仿宋" w:hAnsi="仿宋" w:eastAsia="仿宋" w:cs="仿宋"/>
          <w:bCs/>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288" w:lineRule="auto"/>
        <w:jc w:val="center"/>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三、投标文件</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1.投标文件的语言、计量单位、形式及效力</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1.1投标人应仔细阅读招标文件中的所有内容，按照招标文件要求，详细编制投标文件，并保证投标文件的正确性和真实性。</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 投标文件以及投标方与招标方就有关投标事宜的所有来往函电，均应以中文书写（技术术语除外）。</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 投标计量单位，除招标文件中有特殊要求外，应采用中华人民共和国法定计量单位，货币单位：人民币元。</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1.4不按招标文件的要求提供的投标文件可能导致被拒绝。</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1.5投标文件的形式和效力</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1.5.1投标文件为电子投标文件，电子投标文件按“政采云供应商项目采购-电子招投标操作指南”及本招标文件要求制作、加密传输。</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1.5.2投标文件的效力：</w:t>
      </w:r>
    </w:p>
    <w:p>
      <w:pPr>
        <w:snapToGrid w:val="0"/>
        <w:spacing w:line="288" w:lineRule="auto"/>
        <w:ind w:firstLine="472" w:firstLineChars="196"/>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投标文件未在投标截止时间前完成传输的，视为投标文件撤回；投标文件未按时解密，亦视为投标文件撤回。</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2.投标文件的组成</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投标文件由“报价文件资料”、“商务技术（资信）文件资料”两部分组成，其中</w:t>
      </w:r>
      <w:r>
        <w:rPr>
          <w:rFonts w:hint="eastAsia" w:ascii="仿宋" w:hAnsi="仿宋" w:eastAsia="仿宋" w:cs="仿宋"/>
          <w:b/>
          <w:color w:val="000000" w:themeColor="text1"/>
          <w:sz w:val="24"/>
        </w:rPr>
        <w:t>电子投标文件中所须加盖公章部分均应采用电子签章。</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 “报价文件资料”应包含以下内容：</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2.1.1投标响应函（格式见第六部分附件）；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2.1.2开标一览表（格式见第六部分附件）；</w:t>
      </w:r>
    </w:p>
    <w:p>
      <w:pPr>
        <w:pStyle w:val="16"/>
        <w:spacing w:line="288" w:lineRule="auto"/>
        <w:ind w:left="0" w:leftChars="0"/>
        <w:jc w:val="left"/>
        <w:rPr>
          <w:rFonts w:ascii="仿宋" w:hAnsi="仿宋" w:eastAsia="仿宋" w:cs="仿宋"/>
          <w:color w:val="000000" w:themeColor="text1"/>
          <w:sz w:val="24"/>
        </w:rPr>
      </w:pPr>
      <w:r>
        <w:rPr>
          <w:rFonts w:hint="eastAsia" w:ascii="仿宋" w:hAnsi="仿宋" w:eastAsia="仿宋" w:cs="仿宋"/>
          <w:color w:val="000000" w:themeColor="text1"/>
          <w:sz w:val="24"/>
        </w:rPr>
        <w:t>2.1.3小微企业声明函及证明资料（如有，格式见第六部分附件）；</w:t>
      </w:r>
    </w:p>
    <w:p>
      <w:pPr>
        <w:pStyle w:val="16"/>
        <w:spacing w:line="288" w:lineRule="auto"/>
        <w:ind w:left="0" w:leftChars="0"/>
        <w:jc w:val="left"/>
        <w:rPr>
          <w:rFonts w:ascii="仿宋" w:hAnsi="仿宋" w:eastAsia="仿宋" w:cs="仿宋"/>
          <w:color w:val="000000" w:themeColor="text1"/>
          <w:sz w:val="24"/>
        </w:rPr>
      </w:pPr>
      <w:r>
        <w:rPr>
          <w:rFonts w:hint="eastAsia" w:ascii="仿宋" w:hAnsi="仿宋" w:eastAsia="仿宋" w:cs="仿宋"/>
          <w:color w:val="000000" w:themeColor="text1"/>
          <w:sz w:val="24"/>
        </w:rPr>
        <w:t>2.1.4残疾人福利性单位声明函（如有，格式见第六部分附件）。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以上文件组成“报价文件资料”。投标人在“报价文件资料”中应对招标文件作实质性响应，该项内容将作为评标重要指标。</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 “商务技术（资信）文件资料”应包括以下内容（正本用原件）：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2.2.1法定代表人授权委托书(格式见第六部分附件)；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2.2.2授权代表社保证明（格式见第六部分附件）；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2.2.3法定代表人身份证明书（格式见第六部分附件）；</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2.2.4 企业法人营业执照副本复印件（加盖单位公章）；</w:t>
      </w:r>
    </w:p>
    <w:p>
      <w:pPr>
        <w:snapToGrid w:val="0"/>
        <w:spacing w:line="288" w:lineRule="auto"/>
        <w:jc w:val="left"/>
        <w:rPr>
          <w:rFonts w:ascii="仿宋" w:hAnsi="仿宋" w:eastAsia="仿宋" w:cs="仿宋"/>
          <w:color w:val="000000" w:themeColor="text1"/>
          <w:kern w:val="0"/>
          <w:sz w:val="24"/>
        </w:rPr>
      </w:pPr>
      <w:r>
        <w:rPr>
          <w:rFonts w:hint="eastAsia" w:ascii="仿宋" w:hAnsi="仿宋" w:eastAsia="仿宋" w:cs="仿宋"/>
          <w:color w:val="000000" w:themeColor="text1"/>
          <w:sz w:val="24"/>
        </w:rPr>
        <w:t>2.2.5相关资质证明或文件复印件（加盖单位公章）；（均需加盖公章）：</w:t>
      </w:r>
      <w:r>
        <w:rPr>
          <w:rFonts w:hint="eastAsia" w:ascii="仿宋" w:hAnsi="仿宋" w:eastAsia="仿宋" w:cs="仿宋"/>
          <w:color w:val="000000" w:themeColor="text1"/>
          <w:kern w:val="0"/>
          <w:sz w:val="24"/>
        </w:rPr>
        <w:t>证明其符合《中华人民共和国政府采购法》规定的供应商基本条件和采购项目对供应商的特定要求</w:t>
      </w:r>
      <w:r>
        <w:rPr>
          <w:rFonts w:hint="eastAsia" w:ascii="仿宋" w:hAnsi="仿宋" w:eastAsia="仿宋" w:cs="仿宋"/>
          <w:color w:val="000000" w:themeColor="text1"/>
          <w:sz w:val="24"/>
        </w:rPr>
        <w:t>（如果项目要求）</w:t>
      </w:r>
      <w:r>
        <w:rPr>
          <w:rFonts w:hint="eastAsia" w:ascii="仿宋" w:hAnsi="仿宋" w:eastAsia="仿宋" w:cs="仿宋"/>
          <w:color w:val="000000" w:themeColor="text1"/>
          <w:kern w:val="0"/>
          <w:sz w:val="24"/>
        </w:rPr>
        <w:t>的有关资格证明文件。</w:t>
      </w:r>
    </w:p>
    <w:p>
      <w:pPr>
        <w:pStyle w:val="15"/>
        <w:spacing w:line="288" w:lineRule="auto"/>
        <w:ind w:firstLine="480" w:firstLineChars="200"/>
        <w:jc w:val="left"/>
        <w:rPr>
          <w:rFonts w:ascii="仿宋" w:hAnsi="仿宋" w:eastAsia="仿宋" w:cs="仿宋"/>
          <w:color w:val="000000" w:themeColor="text1"/>
          <w:sz w:val="24"/>
        </w:rPr>
      </w:pPr>
      <w:bookmarkStart w:id="0" w:name="_Hlt68073093"/>
      <w:bookmarkEnd w:id="0"/>
      <w:bookmarkStart w:id="1" w:name="_Hlt68403820"/>
      <w:bookmarkEnd w:id="1"/>
      <w:bookmarkStart w:id="2" w:name="_Hlt68072998"/>
      <w:bookmarkEnd w:id="2"/>
      <w:r>
        <w:rPr>
          <w:rFonts w:hint="eastAsia" w:ascii="仿宋" w:hAnsi="仿宋" w:eastAsia="仿宋" w:cs="仿宋"/>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15"/>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sz w:val="24"/>
        </w:rPr>
        <w:t>（2）2019年度资产负债表等财</w:t>
      </w:r>
      <w:r>
        <w:rPr>
          <w:rFonts w:hint="eastAsia" w:ascii="仿宋" w:hAnsi="仿宋" w:eastAsia="仿宋" w:cs="仿宋"/>
          <w:color w:val="000000" w:themeColor="text1"/>
          <w:sz w:val="24"/>
        </w:rPr>
        <w:t>务报表资料文件(新成立的公司提供情况证明)；</w:t>
      </w:r>
    </w:p>
    <w:p>
      <w:pPr>
        <w:pStyle w:val="15"/>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（3）具有履行合同所必需的设备和专业技术能力的承诺函；</w:t>
      </w:r>
    </w:p>
    <w:p>
      <w:pPr>
        <w:spacing w:line="288" w:lineRule="auto"/>
        <w:ind w:firstLine="480" w:firstLineChars="200"/>
        <w:jc w:val="left"/>
        <w:rPr>
          <w:rFonts w:ascii="仿宋" w:hAnsi="仿宋" w:eastAsia="仿宋" w:cs="仿宋"/>
          <w:color w:val="000000" w:themeColor="text1"/>
          <w:sz w:val="24"/>
          <w:szCs w:val="20"/>
        </w:rPr>
      </w:pPr>
      <w:r>
        <w:rPr>
          <w:rFonts w:hint="eastAsia" w:ascii="仿宋" w:hAnsi="仿宋" w:eastAsia="仿宋" w:cs="仿宋"/>
          <w:color w:val="000000" w:themeColor="text1"/>
          <w:sz w:val="24"/>
        </w:rPr>
        <w:t>（4）参加本次政府采购活动前三年内，在经营活动中没有重大违法记录的声明（</w:t>
      </w:r>
      <w:r>
        <w:rPr>
          <w:rFonts w:hint="eastAsia" w:ascii="仿宋" w:hAnsi="仿宋" w:eastAsia="仿宋" w:cs="仿宋"/>
          <w:color w:val="000000" w:themeColor="text1"/>
          <w:sz w:val="24"/>
          <w:szCs w:val="20"/>
        </w:rPr>
        <w:t>需要特别声明“没有因违反《浙江省政府采购供应商注册及诚信管理暂行办法》被列入‘黑名单’，在处罚有效期”）；</w:t>
      </w:r>
    </w:p>
    <w:p>
      <w:pPr>
        <w:spacing w:line="288" w:lineRule="auto"/>
        <w:ind w:firstLine="480" w:firstLineChars="200"/>
        <w:jc w:val="left"/>
        <w:rPr>
          <w:rFonts w:ascii="仿宋" w:hAnsi="仿宋" w:eastAsia="仿宋" w:cs="仿宋"/>
          <w:color w:val="000000" w:themeColor="text1"/>
          <w:sz w:val="24"/>
          <w:szCs w:val="20"/>
        </w:rPr>
      </w:pPr>
      <w:r>
        <w:rPr>
          <w:rFonts w:hint="eastAsia" w:ascii="仿宋" w:hAnsi="仿宋" w:eastAsia="仿宋" w:cs="仿宋"/>
          <w:color w:val="000000" w:themeColor="text1"/>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288" w:lineRule="auto"/>
        <w:ind w:firstLine="480" w:firstLineChars="200"/>
        <w:jc w:val="left"/>
        <w:rPr>
          <w:rFonts w:ascii="仿宋" w:hAnsi="仿宋" w:eastAsia="仿宋" w:cs="仿宋"/>
          <w:color w:val="000000" w:themeColor="text1"/>
          <w:sz w:val="24"/>
          <w:szCs w:val="20"/>
        </w:rPr>
      </w:pPr>
      <w:r>
        <w:rPr>
          <w:rFonts w:hint="eastAsia" w:ascii="仿宋" w:hAnsi="仿宋" w:eastAsia="仿宋" w:cs="仿宋"/>
          <w:color w:val="000000" w:themeColor="text1"/>
          <w:kern w:val="0"/>
          <w:sz w:val="24"/>
        </w:rPr>
        <w:t>(6</w:t>
      </w:r>
      <w:r>
        <w:rPr>
          <w:rFonts w:hint="eastAsia" w:ascii="仿宋" w:hAnsi="仿宋" w:eastAsia="仿宋" w:cs="仿宋"/>
          <w:color w:val="000000" w:themeColor="text1"/>
          <w:sz w:val="24"/>
        </w:rPr>
        <w:t>)</w:t>
      </w:r>
      <w:r>
        <w:rPr>
          <w:rFonts w:hint="eastAsia" w:ascii="仿宋" w:hAnsi="仿宋" w:eastAsia="仿宋" w:cs="仿宋"/>
          <w:color w:val="000000" w:themeColor="text1"/>
          <w:sz w:val="24"/>
          <w:szCs w:val="20"/>
        </w:rPr>
        <w:t>提供依法缴纳税收和社会保障资金的良好记录证明，税收和社保证明打印时间不得早于投标截止时间前1个月；</w:t>
      </w:r>
    </w:p>
    <w:p>
      <w:pPr>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kern w:val="0"/>
          <w:sz w:val="24"/>
        </w:rPr>
        <w:t>(7</w:t>
      </w:r>
      <w:r>
        <w:rPr>
          <w:rFonts w:hint="eastAsia" w:ascii="仿宋" w:hAnsi="仿宋" w:eastAsia="仿宋" w:cs="仿宋"/>
          <w:color w:val="000000" w:themeColor="text1"/>
          <w:sz w:val="24"/>
        </w:rPr>
        <w:t>)符合特定资格条件的有关证明材料（复印件加盖单位公章）；</w:t>
      </w:r>
    </w:p>
    <w:p>
      <w:pPr>
        <w:pStyle w:val="15"/>
        <w:snapToGrid w:val="0"/>
        <w:spacing w:line="288" w:lineRule="auto"/>
        <w:jc w:val="left"/>
        <w:rPr>
          <w:rFonts w:ascii="仿宋" w:hAnsi="仿宋" w:eastAsia="仿宋" w:cs="仿宋"/>
          <w:color w:val="000000" w:themeColor="text1"/>
          <w:sz w:val="24"/>
          <w:lang w:val="zh-CN"/>
        </w:rPr>
      </w:pPr>
      <w:r>
        <w:rPr>
          <w:rFonts w:hint="eastAsia" w:ascii="仿宋" w:hAnsi="仿宋" w:eastAsia="仿宋" w:cs="仿宋"/>
          <w:color w:val="000000" w:themeColor="text1"/>
          <w:sz w:val="24"/>
        </w:rPr>
        <w:t>2.2.6</w:t>
      </w:r>
      <w:r>
        <w:rPr>
          <w:rFonts w:hint="eastAsia" w:ascii="仿宋" w:hAnsi="仿宋" w:eastAsia="仿宋" w:cs="仿宋"/>
          <w:color w:val="000000" w:themeColor="text1"/>
          <w:sz w:val="24"/>
          <w:lang w:val="zh-CN"/>
        </w:rPr>
        <w:t>投标人应提供针对项目的完整技术解决方案：</w:t>
      </w:r>
    </w:p>
    <w:p>
      <w:pPr>
        <w:snapToGrid w:val="0"/>
        <w:spacing w:line="288" w:lineRule="auto"/>
        <w:ind w:firstLine="480" w:firstLineChars="200"/>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288" w:lineRule="auto"/>
        <w:ind w:firstLine="472" w:firstLineChars="196"/>
        <w:jc w:val="left"/>
        <w:rPr>
          <w:rFonts w:ascii="仿宋" w:hAnsi="仿宋" w:eastAsia="仿宋" w:cs="仿宋"/>
          <w:color w:val="000000" w:themeColor="text1"/>
          <w:sz w:val="24"/>
        </w:rPr>
      </w:pPr>
      <w:r>
        <w:rPr>
          <w:rFonts w:hint="eastAsia" w:ascii="仿宋" w:hAnsi="仿宋" w:eastAsia="仿宋" w:cs="仿宋"/>
          <w:b/>
          <w:color w:val="000000" w:themeColor="text1"/>
          <w:sz w:val="24"/>
        </w:rPr>
        <w:t>如果本项目涉及硬件设备采购，还需提供相关设备完整配置方案（设备名称、品牌、规格型号、数量、主要技术参数等）</w:t>
      </w:r>
      <w:r>
        <w:rPr>
          <w:rFonts w:hint="eastAsia" w:ascii="仿宋" w:hAnsi="仿宋" w:eastAsia="仿宋" w:cs="仿宋"/>
          <w:color w:val="000000" w:themeColor="text1"/>
          <w:sz w:val="24"/>
        </w:rPr>
        <w:t>，</w:t>
      </w:r>
      <w:r>
        <w:rPr>
          <w:rFonts w:hint="eastAsia" w:ascii="仿宋" w:hAnsi="仿宋" w:eastAsia="仿宋" w:cs="仿宋"/>
          <w:b/>
          <w:color w:val="000000" w:themeColor="text1"/>
          <w:sz w:val="24"/>
        </w:rPr>
        <w:t>提供主要投标产品的技术参数证明材料（如原厂技术说明、官网截图、产品彩页等），</w:t>
      </w:r>
      <w:r>
        <w:rPr>
          <w:rFonts w:hint="eastAsia" w:ascii="仿宋" w:hAnsi="仿宋" w:eastAsia="仿宋" w:cs="仿宋"/>
          <w:color w:val="000000" w:themeColor="text1"/>
          <w:sz w:val="24"/>
        </w:rPr>
        <w:t>明确表示该项指标所涉及的软硬件是标准配置还是选择配置</w:t>
      </w:r>
      <w:r>
        <w:rPr>
          <w:rFonts w:hint="eastAsia" w:ascii="仿宋" w:hAnsi="仿宋" w:eastAsia="仿宋" w:cs="仿宋"/>
          <w:b/>
          <w:color w:val="000000" w:themeColor="text1"/>
          <w:sz w:val="24"/>
        </w:rPr>
        <w:t>（所有技术指标表述均应采用中文，如当前公布的技术指标只有英文表述的，必须由投标人作出中文注释，否则</w:t>
      </w:r>
      <w:r>
        <w:rPr>
          <w:rFonts w:hint="eastAsia" w:ascii="仿宋" w:hAnsi="仿宋" w:eastAsia="仿宋" w:cs="仿宋"/>
          <w:b/>
          <w:color w:val="000000" w:themeColor="text1"/>
          <w:kern w:val="0"/>
          <w:sz w:val="24"/>
          <w:lang w:val="zh-CN"/>
        </w:rPr>
        <w:t>任何含糊不清的</w:t>
      </w:r>
      <w:r>
        <w:rPr>
          <w:rFonts w:hint="eastAsia" w:ascii="仿宋" w:hAnsi="仿宋" w:eastAsia="仿宋" w:cs="仿宋"/>
          <w:b/>
          <w:color w:val="000000" w:themeColor="text1"/>
          <w:sz w:val="24"/>
        </w:rPr>
        <w:t>表述导致</w:t>
      </w:r>
      <w:r>
        <w:rPr>
          <w:rFonts w:hint="eastAsia" w:ascii="仿宋" w:hAnsi="仿宋" w:eastAsia="仿宋" w:cs="仿宋"/>
          <w:b/>
          <w:color w:val="000000" w:themeColor="text1"/>
          <w:kern w:val="0"/>
          <w:sz w:val="24"/>
          <w:lang w:val="zh-CN"/>
        </w:rPr>
        <w:t>评标委员会技术扣分直至认定为投标无效都将是投标人的责任）</w:t>
      </w:r>
      <w:r>
        <w:rPr>
          <w:rFonts w:hint="eastAsia" w:ascii="仿宋" w:hAnsi="仿宋" w:eastAsia="仿宋" w:cs="仿宋"/>
          <w:color w:val="000000" w:themeColor="text1"/>
          <w:sz w:val="24"/>
        </w:rPr>
        <w:t>。</w:t>
      </w:r>
    </w:p>
    <w:p>
      <w:pPr>
        <w:tabs>
          <w:tab w:val="left" w:pos="3870"/>
          <w:tab w:val="left" w:pos="4085"/>
        </w:tabs>
        <w:snapToGrid w:val="0"/>
        <w:spacing w:line="288" w:lineRule="auto"/>
        <w:ind w:firstLine="470" w:firstLineChars="196"/>
        <w:jc w:val="left"/>
        <w:rPr>
          <w:rFonts w:ascii="仿宋" w:hAnsi="仿宋" w:eastAsia="仿宋" w:cs="仿宋"/>
          <w:color w:val="000000" w:themeColor="text1"/>
          <w:sz w:val="24"/>
        </w:rPr>
      </w:pPr>
      <w:r>
        <w:rPr>
          <w:rFonts w:hint="eastAsia" w:ascii="仿宋" w:hAnsi="仿宋" w:eastAsia="仿宋" w:cs="仿宋"/>
          <w:color w:val="000000" w:themeColor="text1"/>
          <w:sz w:val="24"/>
        </w:rPr>
        <w:t>本项目如需采购政府强制采购的节能产品的或投标人提供的产品是环境标志产品，投标人须按格式提供节能产品、环境标志产品认证证书复印件。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rPr>
        <w:t>2.2.9</w:t>
      </w:r>
      <w:r>
        <w:rPr>
          <w:rFonts w:hint="eastAsia" w:ascii="仿宋" w:hAnsi="仿宋" w:eastAsia="仿宋" w:cs="仿宋"/>
          <w:color w:val="000000" w:themeColor="text1"/>
          <w:sz w:val="24"/>
        </w:rPr>
        <w:t>投标人在投标文件技术偏离说明表中，</w:t>
      </w:r>
      <w:r>
        <w:rPr>
          <w:rFonts w:hint="eastAsia" w:ascii="仿宋" w:hAnsi="仿宋" w:eastAsia="仿宋" w:cs="仿宋"/>
          <w:color w:val="000000" w:themeColor="text1"/>
          <w:kern w:val="0"/>
          <w:sz w:val="24"/>
          <w:lang w:val="zh-CN"/>
        </w:rPr>
        <w:t>应对</w:t>
      </w:r>
      <w:r>
        <w:rPr>
          <w:rFonts w:hint="eastAsia" w:ascii="仿宋" w:hAnsi="仿宋" w:eastAsia="仿宋" w:cs="仿宋"/>
          <w:color w:val="000000" w:themeColor="text1"/>
          <w:sz w:val="24"/>
        </w:rPr>
        <w:t>项目技术规范和服务要求</w:t>
      </w:r>
      <w:r>
        <w:rPr>
          <w:rFonts w:hint="eastAsia" w:ascii="仿宋" w:hAnsi="仿宋" w:eastAsia="仿宋" w:cs="仿宋"/>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代理机构将把这一情况报送采购监管部门。</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2.2.14培训计划；（如果有）</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2.2.15验收方案；</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2.2.16非本地投标人售后服务机构证明材料。非本地投标人在绍兴的分公司（需提供本地工商注册登记资料）或办事处（需提供本地国内经济合作办注册资料）或符合本项目服务能力并签订合作协议的第三方机构或者在中标（成交）公示后在本地设立售后服务机构作为常驻服务和技术支持机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2.2.17</w:t>
      </w:r>
      <w:r>
        <w:rPr>
          <w:rFonts w:hint="eastAsia" w:ascii="仿宋" w:hAnsi="仿宋" w:eastAsia="仿宋" w:cs="仿宋"/>
          <w:color w:val="000000" w:themeColor="text1"/>
          <w:sz w:val="24"/>
          <w:u w:val="wave"/>
        </w:rPr>
        <w:t>未尽事宜请各投标单位按评分细则和相对应标项相关要求制作(重要)</w:t>
      </w:r>
      <w:r>
        <w:rPr>
          <w:rFonts w:hint="eastAsia" w:ascii="仿宋" w:hAnsi="仿宋" w:eastAsia="仿宋" w:cs="仿宋"/>
          <w:color w:val="000000" w:themeColor="text1"/>
          <w:sz w:val="24"/>
        </w:rPr>
        <w:t>；</w:t>
      </w:r>
    </w:p>
    <w:p>
      <w:pPr>
        <w:snapToGrid w:val="0"/>
        <w:spacing w:line="288" w:lineRule="auto"/>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2.2.18投标人需要说明的其他文件和说明（格式自拟）。</w:t>
      </w:r>
    </w:p>
    <w:p>
      <w:pPr>
        <w:snapToGrid w:val="0"/>
        <w:spacing w:line="288" w:lineRule="auto"/>
        <w:ind w:firstLine="480" w:firstLineChars="200"/>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以上文件组成“商务技术（资信）文件资料”。投标人在“商务技术（资信）文件资料”中应对招标文件作实质性响应，该项内容将作为评标重要指标。</w:t>
      </w:r>
    </w:p>
    <w:p>
      <w:pPr>
        <w:snapToGrid w:val="0"/>
        <w:spacing w:line="288" w:lineRule="auto"/>
        <w:ind w:firstLine="480" w:firstLineChars="200"/>
        <w:jc w:val="left"/>
        <w:rPr>
          <w:rFonts w:ascii="仿宋" w:hAnsi="仿宋" w:eastAsia="仿宋" w:cs="仿宋"/>
          <w:color w:val="000000" w:themeColor="text1"/>
          <w:kern w:val="0"/>
          <w:sz w:val="24"/>
          <w:lang w:val="zh-CN"/>
        </w:rPr>
      </w:pPr>
      <w:r>
        <w:rPr>
          <w:rFonts w:hint="eastAsia" w:ascii="仿宋" w:hAnsi="仿宋" w:eastAsia="仿宋" w:cs="仿宋"/>
          <w:color w:val="000000" w:themeColor="text1"/>
          <w:kern w:val="0"/>
          <w:sz w:val="24"/>
          <w:lang w:val="zh-CN"/>
        </w:rPr>
        <w:t>投标人不按招标文件的要求提供的投标文件，可能会被评标委员会视为未实质性响应，其风险应由投标人自行承担。</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3.投标报价</w:t>
      </w:r>
    </w:p>
    <w:p>
      <w:pPr>
        <w:pStyle w:val="15"/>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3.1投标人应按招标文件中《开标一览表》等附表要求填写。</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3.2报价为采购人可以合格使用产品的价格，包括货款、包装、运输、保险、货到就位以及安装、调试、培训、保修及产品知识产权等一切费用。</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3.3招标文件未列明，而投标人认为必需的费用也需列入报价。</w:t>
      </w:r>
    </w:p>
    <w:p>
      <w:pPr>
        <w:tabs>
          <w:tab w:val="left" w:pos="525"/>
        </w:tabs>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w:t>
      </w:r>
      <w:r>
        <w:rPr>
          <w:rFonts w:hint="eastAsia" w:ascii="仿宋" w:hAnsi="仿宋" w:eastAsia="仿宋" w:cs="仿宋"/>
          <w:b/>
          <w:i/>
          <w:color w:val="000000" w:themeColor="text1"/>
          <w:sz w:val="24"/>
        </w:rPr>
        <w:t>投标报价只允许有一个报价，有选择的报价将不予接受（除指定外）。</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4.投标文件的有效期</w:t>
      </w:r>
    </w:p>
    <w:p>
      <w:pPr>
        <w:pStyle w:val="15"/>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4.1投标有效期为从提交投标文件的截止之日起90天。</w:t>
      </w:r>
      <w:r>
        <w:rPr>
          <w:rFonts w:hint="eastAsia" w:ascii="仿宋" w:hAnsi="仿宋" w:eastAsia="仿宋" w:cs="仿宋"/>
          <w:b/>
          <w:bCs/>
          <w:color w:val="000000" w:themeColor="text1"/>
          <w:sz w:val="24"/>
        </w:rPr>
        <w:t>投标人的投标文件中承诺的投标有效期少于招标文件中载明的投标有效期的，投标无效。</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4.2在特殊情况下，招标人可与投标人协商延长投标书的有效期，这种要求和答复均以书面形式进行。</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4.3投标人可拒绝接受延期要求而不会导致投标保证金被没收。同意延长有效期的投标人不能修改投标文件。</w:t>
      </w:r>
    </w:p>
    <w:p>
      <w:pPr>
        <w:snapToGrid w:val="0"/>
        <w:spacing w:line="288" w:lineRule="auto"/>
        <w:jc w:val="left"/>
        <w:rPr>
          <w:rFonts w:ascii="仿宋" w:hAnsi="仿宋" w:eastAsia="仿宋" w:cs="仿宋"/>
          <w:b/>
          <w:color w:val="000000" w:themeColor="text1"/>
          <w:sz w:val="24"/>
          <w:u w:val="single"/>
        </w:rPr>
      </w:pPr>
      <w:r>
        <w:rPr>
          <w:rFonts w:hint="eastAsia" w:ascii="仿宋" w:hAnsi="仿宋" w:eastAsia="仿宋" w:cs="仿宋"/>
          <w:b/>
          <w:color w:val="000000" w:themeColor="text1"/>
          <w:sz w:val="24"/>
          <w:u w:val="single"/>
        </w:rPr>
        <w:t>5.投标文件的规定</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5.1投标文件由“商务技术（资信）文件资料”、“报价文件资料”两部分文件组成，应按统一格式填写。</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5.2投标文件须按附件格式要求进行电子签章，投标人应写全称。</w:t>
      </w:r>
    </w:p>
    <w:p>
      <w:pPr>
        <w:pStyle w:val="15"/>
        <w:spacing w:line="288" w:lineRule="auto"/>
        <w:jc w:val="left"/>
        <w:rPr>
          <w:rFonts w:ascii="仿宋" w:hAnsi="仿宋" w:eastAsia="仿宋" w:cs="仿宋"/>
          <w:color w:val="000000" w:themeColor="text1"/>
          <w:sz w:val="24"/>
          <w:szCs w:val="24"/>
        </w:rPr>
      </w:pPr>
      <w:r>
        <w:rPr>
          <w:rFonts w:hint="eastAsia" w:ascii="仿宋" w:hAnsi="仿宋" w:eastAsia="仿宋" w:cs="仿宋"/>
          <w:color w:val="000000" w:themeColor="text1"/>
          <w:sz w:val="24"/>
          <w:szCs w:val="24"/>
        </w:rPr>
        <w:t>5.3投标文件不得涂改，若有修改错漏处，须加盖单位公章或者法定代表人或其授权代表签字或盖章。</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5.4投标文件因字迹潦草或表达不清所引起的后果由投标人负责。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5.5投标人应认真阅读招标文件中所有的内容。如果投标人编制的投标文件实质上不响应招标文件的要求，其投标文件将被招标人拒绝。</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5.6电子投标文件部分：投标人应根据“政采云供应商项目采购-电子招投标操作指南”及本招标文件规定的格式和顺序编制电子投标文件并进行关联定位。</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6.投标文件的提交</w:t>
      </w:r>
    </w:p>
    <w:p>
      <w:pPr>
        <w:snapToGrid w:val="0"/>
        <w:spacing w:line="288" w:lineRule="auto"/>
        <w:ind w:firstLine="480" w:firstLineChars="200"/>
        <w:jc w:val="left"/>
        <w:rPr>
          <w:rFonts w:ascii="仿宋" w:hAnsi="仿宋" w:eastAsia="仿宋" w:cs="仿宋"/>
          <w:b/>
          <w:color w:val="000000" w:themeColor="text1"/>
          <w:sz w:val="24"/>
        </w:rPr>
      </w:pPr>
      <w:r>
        <w:rPr>
          <w:rFonts w:hint="eastAsia" w:ascii="仿宋" w:hAnsi="仿宋" w:eastAsia="仿宋" w:cs="仿宋"/>
          <w:color w:val="000000" w:themeColor="text1"/>
          <w:sz w:val="24"/>
        </w:rPr>
        <w:t>投标人应按“招标公告”规定的时间、方式将投标文件提交给采购代理机构，</w:t>
      </w:r>
      <w:r>
        <w:rPr>
          <w:rFonts w:hint="eastAsia" w:ascii="仿宋" w:hAnsi="仿宋" w:eastAsia="仿宋" w:cs="仿宋"/>
          <w:b/>
          <w:color w:val="000000" w:themeColor="text1"/>
          <w:sz w:val="24"/>
        </w:rPr>
        <w:t>采购代理机构将拒绝接受逾期提交的投标文件。</w:t>
      </w:r>
    </w:p>
    <w:p>
      <w:pPr>
        <w:widowControl/>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7.</w:t>
      </w:r>
      <w:r>
        <w:rPr>
          <w:rFonts w:hint="eastAsia" w:ascii="仿宋" w:hAnsi="仿宋" w:eastAsia="仿宋" w:cs="仿宋"/>
          <w:b/>
          <w:color w:val="000000" w:themeColor="text1"/>
          <w:kern w:val="0"/>
          <w:sz w:val="24"/>
        </w:rPr>
        <w:t>投标文件的补充和修改</w:t>
      </w:r>
    </w:p>
    <w:p>
      <w:pPr>
        <w:spacing w:line="288" w:lineRule="auto"/>
        <w:ind w:firstLine="480" w:firstLineChars="200"/>
        <w:jc w:val="left"/>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288" w:lineRule="auto"/>
        <w:jc w:val="center"/>
        <w:rPr>
          <w:rFonts w:ascii="仿宋" w:hAnsi="仿宋" w:eastAsia="仿宋" w:cs="仿宋"/>
          <w:b/>
          <w:color w:val="000000" w:themeColor="text1"/>
          <w:sz w:val="32"/>
          <w:szCs w:val="32"/>
        </w:rPr>
      </w:pPr>
      <w:r>
        <w:rPr>
          <w:rFonts w:hint="eastAsia" w:ascii="仿宋" w:hAnsi="仿宋" w:eastAsia="仿宋" w:cs="仿宋"/>
          <w:b/>
          <w:color w:val="000000" w:themeColor="text1"/>
          <w:sz w:val="32"/>
          <w:szCs w:val="32"/>
        </w:rPr>
        <w:t>四、开标和评标</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1.电子招投标开标及评审程序</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1.1投标截止时间后，主持人宣布开标会开始。</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1.2投标人登录政采云平台，用“项目采购-开标评标”功能对电子投标文件进行在线解密。在线解密电子投标文件时间为开标时间起30分钟内。</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1.3评标委员会对资格和商务技术响应文件进行评审；</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1.4主持人宣布商务技术得分及无效（废）投标情形（如有），公布经商务技术（资信）评审符合招标文件要求的投标人名单及其商务技术得分。</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1.5启封报价文件资料，主持人宣读投标人名称、投标价格和投标文件的其他内容。未宣读的投标报价和招标文件未允许提供的备选投标方案等实质性内容，评标时不予承认。</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1.6评标委员会对投标文件报价文件资料进行评审，核准投标报价及计算价格分，汇总商务技术分、价格分，根据得分排序确定中标候选人。</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1.7主持人公布评标结果。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特别说明：政采云公司如对电子化开标及评审程序有调整的，按调整后的程序操作。</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2.采购过程中出现以下情形，导致电子交易平台无法正常运行，或者无法保证电子交易的公平、公正和安全时，采购组织机构可中止电子交易活动：</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2.1电子交易平台发生故障而无法登录访问的；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2.2电子交易平台应用或数据库出现错误，不能进行正常操作的；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2.3电子交易平台发现严重安全漏洞，有潜在泄密危险的；</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2.4病毒发作导致不能进行正常操作的； </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2.5其他无法保证电子交易的公平、公正和安全的情况。</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3.评标</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3.1评标委员会由招标采购单位依法组建，负责评标活动。评标委员会遵循公开、公平、公正、科学合理、竞争择优的原则。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3.2评标委员会由采购人代表和有关方面的专家组成，成员人数为五人以上单数。</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3.3评标委员会负责对投标人资格的最终审定。</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3.4评标委员会可以要求投标人对其投标文件中含义不明确的内容作必要的澄清或者说明，但澄清或者说明不得超过投标文件的范围或者改变投标文件的实质性内容。</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供应商通过政采云平台交换的数据电文必须进行电子签章。</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3.5</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对投标文件的判定，只依据投标文件和招标文件内容本身，不依据任何外来证明。</w:t>
      </w:r>
    </w:p>
    <w:p>
      <w:pPr>
        <w:widowControl/>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sz w:val="24"/>
        </w:rPr>
        <w:t>3.6评标委员会不向落标方解释落标的原因。</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4．投标文件的初审鉴定</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4.1资格性审查</w:t>
      </w:r>
    </w:p>
    <w:p>
      <w:pPr>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4.1.1依据法律、法规和招标文件规定，评标委员会对投标人进行资格审查，以确定投标人是否具备投标资格。</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4.2符合性审查</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 xml:space="preserve">5. </w:t>
      </w:r>
      <w:r>
        <w:rPr>
          <w:rFonts w:hint="eastAsia" w:ascii="仿宋" w:hAnsi="仿宋" w:eastAsia="仿宋" w:cs="仿宋"/>
          <w:b/>
          <w:color w:val="000000" w:themeColor="text1"/>
          <w:sz w:val="24"/>
        </w:rPr>
        <w:t>投标文件报价出现前后不一致的，按照下列规定修正：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5.1投标文件中开标一览表（报价表）内容与投标文件中相应内容不一致的，以开标一览表（报价表）为准；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5.2大写金额和小写金额不一致的，以大写金额为准；</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5.3单价金额小数点或者百分比有明显错位的，以开标一览表的总价为准，并修改单价；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5.4总价金额与按单价汇总金额不一致的，以单价金额计算结果为准。</w:t>
      </w:r>
    </w:p>
    <w:p>
      <w:pPr>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同时出现两种以上不一致的，按照前款规定的顺序修正。</w:t>
      </w:r>
      <w:r>
        <w:rPr>
          <w:rFonts w:hint="eastAsia" w:ascii="仿宋" w:hAnsi="仿宋" w:eastAsia="仿宋" w:cs="仿宋"/>
          <w:bCs/>
          <w:color w:val="000000" w:themeColor="text1"/>
          <w:sz w:val="24"/>
        </w:rPr>
        <w:t>修正后的报价按照财政部公布第87号令 《政府采购货物和服务招标投标管理办法》</w:t>
      </w:r>
      <w:r>
        <w:rPr>
          <w:rFonts w:hint="eastAsia" w:ascii="仿宋" w:hAnsi="仿宋" w:eastAsia="仿宋" w:cs="仿宋"/>
          <w:color w:val="000000" w:themeColor="text1"/>
          <w:sz w:val="24"/>
        </w:rPr>
        <w:t>第五十一条第二款的规定经投标人确认后产生约束力，投标人不确认的，其投标无效。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6.投标文件的评审、比较和否决</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6.1评标委员会将对在实质上响应招标文件要求的投标文件进行评估和比较。</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6.3在评标过程中，如发现与招标文件要求相偏离的，评标委员会可对其偏离情形进行必要的核实。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6.4在评审过程中，如属于实质性偏离或符合无效响应条件的，应当询问相关投标人，并可对其通过政采云平台进行线上确认，但不允许对偏离条款进行补充、修正或撤回。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6.5比较与评价。评标委员会应当按照评标标准，对符合性审查合格的投标文件进行商务和技术评估，综合比较与评价。</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6.6汇总（商务技术得分情况）。评标委员会各成员应当独立对每个投标人的商务技术（资信）文件进行评价，并汇总商务技术得分情况。</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 报价审核。对符合采购需求且通过商务技术（资信）评审的投标人的报价的合理性、准确性等进行审查核实。</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6.7.3如需投标价格修正，按财政部87号令第五十九条的规定对投标价格进行修正。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6.8评标委员会依据招标文件规定的评标标准和方法，对投标文件进行评审和比较后，向耀华建设管理有限公司提供书面评标报告，并按得分高低排序推荐中标候选供应商。</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8.投标文件的澄清</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9．无效投标的情形</w:t>
      </w:r>
    </w:p>
    <w:p>
      <w:pPr>
        <w:tabs>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投标文件有下列情形之一的作无效投标处理：</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9.1未按照招标文件规定要求签署、盖章的；</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9.2单位负责人为同一人或者存在直接控股、管理关系的不同供应商参加同一合同项下的政府采购活动的（均无效）；</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 xml:space="preserve">9.3为采购项目提供整体设计、规范编制或者项目管理、监理、检测等服务的供应商参加该采购项目的其他采购活动的； </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9.4投标人不具备招标文件中规定的资格要求的（投标人未提供有效的资格证明文件的，视为投标人不具备招标文件中规定的资格要求）；</w:t>
      </w:r>
    </w:p>
    <w:p>
      <w:pPr>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9.5《法定代表人身份证明书》与提供的身份证复印件信息不符的；《法定代表人授权委托书》与提供的身份证复印件信息不符的；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9.6《法定代表人授权委托书》或《法定代表人身份证明书》填写不全、错误、未加盖公章(《法定代表人授权委托书》要求“公章”和“签字或盖章”缺一不可）的；</w:t>
      </w:r>
    </w:p>
    <w:p>
      <w:pPr>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9.7授权代表非投标单位正式职工的（以社保证明为准，如授权代表为离退休返聘人员的，需提供退休证明及单位聘用证明）；</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9.8投标文件中的投标函未加盖投标人的企业公章或填写不全的；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9.9报</w:t>
      </w:r>
      <w:r>
        <w:rPr>
          <w:rFonts w:hint="eastAsia" w:ascii="仿宋" w:hAnsi="仿宋" w:eastAsia="仿宋" w:cs="仿宋"/>
          <w:b/>
          <w:color w:val="000000" w:themeColor="text1"/>
          <w:sz w:val="24"/>
        </w:rPr>
        <w:t>价一经涂改，未在涂改处加盖投标单位公章或者未经法定代表人或其授权代表签字或盖章的；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kern w:val="0"/>
          <w:sz w:val="24"/>
        </w:rPr>
        <w:t>9.10</w:t>
      </w:r>
      <w:r>
        <w:rPr>
          <w:rFonts w:hint="eastAsia" w:ascii="仿宋" w:hAnsi="仿宋" w:eastAsia="仿宋" w:cs="仿宋"/>
          <w:b/>
          <w:color w:val="000000" w:themeColor="text1"/>
          <w:sz w:val="24"/>
        </w:rPr>
        <w:t>未按招标文件规定的格式填写，或</w:t>
      </w:r>
      <w:r>
        <w:rPr>
          <w:rFonts w:hint="eastAsia" w:ascii="仿宋" w:hAnsi="仿宋" w:eastAsia="仿宋" w:cs="仿宋"/>
          <w:b/>
          <w:color w:val="000000" w:themeColor="text1"/>
          <w:sz w:val="24"/>
          <w:szCs w:val="20"/>
        </w:rPr>
        <w:t>对招标</w:t>
      </w:r>
      <w:r>
        <w:rPr>
          <w:rFonts w:hint="eastAsia" w:ascii="仿宋" w:hAnsi="仿宋" w:eastAsia="仿宋" w:cs="仿宋"/>
          <w:b/>
          <w:color w:val="000000" w:themeColor="text1"/>
          <w:sz w:val="24"/>
        </w:rPr>
        <w:t>服务或技术或产品等要求</w:t>
      </w:r>
      <w:r>
        <w:rPr>
          <w:rFonts w:hint="eastAsia" w:ascii="仿宋" w:hAnsi="仿宋" w:eastAsia="仿宋" w:cs="仿宋"/>
          <w:b/>
          <w:color w:val="000000" w:themeColor="text1"/>
          <w:sz w:val="24"/>
          <w:szCs w:val="20"/>
        </w:rPr>
        <w:t>未详细应答或应答</w:t>
      </w:r>
      <w:r>
        <w:rPr>
          <w:rFonts w:hint="eastAsia" w:ascii="仿宋" w:hAnsi="仿宋" w:eastAsia="仿宋" w:cs="仿宋"/>
          <w:b/>
          <w:color w:val="000000" w:themeColor="text1"/>
          <w:sz w:val="24"/>
        </w:rPr>
        <w:t>内容不全、有缺失的,经评标委员会认定为无法评审的；</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9.11出现同一标的物或本次招标产品(服务)内的主要产品(重要组成部分)出现</w:t>
      </w:r>
      <w:r>
        <w:rPr>
          <w:rFonts w:hint="eastAsia" w:ascii="仿宋" w:hAnsi="仿宋" w:eastAsia="仿宋" w:cs="仿宋"/>
          <w:b/>
          <w:color w:val="000000" w:themeColor="text1"/>
          <w:sz w:val="24"/>
        </w:rPr>
        <w:t>商务技术（资信）文件资料</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报价文件资料</w:t>
      </w:r>
      <w:r>
        <w:rPr>
          <w:rFonts w:hint="eastAsia" w:ascii="仿宋" w:hAnsi="仿宋" w:eastAsia="仿宋" w:cs="仿宋"/>
          <w:b/>
          <w:color w:val="000000" w:themeColor="text1"/>
          <w:sz w:val="24"/>
          <w:szCs w:val="24"/>
        </w:rPr>
        <w:t>描述不一致或前后描述不一致，经评标委员会认定后为无法评审的；</w:t>
      </w:r>
    </w:p>
    <w:p>
      <w:pPr>
        <w:pStyle w:val="15"/>
        <w:snapToGrid w:val="0"/>
        <w:spacing w:line="288" w:lineRule="auto"/>
        <w:jc w:val="left"/>
        <w:rPr>
          <w:rFonts w:ascii="仿宋" w:hAnsi="仿宋" w:eastAsia="仿宋" w:cs="仿宋"/>
          <w:b/>
          <w:color w:val="000000" w:themeColor="text1"/>
          <w:sz w:val="24"/>
          <w:szCs w:val="24"/>
        </w:rPr>
      </w:pPr>
      <w:r>
        <w:rPr>
          <w:rFonts w:hint="eastAsia" w:ascii="仿宋" w:hAnsi="仿宋" w:eastAsia="仿宋" w:cs="仿宋"/>
          <w:b/>
          <w:color w:val="000000" w:themeColor="text1"/>
          <w:sz w:val="24"/>
          <w:szCs w:val="24"/>
        </w:rPr>
        <w:t>9.12《技</w:t>
      </w:r>
      <w:r>
        <w:rPr>
          <w:rFonts w:hint="eastAsia" w:ascii="仿宋" w:hAnsi="仿宋" w:eastAsia="仿宋" w:cs="仿宋"/>
          <w:b/>
          <w:color w:val="000000" w:themeColor="text1"/>
          <w:sz w:val="24"/>
        </w:rPr>
        <w:t>术偏离说明表</w:t>
      </w:r>
      <w:r>
        <w:rPr>
          <w:rFonts w:hint="eastAsia" w:ascii="仿宋" w:hAnsi="仿宋" w:eastAsia="仿宋" w:cs="仿宋"/>
          <w:b/>
          <w:color w:val="000000" w:themeColor="text1"/>
          <w:sz w:val="24"/>
          <w:szCs w:val="24"/>
        </w:rPr>
        <w:t>》</w:t>
      </w:r>
      <w:r>
        <w:rPr>
          <w:rFonts w:hint="eastAsia" w:ascii="仿宋" w:hAnsi="仿宋" w:eastAsia="仿宋" w:cs="仿宋"/>
          <w:b/>
          <w:color w:val="000000" w:themeColor="text1"/>
          <w:sz w:val="24"/>
        </w:rPr>
        <w:t>不真实填写或弄虚作假的；</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sz w:val="24"/>
        </w:rPr>
        <w:t>9.13投</w:t>
      </w:r>
      <w:r>
        <w:rPr>
          <w:rFonts w:hint="eastAsia" w:ascii="仿宋" w:hAnsi="仿宋" w:eastAsia="仿宋" w:cs="仿宋"/>
          <w:b/>
          <w:color w:val="000000" w:themeColor="text1"/>
          <w:kern w:val="0"/>
          <w:sz w:val="24"/>
        </w:rPr>
        <w:t>标文件含有采购人不能接受的附加条件；</w:t>
      </w:r>
    </w:p>
    <w:p>
      <w:pPr>
        <w:tabs>
          <w:tab w:val="left" w:pos="3870"/>
          <w:tab w:val="left" w:pos="4085"/>
        </w:tabs>
        <w:snapToGrid w:val="0"/>
        <w:spacing w:line="288" w:lineRule="auto"/>
        <w:jc w:val="left"/>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9.14评</w:t>
      </w:r>
      <w:r>
        <w:rPr>
          <w:rFonts w:hint="eastAsia" w:ascii="仿宋" w:hAnsi="仿宋" w:eastAsia="仿宋" w:cs="仿宋"/>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9.15报价超过招标文件中规定的预算金额或最高限价的；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9.16投标文件“商务技术（资信）文件资料”部分中出现《开标一览表》相关内容的；</w:t>
      </w:r>
    </w:p>
    <w:p>
      <w:pPr>
        <w:tabs>
          <w:tab w:val="left" w:pos="3870"/>
          <w:tab w:val="left" w:pos="4085"/>
        </w:tabs>
        <w:snapToGrid w:val="0"/>
        <w:spacing w:line="288" w:lineRule="auto"/>
        <w:jc w:val="left"/>
        <w:rPr>
          <w:rFonts w:ascii="仿宋" w:hAnsi="仿宋" w:eastAsia="仿宋" w:cs="仿宋"/>
          <w:b/>
          <w:color w:val="000000" w:themeColor="text1"/>
          <w:sz w:val="24"/>
          <w:szCs w:val="21"/>
        </w:rPr>
      </w:pPr>
      <w:r>
        <w:rPr>
          <w:rFonts w:hint="eastAsia" w:ascii="仿宋" w:hAnsi="仿宋" w:eastAsia="仿宋" w:cs="仿宋"/>
          <w:b/>
          <w:color w:val="000000" w:themeColor="text1"/>
          <w:sz w:val="24"/>
          <w:szCs w:val="21"/>
        </w:rPr>
        <w:t>9.17采购人拟采购的产品属于政府强制采购的节能产品品目清单范围的，投标人未按招标文件要求提供国家确定的认证机构出具的、处于有效期之内的节能产品认证证书的；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9.18《开标一览表》填写不完整或字迹不能辨认或有漏项的，经评标委员会认定属于重大偏差的；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9.19投标人对根据修正原则修正后的报价不确认的；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9.20投标人提供虚假材料投标的（包括但不限于以下情节）；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9.20.1使用伪造、变造的许可证件；</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9.20.2提供虚假的财务状况或者业绩；</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9.20.3提供虚假的项目负责人或者主要技术人员简历、劳动关系证明；</w:t>
      </w:r>
    </w:p>
    <w:p>
      <w:pPr>
        <w:tabs>
          <w:tab w:val="left" w:pos="3870"/>
          <w:tab w:val="left" w:pos="4085"/>
        </w:tabs>
        <w:snapToGrid w:val="0"/>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 xml:space="preserve">    9.20.4提供虚假的信用状况；</w:t>
      </w:r>
    </w:p>
    <w:p>
      <w:pPr>
        <w:tabs>
          <w:tab w:val="left" w:pos="3870"/>
          <w:tab w:val="left" w:pos="4085"/>
        </w:tabs>
        <w:snapToGrid w:val="0"/>
        <w:spacing w:line="288" w:lineRule="auto"/>
        <w:ind w:firstLine="480"/>
        <w:jc w:val="left"/>
        <w:rPr>
          <w:rFonts w:ascii="仿宋" w:hAnsi="仿宋" w:eastAsia="仿宋" w:cs="仿宋"/>
          <w:color w:val="000000" w:themeColor="text1"/>
          <w:sz w:val="24"/>
        </w:rPr>
      </w:pPr>
      <w:r>
        <w:rPr>
          <w:rFonts w:hint="eastAsia" w:ascii="仿宋" w:hAnsi="仿宋" w:eastAsia="仿宋" w:cs="仿宋"/>
          <w:color w:val="000000" w:themeColor="text1"/>
          <w:sz w:val="24"/>
        </w:rPr>
        <w:t>9.20.5其他弄虚作假的行为。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9.21下列情形之一的，视为投标人串通投标，其投标无效：</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9.21.1不同投标人的投标文件由同一单位或者个人编制；</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9.21.2不同投标人委托同一单位或者个人办理投标事宜；</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9.21.3不同投标人的投标文件载明的项目管理成员或者联系人员为同一人；</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9.21.4不同投标人的投标文件异常一致或者投标报价呈规律性差异；</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9.21.5不同投标人的投标文件相互混装；</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9.22有下列情形之一的，属于恶意串通，其投标无效：</w:t>
      </w:r>
    </w:p>
    <w:p>
      <w:pPr>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9.22.1供应商直接或者间接从采购人或者采购代理机构处获得其他供应商的相关情况并修改其投标文件或者响应文件；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9.22.2供应商按照采购人或者采购代理机构的授意撤换、修改投标文件或者响应文件；</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9.22.3供应商之间协商报价、技术方案等投标文件或者响应文件的实质性内容；</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9.22.4属于同一集团、协会、商会等组织成员的供应商按照该组织要求协同参加政府采购活动；</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9.22.5供应商之间事先约定由某一特定供应商中标、成交；</w:t>
      </w:r>
    </w:p>
    <w:p>
      <w:pPr>
        <w:spacing w:line="288" w:lineRule="auto"/>
        <w:ind w:firstLine="480" w:firstLineChars="200"/>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9.22.6供应商之间商定部分供应商放弃参加政府采购活动或者放弃中标、成交；</w:t>
      </w:r>
    </w:p>
    <w:p>
      <w:pPr>
        <w:tabs>
          <w:tab w:val="left" w:pos="3870"/>
          <w:tab w:val="left" w:pos="4085"/>
        </w:tabs>
        <w:snapToGrid w:val="0"/>
        <w:spacing w:line="288" w:lineRule="auto"/>
        <w:ind w:firstLine="480" w:firstLineChars="200"/>
        <w:jc w:val="left"/>
        <w:rPr>
          <w:rFonts w:ascii="仿宋" w:hAnsi="仿宋" w:eastAsia="仿宋" w:cs="仿宋"/>
          <w:color w:val="000000" w:themeColor="text1"/>
          <w:sz w:val="24"/>
          <w:szCs w:val="21"/>
        </w:rPr>
      </w:pPr>
      <w:r>
        <w:rPr>
          <w:rFonts w:hint="eastAsia" w:ascii="仿宋" w:hAnsi="仿宋" w:eastAsia="仿宋" w:cs="仿宋"/>
          <w:color w:val="000000" w:themeColor="text1"/>
          <w:sz w:val="24"/>
          <w:szCs w:val="21"/>
        </w:rPr>
        <w:t>9.22.7供应商与采购人或者采购代理机构之间、供应商相互之间，为谋求特定供应商中标、成交或者排斥其他供应商的其他串通行为。</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szCs w:val="21"/>
        </w:rPr>
        <w:t>9.23</w:t>
      </w:r>
      <w:r>
        <w:rPr>
          <w:rFonts w:hint="eastAsia" w:ascii="仿宋" w:hAnsi="仿宋" w:eastAsia="仿宋" w:cs="仿宋"/>
          <w:b/>
          <w:color w:val="000000" w:themeColor="text1"/>
          <w:sz w:val="24"/>
        </w:rPr>
        <w:t>评标委员会认定有重大偏差或实质性不响应招标文件要求的；</w:t>
      </w:r>
    </w:p>
    <w:p>
      <w:pPr>
        <w:tabs>
          <w:tab w:val="left" w:pos="3870"/>
          <w:tab w:val="left" w:pos="4085"/>
        </w:tabs>
        <w:snapToGrid w:val="0"/>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9.24报价文件中出现2个(含)以上的报价或方案的；</w:t>
      </w:r>
    </w:p>
    <w:p>
      <w:pPr>
        <w:spacing w:line="288" w:lineRule="auto"/>
        <w:rPr>
          <w:rFonts w:ascii="仿宋" w:hAnsi="仿宋" w:eastAsia="仿宋" w:cs="仿宋"/>
          <w:color w:val="000000" w:themeColor="text1"/>
        </w:rPr>
      </w:pPr>
      <w:r>
        <w:rPr>
          <w:rFonts w:hint="eastAsia" w:ascii="仿宋" w:hAnsi="仿宋" w:eastAsia="仿宋" w:cs="仿宋"/>
          <w:b/>
          <w:color w:val="000000" w:themeColor="text1"/>
          <w:sz w:val="24"/>
        </w:rPr>
        <w:t>9.25其他违反法律、法规的情形。</w:t>
      </w:r>
    </w:p>
    <w:p>
      <w:pPr>
        <w:snapToGrid w:val="0"/>
        <w:spacing w:line="288" w:lineRule="auto"/>
        <w:rPr>
          <w:rFonts w:ascii="仿宋" w:hAnsi="仿宋" w:eastAsia="仿宋" w:cs="仿宋"/>
          <w:b/>
          <w:color w:val="000000" w:themeColor="text1"/>
          <w:kern w:val="0"/>
          <w:sz w:val="24"/>
        </w:rPr>
      </w:pPr>
      <w:r>
        <w:rPr>
          <w:rFonts w:hint="eastAsia" w:ascii="仿宋" w:hAnsi="仿宋" w:eastAsia="仿宋" w:cs="仿宋"/>
          <w:b/>
          <w:color w:val="000000" w:themeColor="text1"/>
          <w:kern w:val="0"/>
          <w:sz w:val="24"/>
        </w:rPr>
        <w:t>10. 评标过程保密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10.1</w:t>
      </w:r>
      <w:r>
        <w:rPr>
          <w:rFonts w:hint="eastAsia" w:ascii="仿宋" w:hAnsi="仿宋" w:eastAsia="仿宋" w:cs="仿宋"/>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代理机构工作人员、相关监督人员等与评审有关的人员应当予以保密。</w:t>
      </w:r>
    </w:p>
    <w:p>
      <w:pPr>
        <w:snapToGrid w:val="0"/>
        <w:spacing w:line="288" w:lineRule="auto"/>
        <w:rPr>
          <w:rFonts w:ascii="仿宋" w:hAnsi="仿宋" w:eastAsia="仿宋" w:cs="仿宋"/>
          <w:color w:val="000000" w:themeColor="text1"/>
          <w:kern w:val="0"/>
          <w:sz w:val="24"/>
        </w:rPr>
      </w:pPr>
      <w:r>
        <w:rPr>
          <w:rFonts w:hint="eastAsia" w:ascii="仿宋" w:hAnsi="仿宋" w:eastAsia="仿宋" w:cs="仿宋"/>
          <w:color w:val="000000" w:themeColor="text1"/>
          <w:kern w:val="0"/>
          <w:sz w:val="24"/>
        </w:rPr>
        <w:t>10.2 在评标期间，投标人企图影响招标人或</w:t>
      </w:r>
      <w:r>
        <w:rPr>
          <w:rFonts w:hint="eastAsia" w:ascii="仿宋" w:hAnsi="仿宋" w:eastAsia="仿宋" w:cs="仿宋"/>
          <w:color w:val="000000" w:themeColor="text1"/>
          <w:sz w:val="24"/>
        </w:rPr>
        <w:t>评标委员会</w:t>
      </w:r>
      <w:r>
        <w:rPr>
          <w:rFonts w:hint="eastAsia" w:ascii="仿宋" w:hAnsi="仿宋" w:eastAsia="仿宋" w:cs="仿宋"/>
          <w:color w:val="000000" w:themeColor="text1"/>
          <w:kern w:val="0"/>
          <w:sz w:val="24"/>
        </w:rPr>
        <w:t>的任何活动，都将导致投标被拒绝，并由其承担相应的法律责任。</w:t>
      </w:r>
    </w:p>
    <w:p>
      <w:pPr>
        <w:pStyle w:val="15"/>
        <w:spacing w:line="288" w:lineRule="auto"/>
        <w:ind w:firstLine="726"/>
        <w:jc w:val="center"/>
        <w:rPr>
          <w:rFonts w:ascii="仿宋" w:hAnsi="仿宋" w:eastAsia="仿宋" w:cs="仿宋"/>
          <w:b/>
          <w:color w:val="000000" w:themeColor="text1"/>
          <w:sz w:val="36"/>
          <w:szCs w:val="36"/>
        </w:rPr>
      </w:pPr>
      <w:bookmarkStart w:id="3" w:name="_Toc81372776"/>
      <w:bookmarkStart w:id="4" w:name="_Toc84325929"/>
      <w:bookmarkStart w:id="5" w:name="_Toc81372953"/>
      <w:r>
        <w:rPr>
          <w:rFonts w:hint="eastAsia" w:ascii="仿宋" w:hAnsi="仿宋" w:eastAsia="仿宋" w:cs="仿宋"/>
          <w:b/>
          <w:color w:val="000000" w:themeColor="text1"/>
          <w:sz w:val="36"/>
          <w:szCs w:val="36"/>
        </w:rPr>
        <w:t>五、授予合同</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1.中标条件</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1.1投标文件基本符合招标文件要求；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1.2投标人有很好的执行合同的能力；</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1.3实施方案最合理并对招标人最为有利，最大限度满足招标文件的要求；</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1.4投标人能够提供质量技术、商务经济占综合优势的系统及服务。</w:t>
      </w:r>
    </w:p>
    <w:p>
      <w:pPr>
        <w:spacing w:line="288" w:lineRule="auto"/>
        <w:jc w:val="left"/>
        <w:rPr>
          <w:rFonts w:ascii="仿宋" w:hAnsi="仿宋" w:eastAsia="仿宋" w:cs="仿宋"/>
          <w:bCs/>
          <w:color w:val="000000" w:themeColor="text1"/>
          <w:sz w:val="24"/>
        </w:rPr>
      </w:pPr>
      <w:r>
        <w:rPr>
          <w:rFonts w:hint="eastAsia" w:ascii="仿宋" w:hAnsi="仿宋" w:eastAsia="仿宋" w:cs="仿宋"/>
          <w:bCs/>
          <w:color w:val="000000" w:themeColor="text1"/>
          <w:sz w:val="24"/>
        </w:rPr>
        <w:t>1.5招标人将把中标通知书授予最佳投标者，但最低价不是中标的绝对保证。</w:t>
      </w:r>
    </w:p>
    <w:bookmarkEnd w:id="3"/>
    <w:bookmarkEnd w:id="4"/>
    <w:bookmarkEnd w:id="5"/>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2.中标确认</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2.1采购人应当自收到评标报告之日起５个工作日内，在评标报告确定的中标候选人名单中按顺序确定中标人。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2.2采购人在收到评标报告5个工作日内未按评标报告推荐的中标候选人顺序确定中标人，视同按评标报告推荐的顺序确定的中标候选人为中标人。</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2.3采购人应在确认中标人前再次对资格条件和相关证件材料进一步查验核实。</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3.中标通知</w:t>
      </w:r>
    </w:p>
    <w:p>
      <w:pPr>
        <w:pStyle w:val="65"/>
        <w:tabs>
          <w:tab w:val="left" w:pos="0"/>
        </w:tabs>
        <w:spacing w:before="0" w:line="288" w:lineRule="auto"/>
        <w:ind w:firstLine="0" w:firstLineChars="0"/>
        <w:rPr>
          <w:rFonts w:ascii="仿宋" w:hAnsi="仿宋" w:eastAsia="仿宋" w:cs="仿宋"/>
          <w:color w:val="000000" w:themeColor="text1"/>
          <w:szCs w:val="24"/>
        </w:rPr>
      </w:pPr>
      <w:r>
        <w:rPr>
          <w:rFonts w:hint="eastAsia" w:ascii="仿宋" w:hAnsi="仿宋" w:eastAsia="仿宋" w:cs="仿宋"/>
          <w:color w:val="000000" w:themeColor="text1"/>
          <w:szCs w:val="24"/>
        </w:rPr>
        <w:t>3.1</w:t>
      </w:r>
      <w:r>
        <w:rPr>
          <w:rFonts w:hint="eastAsia" w:ascii="仿宋" w:hAnsi="仿宋" w:eastAsia="仿宋" w:cs="仿宋"/>
          <w:color w:val="000000" w:themeColor="text1"/>
          <w:kern w:val="0"/>
        </w:rPr>
        <w:t>采购代理机构</w:t>
      </w:r>
      <w:r>
        <w:rPr>
          <w:rFonts w:hint="eastAsia" w:ascii="仿宋" w:hAnsi="仿宋" w:eastAsia="仿宋" w:cs="仿宋"/>
          <w:color w:val="000000" w:themeColor="text1"/>
        </w:rPr>
        <w:t>对中标结果在指定媒体</w:t>
      </w:r>
      <w:r>
        <w:rPr>
          <w:rFonts w:hint="eastAsia" w:ascii="仿宋" w:hAnsi="仿宋" w:eastAsia="仿宋" w:cs="仿宋"/>
          <w:color w:val="000000" w:themeColor="text1"/>
          <w:kern w:val="0"/>
        </w:rPr>
        <w:t>（浙江政府采购网</w:t>
      </w:r>
      <w:r>
        <w:fldChar w:fldCharType="begin"/>
      </w:r>
      <w:r>
        <w:instrText xml:space="preserve"> HYPERLINK "http://zfcg.czt.zj.gov.cn/" </w:instrText>
      </w:r>
      <w:r>
        <w:fldChar w:fldCharType="separate"/>
      </w:r>
      <w:r>
        <w:rPr>
          <w:rStyle w:val="33"/>
          <w:rFonts w:hint="eastAsia" w:ascii="仿宋" w:hAnsi="仿宋" w:eastAsia="仿宋" w:cs="仿宋"/>
          <w:color w:val="000000" w:themeColor="text1"/>
          <w:szCs w:val="24"/>
        </w:rPr>
        <w:t>http://zfcg.czt.zj.gov.cn</w:t>
      </w:r>
      <w:r>
        <w:rPr>
          <w:rStyle w:val="33"/>
          <w:rFonts w:hint="eastAsia" w:ascii="仿宋" w:hAnsi="仿宋" w:eastAsia="仿宋" w:cs="仿宋"/>
          <w:color w:val="000000" w:themeColor="text1"/>
          <w:szCs w:val="24"/>
        </w:rPr>
        <w:fldChar w:fldCharType="end"/>
      </w:r>
      <w:r>
        <w:rPr>
          <w:rFonts w:hint="eastAsia" w:ascii="仿宋" w:hAnsi="仿宋" w:eastAsia="仿宋" w:cs="仿宋"/>
          <w:color w:val="000000" w:themeColor="text1"/>
          <w:kern w:val="0"/>
        </w:rPr>
        <w:t>、绍兴公共资源交易网</w:t>
      </w:r>
      <w:r>
        <w:fldChar w:fldCharType="begin"/>
      </w:r>
      <w:r>
        <w:instrText xml:space="preserve"> HYPERLINK "http://ggb.sx.gov.cn" </w:instrText>
      </w:r>
      <w:r>
        <w:fldChar w:fldCharType="separate"/>
      </w:r>
      <w:r>
        <w:rPr>
          <w:rStyle w:val="33"/>
          <w:rFonts w:hint="eastAsia" w:ascii="仿宋" w:hAnsi="仿宋" w:eastAsia="仿宋" w:cs="仿宋"/>
          <w:color w:val="000000" w:themeColor="text1"/>
        </w:rPr>
        <w:t>http://ggb.sx.gov.cn</w:t>
      </w:r>
      <w:r>
        <w:rPr>
          <w:rStyle w:val="33"/>
          <w:rFonts w:hint="eastAsia" w:ascii="仿宋" w:hAnsi="仿宋" w:eastAsia="仿宋" w:cs="仿宋"/>
          <w:color w:val="000000" w:themeColor="text1"/>
        </w:rPr>
        <w:fldChar w:fldCharType="end"/>
      </w:r>
      <w:r>
        <w:rPr>
          <w:rFonts w:hint="eastAsia" w:ascii="仿宋" w:hAnsi="仿宋" w:eastAsia="仿宋" w:cs="仿宋"/>
          <w:color w:val="000000" w:themeColor="text1"/>
          <w:kern w:val="0"/>
        </w:rPr>
        <w:t>）发布中标公告，中标公告期限为1个工作日。</w:t>
      </w:r>
    </w:p>
    <w:p>
      <w:pPr>
        <w:tabs>
          <w:tab w:val="left" w:pos="0"/>
        </w:tabs>
        <w:spacing w:line="288" w:lineRule="auto"/>
        <w:rPr>
          <w:rFonts w:ascii="仿宋" w:hAnsi="仿宋" w:eastAsia="仿宋" w:cs="仿宋"/>
          <w:kern w:val="0"/>
          <w:sz w:val="24"/>
          <w:lang w:val="zh-CN"/>
        </w:rPr>
      </w:pPr>
      <w:r>
        <w:rPr>
          <w:rFonts w:hint="eastAsia" w:ascii="仿宋" w:hAnsi="仿宋" w:eastAsia="仿宋" w:cs="仿宋"/>
          <w:sz w:val="24"/>
        </w:rPr>
        <w:t>3.2采购代理机构向中标供应商签发中标通知书。在采购代理机构发出中标通知书前，中标供应商如有违反有关法律法规和本项目要求行为的，则取消该投标人的中标资格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3.3采购代理机构对中标结果不作任何说明和解释，也不回答任何提问。</w:t>
      </w:r>
    </w:p>
    <w:p>
      <w:pPr>
        <w:spacing w:line="288" w:lineRule="auto"/>
        <w:jc w:val="left"/>
        <w:rPr>
          <w:rFonts w:ascii="仿宋" w:hAnsi="仿宋" w:eastAsia="仿宋" w:cs="仿宋"/>
          <w:b/>
          <w:color w:val="auto"/>
          <w:sz w:val="24"/>
        </w:rPr>
      </w:pPr>
      <w:r>
        <w:rPr>
          <w:rFonts w:hint="eastAsia" w:ascii="仿宋" w:hAnsi="仿宋" w:eastAsia="仿宋" w:cs="仿宋"/>
          <w:b/>
          <w:color w:val="auto"/>
          <w:sz w:val="24"/>
        </w:rPr>
        <w:t>4.履约保证金</w:t>
      </w:r>
    </w:p>
    <w:p>
      <w:pPr>
        <w:spacing w:line="288" w:lineRule="auto"/>
        <w:jc w:val="left"/>
        <w:rPr>
          <w:rFonts w:ascii="仿宋" w:hAnsi="仿宋" w:eastAsia="仿宋" w:cs="仿宋"/>
          <w:color w:val="auto"/>
          <w:sz w:val="24"/>
        </w:rPr>
      </w:pPr>
      <w:r>
        <w:rPr>
          <w:rFonts w:hint="eastAsia" w:ascii="仿宋" w:hAnsi="仿宋" w:eastAsia="仿宋" w:cs="仿宋"/>
          <w:color w:val="auto"/>
          <w:sz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4.2供应商在履行完合同约定事项后，采购人应及时退还履约保证金。</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4.3供应商以银行、保险公司出具保函形式提交履约保证金的，采购人不得拒收。</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5.合同备案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5.1中标人应当在中标通知书发出之日起30天内与采购人签订合同，自采购合同签订之日起</w:t>
      </w:r>
      <w:r>
        <w:rPr>
          <w:rFonts w:hint="eastAsia" w:ascii="仿宋" w:hAnsi="仿宋" w:eastAsia="仿宋" w:cs="仿宋"/>
          <w:b/>
          <w:color w:val="000000" w:themeColor="text1"/>
          <w:sz w:val="24"/>
        </w:rPr>
        <w:t>3个工作日内</w:t>
      </w:r>
      <w:r>
        <w:rPr>
          <w:rFonts w:hint="eastAsia" w:ascii="仿宋" w:hAnsi="仿宋" w:eastAsia="仿宋" w:cs="仿宋"/>
          <w:color w:val="000000" w:themeColor="text1"/>
          <w:sz w:val="24"/>
        </w:rPr>
        <w:t>，将</w:t>
      </w:r>
      <w:r>
        <w:rPr>
          <w:rFonts w:hint="eastAsia" w:ascii="仿宋" w:hAnsi="仿宋" w:eastAsia="仿宋" w:cs="仿宋"/>
          <w:b/>
          <w:color w:val="000000" w:themeColor="text1"/>
          <w:sz w:val="24"/>
        </w:rPr>
        <w:t>采购合同原件</w:t>
      </w:r>
      <w:r>
        <w:rPr>
          <w:rFonts w:hint="eastAsia" w:ascii="仿宋" w:hAnsi="仿宋" w:eastAsia="仿宋" w:cs="仿宋"/>
          <w:color w:val="000000" w:themeColor="text1"/>
          <w:sz w:val="24"/>
        </w:rPr>
        <w:t>报耀华建设管理有限公司备案。</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5.2未领取中标通知书，采购双方自行签订的合同不予备案。</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6.验收</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6.2采购人可以邀请参加本项目的其他投标人或者第三方机构参与验收。参与验收的投标人或者第三方机构的意见作为验收书的参考资料一并存档。</w:t>
      </w:r>
    </w:p>
    <w:p>
      <w:pPr>
        <w:spacing w:line="288" w:lineRule="auto"/>
        <w:jc w:val="left"/>
        <w:rPr>
          <w:rFonts w:ascii="仿宋" w:hAnsi="仿宋" w:eastAsia="仿宋" w:cs="仿宋"/>
          <w:color w:val="000000" w:themeColor="text1"/>
          <w:sz w:val="24"/>
        </w:rPr>
      </w:pPr>
      <w:r>
        <w:rPr>
          <w:rFonts w:hint="eastAsia" w:ascii="仿宋" w:hAnsi="仿宋" w:eastAsia="仿宋" w:cs="仿宋"/>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pPr>
        <w:spacing w:line="288" w:lineRule="auto"/>
        <w:jc w:val="left"/>
        <w:rPr>
          <w:rFonts w:ascii="仿宋" w:hAnsi="仿宋" w:eastAsia="仿宋" w:cs="仿宋"/>
          <w:b/>
          <w:color w:val="000000" w:themeColor="text1"/>
          <w:sz w:val="24"/>
        </w:rPr>
      </w:pPr>
      <w:r>
        <w:rPr>
          <w:rFonts w:hint="eastAsia" w:ascii="仿宋" w:hAnsi="仿宋" w:eastAsia="仿宋" w:cs="仿宋"/>
          <w:b/>
          <w:color w:val="000000" w:themeColor="text1"/>
          <w:sz w:val="24"/>
        </w:rPr>
        <w:t>7. 售后服务考核</w:t>
      </w:r>
    </w:p>
    <w:p>
      <w:pPr>
        <w:spacing w:line="288" w:lineRule="auto"/>
        <w:ind w:firstLine="480" w:firstLineChars="200"/>
        <w:jc w:val="left"/>
        <w:rPr>
          <w:rFonts w:ascii="仿宋" w:hAnsi="仿宋" w:eastAsia="仿宋" w:cs="仿宋"/>
          <w:color w:val="000000" w:themeColor="text1"/>
          <w:sz w:val="24"/>
        </w:rPr>
      </w:pPr>
      <w:r>
        <w:rPr>
          <w:rFonts w:hint="eastAsia" w:ascii="仿宋" w:hAnsi="仿宋" w:eastAsia="仿宋" w:cs="仿宋"/>
          <w:color w:val="000000" w:themeColor="text1"/>
          <w:sz w:val="24"/>
        </w:rPr>
        <w:t>采购代理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288" w:lineRule="auto"/>
        <w:jc w:val="center"/>
        <w:outlineLvl w:val="0"/>
        <w:rPr>
          <w:rFonts w:ascii="仿宋" w:hAnsi="仿宋" w:eastAsia="仿宋" w:cs="仿宋"/>
          <w:b/>
          <w:color w:val="000000" w:themeColor="text1"/>
          <w:sz w:val="36"/>
          <w:szCs w:val="36"/>
        </w:rPr>
      </w:pPr>
      <w:r>
        <w:rPr>
          <w:rFonts w:hint="eastAsia" w:ascii="仿宋" w:hAnsi="仿宋" w:eastAsia="仿宋" w:cs="仿宋"/>
          <w:b/>
          <w:color w:val="000000" w:themeColor="text1"/>
          <w:sz w:val="36"/>
          <w:szCs w:val="36"/>
        </w:rPr>
        <w:t>六、质疑与投诉</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288" w:lineRule="auto"/>
        <w:ind w:firstLine="472" w:firstLineChars="196"/>
        <w:jc w:val="left"/>
        <w:rPr>
          <w:rFonts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1.供应商询问</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供应商对政府采购活动事项有疑问的，可以向采购代理机构提出询问，采购代理机构将对供应商依法提出的询问作出答复，但答复的内容不得涉及商业秘密。</w:t>
      </w:r>
    </w:p>
    <w:p>
      <w:pPr>
        <w:autoSpaceDE w:val="0"/>
        <w:autoSpaceDN w:val="0"/>
        <w:spacing w:line="288" w:lineRule="auto"/>
        <w:ind w:firstLine="472" w:firstLineChars="196"/>
        <w:jc w:val="left"/>
        <w:rPr>
          <w:rFonts w:ascii="仿宋" w:hAnsi="仿宋" w:eastAsia="仿宋" w:cs="仿宋"/>
          <w:b/>
          <w:color w:val="000000" w:themeColor="text1"/>
          <w:kern w:val="0"/>
          <w:sz w:val="24"/>
          <w:lang w:val="zh-CN"/>
        </w:rPr>
      </w:pPr>
      <w:r>
        <w:rPr>
          <w:rFonts w:hint="eastAsia" w:ascii="仿宋" w:hAnsi="仿宋" w:eastAsia="仿宋" w:cs="仿宋"/>
          <w:b/>
          <w:color w:val="000000" w:themeColor="text1"/>
          <w:kern w:val="0"/>
          <w:sz w:val="24"/>
          <w:lang w:val="zh-CN"/>
        </w:rPr>
        <w:t>2.供应商质疑</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2.1供应商认为采购文件、采购过程和成交结果使自己的权益受到损害的，可以在知道或者应知其权益受到损害之日起七个工作日内，可以以书面邮寄的方式向采购代理机构提出质疑，否则，采购代理机构不予受理：</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（2）对采购过程提出质疑的，质疑期限为各采购程序环节结束之日起计算。</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（3）对采购结果提出质疑的，质疑期限自采购结果公告（包括公示、预公告、结果变更公告等）期限届满之日起计算。</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（4）供应商应在法定质疑期内一次性提出针对同一采购程序环节的质疑。</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3.供应商提交提出质疑应当提交质疑书和必要的证明材料，质疑书需一式三份，质疑书至少应包括下列主要内容：</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（1）质疑人的名称、地址、邮政编码、联系人、联系电话，以及被质疑人名称及联系方式；</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（2）被质疑采购项目名称、编号及采购内容；</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（3）具体、明确的质疑事项和与质疑事项相关的请求</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（4）事实依据；</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（5）必要的法律依据；</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（6）认为自己合法权益受到损害或可能受到损害的相关证据材料；</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（7）提出质疑的日期。</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（8） 质疑书应当署名。质疑人为自然人的，应当由本人签字并附有效身份证明；质疑人为法人或其他组织的，应当由法定代表人或主要负责人签字（或盖章）并加盖单位公章。</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（9） 质疑人因故不能自行办理质疑事项的，可以委托代理人办理质疑事宜，但应当向被质疑人提交授权委托书，并载明委托代理的具体权限和事项。</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（10）质疑人提供的相关材料中有外文资料的，应当将与质疑相关的外文资料完整、客观、真实地翻译为中文，并注明翻译人员姓名、工作单位、联系方式等信息。</w:t>
      </w:r>
    </w:p>
    <w:p>
      <w:pPr>
        <w:pStyle w:val="15"/>
        <w:spacing w:line="288" w:lineRule="auto"/>
        <w:ind w:firstLine="480" w:firstLineChars="200"/>
        <w:rPr>
          <w:rFonts w:ascii="仿宋" w:hAnsi="仿宋" w:eastAsia="仿宋" w:cs="仿宋"/>
          <w:color w:val="000000" w:themeColor="text1"/>
          <w:sz w:val="24"/>
        </w:rPr>
      </w:pPr>
      <w:r>
        <w:rPr>
          <w:rFonts w:hint="eastAsia" w:ascii="仿宋" w:hAnsi="仿宋" w:eastAsia="仿宋" w:cs="仿宋"/>
          <w:color w:val="000000" w:themeColor="text1"/>
          <w:sz w:val="24"/>
        </w:rPr>
        <w:t>4.采购代理机构应当在收到供应商的书面质疑后七个工作日内作出答复，并以书面形式通知质疑供应商和其他与质疑处理结果有利害关系的政府采购当事人，但答复的内容不得涉及商业秘密。</w:t>
      </w:r>
    </w:p>
    <w:p>
      <w:pPr>
        <w:pStyle w:val="15"/>
        <w:adjustRightInd/>
        <w:spacing w:line="288" w:lineRule="auto"/>
        <w:ind w:firstLine="480" w:firstLineChars="200"/>
        <w:rPr>
          <w:rFonts w:ascii="仿宋" w:hAnsi="仿宋" w:eastAsia="仿宋" w:cs="仿宋"/>
          <w:b/>
          <w:sz w:val="36"/>
          <w:szCs w:val="36"/>
        </w:rPr>
      </w:pPr>
      <w:r>
        <w:rPr>
          <w:rFonts w:hint="eastAsia" w:ascii="仿宋" w:hAnsi="仿宋" w:eastAsia="仿宋" w:cs="仿宋"/>
          <w:color w:val="000000" w:themeColor="text1"/>
          <w:sz w:val="24"/>
        </w:rPr>
        <w:t>5.询问或者质疑事项可能影响采购结果的，采购人应当暂停签订合同，已经签订合同的，应当中止履行合同。</w:t>
      </w: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p>
    <w:p>
      <w:pPr>
        <w:pStyle w:val="15"/>
        <w:adjustRightInd/>
        <w:spacing w:line="288" w:lineRule="auto"/>
        <w:jc w:val="both"/>
        <w:rPr>
          <w:rFonts w:ascii="仿宋" w:hAnsi="仿宋" w:eastAsia="仿宋" w:cs="仿宋"/>
          <w:b/>
          <w:sz w:val="36"/>
          <w:szCs w:val="36"/>
        </w:rPr>
      </w:pPr>
    </w:p>
    <w:p>
      <w:pPr>
        <w:pStyle w:val="15"/>
        <w:adjustRightInd/>
        <w:spacing w:line="288" w:lineRule="auto"/>
        <w:jc w:val="center"/>
        <w:rPr>
          <w:rFonts w:ascii="仿宋" w:hAnsi="仿宋" w:eastAsia="仿宋" w:cs="仿宋"/>
          <w:b/>
          <w:sz w:val="36"/>
          <w:szCs w:val="36"/>
        </w:rPr>
      </w:pPr>
      <w:r>
        <w:rPr>
          <w:rFonts w:hint="eastAsia" w:ascii="仿宋" w:hAnsi="仿宋" w:eastAsia="仿宋" w:cs="仿宋"/>
          <w:b/>
          <w:sz w:val="36"/>
          <w:szCs w:val="36"/>
        </w:rPr>
        <w:t>第三部分 项目技术规范和服务要求</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1.1 项目采购内容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绍兴市古城交通管理体系调整规划，应以相关上位规划为基础，借鉴国内外的古城交通管理体系规划的先进理念，明确绿色、人本、智慧、可控的交通发展策略，同时又不应一味守旧保护，应以提升居民和游客出行品质为目标，指导古城的精细化设计、系统化组织和智能化管理。</w:t>
      </w:r>
      <w:r>
        <w:rPr>
          <w:rFonts w:hint="eastAsia" w:ascii="仿宋" w:hAnsi="仿宋" w:eastAsia="仿宋" w:cs="仿宋"/>
          <w:sz w:val="24"/>
          <w:szCs w:val="24"/>
        </w:rPr>
        <w:t>规划内容主要包括：</w:t>
      </w:r>
      <w:r>
        <w:rPr>
          <w:rFonts w:hint="eastAsia" w:ascii="仿宋" w:hAnsi="仿宋" w:eastAsia="仿宋" w:cs="仿宋"/>
          <w:color w:val="000000"/>
          <w:sz w:val="24"/>
          <w:szCs w:val="24"/>
        </w:rPr>
        <w:t>现状交通特性与问题、古城城市职能解读及交通发展模式研究、道路交通组织规划、慢行交通系统规划、公共交通系统规划、静态交通系统规划、交通语言系统规划、旅游交通系统规划、交通新技术新设施应用规划、近期实施策略等。</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1.2 项目采购需求</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1.2.1项目背景</w:t>
      </w:r>
    </w:p>
    <w:p>
      <w:pPr>
        <w:pStyle w:val="102"/>
        <w:keepNext w:val="0"/>
        <w:keepLines w:val="0"/>
        <w:pageBreakBefore w:val="0"/>
        <w:widowControl w:val="0"/>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古城绍兴历史悠久，建城2500周年。7000多年前，绍兴就有人类活动，是中华民族的发祥地之一。绍兴是首批国家历史文化名城、首批中国优秀旅游城市、最佳中国魅力城市。古城内古民居建筑群保存完整，其中以“八大历史文化街区”为代表的建筑群更是体验绍兴古越风情的绝佳去处。在绍兴市经济飞速发展的今天，一方面古城仍然承担着繁重的城市功能，成为城市经济、商业、教育、行政等的中心，另一方面，古城居中的地理位置决定其承受来自各个方向的交通压力。</w:t>
      </w:r>
    </w:p>
    <w:p>
      <w:pPr>
        <w:pStyle w:val="102"/>
        <w:keepNext w:val="0"/>
        <w:keepLines w:val="0"/>
        <w:pageBreakBefore w:val="0"/>
        <w:widowControl w:val="0"/>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随着旨在加强保护绍兴古城的规划和条文相继出台，古城内的人口得到了一定控制，但是由于历史上长期的城市一元结构格局，导致古城至今仍然担负过多的城市功能。现有的部分行政办公、教育、医疗和一些社会公共服务功能的集中，导致古城内公共管理与公共服务用地比例偏高，也导致了古城人口的集聚，增大了古城运营的压力。古城内现有“一环+井字”骨架道路结构，“一环”即环城路，“井字”即东西向主干道胜利路、人民路，南北向主干道中兴路、解放路，此外府山路、东池路、稽山路、东街、鲁迅路、延安路、投醪河路为现状城市次干道。古城内道路宽度普遍较窄，背街小巷难以保证双向机动车通行。古城现状交通高峰期交通拥堵现象严重，部分街道仍存在断头路、缺少人行道的现象，需打通断头路，增加人行道。且古城内停车供需矛盾突出，缺少大型公共停车设施。</w:t>
      </w:r>
    </w:p>
    <w:p>
      <w:pPr>
        <w:pStyle w:val="102"/>
        <w:keepNext w:val="0"/>
        <w:keepLines w:val="0"/>
        <w:pageBreakBefore w:val="0"/>
        <w:widowControl w:val="0"/>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古城交通管理规划是一个复杂的系统工程，应该抓住产生问题的根本，结合地区的实际，从规划、设施及管理诸方面协调解决。具体到绍兴古城而言，由于历史上绍兴古城街道格局已经基本定型，从保护古城的角度出发，不可能再采用进一步通过扩张道路长度与面积以配合机动车数量增长的方式来缓解交通问题。解决古城交通问题，根本在于通过疏解过于复杂的城市功能，减少该地区的出行需求，同时配合道路设施的调整与改善，并结合明确的交通发展和管理政策，三管齐下。</w:t>
      </w:r>
    </w:p>
    <w:p>
      <w:pPr>
        <w:pStyle w:val="102"/>
        <w:keepNext w:val="0"/>
        <w:keepLines w:val="0"/>
        <w:pageBreakBefore w:val="0"/>
        <w:widowControl w:val="0"/>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以绍兴古城为例，在空间资源有限的约束条件下，城市交通系统发展步入了存量有机更新的阶段，用精细化的管理和治理方式对建成环境进行升级成为了古城区提高区域内交通运转效率的必要手段。对古城本身而言，通过存量更新，可以充分挖掘区域内的交通资源，解决过去古城区路网布局结构中存在的问题，让更多的交通资源得到盘活，从而让交通规划跟上空间更新的节奏，改善区域内的出行环境。目前，古城区地铁施工以及古城景区提升工程正在实施等，外围快速路也在施工，综合考虑目前古城区面临的古城保护、交通压力、出行品质、旅游发展等因素，特开展古城交通管理体系调整规划，通过近期交通管理提升策略来缓解古城交通压力，提高古城综合品质，通过中远期交通管理发展模式分析为古城未来交通发展指明发展方向。</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1.2.2规划内容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1.2.2.1 规划范围</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本项目重点规划范围为绍兴古城8.58平方公里，道路交通组织研究范围扩大至二环。本项目规划年限近期为2020年—2023年，中远期为2023年—2035年。</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outlineLvl w:val="0"/>
        <w:rPr>
          <w:rFonts w:hint="eastAsia" w:ascii="仿宋" w:hAnsi="仿宋" w:eastAsia="仿宋" w:cs="仿宋"/>
          <w:color w:val="000000"/>
          <w:sz w:val="24"/>
          <w:szCs w:val="24"/>
        </w:rPr>
      </w:pPr>
      <w:r>
        <w:rPr>
          <w:rFonts w:hint="eastAsia" w:ascii="仿宋" w:hAnsi="仿宋" w:eastAsia="仿宋" w:cs="仿宋"/>
          <w:color w:val="000000"/>
          <w:sz w:val="24"/>
          <w:szCs w:val="24"/>
        </w:rPr>
        <w:t>1.2.2.2 规划内容</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绍兴古城交通管理体系调整规划的重点是制定古城未来的交通发展方向，通过总体的交通体系调整策略指导后续展开的古城内部的交通建设管理工作。包含但不限于以下内容：</w:t>
      </w:r>
    </w:p>
    <w:p>
      <w:pPr>
        <w:pStyle w:val="35"/>
        <w:keepNext w:val="0"/>
        <w:keepLines w:val="0"/>
        <w:pageBreakBefore w:val="0"/>
        <w:widowControl w:val="0"/>
        <w:kinsoku/>
        <w:wordWrap/>
        <w:overflowPunct/>
        <w:topLinePunct w:val="0"/>
        <w:autoSpaceDE/>
        <w:autoSpaceDN/>
        <w:bidi w:val="0"/>
        <w:adjustRightInd w:val="0"/>
        <w:snapToGrid/>
        <w:spacing w:line="288" w:lineRule="auto"/>
        <w:ind w:firstLine="482"/>
        <w:textAlignment w:val="auto"/>
        <w:rPr>
          <w:rFonts w:hint="eastAsia" w:ascii="仿宋" w:hAnsi="仿宋" w:eastAsia="仿宋" w:cs="仿宋"/>
          <w:b/>
          <w:color w:val="000000"/>
          <w:sz w:val="24"/>
          <w:szCs w:val="24"/>
        </w:rPr>
      </w:pPr>
      <w:r>
        <w:rPr>
          <w:rFonts w:hint="eastAsia" w:ascii="仿宋" w:hAnsi="仿宋" w:eastAsia="仿宋" w:cs="仿宋"/>
          <w:b/>
          <w:sz w:val="24"/>
          <w:szCs w:val="24"/>
          <w:lang w:val="en-US"/>
        </w:rPr>
        <w:t>阶段一：《绍兴古城交通管理体系调整规划》概念规划</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古城交通特性与问题分析</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在现状调查和评价分析的基础上，结合交通踏勘工作，进行中微观交通特征及问题的解析。</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古城城市职能解读及交通发展模式分析</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对总体规划、综合交通规划、绍兴历史文化名城保护规划等上位的各类规划进行解读，开展交通需求预测和交通定量分析，分析古城交通发展趋势以及交通需求，结合国内外先进案例分析确定古城交通发展模式。</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道路交通组织规划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不同所在片区的功能，确定合理的道路网络密度，合理确定交通分区、道路功能、道路等级及交通组织等方案，并与用地布局相互反馈，协调落实道路网络布局。。针对绍兴古城的实际交通状况，主要从疏解城市功能、管控交通需求、分流过境交通等方面提出道路交通组织规划方案。</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慢行交通系统规划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慢行交通系统即由速度均较低的自行车交通和行人交通组成的交通系统。本次规划将构建联通城市八大历史街区及丰富的旅游资源的慢行交通通道，打造连续、通畅、安全、便捷的慢行交通系统，将绍兴古城打造成高品质的、适宜慢行交通出行的示范区。通过慢行系统设施的改善和提升引导古城内交通出行结构转变、鼓励绿色出行。</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公共交通系统规划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缓解古城区交通拥堵需要大力发展公共交通系统。但由于古城区内的道路特征，古城区内应着力发展支路小公交以及旅游巴士、水上巴士等特色公交，连通景区、商业区和居住区等，以提高古城内的公交线网密度、增加公交的覆盖率，并通过合理设置的枢纽站与港湾车站、早晚高峰实行的公交专用道等各项措施提高公交吸引力，提升公交的服务水平，改善古城内的出行方式结构。在建的轨道站点应与其他接驳方式对接，提出轨道站点出入口及与周边地下空间衔接概念方案。</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静态交通系统规划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在对机动车动态交通进行组织优化的同时，也需要对静态交通进行统筹考虑。古城的停车策略应逐步转变为停车泊位差额供给，实现以静制动的交通需求管理策略。对停车较困难的地方，停车资源共享、改善车辆昼夜停放秩序、挖潜利用背街小巷、控制停车发展用地并逐步建设路外公共停车设施，实现停车环境的持续改善。</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交通语言系统规划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交通语言是用于沟通交通管理者与被管理者的技术，其管理意图及方案通过交通标识来物化。交通语言系统设计合理，可以降低绕行交通量，减少车辆紧急变道行为，进而改善出行秩序。结合上述交通系统管理规划方案，配合设置对应的交通标识来引导出行者的出行线路。</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旅游交通系统规划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绍兴古城内分布有八大历史街区以及较多旅游景点，针对旅游交通特征的道路网络进行交通组织设计，对旅游交通停车、公交接驳、慢行通道以及配套交通管理设施等提出规划方案。针对游客需求进行古城半日、一日步行休闲圈设计，并对相关道路断面、街道景观、旅游指示标志、休憩驿站等提出模式设计。</w:t>
      </w:r>
    </w:p>
    <w:p>
      <w:pPr>
        <w:keepNext w:val="0"/>
        <w:keepLines w:val="0"/>
        <w:pageBreakBefore w:val="0"/>
        <w:widowControl w:val="0"/>
        <w:numPr>
          <w:ilvl w:val="0"/>
          <w:numId w:val="6"/>
        </w:numPr>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交通新技术、新设施应用</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依托绍兴智能交通的建设，古城内重点道路引入多杆合一新理念与技术；结合停车治理与大数据综合应用，实现古城内智能信号动态最优调控，停车预约有位、离场无感支付；景区间探索无人驾驶接驳车技术，打造智慧交通示范区，在惠及百姓出行的同时，打造交通旅游的新特色。</w:t>
      </w:r>
    </w:p>
    <w:p>
      <w:pPr>
        <w:pStyle w:val="35"/>
        <w:keepNext w:val="0"/>
        <w:keepLines w:val="0"/>
        <w:pageBreakBefore w:val="0"/>
        <w:widowControl w:val="0"/>
        <w:kinsoku/>
        <w:wordWrap/>
        <w:overflowPunct/>
        <w:topLinePunct w:val="0"/>
        <w:autoSpaceDE/>
        <w:autoSpaceDN/>
        <w:bidi w:val="0"/>
        <w:adjustRightInd w:val="0"/>
        <w:snapToGrid/>
        <w:spacing w:line="288" w:lineRule="auto"/>
        <w:ind w:left="181" w:leftChars="86" w:firstLine="482"/>
        <w:textAlignment w:val="auto"/>
        <w:rPr>
          <w:rFonts w:hint="eastAsia" w:ascii="仿宋" w:hAnsi="仿宋" w:eastAsia="仿宋" w:cs="仿宋"/>
          <w:b/>
          <w:sz w:val="24"/>
          <w:szCs w:val="24"/>
        </w:rPr>
      </w:pPr>
      <w:r>
        <w:rPr>
          <w:rFonts w:hint="eastAsia" w:ascii="仿宋" w:hAnsi="仿宋" w:eastAsia="仿宋" w:cs="仿宋"/>
          <w:b/>
          <w:sz w:val="24"/>
          <w:szCs w:val="24"/>
          <w:lang w:val="en-US"/>
        </w:rPr>
        <w:t>阶段二：《绍兴古城交通管理体系调整规划》详细规划</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详细交通组织规划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进一步对上位规划及概念规划方的要求进行解读，以实现道路功能、均衡交通负荷、满足居民和游客便捷出行为目标，在定量分析的基础上，对各交通子系统进行详细组织规划。</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路网功能梳理和优化</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梳理明确古城内各条道路的交通功能，基于精细化交通设计和精准化交通管理的策略，挖掘设施潜力、提高通行效率。整合相关大数据资源，结合现场调研分析，梳理出近期需要治理的主要拥堵点/段/片，采取“一街一策”、“一点一策”优化、微工程改造、优化交通组织等措施，保障古城内主要路口路权明晰，保障行人、非机动车、机动车路权，有效改善路口通行秩序、提升道路环境品质。重点围绕打通断头路、畅通背街小巷、打通微循环、盘活道路资源、完善路网结构对古城内路网进行优化。</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慢行交通组织规划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确定路段和交叉口的步行与自行车交通组织线路、通行空间、等待区、过街设施、自行车停车等设施的设置模式及位置等。</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常规公共交通组织规划</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明确公共交通专用车道的设置形式，公交港湾车站的位置、形式等，提出与公交站点相接驳的交通设施设计模式等，提出古城内公交枢纽的位置、形式和交通组织模式。</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轨道交通站点及周边地区交通组织规划</w:t>
      </w:r>
    </w:p>
    <w:p>
      <w:pPr>
        <w:pStyle w:val="35"/>
        <w:keepNext w:val="0"/>
        <w:keepLines w:val="0"/>
        <w:pageBreakBefore w:val="0"/>
        <w:widowControl w:val="0"/>
        <w:kinsoku/>
        <w:wordWrap/>
        <w:overflowPunct/>
        <w:topLinePunct w:val="0"/>
        <w:autoSpaceDE/>
        <w:autoSpaceDN/>
        <w:bidi w:val="0"/>
        <w:adjustRightInd w:val="0"/>
        <w:snapToGrid/>
        <w:spacing w:line="288" w:lineRule="auto"/>
        <w:ind w:left="181" w:leftChars="86"/>
        <w:textAlignment w:val="auto"/>
        <w:rPr>
          <w:rFonts w:hint="eastAsia" w:ascii="仿宋" w:hAnsi="仿宋" w:eastAsia="仿宋" w:cs="仿宋"/>
          <w:sz w:val="24"/>
          <w:szCs w:val="24"/>
          <w:lang w:val="en-US"/>
        </w:rPr>
      </w:pPr>
      <w:r>
        <w:rPr>
          <w:rFonts w:hint="eastAsia" w:ascii="仿宋" w:hAnsi="仿宋" w:eastAsia="仿宋" w:cs="仿宋"/>
          <w:sz w:val="24"/>
          <w:szCs w:val="24"/>
          <w:lang w:val="en-US"/>
        </w:rPr>
        <w:t>对古城内在建及规划轨道车站及周边地区的各交通方式进行详细组织优化，提出站点周边的详细交通改善对策。</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机动车停车组织规划</w:t>
      </w:r>
    </w:p>
    <w:p>
      <w:pPr>
        <w:pStyle w:val="35"/>
        <w:keepNext w:val="0"/>
        <w:keepLines w:val="0"/>
        <w:pageBreakBefore w:val="0"/>
        <w:widowControl w:val="0"/>
        <w:kinsoku/>
        <w:wordWrap/>
        <w:overflowPunct/>
        <w:topLinePunct w:val="0"/>
        <w:autoSpaceDE/>
        <w:autoSpaceDN/>
        <w:bidi w:val="0"/>
        <w:adjustRightInd w:val="0"/>
        <w:snapToGrid/>
        <w:spacing w:line="288" w:lineRule="auto"/>
        <w:ind w:left="181" w:leftChars="86"/>
        <w:textAlignment w:val="auto"/>
        <w:rPr>
          <w:rFonts w:hint="eastAsia" w:ascii="仿宋" w:hAnsi="仿宋" w:eastAsia="仿宋" w:cs="仿宋"/>
          <w:color w:val="000000"/>
          <w:sz w:val="24"/>
          <w:szCs w:val="24"/>
        </w:rPr>
      </w:pPr>
      <w:r>
        <w:rPr>
          <w:rFonts w:hint="eastAsia" w:ascii="仿宋" w:hAnsi="仿宋" w:eastAsia="仿宋" w:cs="仿宋"/>
          <w:sz w:val="24"/>
          <w:szCs w:val="24"/>
          <w:lang w:val="en-US"/>
        </w:rPr>
        <w:t>在全面、准确掌握现有停车资源基础上，加快推进古城内及外围公共停车场建设，对公共停车场设置位置、形式、规模等进行详细规划。对路内停车位进行梳理和优化，增加停车管理设施，大力加强对违法停车的执法力度，实行精细化的路内、路外停车管理与停车治理，引导路内停车向路外过度。</w:t>
      </w:r>
    </w:p>
    <w:p>
      <w:pPr>
        <w:keepNext w:val="0"/>
        <w:keepLines w:val="0"/>
        <w:pageBreakBefore w:val="0"/>
        <w:widowControl w:val="0"/>
        <w:numPr>
          <w:ilvl w:val="0"/>
          <w:numId w:val="7"/>
        </w:numPr>
        <w:tabs>
          <w:tab w:val="left" w:pos="3870"/>
          <w:tab w:val="left" w:pos="4085"/>
        </w:tabs>
        <w:kinsoku/>
        <w:wordWrap/>
        <w:overflowPunct/>
        <w:topLinePunct w:val="0"/>
        <w:autoSpaceDE/>
        <w:autoSpaceDN/>
        <w:bidi w:val="0"/>
        <w:adjustRightInd w:val="0"/>
        <w:snapToGrid/>
        <w:spacing w:line="288" w:lineRule="auto"/>
        <w:ind w:left="181" w:leftChars="86"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近期实施策略</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color w:val="000000"/>
          <w:sz w:val="24"/>
          <w:szCs w:val="24"/>
        </w:rPr>
      </w:pPr>
      <w:r>
        <w:rPr>
          <w:rFonts w:hint="eastAsia" w:ascii="仿宋" w:hAnsi="仿宋" w:eastAsia="仿宋" w:cs="仿宋"/>
          <w:color w:val="000000"/>
          <w:sz w:val="24"/>
          <w:szCs w:val="24"/>
        </w:rPr>
        <w:t>根据绍兴古城交通管理规划总体目标以及规划思路，提出近期项目实施总体策略。并选择重要节点及一条示范道路进行完整街道方案设计，结合两边的用地特征对建筑边线内所有交通因素进行完整性街道设计，融入目前较为先进的多杆合一、智能诱导等手段，打造出一条不仅服务于机动车，而是服务于居民出行的特色街道。</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   规划设计要求</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中标单位应当遵循国家相关规划设计的标准和规范，依据绍兴古城实际情况和目标需求，编制绍兴市古城交通管理体系调整规划。具体要求如下：</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1.2.3.1 方案要充分调研绍兴市及古城的现状及实际需求情况，依据绍兴古城实际情况和业主目标需求，提出的纲领性要求，紧密结合绍兴市总体规划和古城规划，突出绍兴市的特色和定位，符合绍兴市古城的交通发展需要，充分调查并分析核心区用地、道路及交通运行状态等；</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1.2.3.2 投标单位要根据参考资料和规划设计经验，理解并给出古城交通管理体系调整规划方案，指导古城交通远期发展方向和模式，给出近期交通策略，缓解古城区高峰期间道路拥堵状况，提高古城交通品质和综合环境。</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1.2.3.3 规划要立足绍兴市实际和特点，有较好的可操作性、现实性、前瞻性和创新性。</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1.2.3.4  若在本招标文件的需求或要求中出现不合理或不完整的问题时，投标单位有责任和义务提出补充修改方案，并在投标书中明确列出。</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1.2.3.5  本次规划设计的成果所有权和修改权归采购人所有。</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1.2.3.6  中标单位在规划设计过程中应按照国家安全、保密的有关规定和标准履行保密义务。中标单位对规划设计中涉及的有关信息保密，未经委托单位许可，不得将相关信息泄露给第三方，否则，委托单位保留追究中标单位经济和法律责任的权利。</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1.2.3.7  中标单位在编制规划设计方案时，需对绍兴古城城市规划、城市设计、古城保护、路网结构、交通流量及路口、路段交通状况进行实地勘察，以勘察采集到数据为基础，结合自身专业经验，编制相应规划设计方案文件。</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1.2.4  规划设计人员组织要求</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1.2.4.1 投标方要根据项目范围与工作的需要，配置具有丰富交通规划、交通组织改善设计、交通仿真、智能交通等领域经验的项目管理人员和咨询顾问，以保证在规定的时间内高质量完成各项编制工作。</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1.2.4.2 要求项目负责人专职此设计工作，如要进行人员调整时，应事先征得委托单位书面同意。</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1.2.4.3  由于人员不稳定等因素，对设计工作的进度及质量造成严重影响的，委托单位有权终止合同，并要求中标单位赔偿相应损失。</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1.2.5  交付时间</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ind w:firstLine="480" w:firstLineChars="200"/>
        <w:textAlignment w:val="auto"/>
        <w:rPr>
          <w:rFonts w:hint="eastAsia" w:ascii="仿宋" w:hAnsi="仿宋" w:eastAsia="仿宋" w:cs="仿宋"/>
          <w:sz w:val="24"/>
          <w:szCs w:val="24"/>
        </w:rPr>
      </w:pPr>
      <w:r>
        <w:rPr>
          <w:rFonts w:hint="eastAsia" w:ascii="仿宋" w:hAnsi="仿宋" w:eastAsia="仿宋" w:cs="仿宋"/>
          <w:sz w:val="24"/>
          <w:szCs w:val="24"/>
        </w:rPr>
        <w:t>签订合同后120天内，规划设计单位应提交概念规划方案成果，180天内完成详细规划方案相关成果送审稿并通过专家评审。</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1.2.6  方案编制成果</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1.2.6.1  绍兴市古城交通管理体系调整规划文本和图集。</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1.2.6.2  绍兴市古城交通管理体系调整规划PPT汇报稿及电子文档。</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1.3合同签订</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 xml:space="preserve">    若联合体投标的，联合体各方应当共同与采购人签订采购合同，就采购合同约定的事项对采购人承担连带责任。</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1.4  履约保证金及付款方式</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1.4.1  签订合同时，中标人向采购人交纳合同金额3%作为履约保证金。签订合同后，如中标人不按双方合同约定履约，则没收其全部履约保证金，履约保证金不足以赔偿损失的，按实际损失赔偿。</w:t>
      </w:r>
    </w:p>
    <w:p>
      <w:pPr>
        <w:keepNext w:val="0"/>
        <w:keepLines w:val="0"/>
        <w:pageBreakBefore w:val="0"/>
        <w:widowControl w:val="0"/>
        <w:tabs>
          <w:tab w:val="left" w:pos="3870"/>
          <w:tab w:val="left" w:pos="4085"/>
        </w:tabs>
        <w:kinsoku/>
        <w:wordWrap/>
        <w:overflowPunct/>
        <w:topLinePunct w:val="0"/>
        <w:autoSpaceDE/>
        <w:autoSpaceDN/>
        <w:bidi w:val="0"/>
        <w:adjustRightInd w:val="0"/>
        <w:snapToGrid/>
        <w:spacing w:line="288" w:lineRule="auto"/>
        <w:textAlignment w:val="auto"/>
        <w:rPr>
          <w:rFonts w:hint="eastAsia" w:ascii="仿宋" w:hAnsi="仿宋" w:eastAsia="仿宋" w:cs="仿宋"/>
          <w:sz w:val="24"/>
          <w:szCs w:val="24"/>
        </w:rPr>
      </w:pPr>
      <w:r>
        <w:rPr>
          <w:rFonts w:hint="eastAsia" w:ascii="仿宋" w:hAnsi="仿宋" w:eastAsia="仿宋" w:cs="仿宋"/>
          <w:sz w:val="24"/>
          <w:szCs w:val="24"/>
        </w:rPr>
        <w:t>1.4.2  方案通过评审后，十个工作日内履约保证金无息退还。</w:t>
      </w:r>
    </w:p>
    <w:p>
      <w:pPr>
        <w:keepNext w:val="0"/>
        <w:keepLines w:val="0"/>
        <w:pageBreakBefore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rPr>
      </w:pPr>
      <w:r>
        <w:rPr>
          <w:rFonts w:hint="eastAsia" w:ascii="仿宋" w:hAnsi="仿宋" w:eastAsia="仿宋" w:cs="仿宋"/>
          <w:color w:val="auto"/>
          <w:sz w:val="24"/>
          <w:szCs w:val="24"/>
        </w:rPr>
        <w:t xml:space="preserve">1.4.3  </w:t>
      </w:r>
      <w:r>
        <w:rPr>
          <w:rFonts w:hint="eastAsia" w:ascii="仿宋" w:hAnsi="仿宋" w:eastAsia="仿宋" w:cs="仿宋"/>
          <w:color w:val="auto"/>
          <w:sz w:val="24"/>
        </w:rPr>
        <w:t>因抗疫期间，按照浙财采监[2020]3号文件精神执行，甲方在合同生效以及具备实施条件后15日内支付</w:t>
      </w:r>
      <w:r>
        <w:rPr>
          <w:rFonts w:hint="eastAsia" w:ascii="仿宋" w:hAnsi="仿宋" w:eastAsia="仿宋" w:cs="仿宋"/>
          <w:color w:val="auto"/>
          <w:sz w:val="24"/>
          <w:szCs w:val="24"/>
        </w:rPr>
        <w:t>合同总价的</w:t>
      </w:r>
      <w:r>
        <w:rPr>
          <w:rFonts w:hint="eastAsia" w:ascii="仿宋" w:hAnsi="仿宋" w:eastAsia="仿宋" w:cs="仿宋"/>
          <w:color w:val="auto"/>
          <w:sz w:val="24"/>
          <w:szCs w:val="24"/>
          <w:lang w:val="en-US" w:eastAsia="zh-CN"/>
        </w:rPr>
        <w:t>2</w:t>
      </w:r>
      <w:r>
        <w:rPr>
          <w:rFonts w:hint="eastAsia" w:ascii="仿宋" w:hAnsi="仿宋" w:eastAsia="仿宋" w:cs="仿宋"/>
          <w:color w:val="auto"/>
          <w:sz w:val="24"/>
          <w:szCs w:val="24"/>
        </w:rPr>
        <w:t>0</w:t>
      </w:r>
      <w:r>
        <w:rPr>
          <w:rFonts w:hint="eastAsia" w:ascii="仿宋" w:hAnsi="仿宋" w:eastAsia="仿宋" w:cs="仿宋"/>
          <w:color w:val="auto"/>
          <w:sz w:val="24"/>
          <w:szCs w:val="24"/>
          <w:lang w:val="en-US" w:eastAsia="zh-CN"/>
        </w:rPr>
        <w:t>%</w:t>
      </w:r>
      <w:r>
        <w:rPr>
          <w:rFonts w:hint="eastAsia" w:ascii="仿宋" w:hAnsi="仿宋" w:eastAsia="仿宋" w:cs="仿宋"/>
          <w:color w:val="auto"/>
          <w:sz w:val="24"/>
        </w:rPr>
        <w:t>政府采购预付款</w:t>
      </w:r>
      <w:r>
        <w:rPr>
          <w:rFonts w:hint="eastAsia" w:ascii="仿宋" w:hAnsi="仿宋" w:eastAsia="仿宋" w:cs="仿宋"/>
          <w:color w:val="auto"/>
          <w:sz w:val="24"/>
          <w:lang w:eastAsia="zh-CN"/>
        </w:rPr>
        <w:t>。</w:t>
      </w:r>
      <w:r>
        <w:rPr>
          <w:rFonts w:hint="eastAsia" w:ascii="仿宋" w:hAnsi="仿宋" w:eastAsia="仿宋" w:cs="仿宋"/>
          <w:color w:val="auto"/>
          <w:sz w:val="24"/>
          <w:szCs w:val="24"/>
        </w:rPr>
        <w:t>提交概念规划方案成果后十个工作日内，支付合同总价的30%；提交详细规划方案成果并通过专家评审后十个工作日内，支付合同总价的40%；提交最终规划设计成果后十个工作日内，支付合同总价的10%。</w:t>
      </w:r>
    </w:p>
    <w:p>
      <w:pPr>
        <w:pStyle w:val="15"/>
        <w:spacing w:line="800" w:lineRule="exact"/>
        <w:rPr>
          <w:rFonts w:ascii="仿宋" w:hAnsi="仿宋" w:eastAsia="仿宋" w:cs="仿宋"/>
          <w:b/>
          <w:sz w:val="36"/>
          <w:szCs w:val="36"/>
        </w:rPr>
      </w:pPr>
    </w:p>
    <w:p>
      <w:pPr>
        <w:pStyle w:val="15"/>
        <w:spacing w:line="800" w:lineRule="exact"/>
        <w:jc w:val="center"/>
        <w:rPr>
          <w:rFonts w:ascii="仿宋" w:hAnsi="仿宋" w:eastAsia="仿宋" w:cs="仿宋"/>
          <w:b/>
          <w:sz w:val="36"/>
          <w:szCs w:val="36"/>
        </w:rPr>
      </w:pPr>
    </w:p>
    <w:p>
      <w:pPr>
        <w:pStyle w:val="15"/>
        <w:spacing w:line="800" w:lineRule="exact"/>
        <w:jc w:val="center"/>
        <w:rPr>
          <w:rFonts w:ascii="仿宋" w:hAnsi="仿宋" w:eastAsia="仿宋" w:cs="仿宋"/>
          <w:b/>
          <w:sz w:val="36"/>
          <w:szCs w:val="36"/>
        </w:rPr>
      </w:pPr>
    </w:p>
    <w:p>
      <w:pPr>
        <w:pStyle w:val="15"/>
        <w:spacing w:line="800" w:lineRule="exact"/>
        <w:jc w:val="both"/>
        <w:rPr>
          <w:rFonts w:hint="eastAsia" w:ascii="仿宋" w:hAnsi="仿宋" w:eastAsia="仿宋" w:cs="仿宋"/>
          <w:b/>
          <w:sz w:val="36"/>
          <w:szCs w:val="36"/>
        </w:rPr>
      </w:pPr>
    </w:p>
    <w:p>
      <w:pPr>
        <w:pStyle w:val="15"/>
        <w:spacing w:line="800" w:lineRule="exact"/>
        <w:jc w:val="center"/>
        <w:rPr>
          <w:rFonts w:ascii="仿宋" w:hAnsi="仿宋" w:eastAsia="仿宋" w:cs="仿宋"/>
          <w:b/>
          <w:sz w:val="36"/>
          <w:szCs w:val="36"/>
        </w:rPr>
      </w:pPr>
      <w:r>
        <w:rPr>
          <w:rFonts w:hint="eastAsia" w:ascii="仿宋" w:hAnsi="仿宋" w:eastAsia="仿宋" w:cs="仿宋"/>
          <w:b/>
          <w:sz w:val="36"/>
          <w:szCs w:val="36"/>
        </w:rPr>
        <w:t>第四部分</w:t>
      </w:r>
      <w:r>
        <w:rPr>
          <w:rFonts w:hint="eastAsia" w:ascii="仿宋" w:hAnsi="仿宋" w:eastAsia="仿宋" w:cs="仿宋"/>
          <w:b/>
          <w:sz w:val="36"/>
          <w:szCs w:val="36"/>
          <w:lang w:val="en-US" w:eastAsia="zh-CN"/>
        </w:rPr>
        <w:t xml:space="preserve"> </w:t>
      </w:r>
      <w:r>
        <w:rPr>
          <w:rFonts w:hint="eastAsia" w:ascii="仿宋" w:hAnsi="仿宋" w:eastAsia="仿宋" w:cs="仿宋"/>
          <w:b/>
          <w:sz w:val="36"/>
          <w:szCs w:val="36"/>
        </w:rPr>
        <w:t>合同主要条款</w:t>
      </w:r>
    </w:p>
    <w:p>
      <w:pPr>
        <w:spacing w:line="288" w:lineRule="auto"/>
        <w:jc w:val="left"/>
        <w:rPr>
          <w:rFonts w:ascii="仿宋" w:hAnsi="仿宋" w:eastAsia="仿宋" w:cs="仿宋"/>
          <w:b/>
          <w:bCs/>
          <w:sz w:val="24"/>
        </w:rPr>
      </w:pPr>
      <w:r>
        <w:rPr>
          <w:rFonts w:hint="eastAsia" w:ascii="仿宋" w:hAnsi="仿宋" w:eastAsia="仿宋" w:cs="仿宋"/>
          <w:b/>
          <w:bCs/>
          <w:sz w:val="24"/>
        </w:rPr>
        <w:t>1.合同</w:t>
      </w:r>
      <w:bookmarkStart w:id="6" w:name="OLE_LINK1"/>
      <w:r>
        <w:rPr>
          <w:rFonts w:hint="eastAsia" w:ascii="仿宋" w:hAnsi="仿宋" w:eastAsia="仿宋" w:cs="仿宋"/>
          <w:b/>
          <w:bCs/>
          <w:sz w:val="24"/>
        </w:rPr>
        <w:t>范围</w:t>
      </w:r>
      <w:bookmarkEnd w:id="6"/>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合同范围应与中标通知书、招标文件及被招标人接受的技术商务规范偏离表相一致。合同范围和双方的职责在“招标文件”明确。</w:t>
      </w:r>
    </w:p>
    <w:p>
      <w:pPr>
        <w:pStyle w:val="66"/>
        <w:spacing w:line="288" w:lineRule="auto"/>
        <w:rPr>
          <w:rFonts w:ascii="仿宋" w:hAnsi="仿宋" w:eastAsia="仿宋" w:cs="仿宋"/>
          <w:b/>
          <w:bCs/>
          <w:sz w:val="24"/>
          <w:szCs w:val="24"/>
        </w:rPr>
      </w:pPr>
      <w:r>
        <w:rPr>
          <w:rFonts w:hint="eastAsia" w:ascii="仿宋" w:hAnsi="仿宋" w:eastAsia="仿宋" w:cs="仿宋"/>
          <w:b/>
          <w:bCs/>
          <w:sz w:val="24"/>
          <w:szCs w:val="24"/>
        </w:rPr>
        <w:t>2.合同的签订</w:t>
      </w:r>
    </w:p>
    <w:p>
      <w:pPr>
        <w:snapToGrid w:val="0"/>
        <w:spacing w:line="288" w:lineRule="auto"/>
        <w:jc w:val="left"/>
        <w:rPr>
          <w:rFonts w:ascii="仿宋" w:hAnsi="仿宋" w:eastAsia="仿宋" w:cs="仿宋"/>
          <w:sz w:val="24"/>
        </w:rPr>
      </w:pPr>
      <w:r>
        <w:rPr>
          <w:rFonts w:hint="eastAsia" w:ascii="仿宋" w:hAnsi="仿宋" w:eastAsia="仿宋" w:cs="仿宋"/>
          <w:sz w:val="24"/>
        </w:rPr>
        <w:t>2.1中标人须在中标通知书发出30日内按招标文件和中标供应商投标文件的约定，凭中标通知书和采购人在约定的时间、地点，由法定代表人或其授权代表与采购人签订书面合同。</w:t>
      </w:r>
    </w:p>
    <w:p>
      <w:pPr>
        <w:snapToGrid w:val="0"/>
        <w:spacing w:line="288" w:lineRule="auto"/>
        <w:jc w:val="left"/>
        <w:rPr>
          <w:rFonts w:ascii="仿宋" w:hAnsi="仿宋" w:eastAsia="仿宋" w:cs="仿宋"/>
          <w:sz w:val="24"/>
        </w:rPr>
      </w:pPr>
      <w:r>
        <w:rPr>
          <w:rFonts w:hint="eastAsia" w:ascii="仿宋" w:hAnsi="仿宋" w:eastAsia="仿宋" w:cs="仿宋"/>
          <w:sz w:val="24"/>
        </w:rPr>
        <w:t>2.1.1服务地点：招标人指定地点</w:t>
      </w:r>
    </w:p>
    <w:p>
      <w:pPr>
        <w:snapToGrid w:val="0"/>
        <w:spacing w:line="288" w:lineRule="auto"/>
        <w:jc w:val="left"/>
        <w:rPr>
          <w:rFonts w:ascii="仿宋" w:hAnsi="仿宋" w:eastAsia="仿宋" w:cs="仿宋"/>
          <w:sz w:val="24"/>
        </w:rPr>
      </w:pPr>
      <w:r>
        <w:rPr>
          <w:rFonts w:hint="eastAsia" w:ascii="仿宋" w:hAnsi="仿宋" w:eastAsia="仿宋" w:cs="仿宋"/>
          <w:sz w:val="24"/>
        </w:rPr>
        <w:t>2.1.2</w:t>
      </w:r>
      <w:r>
        <w:rPr>
          <w:rFonts w:hint="eastAsia" w:ascii="仿宋" w:hAnsi="仿宋" w:eastAsia="仿宋" w:cs="仿宋"/>
          <w:sz w:val="24"/>
          <w:lang w:eastAsia="zh-CN"/>
        </w:rPr>
        <w:t>完工</w:t>
      </w:r>
      <w:r>
        <w:rPr>
          <w:rFonts w:hint="eastAsia" w:ascii="仿宋" w:hAnsi="仿宋" w:eastAsia="仿宋" w:cs="仿宋"/>
          <w:sz w:val="24"/>
        </w:rPr>
        <w:t>期：按标项内具体要求执行。</w:t>
      </w:r>
    </w:p>
    <w:p>
      <w:pPr>
        <w:pStyle w:val="7"/>
        <w:numPr>
          <w:ilvl w:val="0"/>
          <w:numId w:val="0"/>
        </w:numPr>
        <w:tabs>
          <w:tab w:val="clear" w:pos="780"/>
        </w:tabs>
        <w:spacing w:line="288" w:lineRule="auto"/>
        <w:rPr>
          <w:rFonts w:ascii="仿宋" w:hAnsi="仿宋" w:eastAsia="仿宋" w:cs="仿宋"/>
          <w:color w:val="000000"/>
          <w:sz w:val="24"/>
        </w:rPr>
      </w:pPr>
      <w:r>
        <w:rPr>
          <w:rFonts w:hint="eastAsia" w:ascii="仿宋" w:hAnsi="仿宋" w:eastAsia="仿宋" w:cs="仿宋"/>
          <w:b/>
          <w:bCs/>
          <w:color w:val="000000"/>
          <w:sz w:val="24"/>
        </w:rPr>
        <w:t>3.付款方式：</w:t>
      </w:r>
      <w:r>
        <w:rPr>
          <w:rFonts w:hint="eastAsia" w:ascii="仿宋" w:hAnsi="仿宋" w:eastAsia="仿宋" w:cs="仿宋"/>
          <w:color w:val="000000"/>
          <w:sz w:val="24"/>
        </w:rPr>
        <w:t>按标项内具体要求执行。</w:t>
      </w:r>
    </w:p>
    <w:p>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4.合同修改</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4.1双方的任何一方对合同内容提出修改，均应以书面形式通知对方，并达成由双方签署的合同修改书，须报政府采购管理部门批准。</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4.2除非招标人对产品的品牌、型号规格和涉及价格因素的技术参数提出修改，中标人不得对合同价格提出修改要求。</w:t>
      </w:r>
    </w:p>
    <w:p>
      <w:pPr>
        <w:snapToGrid w:val="0"/>
        <w:spacing w:line="288" w:lineRule="auto"/>
        <w:jc w:val="left"/>
        <w:rPr>
          <w:rFonts w:hint="eastAsia" w:ascii="仿宋" w:hAnsi="仿宋" w:eastAsia="仿宋" w:cs="仿宋"/>
          <w:b/>
          <w:bCs/>
          <w:color w:val="auto"/>
          <w:sz w:val="24"/>
        </w:rPr>
      </w:pPr>
      <w:r>
        <w:rPr>
          <w:rFonts w:hint="eastAsia" w:ascii="仿宋" w:hAnsi="仿宋" w:eastAsia="仿宋" w:cs="仿宋"/>
          <w:b/>
          <w:bCs/>
          <w:color w:val="auto"/>
          <w:sz w:val="24"/>
        </w:rPr>
        <w:t>5.商品包装和快递包装要求</w:t>
      </w:r>
    </w:p>
    <w:p>
      <w:pPr>
        <w:snapToGrid w:val="0"/>
        <w:spacing w:line="288" w:lineRule="auto"/>
        <w:ind w:firstLine="480" w:firstLineChars="200"/>
        <w:jc w:val="left"/>
        <w:rPr>
          <w:rFonts w:hint="eastAsia" w:ascii="仿宋" w:hAnsi="仿宋" w:eastAsia="仿宋" w:cs="仿宋"/>
          <w:color w:val="FF0000"/>
          <w:sz w:val="24"/>
        </w:rPr>
      </w:pPr>
      <w:r>
        <w:rPr>
          <w:rFonts w:hint="eastAsia" w:ascii="仿宋" w:hAnsi="仿宋" w:eastAsia="仿宋" w:cs="仿宋"/>
          <w:color w:val="auto"/>
          <w:sz w:val="24"/>
        </w:rPr>
        <w:t>本次项目采购所涉及的商品包装和快递包装要求均应符合《关于印发《商品包装政府采购需求标准（试行）》、 《快递包装政府采购需求标准（试行）》的通知》（财办库〔2020〕123号）文件要求，必要时由采购人在履约验收环节根据实际情况要求供应商出具检测报告。</w:t>
      </w:r>
    </w:p>
    <w:p>
      <w:pPr>
        <w:snapToGrid w:val="0"/>
        <w:spacing w:line="288" w:lineRule="auto"/>
        <w:jc w:val="left"/>
        <w:rPr>
          <w:rFonts w:hint="eastAsia" w:ascii="仿宋" w:hAnsi="仿宋" w:eastAsia="仿宋" w:cs="仿宋"/>
          <w:sz w:val="24"/>
        </w:rPr>
      </w:pPr>
      <w:r>
        <w:rPr>
          <w:rFonts w:hint="eastAsia" w:ascii="仿宋" w:hAnsi="仿宋" w:eastAsia="仿宋" w:cs="仿宋"/>
          <w:b/>
          <w:bCs/>
          <w:sz w:val="24"/>
        </w:rPr>
        <w:t>6.质量标准和验收</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6.1中标人提供的产品及服务必须是经合法途径取得的。</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6.2中标人应按现行的国家或行业技术及验收标准和招标文件的规定提供工程、货物或服务，因中标人提供的工程、货物或服务达不到约定的质量标准，中标人承担违约责任。</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6.3验收由使用单位按规定组织相关人员或专家进行。</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6.4双方对工程、货物或服务的质量有争议的，由双方同意的专业检测机构鉴定，所需费及因此造成的损失由责任方承担，双方均有责任的，双方根据其责任分别承担。</w:t>
      </w:r>
    </w:p>
    <w:p>
      <w:pPr>
        <w:snapToGrid w:val="0"/>
        <w:spacing w:line="288" w:lineRule="auto"/>
        <w:jc w:val="left"/>
        <w:rPr>
          <w:rFonts w:hint="eastAsia" w:ascii="仿宋" w:hAnsi="仿宋" w:eastAsia="仿宋" w:cs="仿宋"/>
          <w:sz w:val="24"/>
        </w:rPr>
      </w:pPr>
      <w:r>
        <w:rPr>
          <w:rFonts w:hint="eastAsia" w:ascii="仿宋" w:hAnsi="仿宋" w:eastAsia="仿宋" w:cs="仿宋"/>
          <w:b/>
          <w:bCs/>
          <w:sz w:val="24"/>
        </w:rPr>
        <w:t>7.违约责任</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7.1提供的货物和服务质量必须达到合格，凡安装调试、设备试运转过程中发现的设备质量问题，中标人必须无偿返工直至符合质量要求，承担返工所发生的一切费用和招标人的直接经济损失。</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7.2由于招标人保管不善或使用不当造成设备短缺、故障或损坏，中标人协助招标人及时给予补齐或修复。</w:t>
      </w:r>
    </w:p>
    <w:p>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8．违约赔偿</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8.1除不可抗力外，如中标人发生不能按期完成供货任务，招标人发生中途变更等情况，应及时以书面形式通知对方。双方应本着友好的态度进行协商，妥善解决。如协商无效，按规定处以违约金。</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8.2 中标人和采购人签订合同，按合同规定的供货时间供货并安装调试完毕。逾期每推迟一天，扣中标价0.1%的滞纳金给采购人。</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8.3招标人在规定时间无正当理由拒签合同者，以招标违约处理，并赔偿中标人由此造成的直接经济损失。</w:t>
      </w:r>
    </w:p>
    <w:p>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9.不可抗力</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9.1如果双方中任何一方由于战争、严重火灾、水灾、台风和地震以及其它经双方同意属于不可抗力的事故，致使合同履行受阻时，履行合同的期限应予延长，延长的期限应相当于事故所影响的时间。</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9.2受事故影响的一方应在不可抗力的事故发生后尽快以电报或电传通知另一方，并在事故发生后14天内，将有关部门出具的证明文件用挂号信航寄给或送给另一方。如果不可抗力影响时间延续120天以上的，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napToGrid w:val="0"/>
        <w:spacing w:line="288" w:lineRule="auto"/>
        <w:jc w:val="left"/>
        <w:rPr>
          <w:rFonts w:hint="eastAsia" w:ascii="仿宋" w:hAnsi="仿宋" w:eastAsia="仿宋" w:cs="仿宋"/>
          <w:sz w:val="24"/>
        </w:rPr>
      </w:pPr>
      <w:r>
        <w:rPr>
          <w:rFonts w:hint="eastAsia" w:ascii="仿宋" w:hAnsi="仿宋" w:eastAsia="仿宋" w:cs="仿宋"/>
          <w:b/>
          <w:bCs/>
          <w:sz w:val="24"/>
        </w:rPr>
        <w:t>10.解决合同纠纷的方式</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10.1凡有关本合同或与本合同中发生的争端，双方应通过友好协商，妥善解决。如通过协商仍不能解决时，可向当地的仲裁机构申请仲裁或人民法院起诉。</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10.2仲裁和诉讼费用除仲裁机构和人民法院另有裁决外，由败诉方承担。</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10.3在仲裁和诉讼期间，除正在进行裁定的部分外，本合同其他部分应继续执行。</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10.4合同应在双方签字盖章后开始生效。</w:t>
      </w:r>
    </w:p>
    <w:p>
      <w:pPr>
        <w:snapToGrid w:val="0"/>
        <w:spacing w:line="288" w:lineRule="auto"/>
        <w:jc w:val="left"/>
        <w:rPr>
          <w:rFonts w:hint="eastAsia" w:ascii="仿宋" w:hAnsi="仿宋" w:eastAsia="仿宋" w:cs="仿宋"/>
          <w:sz w:val="24"/>
        </w:rPr>
      </w:pPr>
      <w:r>
        <w:rPr>
          <w:rFonts w:hint="eastAsia" w:ascii="仿宋" w:hAnsi="仿宋" w:eastAsia="仿宋" w:cs="仿宋"/>
          <w:sz w:val="24"/>
        </w:rPr>
        <w:t>（注：在正式签约时，根据上述精神应拟就更为详尽的合同书）</w:t>
      </w:r>
    </w:p>
    <w:p>
      <w:pPr>
        <w:spacing w:line="288" w:lineRule="auto"/>
        <w:ind w:firstLine="480" w:firstLineChars="200"/>
        <w:jc w:val="left"/>
        <w:rPr>
          <w:rFonts w:ascii="仿宋" w:hAnsi="仿宋" w:eastAsia="仿宋" w:cs="仿宋"/>
          <w:kern w:val="0"/>
          <w:sz w:val="24"/>
        </w:rPr>
      </w:pPr>
    </w:p>
    <w:p>
      <w:pPr>
        <w:spacing w:line="288" w:lineRule="auto"/>
        <w:ind w:hanging="2"/>
        <w:jc w:val="left"/>
        <w:rPr>
          <w:rFonts w:ascii="仿宋" w:hAnsi="仿宋" w:eastAsia="仿宋" w:cs="仿宋"/>
          <w:sz w:val="24"/>
        </w:rPr>
      </w:pPr>
    </w:p>
    <w:p>
      <w:pPr>
        <w:spacing w:line="288" w:lineRule="auto"/>
        <w:rPr>
          <w:rFonts w:ascii="仿宋" w:hAnsi="仿宋" w:eastAsia="仿宋" w:cs="仿宋"/>
          <w:sz w:val="24"/>
        </w:rPr>
      </w:pPr>
    </w:p>
    <w:p>
      <w:pPr>
        <w:pStyle w:val="7"/>
        <w:numPr>
          <w:ilvl w:val="0"/>
          <w:numId w:val="0"/>
        </w:numPr>
        <w:tabs>
          <w:tab w:val="clear" w:pos="780"/>
        </w:tabs>
        <w:spacing w:line="288" w:lineRule="auto"/>
        <w:rPr>
          <w:rFonts w:ascii="仿宋" w:hAnsi="仿宋" w:eastAsia="仿宋" w:cs="仿宋"/>
          <w:kern w:val="0"/>
          <w:sz w:val="24"/>
          <w:szCs w:val="20"/>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360" w:lineRule="auto"/>
        <w:jc w:val="center"/>
        <w:outlineLvl w:val="0"/>
        <w:rPr>
          <w:rFonts w:ascii="仿宋" w:hAnsi="仿宋" w:eastAsia="仿宋" w:cs="仿宋"/>
          <w:b/>
          <w:sz w:val="36"/>
          <w:szCs w:val="36"/>
        </w:rPr>
      </w:pPr>
    </w:p>
    <w:p>
      <w:pPr>
        <w:spacing w:line="288" w:lineRule="auto"/>
        <w:outlineLvl w:val="0"/>
        <w:rPr>
          <w:rFonts w:ascii="仿宋" w:hAnsi="仿宋" w:eastAsia="仿宋" w:cs="仿宋"/>
          <w:b/>
          <w:sz w:val="36"/>
          <w:szCs w:val="36"/>
        </w:rPr>
      </w:pPr>
    </w:p>
    <w:p>
      <w:pPr>
        <w:spacing w:line="288" w:lineRule="auto"/>
        <w:jc w:val="center"/>
        <w:outlineLvl w:val="0"/>
        <w:rPr>
          <w:rFonts w:ascii="仿宋" w:hAnsi="仿宋" w:eastAsia="仿宋" w:cs="仿宋"/>
          <w:b/>
          <w:sz w:val="36"/>
          <w:szCs w:val="36"/>
        </w:rPr>
      </w:pPr>
      <w:r>
        <w:rPr>
          <w:rFonts w:hint="eastAsia" w:ascii="仿宋" w:hAnsi="仿宋" w:eastAsia="仿宋" w:cs="仿宋"/>
          <w:b/>
          <w:sz w:val="36"/>
          <w:szCs w:val="36"/>
        </w:rPr>
        <w:t>第五部分 评标办法及评分标准</w:t>
      </w:r>
    </w:p>
    <w:p>
      <w:pPr>
        <w:spacing w:line="288" w:lineRule="auto"/>
        <w:jc w:val="left"/>
        <w:rPr>
          <w:rFonts w:ascii="仿宋" w:hAnsi="仿宋" w:eastAsia="仿宋" w:cs="仿宋"/>
          <w:b/>
          <w:sz w:val="24"/>
        </w:rPr>
      </w:pPr>
      <w:r>
        <w:rPr>
          <w:rFonts w:hint="eastAsia" w:ascii="仿宋" w:hAnsi="仿宋" w:eastAsia="仿宋" w:cs="仿宋"/>
          <w:b/>
          <w:sz w:val="24"/>
        </w:rPr>
        <w:t>1.评标方法：</w:t>
      </w:r>
    </w:p>
    <w:p>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pPr>
        <w:spacing w:line="288" w:lineRule="auto"/>
        <w:jc w:val="left"/>
        <w:rPr>
          <w:rFonts w:ascii="仿宋" w:hAnsi="仿宋" w:eastAsia="仿宋" w:cs="仿宋"/>
          <w:color w:val="FF0000"/>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ascii="仿宋" w:hAnsi="仿宋" w:eastAsia="仿宋" w:cs="仿宋"/>
          <w:sz w:val="24"/>
        </w:rPr>
        <w:t>8</w:t>
      </w:r>
      <w:r>
        <w:rPr>
          <w:rFonts w:hint="eastAsia" w:ascii="仿宋" w:hAnsi="仿宋" w:eastAsia="仿宋" w:cs="仿宋"/>
          <w:sz w:val="24"/>
        </w:rPr>
        <w:t>0分，价格分</w:t>
      </w:r>
      <w:r>
        <w:rPr>
          <w:rFonts w:ascii="仿宋" w:hAnsi="仿宋" w:eastAsia="仿宋" w:cs="仿宋"/>
          <w:sz w:val="24"/>
        </w:rPr>
        <w:t>2</w:t>
      </w:r>
      <w:r>
        <w:rPr>
          <w:rFonts w:hint="eastAsia" w:ascii="仿宋" w:hAnsi="仿宋" w:eastAsia="仿宋" w:cs="仿宋"/>
          <w:sz w:val="24"/>
        </w:rPr>
        <w:t>0分。评分依下述所列为评标打分依据，分值如下（计算分值时，按其算术平均值保留小数2位）。</w:t>
      </w:r>
    </w:p>
    <w:p>
      <w:pPr>
        <w:spacing w:line="288" w:lineRule="auto"/>
        <w:rPr>
          <w:rFonts w:ascii="仿宋" w:hAnsi="仿宋" w:eastAsia="仿宋" w:cs="仿宋"/>
          <w:b/>
          <w:sz w:val="24"/>
        </w:rPr>
      </w:pPr>
      <w:r>
        <w:rPr>
          <w:rFonts w:hint="eastAsia" w:ascii="仿宋" w:hAnsi="仿宋" w:eastAsia="仿宋" w:cs="仿宋"/>
          <w:b/>
          <w:bCs/>
          <w:sz w:val="24"/>
        </w:rPr>
        <w:t>2.1</w:t>
      </w:r>
      <w:r>
        <w:rPr>
          <w:rFonts w:hint="eastAsia" w:ascii="仿宋" w:hAnsi="仿宋" w:eastAsia="仿宋" w:cs="仿宋"/>
          <w:b/>
          <w:bCs/>
          <w:iCs/>
          <w:sz w:val="24"/>
        </w:rPr>
        <w:t>商务技术分</w:t>
      </w:r>
      <w:r>
        <w:rPr>
          <w:rFonts w:hint="eastAsia" w:ascii="仿宋" w:hAnsi="仿宋" w:eastAsia="仿宋" w:cs="仿宋"/>
          <w:b/>
          <w:bCs/>
          <w:sz w:val="24"/>
        </w:rPr>
        <w:t>（</w:t>
      </w:r>
      <w:r>
        <w:rPr>
          <w:rFonts w:ascii="仿宋" w:hAnsi="仿宋" w:eastAsia="仿宋" w:cs="仿宋"/>
          <w:b/>
          <w:bCs/>
          <w:sz w:val="24"/>
        </w:rPr>
        <w:t>8</w:t>
      </w:r>
      <w:r>
        <w:rPr>
          <w:rFonts w:hint="eastAsia" w:ascii="仿宋" w:hAnsi="仿宋" w:eastAsia="仿宋" w:cs="仿宋"/>
          <w:b/>
          <w:bCs/>
          <w:sz w:val="24"/>
        </w:rPr>
        <w:t>0分）</w:t>
      </w:r>
    </w:p>
    <w:tbl>
      <w:tblPr>
        <w:tblStyle w:val="27"/>
        <w:tblW w:w="9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8"/>
        <w:gridCol w:w="735"/>
        <w:gridCol w:w="1104"/>
        <w:gridCol w:w="66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8" w:hRule="atLeast"/>
          <w:tblHeader/>
          <w:jc w:val="center"/>
        </w:trPr>
        <w:tc>
          <w:tcPr>
            <w:tcW w:w="858"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
                <w:bCs/>
                <w:sz w:val="24"/>
              </w:rPr>
            </w:pPr>
            <w:r>
              <w:rPr>
                <w:rFonts w:hint="eastAsia" w:ascii="仿宋" w:hAnsi="仿宋" w:eastAsia="仿宋" w:cs="仿宋"/>
                <w:b/>
                <w:bCs/>
                <w:sz w:val="24"/>
              </w:rPr>
              <w:t>项别</w:t>
            </w:r>
          </w:p>
        </w:tc>
        <w:tc>
          <w:tcPr>
            <w:tcW w:w="1839" w:type="dxa"/>
            <w:gridSpan w:val="2"/>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
                <w:bCs/>
                <w:sz w:val="24"/>
              </w:rPr>
            </w:pPr>
            <w:r>
              <w:rPr>
                <w:rFonts w:hint="eastAsia" w:ascii="仿宋" w:hAnsi="仿宋" w:eastAsia="仿宋" w:cs="仿宋"/>
                <w:b/>
                <w:bCs/>
                <w:sz w:val="24"/>
              </w:rPr>
              <w:t>总分值</w:t>
            </w:r>
          </w:p>
        </w:tc>
        <w:tc>
          <w:tcPr>
            <w:tcW w:w="6602" w:type="dxa"/>
            <w:vMerge w:val="restart"/>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
                <w:bCs/>
                <w:sz w:val="24"/>
              </w:rPr>
            </w:pPr>
            <w:r>
              <w:rPr>
                <w:rFonts w:hint="eastAsia" w:ascii="仿宋" w:hAnsi="仿宋" w:eastAsia="仿宋" w:cs="仿宋"/>
                <w:b/>
                <w:bCs/>
                <w:sz w:val="24"/>
              </w:rPr>
              <w:t>评审要素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2" w:hRule="atLeast"/>
          <w:tblHeader/>
          <w:jc w:val="center"/>
        </w:trPr>
        <w:tc>
          <w:tcPr>
            <w:tcW w:w="858"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
                <w:bCs/>
                <w:sz w:val="24"/>
              </w:rPr>
            </w:pPr>
            <w:r>
              <w:rPr>
                <w:rFonts w:ascii="仿宋" w:hAnsi="仿宋" w:eastAsia="仿宋" w:cs="仿宋"/>
                <w:b/>
                <w:bCs/>
                <w:sz w:val="24"/>
              </w:rPr>
              <w:t>80</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
                <w:bCs/>
                <w:sz w:val="24"/>
              </w:rPr>
            </w:pPr>
            <w:r>
              <w:rPr>
                <w:rFonts w:hint="eastAsia" w:ascii="仿宋" w:hAnsi="仿宋" w:eastAsia="仿宋" w:cs="仿宋"/>
                <w:b/>
                <w:bCs/>
                <w:sz w:val="24"/>
              </w:rPr>
              <w:t>分项最高分值</w:t>
            </w:r>
          </w:p>
        </w:tc>
        <w:tc>
          <w:tcPr>
            <w:tcW w:w="6602" w:type="dxa"/>
            <w:vMerge w:val="continue"/>
            <w:tcBorders>
              <w:top w:val="single" w:color="auto" w:sz="4" w:space="0"/>
              <w:left w:val="single" w:color="auto" w:sz="4" w:space="0"/>
              <w:bottom w:val="single" w:color="auto" w:sz="4" w:space="0"/>
              <w:right w:val="single" w:color="auto" w:sz="4" w:space="0"/>
            </w:tcBorders>
            <w:vAlign w:val="center"/>
          </w:tcPr>
          <w:p>
            <w:pPr>
              <w:spacing w:line="288" w:lineRule="auto"/>
              <w:rPr>
                <w:rFonts w:ascii="仿宋" w:hAnsi="仿宋" w:eastAsia="仿宋" w:cs="仿宋"/>
                <w:bCs/>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9" w:hRule="atLeast"/>
          <w:jc w:val="center"/>
        </w:trPr>
        <w:tc>
          <w:tcPr>
            <w:tcW w:w="858" w:type="dxa"/>
            <w:vMerge w:val="restart"/>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sz w:val="24"/>
              </w:rPr>
              <w:t>总体方案</w:t>
            </w:r>
          </w:p>
        </w:tc>
        <w:tc>
          <w:tcPr>
            <w:tcW w:w="735" w:type="dxa"/>
            <w:vMerge w:val="restart"/>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eastAsia" w:ascii="仿宋" w:hAnsi="仿宋" w:eastAsia="仿宋" w:cs="仿宋"/>
                <w:bCs/>
                <w:sz w:val="24"/>
                <w:lang w:eastAsia="zh-CN"/>
              </w:rPr>
            </w:pPr>
            <w:r>
              <w:rPr>
                <w:rFonts w:ascii="仿宋" w:hAnsi="仿宋" w:eastAsia="仿宋" w:cs="仿宋"/>
                <w:bCs/>
                <w:sz w:val="24"/>
              </w:rPr>
              <w:t>2</w:t>
            </w:r>
            <w:r>
              <w:rPr>
                <w:rFonts w:hint="eastAsia" w:ascii="仿宋" w:hAnsi="仿宋" w:eastAsia="仿宋" w:cs="仿宋"/>
                <w:bCs/>
                <w:sz w:val="24"/>
                <w:lang w:val="en-US" w:eastAsia="zh-CN"/>
              </w:rPr>
              <w:t>8</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bCs/>
                <w:sz w:val="24"/>
              </w:rPr>
              <w:t>3</w:t>
            </w:r>
          </w:p>
        </w:tc>
        <w:tc>
          <w:tcPr>
            <w:tcW w:w="6602" w:type="dxa"/>
            <w:tcBorders>
              <w:top w:val="single" w:color="auto" w:sz="4" w:space="0"/>
              <w:left w:val="single" w:color="auto" w:sz="4" w:space="0"/>
              <w:bottom w:val="single" w:color="auto" w:sz="4" w:space="0"/>
              <w:right w:val="single" w:color="auto" w:sz="4" w:space="0"/>
            </w:tcBorders>
            <w:vAlign w:val="center"/>
          </w:tcPr>
          <w:p>
            <w:pPr>
              <w:shd w:val="solid" w:color="FFFFFF" w:fill="auto"/>
              <w:autoSpaceDN w:val="0"/>
              <w:spacing w:line="288" w:lineRule="auto"/>
              <w:rPr>
                <w:rFonts w:ascii="仿宋" w:hAnsi="仿宋" w:eastAsia="仿宋" w:cs="仿宋"/>
                <w:color w:val="auto"/>
                <w:sz w:val="24"/>
              </w:rPr>
            </w:pPr>
            <w:r>
              <w:rPr>
                <w:rFonts w:hint="eastAsia" w:ascii="仿宋" w:hAnsi="仿宋" w:eastAsia="仿宋" w:cs="仿宋"/>
                <w:b/>
                <w:color w:val="auto"/>
                <w:sz w:val="24"/>
                <w:shd w:val="clear" w:color="auto" w:fill="FFFFFF"/>
              </w:rPr>
              <w:t>规划设计理念：</w:t>
            </w:r>
            <w:r>
              <w:rPr>
                <w:rFonts w:hint="eastAsia" w:ascii="仿宋" w:hAnsi="仿宋" w:eastAsia="仿宋" w:cs="仿宋"/>
                <w:color w:val="auto"/>
                <w:kern w:val="0"/>
                <w:sz w:val="24"/>
              </w:rPr>
              <w:t>从投标人规划设计理念是否先进、目标是否明确、技术路线是否正确等方面综合对比进行打分。</w:t>
            </w:r>
            <w:r>
              <w:rPr>
                <w:rFonts w:hint="eastAsia" w:ascii="仿宋" w:hAnsi="仿宋" w:eastAsia="仿宋" w:cs="仿宋"/>
                <w:color w:val="auto"/>
                <w:sz w:val="24"/>
                <w:shd w:val="clear" w:color="auto" w:fill="FFFFFF"/>
              </w:rPr>
              <w:t>优得</w:t>
            </w:r>
            <w:r>
              <w:rPr>
                <w:rFonts w:ascii="仿宋" w:hAnsi="仿宋" w:eastAsia="仿宋" w:cs="仿宋"/>
                <w:color w:val="auto"/>
                <w:sz w:val="24"/>
                <w:shd w:val="clear" w:color="auto" w:fill="FFFFFF"/>
              </w:rPr>
              <w:t>3</w:t>
            </w:r>
            <w:r>
              <w:rPr>
                <w:rFonts w:hint="eastAsia" w:ascii="仿宋" w:hAnsi="仿宋" w:eastAsia="仿宋" w:cs="仿宋"/>
                <w:color w:val="auto"/>
                <w:sz w:val="24"/>
                <w:shd w:val="clear" w:color="auto" w:fill="FFFFFF"/>
              </w:rPr>
              <w:t>分，良得</w:t>
            </w:r>
            <w:r>
              <w:rPr>
                <w:rFonts w:ascii="仿宋" w:hAnsi="仿宋" w:eastAsia="仿宋" w:cs="仿宋"/>
                <w:color w:val="auto"/>
                <w:sz w:val="24"/>
                <w:shd w:val="clear" w:color="auto" w:fill="FFFFFF"/>
              </w:rPr>
              <w:t>2</w:t>
            </w:r>
            <w:r>
              <w:rPr>
                <w:rFonts w:hint="eastAsia" w:ascii="仿宋" w:hAnsi="仿宋" w:eastAsia="仿宋" w:cs="仿宋"/>
                <w:color w:val="auto"/>
                <w:sz w:val="24"/>
                <w:shd w:val="clear" w:color="auto" w:fill="FFFFFF"/>
              </w:rPr>
              <w:t>分，一般得</w:t>
            </w:r>
            <w:r>
              <w:rPr>
                <w:rFonts w:ascii="仿宋" w:hAnsi="仿宋" w:eastAsia="仿宋" w:cs="仿宋"/>
                <w:color w:val="auto"/>
                <w:sz w:val="24"/>
                <w:shd w:val="clear" w:color="auto" w:fill="FFFFFF"/>
              </w:rPr>
              <w:t>1</w:t>
            </w:r>
            <w:r>
              <w:rPr>
                <w:rFonts w:hint="eastAsia" w:ascii="仿宋" w:hAnsi="仿宋" w:eastAsia="仿宋" w:cs="仿宋"/>
                <w:color w:val="auto"/>
                <w:sz w:val="24"/>
                <w:shd w:val="clear" w:color="auto" w:fill="FFFFFF"/>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bCs/>
                <w:sz w:val="24"/>
              </w:rPr>
              <w:t>3</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rPr>
            </w:pPr>
            <w:r>
              <w:rPr>
                <w:rFonts w:hint="eastAsia" w:ascii="仿宋" w:hAnsi="仿宋" w:eastAsia="仿宋" w:cs="仿宋"/>
                <w:b/>
                <w:color w:val="auto"/>
                <w:sz w:val="24"/>
                <w:shd w:val="clear" w:color="auto" w:fill="FFFFFF"/>
              </w:rPr>
              <w:t>现状调研及特征分析：</w:t>
            </w:r>
            <w:r>
              <w:rPr>
                <w:rFonts w:hint="eastAsia" w:ascii="仿宋" w:hAnsi="仿宋" w:eastAsia="仿宋" w:cs="仿宋"/>
                <w:color w:val="auto"/>
                <w:sz w:val="24"/>
                <w:shd w:val="clear" w:color="auto" w:fill="FFFFFF"/>
              </w:rPr>
              <w:t>从投标人对本项目现状调研和存在的问题分析等方面进行综合对比，评委根据各投标人的设计方案综合对比进行打分，</w:t>
            </w:r>
            <w:r>
              <w:rPr>
                <w:rFonts w:hint="eastAsia" w:ascii="仿宋" w:hAnsi="仿宋" w:eastAsia="仿宋" w:cs="仿宋"/>
                <w:color w:val="auto"/>
                <w:kern w:val="0"/>
                <w:sz w:val="24"/>
              </w:rPr>
              <w:t>是否明确、技术路线是否正确等方面综合对比进行打分。</w:t>
            </w:r>
            <w:r>
              <w:rPr>
                <w:rFonts w:hint="eastAsia" w:ascii="仿宋" w:hAnsi="仿宋" w:eastAsia="仿宋" w:cs="仿宋"/>
                <w:color w:val="auto"/>
                <w:sz w:val="24"/>
                <w:shd w:val="clear" w:color="auto" w:fill="FFFFFF"/>
              </w:rPr>
              <w:t>优得</w:t>
            </w:r>
            <w:r>
              <w:rPr>
                <w:rFonts w:ascii="仿宋" w:hAnsi="仿宋" w:eastAsia="仿宋" w:cs="仿宋"/>
                <w:color w:val="auto"/>
                <w:sz w:val="24"/>
                <w:shd w:val="clear" w:color="auto" w:fill="FFFFFF"/>
              </w:rPr>
              <w:t>3</w:t>
            </w:r>
            <w:r>
              <w:rPr>
                <w:rFonts w:hint="eastAsia" w:ascii="仿宋" w:hAnsi="仿宋" w:eastAsia="仿宋" w:cs="仿宋"/>
                <w:color w:val="auto"/>
                <w:sz w:val="24"/>
                <w:shd w:val="clear" w:color="auto" w:fill="FFFFFF"/>
              </w:rPr>
              <w:t>分，良得</w:t>
            </w:r>
            <w:r>
              <w:rPr>
                <w:rFonts w:ascii="仿宋" w:hAnsi="仿宋" w:eastAsia="仿宋" w:cs="仿宋"/>
                <w:color w:val="auto"/>
                <w:sz w:val="24"/>
                <w:shd w:val="clear" w:color="auto" w:fill="FFFFFF"/>
              </w:rPr>
              <w:t>2</w:t>
            </w:r>
            <w:r>
              <w:rPr>
                <w:rFonts w:hint="eastAsia" w:ascii="仿宋" w:hAnsi="仿宋" w:eastAsia="仿宋" w:cs="仿宋"/>
                <w:color w:val="auto"/>
                <w:sz w:val="24"/>
                <w:shd w:val="clear" w:color="auto" w:fill="FFFFFF"/>
              </w:rPr>
              <w:t>分，一般得</w:t>
            </w:r>
            <w:r>
              <w:rPr>
                <w:rFonts w:ascii="仿宋" w:hAnsi="仿宋" w:eastAsia="仿宋" w:cs="仿宋"/>
                <w:color w:val="auto"/>
                <w:sz w:val="24"/>
                <w:shd w:val="clear" w:color="auto" w:fill="FFFFFF"/>
              </w:rPr>
              <w:t>1</w:t>
            </w:r>
            <w:r>
              <w:rPr>
                <w:rFonts w:hint="eastAsia" w:ascii="仿宋" w:hAnsi="仿宋" w:eastAsia="仿宋" w:cs="仿宋"/>
                <w:color w:val="auto"/>
                <w:sz w:val="24"/>
                <w:shd w:val="clear" w:color="auto" w:fill="FFFFFF"/>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bCs/>
                <w:sz w:val="24"/>
              </w:rPr>
              <w:t>3</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职能解读及交通发展模式分析：</w:t>
            </w:r>
            <w:r>
              <w:rPr>
                <w:rFonts w:hint="eastAsia" w:ascii="仿宋" w:hAnsi="仿宋" w:eastAsia="仿宋" w:cs="仿宋"/>
                <w:color w:val="auto"/>
                <w:sz w:val="24"/>
                <w:shd w:val="clear" w:color="auto" w:fill="FFFFFF"/>
              </w:rPr>
              <w:t>从投标人是否清晰掌握古城未来发展方向，是否准确把握古城远期功能定位与古城交通系统定位</w:t>
            </w:r>
            <w:r>
              <w:rPr>
                <w:rFonts w:hint="eastAsia" w:ascii="仿宋" w:hAnsi="仿宋" w:eastAsia="仿宋" w:cs="仿宋"/>
                <w:color w:val="auto"/>
                <w:kern w:val="0"/>
                <w:sz w:val="24"/>
              </w:rPr>
              <w:t>等方面综合对比进行打分。</w:t>
            </w:r>
            <w:r>
              <w:rPr>
                <w:rFonts w:hint="eastAsia" w:ascii="仿宋" w:hAnsi="仿宋" w:eastAsia="仿宋" w:cs="仿宋"/>
                <w:color w:val="auto"/>
                <w:sz w:val="24"/>
                <w:shd w:val="clear" w:color="auto" w:fill="FFFFFF"/>
              </w:rPr>
              <w:t>优得</w:t>
            </w:r>
            <w:r>
              <w:rPr>
                <w:rFonts w:ascii="仿宋" w:hAnsi="仿宋" w:eastAsia="仿宋" w:cs="仿宋"/>
                <w:color w:val="auto"/>
                <w:sz w:val="24"/>
                <w:shd w:val="clear" w:color="auto" w:fill="FFFFFF"/>
              </w:rPr>
              <w:t>3</w:t>
            </w:r>
            <w:r>
              <w:rPr>
                <w:rFonts w:hint="eastAsia" w:ascii="仿宋" w:hAnsi="仿宋" w:eastAsia="仿宋" w:cs="仿宋"/>
                <w:color w:val="auto"/>
                <w:sz w:val="24"/>
                <w:shd w:val="clear" w:color="auto" w:fill="FFFFFF"/>
              </w:rPr>
              <w:t>分，良得</w:t>
            </w:r>
            <w:r>
              <w:rPr>
                <w:rFonts w:ascii="仿宋" w:hAnsi="仿宋" w:eastAsia="仿宋" w:cs="仿宋"/>
                <w:color w:val="auto"/>
                <w:sz w:val="24"/>
                <w:shd w:val="clear" w:color="auto" w:fill="FFFFFF"/>
              </w:rPr>
              <w:t>2</w:t>
            </w:r>
            <w:r>
              <w:rPr>
                <w:rFonts w:hint="eastAsia" w:ascii="仿宋" w:hAnsi="仿宋" w:eastAsia="仿宋" w:cs="仿宋"/>
                <w:color w:val="auto"/>
                <w:sz w:val="24"/>
                <w:shd w:val="clear" w:color="auto" w:fill="FFFFFF"/>
              </w:rPr>
              <w:t>分，一般得</w:t>
            </w:r>
            <w:r>
              <w:rPr>
                <w:rFonts w:ascii="仿宋" w:hAnsi="仿宋" w:eastAsia="仿宋" w:cs="仿宋"/>
                <w:color w:val="auto"/>
                <w:sz w:val="24"/>
                <w:shd w:val="clear" w:color="auto" w:fill="FFFFFF"/>
              </w:rPr>
              <w:t>1</w:t>
            </w:r>
            <w:r>
              <w:rPr>
                <w:rFonts w:hint="eastAsia" w:ascii="仿宋" w:hAnsi="仿宋" w:eastAsia="仿宋" w:cs="仿宋"/>
                <w:color w:val="auto"/>
                <w:sz w:val="24"/>
                <w:shd w:val="clear" w:color="auto" w:fill="FFFFFF"/>
              </w:rPr>
              <w:t>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bCs/>
                <w:sz w:val="24"/>
              </w:rPr>
              <w:t>4</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需求管理组织规划：</w:t>
            </w:r>
            <w:r>
              <w:rPr>
                <w:rFonts w:hint="eastAsia" w:ascii="仿宋" w:hAnsi="仿宋" w:eastAsia="仿宋" w:cs="仿宋"/>
                <w:color w:val="auto"/>
                <w:sz w:val="24"/>
                <w:shd w:val="clear" w:color="auto" w:fill="FFFFFF"/>
              </w:rPr>
              <w:t>投标人针对古城交通需求特征等从多角度提出需求管理总体方案，评委根据方案中体现的先进性、科学性、合理性、可实施性等方面进行横向对比。优得4分，良得3分，一般得2-1分，无不得分。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4</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供给提升组织规划：</w:t>
            </w:r>
            <w:r>
              <w:rPr>
                <w:rFonts w:hint="eastAsia" w:ascii="仿宋" w:hAnsi="仿宋" w:eastAsia="仿宋" w:cs="仿宋"/>
                <w:color w:val="auto"/>
                <w:sz w:val="24"/>
                <w:shd w:val="clear" w:color="auto" w:fill="FFFFFF"/>
              </w:rPr>
              <w:t>投标人针对古城内交通设施从挖潜增效、提升品质等角度提出规划方案，评委根据方案中体现的供给提升方案进行横向对比。优得4分，良得3分，一般得2-1分，无不得分。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4</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公交与慢行组织规划：</w:t>
            </w:r>
            <w:r>
              <w:rPr>
                <w:rFonts w:hint="eastAsia" w:ascii="仿宋" w:hAnsi="仿宋" w:eastAsia="仿宋" w:cs="仿宋"/>
                <w:color w:val="auto"/>
                <w:sz w:val="24"/>
                <w:shd w:val="clear" w:color="auto" w:fill="FFFFFF"/>
              </w:rPr>
              <w:t>投标人应以古城内交通模式调整、绿色出行优先为目标提出公交与慢行组织规划方案，评委根据方案中体现的公交与慢行组织规划方案进行横向对比。优得4分，良得3分，一般得2-1分，无不得分。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4</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智能交通提升规划：</w:t>
            </w:r>
            <w:r>
              <w:rPr>
                <w:rFonts w:hint="eastAsia" w:ascii="仿宋" w:hAnsi="仿宋" w:eastAsia="仿宋" w:cs="仿宋"/>
                <w:color w:val="auto"/>
                <w:sz w:val="24"/>
                <w:shd w:val="clear" w:color="auto" w:fill="FFFFFF"/>
              </w:rPr>
              <w:t>投标人对古城内智能交通应提出符合古城定位并适当超前的智能交通规划方案，评委根据方案中体现的先进性、科学性、合理性等方面进行横向对比。优得4分，良得3分，一般得2-1分，无不得分。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77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3</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
                <w:color w:val="auto"/>
                <w:sz w:val="24"/>
                <w:shd w:val="clear" w:color="auto" w:fill="FFFFFF"/>
              </w:rPr>
            </w:pPr>
            <w:r>
              <w:rPr>
                <w:rFonts w:hint="eastAsia" w:ascii="仿宋" w:hAnsi="仿宋" w:eastAsia="仿宋" w:cs="仿宋"/>
                <w:b/>
                <w:color w:val="auto"/>
                <w:sz w:val="24"/>
                <w:shd w:val="clear" w:color="auto" w:fill="FFFFFF"/>
              </w:rPr>
              <w:t>近期建设计划：</w:t>
            </w:r>
            <w:r>
              <w:rPr>
                <w:rFonts w:hint="eastAsia" w:ascii="仿宋" w:hAnsi="仿宋" w:eastAsia="仿宋" w:cs="仿宋"/>
                <w:color w:val="auto"/>
                <w:sz w:val="24"/>
                <w:shd w:val="clear" w:color="auto" w:fill="FFFFFF"/>
              </w:rPr>
              <w:t>投标人针对绍兴古城规划范围内提出近期微工程改造、打通断头路、微循环交通组织等规划方案，评委根据方案中体现的交通组织设计进行横向对比，是否合理、高效、可操作性强</w:t>
            </w:r>
            <w:r>
              <w:rPr>
                <w:rFonts w:hint="eastAsia" w:ascii="仿宋" w:hAnsi="仿宋" w:eastAsia="仿宋" w:cs="仿宋"/>
                <w:color w:val="auto"/>
                <w:kern w:val="0"/>
                <w:sz w:val="24"/>
              </w:rPr>
              <w:t>等方面综合对比进行打分。</w:t>
            </w:r>
            <w:r>
              <w:rPr>
                <w:rFonts w:hint="eastAsia" w:ascii="仿宋" w:hAnsi="仿宋" w:eastAsia="仿宋" w:cs="仿宋"/>
                <w:color w:val="auto"/>
                <w:sz w:val="24"/>
                <w:shd w:val="clear" w:color="auto" w:fill="FFFFFF"/>
              </w:rPr>
              <w:t>优得</w:t>
            </w:r>
            <w:r>
              <w:rPr>
                <w:rFonts w:hint="eastAsia" w:ascii="仿宋" w:hAnsi="仿宋" w:eastAsia="仿宋" w:cs="仿宋"/>
                <w:color w:val="auto"/>
                <w:sz w:val="24"/>
                <w:shd w:val="clear" w:color="auto" w:fill="FFFFFF"/>
                <w:lang w:val="en-US" w:eastAsia="zh-CN"/>
              </w:rPr>
              <w:t>3</w:t>
            </w:r>
            <w:r>
              <w:rPr>
                <w:rFonts w:hint="eastAsia" w:ascii="仿宋" w:hAnsi="仿宋" w:eastAsia="仿宋" w:cs="仿宋"/>
                <w:color w:val="auto"/>
                <w:sz w:val="24"/>
                <w:shd w:val="clear" w:color="auto" w:fill="FFFFFF"/>
              </w:rPr>
              <w:t>分，良得</w:t>
            </w:r>
            <w:r>
              <w:rPr>
                <w:rFonts w:hint="eastAsia" w:ascii="仿宋" w:hAnsi="仿宋" w:eastAsia="仿宋" w:cs="仿宋"/>
                <w:color w:val="auto"/>
                <w:sz w:val="24"/>
                <w:shd w:val="clear" w:color="auto" w:fill="FFFFFF"/>
                <w:lang w:val="en-US" w:eastAsia="zh-CN"/>
              </w:rPr>
              <w:t>2</w:t>
            </w:r>
            <w:r>
              <w:rPr>
                <w:rFonts w:hint="eastAsia" w:ascii="仿宋" w:hAnsi="仿宋" w:eastAsia="仿宋" w:cs="仿宋"/>
                <w:color w:val="auto"/>
                <w:sz w:val="24"/>
                <w:shd w:val="clear" w:color="auto" w:fill="FFFFFF"/>
              </w:rPr>
              <w:t>分，一般得1分，无不得分。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858" w:type="dxa"/>
            <w:vMerge w:val="restart"/>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项目团队实力要求</w:t>
            </w:r>
          </w:p>
        </w:tc>
        <w:tc>
          <w:tcPr>
            <w:tcW w:w="735" w:type="dxa"/>
            <w:vMerge w:val="restart"/>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21</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3</w:t>
            </w:r>
          </w:p>
        </w:tc>
        <w:tc>
          <w:tcPr>
            <w:tcW w:w="660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拟派项目负责人资历：交通领域教授级高级工程师、研究员、教授职称得3分；交通领域高级工程师、副研究员、副教授职称得2分；交通领域具备交通相关专业硕士及以上学位的工程师、助理研究员、讲师职称得1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color w:val="auto"/>
                <w:sz w:val="24"/>
              </w:rPr>
              <w:t>注：投标文件中须提供相关证书及包含有</w:t>
            </w:r>
            <w:r>
              <w:rPr>
                <w:rFonts w:ascii="仿宋" w:hAnsi="仿宋" w:eastAsia="仿宋" w:cs="仿宋"/>
                <w:color w:val="auto"/>
                <w:sz w:val="24"/>
              </w:rPr>
              <w:t>2020</w:t>
            </w:r>
            <w:r>
              <w:rPr>
                <w:rFonts w:hint="eastAsia" w:ascii="仿宋" w:hAnsi="仿宋" w:eastAsia="仿宋" w:cs="仿宋"/>
                <w:color w:val="auto"/>
                <w:sz w:val="24"/>
              </w:rPr>
              <w:t>年9月-11月本单位缴纳社保证明复印件加盖单位公章</w:t>
            </w:r>
            <w:r>
              <w:rPr>
                <w:rFonts w:hint="eastAsia" w:ascii="仿宋" w:hAnsi="仿宋" w:eastAsia="仿宋" w:cs="仿宋"/>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color w:val="auto"/>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color w:val="auto"/>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eastAsia" w:ascii="仿宋" w:hAnsi="仿宋" w:eastAsia="仿宋" w:cs="仿宋"/>
                <w:bCs/>
                <w:color w:val="auto"/>
                <w:sz w:val="24"/>
                <w:lang w:eastAsia="zh-CN"/>
              </w:rPr>
            </w:pPr>
            <w:r>
              <w:rPr>
                <w:rFonts w:hint="eastAsia" w:ascii="仿宋" w:hAnsi="仿宋" w:eastAsia="仿宋" w:cs="仿宋"/>
                <w:bCs/>
                <w:color w:val="auto"/>
                <w:sz w:val="24"/>
                <w:lang w:val="en-US" w:eastAsia="zh-CN"/>
              </w:rPr>
              <w:t>5</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rPr>
            </w:pPr>
            <w:r>
              <w:rPr>
                <w:rFonts w:hint="eastAsia" w:ascii="仿宋" w:hAnsi="仿宋" w:eastAsia="仿宋" w:cs="仿宋"/>
                <w:color w:val="auto"/>
                <w:sz w:val="24"/>
              </w:rPr>
              <w:t>201</w:t>
            </w:r>
            <w:r>
              <w:rPr>
                <w:rFonts w:hint="eastAsia" w:ascii="仿宋" w:hAnsi="仿宋" w:eastAsia="仿宋" w:cs="仿宋"/>
                <w:color w:val="auto"/>
                <w:sz w:val="24"/>
                <w:lang w:val="en-US" w:eastAsia="zh-CN"/>
              </w:rPr>
              <w:t>5</w:t>
            </w:r>
            <w:r>
              <w:rPr>
                <w:rFonts w:hint="eastAsia" w:ascii="仿宋" w:hAnsi="仿宋" w:eastAsia="仿宋" w:cs="仿宋"/>
                <w:color w:val="auto"/>
                <w:sz w:val="24"/>
              </w:rPr>
              <w:t>年1月1日以来</w:t>
            </w:r>
            <w:r>
              <w:rPr>
                <w:rFonts w:hint="eastAsia" w:ascii="仿宋" w:hAnsi="仿宋" w:eastAsia="仿宋" w:cs="仿宋"/>
                <w:bCs/>
                <w:color w:val="auto"/>
                <w:sz w:val="24"/>
              </w:rPr>
              <w:t>拟派项目负责人业绩：项目负责人主持过的地级市（含）以上城市交</w:t>
            </w:r>
            <w:r>
              <w:rPr>
                <w:rFonts w:hint="eastAsia" w:ascii="仿宋" w:hAnsi="仿宋" w:eastAsia="仿宋" w:cs="仿宋"/>
                <w:color w:val="auto"/>
                <w:sz w:val="24"/>
              </w:rPr>
              <w:t>通管理体系规划、城市智能交通管理规划设计项目，每个得1分，最高得</w:t>
            </w:r>
            <w:r>
              <w:rPr>
                <w:rFonts w:hint="eastAsia" w:ascii="仿宋" w:hAnsi="仿宋" w:eastAsia="仿宋" w:cs="仿宋"/>
                <w:color w:val="auto"/>
                <w:sz w:val="24"/>
                <w:lang w:val="en-US" w:eastAsia="zh-CN"/>
              </w:rPr>
              <w:t>5</w:t>
            </w:r>
            <w:r>
              <w:rPr>
                <w:rFonts w:hint="eastAsia" w:ascii="仿宋" w:hAnsi="仿宋" w:eastAsia="仿宋" w:cs="仿宋"/>
                <w:color w:val="auto"/>
                <w:sz w:val="24"/>
              </w:rPr>
              <w:t>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注：投标文件中须提供合同关键页或中标通知书复印件加盖单位公章，若合同或中标通知书中无法反映项目负责人信息的，须另外出具委托方的证明材料。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2"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color w:val="auto"/>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color w:val="auto"/>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7.5</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拟派项目负责人证书：项目负责人在</w:t>
            </w:r>
            <w:r>
              <w:rPr>
                <w:rFonts w:hint="eastAsia" w:ascii="仿宋" w:hAnsi="仿宋" w:eastAsia="仿宋" w:cs="仿宋"/>
                <w:color w:val="auto"/>
                <w:sz w:val="24"/>
                <w:highlight w:val="none"/>
              </w:rPr>
              <w:t>城市交通管理规划、智能交通管理规划设计项目</w:t>
            </w:r>
            <w:r>
              <w:rPr>
                <w:rFonts w:hint="eastAsia" w:ascii="仿宋" w:hAnsi="仿宋" w:eastAsia="仿宋" w:cs="仿宋"/>
                <w:bCs/>
                <w:color w:val="auto"/>
                <w:sz w:val="24"/>
                <w:highlight w:val="none"/>
              </w:rPr>
              <w:t>或城市交通相关科学研究成果获得过省级人民政府或国家部委或更高级别颁发证书的，每一个证书得1</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rPr>
              <w:t>分，获得过地级市</w:t>
            </w:r>
            <w:r>
              <w:rPr>
                <w:rFonts w:hint="eastAsia" w:ascii="仿宋" w:hAnsi="仿宋" w:eastAsia="仿宋" w:cs="仿宋"/>
                <w:bCs/>
                <w:color w:val="auto"/>
                <w:sz w:val="24"/>
                <w:highlight w:val="none"/>
                <w:lang w:eastAsia="zh-CN"/>
              </w:rPr>
              <w:t>证书的</w:t>
            </w:r>
            <w:r>
              <w:rPr>
                <w:rFonts w:hint="eastAsia" w:ascii="仿宋" w:hAnsi="仿宋" w:eastAsia="仿宋" w:cs="仿宋"/>
                <w:bCs/>
                <w:color w:val="auto"/>
                <w:sz w:val="24"/>
                <w:highlight w:val="none"/>
              </w:rPr>
              <w:t>每个得0.5分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最高得</w:t>
            </w:r>
            <w:r>
              <w:rPr>
                <w:rFonts w:hint="eastAsia" w:ascii="仿宋" w:hAnsi="仿宋" w:eastAsia="仿宋" w:cs="仿宋"/>
                <w:bCs/>
                <w:color w:val="auto"/>
                <w:sz w:val="24"/>
                <w:highlight w:val="none"/>
                <w:lang w:val="en-US" w:eastAsia="zh-CN"/>
              </w:rPr>
              <w:t>7.</w:t>
            </w:r>
            <w:r>
              <w:rPr>
                <w:rFonts w:ascii="仿宋" w:hAnsi="仿宋" w:eastAsia="仿宋" w:cs="仿宋"/>
                <w:bCs/>
                <w:color w:val="auto"/>
                <w:sz w:val="24"/>
                <w:highlight w:val="none"/>
              </w:rPr>
              <w:t>5</w:t>
            </w:r>
            <w:r>
              <w:rPr>
                <w:rFonts w:hint="eastAsia" w:ascii="仿宋" w:hAnsi="仿宋" w:eastAsia="仿宋" w:cs="仿宋"/>
                <w:bCs/>
                <w:color w:val="auto"/>
                <w:sz w:val="24"/>
                <w:highlight w:val="none"/>
              </w:rPr>
              <w:t>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highlight w:val="none"/>
              </w:rPr>
              <w:t>注：投标文件中须提供相关证明材料复印件加盖单位公章。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15" w:hRule="atLeast"/>
          <w:jc w:val="center"/>
        </w:trPr>
        <w:tc>
          <w:tcPr>
            <w:tcW w:w="858" w:type="dxa"/>
            <w:vMerge w:val="continue"/>
            <w:tcBorders>
              <w:left w:val="single" w:color="auto" w:sz="4" w:space="0"/>
              <w:right w:val="single" w:color="auto" w:sz="4" w:space="0"/>
            </w:tcBorders>
            <w:vAlign w:val="center"/>
          </w:tcPr>
          <w:p>
            <w:pPr>
              <w:spacing w:line="288" w:lineRule="auto"/>
              <w:rPr>
                <w:rFonts w:ascii="仿宋" w:hAnsi="仿宋" w:eastAsia="仿宋" w:cs="仿宋"/>
                <w:bCs/>
                <w:color w:val="auto"/>
                <w:sz w:val="24"/>
              </w:rPr>
            </w:pPr>
          </w:p>
        </w:tc>
        <w:tc>
          <w:tcPr>
            <w:tcW w:w="735" w:type="dxa"/>
            <w:vMerge w:val="continue"/>
            <w:tcBorders>
              <w:left w:val="single" w:color="auto" w:sz="4" w:space="0"/>
              <w:right w:val="single" w:color="auto" w:sz="4" w:space="0"/>
            </w:tcBorders>
            <w:vAlign w:val="center"/>
          </w:tcPr>
          <w:p>
            <w:pPr>
              <w:spacing w:line="288" w:lineRule="auto"/>
              <w:rPr>
                <w:rFonts w:ascii="仿宋" w:hAnsi="仿宋" w:eastAsia="仿宋" w:cs="仿宋"/>
                <w:bCs/>
                <w:color w:val="auto"/>
                <w:sz w:val="24"/>
              </w:rPr>
            </w:pPr>
          </w:p>
        </w:tc>
        <w:tc>
          <w:tcPr>
            <w:tcW w:w="1104"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lang w:val="en-US" w:eastAsia="zh-CN"/>
              </w:rPr>
            </w:pPr>
            <w:r>
              <w:rPr>
                <w:rFonts w:hint="eastAsia" w:ascii="仿宋" w:hAnsi="仿宋" w:eastAsia="仿宋" w:cs="仿宋"/>
                <w:bCs/>
                <w:color w:val="auto"/>
                <w:sz w:val="24"/>
                <w:lang w:val="en-US" w:eastAsia="zh-CN"/>
              </w:rPr>
              <w:t>5.5</w:t>
            </w:r>
          </w:p>
        </w:tc>
        <w:tc>
          <w:tcPr>
            <w:tcW w:w="6602"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专业技术团队构成（除项目负责人外）：</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1、技术团队中具有</w:t>
            </w:r>
            <w:r>
              <w:rPr>
                <w:rFonts w:hint="eastAsia" w:ascii="仿宋" w:hAnsi="仿宋" w:eastAsia="仿宋" w:cs="仿宋"/>
                <w:color w:val="auto"/>
                <w:sz w:val="24"/>
              </w:rPr>
              <w:t>交通领域</w:t>
            </w:r>
            <w:r>
              <w:rPr>
                <w:rFonts w:hint="eastAsia" w:ascii="仿宋" w:hAnsi="仿宋" w:eastAsia="仿宋" w:cs="仿宋"/>
                <w:bCs/>
                <w:color w:val="auto"/>
                <w:sz w:val="24"/>
              </w:rPr>
              <w:t>教授级高工、教授、研究员职称得1.5分/人，最高得3分；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2、技术团队中具有</w:t>
            </w:r>
            <w:r>
              <w:rPr>
                <w:rFonts w:hint="eastAsia" w:ascii="仿宋" w:hAnsi="仿宋" w:eastAsia="仿宋" w:cs="仿宋"/>
                <w:color w:val="auto"/>
                <w:sz w:val="24"/>
              </w:rPr>
              <w:t>交通领域</w:t>
            </w:r>
            <w:r>
              <w:rPr>
                <w:rFonts w:hint="eastAsia" w:ascii="仿宋" w:hAnsi="仿宋" w:eastAsia="仿宋" w:cs="仿宋"/>
                <w:bCs/>
                <w:color w:val="auto"/>
                <w:sz w:val="24"/>
              </w:rPr>
              <w:t>高级工程师、副教授、副研究员职称得1分/人，最高得</w:t>
            </w:r>
            <w:r>
              <w:rPr>
                <w:rFonts w:ascii="仿宋" w:hAnsi="仿宋" w:eastAsia="仿宋" w:cs="仿宋"/>
                <w:bCs/>
                <w:color w:val="auto"/>
                <w:sz w:val="24"/>
              </w:rPr>
              <w:t>2</w:t>
            </w:r>
            <w:r>
              <w:rPr>
                <w:rFonts w:hint="eastAsia" w:ascii="仿宋" w:hAnsi="仿宋" w:eastAsia="仿宋" w:cs="仿宋"/>
                <w:bCs/>
                <w:color w:val="auto"/>
                <w:sz w:val="24"/>
              </w:rPr>
              <w:t>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3、技术团队中具有交通运输、交通信息相关专业博士学位：0.5分/人，最高得</w:t>
            </w:r>
            <w:r>
              <w:rPr>
                <w:rFonts w:hint="eastAsia" w:ascii="仿宋" w:hAnsi="仿宋" w:eastAsia="仿宋" w:cs="仿宋"/>
                <w:bCs/>
                <w:color w:val="auto"/>
                <w:sz w:val="24"/>
                <w:lang w:val="en-US" w:eastAsia="zh-CN"/>
              </w:rPr>
              <w:t>0.5</w:t>
            </w:r>
            <w:r>
              <w:rPr>
                <w:rFonts w:hint="eastAsia" w:ascii="仿宋" w:hAnsi="仿宋" w:eastAsia="仿宋" w:cs="仿宋"/>
                <w:bCs/>
                <w:color w:val="auto"/>
                <w:sz w:val="24"/>
              </w:rPr>
              <w:t>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注：人员不可重复计分，</w:t>
            </w:r>
            <w:r>
              <w:rPr>
                <w:rFonts w:hint="eastAsia" w:ascii="仿宋" w:hAnsi="仿宋" w:eastAsia="仿宋" w:cs="仿宋"/>
                <w:color w:val="auto"/>
                <w:sz w:val="24"/>
              </w:rPr>
              <w:t>投标文件中须提供相关证书及包含有</w:t>
            </w:r>
            <w:r>
              <w:rPr>
                <w:rFonts w:ascii="仿宋" w:hAnsi="仿宋" w:eastAsia="仿宋" w:cs="仿宋"/>
                <w:color w:val="auto"/>
                <w:sz w:val="24"/>
              </w:rPr>
              <w:t>2020</w:t>
            </w:r>
            <w:r>
              <w:rPr>
                <w:rFonts w:hint="eastAsia" w:ascii="仿宋" w:hAnsi="仿宋" w:eastAsia="仿宋" w:cs="仿宋"/>
                <w:color w:val="auto"/>
                <w:sz w:val="24"/>
              </w:rPr>
              <w:t>年9月-11月本单位缴纳社保证明复印件加盖单位公章</w:t>
            </w:r>
            <w:r>
              <w:rPr>
                <w:rFonts w:hint="eastAsia" w:ascii="仿宋" w:hAnsi="仿宋" w:eastAsia="仿宋" w:cs="仿宋"/>
                <w:bCs/>
                <w:color w:val="auto"/>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58" w:type="dxa"/>
            <w:tcBorders>
              <w:top w:val="single" w:color="auto" w:sz="4" w:space="0"/>
              <w:left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rPr>
            </w:pPr>
            <w:r>
              <w:rPr>
                <w:rFonts w:hint="eastAsia" w:ascii="仿宋" w:hAnsi="仿宋" w:eastAsia="仿宋" w:cs="仿宋"/>
                <w:color w:val="auto"/>
                <w:sz w:val="24"/>
              </w:rPr>
              <w:t>业绩</w:t>
            </w:r>
          </w:p>
        </w:tc>
        <w:tc>
          <w:tcPr>
            <w:tcW w:w="735"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10</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10</w:t>
            </w:r>
          </w:p>
        </w:tc>
        <w:tc>
          <w:tcPr>
            <w:tcW w:w="660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投标人提供自2016年1月1日起至今同类项目业绩（地级市及以上城市交通管理体系规划或智能交通管理规划设计项目），每提供一个得2分，最高得10分。</w:t>
            </w:r>
          </w:p>
          <w:p>
            <w:pPr>
              <w:autoSpaceDE w:val="0"/>
              <w:autoSpaceDN w:val="0"/>
              <w:spacing w:line="288" w:lineRule="auto"/>
              <w:rPr>
                <w:rFonts w:ascii="仿宋" w:hAnsi="仿宋" w:eastAsia="仿宋" w:cs="仿宋"/>
                <w:bCs/>
                <w:color w:val="auto"/>
                <w:sz w:val="24"/>
              </w:rPr>
            </w:pPr>
            <w:r>
              <w:rPr>
                <w:rFonts w:hint="eastAsia" w:ascii="仿宋" w:hAnsi="仿宋" w:eastAsia="仿宋" w:cs="仿宋"/>
                <w:bCs/>
                <w:color w:val="auto"/>
                <w:sz w:val="24"/>
              </w:rPr>
              <w:t>注：投标文件中须提供合同关键页或中标通知书复印件加盖单位公章。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6" w:hRule="atLeast"/>
          <w:jc w:val="center"/>
        </w:trPr>
        <w:tc>
          <w:tcPr>
            <w:tcW w:w="858"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其他情况</w:t>
            </w:r>
          </w:p>
        </w:tc>
        <w:tc>
          <w:tcPr>
            <w:tcW w:w="735"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7.5</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7.5</w:t>
            </w:r>
          </w:p>
        </w:tc>
        <w:tc>
          <w:tcPr>
            <w:tcW w:w="660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投标人承担的城市交通管理体专项规划、城市智能交通管理规划设计项目或城市交通相关科学研究成果获得过省级人民政府或国家部委或更高级别颁发</w:t>
            </w:r>
            <w:r>
              <w:rPr>
                <w:rFonts w:hint="eastAsia" w:ascii="仿宋" w:hAnsi="仿宋" w:eastAsia="仿宋" w:cs="仿宋"/>
                <w:bCs/>
                <w:color w:val="auto"/>
                <w:sz w:val="24"/>
                <w:highlight w:val="none"/>
              </w:rPr>
              <w:t>证书</w:t>
            </w:r>
            <w:r>
              <w:rPr>
                <w:rFonts w:hint="eastAsia" w:ascii="仿宋" w:hAnsi="仿宋" w:eastAsia="仿宋" w:cs="仿宋"/>
                <w:color w:val="auto"/>
                <w:sz w:val="24"/>
                <w:highlight w:val="none"/>
              </w:rPr>
              <w:t>的，每一个</w:t>
            </w:r>
            <w:r>
              <w:rPr>
                <w:rFonts w:hint="eastAsia" w:ascii="仿宋" w:hAnsi="仿宋" w:eastAsia="仿宋" w:cs="仿宋"/>
                <w:bCs/>
                <w:color w:val="auto"/>
                <w:sz w:val="24"/>
                <w:highlight w:val="none"/>
              </w:rPr>
              <w:t>证书</w:t>
            </w:r>
            <w:r>
              <w:rPr>
                <w:rFonts w:hint="eastAsia" w:ascii="仿宋" w:hAnsi="仿宋" w:eastAsia="仿宋" w:cs="仿宋"/>
                <w:color w:val="auto"/>
                <w:sz w:val="24"/>
                <w:highlight w:val="none"/>
              </w:rPr>
              <w:t>得1.5分，</w:t>
            </w:r>
            <w:r>
              <w:rPr>
                <w:rFonts w:hint="eastAsia" w:ascii="仿宋" w:hAnsi="仿宋" w:eastAsia="仿宋" w:cs="仿宋"/>
                <w:bCs/>
                <w:color w:val="auto"/>
                <w:sz w:val="24"/>
                <w:highlight w:val="none"/>
              </w:rPr>
              <w:t>获得过地级市</w:t>
            </w:r>
            <w:r>
              <w:rPr>
                <w:rFonts w:hint="eastAsia" w:ascii="仿宋" w:hAnsi="仿宋" w:eastAsia="仿宋" w:cs="仿宋"/>
                <w:bCs/>
                <w:color w:val="auto"/>
                <w:sz w:val="24"/>
                <w:highlight w:val="none"/>
                <w:lang w:eastAsia="zh-CN"/>
              </w:rPr>
              <w:t>证书的</w:t>
            </w:r>
            <w:r>
              <w:rPr>
                <w:rFonts w:hint="eastAsia" w:ascii="仿宋" w:hAnsi="仿宋" w:eastAsia="仿宋" w:cs="仿宋"/>
                <w:bCs/>
                <w:color w:val="auto"/>
                <w:sz w:val="24"/>
                <w:highlight w:val="none"/>
              </w:rPr>
              <w:t>每个得0.5分</w:t>
            </w:r>
            <w:r>
              <w:rPr>
                <w:rFonts w:hint="eastAsia" w:ascii="仿宋" w:hAnsi="仿宋" w:eastAsia="仿宋" w:cs="仿宋"/>
                <w:bCs/>
                <w:color w:val="auto"/>
                <w:sz w:val="24"/>
                <w:highlight w:val="none"/>
                <w:lang w:eastAsia="zh-CN"/>
              </w:rPr>
              <w:t>，</w:t>
            </w:r>
            <w:r>
              <w:rPr>
                <w:rFonts w:hint="eastAsia" w:ascii="仿宋" w:hAnsi="仿宋" w:eastAsia="仿宋" w:cs="仿宋"/>
                <w:bCs/>
                <w:color w:val="auto"/>
                <w:sz w:val="24"/>
                <w:highlight w:val="none"/>
              </w:rPr>
              <w:t>最高得</w:t>
            </w:r>
            <w:r>
              <w:rPr>
                <w:rFonts w:hint="eastAsia" w:ascii="仿宋" w:hAnsi="仿宋" w:eastAsia="仿宋" w:cs="仿宋"/>
                <w:bCs/>
                <w:color w:val="auto"/>
                <w:sz w:val="24"/>
                <w:highlight w:val="none"/>
                <w:lang w:val="en-US" w:eastAsia="zh-CN"/>
              </w:rPr>
              <w:t>7.</w:t>
            </w:r>
            <w:r>
              <w:rPr>
                <w:rFonts w:ascii="仿宋" w:hAnsi="仿宋" w:eastAsia="仿宋" w:cs="仿宋"/>
                <w:bCs/>
                <w:color w:val="auto"/>
                <w:sz w:val="24"/>
                <w:highlight w:val="none"/>
              </w:rPr>
              <w:t>5</w:t>
            </w:r>
            <w:r>
              <w:rPr>
                <w:rFonts w:hint="eastAsia" w:ascii="仿宋" w:hAnsi="仿宋" w:eastAsia="仿宋" w:cs="仿宋"/>
                <w:bCs/>
                <w:color w:val="auto"/>
                <w:sz w:val="24"/>
                <w:highlight w:val="none"/>
              </w:rPr>
              <w:t>分。</w:t>
            </w:r>
          </w:p>
          <w:p>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注：投标文件中须提供相关证明材料</w:t>
            </w:r>
            <w:r>
              <w:rPr>
                <w:rFonts w:hint="eastAsia" w:ascii="仿宋" w:hAnsi="仿宋" w:eastAsia="仿宋" w:cs="仿宋"/>
                <w:bCs/>
                <w:color w:val="auto"/>
                <w:sz w:val="24"/>
                <w:highlight w:val="none"/>
              </w:rPr>
              <w:t>复印件加盖单位公章</w:t>
            </w:r>
            <w:r>
              <w:rPr>
                <w:rFonts w:hint="eastAsia" w:ascii="仿宋" w:hAnsi="仿宋" w:eastAsia="仿宋" w:cs="仿宋"/>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04" w:hRule="atLeast"/>
          <w:jc w:val="center"/>
        </w:trPr>
        <w:tc>
          <w:tcPr>
            <w:tcW w:w="858"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创新能力</w:t>
            </w:r>
          </w:p>
        </w:tc>
        <w:tc>
          <w:tcPr>
            <w:tcW w:w="735" w:type="dxa"/>
            <w:tcBorders>
              <w:top w:val="single" w:color="auto" w:sz="4" w:space="0"/>
              <w:left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7.5</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7.5</w:t>
            </w:r>
          </w:p>
        </w:tc>
        <w:tc>
          <w:tcPr>
            <w:tcW w:w="660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本项目对城市交通管理、道路交通组织设计的创新及规划设计要求，对投标人是否具备交通健康分析、交通智能诊断、交通设计辅助系统、交通道路横断面设计、交叉口通行能力计算等类似软件著作权进行评分，每具备一个得1.5分，最高得7.5分。</w:t>
            </w:r>
          </w:p>
          <w:p>
            <w:pPr>
              <w:autoSpaceDE w:val="0"/>
              <w:autoSpaceDN w:val="0"/>
              <w:spacing w:line="288" w:lineRule="auto"/>
              <w:rPr>
                <w:rFonts w:ascii="仿宋" w:hAnsi="仿宋" w:eastAsia="仿宋" w:cs="仿宋"/>
                <w:color w:val="auto"/>
                <w:sz w:val="24"/>
                <w:highlight w:val="yellow"/>
              </w:rPr>
            </w:pPr>
            <w:r>
              <w:rPr>
                <w:rFonts w:hint="eastAsia" w:ascii="仿宋" w:hAnsi="仿宋" w:eastAsia="仿宋" w:cs="仿宋"/>
                <w:color w:val="auto"/>
                <w:sz w:val="24"/>
                <w:highlight w:val="none"/>
              </w:rPr>
              <w:t>注：提供国家版权局颁发的证书复印件加盖公章，软件著作权登记日期需在招标公告发布日期之前。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4" w:hRule="atLeast"/>
          <w:jc w:val="center"/>
        </w:trPr>
        <w:tc>
          <w:tcPr>
            <w:tcW w:w="858" w:type="dxa"/>
            <w:tcBorders>
              <w:left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color w:val="auto"/>
                <w:sz w:val="24"/>
              </w:rPr>
              <w:t>服务能力</w:t>
            </w:r>
          </w:p>
        </w:tc>
        <w:tc>
          <w:tcPr>
            <w:tcW w:w="735" w:type="dxa"/>
            <w:tcBorders>
              <w:left w:val="single" w:color="auto" w:sz="4" w:space="0"/>
              <w:right w:val="single" w:color="auto" w:sz="4" w:space="0"/>
            </w:tcBorders>
            <w:vAlign w:val="center"/>
          </w:tcPr>
          <w:p>
            <w:pPr>
              <w:spacing w:line="288" w:lineRule="auto"/>
              <w:jc w:val="center"/>
              <w:rPr>
                <w:rFonts w:ascii="仿宋" w:hAnsi="仿宋" w:eastAsia="仿宋" w:cs="仿宋"/>
                <w:bCs/>
                <w:color w:val="auto"/>
                <w:sz w:val="24"/>
              </w:rPr>
            </w:pPr>
            <w:r>
              <w:rPr>
                <w:rFonts w:hint="eastAsia" w:ascii="仿宋" w:hAnsi="仿宋" w:eastAsia="仿宋" w:cs="仿宋"/>
                <w:bCs/>
                <w:color w:val="auto"/>
                <w:sz w:val="24"/>
              </w:rPr>
              <w:t>4</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4</w:t>
            </w:r>
          </w:p>
        </w:tc>
        <w:tc>
          <w:tcPr>
            <w:tcW w:w="660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1、项目整体工作阶段及任务划分、进度控制是否合理、关键时间节点把握是否科学准确；</w:t>
            </w:r>
          </w:p>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2、质量保证体系是否完备周全，并具有针对性应对措施；</w:t>
            </w:r>
          </w:p>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3、后续服务保障体系否健全，应对措施是否科学，与采购人日常配合是否能高效落实,</w:t>
            </w:r>
          </w:p>
          <w:p>
            <w:pPr>
              <w:autoSpaceDE w:val="0"/>
              <w:autoSpaceDN w:val="0"/>
              <w:spacing w:line="288" w:lineRule="auto"/>
              <w:rPr>
                <w:rFonts w:ascii="仿宋" w:hAnsi="仿宋" w:eastAsia="仿宋" w:cs="仿宋"/>
                <w:color w:val="auto"/>
                <w:sz w:val="24"/>
              </w:rPr>
            </w:pPr>
            <w:r>
              <w:rPr>
                <w:rFonts w:hint="eastAsia" w:ascii="仿宋" w:hAnsi="仿宋" w:eastAsia="仿宋" w:cs="仿宋"/>
                <w:color w:val="auto"/>
                <w:sz w:val="24"/>
              </w:rPr>
              <w:t>4、相关服务承诺是否满足项目需求。</w:t>
            </w:r>
          </w:p>
          <w:p>
            <w:pPr>
              <w:autoSpaceDE w:val="0"/>
              <w:autoSpaceDN w:val="0"/>
              <w:spacing w:line="288" w:lineRule="auto"/>
              <w:rPr>
                <w:rFonts w:ascii="仿宋" w:hAnsi="仿宋" w:eastAsia="仿宋" w:cs="仿宋"/>
                <w:bCs/>
                <w:color w:val="auto"/>
                <w:sz w:val="24"/>
              </w:rPr>
            </w:pPr>
            <w:r>
              <w:rPr>
                <w:rFonts w:hint="eastAsia" w:ascii="仿宋" w:hAnsi="仿宋" w:eastAsia="仿宋" w:cs="仿宋"/>
                <w:color w:val="auto"/>
                <w:sz w:val="24"/>
                <w:shd w:val="clear" w:color="auto" w:fill="FFFFFF"/>
              </w:rPr>
              <w:t>优得</w:t>
            </w:r>
            <w:r>
              <w:rPr>
                <w:rFonts w:ascii="仿宋" w:hAnsi="仿宋" w:eastAsia="仿宋" w:cs="仿宋"/>
                <w:color w:val="auto"/>
                <w:sz w:val="24"/>
                <w:shd w:val="clear" w:color="auto" w:fill="FFFFFF"/>
              </w:rPr>
              <w:t>4</w:t>
            </w:r>
            <w:r>
              <w:rPr>
                <w:rFonts w:hint="eastAsia" w:ascii="仿宋" w:hAnsi="仿宋" w:eastAsia="仿宋" w:cs="仿宋"/>
                <w:color w:val="auto"/>
                <w:sz w:val="24"/>
                <w:shd w:val="clear" w:color="auto" w:fill="FFFFFF"/>
              </w:rPr>
              <w:t>分，良得</w:t>
            </w:r>
            <w:r>
              <w:rPr>
                <w:rFonts w:ascii="仿宋" w:hAnsi="仿宋" w:eastAsia="仿宋" w:cs="仿宋"/>
                <w:color w:val="auto"/>
                <w:sz w:val="24"/>
                <w:shd w:val="clear" w:color="auto" w:fill="FFFFFF"/>
              </w:rPr>
              <w:t>3</w:t>
            </w:r>
            <w:r>
              <w:rPr>
                <w:rFonts w:hint="eastAsia" w:ascii="仿宋" w:hAnsi="仿宋" w:eastAsia="仿宋" w:cs="仿宋"/>
                <w:color w:val="auto"/>
                <w:sz w:val="24"/>
                <w:shd w:val="clear" w:color="auto" w:fill="FFFFFF"/>
              </w:rPr>
              <w:t>分，一般得</w:t>
            </w:r>
            <w:r>
              <w:rPr>
                <w:rFonts w:ascii="仿宋" w:hAnsi="仿宋" w:eastAsia="仿宋" w:cs="仿宋"/>
                <w:color w:val="auto"/>
                <w:sz w:val="24"/>
                <w:shd w:val="clear" w:color="auto" w:fill="FFFFFF"/>
              </w:rPr>
              <w:t>2</w:t>
            </w:r>
            <w:r>
              <w:rPr>
                <w:rFonts w:hint="eastAsia" w:ascii="仿宋" w:hAnsi="仿宋" w:eastAsia="仿宋" w:cs="仿宋"/>
                <w:color w:val="auto"/>
                <w:sz w:val="24"/>
                <w:shd w:val="clear" w:color="auto" w:fill="FFFFFF"/>
              </w:rPr>
              <w:t>分，较差得1分，无不得分。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8" w:hRule="atLeast"/>
          <w:jc w:val="center"/>
        </w:trPr>
        <w:tc>
          <w:tcPr>
            <w:tcW w:w="858"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bCs/>
                <w:sz w:val="24"/>
              </w:rPr>
              <w:t>标书编制</w:t>
            </w:r>
          </w:p>
        </w:tc>
        <w:tc>
          <w:tcPr>
            <w:tcW w:w="735"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sz w:val="24"/>
              </w:rPr>
            </w:pPr>
            <w:r>
              <w:rPr>
                <w:rFonts w:hint="eastAsia" w:ascii="仿宋" w:hAnsi="仿宋" w:eastAsia="仿宋" w:cs="仿宋"/>
                <w:bCs/>
                <w:sz w:val="24"/>
              </w:rPr>
              <w:t>2</w:t>
            </w:r>
          </w:p>
        </w:tc>
        <w:tc>
          <w:tcPr>
            <w:tcW w:w="1104"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jc w:val="center"/>
              <w:rPr>
                <w:rFonts w:ascii="仿宋" w:hAnsi="仿宋" w:eastAsia="仿宋" w:cs="仿宋"/>
                <w:bCs/>
                <w:color w:val="auto"/>
                <w:sz w:val="24"/>
              </w:rPr>
            </w:pPr>
            <w:r>
              <w:rPr>
                <w:rFonts w:hint="eastAsia" w:ascii="仿宋" w:hAnsi="仿宋" w:eastAsia="仿宋" w:cs="仿宋"/>
                <w:bCs/>
                <w:color w:val="auto"/>
                <w:sz w:val="24"/>
              </w:rPr>
              <w:t>2</w:t>
            </w:r>
          </w:p>
        </w:tc>
        <w:tc>
          <w:tcPr>
            <w:tcW w:w="6602" w:type="dxa"/>
            <w:tcBorders>
              <w:top w:val="single" w:color="auto" w:sz="4" w:space="0"/>
              <w:left w:val="single" w:color="auto" w:sz="4" w:space="0"/>
              <w:bottom w:val="single" w:color="auto" w:sz="4" w:space="0"/>
              <w:right w:val="single" w:color="auto" w:sz="4" w:space="0"/>
            </w:tcBorders>
            <w:vAlign w:val="center"/>
          </w:tcPr>
          <w:p>
            <w:pPr>
              <w:autoSpaceDE w:val="0"/>
              <w:autoSpaceDN w:val="0"/>
              <w:spacing w:line="288" w:lineRule="auto"/>
              <w:rPr>
                <w:rFonts w:ascii="仿宋" w:hAnsi="仿宋" w:eastAsia="仿宋" w:cs="仿宋"/>
                <w:bCs/>
                <w:color w:val="auto"/>
                <w:sz w:val="24"/>
              </w:rPr>
            </w:pPr>
            <w:bookmarkStart w:id="7" w:name="_GoBack"/>
            <w:r>
              <w:rPr>
                <w:rFonts w:hint="eastAsia" w:ascii="仿宋" w:hAnsi="仿宋" w:eastAsia="仿宋" w:cs="仿宋"/>
                <w:color w:val="auto"/>
                <w:sz w:val="24"/>
              </w:rPr>
              <w:t>投标文件质量编制完整，格式规范、符合招标文件要求</w:t>
            </w:r>
            <w:r>
              <w:rPr>
                <w:rFonts w:hint="eastAsia" w:ascii="仿宋" w:hAnsi="仿宋" w:eastAsia="仿宋" w:cs="仿宋"/>
                <w:color w:val="auto"/>
                <w:sz w:val="24"/>
                <w:lang w:eastAsia="zh-CN"/>
              </w:rPr>
              <w:t>。</w:t>
            </w:r>
            <w:r>
              <w:rPr>
                <w:rFonts w:hint="eastAsia" w:ascii="仿宋" w:hAnsi="仿宋" w:eastAsia="仿宋" w:cs="仿宋"/>
                <w:color w:val="auto"/>
                <w:sz w:val="24"/>
                <w:shd w:val="clear" w:color="auto" w:fill="FFFFFF"/>
              </w:rPr>
              <w:t>优得</w:t>
            </w:r>
            <w:r>
              <w:rPr>
                <w:rFonts w:hint="eastAsia" w:ascii="仿宋" w:hAnsi="仿宋" w:eastAsia="仿宋" w:cs="仿宋"/>
                <w:color w:val="auto"/>
                <w:sz w:val="24"/>
                <w:shd w:val="clear" w:color="auto" w:fill="FFFFFF"/>
                <w:lang w:val="en-US" w:eastAsia="zh-CN"/>
              </w:rPr>
              <w:t>2</w:t>
            </w:r>
            <w:r>
              <w:rPr>
                <w:rFonts w:hint="eastAsia" w:ascii="仿宋" w:hAnsi="仿宋" w:eastAsia="仿宋" w:cs="仿宋"/>
                <w:color w:val="auto"/>
                <w:sz w:val="24"/>
                <w:shd w:val="clear" w:color="auto" w:fill="FFFFFF"/>
              </w:rPr>
              <w:t>分，良得</w:t>
            </w:r>
            <w:r>
              <w:rPr>
                <w:rFonts w:hint="eastAsia" w:ascii="仿宋" w:hAnsi="仿宋" w:eastAsia="仿宋" w:cs="仿宋"/>
                <w:color w:val="auto"/>
                <w:sz w:val="24"/>
                <w:shd w:val="clear" w:color="auto" w:fill="FFFFFF"/>
                <w:lang w:val="en-US" w:eastAsia="zh-CN"/>
              </w:rPr>
              <w:t>1.5</w:t>
            </w:r>
            <w:r>
              <w:rPr>
                <w:rFonts w:hint="eastAsia" w:ascii="仿宋" w:hAnsi="仿宋" w:eastAsia="仿宋" w:cs="仿宋"/>
                <w:color w:val="auto"/>
                <w:sz w:val="24"/>
                <w:shd w:val="clear" w:color="auto" w:fill="FFFFFF"/>
              </w:rPr>
              <w:t>分，一般得1</w:t>
            </w:r>
            <w:r>
              <w:rPr>
                <w:rFonts w:hint="eastAsia" w:ascii="仿宋" w:hAnsi="仿宋" w:eastAsia="仿宋" w:cs="仿宋"/>
                <w:color w:val="auto"/>
                <w:sz w:val="24"/>
                <w:shd w:val="clear" w:color="auto" w:fill="FFFFFF"/>
                <w:lang w:val="en-US" w:eastAsia="zh-CN"/>
              </w:rPr>
              <w:t>-0</w:t>
            </w:r>
            <w:r>
              <w:rPr>
                <w:rFonts w:hint="eastAsia" w:ascii="仿宋" w:hAnsi="仿宋" w:eastAsia="仿宋" w:cs="仿宋"/>
                <w:color w:val="auto"/>
                <w:sz w:val="24"/>
                <w:shd w:val="clear" w:color="auto" w:fill="FFFFFF"/>
              </w:rPr>
              <w:t>分。</w:t>
            </w:r>
            <w:bookmarkEnd w:id="7"/>
          </w:p>
        </w:tc>
      </w:tr>
    </w:tbl>
    <w:p>
      <w:pPr>
        <w:spacing w:line="288" w:lineRule="auto"/>
        <w:rPr>
          <w:rFonts w:ascii="仿宋" w:hAnsi="仿宋" w:eastAsia="仿宋" w:cs="仿宋"/>
          <w:b/>
          <w:sz w:val="24"/>
        </w:rPr>
      </w:pPr>
      <w:r>
        <w:rPr>
          <w:rFonts w:hint="eastAsia" w:ascii="仿宋" w:hAnsi="仿宋" w:eastAsia="仿宋" w:cs="仿宋"/>
          <w:b/>
          <w:sz w:val="24"/>
        </w:rPr>
        <w:t>注：1、本项目招标文件内对开标现场原件核验不作要求，招标人有权在标后对中标候选人进行原件核验，投标人对所提供的全部资料的真实性承担法律责任。</w:t>
      </w:r>
    </w:p>
    <w:p>
      <w:pPr>
        <w:spacing w:line="288" w:lineRule="auto"/>
        <w:ind w:firstLine="482" w:firstLineChars="200"/>
        <w:rPr>
          <w:rFonts w:ascii="仿宋" w:hAnsi="仿宋" w:eastAsia="仿宋" w:cs="仿宋"/>
          <w:b/>
          <w:sz w:val="24"/>
        </w:rPr>
      </w:pPr>
      <w:r>
        <w:rPr>
          <w:rFonts w:hint="eastAsia" w:ascii="仿宋" w:hAnsi="仿宋" w:eastAsia="仿宋" w:cs="仿宋"/>
          <w:b/>
          <w:sz w:val="24"/>
        </w:rPr>
        <w:t>2、所有的证书及检测报告必须在有效期内，不在有效期内的不得分。</w:t>
      </w:r>
    </w:p>
    <w:p>
      <w:pPr>
        <w:spacing w:line="288" w:lineRule="auto"/>
        <w:rPr>
          <w:rFonts w:ascii="仿宋" w:hAnsi="仿宋" w:eastAsia="仿宋" w:cs="仿宋"/>
          <w:b/>
          <w:sz w:val="24"/>
        </w:rPr>
      </w:pPr>
      <w:r>
        <w:rPr>
          <w:rFonts w:hint="eastAsia" w:ascii="仿宋" w:hAnsi="仿宋" w:eastAsia="仿宋" w:cs="仿宋"/>
          <w:b/>
          <w:sz w:val="24"/>
        </w:rPr>
        <w:t>▲ 减分：</w:t>
      </w:r>
      <w:r>
        <w:rPr>
          <w:rFonts w:hint="eastAsia" w:ascii="仿宋" w:hAnsi="仿宋" w:eastAsia="仿宋" w:cs="仿宋"/>
          <w:bCs/>
          <w:sz w:val="24"/>
        </w:rPr>
        <w:t>投标人的信誉情况：政府采购领域中投标人在项目招标、投标和合同履约期间是否存在不良行为记录。</w:t>
      </w:r>
    </w:p>
    <w:p>
      <w:pPr>
        <w:spacing w:line="288" w:lineRule="auto"/>
        <w:rPr>
          <w:rFonts w:ascii="仿宋" w:hAnsi="仿宋" w:eastAsia="仿宋" w:cs="仿宋"/>
          <w:b/>
          <w:bCs/>
          <w:iCs/>
          <w:sz w:val="24"/>
        </w:rPr>
      </w:pPr>
      <w:r>
        <w:rPr>
          <w:rFonts w:hint="eastAsia" w:ascii="仿宋" w:hAnsi="仿宋" w:eastAsia="仿宋" w:cs="仿宋"/>
          <w:b/>
          <w:sz w:val="24"/>
        </w:rPr>
        <w:t xml:space="preserve">● </w:t>
      </w:r>
      <w:r>
        <w:rPr>
          <w:rFonts w:hint="eastAsia" w:ascii="仿宋" w:hAnsi="仿宋" w:eastAsia="仿宋" w:cs="仿宋"/>
          <w:bCs/>
          <w:sz w:val="24"/>
        </w:rPr>
        <w:t>投标人参加本次政府采购活动前三年内在浙江省范围内政府采购领域中受到不良行为记录处罚的每次扣1分。</w:t>
      </w:r>
    </w:p>
    <w:p>
      <w:pPr>
        <w:spacing w:line="288" w:lineRule="auto"/>
        <w:rPr>
          <w:rFonts w:ascii="仿宋" w:hAnsi="仿宋" w:eastAsia="仿宋" w:cs="仿宋"/>
          <w:b/>
          <w:bCs/>
          <w:iCs/>
          <w:sz w:val="24"/>
          <w:highlight w:val="cyan"/>
        </w:rPr>
      </w:pPr>
      <w:r>
        <w:rPr>
          <w:rFonts w:hint="eastAsia" w:ascii="仿宋" w:hAnsi="仿宋" w:eastAsia="仿宋" w:cs="仿宋"/>
          <w:b/>
          <w:bCs/>
          <w:iCs/>
          <w:sz w:val="24"/>
        </w:rPr>
        <w:t>2.2价格分（20分）</w:t>
      </w:r>
    </w:p>
    <w:p>
      <w:pPr>
        <w:spacing w:line="288" w:lineRule="auto"/>
        <w:rPr>
          <w:rFonts w:ascii="仿宋" w:hAnsi="仿宋" w:eastAsia="仿宋" w:cs="仿宋"/>
          <w:iCs/>
          <w:sz w:val="24"/>
        </w:rPr>
      </w:pPr>
      <w:r>
        <w:rPr>
          <w:rFonts w:hint="eastAsia" w:ascii="仿宋" w:hAnsi="仿宋" w:eastAsia="仿宋" w:cs="仿宋"/>
          <w:iCs/>
          <w:sz w:val="24"/>
        </w:rPr>
        <w:t>2.2.1评标基准价：即满足招标文件要求且投标价格最低的投标报价为评标基准价，其价格分为满分。</w:t>
      </w:r>
    </w:p>
    <w:p>
      <w:pPr>
        <w:spacing w:line="288" w:lineRule="auto"/>
        <w:rPr>
          <w:rFonts w:ascii="仿宋" w:hAnsi="仿宋" w:eastAsia="仿宋" w:cs="仿宋"/>
          <w:iCs/>
          <w:sz w:val="24"/>
        </w:rPr>
      </w:pPr>
      <w:r>
        <w:rPr>
          <w:rFonts w:hint="eastAsia" w:ascii="仿宋" w:hAnsi="仿宋" w:eastAsia="仿宋" w:cs="仿宋"/>
          <w:iCs/>
          <w:sz w:val="24"/>
        </w:rPr>
        <w:t>2.2.2其他投标人的价格分统一按照下列公式计算：</w:t>
      </w:r>
    </w:p>
    <w:p>
      <w:pPr>
        <w:spacing w:line="288" w:lineRule="auto"/>
        <w:rPr>
          <w:rFonts w:ascii="仿宋" w:hAnsi="仿宋" w:eastAsia="仿宋" w:cs="仿宋"/>
          <w:iCs/>
          <w:sz w:val="24"/>
        </w:rPr>
      </w:pPr>
      <w:r>
        <w:rPr>
          <w:rFonts w:hint="eastAsia" w:ascii="仿宋" w:hAnsi="仿宋" w:eastAsia="仿宋" w:cs="仿宋"/>
          <w:iCs/>
          <w:sz w:val="24"/>
        </w:rPr>
        <w:t>投标报价得分=(评标基准价／投标报价)×价格权值×100</w:t>
      </w:r>
    </w:p>
    <w:p>
      <w:pPr>
        <w:spacing w:line="288" w:lineRule="auto"/>
        <w:rPr>
          <w:rFonts w:ascii="仿宋" w:hAnsi="仿宋" w:eastAsia="仿宋" w:cs="仿宋"/>
          <w:iCs/>
          <w:sz w:val="24"/>
        </w:rPr>
      </w:pPr>
      <w:r>
        <w:rPr>
          <w:rFonts w:hint="eastAsia" w:ascii="仿宋" w:hAnsi="仿宋" w:eastAsia="仿宋" w:cs="仿宋"/>
          <w:iCs/>
          <w:sz w:val="24"/>
        </w:rPr>
        <w:t>即：投标报价得分=(评标基准价／投标报价)×20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jc w:val="center"/>
        <w:rPr>
          <w:rFonts w:ascii="仿宋" w:hAnsi="仿宋" w:eastAsia="仿宋" w:cs="仿宋"/>
          <w:b/>
          <w:sz w:val="36"/>
          <w:szCs w:val="20"/>
        </w:rPr>
      </w:pPr>
      <w:r>
        <w:rPr>
          <w:rFonts w:hint="eastAsia" w:ascii="仿宋" w:hAnsi="仿宋" w:eastAsia="仿宋" w:cs="仿宋"/>
          <w:b/>
          <w:sz w:val="36"/>
          <w:szCs w:val="20"/>
        </w:rPr>
        <w:br w:type="page"/>
      </w:r>
      <w:r>
        <w:rPr>
          <w:rFonts w:hint="eastAsia" w:ascii="仿宋" w:hAnsi="仿宋" w:eastAsia="仿宋" w:cs="仿宋"/>
          <w:b/>
          <w:sz w:val="36"/>
          <w:szCs w:val="20"/>
        </w:rPr>
        <w:t>第六部分</w:t>
      </w:r>
      <w:r>
        <w:rPr>
          <w:rFonts w:hint="eastAsia" w:ascii="仿宋" w:hAnsi="仿宋" w:eastAsia="仿宋" w:cs="仿宋"/>
          <w:b/>
          <w:sz w:val="36"/>
          <w:szCs w:val="36"/>
        </w:rPr>
        <w:t>投标文件</w:t>
      </w:r>
      <w:r>
        <w:rPr>
          <w:rFonts w:hint="eastAsia" w:ascii="仿宋" w:hAnsi="仿宋" w:eastAsia="仿宋" w:cs="仿宋"/>
          <w:b/>
          <w:sz w:val="36"/>
          <w:szCs w:val="20"/>
        </w:rPr>
        <w:t>应提交的有关格式范例</w:t>
      </w:r>
    </w:p>
    <w:p>
      <w:pPr>
        <w:spacing w:line="288" w:lineRule="auto"/>
        <w:ind w:firstLine="480" w:firstLineChars="200"/>
        <w:outlineLvl w:val="0"/>
        <w:rPr>
          <w:rFonts w:ascii="仿宋" w:hAnsi="仿宋" w:eastAsia="仿宋" w:cs="仿宋"/>
          <w:sz w:val="24"/>
        </w:rPr>
      </w:pPr>
      <w:r>
        <w:rPr>
          <w:rFonts w:hint="eastAsia" w:ascii="仿宋" w:hAnsi="仿宋" w:eastAsia="仿宋" w:cs="仿宋"/>
          <w:sz w:val="24"/>
        </w:rPr>
        <w:t>投标人按照以下格式编制投标文件,</w:t>
      </w:r>
      <w:r>
        <w:rPr>
          <w:rFonts w:hint="eastAsia" w:ascii="仿宋" w:hAnsi="仿宋" w:eastAsia="仿宋" w:cs="仿宋"/>
          <w:sz w:val="24"/>
          <w:lang w:val="zh-CN"/>
        </w:rPr>
        <w:t>制作加密电子投标文件时做好关联点设置。</w:t>
      </w: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pacing w:line="288" w:lineRule="auto"/>
        <w:ind w:firstLine="480" w:firstLineChars="200"/>
        <w:outlineLvl w:val="0"/>
        <w:rPr>
          <w:rFonts w:ascii="仿宋" w:hAnsi="仿宋" w:eastAsia="仿宋" w:cs="仿宋"/>
          <w:sz w:val="24"/>
        </w:rPr>
      </w:pPr>
    </w:p>
    <w:p>
      <w:pPr>
        <w:snapToGrid w:val="0"/>
        <w:spacing w:line="288" w:lineRule="auto"/>
        <w:jc w:val="center"/>
        <w:rPr>
          <w:rFonts w:ascii="仿宋" w:hAnsi="仿宋" w:eastAsia="仿宋" w:cs="仿宋"/>
          <w:b/>
          <w:kern w:val="0"/>
          <w:sz w:val="36"/>
          <w:szCs w:val="36"/>
        </w:rPr>
      </w:pPr>
      <w:r>
        <w:rPr>
          <w:rFonts w:hint="eastAsia" w:ascii="仿宋" w:hAnsi="仿宋" w:eastAsia="仿宋" w:cs="仿宋"/>
          <w:b/>
          <w:kern w:val="0"/>
          <w:sz w:val="36"/>
          <w:szCs w:val="36"/>
        </w:rPr>
        <w:t>报价文件部分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pPr>
        <w:spacing w:line="288" w:lineRule="auto"/>
        <w:outlineLvl w:val="0"/>
        <w:rPr>
          <w:rFonts w:ascii="仿宋" w:hAnsi="仿宋" w:eastAsia="仿宋" w:cs="仿宋"/>
          <w:kern w:val="0"/>
          <w:sz w:val="24"/>
        </w:rPr>
      </w:pPr>
      <w:r>
        <w:rPr>
          <w:rFonts w:hint="eastAsia" w:ascii="仿宋" w:hAnsi="仿宋" w:eastAsia="仿宋" w:cs="仿宋"/>
          <w:kern w:val="0"/>
          <w:sz w:val="24"/>
        </w:rPr>
        <w:t>（1）投标响应函……………………………………………………（页码）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（2）开标一览表……………………………………………………（页码）</w:t>
      </w:r>
    </w:p>
    <w:p>
      <w:pPr>
        <w:spacing w:line="288" w:lineRule="auto"/>
        <w:outlineLvl w:val="0"/>
        <w:rPr>
          <w:rFonts w:ascii="仿宋" w:hAnsi="仿宋" w:eastAsia="仿宋" w:cs="仿宋"/>
          <w:kern w:val="0"/>
          <w:sz w:val="24"/>
        </w:rPr>
      </w:pPr>
      <w:r>
        <w:rPr>
          <w:rFonts w:hint="eastAsia" w:ascii="仿宋" w:hAnsi="仿宋" w:eastAsia="仿宋" w:cs="仿宋"/>
          <w:kern w:val="0"/>
          <w:sz w:val="24"/>
        </w:rPr>
        <w:t>（3）中小企业声明函</w:t>
      </w:r>
      <w:r>
        <w:rPr>
          <w:rFonts w:hint="eastAsia" w:ascii="仿宋" w:hAnsi="仿宋" w:eastAsia="仿宋" w:cs="仿宋"/>
          <w:kern w:val="0"/>
          <w:sz w:val="24"/>
          <w:lang w:eastAsia="zh-CN"/>
        </w:rPr>
        <w:t>（二选一）</w:t>
      </w:r>
      <w:r>
        <w:rPr>
          <w:rFonts w:hint="eastAsia" w:ascii="仿宋" w:hAnsi="仿宋" w:eastAsia="仿宋" w:cs="仿宋"/>
          <w:kern w:val="0"/>
          <w:sz w:val="24"/>
        </w:rPr>
        <w:t>…………………………………（页码）</w:t>
      </w:r>
    </w:p>
    <w:p>
      <w:pPr>
        <w:spacing w:line="288" w:lineRule="auto"/>
        <w:outlineLvl w:val="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kern w:val="0"/>
          <w:sz w:val="24"/>
        </w:rPr>
      </w:pPr>
    </w:p>
    <w:p>
      <w:pPr>
        <w:spacing w:line="288" w:lineRule="auto"/>
        <w:ind w:left="2" w:firstLine="480" w:firstLineChars="200"/>
        <w:rPr>
          <w:rFonts w:ascii="仿宋" w:hAnsi="仿宋" w:eastAsia="仿宋" w:cs="仿宋"/>
          <w:sz w:val="24"/>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pStyle w:val="13"/>
        <w:spacing w:line="288" w:lineRule="auto"/>
        <w:ind w:left="0" w:leftChars="0"/>
        <w:rPr>
          <w:rFonts w:ascii="仿宋" w:hAnsi="仿宋" w:eastAsia="仿宋" w:cs="仿宋"/>
          <w:b/>
          <w:sz w:val="36"/>
          <w:szCs w:val="36"/>
        </w:rPr>
      </w:pPr>
    </w:p>
    <w:p>
      <w:pPr>
        <w:spacing w:line="288" w:lineRule="auto"/>
        <w:rPr>
          <w:rFonts w:ascii="仿宋" w:hAnsi="仿宋" w:eastAsia="仿宋" w:cs="仿宋"/>
          <w:b/>
          <w:sz w:val="30"/>
          <w:szCs w:val="30"/>
        </w:rPr>
      </w:pP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1、投标响应函（格式）</w:t>
      </w:r>
    </w:p>
    <w:p>
      <w:pPr>
        <w:pStyle w:val="64"/>
        <w:spacing w:afterLines="0" w:line="288" w:lineRule="auto"/>
        <w:ind w:firstLine="0" w:firstLineChars="0"/>
        <w:rPr>
          <w:rFonts w:ascii="仿宋" w:hAnsi="仿宋" w:eastAsia="仿宋" w:cs="仿宋"/>
          <w:szCs w:val="24"/>
        </w:rPr>
      </w:pPr>
    </w:p>
    <w:p>
      <w:pPr>
        <w:pStyle w:val="64"/>
        <w:spacing w:afterLines="0" w:line="288" w:lineRule="auto"/>
        <w:ind w:firstLine="0" w:firstLineChars="0"/>
        <w:rPr>
          <w:rFonts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 xml:space="preserve">绍兴市公安局交通管理局、耀华建设管理有限公司 </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我方已完全明白招标文件的所有条款要求，兹声明同意如下：</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耀华建设管理有限公司提供可能另外要求的与投标有关的任何数据或资料。</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pPr>
        <w:pStyle w:val="7"/>
        <w:numPr>
          <w:ilvl w:val="0"/>
          <w:numId w:val="0"/>
        </w:numPr>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pPr>
        <w:pStyle w:val="64"/>
        <w:spacing w:afterLines="0" w:line="288" w:lineRule="auto"/>
        <w:ind w:firstLine="480"/>
        <w:rPr>
          <w:rFonts w:ascii="仿宋" w:hAnsi="仿宋" w:eastAsia="仿宋" w:cs="仿宋"/>
          <w:szCs w:val="24"/>
        </w:rPr>
      </w:pP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地址：　　　　　　　　　　　　　　　邮政编码：</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电话：                              传真：</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开户银行：                          帐号：</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法定代表人或其授权代表(签字或</w:t>
      </w:r>
      <w:r>
        <w:rPr>
          <w:rFonts w:hint="eastAsia" w:ascii="仿宋" w:hAnsi="仿宋" w:eastAsia="仿宋" w:cs="仿宋"/>
          <w:szCs w:val="24"/>
          <w:lang w:eastAsia="zh-CN"/>
        </w:rPr>
        <w:t>盖章</w:t>
      </w:r>
      <w:r>
        <w:rPr>
          <w:rFonts w:hint="eastAsia" w:ascii="仿宋" w:hAnsi="仿宋" w:eastAsia="仿宋" w:cs="仿宋"/>
          <w:szCs w:val="24"/>
        </w:rPr>
        <w:t>)：</w:t>
      </w:r>
    </w:p>
    <w:p>
      <w:pPr>
        <w:pStyle w:val="64"/>
        <w:spacing w:afterLines="0" w:line="288" w:lineRule="auto"/>
        <w:ind w:firstLine="480"/>
        <w:rPr>
          <w:rFonts w:ascii="仿宋" w:hAnsi="仿宋" w:eastAsia="仿宋" w:cs="仿宋"/>
          <w:szCs w:val="24"/>
        </w:rPr>
      </w:pPr>
      <w:r>
        <w:rPr>
          <w:rFonts w:hint="eastAsia" w:ascii="仿宋" w:hAnsi="仿宋" w:eastAsia="仿宋" w:cs="仿宋"/>
          <w:szCs w:val="24"/>
        </w:rPr>
        <w:t xml:space="preserve">投标人(电子签章)：　　　　　　　　　日期：    </w:t>
      </w:r>
    </w:p>
    <w:p>
      <w:pPr>
        <w:pageBreakBefore/>
        <w:spacing w:line="288" w:lineRule="auto"/>
        <w:rPr>
          <w:rFonts w:ascii="仿宋" w:hAnsi="仿宋" w:eastAsia="仿宋" w:cs="仿宋"/>
          <w:b/>
          <w:sz w:val="30"/>
          <w:szCs w:val="30"/>
        </w:rPr>
      </w:pPr>
      <w:r>
        <w:rPr>
          <w:rFonts w:hint="eastAsia" w:ascii="仿宋" w:hAnsi="仿宋" w:eastAsia="仿宋" w:cs="仿宋"/>
          <w:b/>
          <w:sz w:val="30"/>
          <w:szCs w:val="30"/>
        </w:rPr>
        <w:t>2、开标一览表（格式）</w:t>
      </w:r>
    </w:p>
    <w:p>
      <w:pPr>
        <w:spacing w:line="288" w:lineRule="auto"/>
        <w:rPr>
          <w:rFonts w:ascii="仿宋" w:hAnsi="仿宋" w:eastAsia="仿宋" w:cs="仿宋"/>
          <w:sz w:val="24"/>
        </w:rPr>
      </w:pPr>
    </w:p>
    <w:p>
      <w:pPr>
        <w:spacing w:line="288" w:lineRule="auto"/>
        <w:rPr>
          <w:rFonts w:ascii="仿宋" w:hAnsi="仿宋" w:eastAsia="仿宋" w:cs="仿宋"/>
          <w:sz w:val="24"/>
        </w:rPr>
      </w:pPr>
      <w:r>
        <w:rPr>
          <w:rFonts w:hint="eastAsia" w:ascii="仿宋" w:hAnsi="仿宋" w:eastAsia="仿宋" w:cs="仿宋"/>
          <w:sz w:val="24"/>
        </w:rPr>
        <w:t>投标人名称：</w:t>
      </w:r>
    </w:p>
    <w:p>
      <w:pPr>
        <w:snapToGrid w:val="0"/>
        <w:spacing w:line="288" w:lineRule="auto"/>
        <w:rPr>
          <w:rFonts w:ascii="仿宋" w:hAnsi="仿宋" w:eastAsia="仿宋" w:cs="仿宋"/>
          <w:sz w:val="24"/>
        </w:rPr>
      </w:pPr>
      <w:r>
        <w:rPr>
          <w:rFonts w:hint="eastAsia" w:ascii="仿宋" w:hAnsi="仿宋" w:eastAsia="仿宋" w:cs="仿宋"/>
          <w:sz w:val="24"/>
        </w:rPr>
        <w:t>标    项：</w:t>
      </w:r>
    </w:p>
    <w:p>
      <w:pPr>
        <w:snapToGrid w:val="0"/>
        <w:spacing w:line="288" w:lineRule="auto"/>
        <w:rPr>
          <w:rFonts w:ascii="仿宋" w:hAnsi="仿宋" w:eastAsia="仿宋" w:cs="仿宋"/>
          <w:sz w:val="24"/>
          <w:u w:val="single"/>
        </w:rPr>
      </w:pPr>
      <w:r>
        <w:rPr>
          <w:rFonts w:hint="eastAsia" w:ascii="仿宋" w:hAnsi="仿宋" w:eastAsia="仿宋" w:cs="仿宋"/>
          <w:sz w:val="24"/>
        </w:rPr>
        <w:t>招标编号：</w:t>
      </w:r>
    </w:p>
    <w:p>
      <w:pPr>
        <w:spacing w:line="288" w:lineRule="auto"/>
        <w:jc w:val="left"/>
        <w:rPr>
          <w:rFonts w:ascii="仿宋" w:hAnsi="仿宋" w:eastAsia="仿宋" w:cs="仿宋"/>
          <w:sz w:val="24"/>
        </w:rPr>
      </w:pPr>
      <w:r>
        <w:rPr>
          <w:rFonts w:hint="eastAsia" w:ascii="仿宋" w:hAnsi="仿宋" w:eastAsia="仿宋" w:cs="仿宋"/>
          <w:sz w:val="24"/>
        </w:rPr>
        <w:t xml:space="preserve">                                                            单位：元</w:t>
      </w:r>
    </w:p>
    <w:tbl>
      <w:tblPr>
        <w:tblStyle w:val="27"/>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snapToGrid w:val="0"/>
              <w:spacing w:line="288" w:lineRule="auto"/>
              <w:jc w:val="center"/>
              <w:rPr>
                <w:rFonts w:ascii="仿宋" w:hAnsi="仿宋" w:eastAsia="仿宋" w:cs="仿宋"/>
                <w:spacing w:val="20"/>
                <w:sz w:val="24"/>
              </w:rPr>
            </w:pPr>
            <w:r>
              <w:rPr>
                <w:rFonts w:hint="eastAsia" w:ascii="仿宋" w:hAnsi="仿宋" w:eastAsia="仿宋" w:cs="仿宋"/>
                <w:spacing w:val="20"/>
                <w:sz w:val="24"/>
              </w:rPr>
              <w:t>序号</w:t>
            </w:r>
          </w:p>
        </w:tc>
        <w:tc>
          <w:tcPr>
            <w:tcW w:w="1080" w:type="dxa"/>
            <w:tcBorders>
              <w:right w:val="single" w:color="auto" w:sz="4" w:space="0"/>
            </w:tcBorders>
            <w:vAlign w:val="center"/>
          </w:tcPr>
          <w:p>
            <w:pPr>
              <w:snapToGrid w:val="0"/>
              <w:spacing w:line="288" w:lineRule="auto"/>
              <w:ind w:left="-107" w:leftChars="-51" w:right="-107" w:rightChars="-51" w:firstLine="2"/>
              <w:jc w:val="center"/>
              <w:rPr>
                <w:rFonts w:ascii="仿宋" w:hAnsi="仿宋" w:eastAsia="仿宋" w:cs="仿宋"/>
                <w:spacing w:val="20"/>
                <w:sz w:val="24"/>
              </w:rPr>
            </w:pPr>
            <w:r>
              <w:rPr>
                <w:rFonts w:hint="eastAsia" w:ascii="仿宋" w:hAnsi="仿宋" w:eastAsia="仿宋" w:cs="仿宋"/>
                <w:spacing w:val="20"/>
                <w:sz w:val="24"/>
              </w:rPr>
              <w:t>名称</w:t>
            </w:r>
          </w:p>
        </w:tc>
        <w:tc>
          <w:tcPr>
            <w:tcW w:w="1261" w:type="dxa"/>
            <w:tcBorders>
              <w:left w:val="single" w:color="auto" w:sz="4" w:space="0"/>
            </w:tcBorders>
            <w:vAlign w:val="center"/>
          </w:tcPr>
          <w:p>
            <w:pPr>
              <w:snapToGrid w:val="0"/>
              <w:spacing w:line="288" w:lineRule="auto"/>
              <w:ind w:left="-107" w:leftChars="-51" w:right="-107" w:rightChars="-51"/>
              <w:rPr>
                <w:rFonts w:ascii="仿宋" w:hAnsi="仿宋" w:eastAsia="仿宋" w:cs="仿宋"/>
                <w:spacing w:val="20"/>
                <w:sz w:val="24"/>
              </w:rPr>
            </w:pPr>
            <w:r>
              <w:rPr>
                <w:rFonts w:hint="eastAsia" w:ascii="仿宋" w:hAnsi="仿宋" w:eastAsia="仿宋" w:cs="仿宋"/>
                <w:spacing w:val="20"/>
                <w:sz w:val="24"/>
              </w:rPr>
              <w:t>货物的制造商或服务的提供商</w:t>
            </w:r>
          </w:p>
        </w:tc>
        <w:tc>
          <w:tcPr>
            <w:tcW w:w="900" w:type="dxa"/>
            <w:vAlign w:val="center"/>
          </w:tcPr>
          <w:p>
            <w:pPr>
              <w:snapToGrid w:val="0"/>
              <w:spacing w:line="288" w:lineRule="auto"/>
              <w:ind w:left="-107" w:leftChars="-51" w:right="-107" w:rightChars="-51" w:firstLine="1"/>
              <w:rPr>
                <w:rFonts w:ascii="仿宋" w:hAnsi="仿宋" w:eastAsia="仿宋" w:cs="仿宋"/>
                <w:spacing w:val="20"/>
                <w:sz w:val="24"/>
              </w:rPr>
            </w:pPr>
            <w:r>
              <w:rPr>
                <w:rFonts w:hint="eastAsia" w:ascii="仿宋" w:hAnsi="仿宋" w:eastAsia="仿宋" w:cs="仿宋"/>
                <w:spacing w:val="20"/>
                <w:sz w:val="24"/>
              </w:rPr>
              <w:t>品牌（如有）</w:t>
            </w:r>
          </w:p>
        </w:tc>
        <w:tc>
          <w:tcPr>
            <w:tcW w:w="720" w:type="dxa"/>
            <w:vAlign w:val="center"/>
          </w:tcPr>
          <w:p>
            <w:pPr>
              <w:snapToGrid w:val="0"/>
              <w:spacing w:line="288" w:lineRule="auto"/>
              <w:ind w:left="-107" w:leftChars="-51" w:right="-107" w:rightChars="-51"/>
              <w:jc w:val="center"/>
              <w:rPr>
                <w:rFonts w:ascii="仿宋" w:hAnsi="仿宋" w:eastAsia="仿宋" w:cs="仿宋"/>
                <w:spacing w:val="20"/>
                <w:sz w:val="24"/>
              </w:rPr>
            </w:pPr>
            <w:r>
              <w:rPr>
                <w:rFonts w:hint="eastAsia" w:ascii="仿宋" w:hAnsi="仿宋" w:eastAsia="仿宋" w:cs="仿宋"/>
                <w:spacing w:val="20"/>
                <w:sz w:val="24"/>
              </w:rPr>
              <w:t>数量</w:t>
            </w:r>
          </w:p>
        </w:tc>
        <w:tc>
          <w:tcPr>
            <w:tcW w:w="1440" w:type="dxa"/>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型号和规格</w:t>
            </w:r>
            <w:r>
              <w:rPr>
                <w:rFonts w:hint="eastAsia" w:ascii="仿宋" w:hAnsi="仿宋" w:eastAsia="仿宋" w:cs="仿宋"/>
                <w:b/>
                <w:sz w:val="24"/>
              </w:rPr>
              <w:t>（或具体服务）</w:t>
            </w:r>
          </w:p>
        </w:tc>
        <w:tc>
          <w:tcPr>
            <w:tcW w:w="540" w:type="dxa"/>
            <w:tcBorders>
              <w:righ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单价</w:t>
            </w:r>
          </w:p>
        </w:tc>
        <w:tc>
          <w:tcPr>
            <w:tcW w:w="540" w:type="dxa"/>
            <w:tcBorders>
              <w:left w:val="single" w:color="auto" w:sz="4" w:space="0"/>
            </w:tcBorders>
            <w:vAlign w:val="center"/>
          </w:tcPr>
          <w:p>
            <w:pPr>
              <w:snapToGrid w:val="0"/>
              <w:spacing w:line="288" w:lineRule="auto"/>
              <w:ind w:left="-107" w:leftChars="-51" w:right="-107" w:rightChars="-51" w:firstLine="1"/>
              <w:jc w:val="center"/>
              <w:rPr>
                <w:rFonts w:ascii="仿宋" w:hAnsi="仿宋" w:eastAsia="仿宋" w:cs="仿宋"/>
                <w:spacing w:val="20"/>
                <w:sz w:val="24"/>
              </w:rPr>
            </w:pPr>
            <w:r>
              <w:rPr>
                <w:rFonts w:hint="eastAsia" w:ascii="仿宋" w:hAnsi="仿宋" w:eastAsia="仿宋" w:cs="仿宋"/>
                <w:spacing w:val="20"/>
                <w:sz w:val="24"/>
              </w:rPr>
              <w:t>总价</w:t>
            </w:r>
          </w:p>
        </w:tc>
        <w:tc>
          <w:tcPr>
            <w:tcW w:w="720" w:type="dxa"/>
            <w:vAlign w:val="center"/>
          </w:tcPr>
          <w:p>
            <w:pPr>
              <w:snapToGrid w:val="0"/>
              <w:spacing w:line="288" w:lineRule="auto"/>
              <w:ind w:left="30" w:leftChars="-51" w:right="-107" w:rightChars="-51" w:hanging="137" w:hangingChars="49"/>
              <w:jc w:val="center"/>
              <w:rPr>
                <w:rFonts w:ascii="仿宋" w:hAnsi="仿宋" w:eastAsia="仿宋" w:cs="仿宋"/>
                <w:spacing w:val="20"/>
                <w:sz w:val="24"/>
              </w:rPr>
            </w:pPr>
            <w:r>
              <w:rPr>
                <w:rFonts w:hint="eastAsia" w:ascii="仿宋" w:hAnsi="仿宋" w:eastAsia="仿宋" w:cs="仿宋"/>
                <w:spacing w:val="20"/>
                <w:sz w:val="24"/>
              </w:rPr>
              <w:t>交货期</w:t>
            </w:r>
          </w:p>
        </w:tc>
        <w:tc>
          <w:tcPr>
            <w:tcW w:w="1078" w:type="dxa"/>
            <w:vAlign w:val="center"/>
          </w:tcPr>
          <w:p>
            <w:pPr>
              <w:tabs>
                <w:tab w:val="left" w:pos="1224"/>
              </w:tabs>
              <w:snapToGrid w:val="0"/>
              <w:spacing w:line="288" w:lineRule="auto"/>
              <w:ind w:right="-107" w:rightChars="-51"/>
              <w:rPr>
                <w:rFonts w:ascii="仿宋" w:hAnsi="仿宋" w:eastAsia="仿宋" w:cs="仿宋"/>
                <w:spacing w:val="20"/>
                <w:sz w:val="24"/>
              </w:rPr>
            </w:pPr>
            <w:r>
              <w:rPr>
                <w:rFonts w:hint="eastAsia" w:ascii="仿宋" w:hAnsi="仿宋" w:eastAsia="仿宋" w:cs="仿宋"/>
                <w:spacing w:val="20"/>
                <w:sz w:val="24"/>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1</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2</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3</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snapToGrid w:val="0"/>
              <w:spacing w:line="288" w:lineRule="auto"/>
              <w:ind w:right="-134" w:rightChars="-64"/>
              <w:jc w:val="center"/>
              <w:rPr>
                <w:rFonts w:ascii="仿宋" w:hAnsi="仿宋" w:eastAsia="仿宋" w:cs="仿宋"/>
                <w:spacing w:val="20"/>
                <w:sz w:val="24"/>
              </w:rPr>
            </w:pPr>
            <w:r>
              <w:rPr>
                <w:rFonts w:hint="eastAsia" w:ascii="仿宋" w:hAnsi="仿宋" w:eastAsia="仿宋" w:cs="仿宋"/>
                <w:spacing w:val="20"/>
                <w:sz w:val="24"/>
              </w:rPr>
              <w:t>4</w:t>
            </w:r>
          </w:p>
        </w:tc>
        <w:tc>
          <w:tcPr>
            <w:tcW w:w="108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261"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90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14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righ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540" w:type="dxa"/>
            <w:tcBorders>
              <w:left w:val="single" w:color="auto" w:sz="4" w:space="0"/>
            </w:tcBorders>
            <w:vAlign w:val="center"/>
          </w:tcPr>
          <w:p>
            <w:pPr>
              <w:snapToGrid w:val="0"/>
              <w:spacing w:line="288" w:lineRule="auto"/>
              <w:ind w:right="172" w:rightChars="82" w:firstLine="565" w:firstLineChars="202"/>
              <w:rPr>
                <w:rFonts w:ascii="仿宋" w:hAnsi="仿宋" w:eastAsia="仿宋" w:cs="仿宋"/>
                <w:spacing w:val="20"/>
                <w:sz w:val="24"/>
              </w:rPr>
            </w:pPr>
          </w:p>
        </w:tc>
        <w:tc>
          <w:tcPr>
            <w:tcW w:w="720" w:type="dxa"/>
            <w:vAlign w:val="center"/>
          </w:tcPr>
          <w:p>
            <w:pPr>
              <w:snapToGrid w:val="0"/>
              <w:spacing w:line="288" w:lineRule="auto"/>
              <w:ind w:right="172" w:rightChars="82" w:firstLine="565" w:firstLineChars="202"/>
              <w:rPr>
                <w:rFonts w:ascii="仿宋" w:hAnsi="仿宋" w:eastAsia="仿宋" w:cs="仿宋"/>
                <w:spacing w:val="20"/>
                <w:sz w:val="24"/>
              </w:rPr>
            </w:pPr>
          </w:p>
        </w:tc>
        <w:tc>
          <w:tcPr>
            <w:tcW w:w="1078" w:type="dxa"/>
          </w:tcPr>
          <w:p>
            <w:pPr>
              <w:snapToGrid w:val="0"/>
              <w:spacing w:line="288" w:lineRule="auto"/>
              <w:ind w:right="172" w:rightChars="82" w:firstLine="565" w:firstLineChars="202"/>
              <w:rPr>
                <w:rFonts w:ascii="仿宋" w:hAnsi="仿宋" w:eastAsia="仿宋" w:cs="仿宋"/>
                <w:spacing w:val="20"/>
                <w:sz w:val="24"/>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snapToGrid w:val="0"/>
              <w:spacing w:line="288" w:lineRule="auto"/>
              <w:ind w:right="172" w:rightChars="82" w:firstLine="487" w:firstLineChars="202"/>
              <w:rPr>
                <w:rFonts w:ascii="仿宋" w:hAnsi="仿宋" w:eastAsia="仿宋" w:cs="仿宋"/>
                <w:spacing w:val="20"/>
                <w:sz w:val="24"/>
              </w:rPr>
            </w:pPr>
            <w:r>
              <w:rPr>
                <w:rFonts w:hint="eastAsia" w:ascii="仿宋" w:hAnsi="仿宋" w:eastAsia="仿宋" w:cs="仿宋"/>
                <w:b/>
                <w:sz w:val="24"/>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r>
              <w:rPr>
                <w:rFonts w:hint="eastAsia" w:ascii="仿宋" w:hAnsi="仿宋" w:eastAsia="仿宋" w:cs="仿宋"/>
                <w:spacing w:val="20"/>
                <w:sz w:val="24"/>
              </w:rPr>
              <w:t>投标总价</w:t>
            </w:r>
          </w:p>
        </w:tc>
        <w:tc>
          <w:tcPr>
            <w:tcW w:w="7199" w:type="dxa"/>
            <w:gridSpan w:val="8"/>
            <w:tcBorders>
              <w:left w:val="single" w:color="auto" w:sz="4" w:space="0"/>
              <w:bottom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snapToGrid w:val="0"/>
              <w:spacing w:line="288" w:lineRule="auto"/>
              <w:ind w:right="172" w:rightChars="82" w:firstLine="565" w:firstLineChars="202"/>
              <w:jc w:val="center"/>
              <w:rPr>
                <w:rFonts w:ascii="仿宋" w:hAnsi="仿宋" w:eastAsia="仿宋" w:cs="仿宋"/>
                <w:spacing w:val="20"/>
                <w:sz w:val="24"/>
              </w:rPr>
            </w:pPr>
          </w:p>
        </w:tc>
        <w:tc>
          <w:tcPr>
            <w:tcW w:w="7199" w:type="dxa"/>
            <w:gridSpan w:val="8"/>
            <w:tcBorders>
              <w:top w:val="single" w:color="auto" w:sz="4" w:space="0"/>
              <w:left w:val="single" w:color="auto" w:sz="4" w:space="0"/>
            </w:tcBorders>
            <w:vAlign w:val="center"/>
          </w:tcPr>
          <w:p>
            <w:pPr>
              <w:snapToGrid w:val="0"/>
              <w:spacing w:line="288" w:lineRule="auto"/>
              <w:ind w:right="172" w:rightChars="82"/>
              <w:rPr>
                <w:rFonts w:ascii="仿宋" w:hAnsi="仿宋" w:eastAsia="仿宋" w:cs="仿宋"/>
                <w:spacing w:val="20"/>
                <w:sz w:val="24"/>
              </w:rPr>
            </w:pPr>
            <w:r>
              <w:rPr>
                <w:rFonts w:hint="eastAsia" w:ascii="仿宋" w:hAnsi="仿宋" w:eastAsia="仿宋" w:cs="仿宋"/>
                <w:spacing w:val="20"/>
                <w:sz w:val="24"/>
              </w:rPr>
              <w:t>大写：</w:t>
            </w:r>
          </w:p>
        </w:tc>
      </w:tr>
    </w:tbl>
    <w:p>
      <w:pPr>
        <w:snapToGrid w:val="0"/>
        <w:spacing w:line="288" w:lineRule="auto"/>
        <w:jc w:val="left"/>
        <w:rPr>
          <w:rFonts w:ascii="仿宋" w:hAnsi="仿宋" w:eastAsia="仿宋" w:cs="仿宋"/>
          <w:sz w:val="24"/>
        </w:rPr>
      </w:pPr>
      <w:r>
        <w:rPr>
          <w:rFonts w:hint="eastAsia" w:ascii="仿宋" w:hAnsi="仿宋" w:eastAsia="仿宋" w:cs="仿宋"/>
          <w:sz w:val="24"/>
        </w:rPr>
        <w:t>注: 1.报价一经涂改，应在涂改处加盖单位公章或者由法定代表人或其授权代表签字或盖章，否则其投标作无效投标处理。</w:t>
      </w:r>
    </w:p>
    <w:p>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2.招标人不接受某一标项中有2个(含)以上的报价或方案，若投标人在此表中有2个（含）以上的报价或方案，其投标作无效投标处理。</w:t>
      </w:r>
    </w:p>
    <w:p>
      <w:pPr>
        <w:spacing w:line="288" w:lineRule="auto"/>
        <w:ind w:left="-2" w:leftChars="-1" w:firstLine="480" w:firstLineChars="200"/>
        <w:rPr>
          <w:rFonts w:ascii="仿宋" w:hAnsi="仿宋" w:eastAsia="仿宋" w:cs="仿宋"/>
          <w:kern w:val="0"/>
          <w:sz w:val="24"/>
          <w:lang w:val="zh-CN"/>
        </w:rPr>
      </w:pPr>
      <w:r>
        <w:rPr>
          <w:rFonts w:hint="eastAsia" w:ascii="仿宋" w:hAnsi="仿宋" w:eastAsia="仿宋" w:cs="仿宋"/>
          <w:kern w:val="0"/>
          <w:sz w:val="24"/>
          <w:lang w:val="zh-CN"/>
        </w:rPr>
        <w:t>3.投标人需按本表格式填写，如无对应内容，则填写：“无或/”。</w:t>
      </w:r>
    </w:p>
    <w:p>
      <w:pPr>
        <w:snapToGrid w:val="0"/>
        <w:spacing w:line="288" w:lineRule="auto"/>
        <w:ind w:left="480"/>
        <w:rPr>
          <w:rFonts w:ascii="仿宋" w:hAnsi="仿宋" w:eastAsia="仿宋" w:cs="仿宋"/>
          <w:kern w:val="0"/>
          <w:sz w:val="24"/>
          <w:lang w:val="zh-CN"/>
        </w:rPr>
      </w:pPr>
      <w:r>
        <w:rPr>
          <w:rFonts w:hint="eastAsia" w:ascii="仿宋" w:hAnsi="仿宋" w:eastAsia="仿宋" w:cs="仿宋"/>
          <w:kern w:val="0"/>
          <w:sz w:val="24"/>
          <w:lang w:val="zh-CN"/>
        </w:rPr>
        <w:t>4.有关本项目实施所涉及的一切费用均计入报价。</w:t>
      </w:r>
    </w:p>
    <w:p>
      <w:pPr>
        <w:snapToGrid w:val="0"/>
        <w:spacing w:line="288" w:lineRule="auto"/>
        <w:ind w:firstLine="480" w:firstLineChars="200"/>
        <w:jc w:val="left"/>
        <w:rPr>
          <w:rFonts w:ascii="仿宋" w:hAnsi="仿宋" w:eastAsia="仿宋" w:cs="仿宋"/>
          <w:b/>
          <w:sz w:val="24"/>
        </w:rPr>
      </w:pPr>
      <w:r>
        <w:rPr>
          <w:rFonts w:hint="eastAsia" w:ascii="仿宋" w:hAnsi="仿宋" w:eastAsia="仿宋" w:cs="仿宋"/>
          <w:kern w:val="0"/>
          <w:sz w:val="24"/>
          <w:lang w:val="zh-CN"/>
        </w:rPr>
        <w:t>5.以上表格要求细分项目及报价，</w:t>
      </w:r>
      <w:r>
        <w:rPr>
          <w:rFonts w:hint="eastAsia" w:ascii="仿宋" w:hAnsi="仿宋" w:eastAsia="仿宋" w:cs="仿宋"/>
          <w:b/>
          <w:kern w:val="0"/>
          <w:sz w:val="24"/>
        </w:rPr>
        <w:t>在“规格型号（或具体服务）”一栏中，货物类项目填写规格型号，服务类项目填写具体服务。</w:t>
      </w:r>
      <w:r>
        <w:rPr>
          <w:rFonts w:hint="eastAsia" w:ascii="仿宋" w:hAnsi="仿宋" w:eastAsia="仿宋" w:cs="仿宋"/>
          <w:b/>
          <w:sz w:val="24"/>
        </w:rPr>
        <w:t>服务包含但不仅限于：服务方案、次数或人数、服务年限等，产品包含但不仅限于:名称、品牌、型号、生产厂商、数量、质保期等。</w:t>
      </w:r>
    </w:p>
    <w:p>
      <w:pPr>
        <w:spacing w:line="288" w:lineRule="auto"/>
        <w:ind w:firstLine="482" w:firstLineChars="200"/>
        <w:rPr>
          <w:rFonts w:ascii="仿宋" w:hAnsi="仿宋" w:eastAsia="仿宋" w:cs="仿宋"/>
          <w:kern w:val="0"/>
          <w:sz w:val="24"/>
          <w:lang w:val="zh-CN"/>
        </w:rPr>
      </w:pPr>
      <w:r>
        <w:rPr>
          <w:rFonts w:hint="eastAsia" w:ascii="仿宋" w:hAnsi="仿宋" w:eastAsia="仿宋" w:cs="仿宋"/>
          <w:b/>
          <w:sz w:val="24"/>
        </w:rPr>
        <w:t>6、</w:t>
      </w:r>
      <w:r>
        <w:rPr>
          <w:rFonts w:hint="eastAsia" w:ascii="仿宋" w:hAnsi="仿宋" w:eastAsia="仿宋" w:cs="仿宋"/>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 w:hAnsi="仿宋" w:eastAsia="仿宋" w:cs="仿宋"/>
          <w:b/>
          <w:sz w:val="24"/>
        </w:rPr>
        <w:t>投标人应如实填写是否可享受价格扣除，否则投标价格不可享受价格扣除。</w:t>
      </w:r>
    </w:p>
    <w:p>
      <w:pPr>
        <w:snapToGrid w:val="0"/>
        <w:spacing w:line="288" w:lineRule="auto"/>
        <w:ind w:firstLine="482" w:firstLineChars="200"/>
        <w:jc w:val="left"/>
        <w:rPr>
          <w:rFonts w:ascii="仿宋" w:hAnsi="仿宋" w:eastAsia="仿宋" w:cs="仿宋"/>
          <w:b/>
          <w:kern w:val="0"/>
          <w:sz w:val="24"/>
          <w:lang w:val="zh-CN"/>
        </w:rPr>
      </w:pPr>
      <w:r>
        <w:rPr>
          <w:rFonts w:hint="eastAsia" w:ascii="仿宋" w:hAnsi="仿宋" w:eastAsia="仿宋" w:cs="仿宋"/>
          <w:b/>
          <w:kern w:val="0"/>
          <w:sz w:val="24"/>
          <w:lang w:val="zh-CN"/>
        </w:rPr>
        <w:t>7.特别提示：采购代理机构将对</w:t>
      </w:r>
      <w:r>
        <w:rPr>
          <w:rFonts w:hint="eastAsia" w:ascii="仿宋" w:hAnsi="仿宋" w:eastAsia="仿宋" w:cs="仿宋"/>
          <w:b/>
          <w:kern w:val="0"/>
          <w:sz w:val="24"/>
        </w:rPr>
        <w:t>项目名称和项目编号，中标供应商名称、地址和中标金额，主要中标标的的名称、规格型号、数量、单价、服务要求等</w:t>
      </w:r>
      <w:r>
        <w:rPr>
          <w:rFonts w:hint="eastAsia" w:ascii="仿宋" w:hAnsi="仿宋" w:eastAsia="仿宋" w:cs="仿宋"/>
          <w:b/>
          <w:kern w:val="0"/>
          <w:sz w:val="24"/>
          <w:lang w:val="zh-CN"/>
        </w:rPr>
        <w:t>予以公示。请把上述涉及的内容完整填写在开标一览表中。</w:t>
      </w:r>
    </w:p>
    <w:p>
      <w:pPr>
        <w:spacing w:line="288" w:lineRule="auto"/>
        <w:ind w:right="-817" w:rightChars="-389"/>
        <w:rPr>
          <w:rFonts w:ascii="仿宋" w:hAnsi="仿宋" w:eastAsia="仿宋" w:cs="仿宋"/>
          <w:sz w:val="24"/>
        </w:rPr>
      </w:pPr>
    </w:p>
    <w:p>
      <w:pPr>
        <w:spacing w:line="288" w:lineRule="auto"/>
        <w:ind w:right="-817" w:rightChars="-389"/>
        <w:rPr>
          <w:rFonts w:ascii="仿宋" w:hAnsi="仿宋" w:eastAsia="仿宋" w:cs="仿宋"/>
          <w:sz w:val="24"/>
        </w:rPr>
      </w:pPr>
      <w:r>
        <w:rPr>
          <w:rFonts w:hint="eastAsia" w:ascii="仿宋" w:hAnsi="仿宋" w:eastAsia="仿宋" w:cs="仿宋"/>
          <w:sz w:val="24"/>
        </w:rPr>
        <w:t>投标人名称(电子签章)：</w:t>
      </w:r>
    </w:p>
    <w:p>
      <w:pPr>
        <w:spacing w:line="288" w:lineRule="auto"/>
        <w:jc w:val="center"/>
        <w:outlineLvl w:val="0"/>
        <w:rPr>
          <w:rFonts w:ascii="仿宋" w:hAnsi="仿宋" w:eastAsia="仿宋" w:cs="仿宋"/>
          <w:sz w:val="24"/>
        </w:rPr>
      </w:pPr>
    </w:p>
    <w:p>
      <w:pPr>
        <w:spacing w:line="288" w:lineRule="auto"/>
        <w:outlineLvl w:val="0"/>
        <w:rPr>
          <w:rFonts w:ascii="仿宋" w:hAnsi="仿宋" w:eastAsia="仿宋" w:cs="仿宋"/>
          <w:sz w:val="24"/>
        </w:rPr>
      </w:pPr>
      <w:r>
        <w:rPr>
          <w:rFonts w:hint="eastAsia" w:ascii="仿宋" w:hAnsi="仿宋" w:eastAsia="仿宋" w:cs="仿宋"/>
          <w:sz w:val="24"/>
        </w:rPr>
        <w:t xml:space="preserve">法定代表人或其授权代表（签字或盖章）：            </w:t>
      </w:r>
    </w:p>
    <w:p>
      <w:pPr>
        <w:spacing w:line="288" w:lineRule="auto"/>
        <w:outlineLvl w:val="0"/>
        <w:rPr>
          <w:rFonts w:ascii="仿宋" w:hAnsi="仿宋" w:eastAsia="仿宋" w:cs="仿宋"/>
          <w:sz w:val="24"/>
        </w:rPr>
      </w:pPr>
    </w:p>
    <w:p>
      <w:pPr>
        <w:spacing w:line="288" w:lineRule="auto"/>
        <w:ind w:right="420" w:firstLine="5520" w:firstLineChars="2300"/>
        <w:jc w:val="right"/>
        <w:rPr>
          <w:rFonts w:ascii="仿宋" w:hAnsi="仿宋" w:eastAsia="仿宋" w:cs="仿宋"/>
          <w:sz w:val="24"/>
        </w:rPr>
      </w:pPr>
      <w:r>
        <w:rPr>
          <w:rFonts w:hint="eastAsia" w:ascii="仿宋" w:hAnsi="仿宋" w:eastAsia="仿宋" w:cs="仿宋"/>
          <w:sz w:val="24"/>
        </w:rPr>
        <w:t>日期： 年  月  日</w:t>
      </w:r>
    </w:p>
    <w:p>
      <w:pPr>
        <w:keepNext w:val="0"/>
        <w:keepLines w:val="0"/>
        <w:pageBreakBefore/>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32"/>
          <w:szCs w:val="32"/>
        </w:rPr>
      </w:pPr>
      <w:r>
        <w:rPr>
          <w:rFonts w:hint="eastAsia" w:ascii="仿宋" w:hAnsi="仿宋" w:eastAsia="仿宋" w:cs="仿宋"/>
          <w:b/>
          <w:color w:val="auto"/>
          <w:sz w:val="32"/>
          <w:szCs w:val="32"/>
        </w:rPr>
        <w:t>3、中小企业声明函（二选一）</w:t>
      </w:r>
    </w:p>
    <w:p>
      <w:pPr>
        <w:keepNext w:val="0"/>
        <w:keepLines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sz w:val="32"/>
        </w:rPr>
      </w:pPr>
      <w:r>
        <w:rPr>
          <w:rFonts w:hint="eastAsia" w:ascii="仿宋" w:hAnsi="仿宋" w:eastAsia="仿宋" w:cs="仿宋"/>
          <w:b/>
          <w:color w:val="auto"/>
          <w:sz w:val="32"/>
        </w:rPr>
        <w:t>中小企业声明函（货物）</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绍兴市公安局交通管理局 </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绍兴市古城交通管理体系调整规划项目</w:t>
      </w:r>
      <w:r>
        <w:rPr>
          <w:rFonts w:hint="eastAsia" w:ascii="仿宋" w:hAnsi="仿宋" w:eastAsia="仿宋" w:cs="仿宋"/>
          <w:color w:val="auto"/>
          <w:sz w:val="24"/>
        </w:rPr>
        <w:t>采购活动，提供的货物全部由符合政策要求的中小企业制造。相关企业（含联合体中的中小企业、签订分包意向协议的中小企业）的具体情况如下：</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keepNext w:val="0"/>
        <w:keepLines w:val="0"/>
        <w:widowControl w:val="0"/>
        <w:kinsoku/>
        <w:wordWrap/>
        <w:overflowPunct/>
        <w:topLinePunct w:val="0"/>
        <w:autoSpaceDE/>
        <w:autoSpaceDN/>
        <w:bidi w:val="0"/>
        <w:adjustRightInd w:val="0"/>
        <w:snapToGrid/>
        <w:spacing w:line="288" w:lineRule="auto"/>
        <w:ind w:right="420" w:firstLine="5880" w:firstLineChars="2450"/>
        <w:jc w:val="left"/>
        <w:textAlignment w:val="auto"/>
        <w:rPr>
          <w:rFonts w:hint="eastAsia" w:ascii="仿宋" w:hAnsi="仿宋" w:eastAsia="仿宋" w:cs="仿宋"/>
          <w:color w:val="auto"/>
          <w:sz w:val="24"/>
        </w:rPr>
      </w:pPr>
    </w:p>
    <w:p>
      <w:pPr>
        <w:keepNext w:val="0"/>
        <w:keepLines w:val="0"/>
        <w:widowControl w:val="0"/>
        <w:kinsoku/>
        <w:wordWrap/>
        <w:overflowPunct/>
        <w:topLinePunct w:val="0"/>
        <w:autoSpaceDE/>
        <w:autoSpaceDN/>
        <w:bidi w:val="0"/>
        <w:adjustRightInd w:val="0"/>
        <w:snapToGrid/>
        <w:spacing w:line="288" w:lineRule="auto"/>
        <w:ind w:right="420" w:firstLine="5880" w:firstLineChars="2450"/>
        <w:textAlignment w:val="auto"/>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keepNext w:val="0"/>
        <w:keepLines w:val="0"/>
        <w:widowControl w:val="0"/>
        <w:kinsoku/>
        <w:wordWrap/>
        <w:overflowPunct/>
        <w:topLinePunct w:val="0"/>
        <w:autoSpaceDE/>
        <w:autoSpaceDN/>
        <w:bidi w:val="0"/>
        <w:adjustRightInd w:val="0"/>
        <w:snapToGrid/>
        <w:spacing w:line="288" w:lineRule="auto"/>
        <w:ind w:right="420" w:firstLine="5520" w:firstLineChars="2300"/>
        <w:textAlignment w:val="auto"/>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keepNext w:val="0"/>
        <w:keepLines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sz w:val="18"/>
        </w:rPr>
      </w:pPr>
    </w:p>
    <w:p>
      <w:pPr>
        <w:keepNext w:val="0"/>
        <w:keepLines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color w:val="auto"/>
          <w:sz w:val="32"/>
        </w:rPr>
      </w:pPr>
      <w:r>
        <w:rPr>
          <w:rFonts w:hint="eastAsia" w:ascii="仿宋" w:hAnsi="仿宋" w:eastAsia="仿宋" w:cs="仿宋"/>
          <w:b/>
          <w:color w:val="auto"/>
          <w:sz w:val="32"/>
        </w:rPr>
        <w:t>中小企业声明函（工程、服务）</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本公司（联合体）郑重声明，根据《政府采购促进中小企业发展管理办法》 （财库﹝2020﹞46 号）的规定，本公司（联合体）参加</w:t>
      </w:r>
      <w:r>
        <w:rPr>
          <w:rFonts w:hint="eastAsia" w:ascii="仿宋" w:hAnsi="仿宋" w:eastAsia="仿宋" w:cs="仿宋"/>
          <w:color w:val="auto"/>
          <w:sz w:val="24"/>
          <w:u w:val="single"/>
        </w:rPr>
        <w:t xml:space="preserve"> 绍兴市公安局交通管理局 </w:t>
      </w:r>
      <w:r>
        <w:rPr>
          <w:rFonts w:hint="eastAsia" w:ascii="仿宋" w:hAnsi="仿宋" w:eastAsia="仿宋" w:cs="仿宋"/>
          <w:color w:val="auto"/>
          <w:sz w:val="24"/>
        </w:rPr>
        <w:t>的</w:t>
      </w:r>
      <w:r>
        <w:rPr>
          <w:rFonts w:hint="eastAsia" w:ascii="仿宋" w:hAnsi="仿宋" w:eastAsia="仿宋" w:cs="仿宋"/>
          <w:color w:val="auto"/>
          <w:sz w:val="24"/>
          <w:u w:val="single"/>
          <w:lang w:eastAsia="zh-CN"/>
        </w:rPr>
        <w:t>绍兴市古城交通管理体系调整规划项目</w:t>
      </w:r>
      <w:r>
        <w:rPr>
          <w:rFonts w:hint="eastAsia" w:ascii="仿宋" w:hAnsi="仿宋" w:eastAsia="仿宋" w:cs="仿宋"/>
          <w:color w:val="auto"/>
          <w:sz w:val="24"/>
        </w:rPr>
        <w:t>采购活动，工程的施工单位全部为符合政策要求的中小企业（或者：服务全部由符合政策要求的中小企业承接） 。相关企业（含联合体中的中小企业、签订分包意向协议的中小企业）的具体情况如下：</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jc w:val="left"/>
        <w:textAlignment w:val="auto"/>
        <w:rPr>
          <w:rFonts w:hint="eastAsia"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 xml:space="preserve">        （标的名称）</w:t>
      </w:r>
      <w:r>
        <w:rPr>
          <w:rFonts w:hint="eastAsia" w:ascii="仿宋" w:hAnsi="仿宋" w:eastAsia="仿宋" w:cs="仿宋"/>
          <w:color w:val="auto"/>
          <w:sz w:val="24"/>
        </w:rPr>
        <w:t>，属于</w:t>
      </w:r>
      <w:r>
        <w:rPr>
          <w:rFonts w:hint="eastAsia" w:ascii="仿宋" w:hAnsi="仿宋" w:eastAsia="仿宋" w:cs="仿宋"/>
          <w:color w:val="auto"/>
          <w:sz w:val="24"/>
          <w:u w:val="single"/>
        </w:rPr>
        <w:t xml:space="preserve">                  （采购文件中明确的所属行业）</w:t>
      </w:r>
      <w:r>
        <w:rPr>
          <w:rFonts w:hint="eastAsia" w:ascii="仿宋" w:hAnsi="仿宋" w:eastAsia="仿宋" w:cs="仿宋"/>
          <w:color w:val="auto"/>
          <w:sz w:val="24"/>
        </w:rPr>
        <w:t>；承建（承接）企业为</w:t>
      </w:r>
      <w:r>
        <w:rPr>
          <w:rFonts w:hint="eastAsia" w:ascii="仿宋" w:hAnsi="仿宋" w:eastAsia="仿宋" w:cs="仿宋"/>
          <w:color w:val="auto"/>
          <w:sz w:val="24"/>
          <w:u w:val="single"/>
        </w:rPr>
        <w:t xml:space="preserve">           （企业名称） </w:t>
      </w:r>
      <w:r>
        <w:rPr>
          <w:rFonts w:hint="eastAsia" w:ascii="仿宋" w:hAnsi="仿宋" w:eastAsia="仿宋" w:cs="仿宋"/>
          <w:color w:val="auto"/>
          <w:sz w:val="24"/>
        </w:rPr>
        <w:t>，从业人员</w:t>
      </w:r>
      <w:r>
        <w:rPr>
          <w:rFonts w:hint="eastAsia" w:ascii="仿宋" w:hAnsi="仿宋" w:eastAsia="仿宋" w:cs="仿宋"/>
          <w:color w:val="auto"/>
          <w:sz w:val="24"/>
          <w:u w:val="single"/>
        </w:rPr>
        <w:t xml:space="preserve">   </w:t>
      </w:r>
      <w:r>
        <w:rPr>
          <w:rFonts w:hint="eastAsia" w:ascii="仿宋" w:hAnsi="仿宋" w:eastAsia="仿宋" w:cs="仿宋"/>
          <w:color w:val="auto"/>
          <w:sz w:val="24"/>
        </w:rPr>
        <w:t>人，营业收入为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万元，资产总额为</w:t>
      </w:r>
      <w:r>
        <w:rPr>
          <w:rFonts w:hint="eastAsia" w:ascii="仿宋" w:hAnsi="仿宋" w:eastAsia="仿宋" w:cs="仿宋"/>
          <w:color w:val="auto"/>
          <w:sz w:val="24"/>
          <w:u w:val="single"/>
        </w:rPr>
        <w:t xml:space="preserve">  </w:t>
      </w:r>
      <w:r>
        <w:rPr>
          <w:rFonts w:hint="eastAsia" w:ascii="仿宋" w:hAnsi="仿宋" w:eastAsia="仿宋" w:cs="仿宋"/>
          <w:color w:val="auto"/>
          <w:sz w:val="24"/>
        </w:rPr>
        <w:t>万元 ，属于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pPr>
        <w:keepNext w:val="0"/>
        <w:keepLines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pPr>
        <w:keepNext w:val="0"/>
        <w:keepLines w:val="0"/>
        <w:widowControl w:val="0"/>
        <w:kinsoku/>
        <w:wordWrap/>
        <w:overflowPunct/>
        <w:topLinePunct w:val="0"/>
        <w:autoSpaceDE/>
        <w:autoSpaceDN/>
        <w:bidi w:val="0"/>
        <w:adjustRightInd w:val="0"/>
        <w:snapToGrid/>
        <w:spacing w:line="288" w:lineRule="auto"/>
        <w:ind w:right="420" w:firstLine="5880" w:firstLineChars="2450"/>
        <w:jc w:val="left"/>
        <w:textAlignment w:val="auto"/>
        <w:rPr>
          <w:rFonts w:hint="eastAsia" w:ascii="仿宋" w:hAnsi="仿宋" w:eastAsia="仿宋" w:cs="仿宋"/>
          <w:color w:val="auto"/>
          <w:sz w:val="24"/>
        </w:rPr>
      </w:pPr>
    </w:p>
    <w:p>
      <w:pPr>
        <w:keepNext w:val="0"/>
        <w:keepLines w:val="0"/>
        <w:widowControl w:val="0"/>
        <w:kinsoku/>
        <w:wordWrap/>
        <w:overflowPunct/>
        <w:topLinePunct w:val="0"/>
        <w:autoSpaceDE/>
        <w:autoSpaceDN/>
        <w:bidi w:val="0"/>
        <w:adjustRightInd w:val="0"/>
        <w:snapToGrid/>
        <w:spacing w:line="288" w:lineRule="auto"/>
        <w:ind w:right="420" w:firstLine="5880" w:firstLineChars="2450"/>
        <w:textAlignment w:val="auto"/>
        <w:rPr>
          <w:rFonts w:hint="eastAsia" w:ascii="仿宋" w:hAnsi="仿宋" w:eastAsia="仿宋" w:cs="仿宋"/>
          <w:color w:val="auto"/>
          <w:sz w:val="24"/>
        </w:rPr>
      </w:pPr>
      <w:r>
        <w:rPr>
          <w:rFonts w:hint="eastAsia" w:ascii="仿宋" w:hAnsi="仿宋" w:eastAsia="仿宋" w:cs="仿宋"/>
          <w:color w:val="auto"/>
          <w:sz w:val="24"/>
        </w:rPr>
        <w:t xml:space="preserve">企业名称（盖章）： </w:t>
      </w:r>
    </w:p>
    <w:p>
      <w:pPr>
        <w:keepNext w:val="0"/>
        <w:keepLines w:val="0"/>
        <w:widowControl w:val="0"/>
        <w:kinsoku/>
        <w:wordWrap/>
        <w:overflowPunct/>
        <w:topLinePunct w:val="0"/>
        <w:autoSpaceDE/>
        <w:autoSpaceDN/>
        <w:bidi w:val="0"/>
        <w:adjustRightInd w:val="0"/>
        <w:snapToGrid/>
        <w:spacing w:line="288" w:lineRule="auto"/>
        <w:ind w:right="420" w:firstLine="5520" w:firstLineChars="2300"/>
        <w:textAlignment w:val="auto"/>
        <w:rPr>
          <w:rFonts w:hint="eastAsia" w:ascii="仿宋" w:hAnsi="仿宋" w:eastAsia="仿宋" w:cs="仿宋"/>
          <w:color w:val="auto"/>
        </w:rPr>
      </w:pPr>
      <w:r>
        <w:rPr>
          <w:rFonts w:hint="eastAsia" w:ascii="仿宋" w:hAnsi="仿宋" w:eastAsia="仿宋" w:cs="仿宋"/>
          <w:color w:val="auto"/>
          <w:sz w:val="24"/>
        </w:rPr>
        <w:t xml:space="preserve">日期：   年     月 </w:t>
      </w:r>
      <w:r>
        <w:rPr>
          <w:rFonts w:hint="eastAsia" w:ascii="仿宋" w:hAnsi="仿宋" w:eastAsia="仿宋" w:cs="仿宋"/>
          <w:color w:val="auto"/>
        </w:rPr>
        <w:t xml:space="preserve">    日</w:t>
      </w:r>
    </w:p>
    <w:p>
      <w:pPr>
        <w:keepNext w:val="0"/>
        <w:keepLines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bCs/>
          <w:color w:val="auto"/>
          <w:sz w:val="24"/>
        </w:rPr>
      </w:pPr>
      <w:r>
        <w:rPr>
          <w:rFonts w:hint="eastAsia" w:ascii="仿宋" w:hAnsi="仿宋" w:eastAsia="仿宋" w:cs="仿宋"/>
          <w:b/>
          <w:bCs/>
          <w:color w:val="auto"/>
          <w:sz w:val="24"/>
        </w:rPr>
        <w:t>注：</w:t>
      </w:r>
    </w:p>
    <w:p>
      <w:pPr>
        <w:keepNext w:val="0"/>
        <w:keepLines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b/>
          <w:color w:val="auto"/>
          <w:sz w:val="24"/>
        </w:rPr>
      </w:pPr>
      <w:r>
        <w:rPr>
          <w:rFonts w:hint="eastAsia" w:ascii="仿宋" w:hAnsi="仿宋" w:eastAsia="仿宋" w:cs="仿宋"/>
          <w:b/>
          <w:color w:val="auto"/>
          <w:sz w:val="24"/>
        </w:rPr>
        <w:t>1、投标人提供的中小企业声明函与实际情况不符的，视为投标人提供虚假材料投标，投标无效。</w:t>
      </w:r>
    </w:p>
    <w:p>
      <w:pPr>
        <w:keepNext w:val="0"/>
        <w:keepLines w:val="0"/>
        <w:widowControl w:val="0"/>
        <w:kinsoku/>
        <w:wordWrap/>
        <w:overflowPunct/>
        <w:topLinePunct w:val="0"/>
        <w:autoSpaceDE/>
        <w:autoSpaceDN/>
        <w:bidi w:val="0"/>
        <w:adjustRightInd w:val="0"/>
        <w:snapToGrid/>
        <w:spacing w:line="288" w:lineRule="auto"/>
        <w:textAlignment w:val="auto"/>
        <w:rPr>
          <w:rFonts w:hint="eastAsia" w:ascii="仿宋" w:hAnsi="仿宋" w:eastAsia="仿宋" w:cs="仿宋"/>
          <w:color w:val="auto"/>
          <w:sz w:val="24"/>
        </w:rPr>
      </w:pPr>
      <w:r>
        <w:rPr>
          <w:rFonts w:hint="eastAsia" w:ascii="仿宋" w:hAnsi="仿宋" w:eastAsia="仿宋" w:cs="仿宋"/>
          <w:b/>
          <w:color w:val="auto"/>
          <w:sz w:val="24"/>
        </w:rPr>
        <w:t>2、根据《政府采购促进中小企业发展管理办法》的通知（财库〔2020〕46号）规定，</w:t>
      </w:r>
      <w:r>
        <w:rPr>
          <w:rFonts w:hint="eastAsia" w:ascii="仿宋" w:hAnsi="仿宋" w:eastAsia="仿宋" w:cs="仿宋"/>
          <w:color w:val="auto"/>
          <w:sz w:val="24"/>
        </w:rPr>
        <w:t>中标、成交供应商享受中小企业扶持政策的，采购代理机构将随中标、成交结果公开中标、成交供应商的《中小企业声明函》。</w:t>
      </w:r>
    </w:p>
    <w:p>
      <w:pPr>
        <w:keepNext w:val="0"/>
        <w:keepLines w:val="0"/>
        <w:widowControl w:val="0"/>
        <w:kinsoku/>
        <w:wordWrap/>
        <w:overflowPunct/>
        <w:topLinePunct w:val="0"/>
        <w:autoSpaceDE/>
        <w:autoSpaceDN/>
        <w:bidi w:val="0"/>
        <w:adjustRightInd w:val="0"/>
        <w:snapToGrid/>
        <w:spacing w:line="288" w:lineRule="auto"/>
        <w:textAlignment w:val="auto"/>
        <w:rPr>
          <w:rFonts w:ascii="仿宋" w:hAnsi="仿宋" w:eastAsia="仿宋" w:cs="仿宋"/>
          <w:color w:val="auto"/>
          <w:sz w:val="24"/>
        </w:rPr>
      </w:pPr>
      <w:r>
        <w:rPr>
          <w:rFonts w:hint="eastAsia" w:ascii="仿宋" w:hAnsi="仿宋" w:eastAsia="仿宋" w:cs="仿宋"/>
          <w:color w:val="auto"/>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keepNext w:val="0"/>
        <w:keepLines w:val="0"/>
        <w:widowControl w:val="0"/>
        <w:kinsoku/>
        <w:wordWrap/>
        <w:overflowPunct/>
        <w:topLinePunct w:val="0"/>
        <w:autoSpaceDE/>
        <w:autoSpaceDN/>
        <w:bidi w:val="0"/>
        <w:adjustRightInd w:val="0"/>
        <w:snapToGrid/>
        <w:spacing w:line="288" w:lineRule="auto"/>
        <w:ind w:firstLine="480" w:firstLineChars="200"/>
        <w:textAlignment w:val="auto"/>
        <w:rPr>
          <w:rFonts w:ascii="仿宋" w:hAnsi="仿宋" w:eastAsia="仿宋" w:cs="仿宋"/>
          <w:sz w:val="24"/>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ind w:firstLine="420" w:firstLineChars="200"/>
        <w:rPr>
          <w:rFonts w:ascii="仿宋" w:hAnsi="仿宋" w:eastAsia="仿宋" w:cs="仿宋"/>
        </w:rPr>
      </w:pPr>
    </w:p>
    <w:p>
      <w:pPr>
        <w:spacing w:line="288" w:lineRule="auto"/>
        <w:rPr>
          <w:rFonts w:ascii="仿宋" w:hAnsi="仿宋" w:eastAsia="仿宋" w:cs="仿宋"/>
          <w:b/>
          <w:sz w:val="24"/>
        </w:rPr>
      </w:pPr>
    </w:p>
    <w:p>
      <w:pPr>
        <w:spacing w:line="288" w:lineRule="auto"/>
        <w:rPr>
          <w:rFonts w:ascii="仿宋" w:hAnsi="仿宋" w:eastAsia="仿宋" w:cs="仿宋"/>
          <w:b/>
          <w:sz w:val="24"/>
        </w:rPr>
      </w:pPr>
    </w:p>
    <w:p>
      <w:pPr>
        <w:pageBreakBefore/>
        <w:spacing w:line="288"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商务技术（资信）文件部分</w:t>
      </w:r>
    </w:p>
    <w:p>
      <w:pPr>
        <w:spacing w:line="288" w:lineRule="auto"/>
        <w:jc w:val="center"/>
        <w:outlineLvl w:val="0"/>
        <w:rPr>
          <w:rFonts w:ascii="仿宋" w:hAnsi="仿宋" w:eastAsia="仿宋" w:cs="仿宋"/>
          <w:b/>
          <w:kern w:val="0"/>
          <w:sz w:val="24"/>
        </w:rPr>
      </w:pPr>
    </w:p>
    <w:p>
      <w:pPr>
        <w:spacing w:line="288"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pPr>
        <w:pStyle w:val="77"/>
        <w:spacing w:line="288" w:lineRule="auto"/>
        <w:ind w:left="0" w:firstLine="0" w:firstLineChars="0"/>
        <w:rPr>
          <w:rFonts w:ascii="仿宋" w:eastAsia="仿宋" w:cs="仿宋"/>
        </w:rPr>
      </w:pPr>
      <w:r>
        <w:rPr>
          <w:rFonts w:hint="eastAsia" w:ascii="仿宋" w:eastAsia="仿宋" w:cs="仿宋"/>
        </w:rPr>
        <w:t>（1）法定代表人授权书 ………………………………………………………………（页码）</w:t>
      </w:r>
    </w:p>
    <w:p>
      <w:pPr>
        <w:pStyle w:val="77"/>
        <w:spacing w:line="288" w:lineRule="auto"/>
        <w:ind w:left="0" w:firstLine="0" w:firstLineChars="0"/>
        <w:rPr>
          <w:rFonts w:ascii="仿宋" w:eastAsia="仿宋" w:cs="仿宋"/>
        </w:rPr>
      </w:pPr>
      <w:r>
        <w:rPr>
          <w:rFonts w:hint="eastAsia" w:ascii="仿宋" w:eastAsia="仿宋" w:cs="仿宋"/>
        </w:rPr>
        <w:t>（2）授权代表社保证明（复印件）…………………………………………………（页码）</w:t>
      </w:r>
    </w:p>
    <w:p>
      <w:pPr>
        <w:pStyle w:val="77"/>
        <w:spacing w:line="288" w:lineRule="auto"/>
        <w:ind w:left="0" w:firstLine="0" w:firstLineChars="0"/>
        <w:rPr>
          <w:rFonts w:ascii="仿宋" w:eastAsia="仿宋" w:cs="仿宋"/>
        </w:rPr>
      </w:pPr>
      <w:r>
        <w:rPr>
          <w:rFonts w:hint="eastAsia" w:ascii="仿宋" w:eastAsia="仿宋" w:cs="仿宋"/>
        </w:rPr>
        <w:t>（3）法定代表人及其授权代表的身份证（复印件）………………………………（页码）</w:t>
      </w:r>
    </w:p>
    <w:p>
      <w:pPr>
        <w:pStyle w:val="77"/>
        <w:spacing w:line="288" w:lineRule="auto"/>
        <w:ind w:left="0" w:firstLine="0" w:firstLineChars="0"/>
        <w:rPr>
          <w:rFonts w:ascii="仿宋" w:eastAsia="仿宋" w:cs="仿宋"/>
        </w:rPr>
      </w:pPr>
      <w:r>
        <w:rPr>
          <w:rFonts w:hint="eastAsia" w:ascii="仿宋" w:eastAsia="仿宋" w:cs="仿宋"/>
        </w:rPr>
        <w:t>（4）法定代表人身份证明书…………………………………………………………（页码）</w:t>
      </w:r>
    </w:p>
    <w:p>
      <w:pPr>
        <w:snapToGrid w:val="0"/>
        <w:spacing w:line="288" w:lineRule="auto"/>
        <w:rPr>
          <w:rFonts w:ascii="仿宋" w:hAnsi="仿宋" w:eastAsia="仿宋" w:cs="仿宋"/>
          <w:sz w:val="24"/>
        </w:rPr>
      </w:pPr>
      <w:r>
        <w:rPr>
          <w:rFonts w:hint="eastAsia" w:ascii="仿宋" w:hAnsi="仿宋" w:eastAsia="仿宋" w:cs="仿宋"/>
          <w:sz w:val="24"/>
        </w:rPr>
        <w:t>（5）营业执照(或事业法人登记证或其他登记证明材料)复印件…………………（页码）</w:t>
      </w:r>
    </w:p>
    <w:p>
      <w:pPr>
        <w:snapToGrid w:val="0"/>
        <w:spacing w:line="288" w:lineRule="auto"/>
        <w:rPr>
          <w:rFonts w:ascii="仿宋" w:hAnsi="仿宋" w:eastAsia="仿宋" w:cs="仿宋"/>
          <w:sz w:val="24"/>
        </w:rPr>
      </w:pPr>
      <w:r>
        <w:rPr>
          <w:rFonts w:hint="eastAsia" w:ascii="仿宋" w:hAnsi="仿宋" w:eastAsia="仿宋" w:cs="仿宋"/>
          <w:sz w:val="24"/>
        </w:rPr>
        <w:t>（6）2019年度资产负债表等财务报表资料文件(新成立的公司，提供情况说明)………………………………………………………………………………………（页码）</w:t>
      </w:r>
    </w:p>
    <w:p>
      <w:pPr>
        <w:snapToGrid w:val="0"/>
        <w:spacing w:line="288" w:lineRule="auto"/>
        <w:rPr>
          <w:rFonts w:ascii="仿宋" w:hAnsi="仿宋" w:eastAsia="仿宋" w:cs="仿宋"/>
          <w:sz w:val="24"/>
        </w:rPr>
      </w:pPr>
      <w:r>
        <w:rPr>
          <w:rFonts w:hint="eastAsia" w:ascii="仿宋" w:hAnsi="仿宋" w:eastAsia="仿宋" w:cs="仿宋"/>
          <w:sz w:val="24"/>
        </w:rPr>
        <w:t>（7）具有履行合同所必需的设备和专业技术能力的承诺函………………………（页码）</w:t>
      </w:r>
    </w:p>
    <w:p>
      <w:pPr>
        <w:snapToGrid w:val="0"/>
        <w:spacing w:line="288" w:lineRule="auto"/>
        <w:rPr>
          <w:rFonts w:ascii="仿宋" w:hAnsi="仿宋" w:eastAsia="仿宋" w:cs="仿宋"/>
          <w:sz w:val="24"/>
        </w:rPr>
      </w:pPr>
      <w:r>
        <w:rPr>
          <w:rFonts w:hint="eastAsia" w:ascii="仿宋" w:hAnsi="仿宋" w:eastAsia="仿宋" w:cs="仿宋"/>
          <w:sz w:val="24"/>
        </w:rPr>
        <w:t>（8）重大违法记录的声明 …………………………………………………………（页码）</w:t>
      </w:r>
    </w:p>
    <w:p>
      <w:pPr>
        <w:snapToGrid w:val="0"/>
        <w:spacing w:line="288" w:lineRule="auto"/>
        <w:rPr>
          <w:rFonts w:ascii="仿宋" w:hAnsi="仿宋" w:eastAsia="仿宋" w:cs="仿宋"/>
          <w:sz w:val="24"/>
        </w:rPr>
      </w:pPr>
      <w:r>
        <w:rPr>
          <w:rFonts w:hint="eastAsia" w:ascii="仿宋" w:hAnsi="仿宋" w:eastAsia="仿宋" w:cs="仿宋"/>
          <w:sz w:val="24"/>
        </w:rPr>
        <w:t>（9）符合特定资格条件（如果项目要求）的有关证明材料（复印件）…………（页码）</w:t>
      </w:r>
    </w:p>
    <w:p>
      <w:pPr>
        <w:snapToGrid w:val="0"/>
        <w:spacing w:line="288" w:lineRule="auto"/>
        <w:rPr>
          <w:rFonts w:ascii="仿宋" w:hAnsi="仿宋" w:eastAsia="仿宋" w:cs="仿宋"/>
          <w:sz w:val="24"/>
        </w:rPr>
      </w:pPr>
      <w:r>
        <w:rPr>
          <w:rFonts w:hint="eastAsia" w:ascii="仿宋" w:hAnsi="仿宋" w:eastAsia="仿宋" w:cs="仿宋"/>
          <w:sz w:val="24"/>
        </w:rPr>
        <w:t>（10）非本地投标人售后服务机构证明材料………………………………………（页码）</w:t>
      </w:r>
    </w:p>
    <w:p>
      <w:pPr>
        <w:snapToGrid w:val="0"/>
        <w:spacing w:line="288" w:lineRule="auto"/>
        <w:rPr>
          <w:rFonts w:ascii="仿宋" w:hAnsi="仿宋" w:eastAsia="仿宋" w:cs="仿宋"/>
          <w:sz w:val="24"/>
        </w:rPr>
      </w:pPr>
      <w:r>
        <w:rPr>
          <w:rFonts w:hint="eastAsia" w:ascii="仿宋" w:hAnsi="仿宋" w:eastAsia="仿宋" w:cs="仿宋"/>
          <w:sz w:val="24"/>
        </w:rPr>
        <w:t>（11）所有与符合性审查有关的资信文件（复印件）………………………………（页码）</w:t>
      </w:r>
    </w:p>
    <w:p>
      <w:pPr>
        <w:snapToGrid w:val="0"/>
        <w:spacing w:line="288" w:lineRule="auto"/>
        <w:rPr>
          <w:rFonts w:ascii="仿宋" w:hAnsi="仿宋" w:eastAsia="仿宋" w:cs="仿宋"/>
          <w:sz w:val="24"/>
        </w:rPr>
      </w:pPr>
      <w:r>
        <w:rPr>
          <w:rFonts w:hint="eastAsia" w:ascii="仿宋" w:hAnsi="仿宋" w:eastAsia="仿宋" w:cs="仿宋"/>
          <w:sz w:val="24"/>
        </w:rPr>
        <w:t>（12）</w:t>
      </w:r>
      <w:r>
        <w:rPr>
          <w:rFonts w:hint="eastAsia" w:ascii="仿宋" w:hAnsi="仿宋" w:eastAsia="仿宋" w:cs="仿宋"/>
          <w:sz w:val="24"/>
          <w:lang w:val="zh-CN"/>
        </w:rPr>
        <w:t>主要业绩证明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（13）廉政承诺书 ……………………………………………………………………（页码）</w:t>
      </w:r>
    </w:p>
    <w:p>
      <w:pPr>
        <w:snapToGrid w:val="0"/>
        <w:spacing w:line="288" w:lineRule="auto"/>
        <w:rPr>
          <w:rFonts w:ascii="仿宋" w:hAnsi="仿宋" w:eastAsia="仿宋" w:cs="仿宋"/>
          <w:sz w:val="24"/>
        </w:rPr>
      </w:pPr>
      <w:r>
        <w:rPr>
          <w:rFonts w:hint="eastAsia" w:ascii="仿宋" w:hAnsi="仿宋" w:eastAsia="仿宋" w:cs="仿宋"/>
          <w:sz w:val="24"/>
        </w:rPr>
        <w:t>（14）技术解决方案…………………………………………………………………（页码）</w:t>
      </w:r>
    </w:p>
    <w:p>
      <w:pPr>
        <w:snapToGrid w:val="0"/>
        <w:spacing w:line="288" w:lineRule="auto"/>
        <w:rPr>
          <w:rFonts w:ascii="仿宋" w:hAnsi="仿宋" w:eastAsia="仿宋" w:cs="仿宋"/>
          <w:sz w:val="24"/>
        </w:rPr>
      </w:pPr>
      <w:r>
        <w:rPr>
          <w:rFonts w:hint="eastAsia" w:ascii="仿宋" w:hAnsi="仿宋" w:eastAsia="仿宋" w:cs="仿宋"/>
          <w:sz w:val="24"/>
        </w:rPr>
        <w:t>（15）技术偏离说明表………………………………………………………………（页码）</w:t>
      </w:r>
    </w:p>
    <w:p>
      <w:pPr>
        <w:snapToGrid w:val="0"/>
        <w:spacing w:line="288" w:lineRule="auto"/>
        <w:rPr>
          <w:rFonts w:ascii="仿宋" w:hAnsi="仿宋" w:eastAsia="仿宋" w:cs="仿宋"/>
          <w:sz w:val="24"/>
        </w:rPr>
      </w:pPr>
      <w:r>
        <w:rPr>
          <w:rFonts w:hint="eastAsia" w:ascii="仿宋" w:hAnsi="仿宋" w:eastAsia="仿宋" w:cs="仿宋"/>
          <w:sz w:val="24"/>
        </w:rPr>
        <w:t>（16）组织实施方案…………………………………………………………………（页码）</w:t>
      </w:r>
    </w:p>
    <w:p>
      <w:pPr>
        <w:snapToGrid w:val="0"/>
        <w:spacing w:line="288" w:lineRule="auto"/>
        <w:rPr>
          <w:rFonts w:ascii="仿宋" w:hAnsi="仿宋" w:eastAsia="仿宋" w:cs="仿宋"/>
          <w:sz w:val="24"/>
        </w:rPr>
      </w:pPr>
      <w:r>
        <w:rPr>
          <w:rFonts w:hint="eastAsia" w:ascii="仿宋" w:hAnsi="仿宋" w:eastAsia="仿宋" w:cs="仿宋"/>
          <w:sz w:val="24"/>
        </w:rPr>
        <w:t>（17）售后服务方案…………………………………………………………………（页码）</w:t>
      </w:r>
    </w:p>
    <w:p>
      <w:pPr>
        <w:snapToGrid w:val="0"/>
        <w:spacing w:line="288" w:lineRule="auto"/>
        <w:rPr>
          <w:rFonts w:ascii="仿宋" w:hAnsi="仿宋" w:eastAsia="仿宋" w:cs="仿宋"/>
          <w:sz w:val="24"/>
        </w:rPr>
      </w:pPr>
      <w:r>
        <w:rPr>
          <w:rFonts w:hint="eastAsia" w:ascii="仿宋" w:hAnsi="仿宋" w:eastAsia="仿宋" w:cs="仿宋"/>
          <w:sz w:val="24"/>
        </w:rPr>
        <w:t>（18）项目小组人员名单……………………………………………………………（页码）</w:t>
      </w:r>
    </w:p>
    <w:p>
      <w:pPr>
        <w:snapToGrid w:val="0"/>
        <w:spacing w:line="288" w:lineRule="auto"/>
        <w:rPr>
          <w:rFonts w:ascii="仿宋" w:hAnsi="仿宋" w:eastAsia="仿宋" w:cs="仿宋"/>
          <w:sz w:val="24"/>
        </w:rPr>
      </w:pPr>
      <w:r>
        <w:rPr>
          <w:rFonts w:hint="eastAsia" w:ascii="仿宋" w:hAnsi="仿宋" w:eastAsia="仿宋" w:cs="仿宋"/>
          <w:sz w:val="24"/>
        </w:rPr>
        <w:t>（19）</w:t>
      </w:r>
      <w:r>
        <w:rPr>
          <w:rFonts w:hint="eastAsia" w:ascii="仿宋" w:hAnsi="仿宋" w:eastAsia="仿宋" w:cs="仿宋"/>
          <w:sz w:val="24"/>
          <w:lang w:val="zh-CN"/>
        </w:rPr>
        <w:t>优惠条件及特殊承诺……………………………</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（20）</w:t>
      </w:r>
      <w:r>
        <w:rPr>
          <w:rFonts w:hint="eastAsia" w:ascii="仿宋" w:hAnsi="仿宋" w:eastAsia="仿宋" w:cs="仿宋"/>
          <w:sz w:val="24"/>
          <w:lang w:val="zh-CN"/>
        </w:rPr>
        <w:t>备品备件及供选择的配套零部件清单…………</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lang w:val="zh-CN"/>
        </w:rPr>
      </w:pPr>
      <w:r>
        <w:rPr>
          <w:rFonts w:hint="eastAsia" w:ascii="仿宋" w:hAnsi="仿宋" w:eastAsia="仿宋" w:cs="仿宋"/>
          <w:sz w:val="24"/>
        </w:rPr>
        <w:t>（21）</w:t>
      </w:r>
      <w:r>
        <w:rPr>
          <w:rFonts w:hint="eastAsia" w:ascii="仿宋" w:hAnsi="仿宋" w:eastAsia="仿宋" w:cs="仿宋"/>
          <w:sz w:val="24"/>
          <w:lang w:val="zh-CN"/>
        </w:rPr>
        <w:t>消耗品、维修零配件购买价格清单……………</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lang w:val="zh-CN"/>
        </w:rPr>
        <w:t>（22）培训计划………………………………………</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（23）</w:t>
      </w:r>
      <w:r>
        <w:rPr>
          <w:rFonts w:hint="eastAsia" w:ascii="仿宋" w:hAnsi="仿宋" w:eastAsia="仿宋" w:cs="仿宋"/>
          <w:sz w:val="24"/>
          <w:lang w:val="zh-CN"/>
        </w:rPr>
        <w:t>验收方案…………………………………</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（24）</w:t>
      </w:r>
      <w:r>
        <w:rPr>
          <w:rFonts w:hint="eastAsia" w:ascii="仿宋" w:hAnsi="仿宋" w:eastAsia="仿宋" w:cs="仿宋"/>
          <w:sz w:val="24"/>
          <w:lang w:val="zh-CN"/>
        </w:rPr>
        <w:t>认为需要的其他商务技术（资信）文件或说明…………</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w:t>
      </w:r>
      <w:r>
        <w:rPr>
          <w:rFonts w:hint="eastAsia" w:ascii="仿宋" w:hAnsi="仿宋" w:eastAsia="仿宋" w:cs="仿宋"/>
          <w:sz w:val="24"/>
          <w:lang w:val="zh-CN"/>
        </w:rPr>
        <w:t>…</w:t>
      </w:r>
      <w:r>
        <w:rPr>
          <w:rFonts w:hint="eastAsia" w:ascii="仿宋" w:hAnsi="仿宋" w:eastAsia="仿宋" w:cs="仿宋"/>
          <w:sz w:val="24"/>
        </w:rPr>
        <w:t>（页码）</w:t>
      </w:r>
    </w:p>
    <w:p>
      <w:pPr>
        <w:snapToGrid w:val="0"/>
        <w:spacing w:line="288" w:lineRule="auto"/>
        <w:rPr>
          <w:rFonts w:ascii="仿宋" w:hAnsi="仿宋" w:eastAsia="仿宋" w:cs="仿宋"/>
          <w:sz w:val="24"/>
        </w:rPr>
      </w:pPr>
      <w:r>
        <w:rPr>
          <w:rFonts w:hint="eastAsia" w:ascii="仿宋" w:hAnsi="仿宋" w:eastAsia="仿宋" w:cs="仿宋"/>
          <w:sz w:val="24"/>
        </w:rPr>
        <w:t>注：以上目录是基本格式要求，各投标人可根据自身情况进一步细化。</w:t>
      </w: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 xml:space="preserve">1、法定代表人授权委托书（格式） </w:t>
      </w:r>
    </w:p>
    <w:p>
      <w:pPr>
        <w:jc w:val="center"/>
        <w:rPr>
          <w:rFonts w:ascii="仿宋" w:hAnsi="仿宋" w:eastAsia="仿宋" w:cs="仿宋"/>
          <w:b/>
          <w:sz w:val="24"/>
        </w:rPr>
      </w:pPr>
    </w:p>
    <w:p>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绍兴市公安局交通管理局、耀华建设管理有限公司</w:t>
      </w:r>
      <w:r>
        <w:rPr>
          <w:rFonts w:hint="eastAsia" w:ascii="仿宋" w:hAnsi="仿宋" w:eastAsia="仿宋" w:cs="仿宋"/>
          <w:sz w:val="24"/>
        </w:rPr>
        <w:t>组织的</w:t>
      </w:r>
      <w:r>
        <w:rPr>
          <w:rFonts w:hint="eastAsia" w:ascii="仿宋" w:hAnsi="仿宋" w:eastAsia="仿宋" w:cs="仿宋"/>
          <w:sz w:val="24"/>
          <w:u w:val="single"/>
        </w:rPr>
        <w:t>绍兴市古城交通管理体系调整规划项目</w:t>
      </w:r>
      <w:r>
        <w:rPr>
          <w:rFonts w:hint="eastAsia" w:ascii="仿宋" w:hAnsi="仿宋" w:eastAsia="仿宋" w:cs="仿宋"/>
          <w:sz w:val="24"/>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pPr>
        <w:snapToGrid w:val="0"/>
        <w:spacing w:line="600" w:lineRule="exact"/>
        <w:jc w:val="lef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授权代表姓名：              性别：               年龄：</w:t>
      </w: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单位：                      部门：               职务：</w:t>
      </w:r>
    </w:p>
    <w:p>
      <w:pPr>
        <w:spacing w:line="360" w:lineRule="exact"/>
        <w:rPr>
          <w:rFonts w:ascii="仿宋" w:hAnsi="仿宋" w:eastAsia="仿宋" w:cs="仿宋"/>
          <w:sz w:val="24"/>
        </w:rPr>
      </w:pPr>
    </w:p>
    <w:p>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投标人名称(电子签章)：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spacing w:line="360" w:lineRule="exact"/>
        <w:rPr>
          <w:rFonts w:ascii="仿宋" w:hAnsi="仿宋" w:eastAsia="仿宋" w:cs="仿宋"/>
          <w:sz w:val="24"/>
        </w:rPr>
      </w:pPr>
      <w:r>
        <w:rPr>
          <w:rFonts w:hint="eastAsia" w:ascii="仿宋" w:hAnsi="仿宋" w:eastAsia="仿宋" w:cs="仿宋"/>
          <w:sz w:val="24"/>
        </w:rPr>
        <w:t>法定代表人（签字或盖章）：</w:t>
      </w:r>
    </w:p>
    <w:p>
      <w:pPr>
        <w:spacing w:line="360" w:lineRule="exact"/>
        <w:rPr>
          <w:rFonts w:ascii="仿宋" w:hAnsi="仿宋" w:eastAsia="仿宋" w:cs="仿宋"/>
          <w:sz w:val="24"/>
        </w:rPr>
      </w:pPr>
    </w:p>
    <w:p>
      <w:pPr>
        <w:spacing w:line="360" w:lineRule="exact"/>
        <w:rPr>
          <w:rFonts w:ascii="仿宋" w:hAnsi="仿宋" w:eastAsia="仿宋" w:cs="仿宋"/>
          <w:sz w:val="24"/>
        </w:rPr>
      </w:pPr>
    </w:p>
    <w:p>
      <w:pPr>
        <w:ind w:firstLine="5280" w:firstLineChars="2200"/>
        <w:jc w:val="right"/>
        <w:rPr>
          <w:rFonts w:ascii="仿宋" w:hAnsi="仿宋" w:eastAsia="仿宋" w:cs="仿宋"/>
          <w:sz w:val="24"/>
        </w:rPr>
      </w:pPr>
      <w:r>
        <w:rPr>
          <w:rFonts w:hint="eastAsia" w:ascii="仿宋" w:hAnsi="仿宋" w:eastAsia="仿宋" w:cs="仿宋"/>
          <w:sz w:val="24"/>
        </w:rPr>
        <w:t>日期： 年 月 日</w:t>
      </w:r>
    </w:p>
    <w:p>
      <w:pPr>
        <w:ind w:firstLine="4920" w:firstLineChars="2050"/>
        <w:jc w:val="left"/>
        <w:rPr>
          <w:rFonts w:ascii="仿宋" w:hAnsi="仿宋" w:eastAsia="仿宋" w:cs="仿宋"/>
          <w:sz w:val="24"/>
        </w:rPr>
      </w:pPr>
    </w:p>
    <w:p>
      <w:pPr>
        <w:pageBreakBefore/>
        <w:spacing w:line="800" w:lineRule="exact"/>
        <w:rPr>
          <w:rFonts w:ascii="仿宋" w:hAnsi="仿宋" w:eastAsia="仿宋" w:cs="仿宋"/>
          <w:b/>
          <w:sz w:val="30"/>
          <w:szCs w:val="30"/>
        </w:rPr>
      </w:pPr>
      <w:r>
        <w:rPr>
          <w:rFonts w:hint="eastAsia" w:ascii="仿宋" w:hAnsi="仿宋" w:eastAsia="仿宋" w:cs="仿宋"/>
          <w:b/>
          <w:sz w:val="30"/>
          <w:szCs w:val="30"/>
        </w:rPr>
        <w:t>2、授权代表社保证明（复印件）</w:t>
      </w:r>
    </w:p>
    <w:p>
      <w:pPr>
        <w:spacing w:line="800" w:lineRule="exact"/>
        <w:ind w:firstLine="480" w:firstLineChars="200"/>
        <w:rPr>
          <w:rFonts w:ascii="仿宋" w:hAnsi="仿宋" w:eastAsia="仿宋" w:cs="仿宋"/>
          <w:sz w:val="24"/>
          <w:u w:val="wave"/>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加盖投标人公章的委托代理协议复印件），格式自拟。</w:t>
      </w:r>
      <w:r>
        <w:rPr>
          <w:rFonts w:hint="eastAsia" w:ascii="仿宋" w:hAnsi="仿宋" w:eastAsia="仿宋" w:cs="仿宋"/>
          <w:b/>
          <w:sz w:val="24"/>
        </w:rPr>
        <w:t>未提供上述证明的投标做无效投标处理。</w:t>
      </w:r>
    </w:p>
    <w:p>
      <w:pPr>
        <w:spacing w:line="800" w:lineRule="exact"/>
        <w:ind w:firstLine="4320" w:firstLineChars="1800"/>
        <w:rPr>
          <w:rFonts w:ascii="仿宋" w:hAnsi="仿宋" w:eastAsia="仿宋" w:cs="仿宋"/>
          <w:sz w:val="24"/>
        </w:rPr>
      </w:pPr>
    </w:p>
    <w:p>
      <w:pPr>
        <w:spacing w:line="800" w:lineRule="exact"/>
        <w:ind w:firstLine="4337" w:firstLineChars="1800"/>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3、法定代表人及其授权代表身份证复印件（正反面）</w:t>
      </w:r>
    </w:p>
    <w:p>
      <w:pPr>
        <w:spacing w:line="800" w:lineRule="exact"/>
        <w:rPr>
          <w:rFonts w:ascii="仿宋" w:hAnsi="仿宋" w:eastAsia="仿宋" w:cs="仿宋"/>
          <w:b/>
          <w:sz w:val="24"/>
        </w:rPr>
      </w:pPr>
    </w:p>
    <w:p>
      <w:pPr>
        <w:spacing w:line="800" w:lineRule="exact"/>
        <w:rPr>
          <w:rFonts w:ascii="仿宋" w:hAnsi="仿宋" w:eastAsia="仿宋" w:cs="仿宋"/>
          <w:b/>
          <w:sz w:val="30"/>
          <w:szCs w:val="30"/>
        </w:rPr>
      </w:pPr>
      <w:r>
        <w:rPr>
          <w:rFonts w:hint="eastAsia" w:ascii="仿宋" w:hAnsi="仿宋" w:eastAsia="仿宋" w:cs="仿宋"/>
          <w:b/>
          <w:sz w:val="30"/>
          <w:szCs w:val="30"/>
        </w:rPr>
        <w:t>4、法定代表人身份证明书(格式)</w:t>
      </w:r>
    </w:p>
    <w:p>
      <w:pPr>
        <w:spacing w:line="440" w:lineRule="exact"/>
        <w:rPr>
          <w:rFonts w:ascii="仿宋" w:hAnsi="仿宋" w:eastAsia="仿宋" w:cs="仿宋"/>
          <w:sz w:val="24"/>
        </w:rPr>
      </w:pPr>
      <w:r>
        <w:rPr>
          <w:rFonts w:hint="eastAsia" w:ascii="仿宋" w:hAnsi="仿宋" w:eastAsia="仿宋" w:cs="仿宋"/>
          <w:sz w:val="24"/>
        </w:rPr>
        <w:t>投 标 人：</w:t>
      </w:r>
    </w:p>
    <w:p>
      <w:pPr>
        <w:spacing w:line="440" w:lineRule="exact"/>
        <w:rPr>
          <w:rFonts w:ascii="仿宋" w:hAnsi="仿宋" w:eastAsia="仿宋" w:cs="仿宋"/>
          <w:sz w:val="24"/>
        </w:rPr>
      </w:pPr>
      <w:r>
        <w:rPr>
          <w:rFonts w:hint="eastAsia" w:ascii="仿宋" w:hAnsi="仿宋" w:eastAsia="仿宋" w:cs="仿宋"/>
          <w:sz w:val="24"/>
        </w:rPr>
        <w:t>地    址：</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姓    名：</w:t>
      </w:r>
    </w:p>
    <w:p>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pPr>
        <w:spacing w:line="440" w:lineRule="exact"/>
        <w:ind w:right="281" w:rightChars="134"/>
        <w:rPr>
          <w:rFonts w:ascii="仿宋" w:hAnsi="仿宋" w:eastAsia="仿宋" w:cs="仿宋"/>
          <w:sz w:val="24"/>
        </w:rPr>
      </w:pPr>
      <w:r>
        <w:rPr>
          <w:rFonts w:hint="eastAsia" w:ascii="仿宋" w:hAnsi="仿宋" w:eastAsia="仿宋" w:cs="仿宋"/>
          <w:sz w:val="24"/>
        </w:rPr>
        <w:t>职   务：</w:t>
      </w:r>
    </w:p>
    <w:p>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pPr>
        <w:spacing w:line="440" w:lineRule="exact"/>
        <w:rPr>
          <w:rFonts w:ascii="仿宋" w:hAnsi="仿宋" w:eastAsia="仿宋" w:cs="仿宋"/>
          <w:sz w:val="24"/>
        </w:rPr>
      </w:pPr>
      <w:r>
        <w:rPr>
          <w:rFonts w:hint="eastAsia" w:ascii="仿宋" w:hAnsi="仿宋" w:eastAsia="仿宋" w:cs="仿宋"/>
          <w:sz w:val="24"/>
        </w:rPr>
        <w:t>特此证明。</w:t>
      </w:r>
    </w:p>
    <w:p>
      <w:pPr>
        <w:spacing w:line="440" w:lineRule="exact"/>
        <w:rPr>
          <w:rFonts w:ascii="仿宋" w:hAnsi="仿宋" w:eastAsia="仿宋" w:cs="仿宋"/>
          <w:sz w:val="24"/>
        </w:rPr>
      </w:pPr>
    </w:p>
    <w:p>
      <w:pPr>
        <w:spacing w:line="440" w:lineRule="exact"/>
        <w:rPr>
          <w:rFonts w:ascii="仿宋" w:hAnsi="仿宋" w:eastAsia="仿宋" w:cs="仿宋"/>
          <w:sz w:val="24"/>
        </w:rPr>
      </w:pPr>
      <w:r>
        <w:rPr>
          <w:rFonts w:hint="eastAsia" w:ascii="仿宋" w:hAnsi="仿宋" w:eastAsia="仿宋" w:cs="仿宋"/>
          <w:sz w:val="24"/>
        </w:rPr>
        <w:t>投标人：                             (电子签章)</w:t>
      </w:r>
    </w:p>
    <w:p>
      <w:pPr>
        <w:spacing w:line="440" w:lineRule="exact"/>
        <w:ind w:right="480"/>
        <w:rPr>
          <w:rFonts w:ascii="仿宋" w:hAnsi="仿宋" w:eastAsia="仿宋" w:cs="仿宋"/>
          <w:sz w:val="24"/>
        </w:rPr>
      </w:pPr>
    </w:p>
    <w:p>
      <w:pPr>
        <w:spacing w:line="360" w:lineRule="auto"/>
        <w:jc w:val="right"/>
        <w:rPr>
          <w:rFonts w:ascii="仿宋" w:hAnsi="仿宋" w:eastAsia="仿宋" w:cs="仿宋"/>
          <w:b/>
          <w:sz w:val="30"/>
          <w:szCs w:val="30"/>
        </w:rPr>
      </w:pPr>
      <w:r>
        <w:rPr>
          <w:rFonts w:hint="eastAsia" w:ascii="仿宋" w:hAnsi="仿宋" w:eastAsia="仿宋" w:cs="仿宋"/>
          <w:sz w:val="24"/>
        </w:rPr>
        <w:t>日期： 年 月 日</w:t>
      </w:r>
    </w:p>
    <w:p>
      <w:pPr>
        <w:pageBreakBefore/>
        <w:spacing w:line="360" w:lineRule="auto"/>
        <w:rPr>
          <w:rFonts w:ascii="仿宋" w:hAnsi="仿宋" w:eastAsia="仿宋" w:cs="仿宋"/>
          <w:b/>
          <w:sz w:val="30"/>
          <w:szCs w:val="30"/>
        </w:rPr>
      </w:pPr>
      <w:r>
        <w:rPr>
          <w:rFonts w:hint="eastAsia" w:ascii="仿宋" w:hAnsi="仿宋" w:eastAsia="仿宋" w:cs="仿宋"/>
          <w:b/>
          <w:sz w:val="30"/>
          <w:szCs w:val="30"/>
        </w:rPr>
        <w:t>5</w:t>
      </w:r>
      <w:r>
        <w:rPr>
          <w:rFonts w:hint="eastAsia" w:ascii="仿宋" w:hAnsi="仿宋" w:eastAsia="仿宋" w:cs="仿宋"/>
          <w:b/>
          <w:kern w:val="0"/>
          <w:sz w:val="30"/>
          <w:szCs w:val="30"/>
          <w:lang w:val="zh-CN"/>
        </w:rPr>
        <w:t>、</w:t>
      </w:r>
      <w:r>
        <w:rPr>
          <w:rFonts w:hint="eastAsia" w:ascii="仿宋" w:hAnsi="仿宋" w:eastAsia="仿宋" w:cs="仿宋"/>
          <w:b/>
          <w:sz w:val="30"/>
          <w:szCs w:val="30"/>
        </w:rPr>
        <w:t>营业执照（或事业法人登记证或其他登记证明材料）（复印件）</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6、财务报表资料文件（2019年度资产负债表等财务报表资料文件(新成立的公司，提供情况说明，格式自拟)）</w:t>
      </w:r>
    </w:p>
    <w:p>
      <w:pPr>
        <w:spacing w:line="360" w:lineRule="auto"/>
        <w:rPr>
          <w:rFonts w:ascii="仿宋" w:hAnsi="仿宋" w:eastAsia="仿宋" w:cs="仿宋"/>
          <w:b/>
          <w:sz w:val="30"/>
          <w:szCs w:val="30"/>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jc w:val="center"/>
        <w:rPr>
          <w:rFonts w:ascii="仿宋" w:hAnsi="仿宋" w:eastAsia="仿宋" w:cs="仿宋"/>
          <w:b/>
          <w:kern w:val="0"/>
          <w:sz w:val="32"/>
          <w:szCs w:val="32"/>
          <w:lang w:val="zh-CN"/>
        </w:rPr>
      </w:pPr>
    </w:p>
    <w:p>
      <w:pPr>
        <w:snapToGrid w:val="0"/>
        <w:spacing w:line="360" w:lineRule="auto"/>
        <w:ind w:right="480"/>
        <w:rPr>
          <w:rFonts w:ascii="仿宋" w:hAnsi="仿宋" w:eastAsia="仿宋" w:cs="仿宋"/>
          <w:b/>
          <w:kern w:val="0"/>
          <w:sz w:val="32"/>
          <w:szCs w:val="32"/>
        </w:rPr>
      </w:pPr>
      <w:r>
        <w:rPr>
          <w:rFonts w:hint="eastAsia" w:ascii="仿宋" w:hAnsi="仿宋" w:eastAsia="仿宋" w:cs="仿宋"/>
          <w:b/>
          <w:kern w:val="0"/>
          <w:sz w:val="32"/>
          <w:szCs w:val="32"/>
        </w:rPr>
        <w:t>7、具有履行合同所必需的设备和专业技术能力的承诺函</w:t>
      </w:r>
    </w:p>
    <w:p>
      <w:pPr>
        <w:snapToGrid w:val="0"/>
        <w:spacing w:line="360" w:lineRule="auto"/>
        <w:rPr>
          <w:rFonts w:ascii="仿宋" w:hAnsi="仿宋" w:eastAsia="仿宋" w:cs="仿宋"/>
          <w:sz w:val="24"/>
        </w:rPr>
      </w:pPr>
      <w:r>
        <w:rPr>
          <w:rFonts w:hint="eastAsia" w:ascii="仿宋" w:hAnsi="仿宋" w:eastAsia="仿宋" w:cs="仿宋"/>
          <w:sz w:val="24"/>
        </w:rPr>
        <w:t>绍兴市公安局交通管理局、耀华建设管理有限公司</w:t>
      </w:r>
      <w:r>
        <w:rPr>
          <w:rFonts w:hint="eastAsia" w:ascii="仿宋" w:hAnsi="仿宋" w:eastAsia="仿宋" w:cs="仿宋"/>
          <w:kern w:val="0"/>
          <w:sz w:val="24"/>
          <w:lang w:val="zh-CN"/>
        </w:rPr>
        <w:t>：</w:t>
      </w:r>
    </w:p>
    <w:p>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我方郑重承诺，我方具有履行绍兴市公安局交通管理局绍兴市古城交通管理体系调整规划项目（招标编号:   ）合同所必需的设备和专业技术能力。如中标，我方将保证合同顺利履行。</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kern w:val="0"/>
          <w:sz w:val="32"/>
          <w:szCs w:val="32"/>
        </w:rPr>
      </w:pPr>
    </w:p>
    <w:p>
      <w:pPr>
        <w:spacing w:line="360" w:lineRule="auto"/>
        <w:jc w:val="center"/>
        <w:rPr>
          <w:rFonts w:ascii="仿宋" w:hAnsi="仿宋" w:eastAsia="仿宋" w:cs="仿宋"/>
          <w:b/>
          <w:kern w:val="0"/>
          <w:sz w:val="32"/>
          <w:szCs w:val="32"/>
        </w:rPr>
      </w:pPr>
    </w:p>
    <w:p>
      <w:pPr>
        <w:pageBreakBefore/>
        <w:spacing w:line="360" w:lineRule="auto"/>
        <w:rPr>
          <w:rFonts w:ascii="仿宋" w:hAnsi="仿宋" w:eastAsia="仿宋" w:cs="仿宋"/>
          <w:b/>
          <w:kern w:val="0"/>
          <w:sz w:val="32"/>
          <w:szCs w:val="32"/>
          <w:lang w:val="zh-CN"/>
        </w:rPr>
      </w:pPr>
      <w:r>
        <w:rPr>
          <w:rFonts w:hint="eastAsia" w:ascii="仿宋" w:hAnsi="仿宋" w:eastAsia="仿宋" w:cs="仿宋"/>
          <w:b/>
          <w:kern w:val="0"/>
          <w:sz w:val="32"/>
          <w:szCs w:val="32"/>
        </w:rPr>
        <w:t>8、重大违法记录的声明</w:t>
      </w:r>
    </w:p>
    <w:p>
      <w:pPr>
        <w:snapToGrid w:val="0"/>
        <w:spacing w:line="360" w:lineRule="auto"/>
        <w:rPr>
          <w:rFonts w:ascii="仿宋" w:hAnsi="仿宋" w:eastAsia="仿宋" w:cs="仿宋"/>
          <w:kern w:val="0"/>
          <w:sz w:val="24"/>
        </w:rPr>
      </w:pPr>
      <w:r>
        <w:rPr>
          <w:rFonts w:hint="eastAsia" w:ascii="仿宋" w:hAnsi="仿宋" w:eastAsia="仿宋" w:cs="仿宋"/>
          <w:sz w:val="24"/>
        </w:rPr>
        <w:t>绍兴市公安局交通管理局、耀华建设管理有限公司</w:t>
      </w:r>
      <w:r>
        <w:rPr>
          <w:rFonts w:hint="eastAsia" w:ascii="仿宋" w:hAnsi="仿宋" w:eastAsia="仿宋" w:cs="仿宋"/>
          <w:kern w:val="0"/>
          <w:sz w:val="24"/>
          <w:lang w:val="zh-CN"/>
        </w:rPr>
        <w:t>：</w:t>
      </w:r>
    </w:p>
    <w:p>
      <w:pPr>
        <w:spacing w:line="360" w:lineRule="auto"/>
        <w:ind w:firstLine="480" w:firstLineChars="200"/>
        <w:rPr>
          <w:rFonts w:ascii="仿宋" w:hAnsi="仿宋" w:eastAsia="仿宋" w:cs="仿宋"/>
          <w:strike/>
          <w:sz w:val="24"/>
          <w:szCs w:val="20"/>
        </w:rPr>
      </w:pPr>
      <w:r>
        <w:rPr>
          <w:rFonts w:hint="eastAsia" w:ascii="仿宋" w:hAnsi="仿宋" w:eastAsia="仿宋" w:cs="仿宋"/>
          <w:kern w:val="0"/>
          <w:sz w:val="24"/>
          <w:lang w:val="zh-CN"/>
        </w:rPr>
        <w:t>我公司</w:t>
      </w:r>
      <w:r>
        <w:rPr>
          <w:rFonts w:hint="eastAsia" w:ascii="仿宋" w:hAnsi="仿宋" w:eastAsia="仿宋" w:cs="仿宋"/>
          <w:sz w:val="24"/>
        </w:rPr>
        <w:t>声明参加本次政府采购活动前三年内，在</w:t>
      </w:r>
      <w:r>
        <w:rPr>
          <w:rFonts w:hint="eastAsia" w:ascii="仿宋" w:hAnsi="仿宋" w:eastAsia="仿宋" w:cs="仿宋"/>
          <w:kern w:val="0"/>
          <w:sz w:val="24"/>
        </w:rPr>
        <w:t>经营活动中</w:t>
      </w:r>
      <w:r>
        <w:rPr>
          <w:rFonts w:hint="eastAsia" w:ascii="仿宋" w:hAnsi="仿宋" w:eastAsia="仿宋" w:cs="仿宋"/>
          <w:sz w:val="24"/>
        </w:rPr>
        <w:t>没有重大违法记录；也</w:t>
      </w:r>
      <w:r>
        <w:rPr>
          <w:rFonts w:hint="eastAsia" w:ascii="仿宋" w:hAnsi="仿宋" w:eastAsia="仿宋" w:cs="仿宋"/>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w:t>
      </w:r>
    </w:p>
    <w:p>
      <w:pPr>
        <w:spacing w:line="360" w:lineRule="auto"/>
        <w:ind w:firstLine="480" w:firstLineChars="200"/>
        <w:rPr>
          <w:rFonts w:ascii="仿宋" w:hAnsi="仿宋" w:eastAsia="仿宋" w:cs="仿宋"/>
          <w:sz w:val="24"/>
          <w:szCs w:val="20"/>
        </w:rPr>
      </w:pP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w:t>
      </w:r>
    </w:p>
    <w:p>
      <w:pPr>
        <w:snapToGrid w:val="0"/>
        <w:spacing w:line="360" w:lineRule="auto"/>
        <w:rPr>
          <w:rFonts w:ascii="仿宋" w:hAnsi="仿宋" w:eastAsia="仿宋" w:cs="仿宋"/>
          <w:kern w:val="0"/>
          <w:sz w:val="24"/>
          <w:lang w:val="zh-CN"/>
        </w:rPr>
      </w:pPr>
    </w:p>
    <w:p>
      <w:pPr>
        <w:snapToGrid w:val="0"/>
        <w:spacing w:line="360" w:lineRule="auto"/>
        <w:rPr>
          <w:rFonts w:ascii="仿宋" w:hAnsi="仿宋" w:eastAsia="仿宋" w:cs="仿宋"/>
          <w:kern w:val="0"/>
          <w:sz w:val="24"/>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jc w:val="center"/>
        <w:rPr>
          <w:rFonts w:ascii="仿宋" w:hAnsi="仿宋" w:eastAsia="仿宋" w:cs="仿宋"/>
          <w:b/>
          <w:sz w:val="30"/>
          <w:szCs w:val="30"/>
        </w:rPr>
      </w:pPr>
    </w:p>
    <w:p>
      <w:pPr>
        <w:spacing w:line="360" w:lineRule="auto"/>
        <w:rPr>
          <w:rFonts w:ascii="仿宋" w:hAnsi="仿宋" w:eastAsia="仿宋" w:cs="仿宋"/>
          <w:b/>
          <w:sz w:val="32"/>
          <w:szCs w:val="32"/>
        </w:rPr>
      </w:pPr>
      <w:r>
        <w:rPr>
          <w:rFonts w:hint="eastAsia" w:ascii="仿宋" w:hAnsi="仿宋" w:eastAsia="仿宋" w:cs="仿宋"/>
          <w:b/>
          <w:sz w:val="32"/>
          <w:szCs w:val="32"/>
        </w:rPr>
        <w:t>9、特定资格条件要求的资质文件（复印件）</w:t>
      </w:r>
    </w:p>
    <w:p>
      <w:pPr>
        <w:widowControl/>
        <w:spacing w:line="360" w:lineRule="auto"/>
        <w:ind w:firstLine="480" w:firstLineChars="200"/>
        <w:jc w:val="left"/>
        <w:rPr>
          <w:rFonts w:ascii="仿宋" w:hAnsi="仿宋" w:eastAsia="仿宋" w:cs="仿宋"/>
          <w:b/>
          <w:bCs/>
          <w:sz w:val="32"/>
          <w:szCs w:val="32"/>
        </w:rPr>
      </w:pPr>
      <w:r>
        <w:rPr>
          <w:rFonts w:hint="eastAsia" w:ascii="仿宋" w:hAnsi="仿宋" w:eastAsia="仿宋" w:cs="仿宋"/>
          <w:sz w:val="24"/>
        </w:rPr>
        <w:t>（由投标人根据招标公告合格的投标人应具备的特定资格要求编制）</w:t>
      </w: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p>
    <w:p>
      <w:pPr>
        <w:spacing w:line="360" w:lineRule="auto"/>
        <w:rPr>
          <w:rFonts w:ascii="仿宋" w:hAnsi="仿宋" w:eastAsia="仿宋" w:cs="仿宋"/>
          <w:b/>
          <w:sz w:val="30"/>
          <w:szCs w:val="30"/>
        </w:rPr>
      </w:pPr>
      <w:r>
        <w:rPr>
          <w:rFonts w:hint="eastAsia" w:ascii="仿宋" w:hAnsi="仿宋" w:eastAsia="仿宋" w:cs="仿宋"/>
          <w:b/>
          <w:sz w:val="30"/>
          <w:szCs w:val="30"/>
        </w:rPr>
        <w:t>10、非本地投标人售后服务机构证明材料</w:t>
      </w:r>
    </w:p>
    <w:p>
      <w:pPr>
        <w:spacing w:line="360" w:lineRule="auto"/>
        <w:ind w:firstLine="480" w:firstLineChars="200"/>
        <w:rPr>
          <w:rFonts w:ascii="仿宋" w:hAnsi="仿宋" w:eastAsia="仿宋" w:cs="仿宋"/>
          <w:sz w:val="24"/>
        </w:rPr>
      </w:pPr>
      <w:r>
        <w:rPr>
          <w:rFonts w:hint="eastAsia" w:ascii="仿宋" w:hAnsi="仿宋" w:eastAsia="仿宋" w:cs="仿宋"/>
          <w:sz w:val="24"/>
        </w:rPr>
        <w:t>（由非本地投标人根据采购需求及招标文件要求编制）</w:t>
      </w:r>
    </w:p>
    <w:p>
      <w:pPr>
        <w:spacing w:line="360" w:lineRule="auto"/>
        <w:jc w:val="center"/>
        <w:rPr>
          <w:rFonts w:ascii="仿宋" w:hAnsi="仿宋" w:eastAsia="仿宋" w:cs="仿宋"/>
          <w:b/>
          <w:sz w:val="32"/>
          <w:szCs w:val="32"/>
        </w:rPr>
      </w:pPr>
    </w:p>
    <w:p>
      <w:pPr>
        <w:spacing w:line="360" w:lineRule="auto"/>
        <w:jc w:val="center"/>
        <w:rPr>
          <w:rFonts w:ascii="仿宋" w:hAnsi="仿宋" w:eastAsia="仿宋" w:cs="仿宋"/>
          <w:b/>
          <w:sz w:val="32"/>
          <w:szCs w:val="32"/>
        </w:rPr>
      </w:pPr>
    </w:p>
    <w:p>
      <w:pPr>
        <w:pageBreakBefore/>
        <w:spacing w:line="360" w:lineRule="auto"/>
        <w:rPr>
          <w:rFonts w:ascii="仿宋" w:hAnsi="仿宋" w:eastAsia="仿宋" w:cs="仿宋"/>
          <w:b/>
          <w:sz w:val="32"/>
          <w:szCs w:val="32"/>
        </w:rPr>
      </w:pPr>
      <w:r>
        <w:rPr>
          <w:rFonts w:hint="eastAsia" w:ascii="仿宋" w:hAnsi="仿宋" w:eastAsia="仿宋" w:cs="仿宋"/>
          <w:b/>
          <w:sz w:val="32"/>
          <w:szCs w:val="32"/>
        </w:rPr>
        <w:t>11、所有与符合性审查有关的资信文件（复印件）</w:t>
      </w:r>
    </w:p>
    <w:p>
      <w:pPr>
        <w:spacing w:line="360" w:lineRule="auto"/>
        <w:rPr>
          <w:rFonts w:ascii="仿宋" w:hAnsi="仿宋" w:eastAsia="仿宋" w:cs="仿宋"/>
          <w:b/>
          <w:bCs/>
          <w:sz w:val="32"/>
          <w:szCs w:val="32"/>
        </w:rPr>
      </w:pPr>
      <w:r>
        <w:rPr>
          <w:rFonts w:hint="eastAsia" w:ascii="仿宋" w:hAnsi="仿宋" w:eastAsia="仿宋" w:cs="仿宋"/>
          <w:b/>
          <w:sz w:val="24"/>
        </w:rPr>
        <w:t>（1. 提供依法缴纳税收和社会保障资金的良好记录证明，税收和社保证明打印时间不得早于投标截止时间前1个月；2.</w:t>
      </w:r>
      <w:r>
        <w:rPr>
          <w:rFonts w:hint="eastAsia" w:ascii="仿宋" w:hAnsi="仿宋" w:eastAsia="仿宋" w:cs="仿宋"/>
          <w:sz w:val="24"/>
        </w:rPr>
        <w:t>其他资料由投标人根据采购需求及招标文件要求编制。</w:t>
      </w:r>
      <w:r>
        <w:rPr>
          <w:rFonts w:hint="eastAsia" w:ascii="仿宋" w:hAnsi="仿宋" w:eastAsia="仿宋" w:cs="仿宋"/>
          <w:b/>
          <w:sz w:val="24"/>
        </w:rPr>
        <w:t>）</w:t>
      </w: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p>
    <w:p>
      <w:pPr>
        <w:spacing w:line="360" w:lineRule="auto"/>
        <w:rPr>
          <w:rFonts w:ascii="仿宋" w:hAnsi="仿宋" w:eastAsia="仿宋" w:cs="仿宋"/>
          <w:b/>
          <w:bCs/>
          <w:sz w:val="32"/>
          <w:szCs w:val="32"/>
        </w:rPr>
      </w:pPr>
      <w:r>
        <w:rPr>
          <w:rFonts w:hint="eastAsia" w:ascii="仿宋" w:hAnsi="仿宋" w:eastAsia="仿宋" w:cs="仿宋"/>
          <w:b/>
          <w:bCs/>
          <w:sz w:val="32"/>
          <w:szCs w:val="32"/>
        </w:rPr>
        <w:t>12、</w:t>
      </w:r>
      <w:r>
        <w:rPr>
          <w:rFonts w:hint="eastAsia" w:ascii="仿宋" w:hAnsi="仿宋" w:eastAsia="仿宋" w:cs="仿宋"/>
          <w:b/>
          <w:kern w:val="0"/>
          <w:sz w:val="32"/>
          <w:szCs w:val="32"/>
          <w:lang w:val="zh-CN"/>
        </w:rPr>
        <w:t>主要业绩证明</w:t>
      </w:r>
    </w:p>
    <w:p>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27"/>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 w:hAnsi="仿宋" w:eastAsia="仿宋" w:cs="仿宋"/>
                <w:sz w:val="24"/>
              </w:rPr>
            </w:pPr>
          </w:p>
        </w:tc>
      </w:tr>
    </w:tbl>
    <w:p>
      <w:pPr>
        <w:autoSpaceDE w:val="0"/>
        <w:autoSpaceDN w:val="0"/>
        <w:spacing w:line="360" w:lineRule="auto"/>
        <w:rPr>
          <w:rFonts w:ascii="仿宋" w:hAnsi="仿宋" w:eastAsia="仿宋" w:cs="仿宋"/>
          <w:sz w:val="24"/>
        </w:rPr>
      </w:pPr>
      <w:r>
        <w:rPr>
          <w:rFonts w:hint="eastAsia" w:ascii="仿宋" w:hAnsi="仿宋" w:eastAsia="仿宋" w:cs="仿宋"/>
          <w:b/>
          <w:sz w:val="24"/>
        </w:rPr>
        <w:t>注：投标人可按上述的格式自行编制。</w:t>
      </w:r>
    </w:p>
    <w:p>
      <w:pPr>
        <w:autoSpaceDE w:val="0"/>
        <w:autoSpaceDN w:val="0"/>
        <w:spacing w:line="360" w:lineRule="auto"/>
        <w:ind w:firstLine="4560" w:firstLineChars="1900"/>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 xml:space="preserve">：                   </w:t>
      </w:r>
    </w:p>
    <w:p>
      <w:pPr>
        <w:snapToGrid w:val="0"/>
        <w:spacing w:line="360" w:lineRule="auto"/>
        <w:ind w:firstLine="5160" w:firstLineChars="215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rPr>
          <w:rFonts w:ascii="仿宋" w:hAnsi="仿宋" w:eastAsia="仿宋" w:cs="仿宋"/>
          <w:kern w:val="0"/>
          <w:sz w:val="24"/>
        </w:rPr>
      </w:pPr>
    </w:p>
    <w:p>
      <w:pPr>
        <w:pStyle w:val="78"/>
        <w:ind w:firstLine="0"/>
        <w:jc w:val="both"/>
        <w:rPr>
          <w:rFonts w:ascii="仿宋" w:eastAsia="仿宋" w:cs="仿宋"/>
        </w:rPr>
      </w:pPr>
    </w:p>
    <w:p>
      <w:pPr>
        <w:pStyle w:val="78"/>
        <w:ind w:firstLine="0"/>
        <w:jc w:val="both"/>
        <w:rPr>
          <w:rFonts w:ascii="仿宋" w:eastAsia="仿宋" w:cs="仿宋"/>
        </w:rPr>
      </w:pPr>
    </w:p>
    <w:p>
      <w:pPr>
        <w:pStyle w:val="78"/>
        <w:pageBreakBefore/>
        <w:ind w:firstLine="0"/>
        <w:jc w:val="both"/>
        <w:rPr>
          <w:rFonts w:ascii="仿宋" w:eastAsia="仿宋" w:cs="仿宋"/>
        </w:rPr>
      </w:pPr>
      <w:r>
        <w:rPr>
          <w:rFonts w:hint="eastAsia" w:ascii="仿宋" w:eastAsia="仿宋" w:cs="仿宋"/>
        </w:rPr>
        <w:t>13、廉政承诺书</w:t>
      </w:r>
    </w:p>
    <w:p>
      <w:pPr>
        <w:autoSpaceDE w:val="0"/>
        <w:autoSpaceDN w:val="0"/>
        <w:spacing w:line="360" w:lineRule="auto"/>
        <w:ind w:left="2"/>
        <w:jc w:val="left"/>
        <w:rPr>
          <w:rFonts w:ascii="仿宋" w:hAnsi="仿宋" w:eastAsia="仿宋" w:cs="仿宋"/>
          <w:kern w:val="0"/>
          <w:sz w:val="24"/>
          <w:lang w:val="zh-CN"/>
        </w:rPr>
      </w:pPr>
      <w:r>
        <w:rPr>
          <w:rFonts w:hint="eastAsia" w:ascii="仿宋" w:hAnsi="仿宋" w:eastAsia="仿宋" w:cs="仿宋"/>
          <w:sz w:val="24"/>
        </w:rPr>
        <w:t>绍兴市公安局交通管理局</w:t>
      </w:r>
      <w:r>
        <w:rPr>
          <w:rFonts w:hint="eastAsia" w:ascii="仿宋" w:hAnsi="仿宋" w:eastAsia="仿宋" w:cs="仿宋"/>
          <w:kern w:val="0"/>
          <w:sz w:val="24"/>
          <w:lang w:val="zh-CN"/>
        </w:rPr>
        <w:t xml:space="preserve">：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四、不为项目有关人员及部门出国（境）、旅游等提供方便；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 w:hAnsi="仿宋" w:eastAsia="仿宋" w:cs="仿宋"/>
          <w:color w:val="FF0000"/>
          <w:kern w:val="0"/>
          <w:sz w:val="24"/>
          <w:lang w:val="zh-CN"/>
        </w:rPr>
      </w:pPr>
      <w:r>
        <w:rPr>
          <w:rFonts w:hint="eastAsia" w:ascii="仿宋" w:hAnsi="仿宋" w:eastAsia="仿宋" w:cs="仿宋"/>
          <w:color w:val="auto"/>
          <w:kern w:val="0"/>
          <w:sz w:val="24"/>
          <w:lang w:val="zh-CN"/>
        </w:rPr>
        <w:t>六、严格遵守政府采购法等法律，诚实守信，合法经营，坚决抵制各种违法违纪行为。</w:t>
      </w:r>
      <w:r>
        <w:rPr>
          <w:rFonts w:hint="eastAsia" w:ascii="仿宋" w:hAnsi="仿宋" w:eastAsia="仿宋" w:cs="仿宋"/>
          <w:color w:val="FF0000"/>
          <w:kern w:val="0"/>
          <w:sz w:val="24"/>
          <w:lang w:val="zh-CN"/>
        </w:rPr>
        <w:t xml:space="preserve">    </w:t>
      </w:r>
    </w:p>
    <w:p>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left="2"/>
        <w:jc w:val="left"/>
        <w:rPr>
          <w:rFonts w:ascii="仿宋" w:hAnsi="仿宋" w:eastAsia="仿宋" w:cs="仿宋"/>
          <w:kern w:val="0"/>
          <w:sz w:val="24"/>
          <w:lang w:val="zh-CN"/>
        </w:rPr>
      </w:pPr>
    </w:p>
    <w:p>
      <w:pPr>
        <w:autoSpaceDE w:val="0"/>
        <w:autoSpaceDN w:val="0"/>
        <w:spacing w:line="360" w:lineRule="auto"/>
        <w:ind w:right="1120"/>
        <w:jc w:val="left"/>
        <w:rPr>
          <w:rFonts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spacing w:line="360" w:lineRule="auto"/>
        <w:ind w:left="5040" w:hanging="5040" w:hangingChars="2100"/>
        <w:jc w:val="left"/>
        <w:rPr>
          <w:rFonts w:ascii="仿宋" w:hAnsi="仿宋" w:eastAsia="仿宋" w:cs="仿宋"/>
          <w:kern w:val="0"/>
          <w:sz w:val="24"/>
          <w:lang w:val="zh-CN"/>
        </w:rPr>
      </w:pPr>
    </w:p>
    <w:p>
      <w:pPr>
        <w:spacing w:line="360" w:lineRule="auto"/>
        <w:ind w:left="5040" w:hanging="5040" w:hangingChars="2100"/>
        <w:jc w:val="left"/>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w:t>
      </w:r>
    </w:p>
    <w:p>
      <w:pPr>
        <w:spacing w:line="360" w:lineRule="auto"/>
        <w:ind w:left="5040" w:hanging="5040" w:hangingChars="2100"/>
        <w:jc w:val="right"/>
        <w:rPr>
          <w:rFonts w:ascii="仿宋" w:hAnsi="仿宋" w:eastAsia="仿宋" w:cs="仿宋"/>
          <w:kern w:val="0"/>
          <w:sz w:val="24"/>
          <w:lang w:val="zh-CN"/>
        </w:rPr>
      </w:pPr>
      <w:r>
        <w:rPr>
          <w:rFonts w:hint="eastAsia" w:ascii="仿宋" w:hAnsi="仿宋" w:eastAsia="仿宋" w:cs="仿宋"/>
          <w:sz w:val="24"/>
        </w:rPr>
        <w:t>日期： 年 月 日</w:t>
      </w: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spacing w:line="360" w:lineRule="auto"/>
        <w:jc w:val="center"/>
        <w:rPr>
          <w:rFonts w:ascii="仿宋" w:hAnsi="仿宋" w:eastAsia="仿宋" w:cs="仿宋"/>
          <w:b/>
          <w:bCs/>
          <w:sz w:val="32"/>
          <w:szCs w:val="32"/>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14、技术解决方案</w:t>
      </w:r>
    </w:p>
    <w:p>
      <w:pPr>
        <w:spacing w:line="360" w:lineRule="auto"/>
        <w:rPr>
          <w:rFonts w:ascii="仿宋" w:hAnsi="仿宋" w:eastAsia="仿宋" w:cs="仿宋"/>
          <w:sz w:val="24"/>
        </w:rPr>
      </w:pPr>
      <w:r>
        <w:rPr>
          <w:rFonts w:hint="eastAsia" w:ascii="仿宋" w:hAnsi="仿宋" w:eastAsia="仿宋" w:cs="仿宋"/>
          <w:sz w:val="24"/>
        </w:rPr>
        <w:t>（由投标人根据采购需求及招标文件要求编制）</w:t>
      </w:r>
    </w:p>
    <w:p>
      <w:pPr>
        <w:spacing w:line="360" w:lineRule="auto"/>
        <w:jc w:val="center"/>
        <w:rPr>
          <w:rFonts w:ascii="仿宋" w:hAnsi="仿宋" w:eastAsia="仿宋" w:cs="仿宋"/>
          <w:sz w:val="24"/>
        </w:rPr>
      </w:pPr>
    </w:p>
    <w:p>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2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pPr>
              <w:spacing w:line="360" w:lineRule="auto"/>
              <w:jc w:val="center"/>
              <w:rPr>
                <w:rFonts w:ascii="仿宋" w:hAnsi="仿宋" w:eastAsia="仿宋" w:cs="仿宋"/>
                <w:b/>
                <w:sz w:val="24"/>
              </w:rPr>
            </w:pPr>
            <w:r>
              <w:rPr>
                <w:rFonts w:hint="eastAsia" w:ascii="仿宋" w:hAnsi="仿宋" w:eastAsia="仿宋" w:cs="仿宋"/>
                <w:b/>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pPr>
              <w:snapToGrid w:val="0"/>
              <w:spacing w:line="360" w:lineRule="auto"/>
              <w:jc w:val="center"/>
              <w:rPr>
                <w:rFonts w:ascii="仿宋" w:hAnsi="仿宋" w:eastAsia="仿宋" w:cs="仿宋"/>
                <w:sz w:val="24"/>
              </w:rPr>
            </w:pPr>
          </w:p>
        </w:tc>
        <w:tc>
          <w:tcPr>
            <w:tcW w:w="2160" w:type="dxa"/>
            <w:vAlign w:val="center"/>
          </w:tcPr>
          <w:p>
            <w:pPr>
              <w:snapToGrid w:val="0"/>
              <w:spacing w:line="360" w:lineRule="auto"/>
              <w:jc w:val="center"/>
              <w:rPr>
                <w:rFonts w:ascii="仿宋" w:hAnsi="仿宋" w:eastAsia="仿宋" w:cs="仿宋"/>
                <w:sz w:val="24"/>
              </w:rPr>
            </w:pPr>
          </w:p>
        </w:tc>
        <w:tc>
          <w:tcPr>
            <w:tcW w:w="2340" w:type="dxa"/>
            <w:vAlign w:val="center"/>
          </w:tcPr>
          <w:p>
            <w:pPr>
              <w:spacing w:line="360" w:lineRule="auto"/>
              <w:jc w:val="center"/>
              <w:rPr>
                <w:rFonts w:ascii="仿宋" w:hAnsi="仿宋" w:eastAsia="仿宋" w:cs="仿宋"/>
                <w:sz w:val="24"/>
              </w:rPr>
            </w:pPr>
          </w:p>
        </w:tc>
        <w:tc>
          <w:tcPr>
            <w:tcW w:w="1080" w:type="dxa"/>
            <w:vAlign w:val="center"/>
          </w:tcPr>
          <w:p>
            <w:pPr>
              <w:spacing w:line="360" w:lineRule="auto"/>
              <w:jc w:val="center"/>
              <w:rPr>
                <w:rFonts w:ascii="仿宋" w:hAnsi="仿宋" w:eastAsia="仿宋" w:cs="仿宋"/>
                <w:sz w:val="24"/>
              </w:rPr>
            </w:pPr>
          </w:p>
        </w:tc>
        <w:tc>
          <w:tcPr>
            <w:tcW w:w="1332" w:type="dxa"/>
            <w:vAlign w:val="center"/>
          </w:tcPr>
          <w:p>
            <w:pPr>
              <w:spacing w:line="360" w:lineRule="auto"/>
              <w:jc w:val="center"/>
              <w:rPr>
                <w:rFonts w:ascii="仿宋" w:hAnsi="仿宋" w:eastAsia="仿宋" w:cs="仿宋"/>
                <w:sz w:val="24"/>
              </w:rPr>
            </w:pPr>
          </w:p>
        </w:tc>
      </w:tr>
    </w:tbl>
    <w:p>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如果本项目涉及硬件设备采购，须在商务技术（资信）文件中提供此配置清单，提供主要投标产品的技术参数证明材料（如官网截图、产品彩页、原厂技术说明等）。</w:t>
      </w:r>
    </w:p>
    <w:p>
      <w:pPr>
        <w:spacing w:line="360" w:lineRule="auto"/>
        <w:jc w:val="left"/>
        <w:rPr>
          <w:rFonts w:ascii="仿宋" w:hAnsi="仿宋" w:eastAsia="仿宋" w:cs="仿宋"/>
          <w:b/>
          <w:spacing w:val="6"/>
          <w:sz w:val="24"/>
        </w:rPr>
      </w:pPr>
      <w:r>
        <w:rPr>
          <w:rFonts w:hint="eastAsia" w:ascii="仿宋" w:hAnsi="仿宋" w:eastAsia="仿宋" w:cs="仿宋"/>
          <w:b/>
          <w:spacing w:val="6"/>
          <w:sz w:val="24"/>
        </w:rPr>
        <w:t>2.如投标产品属于政府强制采购的节能产品品目清单范围的，投标人应提供国家确定的认证机构出具的、处于有效期之内的节能产品认证证书（复印件加盖公章）处于有效期之内的节能产品认证证书（复印件加盖公章），评标委员会无法认定的可能作无效投标处理。</w:t>
      </w:r>
    </w:p>
    <w:p>
      <w:pPr>
        <w:autoSpaceDE w:val="0"/>
        <w:autoSpaceDN w:val="0"/>
        <w:spacing w:line="360" w:lineRule="auto"/>
        <w:jc w:val="left"/>
        <w:rPr>
          <w:rFonts w:ascii="仿宋" w:hAnsi="仿宋" w:eastAsia="仿宋" w:cs="仿宋"/>
          <w:b/>
          <w:kern w:val="0"/>
          <w:sz w:val="28"/>
          <w:szCs w:val="28"/>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10" o:title=""/>
            <o:lock v:ext="edit" aspectratio="t"/>
            <w10:wrap type="none"/>
            <w10:anchorlock/>
          </v:shape>
          <o:OLEObject Type="Embed" ProgID="Package" ShapeID="_x0000_i1025" DrawAspect="Content" ObjectID="_1468075725" r:id="rId9">
            <o:LockedField>false</o:LockedField>
          </o:OLEObject>
        </w:object>
      </w:r>
      <w:r>
        <w:rPr>
          <w:rFonts w:hint="eastAsia" w:ascii="仿宋" w:hAnsi="仿宋" w:eastAsia="仿宋" w:cs="仿宋"/>
          <w:b/>
          <w:kern w:val="0"/>
          <w:sz w:val="28"/>
          <w:szCs w:val="28"/>
        </w:rPr>
        <w:object>
          <v:shape id="_x0000_i1026" o:spt="75" type="#_x0000_t75" style="height:42pt;width:443.25pt;" o:ole="t" filled="f" o:preferrelative="t" stroked="f" coordsize="21600,21600">
            <v:path/>
            <v:fill on="f" focussize="0,0"/>
            <v:stroke on="f" joinstyle="miter"/>
            <v:imagedata r:id="rId12" o:title=""/>
            <o:lock v:ext="edit" aspectratio="t"/>
            <w10:wrap type="none"/>
            <w10:anchorlock/>
          </v:shape>
          <o:OLEObject Type="Embed" ProgID="Package" ShapeID="_x0000_i1026" DrawAspect="Content" ObjectID="_1468075726" r:id="rId11">
            <o:LockedField>false</o:LockedField>
          </o:OLEObject>
        </w:object>
      </w: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360" w:lineRule="auto"/>
        <w:rPr>
          <w:rFonts w:ascii="仿宋" w:hAnsi="仿宋" w:eastAsia="仿宋" w:cs="仿宋"/>
          <w:kern w:val="0"/>
          <w:sz w:val="24"/>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360" w:lineRule="auto"/>
        <w:jc w:val="right"/>
        <w:rPr>
          <w:rFonts w:ascii="仿宋" w:hAnsi="仿宋" w:eastAsia="仿宋" w:cs="仿宋"/>
          <w:b/>
          <w:bCs/>
          <w:kern w:val="0"/>
          <w:sz w:val="24"/>
          <w:lang w:val="zh-CN"/>
        </w:rPr>
      </w:pPr>
      <w:r>
        <w:rPr>
          <w:rFonts w:hint="eastAsia" w:ascii="仿宋" w:hAnsi="仿宋" w:eastAsia="仿宋" w:cs="仿宋"/>
          <w:sz w:val="24"/>
        </w:rPr>
        <w:t>日期： 年 月 日</w:t>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p>
    <w:p>
      <w:pPr>
        <w:pageBreakBefore/>
        <w:spacing w:line="360" w:lineRule="auto"/>
        <w:rPr>
          <w:rFonts w:ascii="仿宋" w:hAnsi="仿宋" w:eastAsia="仿宋" w:cs="仿宋"/>
          <w:b/>
          <w:bCs/>
          <w:sz w:val="32"/>
          <w:szCs w:val="32"/>
        </w:rPr>
      </w:pPr>
      <w:r>
        <w:rPr>
          <w:rFonts w:hint="eastAsia" w:ascii="仿宋" w:hAnsi="仿宋" w:eastAsia="仿宋" w:cs="仿宋"/>
          <w:b/>
          <w:bCs/>
          <w:sz w:val="32"/>
          <w:szCs w:val="32"/>
        </w:rPr>
        <w:t>15、技术偏离说明表</w:t>
      </w:r>
    </w:p>
    <w:p>
      <w:pPr>
        <w:spacing w:line="360" w:lineRule="auto"/>
        <w:rPr>
          <w:rFonts w:ascii="仿宋" w:hAnsi="仿宋" w:eastAsia="仿宋" w:cs="仿宋"/>
          <w:b/>
          <w:bCs/>
          <w:sz w:val="32"/>
          <w:szCs w:val="32"/>
        </w:rPr>
      </w:pPr>
      <w:r>
        <w:rPr>
          <w:rFonts w:hint="eastAsia" w:ascii="仿宋" w:hAnsi="仿宋" w:eastAsia="仿宋" w:cs="仿宋"/>
          <w:sz w:val="24"/>
        </w:rPr>
        <w:t>（由投标人根据采购需求及招标文件要求编制）</w:t>
      </w:r>
    </w:p>
    <w:tbl>
      <w:tblPr>
        <w:tblStyle w:val="27"/>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招标文件技术要求</w:t>
            </w:r>
          </w:p>
          <w:p>
            <w:pPr>
              <w:tabs>
                <w:tab w:val="left" w:pos="4905"/>
              </w:tabs>
              <w:spacing w:line="400" w:lineRule="exact"/>
              <w:jc w:val="center"/>
              <w:rPr>
                <w:rFonts w:ascii="仿宋" w:hAnsi="仿宋" w:eastAsia="仿宋" w:cs="仿宋"/>
                <w:sz w:val="24"/>
              </w:rPr>
            </w:pPr>
            <w:r>
              <w:rPr>
                <w:rFonts w:hint="eastAsia" w:ascii="仿宋" w:hAnsi="仿宋" w:eastAsia="仿宋" w:cs="仿宋"/>
                <w:sz w:val="24"/>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请填写投标产品或服务技术指标对应详细描述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r>
              <w:rPr>
                <w:rFonts w:hint="eastAsia" w:ascii="仿宋" w:hAnsi="仿宋" w:eastAsia="仿宋" w:cs="仿宋"/>
                <w:sz w:val="24"/>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r>
              <w:rPr>
                <w:rFonts w:hint="eastAsia" w:ascii="仿宋" w:hAnsi="仿宋" w:eastAsia="仿宋" w:cs="仿宋"/>
                <w:sz w:val="24"/>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 w:hAnsi="仿宋" w:eastAsia="仿宋" w:cs="仿宋"/>
                <w:sz w:val="24"/>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 w:hAnsi="仿宋" w:eastAsia="仿宋" w:cs="仿宋"/>
                <w:sz w:val="24"/>
              </w:rPr>
            </w:pPr>
          </w:p>
        </w:tc>
      </w:tr>
    </w:tbl>
    <w:p>
      <w:pPr>
        <w:tabs>
          <w:tab w:val="left" w:pos="570"/>
        </w:tabs>
        <w:spacing w:line="440" w:lineRule="exact"/>
        <w:jc w:val="left"/>
        <w:rPr>
          <w:rFonts w:ascii="仿宋" w:hAnsi="仿宋" w:eastAsia="仿宋" w:cs="仿宋"/>
          <w:sz w:val="24"/>
        </w:rPr>
      </w:pPr>
      <w:r>
        <w:rPr>
          <w:rFonts w:hint="eastAsia" w:ascii="仿宋" w:hAnsi="仿宋" w:eastAsia="仿宋" w:cs="仿宋"/>
          <w:sz w:val="24"/>
        </w:rPr>
        <w:t>注：1、此表须与</w:t>
      </w:r>
      <w:r>
        <w:rPr>
          <w:rFonts w:hint="eastAsia" w:ascii="仿宋" w:hAnsi="仿宋" w:eastAsia="仿宋" w:cs="仿宋"/>
          <w:kern w:val="0"/>
          <w:sz w:val="24"/>
        </w:rPr>
        <w:t>招标文件“</w:t>
      </w:r>
      <w:r>
        <w:rPr>
          <w:rFonts w:hint="eastAsia" w:ascii="仿宋" w:hAnsi="仿宋" w:eastAsia="仿宋" w:cs="仿宋"/>
          <w:sz w:val="24"/>
        </w:rPr>
        <w:t>招标项目说明及要求</w:t>
      </w:r>
      <w:r>
        <w:rPr>
          <w:rFonts w:hint="eastAsia" w:ascii="仿宋" w:hAnsi="仿宋" w:eastAsia="仿宋" w:cs="仿宋"/>
          <w:kern w:val="0"/>
          <w:sz w:val="24"/>
        </w:rPr>
        <w:t>”</w:t>
      </w:r>
      <w:r>
        <w:rPr>
          <w:rFonts w:hint="eastAsia" w:ascii="仿宋" w:hAnsi="仿宋" w:eastAsia="仿宋" w:cs="仿宋"/>
          <w:sz w:val="24"/>
        </w:rPr>
        <w:t>相应标项内的所有技术规格相比较且一一对应真实逐条填列。</w:t>
      </w:r>
    </w:p>
    <w:p>
      <w:pPr>
        <w:tabs>
          <w:tab w:val="left" w:pos="570"/>
        </w:tabs>
        <w:spacing w:line="440" w:lineRule="exact"/>
        <w:ind w:firstLine="480" w:firstLineChars="200"/>
        <w:jc w:val="left"/>
        <w:rPr>
          <w:rFonts w:ascii="仿宋" w:hAnsi="仿宋" w:eastAsia="仿宋" w:cs="仿宋"/>
          <w:sz w:val="24"/>
        </w:rPr>
      </w:pPr>
      <w:r>
        <w:rPr>
          <w:rFonts w:hint="eastAsia" w:ascii="仿宋" w:hAnsi="仿宋" w:eastAsia="仿宋" w:cs="仿宋"/>
          <w:sz w:val="24"/>
        </w:rPr>
        <w:t>2、投标人递交的技术规格书中必须真实逐条列明，否则由投标人自行承担相关风险。</w:t>
      </w:r>
    </w:p>
    <w:p>
      <w:pPr>
        <w:autoSpaceDE w:val="0"/>
        <w:autoSpaceDN w:val="0"/>
        <w:spacing w:line="360" w:lineRule="auto"/>
        <w:ind w:firstLine="5040" w:firstLineChars="2100"/>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360" w:lineRule="auto"/>
        <w:rPr>
          <w:rFonts w:ascii="仿宋" w:hAnsi="仿宋" w:eastAsia="仿宋" w:cs="仿宋"/>
          <w:kern w:val="0"/>
          <w:sz w:val="24"/>
          <w:lang w:val="zh-CN"/>
        </w:rPr>
      </w:pPr>
    </w:p>
    <w:p>
      <w:pPr>
        <w:autoSpaceDE w:val="0"/>
        <w:autoSpaceDN w:val="0"/>
        <w:spacing w:line="360"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 xml:space="preserve">： </w:t>
      </w:r>
    </w:p>
    <w:p>
      <w:pPr>
        <w:spacing w:line="360" w:lineRule="auto"/>
        <w:jc w:val="right"/>
        <w:rPr>
          <w:rFonts w:ascii="仿宋" w:hAnsi="仿宋" w:eastAsia="仿宋" w:cs="仿宋"/>
          <w:b/>
          <w:sz w:val="24"/>
        </w:rPr>
      </w:pPr>
      <w:r>
        <w:rPr>
          <w:rFonts w:hint="eastAsia" w:ascii="仿宋" w:hAnsi="仿宋" w:eastAsia="仿宋" w:cs="仿宋"/>
          <w:sz w:val="24"/>
        </w:rPr>
        <w:t>日期： 年 月 日</w:t>
      </w: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pPr>
        <w:pageBreakBefore/>
        <w:tabs>
          <w:tab w:val="left" w:pos="2790"/>
          <w:tab w:val="left" w:pos="4230"/>
        </w:tabs>
        <w:autoSpaceDE w:val="0"/>
        <w:autoSpaceDN w:val="0"/>
        <w:spacing w:line="288" w:lineRule="auto"/>
        <w:ind w:right="1400"/>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16、组织实施方案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tabs>
          <w:tab w:val="left" w:pos="2790"/>
          <w:tab w:val="left" w:pos="4230"/>
        </w:tabs>
        <w:autoSpaceDE w:val="0"/>
        <w:autoSpaceDN w:val="0"/>
        <w:spacing w:line="288"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27"/>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spacing w:line="288" w:lineRule="auto"/>
              <w:rPr>
                <w:rFonts w:ascii="仿宋" w:hAnsi="仿宋" w:eastAsia="仿宋" w:cs="仿宋"/>
                <w:sz w:val="24"/>
              </w:rPr>
            </w:pPr>
            <w:r>
              <w:rPr>
                <w:rFonts w:hint="eastAsia" w:ascii="仿宋" w:hAnsi="仿宋" w:eastAsia="仿宋" w:cs="仿宋"/>
                <w:sz w:val="24"/>
              </w:rPr>
              <w:t xml:space="preserve">  工作日</w:t>
            </w:r>
          </w:p>
          <w:p>
            <w:pPr>
              <w:spacing w:line="288" w:lineRule="auto"/>
              <w:rPr>
                <w:rFonts w:ascii="仿宋" w:hAnsi="仿宋" w:eastAsia="仿宋" w:cs="仿宋"/>
                <w:sz w:val="24"/>
              </w:rPr>
            </w:pPr>
            <w:r>
              <w:rPr>
                <w:rFonts w:hint="eastAsia" w:ascii="仿宋" w:hAnsi="仿宋" w:eastAsia="仿宋" w:cs="仿宋"/>
                <w:sz w:val="24"/>
              </w:rPr>
              <w:t>内容</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1</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2</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3</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4</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5</w:t>
            </w:r>
          </w:p>
        </w:tc>
        <w:tc>
          <w:tcPr>
            <w:tcW w:w="552" w:type="dxa"/>
            <w:vAlign w:val="center"/>
          </w:tcPr>
          <w:p>
            <w:pPr>
              <w:spacing w:line="288" w:lineRule="auto"/>
              <w:rPr>
                <w:rFonts w:ascii="仿宋" w:hAnsi="仿宋" w:eastAsia="仿宋" w:cs="仿宋"/>
                <w:sz w:val="24"/>
              </w:rPr>
            </w:pPr>
            <w:r>
              <w:rPr>
                <w:rFonts w:hint="eastAsia" w:ascii="仿宋" w:hAnsi="仿宋" w:eastAsia="仿宋" w:cs="仿宋"/>
                <w:sz w:val="24"/>
              </w:rPr>
              <w:t>6</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7</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8</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9</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10</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11</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12</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13</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14</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15</w:t>
            </w:r>
          </w:p>
        </w:tc>
        <w:tc>
          <w:tcPr>
            <w:tcW w:w="553" w:type="dxa"/>
            <w:vAlign w:val="center"/>
          </w:tcPr>
          <w:p>
            <w:pPr>
              <w:spacing w:line="288" w:lineRule="auto"/>
              <w:rPr>
                <w:rFonts w:ascii="仿宋" w:hAnsi="仿宋" w:eastAsia="仿宋" w:cs="仿宋"/>
                <w:sz w:val="24"/>
              </w:rPr>
            </w:pPr>
            <w:r>
              <w:rPr>
                <w:rFonts w:hint="eastAsia" w:ascii="仿宋" w:hAnsi="仿宋" w:eastAsia="仿宋" w:cs="仿宋"/>
                <w:sz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2"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c>
          <w:tcPr>
            <w:tcW w:w="553" w:type="dxa"/>
          </w:tcPr>
          <w:p>
            <w:pPr>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17、售后服务方案</w:t>
      </w:r>
    </w:p>
    <w:p>
      <w:pPr>
        <w:autoSpaceDE w:val="0"/>
        <w:autoSpaceDN w:val="0"/>
        <w:spacing w:line="288" w:lineRule="auto"/>
        <w:rPr>
          <w:rFonts w:ascii="仿宋" w:hAnsi="仿宋" w:eastAsia="仿宋" w:cs="仿宋"/>
          <w:sz w:val="24"/>
        </w:rPr>
      </w:pPr>
      <w:r>
        <w:rPr>
          <w:rFonts w:hint="eastAsia" w:ascii="仿宋" w:hAnsi="仿宋" w:eastAsia="仿宋" w:cs="仿宋"/>
          <w:sz w:val="24"/>
        </w:rPr>
        <w:t>（由投标人根据采购需求及招标文件要求编制）</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27"/>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pPr>
              <w:autoSpaceDE w:val="0"/>
              <w:autoSpaceDN w:val="0"/>
              <w:spacing w:line="288" w:lineRule="auto"/>
              <w:jc w:val="center"/>
              <w:rPr>
                <w:rFonts w:ascii="仿宋" w:hAnsi="仿宋" w:eastAsia="仿宋" w:cs="仿宋"/>
                <w:b/>
                <w:sz w:val="24"/>
              </w:rPr>
            </w:pPr>
            <w:r>
              <w:rPr>
                <w:rFonts w:hint="eastAsia" w:ascii="仿宋" w:hAnsi="仿宋" w:eastAsia="仿宋" w:cs="仿宋"/>
                <w:b/>
                <w:sz w:val="24"/>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288" w:lineRule="auto"/>
              <w:jc w:val="center"/>
              <w:rPr>
                <w:rFonts w:ascii="仿宋" w:hAnsi="仿宋" w:eastAsia="仿宋" w:cs="仿宋"/>
                <w:sz w:val="24"/>
              </w:rPr>
            </w:pPr>
          </w:p>
        </w:tc>
        <w:tc>
          <w:tcPr>
            <w:tcW w:w="2160" w:type="dxa"/>
          </w:tcPr>
          <w:p>
            <w:pPr>
              <w:autoSpaceDE w:val="0"/>
              <w:autoSpaceDN w:val="0"/>
              <w:spacing w:line="288" w:lineRule="auto"/>
              <w:jc w:val="center"/>
              <w:rPr>
                <w:rFonts w:ascii="仿宋" w:hAnsi="仿宋" w:eastAsia="仿宋" w:cs="仿宋"/>
                <w:sz w:val="24"/>
              </w:rPr>
            </w:pPr>
          </w:p>
        </w:tc>
        <w:tc>
          <w:tcPr>
            <w:tcW w:w="1620" w:type="dxa"/>
          </w:tcPr>
          <w:p>
            <w:pPr>
              <w:autoSpaceDE w:val="0"/>
              <w:autoSpaceDN w:val="0"/>
              <w:spacing w:line="288" w:lineRule="auto"/>
              <w:jc w:val="center"/>
              <w:rPr>
                <w:rFonts w:ascii="仿宋" w:hAnsi="仿宋" w:eastAsia="仿宋" w:cs="仿宋"/>
                <w:sz w:val="24"/>
              </w:rPr>
            </w:pPr>
          </w:p>
        </w:tc>
        <w:tc>
          <w:tcPr>
            <w:tcW w:w="1245" w:type="dxa"/>
          </w:tcPr>
          <w:p>
            <w:pPr>
              <w:autoSpaceDE w:val="0"/>
              <w:autoSpaceDN w:val="0"/>
              <w:spacing w:line="288" w:lineRule="auto"/>
              <w:jc w:val="center"/>
              <w:rPr>
                <w:rFonts w:ascii="仿宋" w:hAnsi="仿宋" w:eastAsia="仿宋" w:cs="仿宋"/>
                <w:sz w:val="24"/>
              </w:rPr>
            </w:pPr>
          </w:p>
        </w:tc>
        <w:tc>
          <w:tcPr>
            <w:tcW w:w="2175" w:type="dxa"/>
          </w:tcPr>
          <w:p>
            <w:pPr>
              <w:autoSpaceDE w:val="0"/>
              <w:autoSpaceDN w:val="0"/>
              <w:spacing w:line="288" w:lineRule="auto"/>
              <w:jc w:val="center"/>
              <w:rPr>
                <w:rFonts w:ascii="仿宋" w:hAnsi="仿宋" w:eastAsia="仿宋" w:cs="仿宋"/>
                <w:sz w:val="24"/>
              </w:rPr>
            </w:pPr>
          </w:p>
        </w:tc>
        <w:tc>
          <w:tcPr>
            <w:tcW w:w="1260" w:type="dxa"/>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pPr>
        <w:autoSpaceDE w:val="0"/>
        <w:autoSpaceDN w:val="0"/>
        <w:spacing w:line="288" w:lineRule="auto"/>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27"/>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88" w:lineRule="auto"/>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autoSpaceDE w:val="0"/>
        <w:autoSpaceDN w:val="0"/>
        <w:spacing w:line="288" w:lineRule="auto"/>
        <w:rPr>
          <w:rFonts w:ascii="仿宋" w:hAnsi="仿宋" w:eastAsia="仿宋" w:cs="仿宋"/>
          <w:kern w:val="0"/>
          <w:sz w:val="24"/>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b/>
          <w:bCs/>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bCs/>
          <w:sz w:val="32"/>
          <w:szCs w:val="32"/>
        </w:rPr>
      </w:pPr>
      <w:r>
        <w:rPr>
          <w:rFonts w:hint="eastAsia" w:ascii="仿宋" w:hAnsi="仿宋" w:eastAsia="仿宋" w:cs="仿宋"/>
          <w:b/>
          <w:bCs/>
          <w:sz w:val="32"/>
          <w:szCs w:val="32"/>
        </w:rPr>
        <w:t>18、项目小组人员名单</w:t>
      </w:r>
    </w:p>
    <w:p>
      <w:pPr>
        <w:spacing w:line="288" w:lineRule="auto"/>
        <w:rPr>
          <w:rFonts w:ascii="仿宋" w:hAnsi="仿宋" w:eastAsia="仿宋" w:cs="仿宋"/>
          <w:b/>
          <w:bCs/>
          <w:sz w:val="24"/>
        </w:rPr>
      </w:pPr>
      <w:r>
        <w:rPr>
          <w:rFonts w:hint="eastAsia" w:ascii="仿宋" w:hAnsi="仿宋" w:eastAsia="仿宋" w:cs="仿宋"/>
          <w:sz w:val="24"/>
        </w:rPr>
        <w:t>（由投标人根据采购需求及招标文件要求编制）</w:t>
      </w:r>
    </w:p>
    <w:p>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27"/>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p>
        </w:tc>
      </w:tr>
    </w:tbl>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27"/>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288" w:lineRule="auto"/>
              <w:rPr>
                <w:rFonts w:ascii="仿宋" w:hAnsi="仿宋" w:eastAsia="仿宋" w:cs="仿宋"/>
                <w:sz w:val="24"/>
              </w:rPr>
            </w:pPr>
          </w:p>
        </w:tc>
      </w:tr>
    </w:tbl>
    <w:p>
      <w:pPr>
        <w:spacing w:line="288" w:lineRule="auto"/>
        <w:rPr>
          <w:rFonts w:ascii="仿宋" w:hAnsi="仿宋" w:eastAsia="仿宋" w:cs="仿宋"/>
          <w:b/>
          <w:bCs/>
          <w:sz w:val="24"/>
        </w:rPr>
      </w:pPr>
      <w:r>
        <w:rPr>
          <w:rFonts w:hint="eastAsia" w:ascii="仿宋" w:hAnsi="仿宋" w:eastAsia="仿宋" w:cs="仿宋"/>
          <w:b/>
          <w:sz w:val="24"/>
        </w:rPr>
        <w:t>注：投标人可按上述的格式自行编制，须随表提交相应的证书复印件并注明所在投标商务技术（资信）文件页码。</w:t>
      </w:r>
    </w:p>
    <w:p>
      <w:pPr>
        <w:spacing w:line="288" w:lineRule="auto"/>
        <w:rPr>
          <w:rFonts w:ascii="仿宋" w:hAnsi="仿宋" w:eastAsia="仿宋" w:cs="仿宋"/>
          <w:b/>
          <w:bCs/>
          <w:sz w:val="24"/>
        </w:rPr>
      </w:pPr>
      <w:r>
        <w:rPr>
          <w:rFonts w:hint="eastAsia" w:ascii="仿宋" w:hAnsi="仿宋" w:eastAsia="仿宋" w:cs="仿宋"/>
          <w:b/>
          <w:sz w:val="24"/>
        </w:rPr>
        <w:t>附表C:本项目的项目经理和小组人员提供近3个月交纳社保记录情况表</w:t>
      </w:r>
      <w:r>
        <w:rPr>
          <w:rFonts w:hint="eastAsia" w:ascii="仿宋" w:hAnsi="仿宋" w:eastAsia="仿宋" w:cs="仿宋"/>
          <w:sz w:val="24"/>
        </w:rPr>
        <w:t>（以社保局缴纳凭证作附件）</w:t>
      </w: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jc w:val="center"/>
        <w:rPr>
          <w:rFonts w:ascii="仿宋" w:hAnsi="仿宋" w:eastAsia="仿宋" w:cs="仿宋"/>
          <w:b/>
          <w:bCs/>
          <w:sz w:val="32"/>
          <w:szCs w:val="32"/>
        </w:rPr>
      </w:pP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19、</w:t>
      </w:r>
      <w:r>
        <w:rPr>
          <w:rFonts w:hint="eastAsia" w:ascii="仿宋" w:hAnsi="仿宋" w:eastAsia="仿宋" w:cs="仿宋"/>
          <w:b/>
          <w:kern w:val="0"/>
          <w:sz w:val="32"/>
          <w:szCs w:val="32"/>
          <w:lang w:val="zh-CN"/>
        </w:rPr>
        <w:t>优惠条件及特殊承诺</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18"/>
          <w:szCs w:val="18"/>
        </w:rPr>
      </w:pPr>
    </w:p>
    <w:p>
      <w:pPr>
        <w:autoSpaceDE w:val="0"/>
        <w:autoSpaceDN w:val="0"/>
        <w:spacing w:line="288" w:lineRule="auto"/>
        <w:ind w:firstLine="4440" w:firstLineChars="1850"/>
        <w:rPr>
          <w:rFonts w:ascii="仿宋" w:hAnsi="仿宋" w:eastAsia="仿宋" w:cs="仿宋"/>
          <w:kern w:val="0"/>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w:t>
      </w:r>
    </w:p>
    <w:p>
      <w:pPr>
        <w:spacing w:line="288" w:lineRule="auto"/>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18"/>
          <w:szCs w:val="18"/>
        </w:rPr>
      </w:pPr>
    </w:p>
    <w:p>
      <w:pPr>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20、</w:t>
      </w:r>
      <w:r>
        <w:rPr>
          <w:rFonts w:hint="eastAsia" w:ascii="仿宋" w:hAnsi="仿宋" w:eastAsia="仿宋" w:cs="仿宋"/>
          <w:b/>
          <w:kern w:val="0"/>
          <w:sz w:val="32"/>
          <w:szCs w:val="32"/>
          <w:lang w:val="zh-CN"/>
        </w:rPr>
        <w:t>备品备件及供选择的配套零部件清单</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b/>
          <w:bCs/>
          <w:sz w:val="32"/>
          <w:szCs w:val="32"/>
        </w:rPr>
      </w:pPr>
    </w:p>
    <w:p>
      <w:pPr>
        <w:spacing w:line="288" w:lineRule="auto"/>
        <w:rPr>
          <w:rFonts w:ascii="仿宋" w:hAnsi="仿宋" w:eastAsia="仿宋" w:cs="仿宋"/>
          <w:b/>
          <w:bCs/>
          <w:sz w:val="32"/>
          <w:szCs w:val="32"/>
        </w:rPr>
      </w:pPr>
    </w:p>
    <w:p>
      <w:pPr>
        <w:spacing w:line="288" w:lineRule="auto"/>
        <w:rPr>
          <w:rFonts w:ascii="仿宋" w:hAnsi="仿宋" w:eastAsia="仿宋" w:cs="仿宋"/>
          <w:b/>
          <w:spacing w:val="20"/>
          <w:sz w:val="24"/>
        </w:rPr>
      </w:pPr>
      <w:r>
        <w:rPr>
          <w:rFonts w:hint="eastAsia" w:ascii="仿宋" w:hAnsi="仿宋" w:eastAsia="仿宋" w:cs="仿宋"/>
          <w:b/>
          <w:sz w:val="32"/>
          <w:szCs w:val="32"/>
        </w:rPr>
        <w:t>21、</w:t>
      </w:r>
      <w:r>
        <w:rPr>
          <w:rFonts w:hint="eastAsia" w:ascii="仿宋" w:hAnsi="仿宋" w:eastAsia="仿宋" w:cs="仿宋"/>
          <w:b/>
          <w:spacing w:val="20"/>
          <w:sz w:val="32"/>
          <w:szCs w:val="32"/>
        </w:rPr>
        <w:t>消耗品、维修零配件购买价格清单</w:t>
      </w:r>
      <w:r>
        <w:rPr>
          <w:rFonts w:hint="eastAsia" w:ascii="仿宋" w:hAnsi="仿宋" w:eastAsia="仿宋" w:cs="仿宋"/>
          <w:b/>
          <w:spacing w:val="20"/>
          <w:sz w:val="24"/>
        </w:rPr>
        <w:t>(如有</w:t>
      </w:r>
      <w:r>
        <w:rPr>
          <w:rFonts w:hint="eastAsia" w:ascii="仿宋" w:hAnsi="仿宋" w:eastAsia="仿宋" w:cs="仿宋"/>
          <w:b/>
          <w:sz w:val="24"/>
        </w:rPr>
        <w:t>，放入“技术资料部分”</w:t>
      </w:r>
      <w:r>
        <w:rPr>
          <w:rFonts w:hint="eastAsia" w:ascii="仿宋" w:hAnsi="仿宋" w:eastAsia="仿宋" w:cs="仿宋"/>
          <w:b/>
          <w:spacing w:val="20"/>
          <w:sz w:val="24"/>
        </w:rPr>
        <w:t>)</w:t>
      </w:r>
    </w:p>
    <w:tbl>
      <w:tblPr>
        <w:tblStyle w:val="27"/>
        <w:tblW w:w="8640" w:type="dxa"/>
        <w:tblInd w:w="108" w:type="dxa"/>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260"/>
        <w:gridCol w:w="1440"/>
        <w:gridCol w:w="720"/>
        <w:gridCol w:w="1440"/>
        <w:gridCol w:w="900"/>
        <w:gridCol w:w="720"/>
        <w:gridCol w:w="1440"/>
      </w:tblGrid>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doub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序号</w:t>
            </w:r>
          </w:p>
        </w:tc>
        <w:tc>
          <w:tcPr>
            <w:tcW w:w="126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名称</w:t>
            </w:r>
          </w:p>
        </w:tc>
        <w:tc>
          <w:tcPr>
            <w:tcW w:w="144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品牌、型号和规格</w:t>
            </w:r>
          </w:p>
        </w:tc>
        <w:tc>
          <w:tcPr>
            <w:tcW w:w="72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数量</w:t>
            </w:r>
          </w:p>
        </w:tc>
        <w:tc>
          <w:tcPr>
            <w:tcW w:w="144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原产地和制造商名称</w:t>
            </w:r>
          </w:p>
        </w:tc>
        <w:tc>
          <w:tcPr>
            <w:tcW w:w="900" w:type="dxa"/>
            <w:tcBorders>
              <w:top w:val="doub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市场价</w:t>
            </w:r>
          </w:p>
        </w:tc>
        <w:tc>
          <w:tcPr>
            <w:tcW w:w="720" w:type="dxa"/>
            <w:tcBorders>
              <w:top w:val="doub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报价</w:t>
            </w:r>
          </w:p>
        </w:tc>
        <w:tc>
          <w:tcPr>
            <w:tcW w:w="1440" w:type="dxa"/>
            <w:tcBorders>
              <w:top w:val="doub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r>
              <w:rPr>
                <w:rFonts w:hint="eastAsia" w:ascii="仿宋" w:hAnsi="仿宋" w:eastAsia="仿宋" w:cs="仿宋"/>
              </w:rPr>
              <w:t>对应的投标设备名称</w:t>
            </w: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1.</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2.</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3.</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4.</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5.</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sing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6.</w:t>
            </w:r>
          </w:p>
        </w:tc>
        <w:tc>
          <w:tcPr>
            <w:tcW w:w="126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sing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sing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single" w:color="000000" w:sz="6" w:space="0"/>
              <w:right w:val="double" w:color="000000" w:sz="6" w:space="0"/>
            </w:tcBorders>
            <w:vAlign w:val="center"/>
          </w:tcPr>
          <w:p>
            <w:pPr>
              <w:spacing w:line="288" w:lineRule="auto"/>
              <w:rPr>
                <w:rFonts w:ascii="仿宋" w:hAnsi="仿宋" w:eastAsia="仿宋" w:cs="仿宋"/>
              </w:rPr>
            </w:pPr>
          </w:p>
        </w:tc>
      </w:tr>
      <w:tr>
        <w:tblPrEx>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Ex>
        <w:trPr>
          <w:trHeight w:val="400" w:hRule="atLeast"/>
        </w:trPr>
        <w:tc>
          <w:tcPr>
            <w:tcW w:w="720" w:type="dxa"/>
            <w:tcBorders>
              <w:top w:val="single" w:color="000000" w:sz="6" w:space="0"/>
              <w:left w:val="double" w:color="000000" w:sz="6" w:space="0"/>
              <w:bottom w:val="double" w:color="000000" w:sz="6" w:space="0"/>
              <w:right w:val="single" w:color="000000" w:sz="6" w:space="0"/>
            </w:tcBorders>
            <w:vAlign w:val="center"/>
          </w:tcPr>
          <w:p>
            <w:pPr>
              <w:spacing w:line="288" w:lineRule="auto"/>
              <w:rPr>
                <w:rFonts w:ascii="仿宋" w:hAnsi="仿宋" w:eastAsia="仿宋" w:cs="仿宋"/>
              </w:rPr>
            </w:pPr>
            <w:r>
              <w:rPr>
                <w:rFonts w:hint="eastAsia" w:ascii="仿宋" w:hAnsi="仿宋" w:eastAsia="仿宋" w:cs="仿宋"/>
              </w:rPr>
              <w:t>7.</w:t>
            </w:r>
          </w:p>
        </w:tc>
        <w:tc>
          <w:tcPr>
            <w:tcW w:w="126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900" w:type="dxa"/>
            <w:tcBorders>
              <w:top w:val="single" w:color="000000" w:sz="6" w:space="0"/>
              <w:left w:val="single" w:color="000000" w:sz="6" w:space="0"/>
              <w:bottom w:val="double" w:color="000000" w:sz="6" w:space="0"/>
              <w:right w:val="single" w:color="000000" w:sz="6" w:space="0"/>
            </w:tcBorders>
            <w:vAlign w:val="center"/>
          </w:tcPr>
          <w:p>
            <w:pPr>
              <w:spacing w:line="288" w:lineRule="auto"/>
              <w:rPr>
                <w:rFonts w:ascii="仿宋" w:hAnsi="仿宋" w:eastAsia="仿宋" w:cs="仿宋"/>
              </w:rPr>
            </w:pPr>
          </w:p>
        </w:tc>
        <w:tc>
          <w:tcPr>
            <w:tcW w:w="720" w:type="dxa"/>
            <w:tcBorders>
              <w:top w:val="single" w:color="000000" w:sz="6" w:space="0"/>
              <w:left w:val="single" w:color="auto" w:sz="4" w:space="0"/>
              <w:bottom w:val="double" w:color="000000" w:sz="6" w:space="0"/>
              <w:right w:val="single" w:color="000000" w:sz="6" w:space="0"/>
            </w:tcBorders>
            <w:vAlign w:val="center"/>
          </w:tcPr>
          <w:p>
            <w:pPr>
              <w:spacing w:line="288" w:lineRule="auto"/>
              <w:rPr>
                <w:rFonts w:ascii="仿宋" w:hAnsi="仿宋" w:eastAsia="仿宋" w:cs="仿宋"/>
              </w:rPr>
            </w:pPr>
          </w:p>
        </w:tc>
        <w:tc>
          <w:tcPr>
            <w:tcW w:w="1440" w:type="dxa"/>
            <w:tcBorders>
              <w:top w:val="single" w:color="000000" w:sz="6" w:space="0"/>
              <w:left w:val="single" w:color="000000" w:sz="6" w:space="0"/>
              <w:bottom w:val="double" w:color="000000" w:sz="6" w:space="0"/>
              <w:right w:val="double" w:color="000000" w:sz="6" w:space="0"/>
            </w:tcBorders>
            <w:vAlign w:val="center"/>
          </w:tcPr>
          <w:p>
            <w:pPr>
              <w:spacing w:line="288" w:lineRule="auto"/>
              <w:rPr>
                <w:rFonts w:ascii="仿宋" w:hAnsi="仿宋" w:eastAsia="仿宋" w:cs="仿宋"/>
              </w:rPr>
            </w:pPr>
          </w:p>
        </w:tc>
      </w:tr>
    </w:tbl>
    <w:p>
      <w:pPr>
        <w:snapToGrid w:val="0"/>
        <w:spacing w:line="288" w:lineRule="auto"/>
        <w:ind w:right="172" w:rightChars="82"/>
        <w:rPr>
          <w:rFonts w:ascii="仿宋" w:hAnsi="仿宋" w:eastAsia="仿宋" w:cs="仿宋"/>
          <w:szCs w:val="21"/>
        </w:rPr>
      </w:pPr>
      <w:r>
        <w:rPr>
          <w:rFonts w:hint="eastAsia" w:ascii="仿宋" w:hAnsi="仿宋" w:eastAsia="仿宋" w:cs="仿宋"/>
          <w:szCs w:val="21"/>
        </w:rPr>
        <w:t>注：消耗品和零配件必须是常用的主要部件类品目，此报价的优惠度将作为综合评标的重要依据之一。</w:t>
      </w:r>
    </w:p>
    <w:p>
      <w:pPr>
        <w:snapToGrid w:val="0"/>
        <w:spacing w:line="288" w:lineRule="auto"/>
        <w:ind w:right="172" w:rightChars="82" w:firstLine="606" w:firstLineChars="202"/>
        <w:rPr>
          <w:rFonts w:ascii="仿宋" w:hAnsi="仿宋" w:eastAsia="仿宋" w:cs="仿宋"/>
          <w:sz w:val="30"/>
        </w:rPr>
      </w:pPr>
    </w:p>
    <w:p>
      <w:pPr>
        <w:snapToGrid w:val="0"/>
        <w:spacing w:line="288" w:lineRule="auto"/>
        <w:ind w:right="172" w:rightChars="82" w:firstLine="606" w:firstLineChars="202"/>
        <w:rPr>
          <w:rFonts w:ascii="仿宋" w:hAnsi="仿宋" w:eastAsia="仿宋" w:cs="仿宋"/>
          <w:sz w:val="30"/>
        </w:rPr>
      </w:pPr>
    </w:p>
    <w:p>
      <w:pPr>
        <w:spacing w:line="288" w:lineRule="auto"/>
        <w:ind w:left="-210" w:leftChars="-100" w:firstLine="120" w:firstLineChars="50"/>
        <w:rPr>
          <w:rFonts w:ascii="仿宋" w:hAnsi="仿宋" w:eastAsia="仿宋" w:cs="仿宋"/>
          <w:sz w:val="24"/>
        </w:rPr>
      </w:pPr>
      <w:r>
        <w:rPr>
          <w:rFonts w:hint="eastAsia" w:ascii="仿宋" w:hAnsi="仿宋" w:eastAsia="仿宋" w:cs="仿宋"/>
          <w:sz w:val="24"/>
        </w:rPr>
        <w:t>投标人名称（电子签章）：</w:t>
      </w:r>
    </w:p>
    <w:p>
      <w:pPr>
        <w:spacing w:line="288" w:lineRule="auto"/>
        <w:jc w:val="left"/>
        <w:rPr>
          <w:rFonts w:ascii="仿宋" w:hAnsi="仿宋" w:eastAsia="仿宋" w:cs="仿宋"/>
          <w:sz w:val="24"/>
        </w:rPr>
      </w:pPr>
    </w:p>
    <w:p>
      <w:pPr>
        <w:spacing w:line="288" w:lineRule="auto"/>
        <w:ind w:left="-210" w:leftChars="-100" w:firstLine="120" w:firstLineChars="50"/>
        <w:jc w:val="left"/>
        <w:rPr>
          <w:rFonts w:ascii="仿宋" w:hAnsi="仿宋" w:eastAsia="仿宋" w:cs="仿宋"/>
          <w:sz w:val="24"/>
        </w:rPr>
      </w:pPr>
      <w:r>
        <w:rPr>
          <w:rFonts w:hint="eastAsia" w:ascii="仿宋" w:hAnsi="仿宋" w:eastAsia="仿宋" w:cs="仿宋"/>
          <w:sz w:val="24"/>
        </w:rPr>
        <w:t>法定代表人或其授权代表（签字或</w:t>
      </w:r>
      <w:r>
        <w:rPr>
          <w:rFonts w:hint="eastAsia" w:ascii="仿宋" w:hAnsi="仿宋" w:eastAsia="仿宋" w:cs="仿宋"/>
          <w:sz w:val="24"/>
          <w:lang w:eastAsia="zh-CN"/>
        </w:rPr>
        <w:t>盖章</w:t>
      </w:r>
      <w:r>
        <w:rPr>
          <w:rFonts w:hint="eastAsia" w:ascii="仿宋" w:hAnsi="仿宋" w:eastAsia="仿宋" w:cs="仿宋"/>
          <w:sz w:val="24"/>
        </w:rPr>
        <w:t xml:space="preserve">）：                                      </w:t>
      </w:r>
      <w:r>
        <w:rPr>
          <w:rFonts w:hint="eastAsia" w:ascii="仿宋" w:hAnsi="仿宋" w:eastAsia="仿宋" w:cs="仿宋"/>
          <w:sz w:val="24"/>
        </w:rPr>
        <w:tab/>
      </w:r>
    </w:p>
    <w:p>
      <w:pPr>
        <w:spacing w:line="288" w:lineRule="auto"/>
        <w:rPr>
          <w:rFonts w:ascii="仿宋" w:hAnsi="仿宋" w:eastAsia="仿宋" w:cs="仿宋"/>
          <w:b/>
          <w:sz w:val="24"/>
        </w:rPr>
      </w:pPr>
      <w:r>
        <w:rPr>
          <w:rFonts w:hint="eastAsia" w:ascii="仿宋" w:hAnsi="仿宋" w:eastAsia="仿宋" w:cs="仿宋"/>
          <w:sz w:val="24"/>
        </w:rPr>
        <w:t xml:space="preserve">                                              日期：    年   月   日  </w:t>
      </w: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22、</w:t>
      </w:r>
      <w:r>
        <w:rPr>
          <w:rFonts w:hint="eastAsia" w:ascii="仿宋" w:hAnsi="仿宋" w:eastAsia="仿宋" w:cs="仿宋"/>
          <w:b/>
          <w:kern w:val="0"/>
          <w:sz w:val="32"/>
          <w:szCs w:val="32"/>
          <w:lang w:val="zh-CN"/>
        </w:rPr>
        <w:t>培训计划</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keepNext/>
        <w:autoSpaceDE w:val="0"/>
        <w:autoSpaceDN w:val="0"/>
        <w:spacing w:line="288"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27"/>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288" w:lineRule="auto"/>
              <w:rPr>
                <w:rFonts w:ascii="仿宋" w:hAnsi="仿宋" w:eastAsia="仿宋" w:cs="仿宋"/>
                <w:sz w:val="24"/>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288"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288"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288"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288"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288"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288" w:lineRule="auto"/>
              <w:rPr>
                <w:rFonts w:ascii="仿宋" w:hAnsi="仿宋" w:eastAsia="仿宋" w:cs="仿宋"/>
                <w:sz w:val="24"/>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课程概要</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课程目的</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教学方式</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先决条件</w:t>
      </w:r>
    </w:p>
    <w:p>
      <w:pPr>
        <w:numPr>
          <w:ilvl w:val="0"/>
          <w:numId w:val="8"/>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288" w:lineRule="auto"/>
        <w:ind w:left="1069"/>
        <w:rPr>
          <w:rFonts w:ascii="仿宋" w:hAnsi="仿宋" w:eastAsia="仿宋" w:cs="仿宋"/>
          <w:sz w:val="24"/>
        </w:rPr>
      </w:pPr>
      <w:r>
        <w:rPr>
          <w:rFonts w:hint="eastAsia" w:ascii="仿宋" w:hAnsi="仿宋" w:eastAsia="仿宋" w:cs="仿宋"/>
          <w:sz w:val="24"/>
        </w:rPr>
        <w:t>教材目录</w:t>
      </w:r>
    </w:p>
    <w:p>
      <w:pPr>
        <w:autoSpaceDE w:val="0"/>
        <w:autoSpaceDN w:val="0"/>
        <w:spacing w:line="288" w:lineRule="auto"/>
        <w:rPr>
          <w:rFonts w:ascii="仿宋" w:hAnsi="仿宋" w:eastAsia="仿宋" w:cs="仿宋"/>
          <w:sz w:val="24"/>
        </w:rPr>
      </w:pPr>
      <w:r>
        <w:rPr>
          <w:rFonts w:hint="eastAsia" w:ascii="仿宋" w:hAnsi="仿宋" w:eastAsia="仿宋" w:cs="仿宋"/>
          <w:sz w:val="24"/>
        </w:rPr>
        <w:t>B  按照附表A提供授课教师的简历</w:t>
      </w:r>
    </w:p>
    <w:p>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注：须随表提交相应的证书复印件并注明所在投标商务技术（资信）文件页码。</w:t>
      </w: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 xml:space="preserve">：                   </w:t>
      </w:r>
    </w:p>
    <w:p>
      <w:pPr>
        <w:autoSpaceDE w:val="0"/>
        <w:autoSpaceDN w:val="0"/>
        <w:spacing w:line="288" w:lineRule="auto"/>
        <w:ind w:firstLine="120"/>
        <w:rPr>
          <w:rFonts w:ascii="仿宋" w:hAnsi="仿宋" w:eastAsia="仿宋" w:cs="仿宋"/>
          <w:kern w:val="0"/>
          <w:sz w:val="24"/>
        </w:rPr>
      </w:pPr>
      <w:r>
        <w:rPr>
          <w:rFonts w:hint="eastAsia" w:ascii="仿宋" w:hAnsi="仿宋" w:eastAsia="仿宋" w:cs="仿宋"/>
          <w:kern w:val="0"/>
          <w:sz w:val="24"/>
        </w:rPr>
        <w:t xml:space="preserve">                                       日期：  年  月   日</w:t>
      </w:r>
    </w:p>
    <w:p>
      <w:pPr>
        <w:spacing w:line="288" w:lineRule="auto"/>
        <w:rPr>
          <w:rFonts w:ascii="仿宋" w:hAnsi="仿宋" w:eastAsia="仿宋" w:cs="仿宋"/>
          <w:b/>
          <w:bCs/>
          <w:sz w:val="24"/>
        </w:rPr>
      </w:pPr>
    </w:p>
    <w:p>
      <w:pPr>
        <w:spacing w:line="288" w:lineRule="auto"/>
        <w:rPr>
          <w:rFonts w:ascii="仿宋" w:hAnsi="仿宋" w:eastAsia="仿宋" w:cs="仿宋"/>
          <w:b/>
          <w:bCs/>
          <w:sz w:val="32"/>
          <w:szCs w:val="32"/>
        </w:rPr>
      </w:pPr>
      <w:r>
        <w:rPr>
          <w:rFonts w:hint="eastAsia" w:ascii="仿宋" w:hAnsi="仿宋" w:eastAsia="仿宋" w:cs="仿宋"/>
          <w:b/>
          <w:bCs/>
          <w:sz w:val="32"/>
          <w:szCs w:val="32"/>
        </w:rPr>
        <w:t>23、验收方案</w:t>
      </w:r>
    </w:p>
    <w:p>
      <w:pPr>
        <w:spacing w:line="288" w:lineRule="auto"/>
        <w:rPr>
          <w:rFonts w:ascii="仿宋" w:hAnsi="仿宋" w:eastAsia="仿宋" w:cs="仿宋"/>
          <w:sz w:val="24"/>
        </w:rPr>
      </w:pPr>
      <w:r>
        <w:rPr>
          <w:rFonts w:hint="eastAsia" w:ascii="仿宋" w:hAnsi="仿宋" w:eastAsia="仿宋" w:cs="仿宋"/>
          <w:sz w:val="24"/>
        </w:rPr>
        <w:t>（由投标人根据采购需求自行编制）</w:t>
      </w:r>
    </w:p>
    <w:p>
      <w:pPr>
        <w:spacing w:line="288" w:lineRule="auto"/>
        <w:jc w:val="center"/>
        <w:rPr>
          <w:rFonts w:ascii="仿宋" w:hAnsi="仿宋" w:eastAsia="仿宋" w:cs="仿宋"/>
          <w:sz w:val="24"/>
        </w:rPr>
      </w:pPr>
    </w:p>
    <w:p>
      <w:pPr>
        <w:autoSpaceDE w:val="0"/>
        <w:autoSpaceDN w:val="0"/>
        <w:spacing w:line="288" w:lineRule="auto"/>
        <w:ind w:firstLine="4800" w:firstLineChars="2000"/>
        <w:rPr>
          <w:rFonts w:ascii="仿宋" w:hAnsi="仿宋" w:eastAsia="仿宋" w:cs="仿宋"/>
          <w:sz w:val="24"/>
        </w:rPr>
      </w:pPr>
      <w:r>
        <w:rPr>
          <w:rFonts w:hint="eastAsia" w:ascii="仿宋" w:hAnsi="仿宋" w:eastAsia="仿宋" w:cs="仿宋"/>
          <w:kern w:val="0"/>
          <w:sz w:val="24"/>
        </w:rPr>
        <w:t>投标人名称（</w:t>
      </w:r>
      <w:r>
        <w:rPr>
          <w:rFonts w:hint="eastAsia" w:ascii="仿宋" w:hAnsi="仿宋" w:eastAsia="仿宋" w:cs="仿宋"/>
          <w:sz w:val="24"/>
        </w:rPr>
        <w:t>电子签章</w:t>
      </w:r>
      <w:r>
        <w:rPr>
          <w:rFonts w:hint="eastAsia" w:ascii="仿宋" w:hAnsi="仿宋" w:eastAsia="仿宋" w:cs="仿宋"/>
          <w:kern w:val="0"/>
          <w:sz w:val="24"/>
        </w:rPr>
        <w:t xml:space="preserve">）：                       </w:t>
      </w: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rPr>
        <w:t xml:space="preserve">                                        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rPr>
        <w:t xml:space="preserve">：                   </w:t>
      </w:r>
    </w:p>
    <w:p>
      <w:pPr>
        <w:spacing w:line="288" w:lineRule="auto"/>
        <w:jc w:val="center"/>
        <w:rPr>
          <w:rFonts w:ascii="仿宋" w:hAnsi="仿宋" w:eastAsia="仿宋" w:cs="仿宋"/>
          <w:kern w:val="0"/>
          <w:sz w:val="24"/>
        </w:rPr>
      </w:pPr>
      <w:r>
        <w:rPr>
          <w:rFonts w:hint="eastAsia" w:ascii="仿宋" w:hAnsi="仿宋" w:eastAsia="仿宋" w:cs="仿宋"/>
          <w:kern w:val="0"/>
          <w:sz w:val="24"/>
        </w:rPr>
        <w:t xml:space="preserve">                          日期：   年  月   日</w:t>
      </w:r>
    </w:p>
    <w:p>
      <w:pPr>
        <w:pageBreakBefore/>
        <w:spacing w:line="288" w:lineRule="auto"/>
        <w:rPr>
          <w:rFonts w:ascii="仿宋" w:hAnsi="仿宋" w:eastAsia="仿宋" w:cs="仿宋"/>
          <w:b/>
          <w:kern w:val="0"/>
          <w:sz w:val="32"/>
          <w:szCs w:val="32"/>
          <w:lang w:val="zh-CN"/>
        </w:rPr>
      </w:pPr>
      <w:r>
        <w:rPr>
          <w:rFonts w:hint="eastAsia" w:ascii="仿宋" w:hAnsi="仿宋" w:eastAsia="仿宋" w:cs="仿宋"/>
          <w:b/>
          <w:bCs/>
          <w:sz w:val="32"/>
          <w:szCs w:val="32"/>
        </w:rPr>
        <w:t>24、认为需要的</w:t>
      </w:r>
      <w:r>
        <w:rPr>
          <w:rFonts w:hint="eastAsia" w:ascii="仿宋" w:hAnsi="仿宋" w:eastAsia="仿宋" w:cs="仿宋"/>
          <w:b/>
          <w:kern w:val="0"/>
          <w:sz w:val="32"/>
          <w:szCs w:val="32"/>
          <w:lang w:val="zh-CN"/>
        </w:rPr>
        <w:t>其他商务技术（资信）文件或说明</w:t>
      </w:r>
    </w:p>
    <w:p>
      <w:pPr>
        <w:spacing w:line="288" w:lineRule="auto"/>
        <w:ind w:firstLine="480" w:firstLineChars="200"/>
        <w:rPr>
          <w:rFonts w:ascii="仿宋" w:hAnsi="仿宋" w:eastAsia="仿宋" w:cs="仿宋"/>
          <w:sz w:val="24"/>
        </w:rPr>
      </w:pPr>
      <w:r>
        <w:rPr>
          <w:rFonts w:hint="eastAsia" w:ascii="仿宋" w:hAnsi="仿宋" w:eastAsia="仿宋" w:cs="仿宋"/>
          <w:sz w:val="24"/>
        </w:rPr>
        <w:t>（由投标人根据采购需求自行编制）</w:t>
      </w:r>
    </w:p>
    <w:p>
      <w:pPr>
        <w:spacing w:line="288" w:lineRule="auto"/>
        <w:rPr>
          <w:rFonts w:ascii="仿宋" w:hAnsi="仿宋" w:eastAsia="仿宋" w:cs="仿宋"/>
          <w:sz w:val="24"/>
        </w:rPr>
      </w:pPr>
    </w:p>
    <w:p>
      <w:pPr>
        <w:autoSpaceDE w:val="0"/>
        <w:autoSpaceDN w:val="0"/>
        <w:spacing w:line="288" w:lineRule="auto"/>
        <w:rPr>
          <w:rFonts w:ascii="仿宋" w:hAnsi="仿宋" w:eastAsia="仿宋" w:cs="仿宋"/>
          <w:kern w:val="0"/>
          <w:sz w:val="24"/>
        </w:rPr>
      </w:pPr>
      <w:r>
        <w:rPr>
          <w:rFonts w:hint="eastAsia" w:ascii="仿宋" w:hAnsi="仿宋" w:eastAsia="仿宋" w:cs="仿宋"/>
          <w:kern w:val="0"/>
          <w:sz w:val="24"/>
          <w:lang w:val="zh-CN"/>
        </w:rPr>
        <w:t>投标人名称</w:t>
      </w:r>
      <w:r>
        <w:rPr>
          <w:rFonts w:hint="eastAsia" w:ascii="仿宋" w:hAnsi="仿宋" w:eastAsia="仿宋" w:cs="仿宋"/>
          <w:sz w:val="24"/>
        </w:rPr>
        <w:t>(电子签章)</w:t>
      </w:r>
      <w:r>
        <w:rPr>
          <w:rFonts w:hint="eastAsia" w:ascii="仿宋" w:hAnsi="仿宋" w:eastAsia="仿宋" w:cs="仿宋"/>
          <w:kern w:val="0"/>
          <w:sz w:val="24"/>
          <w:lang w:val="zh-CN"/>
        </w:rPr>
        <w:t xml:space="preserve">：      </w:t>
      </w:r>
    </w:p>
    <w:p>
      <w:pPr>
        <w:autoSpaceDE w:val="0"/>
        <w:autoSpaceDN w:val="0"/>
        <w:spacing w:line="288" w:lineRule="auto"/>
        <w:rPr>
          <w:rFonts w:ascii="仿宋" w:hAnsi="仿宋" w:eastAsia="仿宋" w:cs="仿宋"/>
          <w:kern w:val="0"/>
          <w:sz w:val="24"/>
          <w:lang w:val="zh-CN"/>
        </w:rPr>
      </w:pPr>
    </w:p>
    <w:p>
      <w:pPr>
        <w:autoSpaceDE w:val="0"/>
        <w:autoSpaceDN w:val="0"/>
        <w:spacing w:line="288" w:lineRule="auto"/>
        <w:rPr>
          <w:rFonts w:ascii="仿宋" w:hAnsi="仿宋" w:eastAsia="仿宋" w:cs="仿宋"/>
          <w:kern w:val="0"/>
          <w:sz w:val="24"/>
          <w:lang w:val="zh-CN"/>
        </w:rPr>
      </w:pPr>
      <w:r>
        <w:rPr>
          <w:rFonts w:hint="eastAsia" w:ascii="仿宋" w:hAnsi="仿宋" w:eastAsia="仿宋" w:cs="仿宋"/>
          <w:kern w:val="0"/>
          <w:sz w:val="24"/>
          <w:lang w:val="zh-CN"/>
        </w:rPr>
        <w:t>法定代表人或其授权代表</w:t>
      </w:r>
      <w:r>
        <w:rPr>
          <w:rFonts w:hint="eastAsia" w:ascii="仿宋" w:hAnsi="仿宋" w:eastAsia="仿宋" w:cs="仿宋"/>
          <w:sz w:val="24"/>
        </w:rPr>
        <w:t>(签字或</w:t>
      </w:r>
      <w:r>
        <w:rPr>
          <w:rFonts w:hint="eastAsia" w:ascii="仿宋" w:hAnsi="仿宋" w:eastAsia="仿宋" w:cs="仿宋"/>
          <w:sz w:val="24"/>
          <w:lang w:eastAsia="zh-CN"/>
        </w:rPr>
        <w:t>盖章</w:t>
      </w:r>
      <w:r>
        <w:rPr>
          <w:rFonts w:hint="eastAsia" w:ascii="仿宋" w:hAnsi="仿宋" w:eastAsia="仿宋" w:cs="仿宋"/>
          <w:sz w:val="24"/>
        </w:rPr>
        <w:t>)</w:t>
      </w:r>
      <w:r>
        <w:rPr>
          <w:rFonts w:hint="eastAsia" w:ascii="仿宋" w:hAnsi="仿宋" w:eastAsia="仿宋" w:cs="仿宋"/>
          <w:kern w:val="0"/>
          <w:sz w:val="24"/>
          <w:lang w:val="zh-CN"/>
        </w:rPr>
        <w:t xml:space="preserve">： </w:t>
      </w:r>
    </w:p>
    <w:p>
      <w:pPr>
        <w:spacing w:line="288" w:lineRule="auto"/>
        <w:jc w:val="right"/>
        <w:rPr>
          <w:rFonts w:ascii="仿宋" w:hAnsi="仿宋" w:eastAsia="仿宋" w:cs="仿宋"/>
          <w:kern w:val="0"/>
          <w:sz w:val="24"/>
          <w:lang w:val="zh-CN"/>
        </w:rPr>
      </w:pPr>
      <w:r>
        <w:rPr>
          <w:rFonts w:hint="eastAsia" w:ascii="仿宋" w:hAnsi="仿宋" w:eastAsia="仿宋" w:cs="仿宋"/>
          <w:sz w:val="24"/>
        </w:rPr>
        <w:t>日期： 年 月 日</w:t>
      </w:r>
    </w:p>
    <w:p/>
    <w:sectPr>
      <w:headerReference r:id="rId4" w:type="first"/>
      <w:footerReference r:id="rId7" w:type="first"/>
      <w:headerReference r:id="rId3" w:type="default"/>
      <w:footerReference r:id="rId5" w:type="default"/>
      <w:footerReference r:id="rId6" w:type="even"/>
      <w:pgSz w:w="11906" w:h="16838"/>
      <w:pgMar w:top="1440" w:right="1440" w:bottom="1440" w:left="1440" w:header="851" w:footer="992" w:gutter="0"/>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altName w:val="仿宋"/>
    <w:panose1 w:val="00000000000000000000"/>
    <w:charset w:val="86"/>
    <w:family w:val="modern"/>
    <w:pitch w:val="default"/>
    <w:sig w:usb0="00000000" w:usb1="00000000" w:usb2="00000000" w:usb3="00000000" w:csb0="00040000" w:csb1="00000000"/>
  </w:font>
  <w:font w:name="Calibri Light">
    <w:altName w:val="Calibri"/>
    <w:panose1 w:val="020F0302020204030204"/>
    <w:charset w:val="00"/>
    <w:family w:val="swiss"/>
    <w:pitch w:val="default"/>
    <w:sig w:usb0="00000000" w:usb1="00000000" w:usb2="00000000" w:usb3="00000000" w:csb0="0000019F" w:csb1="00000000"/>
  </w:font>
  <w:font w:name="楷体_GB2312">
    <w:altName w:val="楷体"/>
    <w:panose1 w:val="00000000000000000000"/>
    <w:charset w:val="86"/>
    <w:family w:val="modern"/>
    <w:pitch w:val="default"/>
    <w:sig w:usb0="00000000" w:usb1="00000000" w:usb2="00000010" w:usb3="00000000" w:csb0="00040000" w:csb1="00000000"/>
  </w:font>
  <w:font w:name="Lucida Sans">
    <w:altName w:val="Lucida Sans Unicode"/>
    <w:panose1 w:val="020B0602030504020204"/>
    <w:charset w:val="00"/>
    <w:family w:val="swiss"/>
    <w:pitch w:val="default"/>
    <w:sig w:usb0="00000000" w:usb1="00000000" w:usb2="00000000" w:usb3="00000000" w:csb0="00000001" w:csb1="00000000"/>
  </w:font>
  <w:font w:name="??_GB2312">
    <w:altName w:val="Times New Roman"/>
    <w:panose1 w:val="00000000000000000000"/>
    <w:charset w:val="00"/>
    <w:family w:val="auto"/>
    <w:pitch w:val="default"/>
    <w:sig w:usb0="00000000" w:usb1="00000000" w:usb2="00000000" w:usb3="00000000" w:csb0="0000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ST Xihei">
    <w:altName w:val="宋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pict>
        <v:shape id="Text Box 1025" o:spid="_x0000_s4097" o:spt="202" type="#_x0000_t202" style="position:absolute;left:0pt;margin-top:0pt;height:11.65pt;width:31.55pt;mso-position-horizontal:center;mso-position-horizontal-relative:margin;mso-wrap-style:none;z-index:251658240;mso-width-relative:page;mso-height-relative:page;" filled="f" stroked="f" coordsize="21600,21600" o:gfxdata="UEsDBAoAAAAAAIdO4kAAAAAAAAAAAAAAAAAEAAAAZHJzL1BLAwQUAAAACACHTuJAGUOo8tEAAAAD&#10;AQAADwAAAGRycy9kb3ducmV2LnhtbE2PwWrDMBBE74X8g9hAb43sGNLgWs4h0EtvTUuht421sUyl&#10;lZEUx/77qr20l4Vhhpm3zWF2VkwU4uBZQbkpQBB3Xg/cK3h/e37Yg4gJWaP1TAoWinBoV3cN1trf&#10;+JWmU+pFLuFYowKT0lhLGTtDDuPGj8TZu/jgMGUZeqkD3nK5s3JbFDvpcOC8YHCko6Hu63R1Ch7n&#10;D09jpCN9XqYumGHZ25dFqft1WTyBSDSnvzD84Gd0aDPT2V9ZR2EV5EfS783eripBnBVsqwpk28j/&#10;7O03UEsDBBQAAAAIAIdO4kClDvC34QEAALYDAAAOAAAAZHJzL2Uyb0RvYy54bWytU8GO0zAQvSPx&#10;D5bvNEm1hSVqulp2VYS0sEi7fIDjOIlF7LHGbpPy9YydpixwQ1ysycz4+c2bl+3NZAZ2VOg12IoX&#10;q5wzZSU02nYV//a8f3PNmQ/CNmIAqyp+Up7f7F6/2o6uVGvoYWgUMgKxvhxdxfsQXJllXvbKCL8C&#10;pywVW0AjAn1ilzUoRkI3Q7bO87fZCNg4BKm8p+z9XOS7hN+2SobHtvUqsKHixC2kE9NZxzPbbUXZ&#10;oXC9lmca4h9YGKEtPXqBuhdBsAPqv6CMlgge2rCSYDJoWy1VmoGmKfI/pnnqhVNpFhLHu4tM/v/B&#10;yi/Hr8h0U/E1Z1YYWtGzmgL7ABMr8vUmCjQ6X1Lfk6POMFGFFp2G9e4B5HfPLNz1wnbqFhHGXomG&#10;CBbxZvbi6ozjI0g9foaGXhKHAAloatFE9UgPRui0qNNlOZGNpOQVbft6w5mkUnH17v0mcctEuVx2&#10;6MNHBYbFoOJIu0/g4vjgQyQjyqUlvmVhr4ch7X+wvyWoMWYS+ch3Zh6mejqLUUNzojEQZjuR/Sno&#10;AX9wNpKVKm7J65wNnywJEV23BLgE9RIIK+lixQNnc3gXZnceHOquJ9xF6lsSa6/TIFHVmcOZJZkj&#10;zXc2cnTfy+/U9et32/0E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GUOo8tEAAAADAQAADwAAAAAA&#10;AAABACAAAAAiAAAAZHJzL2Rvd25yZXYueG1sUEsBAhQAFAAAAAgAh07iQKUO8LfhAQAAtgMAAA4A&#10;AAAAAAAAAQAgAAAAIAEAAGRycy9lMm9Eb2MueG1sUEsFBgAAAAAGAAYAWQEAAHMFAAAAAA==&#10;">
          <v:path/>
          <v:fill on="f" focussize="0,0"/>
          <v:stroke on="f" joinstyle="miter"/>
          <v:imagedata o:title=""/>
          <o:lock v:ext="edit"/>
          <v:textbox inset="0mm,0mm,0mm,0mm" style="mso-fit-shape-to-text:t;">
            <w:txbxContent>
              <w:p>
                <w:pPr>
                  <w:pStyle w:val="19"/>
                </w:pPr>
                <w:r>
                  <w:rPr>
                    <w:rFonts w:hint="eastAsia"/>
                  </w:rPr>
                  <w:t>第</w:t>
                </w:r>
                <w:r>
                  <w:fldChar w:fldCharType="begin"/>
                </w:r>
                <w:r>
                  <w:instrText xml:space="preserve"> PAGE  \* MERGEFORMAT </w:instrText>
                </w:r>
                <w:r>
                  <w:fldChar w:fldCharType="separate"/>
                </w:r>
                <w:r>
                  <w:t>6</w:t>
                </w:r>
                <w:r>
                  <w:fldChar w:fldCharType="end"/>
                </w:r>
                <w:r>
                  <w:rPr>
                    <w:rFonts w:hint="eastAsia"/>
                  </w:rPr>
                  <w:t>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right" w:y="1"/>
      <w:rPr>
        <w:rStyle w:val="31"/>
        <w:rFonts w:cs="Arial"/>
        <w:sz w:val="18"/>
        <w:szCs w:val="21"/>
      </w:rPr>
    </w:pPr>
    <w:r>
      <w:rPr>
        <w:rStyle w:val="31"/>
        <w:rFonts w:cs="Arial"/>
        <w:sz w:val="18"/>
        <w:szCs w:val="21"/>
      </w:rPr>
      <w:fldChar w:fldCharType="begin"/>
    </w:r>
    <w:r>
      <w:rPr>
        <w:rStyle w:val="31"/>
        <w:rFonts w:cs="Arial"/>
        <w:sz w:val="18"/>
        <w:szCs w:val="21"/>
      </w:rPr>
      <w:instrText xml:space="preserve">PAGE  </w:instrText>
    </w:r>
    <w:r>
      <w:rPr>
        <w:rStyle w:val="31"/>
        <w:rFonts w:cs="Arial"/>
        <w:sz w:val="18"/>
        <w:szCs w:val="21"/>
      </w:rPr>
      <w:fldChar w:fldCharType="end"/>
    </w:r>
  </w:p>
  <w:p>
    <w:pPr>
      <w:pStyle w:val="1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rPr>
        <w:rFonts w:ascii="??_GB2312" w:eastAsia="Times New Roman"/>
      </w:rPr>
    </w:pPr>
    <w:r>
      <w:rPr>
        <w:rFonts w:ascii="??_GB2312" w:eastAsia="Times New Roman"/>
      </w:rPr>
      <w:t>第</w:t>
    </w:r>
    <w:r>
      <w:rPr>
        <w:rFonts w:ascii="??_GB2312" w:eastAsia="Times New Roman"/>
      </w:rPr>
      <w:fldChar w:fldCharType="begin"/>
    </w:r>
    <w:r>
      <w:rPr>
        <w:rFonts w:ascii="??_GB2312" w:eastAsia="Times New Roman"/>
      </w:rPr>
      <w:instrText xml:space="preserve"> PAGE </w:instrText>
    </w:r>
    <w:r>
      <w:rPr>
        <w:rFonts w:ascii="??_GB2312" w:eastAsia="Times New Roman"/>
      </w:rPr>
      <w:fldChar w:fldCharType="separate"/>
    </w:r>
    <w:r>
      <w:rPr>
        <w:rFonts w:ascii="??_GB2312" w:eastAsia="Times New Roman"/>
      </w:rPr>
      <w:t>1</w:t>
    </w:r>
    <w:r>
      <w:rPr>
        <w:rFonts w:ascii="??_GB2312" w:eastAsia="Times New Roman"/>
      </w:rPr>
      <w:fldChar w:fldCharType="end"/>
    </w:r>
    <w:r>
      <w:rPr>
        <w:rFonts w:ascii="??_GB2312" w:eastAsia="Times New Roman"/>
      </w:rPr>
      <w:t>页共</w:t>
    </w:r>
    <w:r>
      <w:rPr>
        <w:rFonts w:ascii="??_GB2312" w:eastAsia="Times New Roman"/>
      </w:rPr>
      <w:fldChar w:fldCharType="begin"/>
    </w:r>
    <w:r>
      <w:rPr>
        <w:rFonts w:ascii="??_GB2312" w:eastAsia="Times New Roman"/>
      </w:rPr>
      <w:instrText xml:space="preserve"> NUMPAGES </w:instrText>
    </w:r>
    <w:r>
      <w:rPr>
        <w:rFonts w:ascii="??_GB2312" w:eastAsia="Times New Roman"/>
      </w:rPr>
      <w:fldChar w:fldCharType="separate"/>
    </w:r>
    <w:r>
      <w:rPr>
        <w:rFonts w:ascii="??_GB2312" w:eastAsia="Times New Roman"/>
      </w:rPr>
      <w:t>13</w:t>
    </w:r>
    <w:r>
      <w:rPr>
        <w:rFonts w:ascii="??_GB2312" w:eastAsia="Times New Roman"/>
      </w:rPr>
      <w:fldChar w:fldCharType="end"/>
    </w:r>
    <w:r>
      <w:rPr>
        <w:rFonts w:ascii="??_GB2312" w:eastAsia="Times New Roman"/>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5"/>
      <w:ind w:firstLine="180" w:firstLineChars="100"/>
      <w:jc w:val="both"/>
      <w:rPr>
        <w:rFonts w:ascii="??_GB2312" w:eastAsia="Times New Roman"/>
        <w:b w:val="0"/>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right"/>
    </w:pPr>
    <w:r>
      <w:rPr>
        <w:rFonts w:hint="eastAsia" w:ascii="宋体" w:hAnsi="宋体" w:cs="宋体"/>
        <w:i/>
      </w:rPr>
      <w:t>绍兴市政府采购公开招标文件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90"/>
      <w:lvlText w:val="%1."/>
      <w:lvlJc w:val="left"/>
      <w:pPr>
        <w:tabs>
          <w:tab w:val="left" w:pos="1200"/>
        </w:tabs>
        <w:ind w:left="1200" w:leftChars="400" w:hanging="360" w:hangingChars="200"/>
      </w:pPr>
    </w:lvl>
  </w:abstractNum>
  <w:abstractNum w:abstractNumId="1">
    <w:nsid w:val="00000007"/>
    <w:multiLevelType w:val="multilevel"/>
    <w:tmpl w:val="00000007"/>
    <w:lvl w:ilvl="0" w:tentative="0">
      <w:start w:val="1"/>
      <w:numFmt w:val="bullet"/>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lvlText w:val=""/>
      <w:lvlJc w:val="left"/>
      <w:pPr>
        <w:tabs>
          <w:tab w:val="left" w:pos="3780"/>
        </w:tabs>
        <w:ind w:left="3780" w:hanging="420"/>
      </w:pPr>
      <w:rPr>
        <w:rFonts w:hint="default" w:ascii="Wingdings" w:hAnsi="Wingdings"/>
      </w:rPr>
    </w:lvl>
    <w:lvl w:ilvl="8" w:tentative="0">
      <w:start w:val="1"/>
      <w:numFmt w:val="bullet"/>
      <w:lvlText w:val=""/>
      <w:lvlJc w:val="left"/>
      <w:pPr>
        <w:tabs>
          <w:tab w:val="left" w:pos="4200"/>
        </w:tabs>
        <w:ind w:left="4200" w:hanging="420"/>
      </w:pPr>
      <w:rPr>
        <w:rFonts w:hint="default" w:ascii="Wingdings" w:hAnsi="Wingdings"/>
      </w:rPr>
    </w:lvl>
  </w:abstractNum>
  <w:abstractNum w:abstractNumId="2">
    <w:nsid w:val="3AF44FB1"/>
    <w:multiLevelType w:val="singleLevel"/>
    <w:tmpl w:val="3AF44FB1"/>
    <w:lvl w:ilvl="0" w:tentative="0">
      <w:start w:val="1"/>
      <w:numFmt w:val="decimal"/>
      <w:suff w:val="nothing"/>
      <w:lvlText w:val="（%1）"/>
      <w:lvlJc w:val="left"/>
      <w:pPr>
        <w:ind w:left="0" w:firstLine="0"/>
      </w:pPr>
      <w:rPr>
        <w:rFonts w:hint="eastAsia"/>
        <w:lang w:val="en-US"/>
      </w:rPr>
    </w:lvl>
  </w:abstractNum>
  <w:abstractNum w:abstractNumId="3">
    <w:nsid w:val="5581B2AD"/>
    <w:multiLevelType w:val="singleLevel"/>
    <w:tmpl w:val="5581B2AD"/>
    <w:lvl w:ilvl="0" w:tentative="0">
      <w:start w:val="1"/>
      <w:numFmt w:val="decimal"/>
      <w:suff w:val="nothing"/>
      <w:lvlText w:val="（%1）"/>
      <w:lvlJc w:val="left"/>
      <w:pPr>
        <w:ind w:left="0" w:firstLine="0"/>
      </w:pPr>
      <w:rPr>
        <w:rFonts w:hint="eastAsia"/>
        <w:lang w:val="en-US"/>
      </w:rPr>
    </w:lvl>
  </w:abstractNum>
  <w:abstractNum w:abstractNumId="4">
    <w:nsid w:val="5A02C129"/>
    <w:multiLevelType w:val="singleLevel"/>
    <w:tmpl w:val="5A02C129"/>
    <w:lvl w:ilvl="0" w:tentative="0">
      <w:start w:val="1"/>
      <w:numFmt w:val="decimal"/>
      <w:pStyle w:val="7"/>
      <w:lvlText w:val="%1."/>
      <w:lvlJc w:val="left"/>
      <w:pPr>
        <w:tabs>
          <w:tab w:val="left" w:pos="780"/>
        </w:tabs>
        <w:ind w:left="780" w:hanging="360"/>
      </w:pPr>
      <w:rPr>
        <w:rFonts w:cs="Times New Roman"/>
      </w:rPr>
    </w:lvl>
  </w:abstractNum>
  <w:abstractNum w:abstractNumId="5">
    <w:nsid w:val="5A02C13F"/>
    <w:multiLevelType w:val="singleLevel"/>
    <w:tmpl w:val="5A02C13F"/>
    <w:lvl w:ilvl="0" w:tentative="0">
      <w:start w:val="1"/>
      <w:numFmt w:val="decimal"/>
      <w:pStyle w:val="8"/>
      <w:lvlText w:val="%1."/>
      <w:lvlJc w:val="left"/>
      <w:pPr>
        <w:tabs>
          <w:tab w:val="left" w:pos="360"/>
        </w:tabs>
        <w:ind w:left="360" w:hanging="360"/>
      </w:pPr>
      <w:rPr>
        <w:rFonts w:cs="Times New Roman"/>
      </w:rPr>
    </w:lvl>
  </w:abstractNum>
  <w:abstractNum w:abstractNumId="6">
    <w:nsid w:val="5A02C160"/>
    <w:multiLevelType w:val="singleLevel"/>
    <w:tmpl w:val="5A02C160"/>
    <w:lvl w:ilvl="0" w:tentative="0">
      <w:start w:val="1"/>
      <w:numFmt w:val="decimal"/>
      <w:pStyle w:val="14"/>
      <w:lvlText w:val="%1."/>
      <w:lvlJc w:val="left"/>
      <w:pPr>
        <w:tabs>
          <w:tab w:val="left" w:pos="1200"/>
        </w:tabs>
        <w:ind w:left="1200" w:hanging="360"/>
      </w:pPr>
      <w:rPr>
        <w:rFonts w:cs="Times New Roman"/>
      </w:rPr>
    </w:lvl>
  </w:abstractNum>
  <w:abstractNum w:abstractNumId="7">
    <w:nsid w:val="5CB017FC"/>
    <w:multiLevelType w:val="multilevel"/>
    <w:tmpl w:val="5CB017FC"/>
    <w:lvl w:ilvl="0" w:tentative="0">
      <w:start w:val="1"/>
      <w:numFmt w:val="decimal"/>
      <w:pStyle w:val="3"/>
      <w:suff w:val="space"/>
      <w:lvlText w:val="第 %1 章"/>
      <w:lvlJc w:val="left"/>
      <w:pPr>
        <w:ind w:left="425" w:hanging="425"/>
      </w:pPr>
      <w:rPr>
        <w:rFonts w:hint="eastAsia" w:cs="Times New Roman"/>
      </w:rPr>
    </w:lvl>
    <w:lvl w:ilvl="1" w:tentative="0">
      <w:start w:val="1"/>
      <w:numFmt w:val="decimal"/>
      <w:lvlText w:val="%1.%2 "/>
      <w:lvlJc w:val="left"/>
      <w:pPr>
        <w:tabs>
          <w:tab w:val="left" w:pos="1145"/>
        </w:tabs>
        <w:ind w:left="992" w:hanging="567"/>
      </w:pPr>
      <w:rPr>
        <w:rFonts w:hint="eastAsia" w:cs="Times New Roman"/>
      </w:rPr>
    </w:lvl>
    <w:lvl w:ilvl="2" w:tentative="0">
      <w:start w:val="1"/>
      <w:numFmt w:val="decimal"/>
      <w:lvlText w:val="〔%3〕、"/>
      <w:lvlJc w:val="left"/>
      <w:pPr>
        <w:tabs>
          <w:tab w:val="left" w:pos="2651"/>
        </w:tabs>
        <w:ind w:left="1418" w:hanging="567"/>
      </w:pPr>
      <w:rPr>
        <w:rFonts w:hint="eastAsia" w:cs="Times New Roman"/>
      </w:rPr>
    </w:lvl>
    <w:lvl w:ilvl="3" w:tentative="0">
      <w:start w:val="1"/>
      <w:numFmt w:val="none"/>
      <w:lvlText w:val=""/>
      <w:lvlJc w:val="left"/>
      <w:pPr>
        <w:tabs>
          <w:tab w:val="left" w:pos="1984"/>
        </w:tabs>
        <w:ind w:left="1984" w:hanging="708"/>
      </w:pPr>
      <w:rPr>
        <w:rFonts w:hint="eastAsia" w:cs="Times New Roman"/>
      </w:rPr>
    </w:lvl>
    <w:lvl w:ilvl="4" w:tentative="0">
      <w:start w:val="1"/>
      <w:numFmt w:val="decimal"/>
      <w:lvlText w:val="%1.%2.%3.%4.%5"/>
      <w:lvlJc w:val="left"/>
      <w:pPr>
        <w:tabs>
          <w:tab w:val="left" w:pos="2551"/>
        </w:tabs>
        <w:ind w:left="2551" w:hanging="850"/>
      </w:pPr>
      <w:rPr>
        <w:rFonts w:hint="eastAsia" w:cs="Times New Roman"/>
      </w:rPr>
    </w:lvl>
    <w:lvl w:ilvl="5" w:tentative="0">
      <w:start w:val="1"/>
      <w:numFmt w:val="decimal"/>
      <w:lvlText w:val="%1.%2.%3.%4.%5.%6"/>
      <w:lvlJc w:val="left"/>
      <w:pPr>
        <w:tabs>
          <w:tab w:val="left" w:pos="3260"/>
        </w:tabs>
        <w:ind w:left="3260" w:hanging="1134"/>
      </w:pPr>
      <w:rPr>
        <w:rFonts w:hint="eastAsia" w:cs="Times New Roman"/>
      </w:rPr>
    </w:lvl>
    <w:lvl w:ilvl="6" w:tentative="0">
      <w:start w:val="1"/>
      <w:numFmt w:val="decimal"/>
      <w:lvlText w:val="%1.%2.%3.%4.%5.%6.%7"/>
      <w:lvlJc w:val="left"/>
      <w:pPr>
        <w:tabs>
          <w:tab w:val="left" w:pos="4351"/>
        </w:tabs>
        <w:ind w:left="3827" w:hanging="1276"/>
      </w:pPr>
      <w:rPr>
        <w:rFonts w:hint="eastAsia" w:cs="Times New Roman"/>
      </w:rPr>
    </w:lvl>
    <w:lvl w:ilvl="7" w:tentative="0">
      <w:start w:val="1"/>
      <w:numFmt w:val="decimal"/>
      <w:lvlText w:val="%1.%2.%3.%4.%5.%6.%7.%8"/>
      <w:lvlJc w:val="left"/>
      <w:pPr>
        <w:tabs>
          <w:tab w:val="left" w:pos="4394"/>
        </w:tabs>
        <w:ind w:left="4394" w:hanging="1418"/>
      </w:pPr>
      <w:rPr>
        <w:rFonts w:hint="eastAsia" w:cs="Times New Roman"/>
      </w:rPr>
    </w:lvl>
    <w:lvl w:ilvl="8" w:tentative="0">
      <w:start w:val="1"/>
      <w:numFmt w:val="decimal"/>
      <w:lvlText w:val="%1.%2.%3.%4.%5.%6.%7.%8.%9"/>
      <w:lvlJc w:val="left"/>
      <w:pPr>
        <w:tabs>
          <w:tab w:val="left" w:pos="5102"/>
        </w:tabs>
        <w:ind w:left="5102" w:hanging="1700"/>
      </w:pPr>
      <w:rPr>
        <w:rFonts w:hint="eastAsia" w:cs="Times New Roman"/>
      </w:rPr>
    </w:lvl>
  </w:abstractNum>
  <w:num w:numId="1">
    <w:abstractNumId w:val="7"/>
  </w:num>
  <w:num w:numId="2">
    <w:abstractNumId w:val="4"/>
  </w:num>
  <w:num w:numId="3">
    <w:abstractNumId w:val="5"/>
  </w:num>
  <w:num w:numId="4">
    <w:abstractNumId w:val="6"/>
  </w:num>
  <w:num w:numId="5">
    <w:abstractNumId w:val="0"/>
  </w:num>
  <w:num w:numId="6">
    <w:abstractNumId w:val="3"/>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AD18FF"/>
    <w:rsid w:val="00000E05"/>
    <w:rsid w:val="000040C1"/>
    <w:rsid w:val="00004555"/>
    <w:rsid w:val="00012685"/>
    <w:rsid w:val="00017DAE"/>
    <w:rsid w:val="0002017B"/>
    <w:rsid w:val="0002428C"/>
    <w:rsid w:val="00024AD2"/>
    <w:rsid w:val="00030F1E"/>
    <w:rsid w:val="00042AE2"/>
    <w:rsid w:val="00050028"/>
    <w:rsid w:val="00051731"/>
    <w:rsid w:val="00055CDF"/>
    <w:rsid w:val="0006767A"/>
    <w:rsid w:val="00067735"/>
    <w:rsid w:val="00072A6B"/>
    <w:rsid w:val="0007439E"/>
    <w:rsid w:val="00080F79"/>
    <w:rsid w:val="000813EC"/>
    <w:rsid w:val="00093879"/>
    <w:rsid w:val="00094A82"/>
    <w:rsid w:val="000C38DF"/>
    <w:rsid w:val="000D5692"/>
    <w:rsid w:val="000D7240"/>
    <w:rsid w:val="000F70F7"/>
    <w:rsid w:val="00114135"/>
    <w:rsid w:val="0012034D"/>
    <w:rsid w:val="0012425A"/>
    <w:rsid w:val="001311E4"/>
    <w:rsid w:val="00142376"/>
    <w:rsid w:val="0014517B"/>
    <w:rsid w:val="001559EF"/>
    <w:rsid w:val="001570A5"/>
    <w:rsid w:val="00171C91"/>
    <w:rsid w:val="0017463C"/>
    <w:rsid w:val="001814F1"/>
    <w:rsid w:val="0018495F"/>
    <w:rsid w:val="001A1325"/>
    <w:rsid w:val="001A687C"/>
    <w:rsid w:val="001A7144"/>
    <w:rsid w:val="001B3B8E"/>
    <w:rsid w:val="001D1DA3"/>
    <w:rsid w:val="001E5FDC"/>
    <w:rsid w:val="001E78A2"/>
    <w:rsid w:val="001F02A1"/>
    <w:rsid w:val="00217753"/>
    <w:rsid w:val="00220DF0"/>
    <w:rsid w:val="0023053A"/>
    <w:rsid w:val="0023098F"/>
    <w:rsid w:val="002322BF"/>
    <w:rsid w:val="0023264D"/>
    <w:rsid w:val="00236AB9"/>
    <w:rsid w:val="002476B8"/>
    <w:rsid w:val="00251CE8"/>
    <w:rsid w:val="00261F2A"/>
    <w:rsid w:val="00262064"/>
    <w:rsid w:val="00262448"/>
    <w:rsid w:val="00273B10"/>
    <w:rsid w:val="00275656"/>
    <w:rsid w:val="00286944"/>
    <w:rsid w:val="00294D3C"/>
    <w:rsid w:val="002A2838"/>
    <w:rsid w:val="002A2E37"/>
    <w:rsid w:val="002B2B5E"/>
    <w:rsid w:val="002B54E5"/>
    <w:rsid w:val="002B67ED"/>
    <w:rsid w:val="002B6E84"/>
    <w:rsid w:val="002B77DD"/>
    <w:rsid w:val="002C0AB1"/>
    <w:rsid w:val="002F25A8"/>
    <w:rsid w:val="0031163B"/>
    <w:rsid w:val="00330C22"/>
    <w:rsid w:val="003403EB"/>
    <w:rsid w:val="003411E7"/>
    <w:rsid w:val="00345DE3"/>
    <w:rsid w:val="003542AC"/>
    <w:rsid w:val="00387522"/>
    <w:rsid w:val="003A2766"/>
    <w:rsid w:val="003A5C0F"/>
    <w:rsid w:val="003B2510"/>
    <w:rsid w:val="003B25FB"/>
    <w:rsid w:val="003B5CB4"/>
    <w:rsid w:val="003D237E"/>
    <w:rsid w:val="003D2443"/>
    <w:rsid w:val="003F0B46"/>
    <w:rsid w:val="003F5CF0"/>
    <w:rsid w:val="003F73CE"/>
    <w:rsid w:val="00412A3B"/>
    <w:rsid w:val="0042535C"/>
    <w:rsid w:val="0043244B"/>
    <w:rsid w:val="00440162"/>
    <w:rsid w:val="0044140D"/>
    <w:rsid w:val="00450F81"/>
    <w:rsid w:val="00455CD4"/>
    <w:rsid w:val="00455DAB"/>
    <w:rsid w:val="00461886"/>
    <w:rsid w:val="00465752"/>
    <w:rsid w:val="00467496"/>
    <w:rsid w:val="00467DC5"/>
    <w:rsid w:val="004706A2"/>
    <w:rsid w:val="00481099"/>
    <w:rsid w:val="0048467F"/>
    <w:rsid w:val="0048770F"/>
    <w:rsid w:val="0049223A"/>
    <w:rsid w:val="004B065D"/>
    <w:rsid w:val="004C0A50"/>
    <w:rsid w:val="004C27D1"/>
    <w:rsid w:val="004D6606"/>
    <w:rsid w:val="004E47C3"/>
    <w:rsid w:val="004E6356"/>
    <w:rsid w:val="004F2C71"/>
    <w:rsid w:val="004F3245"/>
    <w:rsid w:val="0050684D"/>
    <w:rsid w:val="005117F3"/>
    <w:rsid w:val="005213B8"/>
    <w:rsid w:val="00522EF7"/>
    <w:rsid w:val="0052572A"/>
    <w:rsid w:val="00530F7C"/>
    <w:rsid w:val="00532CC9"/>
    <w:rsid w:val="00545306"/>
    <w:rsid w:val="00547532"/>
    <w:rsid w:val="005656CD"/>
    <w:rsid w:val="00566429"/>
    <w:rsid w:val="0058125A"/>
    <w:rsid w:val="00583589"/>
    <w:rsid w:val="00590683"/>
    <w:rsid w:val="005A4AFA"/>
    <w:rsid w:val="005A64B3"/>
    <w:rsid w:val="005B52EC"/>
    <w:rsid w:val="005C0BB4"/>
    <w:rsid w:val="005D6812"/>
    <w:rsid w:val="005E1BF3"/>
    <w:rsid w:val="005E3D8E"/>
    <w:rsid w:val="00602260"/>
    <w:rsid w:val="006313C5"/>
    <w:rsid w:val="00633DF9"/>
    <w:rsid w:val="00636FED"/>
    <w:rsid w:val="00637621"/>
    <w:rsid w:val="006418DD"/>
    <w:rsid w:val="006451AB"/>
    <w:rsid w:val="006543AB"/>
    <w:rsid w:val="00663D9D"/>
    <w:rsid w:val="006815CE"/>
    <w:rsid w:val="006843A0"/>
    <w:rsid w:val="006940CC"/>
    <w:rsid w:val="006A4D37"/>
    <w:rsid w:val="006B047E"/>
    <w:rsid w:val="006D2193"/>
    <w:rsid w:val="006E080D"/>
    <w:rsid w:val="006E75F4"/>
    <w:rsid w:val="006F5A9E"/>
    <w:rsid w:val="006F7DA5"/>
    <w:rsid w:val="007030D1"/>
    <w:rsid w:val="00706826"/>
    <w:rsid w:val="00720ACD"/>
    <w:rsid w:val="00721DEB"/>
    <w:rsid w:val="00723CE8"/>
    <w:rsid w:val="00734EA9"/>
    <w:rsid w:val="00741A2B"/>
    <w:rsid w:val="00755F5F"/>
    <w:rsid w:val="0075665F"/>
    <w:rsid w:val="00762D7F"/>
    <w:rsid w:val="00766BFA"/>
    <w:rsid w:val="0078125A"/>
    <w:rsid w:val="007A150E"/>
    <w:rsid w:val="007A32A7"/>
    <w:rsid w:val="007B3644"/>
    <w:rsid w:val="007B364B"/>
    <w:rsid w:val="007B7DB8"/>
    <w:rsid w:val="007C3048"/>
    <w:rsid w:val="007D3ADA"/>
    <w:rsid w:val="007D534C"/>
    <w:rsid w:val="007D74F8"/>
    <w:rsid w:val="007E3668"/>
    <w:rsid w:val="007E571E"/>
    <w:rsid w:val="007F3B1E"/>
    <w:rsid w:val="00801A53"/>
    <w:rsid w:val="0082182E"/>
    <w:rsid w:val="00825E11"/>
    <w:rsid w:val="0084468D"/>
    <w:rsid w:val="00851A0E"/>
    <w:rsid w:val="00851D0E"/>
    <w:rsid w:val="00851E94"/>
    <w:rsid w:val="008702F4"/>
    <w:rsid w:val="00872AA9"/>
    <w:rsid w:val="00884208"/>
    <w:rsid w:val="0089216A"/>
    <w:rsid w:val="008943BB"/>
    <w:rsid w:val="008A197E"/>
    <w:rsid w:val="008A7E46"/>
    <w:rsid w:val="008D1D22"/>
    <w:rsid w:val="008D38D9"/>
    <w:rsid w:val="008D6072"/>
    <w:rsid w:val="008D7DDA"/>
    <w:rsid w:val="00923FCF"/>
    <w:rsid w:val="009333E3"/>
    <w:rsid w:val="00933431"/>
    <w:rsid w:val="00937337"/>
    <w:rsid w:val="00945D15"/>
    <w:rsid w:val="00950791"/>
    <w:rsid w:val="00955273"/>
    <w:rsid w:val="00957F9C"/>
    <w:rsid w:val="00962E86"/>
    <w:rsid w:val="009660EE"/>
    <w:rsid w:val="009A4CEF"/>
    <w:rsid w:val="009C76A2"/>
    <w:rsid w:val="009D2FED"/>
    <w:rsid w:val="009E0533"/>
    <w:rsid w:val="00A1598B"/>
    <w:rsid w:val="00A16944"/>
    <w:rsid w:val="00A17F42"/>
    <w:rsid w:val="00A27EBF"/>
    <w:rsid w:val="00A30EAA"/>
    <w:rsid w:val="00A35A34"/>
    <w:rsid w:val="00A41BE4"/>
    <w:rsid w:val="00A5075A"/>
    <w:rsid w:val="00A56A1E"/>
    <w:rsid w:val="00A63825"/>
    <w:rsid w:val="00A63FBA"/>
    <w:rsid w:val="00A67091"/>
    <w:rsid w:val="00A831F9"/>
    <w:rsid w:val="00A86515"/>
    <w:rsid w:val="00A929F0"/>
    <w:rsid w:val="00A95926"/>
    <w:rsid w:val="00AA1B38"/>
    <w:rsid w:val="00AA527A"/>
    <w:rsid w:val="00AB3AF5"/>
    <w:rsid w:val="00AD0587"/>
    <w:rsid w:val="00AD18FF"/>
    <w:rsid w:val="00AD270F"/>
    <w:rsid w:val="00AE1471"/>
    <w:rsid w:val="00AE1493"/>
    <w:rsid w:val="00AE3AB9"/>
    <w:rsid w:val="00AE6A3D"/>
    <w:rsid w:val="00B01CF7"/>
    <w:rsid w:val="00B1333D"/>
    <w:rsid w:val="00B22626"/>
    <w:rsid w:val="00B251FC"/>
    <w:rsid w:val="00B51325"/>
    <w:rsid w:val="00B61CF4"/>
    <w:rsid w:val="00B62E53"/>
    <w:rsid w:val="00B63DE9"/>
    <w:rsid w:val="00B67DBD"/>
    <w:rsid w:val="00B71876"/>
    <w:rsid w:val="00B76EC0"/>
    <w:rsid w:val="00BA30DB"/>
    <w:rsid w:val="00C071C6"/>
    <w:rsid w:val="00C135A8"/>
    <w:rsid w:val="00C207BF"/>
    <w:rsid w:val="00C249E6"/>
    <w:rsid w:val="00C460C2"/>
    <w:rsid w:val="00C5693F"/>
    <w:rsid w:val="00C60D63"/>
    <w:rsid w:val="00C7051D"/>
    <w:rsid w:val="00C72E38"/>
    <w:rsid w:val="00C750A5"/>
    <w:rsid w:val="00C85041"/>
    <w:rsid w:val="00C8551C"/>
    <w:rsid w:val="00C90C86"/>
    <w:rsid w:val="00C94F88"/>
    <w:rsid w:val="00CB14BF"/>
    <w:rsid w:val="00CB3AAD"/>
    <w:rsid w:val="00CB4467"/>
    <w:rsid w:val="00CB5B52"/>
    <w:rsid w:val="00CC5263"/>
    <w:rsid w:val="00CE206D"/>
    <w:rsid w:val="00D036B1"/>
    <w:rsid w:val="00D14706"/>
    <w:rsid w:val="00D23DF7"/>
    <w:rsid w:val="00D3383B"/>
    <w:rsid w:val="00D445B3"/>
    <w:rsid w:val="00D95393"/>
    <w:rsid w:val="00D9689D"/>
    <w:rsid w:val="00D96BD9"/>
    <w:rsid w:val="00DA2B91"/>
    <w:rsid w:val="00DA5951"/>
    <w:rsid w:val="00DA619B"/>
    <w:rsid w:val="00DA73D0"/>
    <w:rsid w:val="00DB0FE3"/>
    <w:rsid w:val="00DD1F2E"/>
    <w:rsid w:val="00DF1356"/>
    <w:rsid w:val="00E02CE4"/>
    <w:rsid w:val="00E064B8"/>
    <w:rsid w:val="00E077A7"/>
    <w:rsid w:val="00E27EAE"/>
    <w:rsid w:val="00E4050A"/>
    <w:rsid w:val="00E408E0"/>
    <w:rsid w:val="00E60A3E"/>
    <w:rsid w:val="00E62AFA"/>
    <w:rsid w:val="00E710CD"/>
    <w:rsid w:val="00E76BEC"/>
    <w:rsid w:val="00E81842"/>
    <w:rsid w:val="00EA43CE"/>
    <w:rsid w:val="00EA6ED5"/>
    <w:rsid w:val="00EB2D90"/>
    <w:rsid w:val="00EC30D7"/>
    <w:rsid w:val="00ED3842"/>
    <w:rsid w:val="00ED38B5"/>
    <w:rsid w:val="00F56126"/>
    <w:rsid w:val="00F63769"/>
    <w:rsid w:val="00F63FA6"/>
    <w:rsid w:val="00F720FA"/>
    <w:rsid w:val="00F854BD"/>
    <w:rsid w:val="00F962A2"/>
    <w:rsid w:val="00FA3C13"/>
    <w:rsid w:val="00FA6E82"/>
    <w:rsid w:val="00FB06C5"/>
    <w:rsid w:val="00FB28A6"/>
    <w:rsid w:val="00FB744B"/>
    <w:rsid w:val="00FC0CF4"/>
    <w:rsid w:val="00FC1A98"/>
    <w:rsid w:val="00FC3D34"/>
    <w:rsid w:val="00FD25D7"/>
    <w:rsid w:val="00FD729F"/>
    <w:rsid w:val="00FE7019"/>
    <w:rsid w:val="00FF20E1"/>
    <w:rsid w:val="01073442"/>
    <w:rsid w:val="0135256E"/>
    <w:rsid w:val="017F0419"/>
    <w:rsid w:val="0202557A"/>
    <w:rsid w:val="02455361"/>
    <w:rsid w:val="026B7D9D"/>
    <w:rsid w:val="02746F0F"/>
    <w:rsid w:val="02B0326C"/>
    <w:rsid w:val="02E03D80"/>
    <w:rsid w:val="02FF6323"/>
    <w:rsid w:val="03166C95"/>
    <w:rsid w:val="033742BA"/>
    <w:rsid w:val="0352039E"/>
    <w:rsid w:val="0432047D"/>
    <w:rsid w:val="044736CF"/>
    <w:rsid w:val="04AB653B"/>
    <w:rsid w:val="04BB2CB1"/>
    <w:rsid w:val="04CE269C"/>
    <w:rsid w:val="052D2EBC"/>
    <w:rsid w:val="05612999"/>
    <w:rsid w:val="05B40EB1"/>
    <w:rsid w:val="05B75E5D"/>
    <w:rsid w:val="06E4135A"/>
    <w:rsid w:val="07DA186C"/>
    <w:rsid w:val="084E3C8A"/>
    <w:rsid w:val="08C922E5"/>
    <w:rsid w:val="08DC6D2E"/>
    <w:rsid w:val="08E27460"/>
    <w:rsid w:val="08FA3C1C"/>
    <w:rsid w:val="097A3B63"/>
    <w:rsid w:val="0A0A25D7"/>
    <w:rsid w:val="0ADE6281"/>
    <w:rsid w:val="0B3869A1"/>
    <w:rsid w:val="0B637A3A"/>
    <w:rsid w:val="0B9713AA"/>
    <w:rsid w:val="0BF4331C"/>
    <w:rsid w:val="0D2D522C"/>
    <w:rsid w:val="0D917941"/>
    <w:rsid w:val="0DD1638B"/>
    <w:rsid w:val="0E45263B"/>
    <w:rsid w:val="0EA54C7F"/>
    <w:rsid w:val="0ED21131"/>
    <w:rsid w:val="0EE1261E"/>
    <w:rsid w:val="0F6303AF"/>
    <w:rsid w:val="104D6387"/>
    <w:rsid w:val="10C92ED0"/>
    <w:rsid w:val="10F654D7"/>
    <w:rsid w:val="114664CC"/>
    <w:rsid w:val="11564EC4"/>
    <w:rsid w:val="11B07BD6"/>
    <w:rsid w:val="11CB3B70"/>
    <w:rsid w:val="11D91565"/>
    <w:rsid w:val="125750F6"/>
    <w:rsid w:val="127542AA"/>
    <w:rsid w:val="12F15FC0"/>
    <w:rsid w:val="13AD3C35"/>
    <w:rsid w:val="144A5C4D"/>
    <w:rsid w:val="14685E9F"/>
    <w:rsid w:val="148167F9"/>
    <w:rsid w:val="149C53ED"/>
    <w:rsid w:val="14A17E3B"/>
    <w:rsid w:val="1553718A"/>
    <w:rsid w:val="1557079B"/>
    <w:rsid w:val="15661BF2"/>
    <w:rsid w:val="16955330"/>
    <w:rsid w:val="169F1555"/>
    <w:rsid w:val="16C339B4"/>
    <w:rsid w:val="17E0367B"/>
    <w:rsid w:val="181C3543"/>
    <w:rsid w:val="183550AA"/>
    <w:rsid w:val="1887170A"/>
    <w:rsid w:val="18BE625E"/>
    <w:rsid w:val="18F64FE1"/>
    <w:rsid w:val="193E2714"/>
    <w:rsid w:val="197D38E8"/>
    <w:rsid w:val="198960E3"/>
    <w:rsid w:val="199F0C8D"/>
    <w:rsid w:val="19A857C8"/>
    <w:rsid w:val="19C025F8"/>
    <w:rsid w:val="19CE48C9"/>
    <w:rsid w:val="19D9355D"/>
    <w:rsid w:val="1A0C3B58"/>
    <w:rsid w:val="1A761D5D"/>
    <w:rsid w:val="1A8B44E3"/>
    <w:rsid w:val="1AA07E89"/>
    <w:rsid w:val="1AC253A6"/>
    <w:rsid w:val="1B1C0F2A"/>
    <w:rsid w:val="1B1F3315"/>
    <w:rsid w:val="1B5003E0"/>
    <w:rsid w:val="1B632526"/>
    <w:rsid w:val="1B765B82"/>
    <w:rsid w:val="1B965EA6"/>
    <w:rsid w:val="1BE62BE0"/>
    <w:rsid w:val="1D155786"/>
    <w:rsid w:val="1DC00357"/>
    <w:rsid w:val="1DDC590A"/>
    <w:rsid w:val="1DE200F1"/>
    <w:rsid w:val="1E335181"/>
    <w:rsid w:val="1E542B3C"/>
    <w:rsid w:val="1E6472D8"/>
    <w:rsid w:val="1EE4458C"/>
    <w:rsid w:val="1EE90359"/>
    <w:rsid w:val="1F3A2255"/>
    <w:rsid w:val="1F7362DF"/>
    <w:rsid w:val="1FB74E43"/>
    <w:rsid w:val="1FC70F79"/>
    <w:rsid w:val="1FD44083"/>
    <w:rsid w:val="1FDB4036"/>
    <w:rsid w:val="209A7B6A"/>
    <w:rsid w:val="20B53FC7"/>
    <w:rsid w:val="20BE6021"/>
    <w:rsid w:val="214A627F"/>
    <w:rsid w:val="216D4A99"/>
    <w:rsid w:val="2173797E"/>
    <w:rsid w:val="218642C5"/>
    <w:rsid w:val="218B4CE9"/>
    <w:rsid w:val="21D37273"/>
    <w:rsid w:val="21E26C36"/>
    <w:rsid w:val="220D6D28"/>
    <w:rsid w:val="22C65437"/>
    <w:rsid w:val="2304797C"/>
    <w:rsid w:val="231942C4"/>
    <w:rsid w:val="238A7522"/>
    <w:rsid w:val="23BA6B13"/>
    <w:rsid w:val="23BE0F28"/>
    <w:rsid w:val="23CB6CF7"/>
    <w:rsid w:val="23E17F6F"/>
    <w:rsid w:val="240053EC"/>
    <w:rsid w:val="24097FEF"/>
    <w:rsid w:val="242F6C37"/>
    <w:rsid w:val="249D31FD"/>
    <w:rsid w:val="24C720CA"/>
    <w:rsid w:val="24CA6AC2"/>
    <w:rsid w:val="24D972C4"/>
    <w:rsid w:val="24E92B02"/>
    <w:rsid w:val="252565D6"/>
    <w:rsid w:val="25272087"/>
    <w:rsid w:val="253216FD"/>
    <w:rsid w:val="256D4AB4"/>
    <w:rsid w:val="25A13331"/>
    <w:rsid w:val="25A57D1C"/>
    <w:rsid w:val="26294A1D"/>
    <w:rsid w:val="26CC410D"/>
    <w:rsid w:val="27903546"/>
    <w:rsid w:val="284D434A"/>
    <w:rsid w:val="291E1DAE"/>
    <w:rsid w:val="292C3247"/>
    <w:rsid w:val="298F4DC5"/>
    <w:rsid w:val="29DA29ED"/>
    <w:rsid w:val="2A523300"/>
    <w:rsid w:val="2AFA300F"/>
    <w:rsid w:val="2B02463D"/>
    <w:rsid w:val="2BB712A2"/>
    <w:rsid w:val="2BD668A3"/>
    <w:rsid w:val="2BF305D1"/>
    <w:rsid w:val="2C446861"/>
    <w:rsid w:val="2CB83AD9"/>
    <w:rsid w:val="2CD53511"/>
    <w:rsid w:val="2D2A61CE"/>
    <w:rsid w:val="2D80707D"/>
    <w:rsid w:val="2DE2488D"/>
    <w:rsid w:val="2E083145"/>
    <w:rsid w:val="2ED5521A"/>
    <w:rsid w:val="2ED619F5"/>
    <w:rsid w:val="2F8C4BD5"/>
    <w:rsid w:val="2F9F3A1B"/>
    <w:rsid w:val="303B0264"/>
    <w:rsid w:val="304B5E64"/>
    <w:rsid w:val="30730BA2"/>
    <w:rsid w:val="30782F4C"/>
    <w:rsid w:val="3091213D"/>
    <w:rsid w:val="30ED1CE2"/>
    <w:rsid w:val="31487038"/>
    <w:rsid w:val="31AF70A8"/>
    <w:rsid w:val="31C6513D"/>
    <w:rsid w:val="32221E3A"/>
    <w:rsid w:val="32B05C3D"/>
    <w:rsid w:val="32B65903"/>
    <w:rsid w:val="32C97243"/>
    <w:rsid w:val="32D758ED"/>
    <w:rsid w:val="33012007"/>
    <w:rsid w:val="33AD15F4"/>
    <w:rsid w:val="33F65183"/>
    <w:rsid w:val="34842703"/>
    <w:rsid w:val="348450B4"/>
    <w:rsid w:val="34A065F2"/>
    <w:rsid w:val="35653C58"/>
    <w:rsid w:val="359C1A91"/>
    <w:rsid w:val="3627707A"/>
    <w:rsid w:val="365C2844"/>
    <w:rsid w:val="36763EFF"/>
    <w:rsid w:val="37186BCB"/>
    <w:rsid w:val="37251CAF"/>
    <w:rsid w:val="37604E39"/>
    <w:rsid w:val="378D5403"/>
    <w:rsid w:val="37C02DA1"/>
    <w:rsid w:val="37D43997"/>
    <w:rsid w:val="38042CE6"/>
    <w:rsid w:val="38285B2C"/>
    <w:rsid w:val="38387BC2"/>
    <w:rsid w:val="38945642"/>
    <w:rsid w:val="38A11738"/>
    <w:rsid w:val="38CF2698"/>
    <w:rsid w:val="38D4603A"/>
    <w:rsid w:val="38F76EE1"/>
    <w:rsid w:val="392E3D2B"/>
    <w:rsid w:val="3A4719E4"/>
    <w:rsid w:val="3A5F0E06"/>
    <w:rsid w:val="3A685313"/>
    <w:rsid w:val="3B813EB2"/>
    <w:rsid w:val="3B9F7E10"/>
    <w:rsid w:val="3BA40ED7"/>
    <w:rsid w:val="3BE67851"/>
    <w:rsid w:val="3C025073"/>
    <w:rsid w:val="3C0D4D62"/>
    <w:rsid w:val="3D0E3394"/>
    <w:rsid w:val="3E253FC4"/>
    <w:rsid w:val="3E520C34"/>
    <w:rsid w:val="3E66686E"/>
    <w:rsid w:val="3E781CBE"/>
    <w:rsid w:val="3EF13B78"/>
    <w:rsid w:val="3F063B05"/>
    <w:rsid w:val="3F184BE9"/>
    <w:rsid w:val="3F96657B"/>
    <w:rsid w:val="3F9C4556"/>
    <w:rsid w:val="3FEF33F4"/>
    <w:rsid w:val="3FF45C27"/>
    <w:rsid w:val="3FF47659"/>
    <w:rsid w:val="40712EC2"/>
    <w:rsid w:val="40D9690C"/>
    <w:rsid w:val="4175100A"/>
    <w:rsid w:val="41A3573D"/>
    <w:rsid w:val="41B4707C"/>
    <w:rsid w:val="41E47DCF"/>
    <w:rsid w:val="41EA52BC"/>
    <w:rsid w:val="422A0C37"/>
    <w:rsid w:val="425B70E5"/>
    <w:rsid w:val="43DD0189"/>
    <w:rsid w:val="43E828F9"/>
    <w:rsid w:val="43F07929"/>
    <w:rsid w:val="44A620DD"/>
    <w:rsid w:val="44E52F1C"/>
    <w:rsid w:val="451B5773"/>
    <w:rsid w:val="454753F6"/>
    <w:rsid w:val="45A339CF"/>
    <w:rsid w:val="45BB538B"/>
    <w:rsid w:val="4616050C"/>
    <w:rsid w:val="46210DBC"/>
    <w:rsid w:val="4624734D"/>
    <w:rsid w:val="47663221"/>
    <w:rsid w:val="48BF50A6"/>
    <w:rsid w:val="48C46876"/>
    <w:rsid w:val="48CA77E3"/>
    <w:rsid w:val="48E66DBF"/>
    <w:rsid w:val="49246CEA"/>
    <w:rsid w:val="4964544D"/>
    <w:rsid w:val="498A75F9"/>
    <w:rsid w:val="49E360AC"/>
    <w:rsid w:val="4A04095E"/>
    <w:rsid w:val="4A2E44F7"/>
    <w:rsid w:val="4A373AFF"/>
    <w:rsid w:val="4AD6257A"/>
    <w:rsid w:val="4B3C70F3"/>
    <w:rsid w:val="4B923C7B"/>
    <w:rsid w:val="4BB16E3C"/>
    <w:rsid w:val="4BF23C29"/>
    <w:rsid w:val="4D000BB8"/>
    <w:rsid w:val="4D2764E4"/>
    <w:rsid w:val="4D4F434C"/>
    <w:rsid w:val="4D553076"/>
    <w:rsid w:val="4DC16712"/>
    <w:rsid w:val="4E083898"/>
    <w:rsid w:val="4E26397C"/>
    <w:rsid w:val="4E363927"/>
    <w:rsid w:val="4EA90E17"/>
    <w:rsid w:val="4EF418A3"/>
    <w:rsid w:val="4F9153B3"/>
    <w:rsid w:val="4FF50BC0"/>
    <w:rsid w:val="504B2A65"/>
    <w:rsid w:val="50BB6A75"/>
    <w:rsid w:val="51D1142A"/>
    <w:rsid w:val="52521883"/>
    <w:rsid w:val="52783D74"/>
    <w:rsid w:val="52C0259A"/>
    <w:rsid w:val="52FE221E"/>
    <w:rsid w:val="53A129B1"/>
    <w:rsid w:val="53ED7088"/>
    <w:rsid w:val="545E660D"/>
    <w:rsid w:val="54637050"/>
    <w:rsid w:val="555810A7"/>
    <w:rsid w:val="55902CE3"/>
    <w:rsid w:val="55A42927"/>
    <w:rsid w:val="55C124AC"/>
    <w:rsid w:val="55C422C3"/>
    <w:rsid w:val="55CD1580"/>
    <w:rsid w:val="56152A28"/>
    <w:rsid w:val="56311879"/>
    <w:rsid w:val="56B87238"/>
    <w:rsid w:val="571E2C5F"/>
    <w:rsid w:val="57351512"/>
    <w:rsid w:val="57835AC7"/>
    <w:rsid w:val="57F303AA"/>
    <w:rsid w:val="5863246B"/>
    <w:rsid w:val="588A53A7"/>
    <w:rsid w:val="59204E23"/>
    <w:rsid w:val="595C082B"/>
    <w:rsid w:val="596E3097"/>
    <w:rsid w:val="59773EED"/>
    <w:rsid w:val="599A244A"/>
    <w:rsid w:val="59F56D5F"/>
    <w:rsid w:val="59FE758C"/>
    <w:rsid w:val="5B14063F"/>
    <w:rsid w:val="5B293378"/>
    <w:rsid w:val="5B301B1F"/>
    <w:rsid w:val="5CEC747F"/>
    <w:rsid w:val="5D534CD8"/>
    <w:rsid w:val="5D9A2ED9"/>
    <w:rsid w:val="5DC236EC"/>
    <w:rsid w:val="5E277524"/>
    <w:rsid w:val="5E5506C8"/>
    <w:rsid w:val="5EA2001B"/>
    <w:rsid w:val="5F0266A3"/>
    <w:rsid w:val="5F232D5B"/>
    <w:rsid w:val="5F526F22"/>
    <w:rsid w:val="5F744292"/>
    <w:rsid w:val="5F855D12"/>
    <w:rsid w:val="5F952C60"/>
    <w:rsid w:val="5FD51C0C"/>
    <w:rsid w:val="606129E7"/>
    <w:rsid w:val="60662262"/>
    <w:rsid w:val="60F431B9"/>
    <w:rsid w:val="60F8796B"/>
    <w:rsid w:val="610B35BB"/>
    <w:rsid w:val="61731422"/>
    <w:rsid w:val="618F11E9"/>
    <w:rsid w:val="61AA1E9E"/>
    <w:rsid w:val="61CD1945"/>
    <w:rsid w:val="61EB4F88"/>
    <w:rsid w:val="620E2B02"/>
    <w:rsid w:val="624A22BB"/>
    <w:rsid w:val="62B65C75"/>
    <w:rsid w:val="633D3608"/>
    <w:rsid w:val="63487EAC"/>
    <w:rsid w:val="635349E5"/>
    <w:rsid w:val="63575F25"/>
    <w:rsid w:val="63711DD5"/>
    <w:rsid w:val="637F68CB"/>
    <w:rsid w:val="63FE2657"/>
    <w:rsid w:val="64013D86"/>
    <w:rsid w:val="64031C4A"/>
    <w:rsid w:val="642B75FC"/>
    <w:rsid w:val="643A6EA0"/>
    <w:rsid w:val="64A17E2B"/>
    <w:rsid w:val="64A849CD"/>
    <w:rsid w:val="64CF1F8E"/>
    <w:rsid w:val="64EC5A6B"/>
    <w:rsid w:val="650D77AD"/>
    <w:rsid w:val="653666D1"/>
    <w:rsid w:val="65917E54"/>
    <w:rsid w:val="6597576B"/>
    <w:rsid w:val="66090E80"/>
    <w:rsid w:val="6611701E"/>
    <w:rsid w:val="664161A9"/>
    <w:rsid w:val="66E30B4F"/>
    <w:rsid w:val="66FB308E"/>
    <w:rsid w:val="6723482A"/>
    <w:rsid w:val="673F1F48"/>
    <w:rsid w:val="67FD2A7B"/>
    <w:rsid w:val="68210070"/>
    <w:rsid w:val="686A7490"/>
    <w:rsid w:val="68BB3495"/>
    <w:rsid w:val="68DB190B"/>
    <w:rsid w:val="69634496"/>
    <w:rsid w:val="69A651B9"/>
    <w:rsid w:val="69B03442"/>
    <w:rsid w:val="6A1331D9"/>
    <w:rsid w:val="6A315029"/>
    <w:rsid w:val="6AB1009A"/>
    <w:rsid w:val="6B8860DC"/>
    <w:rsid w:val="6BAE7000"/>
    <w:rsid w:val="6BB05959"/>
    <w:rsid w:val="6BD67C2C"/>
    <w:rsid w:val="6BF91AB9"/>
    <w:rsid w:val="6C5C04D5"/>
    <w:rsid w:val="6CB13F20"/>
    <w:rsid w:val="6CCA6527"/>
    <w:rsid w:val="6D1E181B"/>
    <w:rsid w:val="6D9B2320"/>
    <w:rsid w:val="6F572D08"/>
    <w:rsid w:val="6FB83CDB"/>
    <w:rsid w:val="6FD5142D"/>
    <w:rsid w:val="6FD548BE"/>
    <w:rsid w:val="6FE66B4D"/>
    <w:rsid w:val="70853498"/>
    <w:rsid w:val="70FC7A0D"/>
    <w:rsid w:val="712F4D7E"/>
    <w:rsid w:val="713A67EE"/>
    <w:rsid w:val="71D613DB"/>
    <w:rsid w:val="720400C9"/>
    <w:rsid w:val="72074872"/>
    <w:rsid w:val="72BB4D4E"/>
    <w:rsid w:val="72BE4B83"/>
    <w:rsid w:val="73094A27"/>
    <w:rsid w:val="73200F6B"/>
    <w:rsid w:val="746A71CC"/>
    <w:rsid w:val="74715CA6"/>
    <w:rsid w:val="74BB1904"/>
    <w:rsid w:val="74D249BF"/>
    <w:rsid w:val="74ED4EB1"/>
    <w:rsid w:val="754358D4"/>
    <w:rsid w:val="75FF0A2F"/>
    <w:rsid w:val="767F7FDC"/>
    <w:rsid w:val="76F66D3B"/>
    <w:rsid w:val="770563B7"/>
    <w:rsid w:val="77432189"/>
    <w:rsid w:val="77DE40CB"/>
    <w:rsid w:val="781135E0"/>
    <w:rsid w:val="78305FF2"/>
    <w:rsid w:val="78694157"/>
    <w:rsid w:val="78A20774"/>
    <w:rsid w:val="78FF382D"/>
    <w:rsid w:val="792E66F3"/>
    <w:rsid w:val="796203CB"/>
    <w:rsid w:val="79B44386"/>
    <w:rsid w:val="79EE6A68"/>
    <w:rsid w:val="7A1F36B1"/>
    <w:rsid w:val="7A3E7618"/>
    <w:rsid w:val="7A5717B0"/>
    <w:rsid w:val="7AE5282F"/>
    <w:rsid w:val="7AF956FC"/>
    <w:rsid w:val="7C003A54"/>
    <w:rsid w:val="7C373DB7"/>
    <w:rsid w:val="7C4228B4"/>
    <w:rsid w:val="7C5D47C4"/>
    <w:rsid w:val="7C6B5BDD"/>
    <w:rsid w:val="7CF851FF"/>
    <w:rsid w:val="7D173AAC"/>
    <w:rsid w:val="7D6E0D92"/>
    <w:rsid w:val="7D7E7212"/>
    <w:rsid w:val="7D842440"/>
    <w:rsid w:val="7DA94ABE"/>
    <w:rsid w:val="7DF243DB"/>
    <w:rsid w:val="7E073573"/>
    <w:rsid w:val="7E3B60DE"/>
    <w:rsid w:val="7EDC6139"/>
    <w:rsid w:val="7EEE135D"/>
    <w:rsid w:val="7F290C8A"/>
    <w:rsid w:val="7F3C32C9"/>
    <w:rsid w:val="7F57487B"/>
    <w:rsid w:val="7FA239C6"/>
    <w:rsid w:val="7FB7288D"/>
    <w:rsid w:val="7FB73A06"/>
    <w:rsid w:val="7FC24B9F"/>
    <w:rsid w:val="7FC56966"/>
    <w:rsid w:val="7FDA4D25"/>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99" w:semiHidden="0" w:name="Normal Indent"/>
    <w:lsdException w:qFormat="1" w:unhideWhenUsed="0" w:uiPriority="0" w:semiHidden="0" w:name="footnote text" w:locked="1"/>
    <w:lsdException w:qFormat="1" w:unhideWhenUsed="0" w:uiPriority="99" w:semiHidden="0"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qFormat="1" w:unhideWhenUsed="0" w:uiPriority="99" w:semiHidden="0" w:name="List Number"/>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qFormat="1" w:unhideWhenUsed="0" w:uiPriority="99" w:semiHidden="0" w:name="List Number 2"/>
    <w:lsdException w:qFormat="1" w:unhideWhenUsed="0" w:uiPriority="99" w:semiHidden="0" w:name="List Number 3"/>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qFormat="1" w:uiPriority="1" w:name="Default Paragraph Font"/>
    <w:lsdException w:qFormat="1" w:unhideWhenUsed="0" w:uiPriority="99" w:semiHidden="0" w:name="Body Text" w:locked="1"/>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qFormat="1" w:unhideWhenUsed="0" w:uiPriority="99" w:semiHidden="0" w:name="Date"/>
    <w:lsdException w:uiPriority="99" w:name="Body Text First Indent" w:locked="1"/>
    <w:lsdException w:uiPriority="99" w:name="Body Text First Indent 2" w:locked="1"/>
    <w:lsdException w:uiPriority="99" w:name="Note Heading" w:locked="1"/>
    <w:lsdException w:qFormat="1" w:unhideWhenUsed="0" w:uiPriority="99" w:semiHidden="0" w:name="Body Text 2"/>
    <w:lsdException w:uiPriority="99" w:name="Body Text 3" w:locked="1"/>
    <w:lsdException w:qFormat="1" w:unhideWhenUsed="0"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ocked="1"/>
    <w:lsdException w:qFormat="1" w:unhideWhenUsed="0" w:uiPriority="0" w:semiHidden="0" w:name="Strong"/>
    <w:lsdException w:qFormat="1" w:unhideWhenUsed="0" w:uiPriority="0" w:semiHidden="0" w:name="Emphasis"/>
    <w:lsdException w:qFormat="1" w:unhideWhenUsed="0" w:uiPriority="99" w:name="Document Map" w:locked="1"/>
    <w:lsdException w:qFormat="1" w:unhideWhenUsed="0" w:uiPriority="99" w:semiHidden="0" w:name="Plain Text"/>
    <w:lsdException w:uiPriority="99" w:name="E-mail Signature" w:locked="1"/>
    <w:lsdException w:qFormat="1" w:unhideWhenUsed="0" w:uiPriority="0" w:semiHidden="0" w:name="Normal (Web)" w:locked="1"/>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ocked="1"/>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semiHidden="0"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ocked="1"/>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6"/>
    <w:qFormat/>
    <w:locked/>
    <w:uiPriority w:val="99"/>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37"/>
    <w:qFormat/>
    <w:uiPriority w:val="99"/>
    <w:pPr>
      <w:keepNext/>
      <w:keepLines/>
      <w:spacing w:before="260" w:after="260" w:line="416" w:lineRule="auto"/>
      <w:outlineLvl w:val="1"/>
    </w:pPr>
    <w:rPr>
      <w:rFonts w:ascii="Calibri Light" w:hAnsi="Calibri Light"/>
      <w:b/>
      <w:bCs/>
      <w:kern w:val="0"/>
      <w:sz w:val="32"/>
      <w:szCs w:val="32"/>
    </w:rPr>
  </w:style>
  <w:style w:type="paragraph" w:styleId="5">
    <w:name w:val="heading 3"/>
    <w:basedOn w:val="1"/>
    <w:next w:val="1"/>
    <w:link w:val="38"/>
    <w:qFormat/>
    <w:uiPriority w:val="99"/>
    <w:pPr>
      <w:keepNext/>
      <w:keepLines/>
      <w:spacing w:before="260" w:after="260" w:line="416" w:lineRule="auto"/>
      <w:outlineLvl w:val="2"/>
    </w:pPr>
    <w:rPr>
      <w:b/>
      <w:bCs/>
      <w:kern w:val="0"/>
      <w:sz w:val="32"/>
      <w:szCs w:val="32"/>
    </w:rPr>
  </w:style>
  <w:style w:type="paragraph" w:styleId="6">
    <w:name w:val="heading 4"/>
    <w:basedOn w:val="1"/>
    <w:next w:val="1"/>
    <w:link w:val="39"/>
    <w:qFormat/>
    <w:uiPriority w:val="99"/>
    <w:pPr>
      <w:keepNext/>
      <w:keepLines/>
      <w:spacing w:before="280" w:after="290" w:line="376" w:lineRule="auto"/>
      <w:outlineLvl w:val="3"/>
    </w:pPr>
    <w:rPr>
      <w:rFonts w:ascii="Calibri Light" w:hAnsi="Calibri Light"/>
      <w:b/>
      <w:bCs/>
      <w:kern w:val="0"/>
      <w:sz w:val="28"/>
      <w:szCs w:val="28"/>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2">
    <w:name w:val="[Normal]"/>
    <w:qFormat/>
    <w:uiPriority w:val="0"/>
    <w:rPr>
      <w:rFonts w:ascii="宋体" w:hAnsi="宋体" w:eastAsia="宋体" w:cs="Times New Roman"/>
      <w:sz w:val="24"/>
      <w:szCs w:val="22"/>
      <w:lang w:val="zh-CN" w:eastAsia="zh-CN" w:bidi="ar-SA"/>
    </w:rPr>
  </w:style>
  <w:style w:type="paragraph" w:styleId="7">
    <w:name w:val="List Number 2"/>
    <w:basedOn w:val="1"/>
    <w:qFormat/>
    <w:uiPriority w:val="99"/>
    <w:pPr>
      <w:numPr>
        <w:ilvl w:val="0"/>
        <w:numId w:val="2"/>
      </w:numPr>
    </w:pPr>
  </w:style>
  <w:style w:type="paragraph" w:styleId="8">
    <w:name w:val="List Number"/>
    <w:basedOn w:val="1"/>
    <w:qFormat/>
    <w:uiPriority w:val="99"/>
    <w:pPr>
      <w:numPr>
        <w:ilvl w:val="0"/>
        <w:numId w:val="3"/>
      </w:numPr>
    </w:pPr>
  </w:style>
  <w:style w:type="paragraph" w:styleId="9">
    <w:name w:val="Normal Indent"/>
    <w:basedOn w:val="1"/>
    <w:link w:val="53"/>
    <w:qFormat/>
    <w:uiPriority w:val="99"/>
    <w:pPr>
      <w:widowControl/>
      <w:snapToGrid w:val="0"/>
      <w:spacing w:line="480" w:lineRule="exact"/>
      <w:ind w:firstLine="567"/>
    </w:pPr>
    <w:rPr>
      <w:rFonts w:ascii="宋体"/>
      <w:snapToGrid w:val="0"/>
      <w:color w:val="000000"/>
      <w:kern w:val="28"/>
      <w:sz w:val="28"/>
      <w:szCs w:val="20"/>
    </w:rPr>
  </w:style>
  <w:style w:type="paragraph" w:styleId="10">
    <w:name w:val="Document Map"/>
    <w:basedOn w:val="1"/>
    <w:link w:val="40"/>
    <w:semiHidden/>
    <w:qFormat/>
    <w:locked/>
    <w:uiPriority w:val="99"/>
    <w:pPr>
      <w:shd w:val="clear" w:color="auto" w:fill="000080"/>
      <w:adjustRightInd/>
    </w:pPr>
    <w:rPr>
      <w:rFonts w:ascii="宋体"/>
      <w:sz w:val="18"/>
      <w:szCs w:val="18"/>
    </w:rPr>
  </w:style>
  <w:style w:type="paragraph" w:styleId="11">
    <w:name w:val="annotation text"/>
    <w:basedOn w:val="1"/>
    <w:link w:val="41"/>
    <w:qFormat/>
    <w:uiPriority w:val="99"/>
    <w:pPr>
      <w:adjustRightInd/>
      <w:jc w:val="left"/>
    </w:pPr>
    <w:rPr>
      <w:kern w:val="0"/>
      <w:sz w:val="24"/>
      <w:lang w:val="zh-CN"/>
    </w:rPr>
  </w:style>
  <w:style w:type="paragraph" w:styleId="12">
    <w:name w:val="Body Text"/>
    <w:basedOn w:val="1"/>
    <w:link w:val="42"/>
    <w:qFormat/>
    <w:locked/>
    <w:uiPriority w:val="99"/>
    <w:pPr>
      <w:spacing w:line="360" w:lineRule="auto"/>
    </w:pPr>
    <w:rPr>
      <w:rFonts w:eastAsia="仿宋_GB2312"/>
      <w:sz w:val="28"/>
    </w:rPr>
  </w:style>
  <w:style w:type="paragraph" w:styleId="13">
    <w:name w:val="Body Text Indent"/>
    <w:basedOn w:val="1"/>
    <w:link w:val="43"/>
    <w:qFormat/>
    <w:uiPriority w:val="99"/>
    <w:pPr>
      <w:spacing w:after="120"/>
      <w:ind w:left="420" w:leftChars="200"/>
    </w:pPr>
    <w:rPr>
      <w:kern w:val="0"/>
      <w:sz w:val="24"/>
    </w:rPr>
  </w:style>
  <w:style w:type="paragraph" w:styleId="14">
    <w:name w:val="List Number 3"/>
    <w:basedOn w:val="1"/>
    <w:qFormat/>
    <w:uiPriority w:val="99"/>
    <w:pPr>
      <w:numPr>
        <w:ilvl w:val="0"/>
        <w:numId w:val="4"/>
      </w:numPr>
    </w:pPr>
  </w:style>
  <w:style w:type="paragraph" w:styleId="15">
    <w:name w:val="Plain Text"/>
    <w:basedOn w:val="1"/>
    <w:link w:val="44"/>
    <w:qFormat/>
    <w:uiPriority w:val="99"/>
    <w:rPr>
      <w:rFonts w:ascii="宋体" w:hAnsi="Courier New"/>
      <w:kern w:val="0"/>
      <w:szCs w:val="20"/>
    </w:rPr>
  </w:style>
  <w:style w:type="paragraph" w:styleId="16">
    <w:name w:val="Date"/>
    <w:basedOn w:val="1"/>
    <w:next w:val="1"/>
    <w:link w:val="45"/>
    <w:qFormat/>
    <w:uiPriority w:val="99"/>
    <w:pPr>
      <w:ind w:left="100" w:leftChars="2500"/>
    </w:pPr>
    <w:rPr>
      <w:rFonts w:ascii="宋体"/>
      <w:kern w:val="0"/>
      <w:szCs w:val="20"/>
      <w:lang w:val="zh-CN"/>
    </w:rPr>
  </w:style>
  <w:style w:type="paragraph" w:styleId="17">
    <w:name w:val="Body Text Indent 2"/>
    <w:basedOn w:val="1"/>
    <w:link w:val="46"/>
    <w:semiHidden/>
    <w:qFormat/>
    <w:locked/>
    <w:uiPriority w:val="99"/>
    <w:pPr>
      <w:spacing w:after="120" w:line="480" w:lineRule="auto"/>
      <w:ind w:left="420" w:leftChars="200"/>
    </w:pPr>
  </w:style>
  <w:style w:type="paragraph" w:styleId="18">
    <w:name w:val="Balloon Text"/>
    <w:basedOn w:val="1"/>
    <w:link w:val="80"/>
    <w:semiHidden/>
    <w:qFormat/>
    <w:locked/>
    <w:uiPriority w:val="99"/>
    <w:rPr>
      <w:sz w:val="18"/>
      <w:szCs w:val="18"/>
    </w:rPr>
  </w:style>
  <w:style w:type="paragraph" w:styleId="19">
    <w:name w:val="footer"/>
    <w:basedOn w:val="1"/>
    <w:link w:val="47"/>
    <w:qFormat/>
    <w:uiPriority w:val="99"/>
    <w:pPr>
      <w:tabs>
        <w:tab w:val="center" w:pos="4153"/>
        <w:tab w:val="right" w:pos="8306"/>
      </w:tabs>
      <w:snapToGrid w:val="0"/>
      <w:jc w:val="left"/>
    </w:pPr>
    <w:rPr>
      <w:kern w:val="0"/>
      <w:sz w:val="18"/>
      <w:szCs w:val="18"/>
    </w:rPr>
  </w:style>
  <w:style w:type="paragraph" w:styleId="20">
    <w:name w:val="header"/>
    <w:basedOn w:val="1"/>
    <w:link w:val="52"/>
    <w:qFormat/>
    <w:uiPriority w:val="99"/>
    <w:pPr>
      <w:pBdr>
        <w:bottom w:val="single" w:color="auto" w:sz="6" w:space="1"/>
      </w:pBdr>
      <w:tabs>
        <w:tab w:val="center" w:pos="4153"/>
        <w:tab w:val="right" w:pos="8306"/>
      </w:tabs>
      <w:snapToGrid w:val="0"/>
      <w:jc w:val="center"/>
    </w:pPr>
    <w:rPr>
      <w:kern w:val="0"/>
      <w:sz w:val="18"/>
      <w:szCs w:val="20"/>
    </w:rPr>
  </w:style>
  <w:style w:type="paragraph" w:styleId="21">
    <w:name w:val="footnote text"/>
    <w:basedOn w:val="1"/>
    <w:qFormat/>
    <w:locked/>
    <w:uiPriority w:val="0"/>
    <w:pPr>
      <w:snapToGrid w:val="0"/>
      <w:jc w:val="left"/>
    </w:pPr>
    <w:rPr>
      <w:sz w:val="18"/>
    </w:rPr>
  </w:style>
  <w:style w:type="paragraph" w:styleId="22">
    <w:name w:val="Body Text 2"/>
    <w:basedOn w:val="1"/>
    <w:link w:val="49"/>
    <w:qFormat/>
    <w:uiPriority w:val="99"/>
    <w:pPr>
      <w:widowControl/>
      <w:spacing w:afterLines="50" w:line="216" w:lineRule="auto"/>
      <w:jc w:val="center"/>
    </w:pPr>
    <w:rPr>
      <w:kern w:val="0"/>
      <w:sz w:val="24"/>
    </w:rPr>
  </w:style>
  <w:style w:type="paragraph" w:styleId="23">
    <w:name w:val="HTML Preformatted"/>
    <w:basedOn w:val="1"/>
    <w:qFormat/>
    <w:locked/>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24">
    <w:name w:val="Normal (Web)"/>
    <w:basedOn w:val="1"/>
    <w:qFormat/>
    <w:locked/>
    <w:uiPriority w:val="0"/>
    <w:pPr>
      <w:widowControl/>
      <w:spacing w:before="100" w:beforeAutospacing="1" w:after="100" w:afterAutospacing="1"/>
      <w:jc w:val="left"/>
    </w:pPr>
    <w:rPr>
      <w:rFonts w:ascii="宋体" w:hAnsi="宋体" w:cs="宋体"/>
      <w:kern w:val="0"/>
      <w:sz w:val="24"/>
    </w:rPr>
  </w:style>
  <w:style w:type="paragraph" w:styleId="25">
    <w:name w:val="Title"/>
    <w:basedOn w:val="1"/>
    <w:next w:val="1"/>
    <w:link w:val="50"/>
    <w:qFormat/>
    <w:uiPriority w:val="99"/>
    <w:pPr>
      <w:spacing w:before="240" w:after="60"/>
      <w:jc w:val="center"/>
      <w:outlineLvl w:val="0"/>
    </w:pPr>
    <w:rPr>
      <w:rFonts w:ascii="Calibri Light" w:hAnsi="Calibri Light"/>
      <w:b/>
      <w:bCs/>
      <w:kern w:val="0"/>
      <w:sz w:val="32"/>
      <w:szCs w:val="32"/>
    </w:rPr>
  </w:style>
  <w:style w:type="paragraph" w:styleId="26">
    <w:name w:val="annotation subject"/>
    <w:basedOn w:val="11"/>
    <w:next w:val="11"/>
    <w:link w:val="51"/>
    <w:qFormat/>
    <w:uiPriority w:val="99"/>
    <w:pPr>
      <w:widowControl/>
      <w:spacing w:afterLines="50"/>
    </w:pPr>
    <w:rPr>
      <w:b/>
      <w:bCs/>
    </w:rPr>
  </w:style>
  <w:style w:type="table" w:styleId="28">
    <w:name w:val="Table Grid"/>
    <w:basedOn w:val="27"/>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basedOn w:val="29"/>
    <w:qFormat/>
    <w:uiPriority w:val="0"/>
    <w:rPr>
      <w:b/>
      <w:bCs/>
    </w:rPr>
  </w:style>
  <w:style w:type="character" w:styleId="31">
    <w:name w:val="page number"/>
    <w:basedOn w:val="29"/>
    <w:qFormat/>
    <w:uiPriority w:val="99"/>
    <w:rPr>
      <w:rFonts w:ascii="Arial" w:hAnsi="Arial" w:eastAsia="黑体" w:cs="Times New Roman"/>
      <w:snapToGrid w:val="0"/>
      <w:kern w:val="0"/>
      <w:sz w:val="21"/>
    </w:rPr>
  </w:style>
  <w:style w:type="character" w:styleId="32">
    <w:name w:val="FollowedHyperlink"/>
    <w:basedOn w:val="29"/>
    <w:qFormat/>
    <w:locked/>
    <w:uiPriority w:val="99"/>
    <w:rPr>
      <w:rFonts w:cs="Times New Roman"/>
      <w:color w:val="800080"/>
      <w:u w:val="none"/>
    </w:rPr>
  </w:style>
  <w:style w:type="character" w:styleId="33">
    <w:name w:val="Hyperlink"/>
    <w:basedOn w:val="29"/>
    <w:qFormat/>
    <w:uiPriority w:val="99"/>
    <w:rPr>
      <w:rFonts w:cs="Times New Roman"/>
      <w:color w:val="0000FF"/>
      <w:u w:val="single"/>
    </w:rPr>
  </w:style>
  <w:style w:type="character" w:styleId="34">
    <w:name w:val="annotation reference"/>
    <w:basedOn w:val="29"/>
    <w:semiHidden/>
    <w:qFormat/>
    <w:locked/>
    <w:uiPriority w:val="99"/>
    <w:rPr>
      <w:rFonts w:cs="Times New Roman"/>
      <w:sz w:val="21"/>
      <w:szCs w:val="21"/>
    </w:rPr>
  </w:style>
  <w:style w:type="paragraph" w:customStyle="1" w:styleId="35">
    <w:name w:val="首行缩进"/>
    <w:basedOn w:val="1"/>
    <w:next w:val="12"/>
    <w:qFormat/>
    <w:uiPriority w:val="99"/>
    <w:pPr>
      <w:spacing w:line="360" w:lineRule="auto"/>
      <w:ind w:firstLine="480" w:firstLineChars="200"/>
    </w:pPr>
    <w:rPr>
      <w:sz w:val="24"/>
      <w:szCs w:val="22"/>
      <w:lang w:val="zh-CN"/>
    </w:rPr>
  </w:style>
  <w:style w:type="character" w:customStyle="1" w:styleId="36">
    <w:name w:val="标题 1 Char"/>
    <w:basedOn w:val="29"/>
    <w:link w:val="3"/>
    <w:qFormat/>
    <w:locked/>
    <w:uiPriority w:val="99"/>
    <w:rPr>
      <w:rFonts w:eastAsia="仿宋_GB2312"/>
      <w:b/>
      <w:kern w:val="44"/>
      <w:sz w:val="44"/>
      <w:szCs w:val="20"/>
    </w:rPr>
  </w:style>
  <w:style w:type="character" w:customStyle="1" w:styleId="37">
    <w:name w:val="标题 2 Char"/>
    <w:basedOn w:val="29"/>
    <w:link w:val="4"/>
    <w:semiHidden/>
    <w:qFormat/>
    <w:locked/>
    <w:uiPriority w:val="99"/>
    <w:rPr>
      <w:rFonts w:ascii="Calibri Light" w:hAnsi="Calibri Light" w:eastAsia="宋体" w:cs="Times New Roman"/>
      <w:b/>
      <w:sz w:val="32"/>
    </w:rPr>
  </w:style>
  <w:style w:type="character" w:customStyle="1" w:styleId="38">
    <w:name w:val="标题 3 Char"/>
    <w:basedOn w:val="29"/>
    <w:link w:val="5"/>
    <w:semiHidden/>
    <w:qFormat/>
    <w:locked/>
    <w:uiPriority w:val="99"/>
    <w:rPr>
      <w:rFonts w:ascii="Times New Roman" w:hAnsi="Times New Roman" w:eastAsia="宋体" w:cs="Times New Roman"/>
      <w:b/>
      <w:sz w:val="32"/>
    </w:rPr>
  </w:style>
  <w:style w:type="character" w:customStyle="1" w:styleId="39">
    <w:name w:val="标题 4 Char"/>
    <w:basedOn w:val="29"/>
    <w:link w:val="6"/>
    <w:semiHidden/>
    <w:qFormat/>
    <w:locked/>
    <w:uiPriority w:val="99"/>
    <w:rPr>
      <w:rFonts w:ascii="Calibri Light" w:hAnsi="Calibri Light" w:eastAsia="宋体" w:cs="Times New Roman"/>
      <w:b/>
      <w:sz w:val="28"/>
    </w:rPr>
  </w:style>
  <w:style w:type="character" w:customStyle="1" w:styleId="40">
    <w:name w:val="文档结构图 Char1"/>
    <w:basedOn w:val="29"/>
    <w:link w:val="10"/>
    <w:semiHidden/>
    <w:qFormat/>
    <w:locked/>
    <w:uiPriority w:val="99"/>
    <w:rPr>
      <w:rFonts w:ascii="宋体" w:hAnsi="Times New Roman" w:cs="Times New Roman"/>
      <w:kern w:val="2"/>
      <w:sz w:val="18"/>
    </w:rPr>
  </w:style>
  <w:style w:type="character" w:customStyle="1" w:styleId="41">
    <w:name w:val="批注文字 Char"/>
    <w:basedOn w:val="29"/>
    <w:link w:val="11"/>
    <w:qFormat/>
    <w:locked/>
    <w:uiPriority w:val="99"/>
    <w:rPr>
      <w:rFonts w:ascii="Times New Roman" w:hAnsi="Times New Roman" w:eastAsia="宋体" w:cs="Times New Roman"/>
      <w:kern w:val="0"/>
      <w:sz w:val="24"/>
      <w:lang w:val="zh-CN" w:eastAsia="zh-CN"/>
    </w:rPr>
  </w:style>
  <w:style w:type="character" w:customStyle="1" w:styleId="42">
    <w:name w:val="正文文本 Char"/>
    <w:basedOn w:val="29"/>
    <w:link w:val="12"/>
    <w:semiHidden/>
    <w:qFormat/>
    <w:locked/>
    <w:uiPriority w:val="99"/>
    <w:rPr>
      <w:rFonts w:cs="Times New Roman"/>
      <w:sz w:val="24"/>
      <w:szCs w:val="24"/>
    </w:rPr>
  </w:style>
  <w:style w:type="character" w:customStyle="1" w:styleId="43">
    <w:name w:val="正文文本缩进 Char"/>
    <w:basedOn w:val="29"/>
    <w:link w:val="13"/>
    <w:semiHidden/>
    <w:qFormat/>
    <w:locked/>
    <w:uiPriority w:val="99"/>
    <w:rPr>
      <w:rFonts w:ascii="Times New Roman" w:hAnsi="Times New Roman" w:cs="Times New Roman"/>
      <w:sz w:val="24"/>
    </w:rPr>
  </w:style>
  <w:style w:type="character" w:customStyle="1" w:styleId="44">
    <w:name w:val="纯文本 Char"/>
    <w:basedOn w:val="29"/>
    <w:link w:val="15"/>
    <w:qFormat/>
    <w:locked/>
    <w:uiPriority w:val="99"/>
    <w:rPr>
      <w:rFonts w:ascii="宋体" w:hAnsi="Courier New" w:eastAsia="宋体" w:cs="Times New Roman"/>
      <w:snapToGrid w:val="0"/>
      <w:sz w:val="21"/>
    </w:rPr>
  </w:style>
  <w:style w:type="character" w:customStyle="1" w:styleId="45">
    <w:name w:val="日期 Char"/>
    <w:basedOn w:val="29"/>
    <w:link w:val="16"/>
    <w:qFormat/>
    <w:locked/>
    <w:uiPriority w:val="99"/>
    <w:rPr>
      <w:rFonts w:ascii="宋体" w:cs="Times New Roman"/>
      <w:sz w:val="21"/>
      <w:lang w:val="zh-CN"/>
    </w:rPr>
  </w:style>
  <w:style w:type="character" w:customStyle="1" w:styleId="46">
    <w:name w:val="正文文本缩进 2 Char"/>
    <w:basedOn w:val="29"/>
    <w:link w:val="17"/>
    <w:semiHidden/>
    <w:qFormat/>
    <w:locked/>
    <w:uiPriority w:val="99"/>
    <w:rPr>
      <w:rFonts w:cs="Times New Roman"/>
      <w:sz w:val="24"/>
      <w:szCs w:val="24"/>
    </w:rPr>
  </w:style>
  <w:style w:type="character" w:customStyle="1" w:styleId="47">
    <w:name w:val="页脚 Char"/>
    <w:basedOn w:val="29"/>
    <w:link w:val="19"/>
    <w:qFormat/>
    <w:locked/>
    <w:uiPriority w:val="99"/>
    <w:rPr>
      <w:rFonts w:ascii="Times New Roman" w:hAnsi="Times New Roman" w:eastAsia="宋体" w:cs="Times New Roman"/>
      <w:sz w:val="18"/>
    </w:rPr>
  </w:style>
  <w:style w:type="character" w:customStyle="1" w:styleId="48">
    <w:name w:val="Header Char"/>
    <w:basedOn w:val="29"/>
    <w:qFormat/>
    <w:locked/>
    <w:uiPriority w:val="99"/>
    <w:rPr>
      <w:rFonts w:ascii="Times New Roman" w:hAnsi="Times New Roman" w:eastAsia="宋体" w:cs="Times New Roman"/>
      <w:sz w:val="18"/>
    </w:rPr>
  </w:style>
  <w:style w:type="character" w:customStyle="1" w:styleId="49">
    <w:name w:val="正文文本 2 Char"/>
    <w:basedOn w:val="29"/>
    <w:link w:val="22"/>
    <w:semiHidden/>
    <w:qFormat/>
    <w:locked/>
    <w:uiPriority w:val="99"/>
    <w:rPr>
      <w:rFonts w:ascii="Times New Roman" w:hAnsi="Times New Roman" w:cs="Times New Roman"/>
      <w:sz w:val="24"/>
    </w:rPr>
  </w:style>
  <w:style w:type="character" w:customStyle="1" w:styleId="50">
    <w:name w:val="标题 Char"/>
    <w:basedOn w:val="29"/>
    <w:link w:val="25"/>
    <w:qFormat/>
    <w:locked/>
    <w:uiPriority w:val="99"/>
    <w:rPr>
      <w:rFonts w:ascii="Calibri Light" w:hAnsi="Calibri Light" w:eastAsia="宋体" w:cs="Times New Roman"/>
      <w:b/>
      <w:sz w:val="32"/>
    </w:rPr>
  </w:style>
  <w:style w:type="character" w:customStyle="1" w:styleId="51">
    <w:name w:val="批注主题 Char"/>
    <w:basedOn w:val="41"/>
    <w:link w:val="26"/>
    <w:semiHidden/>
    <w:qFormat/>
    <w:locked/>
    <w:uiPriority w:val="99"/>
    <w:rPr>
      <w:rFonts w:ascii="Times New Roman" w:hAnsi="Times New Roman" w:eastAsia="宋体" w:cs="Times New Roman"/>
      <w:b/>
      <w:kern w:val="0"/>
      <w:sz w:val="24"/>
      <w:lang w:val="zh-CN" w:eastAsia="zh-CN"/>
    </w:rPr>
  </w:style>
  <w:style w:type="character" w:customStyle="1" w:styleId="52">
    <w:name w:val="页眉 Char"/>
    <w:link w:val="20"/>
    <w:qFormat/>
    <w:locked/>
    <w:uiPriority w:val="99"/>
    <w:rPr>
      <w:rFonts w:ascii="Times New Roman" w:hAnsi="Times New Roman" w:eastAsia="宋体"/>
      <w:sz w:val="18"/>
    </w:rPr>
  </w:style>
  <w:style w:type="character" w:customStyle="1" w:styleId="53">
    <w:name w:val="正文缩进 Char"/>
    <w:link w:val="9"/>
    <w:qFormat/>
    <w:locked/>
    <w:uiPriority w:val="99"/>
    <w:rPr>
      <w:rFonts w:ascii="宋体" w:eastAsia="宋体"/>
      <w:snapToGrid w:val="0"/>
      <w:color w:val="000000"/>
      <w:kern w:val="28"/>
      <w:sz w:val="28"/>
    </w:rPr>
  </w:style>
  <w:style w:type="character" w:customStyle="1" w:styleId="54">
    <w:name w:val="日期 Char1"/>
    <w:semiHidden/>
    <w:qFormat/>
    <w:uiPriority w:val="99"/>
    <w:rPr>
      <w:rFonts w:ascii="Times New Roman" w:hAnsi="Times New Roman" w:eastAsia="宋体"/>
      <w:sz w:val="24"/>
    </w:rPr>
  </w:style>
  <w:style w:type="character" w:customStyle="1" w:styleId="55">
    <w:name w:val="纯文本 Char1"/>
    <w:semiHidden/>
    <w:qFormat/>
    <w:uiPriority w:val="99"/>
    <w:rPr>
      <w:rFonts w:ascii="宋体" w:hAnsi="Courier New" w:eastAsia="宋体"/>
      <w:sz w:val="21"/>
    </w:rPr>
  </w:style>
  <w:style w:type="paragraph" w:customStyle="1" w:styleId="56">
    <w:name w:val="aspnumfaautoadjustrightr"/>
    <w:qFormat/>
    <w:uiPriority w:val="99"/>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57">
    <w:name w:val="列出段落1"/>
    <w:basedOn w:val="1"/>
    <w:qFormat/>
    <w:uiPriority w:val="99"/>
    <w:pPr>
      <w:spacing w:line="360" w:lineRule="auto"/>
      <w:ind w:firstLine="200" w:firstLineChars="200"/>
    </w:pPr>
    <w:rPr>
      <w:rFonts w:eastAsia="楷体_GB2312" w:cs="Lucida Sans"/>
      <w:sz w:val="24"/>
    </w:rPr>
  </w:style>
  <w:style w:type="paragraph" w:customStyle="1" w:styleId="58">
    <w:name w:val="标题2def"/>
    <w:basedOn w:val="25"/>
    <w:qFormat/>
    <w:uiPriority w:val="99"/>
    <w:pPr>
      <w:widowControl/>
      <w:overflowPunct w:val="0"/>
      <w:autoSpaceDE w:val="0"/>
      <w:autoSpaceDN w:val="0"/>
      <w:snapToGrid w:val="0"/>
      <w:spacing w:before="160" w:after="200" w:line="360" w:lineRule="auto"/>
      <w:textAlignment w:val="baseline"/>
    </w:pPr>
    <w:rPr>
      <w:rFonts w:ascii="Times New Roman" w:hAnsi="宋体" w:eastAsia="Times New Roman"/>
      <w:bCs w:val="0"/>
      <w:szCs w:val="20"/>
      <w:lang w:val="en-GB"/>
    </w:rPr>
  </w:style>
  <w:style w:type="paragraph" w:customStyle="1" w:styleId="59">
    <w:name w:val="标题3def"/>
    <w:basedOn w:val="5"/>
    <w:next w:val="1"/>
    <w:qFormat/>
    <w:uiPriority w:val="99"/>
    <w:pPr>
      <w:snapToGrid w:val="0"/>
      <w:spacing w:before="80" w:after="160" w:line="400" w:lineRule="exact"/>
    </w:pPr>
    <w:rPr>
      <w:rFonts w:ascii="??_GB2312" w:hAnsi="宋体" w:eastAsia="Times New Roman"/>
      <w:bCs w:val="0"/>
      <w:sz w:val="24"/>
      <w:szCs w:val="20"/>
    </w:rPr>
  </w:style>
  <w:style w:type="paragraph" w:customStyle="1" w:styleId="60">
    <w:name w:val="af17cgridlangnp1033langf"/>
    <w:qFormat/>
    <w:uiPriority w:val="99"/>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61">
    <w:name w:val="Char Char2 Char Char"/>
    <w:basedOn w:val="1"/>
    <w:qFormat/>
    <w:uiPriority w:val="99"/>
    <w:pPr>
      <w:widowControl/>
      <w:adjustRightInd/>
      <w:spacing w:line="400" w:lineRule="exact"/>
      <w:jc w:val="center"/>
    </w:pPr>
    <w:rPr>
      <w:rFonts w:ascii="Verdana" w:hAnsi="Verdana"/>
      <w:kern w:val="0"/>
      <w:szCs w:val="20"/>
      <w:lang w:eastAsia="en-US"/>
    </w:rPr>
  </w:style>
  <w:style w:type="paragraph" w:customStyle="1" w:styleId="62">
    <w:name w:val="Char Char Char Char1"/>
    <w:basedOn w:val="1"/>
    <w:qFormat/>
    <w:uiPriority w:val="99"/>
    <w:pPr>
      <w:adjustRightInd/>
    </w:pPr>
    <w:rPr>
      <w:rFonts w:ascii="Tahoma" w:hAnsi="Tahoma"/>
      <w:sz w:val="24"/>
      <w:szCs w:val="20"/>
    </w:rPr>
  </w:style>
  <w:style w:type="paragraph" w:customStyle="1" w:styleId="63">
    <w:name w:val="正文文本缩进 21"/>
    <w:basedOn w:val="1"/>
    <w:qFormat/>
    <w:uiPriority w:val="99"/>
    <w:pPr>
      <w:adjustRightInd/>
      <w:spacing w:line="520" w:lineRule="exact"/>
      <w:ind w:firstLine="848" w:firstLineChars="303"/>
    </w:pPr>
    <w:rPr>
      <w:rFonts w:ascii="黑体" w:hAnsi="Calibri" w:eastAsia="黑体" w:cs="黑体"/>
      <w:sz w:val="28"/>
      <w:szCs w:val="22"/>
    </w:rPr>
  </w:style>
  <w:style w:type="paragraph" w:customStyle="1" w:styleId="64">
    <w:name w:val="正文段"/>
    <w:basedOn w:val="1"/>
    <w:link w:val="70"/>
    <w:qFormat/>
    <w:uiPriority w:val="99"/>
    <w:pPr>
      <w:widowControl/>
      <w:snapToGrid w:val="0"/>
      <w:spacing w:afterLines="50"/>
      <w:ind w:firstLine="200" w:firstLineChars="200"/>
    </w:pPr>
    <w:rPr>
      <w:kern w:val="0"/>
      <w:sz w:val="24"/>
      <w:szCs w:val="20"/>
    </w:rPr>
  </w:style>
  <w:style w:type="paragraph" w:customStyle="1" w:styleId="65">
    <w:name w:val="正文2"/>
    <w:basedOn w:val="1"/>
    <w:link w:val="69"/>
    <w:qFormat/>
    <w:uiPriority w:val="99"/>
    <w:pPr>
      <w:spacing w:before="156" w:line="360" w:lineRule="auto"/>
      <w:ind w:firstLine="510" w:firstLineChars="200"/>
    </w:pPr>
    <w:rPr>
      <w:sz w:val="24"/>
      <w:szCs w:val="20"/>
    </w:rPr>
  </w:style>
  <w:style w:type="paragraph" w:customStyle="1" w:styleId="66">
    <w:name w:val="表正文"/>
    <w:basedOn w:val="1"/>
    <w:next w:val="15"/>
    <w:qFormat/>
    <w:uiPriority w:val="99"/>
    <w:rPr>
      <w:rFonts w:ascii="宋体" w:hAnsi="Courier New"/>
      <w:szCs w:val="20"/>
    </w:rPr>
  </w:style>
  <w:style w:type="character" w:customStyle="1" w:styleId="67">
    <w:name w:val="文档结构图 Char"/>
    <w:semiHidden/>
    <w:qFormat/>
    <w:uiPriority w:val="99"/>
    <w:rPr>
      <w:kern w:val="2"/>
      <w:sz w:val="24"/>
      <w:shd w:val="clear" w:color="auto" w:fill="000080"/>
    </w:rPr>
  </w:style>
  <w:style w:type="character" w:customStyle="1" w:styleId="68">
    <w:name w:val="日期 Char2"/>
    <w:qFormat/>
    <w:uiPriority w:val="99"/>
    <w:rPr>
      <w:rFonts w:ascii="楷体_GB2312" w:eastAsia="楷体_GB2312"/>
      <w:b/>
      <w:kern w:val="2"/>
      <w:sz w:val="28"/>
      <w:lang w:val="en-US" w:eastAsia="zh-CN"/>
    </w:rPr>
  </w:style>
  <w:style w:type="character" w:customStyle="1" w:styleId="69">
    <w:name w:val="正文2 Char"/>
    <w:link w:val="65"/>
    <w:qFormat/>
    <w:locked/>
    <w:uiPriority w:val="99"/>
    <w:rPr>
      <w:rFonts w:ascii="Times New Roman" w:hAnsi="Times New Roman"/>
      <w:kern w:val="2"/>
      <w:sz w:val="24"/>
    </w:rPr>
  </w:style>
  <w:style w:type="character" w:customStyle="1" w:styleId="70">
    <w:name w:val="正文段 Char"/>
    <w:link w:val="64"/>
    <w:qFormat/>
    <w:locked/>
    <w:uiPriority w:val="99"/>
    <w:rPr>
      <w:rFonts w:ascii="Times New Roman" w:hAnsi="Times New Roman"/>
      <w:sz w:val="24"/>
    </w:rPr>
  </w:style>
  <w:style w:type="paragraph" w:styleId="71">
    <w:name w:val="List Paragraph"/>
    <w:basedOn w:val="1"/>
    <w:qFormat/>
    <w:uiPriority w:val="99"/>
    <w:pPr>
      <w:ind w:left="720"/>
      <w:contextualSpacing/>
    </w:pPr>
  </w:style>
  <w:style w:type="paragraph" w:customStyle="1" w:styleId="72">
    <w:name w:val="正文 A"/>
    <w:qFormat/>
    <w:uiPriority w:val="99"/>
    <w:pPr>
      <w:widowControl w:val="0"/>
      <w:spacing w:line="360" w:lineRule="atLeast"/>
    </w:pPr>
    <w:rPr>
      <w:rFonts w:ascii="Times New Roman" w:hAnsi="Times New Roman" w:eastAsia="宋体" w:cs="Times New Roman"/>
      <w:color w:val="000000"/>
      <w:sz w:val="24"/>
      <w:szCs w:val="24"/>
      <w:lang w:val="en-US" w:eastAsia="zh-CN" w:bidi="ar-SA"/>
    </w:rPr>
  </w:style>
  <w:style w:type="character" w:customStyle="1" w:styleId="73">
    <w:name w:val="px_10"/>
    <w:qFormat/>
    <w:uiPriority w:val="99"/>
    <w:rPr>
      <w:lang w:val="zh-TW" w:eastAsia="zh-TW"/>
    </w:rPr>
  </w:style>
  <w:style w:type="paragraph" w:customStyle="1" w:styleId="74">
    <w:name w:val="部分1"/>
    <w:basedOn w:val="1"/>
    <w:qFormat/>
    <w:uiPriority w:val="99"/>
    <w:pPr>
      <w:keepNext/>
      <w:pageBreakBefore/>
      <w:tabs>
        <w:tab w:val="left" w:pos="720"/>
      </w:tabs>
      <w:spacing w:line="360" w:lineRule="auto"/>
      <w:jc w:val="center"/>
      <w:outlineLvl w:val="0"/>
    </w:pPr>
    <w:rPr>
      <w:rFonts w:eastAsia="黑体"/>
      <w:b/>
      <w:kern w:val="44"/>
      <w:sz w:val="36"/>
      <w:szCs w:val="20"/>
    </w:rPr>
  </w:style>
  <w:style w:type="paragraph" w:customStyle="1" w:styleId="75">
    <w:name w:val="reader-word-layer reader-word-s1-8"/>
    <w:basedOn w:val="1"/>
    <w:qFormat/>
    <w:uiPriority w:val="99"/>
    <w:pPr>
      <w:widowControl/>
      <w:spacing w:before="100" w:beforeAutospacing="1" w:after="100" w:afterAutospacing="1"/>
      <w:jc w:val="left"/>
    </w:pPr>
    <w:rPr>
      <w:rFonts w:ascii="宋体" w:hAnsi="宋体" w:cs="宋体"/>
      <w:kern w:val="0"/>
      <w:sz w:val="24"/>
    </w:rPr>
  </w:style>
  <w:style w:type="paragraph" w:customStyle="1" w:styleId="76">
    <w:name w:val="列出段落11"/>
    <w:basedOn w:val="1"/>
    <w:qFormat/>
    <w:uiPriority w:val="99"/>
    <w:pPr>
      <w:spacing w:line="360" w:lineRule="auto"/>
      <w:ind w:firstLine="200" w:firstLineChars="200"/>
    </w:pPr>
    <w:rPr>
      <w:rFonts w:eastAsia="楷体_GB2312" w:cs="Lucida Sans"/>
      <w:sz w:val="24"/>
    </w:rPr>
  </w:style>
  <w:style w:type="paragraph" w:customStyle="1" w:styleId="77">
    <w:name w:val="样式5"/>
    <w:basedOn w:val="1"/>
    <w:qFormat/>
    <w:uiPriority w:val="99"/>
    <w:pPr>
      <w:spacing w:line="440" w:lineRule="exact"/>
      <w:ind w:left="2" w:firstLine="480" w:firstLineChars="200"/>
    </w:pPr>
    <w:rPr>
      <w:rFonts w:ascii="仿宋_GB2312" w:hAnsi="仿宋" w:eastAsia="仿宋_GB2312"/>
      <w:sz w:val="24"/>
    </w:rPr>
  </w:style>
  <w:style w:type="paragraph" w:customStyle="1" w:styleId="78">
    <w:name w:val="样式4"/>
    <w:basedOn w:val="1"/>
    <w:qFormat/>
    <w:uiPriority w:val="99"/>
    <w:pPr>
      <w:spacing w:line="360" w:lineRule="auto"/>
      <w:ind w:firstLine="420"/>
      <w:jc w:val="center"/>
      <w:outlineLvl w:val="2"/>
    </w:pPr>
    <w:rPr>
      <w:rFonts w:ascii="仿宋_GB2312" w:hAnsi="仿宋" w:eastAsia="仿宋_GB2312"/>
      <w:b/>
      <w:sz w:val="32"/>
      <w:szCs w:val="32"/>
    </w:rPr>
  </w:style>
  <w:style w:type="paragraph" w:customStyle="1" w:styleId="79">
    <w:name w:val="正文 New New New New"/>
    <w:qFormat/>
    <w:uiPriority w:val="99"/>
    <w:pPr>
      <w:widowControl w:val="0"/>
      <w:jc w:val="both"/>
    </w:pPr>
    <w:rPr>
      <w:rFonts w:ascii="Calibri" w:hAnsi="Calibri" w:eastAsia="宋体" w:cs="Times New Roman"/>
      <w:sz w:val="21"/>
      <w:szCs w:val="24"/>
      <w:lang w:val="en-US" w:eastAsia="zh-CN" w:bidi="ar-SA"/>
    </w:rPr>
  </w:style>
  <w:style w:type="character" w:customStyle="1" w:styleId="80">
    <w:name w:val="批注框文本 Char"/>
    <w:basedOn w:val="29"/>
    <w:link w:val="18"/>
    <w:semiHidden/>
    <w:qFormat/>
    <w:locked/>
    <w:uiPriority w:val="99"/>
    <w:rPr>
      <w:rFonts w:cs="Times New Roman"/>
      <w:sz w:val="2"/>
    </w:rPr>
  </w:style>
  <w:style w:type="paragraph" w:customStyle="1" w:styleId="81">
    <w:name w:val="列出段落5"/>
    <w:basedOn w:val="1"/>
    <w:qFormat/>
    <w:uiPriority w:val="34"/>
    <w:pPr>
      <w:ind w:firstLine="420" w:firstLineChars="200"/>
    </w:pPr>
    <w:rPr>
      <w:rFonts w:ascii="Calibri" w:hAnsi="Calibri"/>
      <w:sz w:val="24"/>
    </w:rPr>
  </w:style>
  <w:style w:type="paragraph" w:customStyle="1" w:styleId="82">
    <w:name w:val="unnamed1"/>
    <w:basedOn w:val="1"/>
    <w:qFormat/>
    <w:uiPriority w:val="0"/>
    <w:pPr>
      <w:widowControl/>
      <w:spacing w:before="100" w:beforeAutospacing="1" w:after="100" w:afterAutospacing="1" w:line="288" w:lineRule="auto"/>
      <w:jc w:val="left"/>
    </w:pPr>
    <w:rPr>
      <w:rFonts w:hint="eastAsia" w:ascii="宋体" w:hAnsi="宋体"/>
      <w:kern w:val="0"/>
      <w:szCs w:val="21"/>
    </w:rPr>
  </w:style>
  <w:style w:type="character" w:customStyle="1" w:styleId="83">
    <w:name w:val="unnamed11"/>
    <w:basedOn w:val="29"/>
    <w:qFormat/>
    <w:uiPriority w:val="0"/>
    <w:rPr>
      <w:rFonts w:hint="eastAsia" w:ascii="宋体" w:hAnsi="宋体" w:eastAsia="宋体"/>
      <w:sz w:val="21"/>
      <w:szCs w:val="21"/>
    </w:rPr>
  </w:style>
  <w:style w:type="paragraph" w:customStyle="1" w:styleId="84">
    <w:name w:val="样式2 Char Char Char"/>
    <w:basedOn w:val="1"/>
    <w:qFormat/>
    <w:uiPriority w:val="0"/>
    <w:pPr>
      <w:widowControl/>
      <w:spacing w:line="360" w:lineRule="auto"/>
      <w:ind w:firstLine="480" w:firstLineChars="200"/>
      <w:jc w:val="left"/>
    </w:pPr>
    <w:rPr>
      <w:rFonts w:ascii="宋体" w:hAnsi="宋体"/>
      <w:bCs/>
      <w:kern w:val="0"/>
      <w:sz w:val="24"/>
      <w:lang w:eastAsia="en-US"/>
    </w:rPr>
  </w:style>
  <w:style w:type="character" w:customStyle="1" w:styleId="85">
    <w:name w:val="font11"/>
    <w:basedOn w:val="29"/>
    <w:qFormat/>
    <w:uiPriority w:val="0"/>
    <w:rPr>
      <w:rFonts w:hint="default" w:ascii="微软雅黑" w:hAnsi="微软雅黑" w:eastAsia="微软雅黑" w:cs="微软雅黑"/>
      <w:color w:val="000000"/>
      <w:sz w:val="20"/>
      <w:szCs w:val="20"/>
      <w:u w:val="none"/>
    </w:rPr>
  </w:style>
  <w:style w:type="paragraph" w:customStyle="1" w:styleId="86">
    <w:name w:val="样式 首行缩进:  0.74 厘米"/>
    <w:basedOn w:val="1"/>
    <w:qFormat/>
    <w:uiPriority w:val="0"/>
    <w:pPr>
      <w:ind w:firstLine="420"/>
    </w:pPr>
    <w:rPr>
      <w:rFonts w:ascii="Arial" w:hAnsi="Arial" w:eastAsia="仿宋_GB2312" w:cs="Arial"/>
      <w:bCs/>
      <w:sz w:val="28"/>
      <w:szCs w:val="28"/>
    </w:rPr>
  </w:style>
  <w:style w:type="paragraph" w:customStyle="1" w:styleId="87">
    <w:name w:val="正文格式（小四）"/>
    <w:basedOn w:val="1"/>
    <w:qFormat/>
    <w:uiPriority w:val="0"/>
    <w:pPr>
      <w:widowControl/>
      <w:snapToGrid w:val="0"/>
      <w:spacing w:line="360" w:lineRule="auto"/>
      <w:ind w:firstLine="482"/>
      <w:jc w:val="left"/>
      <w:textAlignment w:val="baseline"/>
    </w:pPr>
    <w:rPr>
      <w:kern w:val="24"/>
      <w:sz w:val="24"/>
    </w:rPr>
  </w:style>
  <w:style w:type="paragraph" w:customStyle="1" w:styleId="88">
    <w:name w:val="_Style 1"/>
    <w:basedOn w:val="1"/>
    <w:qFormat/>
    <w:uiPriority w:val="99"/>
    <w:pPr>
      <w:ind w:firstLine="420" w:firstLineChars="200"/>
    </w:pPr>
  </w:style>
  <w:style w:type="paragraph" w:customStyle="1" w:styleId="89">
    <w:name w:val="_Style 2"/>
    <w:basedOn w:val="1"/>
    <w:qFormat/>
    <w:uiPriority w:val="99"/>
    <w:pPr>
      <w:ind w:firstLine="420" w:firstLineChars="200"/>
    </w:pPr>
  </w:style>
  <w:style w:type="paragraph" w:customStyle="1" w:styleId="90">
    <w:name w:val="（1）"/>
    <w:basedOn w:val="1"/>
    <w:qFormat/>
    <w:uiPriority w:val="0"/>
    <w:pPr>
      <w:numPr>
        <w:ilvl w:val="0"/>
        <w:numId w:val="5"/>
      </w:numPr>
      <w:tabs>
        <w:tab w:val="left" w:pos="961"/>
      </w:tabs>
      <w:spacing w:line="360" w:lineRule="auto"/>
    </w:pPr>
    <w:rPr>
      <w:sz w:val="24"/>
    </w:rPr>
  </w:style>
  <w:style w:type="paragraph" w:customStyle="1" w:styleId="91">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92">
    <w:name w:val="CM18"/>
    <w:basedOn w:val="91"/>
    <w:next w:val="91"/>
    <w:qFormat/>
    <w:uiPriority w:val="99"/>
    <w:rPr>
      <w:rFonts w:ascii="ST Xihei" w:hAnsi="Calibri" w:eastAsia="ST Xihei"/>
      <w:color w:val="auto"/>
    </w:rPr>
  </w:style>
  <w:style w:type="character" w:customStyle="1" w:styleId="93">
    <w:name w:val="qxdate"/>
    <w:basedOn w:val="29"/>
    <w:qFormat/>
    <w:uiPriority w:val="0"/>
    <w:rPr>
      <w:color w:val="333333"/>
      <w:sz w:val="18"/>
      <w:szCs w:val="18"/>
    </w:rPr>
  </w:style>
  <w:style w:type="character" w:customStyle="1" w:styleId="94">
    <w:name w:val="cfdate"/>
    <w:basedOn w:val="29"/>
    <w:qFormat/>
    <w:uiPriority w:val="0"/>
    <w:rPr>
      <w:color w:val="333333"/>
      <w:sz w:val="18"/>
      <w:szCs w:val="18"/>
    </w:rPr>
  </w:style>
  <w:style w:type="character" w:customStyle="1" w:styleId="95">
    <w:name w:val="redfilefwwh"/>
    <w:basedOn w:val="29"/>
    <w:qFormat/>
    <w:uiPriority w:val="0"/>
    <w:rPr>
      <w:color w:val="BA2636"/>
      <w:sz w:val="18"/>
      <w:szCs w:val="18"/>
    </w:rPr>
  </w:style>
  <w:style w:type="character" w:customStyle="1" w:styleId="96">
    <w:name w:val="displayarti"/>
    <w:basedOn w:val="29"/>
    <w:qFormat/>
    <w:uiPriority w:val="0"/>
    <w:rPr>
      <w:color w:val="FFFFFF"/>
      <w:shd w:val="clear" w:color="auto" w:fill="A00000"/>
    </w:rPr>
  </w:style>
  <w:style w:type="character" w:customStyle="1" w:styleId="97">
    <w:name w:val="gjfg"/>
    <w:basedOn w:val="29"/>
    <w:qFormat/>
    <w:uiPriority w:val="0"/>
  </w:style>
  <w:style w:type="character" w:customStyle="1" w:styleId="98">
    <w:name w:val="redfilenumber"/>
    <w:basedOn w:val="29"/>
    <w:qFormat/>
    <w:uiPriority w:val="0"/>
    <w:rPr>
      <w:color w:val="BA2636"/>
      <w:sz w:val="18"/>
      <w:szCs w:val="18"/>
    </w:rPr>
  </w:style>
  <w:style w:type="character" w:customStyle="1" w:styleId="99">
    <w:name w:val="15"/>
    <w:qFormat/>
    <w:uiPriority w:val="0"/>
    <w:rPr>
      <w:rFonts w:hint="eastAsia" w:ascii="宋体" w:hAnsi="宋体" w:eastAsia="宋体" w:cs="宋体"/>
      <w:color w:val="000000"/>
      <w:sz w:val="24"/>
      <w:szCs w:val="24"/>
    </w:rPr>
  </w:style>
  <w:style w:type="paragraph" w:customStyle="1" w:styleId="100">
    <w:name w:val="tabletext"/>
    <w:basedOn w:val="1"/>
    <w:qFormat/>
    <w:uiPriority w:val="0"/>
    <w:pPr>
      <w:widowControl/>
      <w:spacing w:before="100" w:beforeAutospacing="1" w:after="100" w:afterAutospacing="1"/>
      <w:jc w:val="left"/>
    </w:pPr>
    <w:rPr>
      <w:rFonts w:ascii="宋体" w:hAnsi="宋体" w:cs="宋体"/>
      <w:kern w:val="0"/>
      <w:sz w:val="24"/>
    </w:rPr>
  </w:style>
  <w:style w:type="table" w:customStyle="1" w:styleId="101">
    <w:name w:val="网格型1"/>
    <w:basedOn w:val="27"/>
    <w:qFormat/>
    <w:uiPriority w:val="99"/>
    <w:rPr>
      <w:rFonts w:ascii="Calibri" w:hAnsi="Calibri" w:cs="Calibri"/>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paragraph" w:customStyle="1" w:styleId="102">
    <w:name w:val="0正文"/>
    <w:basedOn w:val="1"/>
    <w:qFormat/>
    <w:uiPriority w:val="0"/>
    <w:pPr>
      <w:spacing w:line="360" w:lineRule="auto"/>
      <w:ind w:firstLine="200" w:firstLineChars="200"/>
    </w:pPr>
  </w:style>
  <w:style w:type="paragraph" w:customStyle="1" w:styleId="103">
    <w:name w:val="修订1"/>
    <w:hidden/>
    <w:semiHidden/>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2.emf"/><Relationship Id="rId11" Type="http://schemas.openxmlformats.org/officeDocument/2006/relationships/oleObject" Target="embeddings/oleObject2.bin"/><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53</Pages>
  <Words>5687</Words>
  <Characters>32422</Characters>
  <Lines>270</Lines>
  <Paragraphs>76</Paragraphs>
  <TotalTime>20</TotalTime>
  <ScaleCrop>false</ScaleCrop>
  <LinksUpToDate>false</LinksUpToDate>
  <CharactersWithSpaces>38033</CharactersWithSpaces>
  <Application>WPS Office_11.1.0.10228_F1E327BC-269C-435d-A152-05C5408002CA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2020-11-05T16:05:00Z</dcterms:created>
  <dc:creator>Ting</dc:creator>
  <cp:lastModifiedBy>囍多多</cp:lastModifiedBy>
  <cp:lastPrinted>2020-08-07T08:05:00Z</cp:lastPrinted>
  <dcterms:modified xsi:type="dcterms:W3CDTF">2021-01-07T06:42:13Z</dcterms:modified>
  <dc:title>绍兴市公安局交通警察支队交警互联网支付及罚缴平台二期项目 </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