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ascii="隶书" w:hAnsi="Arial" w:eastAsia="隶书" w:cs="Arial"/>
          <w:b/>
          <w:color w:val="auto"/>
          <w:sz w:val="48"/>
          <w:szCs w:val="48"/>
        </w:rPr>
      </w:pPr>
      <w:r>
        <w:rPr>
          <w:rFonts w:hint="eastAsia" w:ascii="隶书" w:hAnsi="Arial" w:eastAsia="隶书" w:cs="Arial"/>
          <w:b/>
          <w:sz w:val="48"/>
          <w:szCs w:val="48"/>
        </w:rPr>
        <w:t>绍兴市中心血站2020-2021年度试剂耗材采购项</w:t>
      </w:r>
      <w:r>
        <w:rPr>
          <w:rFonts w:hint="eastAsia" w:ascii="隶书" w:hAnsi="Arial" w:eastAsia="隶书" w:cs="Arial"/>
          <w:b/>
          <w:color w:val="auto"/>
          <w:sz w:val="48"/>
          <w:szCs w:val="48"/>
        </w:rPr>
        <w:t>目（</w:t>
      </w:r>
      <w:r>
        <w:rPr>
          <w:rFonts w:hint="eastAsia" w:ascii="隶书" w:hAnsi="Arial" w:eastAsia="隶书" w:cs="Arial"/>
          <w:b/>
          <w:color w:val="auto"/>
          <w:sz w:val="48"/>
          <w:szCs w:val="48"/>
          <w:lang w:eastAsia="zh-CN"/>
        </w:rPr>
        <w:t>重招</w:t>
      </w:r>
      <w:r>
        <w:rPr>
          <w:rFonts w:hint="eastAsia" w:ascii="隶书" w:hAnsi="Arial" w:eastAsia="隶书" w:cs="Arial"/>
          <w:b/>
          <w:color w:val="auto"/>
          <w:sz w:val="48"/>
          <w:szCs w:val="48"/>
        </w:rPr>
        <w:t>）</w:t>
      </w:r>
    </w:p>
    <w:p>
      <w:pPr>
        <w:spacing w:line="312" w:lineRule="auto"/>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招标编号:CGSHZJ-2020-N000</w:t>
      </w:r>
      <w:r>
        <w:rPr>
          <w:rFonts w:hint="eastAsia" w:ascii="隶书" w:eastAsia="隶书"/>
          <w:b/>
          <w:sz w:val="28"/>
          <w:szCs w:val="28"/>
          <w:lang w:val="en-US" w:eastAsia="zh-CN"/>
        </w:rPr>
        <w:t>480</w:t>
      </w:r>
    </w:p>
    <w:tbl>
      <w:tblPr>
        <w:tblStyle w:val="26"/>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绍兴市中心血站</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Merge w:val="restart"/>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99" w:hRule="atLeast"/>
          <w:jc w:val="center"/>
        </w:trPr>
        <w:tc>
          <w:tcPr>
            <w:tcW w:w="2356" w:type="dxa"/>
            <w:vMerge w:val="continue"/>
            <w:vAlign w:val="center"/>
          </w:tcPr>
          <w:p>
            <w:pPr>
              <w:spacing w:after="100" w:afterAutospacing="1"/>
              <w:rPr>
                <w:rFonts w:ascii="隶书" w:hAnsi="宋体" w:eastAsia="隶书"/>
                <w:spacing w:val="93"/>
                <w:kern w:val="0"/>
                <w:sz w:val="28"/>
                <w:szCs w:val="28"/>
              </w:rPr>
            </w:pP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年十</w:t>
            </w:r>
            <w:r>
              <w:rPr>
                <w:rFonts w:hint="eastAsia" w:ascii="隶书" w:eastAsia="隶书"/>
                <w:b/>
                <w:sz w:val="28"/>
                <w:szCs w:val="28"/>
                <w:lang w:eastAsia="zh-CN"/>
              </w:rPr>
              <w:t>二</w:t>
            </w:r>
            <w:r>
              <w:rPr>
                <w:rFonts w:hint="eastAsia" w:ascii="隶书" w:eastAsia="隶书"/>
                <w:b/>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6"/>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6"/>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绍兴市中心血站2020-2021年度试剂耗材采购项目（</w:t>
                  </w:r>
                  <w:r>
                    <w:rPr>
                      <w:rFonts w:hint="eastAsia" w:ascii="仿宋" w:hAnsi="仿宋" w:eastAsia="仿宋" w:cs="仿宋"/>
                      <w:kern w:val="0"/>
                      <w:sz w:val="24"/>
                      <w:lang w:eastAsia="zh-CN"/>
                    </w:rPr>
                    <w:t>重招</w:t>
                  </w:r>
                  <w:r>
                    <w:rPr>
                      <w:rFonts w:hint="eastAsia" w:ascii="仿宋" w:hAnsi="仿宋" w:eastAsia="仿宋" w:cs="仿宋"/>
                      <w:kern w:val="0"/>
                      <w:sz w:val="24"/>
                    </w:rPr>
                    <w:t>）的潜在投标人应在http://www.zcygov.cn/获取（下载）招标文件，并</w:t>
                  </w:r>
                  <w:r>
                    <w:rPr>
                      <w:rFonts w:hint="eastAsia" w:ascii="仿宋" w:hAnsi="仿宋" w:eastAsia="仿宋" w:cs="仿宋"/>
                      <w:color w:val="auto"/>
                      <w:kern w:val="0"/>
                      <w:sz w:val="24"/>
                    </w:rPr>
                    <w:t>于202</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日09:00（北京</w:t>
                  </w:r>
                  <w:r>
                    <w:rPr>
                      <w:rFonts w:hint="eastAsia" w:ascii="仿宋" w:hAnsi="仿宋" w:eastAsia="仿宋" w:cs="仿宋"/>
                      <w:kern w:val="0"/>
                      <w:sz w:val="24"/>
                    </w:rPr>
                    <w:t>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项目编号：CGSHZJ-2020-N000480   </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kern w:val="0"/>
                <w:sz w:val="24"/>
              </w:rPr>
              <w:t>项目名称：绍兴市中心血站2020-2021年度试剂耗材采购项目</w:t>
            </w:r>
            <w:r>
              <w:rPr>
                <w:rFonts w:hint="eastAsia" w:ascii="仿宋" w:hAnsi="仿宋" w:eastAsia="仿宋" w:cs="仿宋"/>
                <w:color w:val="auto"/>
                <w:kern w:val="0"/>
                <w:sz w:val="24"/>
                <w:lang w:eastAsia="zh-CN"/>
              </w:rPr>
              <w:t>（重招）</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hint="eastAsia" w:ascii="仿宋" w:hAnsi="仿宋" w:eastAsia="仿宋" w:cs="仿宋"/>
                <w:kern w:val="0"/>
                <w:sz w:val="24"/>
                <w:lang w:val="en-US" w:eastAsia="zh-CN"/>
              </w:rPr>
              <w:t>4475796</w:t>
            </w:r>
            <w:r>
              <w:rPr>
                <w:rFonts w:hint="eastAsia" w:ascii="仿宋" w:hAnsi="仿宋" w:eastAsia="仿宋" w:cs="仿宋"/>
                <w:kern w:val="0"/>
                <w:sz w:val="24"/>
              </w:rPr>
              <w:t>  </w:t>
            </w:r>
          </w:p>
          <w:p>
            <w:pPr>
              <w:widowControl/>
              <w:snapToGrid w:val="0"/>
              <w:spacing w:line="288" w:lineRule="auto"/>
              <w:ind w:firstLine="480" w:firstLineChars="200"/>
              <w:rPr>
                <w:rFonts w:hint="eastAsia" w:ascii="仿宋" w:hAnsi="仿宋" w:eastAsia="仿宋" w:cs="仿宋"/>
                <w:color w:val="auto"/>
                <w:kern w:val="0"/>
                <w:sz w:val="24"/>
                <w:lang w:eastAsia="zh-CN"/>
              </w:rPr>
            </w:pPr>
            <w:r>
              <w:rPr>
                <w:rFonts w:hint="eastAsia" w:ascii="仿宋" w:hAnsi="仿宋" w:eastAsia="仿宋" w:cs="仿宋"/>
                <w:kern w:val="0"/>
                <w:sz w:val="24"/>
              </w:rPr>
              <w:t>最高限价（元）：</w:t>
            </w:r>
            <w:r>
              <w:rPr>
                <w:rFonts w:hint="eastAsia" w:ascii="仿宋" w:hAnsi="仿宋" w:eastAsia="仿宋" w:cs="仿宋"/>
                <w:color w:val="auto"/>
                <w:sz w:val="24"/>
              </w:rPr>
              <w:t>1425000</w:t>
            </w:r>
            <w:r>
              <w:rPr>
                <w:rFonts w:hint="eastAsia" w:ascii="仿宋" w:hAnsi="仿宋" w:eastAsia="仿宋" w:cs="仿宋"/>
                <w:color w:val="auto"/>
                <w:sz w:val="24"/>
                <w:lang w:eastAsia="zh-CN"/>
              </w:rPr>
              <w:t>、</w:t>
            </w:r>
            <w:r>
              <w:rPr>
                <w:rFonts w:hint="eastAsia" w:ascii="仿宋" w:hAnsi="仿宋" w:eastAsia="仿宋" w:cs="仿宋"/>
                <w:color w:val="auto"/>
                <w:sz w:val="24"/>
              </w:rPr>
              <w:t>788500</w:t>
            </w:r>
            <w:r>
              <w:rPr>
                <w:rFonts w:hint="eastAsia" w:ascii="仿宋" w:hAnsi="仿宋" w:eastAsia="仿宋" w:cs="仿宋"/>
                <w:color w:val="auto"/>
                <w:sz w:val="24"/>
                <w:lang w:eastAsia="zh-CN"/>
              </w:rPr>
              <w:t>、</w:t>
            </w:r>
            <w:r>
              <w:rPr>
                <w:rFonts w:hint="eastAsia" w:ascii="仿宋" w:hAnsi="仿宋" w:eastAsia="仿宋" w:cs="仿宋"/>
                <w:color w:val="auto"/>
                <w:sz w:val="24"/>
              </w:rPr>
              <w:t>517016</w:t>
            </w:r>
            <w:r>
              <w:rPr>
                <w:rFonts w:hint="eastAsia" w:ascii="仿宋" w:hAnsi="仿宋" w:eastAsia="仿宋" w:cs="仿宋"/>
                <w:color w:val="auto"/>
                <w:sz w:val="24"/>
                <w:lang w:eastAsia="zh-CN"/>
              </w:rPr>
              <w:t>、</w:t>
            </w:r>
            <w:r>
              <w:rPr>
                <w:rFonts w:hint="eastAsia" w:ascii="仿宋" w:hAnsi="仿宋" w:eastAsia="仿宋" w:cs="仿宋"/>
                <w:color w:val="auto"/>
                <w:sz w:val="24"/>
              </w:rPr>
              <w:t>478080</w:t>
            </w:r>
            <w:r>
              <w:rPr>
                <w:rFonts w:hint="eastAsia" w:ascii="仿宋" w:hAnsi="仿宋" w:eastAsia="仿宋" w:cs="仿宋"/>
                <w:color w:val="auto"/>
                <w:sz w:val="24"/>
                <w:lang w:eastAsia="zh-CN"/>
              </w:rPr>
              <w:t>、</w:t>
            </w:r>
            <w:r>
              <w:rPr>
                <w:rFonts w:hint="eastAsia" w:ascii="仿宋" w:hAnsi="仿宋" w:eastAsia="仿宋" w:cs="仿宋"/>
                <w:color w:val="auto"/>
                <w:sz w:val="24"/>
              </w:rPr>
              <w:t>1267200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r>
              <w:rPr>
                <w:rFonts w:hint="eastAsia" w:ascii="仿宋" w:hAnsi="仿宋" w:eastAsia="仿宋" w:cs="仿宋"/>
                <w:kern w:val="0"/>
                <w:sz w:val="24"/>
              </w:rPr>
              <w:br w:type="textWrapping"/>
            </w:r>
            <w:r>
              <w:rPr>
                <w:rFonts w:hint="eastAsia" w:ascii="仿宋" w:hAnsi="仿宋" w:eastAsia="仿宋" w:cs="仿宋"/>
                <w:kern w:val="0"/>
                <w:sz w:val="24"/>
              </w:rPr>
              <w:t>     标项名称:</w:t>
            </w:r>
            <w:r>
              <w:rPr>
                <w:rFonts w:hint="eastAsia" w:ascii="仿宋" w:hAnsi="仿宋" w:eastAsia="仿宋" w:cs="仿宋"/>
                <w:sz w:val="24"/>
              </w:rPr>
              <w:t>MCS+机采耗材</w:t>
            </w:r>
            <w:r>
              <w:rPr>
                <w:rFonts w:hint="eastAsia" w:ascii="仿宋" w:hAnsi="仿宋" w:eastAsia="仿宋" w:cs="仿宋"/>
                <w:kern w:val="0"/>
                <w:sz w:val="24"/>
              </w:rPr>
              <w:t> </w:t>
            </w:r>
            <w:r>
              <w:rPr>
                <w:rFonts w:hint="eastAsia" w:ascii="仿宋" w:hAnsi="仿宋" w:eastAsia="仿宋" w:cs="仿宋"/>
                <w:kern w:val="0"/>
                <w:sz w:val="24"/>
              </w:rPr>
              <w:br w:type="textWrapping"/>
            </w:r>
            <w:r>
              <w:rPr>
                <w:rFonts w:hint="eastAsia" w:ascii="仿宋" w:hAnsi="仿宋" w:eastAsia="仿宋" w:cs="仿宋"/>
                <w:kern w:val="0"/>
                <w:sz w:val="24"/>
              </w:rPr>
              <w:t>     数量:不限</w:t>
            </w:r>
            <w:r>
              <w:rPr>
                <w:rFonts w:hint="eastAsia" w:ascii="仿宋" w:hAnsi="仿宋" w:eastAsia="仿宋" w:cs="仿宋"/>
                <w:kern w:val="0"/>
                <w:sz w:val="24"/>
              </w:rPr>
              <w:br w:type="textWrapping"/>
            </w:r>
            <w:r>
              <w:rPr>
                <w:rFonts w:hint="eastAsia" w:ascii="仿宋" w:hAnsi="仿宋" w:eastAsia="仿宋" w:cs="仿宋"/>
                <w:kern w:val="0"/>
                <w:sz w:val="24"/>
              </w:rPr>
              <w:t>     预算金额（元）:</w:t>
            </w:r>
            <w:r>
              <w:rPr>
                <w:rFonts w:hint="eastAsia" w:ascii="仿宋" w:hAnsi="仿宋" w:eastAsia="仿宋" w:cs="仿宋"/>
                <w:sz w:val="24"/>
              </w:rPr>
              <w:t>1425000</w:t>
            </w:r>
            <w:r>
              <w:rPr>
                <w:rFonts w:hint="eastAsia" w:ascii="仿宋" w:hAnsi="仿宋" w:eastAsia="仿宋" w:cs="仿宋"/>
                <w:kern w:val="0"/>
                <w:sz w:val="24"/>
              </w:rPr>
              <w:t> </w:t>
            </w:r>
            <w:r>
              <w:rPr>
                <w:rFonts w:hint="eastAsia" w:ascii="仿宋" w:hAnsi="仿宋" w:eastAsia="仿宋" w:cs="仿宋"/>
                <w:kern w:val="0"/>
                <w:sz w:val="24"/>
              </w:rPr>
              <w:br w:type="textWrapping"/>
            </w:r>
            <w:r>
              <w:rPr>
                <w:rFonts w:hint="eastAsia" w:ascii="仿宋" w:hAnsi="仿宋" w:eastAsia="仿宋" w:cs="仿宋"/>
                <w:kern w:val="0"/>
                <w:sz w:val="24"/>
              </w:rPr>
              <w:t>     简要规格描述或项目基本概况介绍、用途：详见采购文件。 </w:t>
            </w:r>
          </w:p>
          <w:p>
            <w:pPr>
              <w:pStyle w:val="64"/>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标项二:</w:t>
            </w:r>
            <w:r>
              <w:rPr>
                <w:rFonts w:hint="eastAsia" w:ascii="仿宋" w:hAnsi="仿宋" w:eastAsia="仿宋" w:cs="仿宋"/>
                <w:kern w:val="0"/>
                <w:sz w:val="24"/>
              </w:rPr>
              <w:br w:type="textWrapping"/>
            </w:r>
            <w:r>
              <w:rPr>
                <w:rFonts w:hint="eastAsia" w:ascii="仿宋" w:hAnsi="仿宋" w:eastAsia="仿宋" w:cs="仿宋"/>
                <w:kern w:val="0"/>
                <w:sz w:val="24"/>
              </w:rPr>
              <w:t>     标项名称: </w:t>
            </w:r>
            <w:r>
              <w:rPr>
                <w:rFonts w:hint="eastAsia" w:ascii="仿宋" w:hAnsi="仿宋" w:eastAsia="仿宋" w:cs="仿宋"/>
                <w:sz w:val="24"/>
              </w:rPr>
              <w:t>Amicore机采耗材</w:t>
            </w:r>
            <w:r>
              <w:rPr>
                <w:rFonts w:hint="eastAsia" w:ascii="仿宋" w:hAnsi="仿宋" w:eastAsia="仿宋" w:cs="仿宋"/>
                <w:kern w:val="0"/>
                <w:sz w:val="24"/>
              </w:rPr>
              <w:br w:type="textWrapping"/>
            </w:r>
            <w:r>
              <w:rPr>
                <w:rFonts w:hint="eastAsia" w:ascii="仿宋" w:hAnsi="仿宋" w:eastAsia="仿宋" w:cs="仿宋"/>
                <w:kern w:val="0"/>
                <w:sz w:val="24"/>
              </w:rPr>
              <w:t>     数量:不限</w:t>
            </w:r>
            <w:r>
              <w:rPr>
                <w:rFonts w:hint="eastAsia" w:ascii="仿宋" w:hAnsi="仿宋" w:eastAsia="仿宋" w:cs="仿宋"/>
                <w:kern w:val="0"/>
                <w:sz w:val="24"/>
              </w:rPr>
              <w:br w:type="textWrapping"/>
            </w:r>
            <w:r>
              <w:rPr>
                <w:rFonts w:hint="eastAsia" w:ascii="仿宋" w:hAnsi="仿宋" w:eastAsia="仿宋" w:cs="仿宋"/>
                <w:kern w:val="0"/>
                <w:sz w:val="24"/>
              </w:rPr>
              <w:t>     预算金额（元）:</w:t>
            </w:r>
            <w:r>
              <w:rPr>
                <w:rFonts w:hint="eastAsia" w:ascii="仿宋" w:hAnsi="仿宋" w:eastAsia="仿宋" w:cs="仿宋"/>
                <w:sz w:val="24"/>
              </w:rPr>
              <w:t>788500</w:t>
            </w:r>
            <w:r>
              <w:rPr>
                <w:rFonts w:hint="eastAsia" w:ascii="仿宋" w:hAnsi="仿宋" w:eastAsia="仿宋" w:cs="仿宋"/>
                <w:kern w:val="0"/>
                <w:sz w:val="24"/>
              </w:rPr>
              <w:t> </w:t>
            </w:r>
            <w:r>
              <w:rPr>
                <w:rFonts w:hint="eastAsia" w:ascii="仿宋" w:hAnsi="仿宋" w:eastAsia="仿宋" w:cs="仿宋"/>
                <w:kern w:val="0"/>
                <w:sz w:val="24"/>
              </w:rPr>
              <w:br w:type="textWrapping"/>
            </w:r>
            <w:r>
              <w:rPr>
                <w:rFonts w:hint="eastAsia" w:ascii="仿宋" w:hAnsi="仿宋" w:eastAsia="仿宋" w:cs="仿宋"/>
                <w:kern w:val="0"/>
                <w:sz w:val="24"/>
              </w:rPr>
              <w:t>     简要规格描述或项目基本概况介绍、用途：详见采购文件。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备注：无。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标项</w:t>
            </w:r>
            <w:r>
              <w:rPr>
                <w:rFonts w:hint="eastAsia" w:ascii="仿宋" w:hAnsi="仿宋" w:eastAsia="仿宋" w:cs="仿宋"/>
                <w:szCs w:val="24"/>
                <w:lang w:eastAsia="zh-CN"/>
              </w:rPr>
              <w:t>三</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标项名称:</w:t>
            </w:r>
            <w:r>
              <w:rPr>
                <w:rFonts w:hint="eastAsia" w:ascii="仿宋" w:hAnsi="仿宋" w:eastAsia="仿宋" w:cs="仿宋"/>
              </w:rPr>
              <w:t>乙肝诊断试剂</w:t>
            </w:r>
            <w:r>
              <w:rPr>
                <w:rFonts w:hint="eastAsia" w:ascii="仿宋" w:hAnsi="仿宋" w:eastAsia="仿宋" w:cs="仿宋"/>
                <w:szCs w:val="24"/>
              </w:rPr>
              <w:br w:type="textWrapping"/>
            </w:r>
            <w:r>
              <w:rPr>
                <w:rFonts w:hint="eastAsia" w:ascii="仿宋" w:hAnsi="仿宋" w:eastAsia="仿宋" w:cs="仿宋"/>
                <w:szCs w:val="24"/>
              </w:rPr>
              <w:t>     数量:不限</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rPr>
              <w:t>517016</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备注：无。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标项</w:t>
            </w:r>
            <w:r>
              <w:rPr>
                <w:rFonts w:hint="eastAsia" w:ascii="仿宋" w:hAnsi="仿宋" w:eastAsia="仿宋" w:cs="仿宋"/>
                <w:szCs w:val="24"/>
                <w:lang w:eastAsia="zh-CN"/>
              </w:rPr>
              <w:t>四</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标项名称:</w:t>
            </w:r>
            <w:r>
              <w:rPr>
                <w:rFonts w:hint="eastAsia" w:ascii="仿宋" w:hAnsi="仿宋" w:eastAsia="仿宋" w:cs="仿宋"/>
              </w:rPr>
              <w:t>HIV诊断试剂</w:t>
            </w:r>
            <w:r>
              <w:rPr>
                <w:rFonts w:hint="eastAsia" w:ascii="仿宋" w:hAnsi="仿宋" w:eastAsia="仿宋" w:cs="仿宋"/>
                <w:szCs w:val="24"/>
              </w:rPr>
              <w:br w:type="textWrapping"/>
            </w:r>
            <w:r>
              <w:rPr>
                <w:rFonts w:hint="eastAsia" w:ascii="仿宋" w:hAnsi="仿宋" w:eastAsia="仿宋" w:cs="仿宋"/>
                <w:szCs w:val="24"/>
              </w:rPr>
              <w:t>     数量:不限</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rPr>
              <w:t>478080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备注：无。</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标项</w:t>
            </w:r>
            <w:r>
              <w:rPr>
                <w:rFonts w:hint="eastAsia" w:ascii="仿宋" w:hAnsi="仿宋" w:eastAsia="仿宋" w:cs="仿宋"/>
                <w:szCs w:val="24"/>
                <w:lang w:eastAsia="zh-CN"/>
              </w:rPr>
              <w:t>五</w:t>
            </w:r>
            <w:r>
              <w:rPr>
                <w:rFonts w:hint="eastAsia" w:ascii="仿宋" w:hAnsi="仿宋" w:eastAsia="仿宋" w:cs="仿宋"/>
                <w:szCs w:val="24"/>
              </w:rPr>
              <w:t>:</w:t>
            </w:r>
            <w:r>
              <w:rPr>
                <w:rFonts w:hint="eastAsia" w:ascii="仿宋" w:hAnsi="仿宋" w:eastAsia="仿宋" w:cs="仿宋"/>
                <w:szCs w:val="24"/>
              </w:rPr>
              <w:br w:type="textWrapping"/>
            </w:r>
            <w:r>
              <w:rPr>
                <w:rFonts w:hint="eastAsia" w:ascii="仿宋" w:hAnsi="仿宋" w:eastAsia="仿宋" w:cs="仿宋"/>
                <w:szCs w:val="24"/>
              </w:rPr>
              <w:t>     标项名称:</w:t>
            </w:r>
            <w:r>
              <w:rPr>
                <w:rFonts w:hint="eastAsia" w:ascii="仿宋" w:hAnsi="仿宋" w:eastAsia="仿宋" w:cs="仿宋"/>
              </w:rPr>
              <w:t>丙肝诊断试剂</w:t>
            </w:r>
            <w:r>
              <w:rPr>
                <w:rFonts w:hint="eastAsia" w:ascii="仿宋" w:hAnsi="仿宋" w:eastAsia="仿宋" w:cs="仿宋"/>
                <w:szCs w:val="24"/>
              </w:rPr>
              <w:br w:type="textWrapping"/>
            </w:r>
            <w:r>
              <w:rPr>
                <w:rFonts w:hint="eastAsia" w:ascii="仿宋" w:hAnsi="仿宋" w:eastAsia="仿宋" w:cs="仿宋"/>
                <w:szCs w:val="24"/>
              </w:rPr>
              <w:t>     数量:不限</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rPr>
              <w:t>1267200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备注：无。</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本项目（否）接受联合体投标。</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二、申请人的资格要求：</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rPr>
            </w:pPr>
            <w:r>
              <w:rPr>
                <w:rFonts w:hint="eastAsia" w:ascii="仿宋" w:hAnsi="仿宋" w:eastAsia="仿宋" w:cs="仿宋"/>
                <w:color w:val="auto"/>
                <w:kern w:val="0"/>
                <w:sz w:val="24"/>
              </w:rPr>
              <w:t>2.落实政府采购政策需满足的资格要求：无。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3.本项目的特定资格要求：</w:t>
            </w:r>
            <w:r>
              <w:rPr>
                <w:rFonts w:hint="eastAsia" w:ascii="仿宋" w:hAnsi="仿宋" w:eastAsia="仿宋" w:cs="仿宋"/>
                <w:bCs/>
                <w:color w:val="auto"/>
                <w:sz w:val="24"/>
              </w:rPr>
              <w:t>具有与本项目相适应的生产或经营资质：具有《医疗器械生产许可证》或《医疗器械经营许可证》，《医疗器械注册证》和《医疗器械注册登记表》</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时间：</w:t>
            </w:r>
            <w:r>
              <w:rPr>
                <w:rFonts w:hint="eastAsia" w:ascii="仿宋" w:hAnsi="仿宋" w:eastAsia="仿宋" w:cs="仿宋"/>
                <w:bCs/>
                <w:color w:val="auto"/>
                <w:kern w:val="0"/>
                <w:sz w:val="24"/>
              </w:rPr>
              <w:t>/</w:t>
            </w:r>
            <w:r>
              <w:rPr>
                <w:rFonts w:hint="eastAsia" w:ascii="仿宋" w:hAnsi="仿宋" w:eastAsia="仿宋" w:cs="仿宋"/>
                <w:color w:val="auto"/>
                <w:kern w:val="0"/>
                <w:sz w:val="24"/>
              </w:rPr>
              <w:t> 至202</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地点（网址）：</w:t>
            </w:r>
            <w:r>
              <w:rPr>
                <w:rFonts w:hint="eastAsia" w:ascii="仿宋" w:hAnsi="仿宋" w:eastAsia="仿宋" w:cs="仿宋"/>
                <w:bCs/>
                <w:color w:val="auto"/>
                <w:kern w:val="0"/>
                <w:sz w:val="24"/>
              </w:rPr>
              <w:t>http://www.zcygov.cn/</w:t>
            </w:r>
            <w:r>
              <w:rPr>
                <w:rFonts w:hint="eastAsia"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方式：</w:t>
            </w:r>
            <w:r>
              <w:rPr>
                <w:rFonts w:hint="eastAsia" w:ascii="仿宋" w:hAnsi="仿宋" w:eastAsia="仿宋" w:cs="仿宋"/>
                <w:bCs/>
                <w:color w:val="auto"/>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售价（元）：0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提交投标文件截止时间：202</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日09:00（北京时间）</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投标地点（网址）：</w:t>
            </w:r>
            <w:r>
              <w:rPr>
                <w:rFonts w:hint="eastAsia" w:ascii="仿宋" w:hAnsi="仿宋" w:eastAsia="仿宋" w:cs="仿宋"/>
                <w:bCs/>
                <w:color w:val="auto"/>
                <w:kern w:val="0"/>
                <w:sz w:val="24"/>
              </w:rPr>
              <w:t>http://www.zcygov.cn/</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开标时间：202</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日09:00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开标地点（网址）：绍兴市迪荡新城惠利街20号鼎盛时代大厦四楼绍兴市公共资源交易中心415室。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w:t>
            </w:r>
            <w:r>
              <w:rPr>
                <w:rFonts w:hint="eastAsia" w:ascii="仿宋" w:hAnsi="仿宋" w:eastAsia="仿宋" w:cs="仿宋"/>
                <w:bCs/>
                <w:sz w:val="24"/>
              </w:rPr>
              <w:t>绍兴市中心血站</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地址：绍兴市越城区胜利西路1234号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项目联系人（询问）：单华奇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w:t>
            </w:r>
            <w:r>
              <w:rPr>
                <w:rFonts w:hint="eastAsia" w:ascii="仿宋" w:hAnsi="仿宋" w:eastAsia="仿宋" w:cs="仿宋"/>
                <w:sz w:val="24"/>
              </w:rPr>
              <w:t>0575-</w:t>
            </w:r>
            <w:r>
              <w:rPr>
                <w:rFonts w:hint="eastAsia" w:ascii="仿宋" w:hAnsi="仿宋" w:eastAsia="仿宋" w:cs="仿宋"/>
                <w:bCs/>
                <w:sz w:val="24"/>
              </w:rPr>
              <w:t>88137015</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质疑联系人：单华奇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w:t>
            </w:r>
            <w:r>
              <w:rPr>
                <w:rFonts w:hint="eastAsia" w:ascii="仿宋" w:hAnsi="仿宋" w:eastAsia="仿宋" w:cs="仿宋"/>
                <w:sz w:val="24"/>
              </w:rPr>
              <w:t>0575-</w:t>
            </w:r>
            <w:r>
              <w:rPr>
                <w:rFonts w:hint="eastAsia" w:ascii="仿宋" w:hAnsi="仿宋" w:eastAsia="仿宋" w:cs="仿宋"/>
                <w:bCs/>
                <w:sz w:val="24"/>
              </w:rPr>
              <w:t>88137015</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项目联系人（询问）：阮建宏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9</w:t>
            </w:r>
          </w:p>
        </w:tc>
        <w:tc>
          <w:tcPr>
            <w:tcW w:w="855" w:type="dxa"/>
            <w:vAlign w:val="center"/>
          </w:tcPr>
          <w:p>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7516" w:type="dxa"/>
            <w:vAlign w:val="center"/>
          </w:tcPr>
          <w:p>
            <w:pPr>
              <w:snapToGrid w:val="0"/>
              <w:spacing w:line="288" w:lineRule="auto"/>
              <w:rPr>
                <w:rFonts w:ascii="仿宋" w:hAnsi="仿宋" w:eastAsia="仿宋" w:cs="仿宋"/>
                <w:b/>
                <w:color w:val="auto"/>
                <w:sz w:val="24"/>
              </w:rPr>
            </w:pPr>
            <w:r>
              <w:rPr>
                <w:rFonts w:hint="eastAsia" w:ascii="仿宋" w:hAnsi="仿宋" w:eastAsia="仿宋" w:cs="仿宋"/>
                <w:color w:val="auto"/>
                <w:sz w:val="24"/>
              </w:rPr>
              <w:t>本项目</w:t>
            </w:r>
            <w:r>
              <w:rPr>
                <w:rFonts w:hint="eastAsia" w:ascii="仿宋" w:hAnsi="仿宋" w:eastAsia="仿宋" w:cs="仿宋"/>
                <w:color w:val="auto"/>
                <w:sz w:val="24"/>
                <w:lang w:val="en-US" w:eastAsia="zh-CN"/>
              </w:rPr>
              <w:t>允许采购进口产品</w:t>
            </w:r>
            <w:r>
              <w:rPr>
                <w:rFonts w:hint="eastAsia" w:ascii="仿宋" w:hAnsi="仿宋" w:eastAsia="仿宋" w:cs="仿宋"/>
                <w:color w:val="auto"/>
                <w:sz w:val="24"/>
              </w:rPr>
              <w:t>，供应商所提供的货物和服务须在我国境内合法生产、销售。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2"/>
                <w:rFonts w:hint="eastAsia" w:ascii="仿宋" w:hAnsi="仿宋" w:eastAsia="仿宋" w:cs="仿宋"/>
                <w:color w:val="auto"/>
                <w:sz w:val="24"/>
              </w:rPr>
              <w:t>https://help.zcygov.cn/web/site_2/2018/12-28/2573.html</w:t>
            </w:r>
            <w:r>
              <w:rPr>
                <w:rStyle w:val="32"/>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color w:val="auto"/>
                <w:sz w:val="24"/>
              </w:rPr>
            </w:pPr>
            <w:r>
              <w:rPr>
                <w:rFonts w:hint="eastAsia" w:ascii="仿宋" w:hAnsi="仿宋" w:eastAsia="仿宋" w:cs="仿宋"/>
                <w:color w:val="auto"/>
                <w:sz w:val="24"/>
              </w:rPr>
              <w:t>15</w:t>
            </w:r>
          </w:p>
        </w:tc>
        <w:tc>
          <w:tcPr>
            <w:tcW w:w="8371" w:type="dxa"/>
            <w:gridSpan w:val="2"/>
            <w:vAlign w:val="center"/>
          </w:tcPr>
          <w:p>
            <w:pPr>
              <w:snapToGrid w:val="0"/>
              <w:spacing w:line="288" w:lineRule="auto"/>
              <w:rPr>
                <w:rFonts w:ascii="仿宋" w:hAnsi="仿宋" w:eastAsia="仿宋" w:cs="仿宋"/>
                <w:color w:val="auto"/>
                <w:sz w:val="24"/>
              </w:rPr>
            </w:pPr>
            <w:r>
              <w:rPr>
                <w:rFonts w:hint="eastAsia" w:ascii="仿宋" w:hAnsi="仿宋" w:eastAsia="仿宋" w:cs="仿宋"/>
                <w:color w:val="auto"/>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其他：代理服务费</w:t>
            </w:r>
          </w:p>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numPr>
                <w:ilvl w:val="0"/>
                <w:numId w:val="6"/>
              </w:numPr>
              <w:spacing w:line="340" w:lineRule="exact"/>
              <w:rPr>
                <w:rFonts w:ascii="仿宋" w:hAnsi="仿宋" w:eastAsia="仿宋" w:cs="仿宋"/>
                <w:sz w:val="24"/>
              </w:rPr>
            </w:pPr>
            <w:r>
              <w:rPr>
                <w:rFonts w:hint="eastAsia" w:ascii="仿宋" w:hAnsi="仿宋" w:eastAsia="仿宋" w:cs="仿宋"/>
                <w:sz w:val="24"/>
              </w:rPr>
              <w:t>以中标通知中确定的中标总金额作为服务费的计算基数，收费标准参照《国家计委关于印发&lt;招标代理服务收费管理暂行办法&gt;的通知》（计价格[2002]1980号）的</w:t>
            </w:r>
            <w:r>
              <w:rPr>
                <w:rFonts w:hint="eastAsia" w:ascii="仿宋" w:hAnsi="仿宋" w:eastAsia="仿宋" w:cs="仿宋"/>
                <w:sz w:val="24"/>
                <w:u w:val="single"/>
              </w:rPr>
              <w:t>五折</w:t>
            </w:r>
            <w:r>
              <w:rPr>
                <w:rFonts w:hint="eastAsia" w:ascii="仿宋" w:hAnsi="仿宋" w:eastAsia="仿宋" w:cs="仿宋"/>
                <w:sz w:val="24"/>
              </w:rPr>
              <w:t>收取。</w:t>
            </w:r>
          </w:p>
          <w:p>
            <w:pPr>
              <w:numPr>
                <w:ilvl w:val="0"/>
                <w:numId w:val="6"/>
              </w:numPr>
              <w:spacing w:line="340" w:lineRule="exact"/>
              <w:rPr>
                <w:rFonts w:ascii="仿宋" w:hAnsi="仿宋" w:eastAsia="仿宋" w:cs="仿宋"/>
                <w:sz w:val="24"/>
              </w:rPr>
            </w:pPr>
            <w:r>
              <w:rPr>
                <w:rFonts w:hint="eastAsia" w:ascii="仿宋" w:hAnsi="仿宋" w:eastAsia="仿宋" w:cs="仿宋"/>
                <w:sz w:val="24"/>
              </w:rPr>
              <w:t>收费标准：中标金额在100万以下部分为1.5%，100万-500万部分为1.1%。</w:t>
            </w:r>
          </w:p>
          <w:p>
            <w:pPr>
              <w:spacing w:line="340" w:lineRule="exact"/>
              <w:rPr>
                <w:rFonts w:ascii="仿宋" w:hAnsi="仿宋" w:eastAsia="仿宋" w:cs="仿宋"/>
                <w:sz w:val="24"/>
              </w:rPr>
            </w:pPr>
            <w:r>
              <w:rPr>
                <w:rFonts w:hint="eastAsia" w:ascii="仿宋" w:hAnsi="仿宋" w:eastAsia="仿宋" w:cs="仿宋"/>
                <w:sz w:val="24"/>
              </w:rPr>
              <w:t>（2）代理服务费的交纳方式：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sz w:val="24"/>
        </w:rPr>
      </w:pPr>
      <w:r>
        <w:rPr>
          <w:rFonts w:hint="eastAsia" w:ascii="仿宋" w:hAnsi="仿宋" w:eastAsia="仿宋" w:cs="仿宋"/>
          <w:b/>
          <w:bCs/>
          <w:sz w:val="24"/>
        </w:rPr>
        <w:t>1. 项目说明</w:t>
      </w:r>
    </w:p>
    <w:p>
      <w:pPr>
        <w:snapToGrid w:val="0"/>
        <w:spacing w:line="284"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hint="eastAsia" w:ascii="仿宋" w:hAnsi="仿宋" w:eastAsia="仿宋" w:cs="仿宋"/>
          <w:b/>
          <w:sz w:val="24"/>
        </w:rPr>
        <w:t>2.定义</w:t>
      </w:r>
    </w:p>
    <w:p>
      <w:pPr>
        <w:snapToGrid w:val="0"/>
        <w:spacing w:line="288" w:lineRule="auto"/>
        <w:jc w:val="left"/>
        <w:rPr>
          <w:rFonts w:ascii="仿宋" w:hAnsi="仿宋" w:eastAsia="仿宋" w:cs="仿宋"/>
          <w:sz w:val="24"/>
        </w:rPr>
      </w:pPr>
      <w:r>
        <w:rPr>
          <w:rFonts w:hint="eastAsia" w:ascii="仿宋" w:hAnsi="仿宋" w:eastAsia="仿宋" w:cs="仿宋"/>
          <w:sz w:val="24"/>
        </w:rPr>
        <w:t>2.1政府采购当事人及监管部门：绍兴市中心血站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2.5“授权代表”系指法定代表人的被授权委托人。</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节能环保要求</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小型、微型</w:t>
      </w:r>
      <w:r>
        <w:rPr>
          <w:rFonts w:hint="eastAsia" w:ascii="仿宋" w:hAnsi="仿宋" w:eastAsia="仿宋" w:cs="仿宋"/>
          <w:color w:val="000000" w:themeColor="text1"/>
          <w:sz w:val="24"/>
          <w14:textFill>
            <w14:solidFill>
              <w14:schemeClr w14:val="tx1"/>
            </w14:solidFill>
          </w14:textFill>
        </w:rPr>
        <w:t>企业价格扣除。</w:t>
      </w:r>
    </w:p>
    <w:p>
      <w:pPr>
        <w:spacing w:line="288"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w:t>
      </w:r>
      <w:r>
        <w:rPr>
          <w:rFonts w:hint="eastAsia" w:ascii="仿宋" w:hAnsi="仿宋" w:eastAsia="仿宋" w:cs="仿宋"/>
          <w:bCs/>
          <w:color w:val="000000" w:themeColor="text1"/>
          <w:sz w:val="24"/>
          <w14:textFill>
            <w14:solidFill>
              <w14:schemeClr w14:val="tx1"/>
            </w14:solidFill>
          </w14:textFill>
        </w:rPr>
        <w:t>小型、微型企业应当同时符合以下条件：</w:t>
      </w:r>
    </w:p>
    <w:p>
      <w:pPr>
        <w:spacing w:line="288"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（1）符合中小企业划分标准；</w:t>
      </w:r>
    </w:p>
    <w:p>
      <w:pPr>
        <w:spacing w:line="288"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r>
        <w:rPr>
          <w:rFonts w:hint="eastAsia" w:ascii="仿宋" w:hAnsi="仿宋" w:eastAsia="仿宋" w:cs="仿宋"/>
          <w:b/>
          <w:bCs/>
          <w:color w:val="000000" w:themeColor="text1"/>
          <w:sz w:val="24"/>
          <w14:textFill>
            <w14:solidFill>
              <w14:schemeClr w14:val="tx1"/>
            </w14:solidFill>
          </w14:textFill>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3.3.2小型、微型企业应按照招标文件格式要求提供《中小企业声明函》。</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3.3.3对于非专门面向此类企业的项目，对小型和微型企业产品的投标价格给予6 %的扣除，用扣除后的价格参与评审。</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联合体各方均为小型、微型企业的，联合体视同为小型、微型企业。</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3.3.5符合《关于促进残疾人就业政府采购政策的通知》（财库〔2017〕141号）规定的条件并提供《残疾人福利性单位声明函》（附件1）的残疾人福利性单位视同小型、微型企业；</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b/>
          <w:sz w:val="36"/>
          <w:szCs w:val="36"/>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三、投标文件</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1.投标文件的语言、计量单位、形式及效力</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288" w:lineRule="auto"/>
        <w:ind w:firstLine="472" w:firstLineChars="196"/>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2.投标文件的组成</w:t>
      </w:r>
    </w:p>
    <w:p>
      <w:pPr>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投标文件由“报价文件资料”、“商务技术（资信）文件资料”两部分组成，其中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“报价文件资料”应包含以下内容：</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2.1.1投标响应函（格式见第六部分附件）； </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2.1.2开标一览表（格式见第六部分附件）；</w:t>
      </w:r>
    </w:p>
    <w:p>
      <w:pPr>
        <w:pStyle w:val="15"/>
        <w:spacing w:line="288" w:lineRule="auto"/>
        <w:ind w:left="0" w:leftChars="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2.1.3小微企业声明函及证明资料（如有，格式见第六部分附件）；</w:t>
      </w:r>
    </w:p>
    <w:p>
      <w:pPr>
        <w:pStyle w:val="15"/>
        <w:spacing w:line="288" w:lineRule="auto"/>
        <w:ind w:left="0" w:leftChars="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“商务技术（资信）文件资料”应包括以下内容（正本用原件）：</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2.2.1法定代表人授权委托书(格式见第六部分附件)；</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2.2.2授权代表社保证明（格式见第六部分附件）；</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2.2.3法定代表人身份证明书（格式见第六部分附件）；</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 企业法人营业执照副本复印件（加盖单位公章）；</w:t>
      </w:r>
    </w:p>
    <w:p>
      <w:pPr>
        <w:snapToGrid w:val="0"/>
        <w:spacing w:line="288" w:lineRule="auto"/>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2.2.5相关资质证明或文件复印件（加盖单位公章）；（均需加盖公章）：</w:t>
      </w:r>
      <w:r>
        <w:rPr>
          <w:rFonts w:hint="eastAsia" w:ascii="仿宋" w:hAnsi="仿宋" w:eastAsia="仿宋" w:cs="仿宋"/>
          <w:color w:val="000000" w:themeColor="text1"/>
          <w:kern w:val="0"/>
          <w:sz w:val="24"/>
          <w14:textFill>
            <w14:solidFill>
              <w14:schemeClr w14:val="tx1"/>
            </w14:solidFill>
          </w14:textFill>
        </w:rPr>
        <w:t>证明其符合《中华人民共和国政府采购法》规定的供应商基本条件和采购项目对供应商的特定要求</w:t>
      </w:r>
      <w:r>
        <w:rPr>
          <w:rFonts w:hint="eastAsia" w:ascii="仿宋" w:hAnsi="仿宋" w:eastAsia="仿宋" w:cs="仿宋"/>
          <w:color w:val="000000" w:themeColor="text1"/>
          <w:sz w:val="24"/>
          <w14:textFill>
            <w14:solidFill>
              <w14:schemeClr w14:val="tx1"/>
            </w14:solidFill>
          </w14:textFill>
        </w:rPr>
        <w:t>（如果项目要求）</w:t>
      </w:r>
      <w:r>
        <w:rPr>
          <w:rFonts w:hint="eastAsia" w:ascii="仿宋" w:hAnsi="仿宋" w:eastAsia="仿宋" w:cs="仿宋"/>
          <w:color w:val="000000" w:themeColor="text1"/>
          <w:kern w:val="0"/>
          <w:sz w:val="24"/>
          <w14:textFill>
            <w14:solidFill>
              <w14:schemeClr w14:val="tx1"/>
            </w14:solidFill>
          </w14:textFill>
        </w:rPr>
        <w:t>的有关资格证明文件。</w:t>
      </w:r>
    </w:p>
    <w:p>
      <w:pPr>
        <w:pStyle w:val="14"/>
        <w:spacing w:line="288" w:lineRule="auto"/>
        <w:ind w:firstLine="480" w:firstLineChars="200"/>
        <w:jc w:val="left"/>
        <w:rPr>
          <w:rFonts w:ascii="仿宋" w:hAnsi="仿宋" w:eastAsia="仿宋" w:cs="仿宋"/>
          <w:color w:val="000000" w:themeColor="text1"/>
          <w:sz w:val="24"/>
          <w14:textFill>
            <w14:solidFill>
              <w14:schemeClr w14:val="tx1"/>
            </w14:solidFill>
          </w14:textFill>
        </w:rPr>
      </w:pPr>
      <w:bookmarkStart w:id="0" w:name="_Hlt68073093"/>
      <w:bookmarkEnd w:id="0"/>
      <w:bookmarkStart w:id="1" w:name="_Hlt68072998"/>
      <w:bookmarkEnd w:id="1"/>
      <w:bookmarkStart w:id="2" w:name="_Hlt68403820"/>
      <w:bookmarkEnd w:id="2"/>
      <w:r>
        <w:rPr>
          <w:rFonts w:hint="eastAsia" w:ascii="仿宋" w:hAnsi="仿宋" w:eastAsia="仿宋" w:cs="仿宋"/>
          <w:color w:val="000000" w:themeColor="text1"/>
          <w:sz w:val="24"/>
          <w14:textFill>
            <w14:solidFill>
              <w14:schemeClr w14:val="tx1"/>
            </w14:solidFill>
          </w14:textFill>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4"/>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（2）2019年度资产负债表等财</w:t>
      </w:r>
      <w:r>
        <w:rPr>
          <w:rFonts w:hint="eastAsia" w:ascii="仿宋" w:hAnsi="仿宋" w:eastAsia="仿宋" w:cs="仿宋"/>
          <w:color w:val="000000" w:themeColor="text1"/>
          <w:sz w:val="24"/>
          <w14:textFill>
            <w14:solidFill>
              <w14:schemeClr w14:val="tx1"/>
            </w14:solidFill>
          </w14:textFill>
        </w:rPr>
        <w:t>务报表资料文件(新成立的公司提供情况证明)；</w:t>
      </w:r>
    </w:p>
    <w:p>
      <w:pPr>
        <w:pStyle w:val="14"/>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（3）具有履行合同所必需的设备和专业技术能力的承诺函；</w:t>
      </w:r>
    </w:p>
    <w:p>
      <w:pPr>
        <w:spacing w:line="288" w:lineRule="auto"/>
        <w:ind w:firstLine="480" w:firstLineChars="200"/>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（4）参加本次政府采购活动前三年内，在经营活动中没有重大违法记录的声明（</w:t>
      </w:r>
      <w:r>
        <w:rPr>
          <w:rFonts w:hint="eastAsia" w:ascii="仿宋" w:hAnsi="仿宋" w:eastAsia="仿宋" w:cs="仿宋"/>
          <w:color w:val="000000" w:themeColor="text1"/>
          <w:sz w:val="24"/>
          <w:szCs w:val="20"/>
          <w14:textFill>
            <w14:solidFill>
              <w14:schemeClr w14:val="tx1"/>
            </w14:solidFill>
          </w14:textFill>
        </w:rPr>
        <w:t>需要特别声明“没有因违反《浙江省政府采购供应商注册及诚信管理暂行办法》被列入‘黑名单’，在处罚有效期”）；</w:t>
      </w:r>
    </w:p>
    <w:p>
      <w:pPr>
        <w:spacing w:line="288" w:lineRule="auto"/>
        <w:ind w:firstLine="480" w:firstLineChars="200"/>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jc w:val="left"/>
        <w:rPr>
          <w:rFonts w:ascii="仿宋" w:hAnsi="仿宋" w:eastAsia="仿宋" w:cs="仿宋"/>
          <w:color w:val="000000" w:themeColor="text1"/>
          <w:sz w:val="24"/>
          <w:szCs w:val="20"/>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szCs w:val="20"/>
          <w14:textFill>
            <w14:solidFill>
              <w14:schemeClr w14:val="tx1"/>
            </w14:solidFill>
          </w14:textFill>
        </w:rPr>
        <w:t>提供依法缴纳税收和社会保障资金的良好记录证明，税收和社保证明打印时间不得早于投标截止时间前1个月；</w:t>
      </w:r>
    </w:p>
    <w:p>
      <w:pPr>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w:t>
      </w:r>
      <w:r>
        <w:rPr>
          <w:rFonts w:hint="eastAsia" w:ascii="仿宋" w:hAnsi="仿宋" w:eastAsia="仿宋" w:cs="仿宋"/>
          <w:color w:val="000000" w:themeColor="text1"/>
          <w:sz w:val="24"/>
          <w14:textFill>
            <w14:solidFill>
              <w14:schemeClr w14:val="tx1"/>
            </w14:solidFill>
          </w14:textFill>
        </w:rPr>
        <w:t>)符合特定资格条件（如果项目要求）的有关证明材料（复印件）；</w:t>
      </w:r>
    </w:p>
    <w:p>
      <w:pPr>
        <w:pStyle w:val="14"/>
        <w:snapToGrid w:val="0"/>
        <w:spacing w:line="288" w:lineRule="auto"/>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w:t>
      </w:r>
      <w:r>
        <w:rPr>
          <w:rFonts w:hint="eastAsia" w:ascii="仿宋" w:hAnsi="仿宋" w:eastAsia="仿宋" w:cs="仿宋"/>
          <w:color w:val="000000" w:themeColor="text1"/>
          <w:sz w:val="24"/>
          <w:lang w:val="zh-CN"/>
          <w14:textFill>
            <w14:solidFill>
              <w14:schemeClr w14:val="tx1"/>
            </w14:solidFill>
          </w14:textFill>
        </w:rPr>
        <w:t>投标人应提供针对项目的完整技术解决方案：</w:t>
      </w:r>
    </w:p>
    <w:p>
      <w:pPr>
        <w:snapToGrid w:val="0"/>
        <w:spacing w:line="288"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如果本项目涉及硬件设备采购，还需提供相关设备完整配置方案（设备名称、品牌、规格型号、数量、主要技术参数等）</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提供主要投标产品的技术参数证明材料（如原厂技术说明、官网截图、产品彩页等），</w:t>
      </w:r>
      <w:r>
        <w:rPr>
          <w:rFonts w:hint="eastAsia" w:ascii="仿宋" w:hAnsi="仿宋" w:eastAsia="仿宋" w:cs="仿宋"/>
          <w:color w:val="000000" w:themeColor="text1"/>
          <w:sz w:val="24"/>
          <w14:textFill>
            <w14:solidFill>
              <w14:schemeClr w14:val="tx1"/>
            </w14:solidFill>
          </w14:textFill>
        </w:rPr>
        <w:t>明确表示该项指标所涉及的软硬件是标准配置还是选择配置</w:t>
      </w:r>
      <w:r>
        <w:rPr>
          <w:rFonts w:hint="eastAsia" w:ascii="仿宋" w:hAnsi="仿宋" w:eastAsia="仿宋" w:cs="仿宋"/>
          <w:b/>
          <w:color w:val="000000" w:themeColor="text1"/>
          <w:sz w:val="24"/>
          <w14:textFill>
            <w14:solidFill>
              <w14:schemeClr w14:val="tx1"/>
            </w14:solidFill>
          </w14:textFill>
        </w:rPr>
        <w:t>（所有技术指标表述均应采用中文，如当前公布的技术指标只有英文表述的，必须由投标人作出中文注释，否则</w:t>
      </w:r>
      <w:r>
        <w:rPr>
          <w:rFonts w:hint="eastAsia" w:ascii="仿宋" w:hAnsi="仿宋" w:eastAsia="仿宋" w:cs="仿宋"/>
          <w:b/>
          <w:color w:val="000000" w:themeColor="text1"/>
          <w:kern w:val="0"/>
          <w:sz w:val="24"/>
          <w:lang w:val="zh-CN"/>
          <w14:textFill>
            <w14:solidFill>
              <w14:schemeClr w14:val="tx1"/>
            </w14:solidFill>
          </w14:textFill>
        </w:rPr>
        <w:t>任何含糊不清的</w:t>
      </w:r>
      <w:r>
        <w:rPr>
          <w:rFonts w:hint="eastAsia" w:ascii="仿宋" w:hAnsi="仿宋" w:eastAsia="仿宋" w:cs="仿宋"/>
          <w:b/>
          <w:color w:val="000000" w:themeColor="text1"/>
          <w:sz w:val="24"/>
          <w14:textFill>
            <w14:solidFill>
              <w14:schemeClr w14:val="tx1"/>
            </w14:solidFill>
          </w14:textFill>
        </w:rPr>
        <w:t>表述导致</w:t>
      </w:r>
      <w:r>
        <w:rPr>
          <w:rFonts w:hint="eastAsia" w:ascii="仿宋" w:hAnsi="仿宋" w:eastAsia="仿宋" w:cs="仿宋"/>
          <w:b/>
          <w:color w:val="000000" w:themeColor="text1"/>
          <w:kern w:val="0"/>
          <w:sz w:val="24"/>
          <w:lang w:val="zh-CN"/>
          <w14:textFill>
            <w14:solidFill>
              <w14:schemeClr w14:val="tx1"/>
            </w14:solidFill>
          </w14:textFill>
        </w:rPr>
        <w:t>评标委员会技术扣分直至认定为投标无效都将是投标人的责任）</w:t>
      </w:r>
      <w:r>
        <w:rPr>
          <w:rFonts w:hint="eastAsia" w:ascii="仿宋" w:hAnsi="仿宋" w:eastAsia="仿宋" w:cs="仿宋"/>
          <w:color w:val="000000" w:themeColor="text1"/>
          <w:sz w:val="24"/>
          <w14:textFill>
            <w14:solidFill>
              <w14:schemeClr w14:val="tx1"/>
            </w14:solidFill>
          </w14:textFill>
        </w:rPr>
        <w:t>。</w:t>
      </w:r>
    </w:p>
    <w:p>
      <w:pPr>
        <w:tabs>
          <w:tab w:val="left" w:pos="3870"/>
          <w:tab w:val="left" w:pos="4085"/>
        </w:tabs>
        <w:snapToGrid w:val="0"/>
        <w:spacing w:line="288" w:lineRule="auto"/>
        <w:ind w:firstLine="470"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2.2.9</w:t>
      </w:r>
      <w:r>
        <w:rPr>
          <w:rFonts w:hint="eastAsia" w:ascii="仿宋" w:hAnsi="仿宋" w:eastAsia="仿宋" w:cs="仿宋"/>
          <w:color w:val="000000" w:themeColor="text1"/>
          <w:sz w:val="24"/>
          <w14:textFill>
            <w14:solidFill>
              <w14:schemeClr w14:val="tx1"/>
            </w14:solidFill>
          </w14:textFill>
        </w:rPr>
        <w:t>投标人在投标文件技术偏离说明表中，</w:t>
      </w:r>
      <w:r>
        <w:rPr>
          <w:rFonts w:hint="eastAsia" w:ascii="仿宋" w:hAnsi="仿宋" w:eastAsia="仿宋" w:cs="仿宋"/>
          <w:color w:val="000000" w:themeColor="text1"/>
          <w:kern w:val="0"/>
          <w:sz w:val="24"/>
          <w:lang w:val="zh-CN"/>
          <w14:textFill>
            <w14:solidFill>
              <w14:schemeClr w14:val="tx1"/>
            </w14:solidFill>
          </w14:textFill>
        </w:rPr>
        <w:t>应对</w:t>
      </w:r>
      <w:r>
        <w:rPr>
          <w:rFonts w:hint="eastAsia" w:ascii="仿宋" w:hAnsi="仿宋" w:eastAsia="仿宋" w:cs="仿宋"/>
          <w:color w:val="000000" w:themeColor="text1"/>
          <w:sz w:val="24"/>
          <w14:textFill>
            <w14:solidFill>
              <w14:schemeClr w14:val="tx1"/>
            </w14:solidFill>
          </w14:textFill>
        </w:rPr>
        <w:t>项目技术规范和服务要求</w:t>
      </w:r>
      <w:r>
        <w:rPr>
          <w:rFonts w:hint="eastAsia" w:ascii="仿宋" w:hAnsi="仿宋" w:eastAsia="仿宋" w:cs="仿宋"/>
          <w:color w:val="000000" w:themeColor="text1"/>
          <w:kern w:val="0"/>
          <w:sz w:val="24"/>
          <w:lang w:val="zh-CN"/>
          <w14:textFill>
            <w14:solidFill>
              <w14:schemeClr w14:val="tx1"/>
            </w14:solidFill>
          </w14:textFill>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2.2.14培训计划；（如果有）</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2.2.15验收方案；</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未尽事宜请各投标单位按评分细则和相对应标项相关要求制作(重要)</w:t>
      </w:r>
      <w:r>
        <w:rPr>
          <w:rFonts w:hint="eastAsia" w:ascii="仿宋" w:hAnsi="仿宋" w:eastAsia="仿宋" w:cs="仿宋"/>
          <w:color w:val="000000" w:themeColor="text1"/>
          <w:sz w:val="24"/>
          <w14:textFill>
            <w14:solidFill>
              <w14:schemeClr w14:val="tx1"/>
            </w14:solidFill>
          </w14:textFill>
        </w:rPr>
        <w:t>；</w:t>
      </w:r>
    </w:p>
    <w:p>
      <w:pPr>
        <w:snapToGrid w:val="0"/>
        <w:spacing w:line="288"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2.2.18投标人需要说明的其他文件和说明（格式自拟）。</w:t>
      </w:r>
    </w:p>
    <w:p>
      <w:pPr>
        <w:snapToGrid w:val="0"/>
        <w:spacing w:line="288"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3.投标报价</w:t>
      </w:r>
    </w:p>
    <w:p>
      <w:pPr>
        <w:pStyle w:val="14"/>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3.1投标人应按招标文件中《开标一览表》等附表要求填写。</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w:t>
      </w:r>
      <w:r>
        <w:rPr>
          <w:rFonts w:hint="eastAsia" w:ascii="仿宋" w:hAnsi="仿宋" w:eastAsia="仿宋" w:cs="仿宋"/>
          <w:b/>
          <w:i/>
          <w:color w:val="000000" w:themeColor="text1"/>
          <w:sz w:val="24"/>
          <w14:textFill>
            <w14:solidFill>
              <w14:schemeClr w14:val="tx1"/>
            </w14:solidFill>
          </w14:textFill>
        </w:rPr>
        <w:t>投标报价只允许有一个报价，有选择的报价将不予接受（除指定外）。</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4.投标文件的有效期</w:t>
      </w:r>
    </w:p>
    <w:p>
      <w:pPr>
        <w:pStyle w:val="14"/>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4.1投标有效期为从提交投标文件的截止之日起90天。</w:t>
      </w:r>
      <w:r>
        <w:rPr>
          <w:rFonts w:hint="eastAsia" w:ascii="仿宋" w:hAnsi="仿宋" w:eastAsia="仿宋" w:cs="仿宋"/>
          <w:b/>
          <w:bCs/>
          <w:color w:val="000000" w:themeColor="text1"/>
          <w:sz w:val="24"/>
          <w14:textFill>
            <w14:solidFill>
              <w14:schemeClr w14:val="tx1"/>
            </w14:solidFill>
          </w14:textFill>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5.投标文件的规定</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5.4投标文件因字迹潦草或表达不清所引起的后果由投标人负责。</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6.投标文件的提交</w:t>
      </w:r>
    </w:p>
    <w:p>
      <w:pPr>
        <w:snapToGrid w:val="0"/>
        <w:spacing w:line="288" w:lineRule="auto"/>
        <w:ind w:firstLine="480"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投标人应按“招标公告”规定的时间、方式将投标文件提交给采购代理机构，</w:t>
      </w:r>
      <w:r>
        <w:rPr>
          <w:rFonts w:hint="eastAsia" w:ascii="仿宋" w:hAnsi="仿宋" w:eastAsia="仿宋" w:cs="仿宋"/>
          <w:b/>
          <w:color w:val="000000" w:themeColor="text1"/>
          <w:sz w:val="24"/>
          <w14:textFill>
            <w14:solidFill>
              <w14:schemeClr w14:val="tx1"/>
            </w14:solidFill>
          </w14:textFill>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w:t>
      </w:r>
      <w:r>
        <w:rPr>
          <w:rFonts w:hint="eastAsia" w:ascii="仿宋" w:hAnsi="仿宋" w:eastAsia="仿宋" w:cs="仿宋"/>
          <w:b/>
          <w:color w:val="000000" w:themeColor="text1"/>
          <w:kern w:val="0"/>
          <w:sz w:val="24"/>
          <w14:textFill>
            <w14:solidFill>
              <w14:schemeClr w14:val="tx1"/>
            </w14:solidFill>
          </w14:textFill>
        </w:rPr>
        <w:t>投标文件的补充和修改</w:t>
      </w:r>
    </w:p>
    <w:p>
      <w:pPr>
        <w:spacing w:line="288"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288" w:lineRule="auto"/>
        <w:jc w:val="left"/>
        <w:rPr>
          <w:rFonts w:ascii="仿宋" w:hAnsi="仿宋" w:eastAsia="仿宋" w:cs="仿宋"/>
          <w:color w:val="auto"/>
          <w:sz w:val="24"/>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w:t>
      </w:r>
      <w:r>
        <w:rPr>
          <w:rFonts w:hint="eastAsia" w:ascii="仿宋" w:hAnsi="仿宋" w:eastAsia="仿宋" w:cs="仿宋"/>
          <w:color w:val="auto"/>
          <w:sz w:val="24"/>
        </w:rPr>
        <w:t>在线解密电子投标文件时间为开标时间起</w:t>
      </w:r>
      <w:r>
        <w:rPr>
          <w:rFonts w:hint="eastAsia" w:ascii="仿宋" w:hAnsi="仿宋" w:eastAsia="仿宋" w:cs="仿宋"/>
          <w:color w:val="auto"/>
          <w:sz w:val="24"/>
          <w:lang w:val="en-US" w:eastAsia="zh-CN"/>
        </w:rPr>
        <w:t>30分钟</w:t>
      </w:r>
      <w:r>
        <w:rPr>
          <w:rFonts w:hint="eastAsia" w:ascii="仿宋" w:hAnsi="仿宋" w:eastAsia="仿宋" w:cs="仿宋"/>
          <w:color w:val="auto"/>
          <w:sz w:val="24"/>
        </w:rPr>
        <w:t>内。</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3.5</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3.6评标委员会不向落标方解释落标的原因。</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w:t>
      </w:r>
      <w:r>
        <w:rPr>
          <w:rFonts w:hint="eastAsia" w:ascii="仿宋" w:hAnsi="仿宋" w:eastAsia="仿宋" w:cs="仿宋"/>
          <w:bCs/>
          <w:color w:val="000000" w:themeColor="text1"/>
          <w:sz w:val="24"/>
          <w14:textFill>
            <w14:solidFill>
              <w14:schemeClr w14:val="tx1"/>
            </w14:solidFill>
          </w14:textFill>
        </w:rPr>
        <w:t>修正后的报价按照财政部公布第87号令 《政府采购货物和服务招标投标管理办法》</w:t>
      </w:r>
      <w:r>
        <w:rPr>
          <w:rFonts w:hint="eastAsia" w:ascii="仿宋" w:hAnsi="仿宋" w:eastAsia="仿宋" w:cs="仿宋"/>
          <w:color w:val="000000" w:themeColor="text1"/>
          <w:sz w:val="24"/>
          <w14:textFill>
            <w14:solidFill>
              <w14:schemeClr w14:val="tx1"/>
            </w14:solidFill>
          </w14:textFill>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8.投标文件的澄清</w:t>
      </w:r>
    </w:p>
    <w:p>
      <w:pPr>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9.1未按照招标文件规定要求签署、盖章的；</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9.9报</w:t>
      </w:r>
      <w:r>
        <w:rPr>
          <w:rFonts w:hint="eastAsia" w:ascii="仿宋" w:hAnsi="仿宋" w:eastAsia="仿宋" w:cs="仿宋"/>
          <w:b/>
          <w:color w:val="000000" w:themeColor="text1"/>
          <w:sz w:val="24"/>
          <w14:textFill>
            <w14:solidFill>
              <w14:schemeClr w14:val="tx1"/>
            </w14:solidFill>
          </w14:textFill>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9.10</w:t>
      </w:r>
      <w:r>
        <w:rPr>
          <w:rFonts w:hint="eastAsia" w:ascii="仿宋" w:hAnsi="仿宋" w:eastAsia="仿宋" w:cs="仿宋"/>
          <w:b/>
          <w:color w:val="000000" w:themeColor="text1"/>
          <w:sz w:val="24"/>
          <w14:textFill>
            <w14:solidFill>
              <w14:schemeClr w14:val="tx1"/>
            </w14:solidFill>
          </w14:textFill>
        </w:rPr>
        <w:t>未按招标文件规定的格式填写，或</w:t>
      </w:r>
      <w:r>
        <w:rPr>
          <w:rFonts w:hint="eastAsia" w:ascii="仿宋" w:hAnsi="仿宋" w:eastAsia="仿宋" w:cs="仿宋"/>
          <w:b/>
          <w:color w:val="000000" w:themeColor="text1"/>
          <w:sz w:val="24"/>
          <w:szCs w:val="20"/>
          <w14:textFill>
            <w14:solidFill>
              <w14:schemeClr w14:val="tx1"/>
            </w14:solidFill>
          </w14:textFill>
        </w:rPr>
        <w:t>对招标</w:t>
      </w:r>
      <w:r>
        <w:rPr>
          <w:rFonts w:hint="eastAsia" w:ascii="仿宋" w:hAnsi="仿宋" w:eastAsia="仿宋" w:cs="仿宋"/>
          <w:b/>
          <w:color w:val="000000" w:themeColor="text1"/>
          <w:sz w:val="24"/>
          <w14:textFill>
            <w14:solidFill>
              <w14:schemeClr w14:val="tx1"/>
            </w14:solidFill>
          </w14:textFill>
        </w:rPr>
        <w:t>服务或技术或产品等要求</w:t>
      </w:r>
      <w:r>
        <w:rPr>
          <w:rFonts w:hint="eastAsia" w:ascii="仿宋" w:hAnsi="仿宋" w:eastAsia="仿宋" w:cs="仿宋"/>
          <w:b/>
          <w:color w:val="000000" w:themeColor="text1"/>
          <w:sz w:val="24"/>
          <w:szCs w:val="20"/>
          <w14:textFill>
            <w14:solidFill>
              <w14:schemeClr w14:val="tx1"/>
            </w14:solidFill>
          </w14:textFill>
        </w:rPr>
        <w:t>未详细应答或应答</w:t>
      </w:r>
      <w:r>
        <w:rPr>
          <w:rFonts w:hint="eastAsia" w:ascii="仿宋" w:hAnsi="仿宋" w:eastAsia="仿宋" w:cs="仿宋"/>
          <w:b/>
          <w:color w:val="000000" w:themeColor="text1"/>
          <w:sz w:val="24"/>
          <w14:textFill>
            <w14:solidFill>
              <w14:schemeClr w14:val="tx1"/>
            </w14:solidFill>
          </w14:textFill>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9.11出现同一标的物或本次招标产品(服务)内的主要产品(重要组成部分)出现</w:t>
      </w:r>
      <w:r>
        <w:rPr>
          <w:rFonts w:hint="eastAsia" w:ascii="仿宋" w:hAnsi="仿宋" w:eastAsia="仿宋" w:cs="仿宋"/>
          <w:b/>
          <w:color w:val="000000" w:themeColor="text1"/>
          <w:sz w:val="24"/>
          <w14:textFill>
            <w14:solidFill>
              <w14:schemeClr w14:val="tx1"/>
            </w14:solidFill>
          </w14:textFill>
        </w:rPr>
        <w:t>商务技术（资信）文件资料</w:t>
      </w:r>
      <w:r>
        <w:rPr>
          <w:rFonts w:hint="eastAsia" w:ascii="仿宋" w:hAnsi="仿宋" w:eastAsia="仿宋" w:cs="仿宋"/>
          <w:b/>
          <w:color w:val="000000" w:themeColor="text1"/>
          <w:sz w:val="24"/>
          <w:szCs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报价文件资料</w:t>
      </w:r>
      <w:r>
        <w:rPr>
          <w:rFonts w:hint="eastAsia" w:ascii="仿宋" w:hAnsi="仿宋" w:eastAsia="仿宋" w:cs="仿宋"/>
          <w:b/>
          <w:color w:val="000000" w:themeColor="text1"/>
          <w:sz w:val="24"/>
          <w:szCs w:val="24"/>
          <w14:textFill>
            <w14:solidFill>
              <w14:schemeClr w14:val="tx1"/>
            </w14:solidFill>
          </w14:textFill>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9.12《技</w:t>
      </w:r>
      <w:r>
        <w:rPr>
          <w:rFonts w:hint="eastAsia" w:ascii="仿宋" w:hAnsi="仿宋" w:eastAsia="仿宋" w:cs="仿宋"/>
          <w:b/>
          <w:color w:val="000000" w:themeColor="text1"/>
          <w:sz w:val="24"/>
          <w14:textFill>
            <w14:solidFill>
              <w14:schemeClr w14:val="tx1"/>
            </w14:solidFill>
          </w14:textFill>
        </w:rPr>
        <w:t>术偏离说明表</w:t>
      </w:r>
      <w:r>
        <w:rPr>
          <w:rFonts w:hint="eastAsia" w:ascii="仿宋" w:hAnsi="仿宋" w:eastAsia="仿宋" w:cs="仿宋"/>
          <w:b/>
          <w:color w:val="000000" w:themeColor="text1"/>
          <w:sz w:val="24"/>
          <w:szCs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9.13投</w:t>
      </w:r>
      <w:r>
        <w:rPr>
          <w:rFonts w:hint="eastAsia" w:ascii="仿宋" w:hAnsi="仿宋" w:eastAsia="仿宋" w:cs="仿宋"/>
          <w:b/>
          <w:color w:val="000000" w:themeColor="text1"/>
          <w:kern w:val="0"/>
          <w:sz w:val="24"/>
          <w14:textFill>
            <w14:solidFill>
              <w14:schemeClr w14:val="tx1"/>
            </w14:solidFill>
          </w14:textFill>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9.14评</w:t>
      </w:r>
      <w:r>
        <w:rPr>
          <w:rFonts w:hint="eastAsia" w:ascii="仿宋" w:hAnsi="仿宋" w:eastAsia="仿宋" w:cs="仿宋"/>
          <w:b/>
          <w:color w:val="000000" w:themeColor="text1"/>
          <w:sz w:val="24"/>
          <w14:textFill>
            <w14:solidFill>
              <w14:schemeClr w14:val="tx1"/>
            </w14:solidFill>
          </w14:textFill>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14:textFill>
            <w14:solidFill>
              <w14:schemeClr w14:val="tx1"/>
            </w14:solidFill>
          </w14:textFill>
        </w:rPr>
      </w:pPr>
      <w:r>
        <w:rPr>
          <w:rFonts w:hint="eastAsia" w:ascii="仿宋" w:hAnsi="仿宋" w:eastAsia="仿宋" w:cs="仿宋"/>
          <w:b/>
          <w:color w:val="000000" w:themeColor="text1"/>
          <w:sz w:val="24"/>
          <w:szCs w:val="21"/>
          <w14:textFill>
            <w14:solidFill>
              <w14:schemeClr w14:val="tx1"/>
            </w14:solidFill>
          </w14:textFill>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9.22有下列情形之一的，属于恶意串通，其投标无效：</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1"/>
          <w14:textFill>
            <w14:solidFill>
              <w14:schemeClr w14:val="tx1"/>
            </w14:solidFill>
          </w14:textFill>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szCs w:val="21"/>
          <w14:textFill>
            <w14:solidFill>
              <w14:schemeClr w14:val="tx1"/>
            </w14:solidFill>
          </w14:textFill>
        </w:rPr>
        <w:t>9.23</w:t>
      </w:r>
      <w:r>
        <w:rPr>
          <w:rFonts w:hint="eastAsia" w:ascii="仿宋" w:hAnsi="仿宋" w:eastAsia="仿宋" w:cs="仿宋"/>
          <w:b/>
          <w:color w:val="000000" w:themeColor="text1"/>
          <w:sz w:val="24"/>
          <w14:textFill>
            <w14:solidFill>
              <w14:schemeClr w14:val="tx1"/>
            </w14:solidFill>
          </w14:textFill>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9.24报价文件中出现2个(含)以上的报价或方案的；</w:t>
      </w:r>
    </w:p>
    <w:p>
      <w:pPr>
        <w:spacing w:line="288"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9.25其他违反法律、法规的情形。</w:t>
      </w:r>
    </w:p>
    <w:p>
      <w:pPr>
        <w:snapToGrid w:val="0"/>
        <w:spacing w:line="288"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10. 评标过程保密</w:t>
      </w:r>
    </w:p>
    <w:p>
      <w:pPr>
        <w:snapToGrid w:val="0"/>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14:textFill>
            <w14:solidFill>
              <w14:schemeClr w14:val="tx1"/>
            </w14:solidFill>
          </w14:textFill>
        </w:rPr>
      </w:pPr>
      <w:bookmarkStart w:id="3" w:name="_Toc84325929"/>
      <w:bookmarkStart w:id="4" w:name="_Toc81372953"/>
      <w:bookmarkStart w:id="5" w:name="_Toc81372776"/>
      <w:r>
        <w:rPr>
          <w:rFonts w:hint="eastAsia" w:ascii="仿宋" w:hAnsi="仿宋" w:eastAsia="仿宋" w:cs="仿宋"/>
          <w:b/>
          <w:color w:val="000000" w:themeColor="text1"/>
          <w:sz w:val="36"/>
          <w:szCs w:val="36"/>
          <w14:textFill>
            <w14:solidFill>
              <w14:schemeClr w14:val="tx1"/>
            </w14:solidFill>
          </w14:textFill>
        </w:rPr>
        <w:t>五、授予合同</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1.中标条件</w:t>
      </w:r>
    </w:p>
    <w:p>
      <w:pPr>
        <w:spacing w:line="288"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1.1投标文件基本符合招标文件要求；</w:t>
      </w:r>
    </w:p>
    <w:p>
      <w:pPr>
        <w:spacing w:line="288"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1.2投标人有很好的执行合同的能力；</w:t>
      </w:r>
    </w:p>
    <w:p>
      <w:pPr>
        <w:spacing w:line="288"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1.3实施方案最合理并对招标人最为有利，最大限度满足招标文件的要求；</w:t>
      </w:r>
    </w:p>
    <w:p>
      <w:pPr>
        <w:spacing w:line="288"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1.4投标人能够提供质量技术、商务经济占综合优势的系统及服务。</w:t>
      </w:r>
    </w:p>
    <w:p>
      <w:pPr>
        <w:spacing w:line="288"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pStyle w:val="65"/>
        <w:tabs>
          <w:tab w:val="left" w:pos="0"/>
        </w:tabs>
        <w:spacing w:before="0" w:line="288"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3.1</w:t>
      </w:r>
      <w:r>
        <w:rPr>
          <w:rFonts w:hint="eastAsia" w:ascii="仿宋" w:hAnsi="仿宋" w:eastAsia="仿宋" w:cs="仿宋"/>
          <w:color w:val="000000" w:themeColor="text1"/>
          <w:kern w:val="0"/>
          <w14:textFill>
            <w14:solidFill>
              <w14:schemeClr w14:val="tx1"/>
            </w14:solidFill>
          </w14:textFill>
        </w:rPr>
        <w:t>采购代理机构</w:t>
      </w:r>
      <w:r>
        <w:rPr>
          <w:rFonts w:hint="eastAsia" w:ascii="仿宋" w:hAnsi="仿宋" w:eastAsia="仿宋" w:cs="仿宋"/>
          <w:color w:val="000000" w:themeColor="text1"/>
          <w14:textFill>
            <w14:solidFill>
              <w14:schemeClr w14:val="tx1"/>
            </w14:solidFill>
          </w14:textFill>
        </w:rPr>
        <w:t>对中标结果在指定媒体</w:t>
      </w:r>
      <w:r>
        <w:rPr>
          <w:rFonts w:hint="eastAsia" w:ascii="仿宋" w:hAnsi="仿宋" w:eastAsia="仿宋" w:cs="仿宋"/>
          <w:color w:val="000000" w:themeColor="text1"/>
          <w:kern w:val="0"/>
          <w14:textFill>
            <w14:solidFill>
              <w14:schemeClr w14:val="tx1"/>
            </w14:solidFill>
          </w14:textFill>
        </w:rPr>
        <w:t>（浙江政府采购网</w:t>
      </w:r>
      <w:r>
        <w:fldChar w:fldCharType="begin"/>
      </w:r>
      <w:r>
        <w:instrText xml:space="preserve"> HYPERLINK "http://zfcg.czt.zj.gov.cn/" </w:instrText>
      </w:r>
      <w:r>
        <w:fldChar w:fldCharType="separate"/>
      </w:r>
      <w:r>
        <w:rPr>
          <w:rStyle w:val="32"/>
          <w:rFonts w:hint="eastAsia" w:ascii="仿宋" w:hAnsi="仿宋" w:eastAsia="仿宋" w:cs="仿宋"/>
          <w:color w:val="000000" w:themeColor="text1"/>
          <w:szCs w:val="24"/>
          <w14:textFill>
            <w14:solidFill>
              <w14:schemeClr w14:val="tx1"/>
            </w14:solidFill>
          </w14:textFill>
        </w:rPr>
        <w:t>http://zfcg.czt.zj.gov.cn</w:t>
      </w:r>
      <w:r>
        <w:rPr>
          <w:rStyle w:val="32"/>
          <w:rFonts w:hint="eastAsia" w:ascii="仿宋" w:hAnsi="仿宋" w:eastAsia="仿宋" w:cs="仿宋"/>
          <w:color w:val="000000" w:themeColor="text1"/>
          <w:szCs w:val="24"/>
          <w14:textFill>
            <w14:solidFill>
              <w14:schemeClr w14:val="tx1"/>
            </w14:solidFill>
          </w14:textFill>
        </w:rPr>
        <w:fldChar w:fldCharType="end"/>
      </w:r>
      <w:r>
        <w:rPr>
          <w:rFonts w:hint="eastAsia" w:ascii="仿宋" w:hAnsi="仿宋" w:eastAsia="仿宋" w:cs="仿宋"/>
          <w:color w:val="000000" w:themeColor="text1"/>
          <w:kern w:val="0"/>
          <w14:textFill>
            <w14:solidFill>
              <w14:schemeClr w14:val="tx1"/>
            </w14:solidFill>
          </w14:textFill>
        </w:rPr>
        <w:t>、绍兴公共资源交易网</w:t>
      </w:r>
      <w:r>
        <w:fldChar w:fldCharType="begin"/>
      </w:r>
      <w:r>
        <w:instrText xml:space="preserve"> HYPERLINK "http://ggb.sx.gov.cn" </w:instrText>
      </w:r>
      <w:r>
        <w:fldChar w:fldCharType="separate"/>
      </w:r>
      <w:r>
        <w:rPr>
          <w:rStyle w:val="32"/>
          <w:rFonts w:hint="eastAsia" w:ascii="仿宋" w:hAnsi="仿宋" w:eastAsia="仿宋" w:cs="仿宋"/>
          <w:color w:val="000000" w:themeColor="text1"/>
          <w14:textFill>
            <w14:solidFill>
              <w14:schemeClr w14:val="tx1"/>
            </w14:solidFill>
          </w14:textFill>
        </w:rPr>
        <w:t>http://ggb.sx.gov.cn</w:t>
      </w:r>
      <w:r>
        <w:rPr>
          <w:rStyle w:val="32"/>
          <w:rFonts w:hint="eastAsia" w:ascii="仿宋" w:hAnsi="仿宋" w:eastAsia="仿宋" w:cs="仿宋"/>
          <w:color w:val="000000" w:themeColor="text1"/>
          <w14:textFill>
            <w14:solidFill>
              <w14:schemeClr w14:val="tx1"/>
            </w14:solidFill>
          </w14:textFill>
        </w:rPr>
        <w:fldChar w:fldCharType="end"/>
      </w:r>
      <w:r>
        <w:rPr>
          <w:rFonts w:hint="eastAsia" w:ascii="仿宋" w:hAnsi="仿宋" w:eastAsia="仿宋" w:cs="仿宋"/>
          <w:color w:val="000000" w:themeColor="text1"/>
          <w:kern w:val="0"/>
          <w14:textFill>
            <w14:solidFill>
              <w14:schemeClr w14:val="tx1"/>
            </w14:solidFill>
          </w14:textFill>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4.2供应商在履行完合同约定事项后，采购人应及时退还履约保证金。</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5.合同备案</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，将</w:t>
      </w:r>
      <w:r>
        <w:rPr>
          <w:rFonts w:hint="eastAsia" w:ascii="仿宋" w:hAnsi="仿宋" w:eastAsia="仿宋" w:cs="仿宋"/>
          <w:b/>
          <w:color w:val="000000" w:themeColor="text1"/>
          <w:sz w:val="24"/>
          <w14:textFill>
            <w14:solidFill>
              <w14:schemeClr w14:val="tx1"/>
            </w14:solidFill>
          </w14:textFill>
        </w:rPr>
        <w:t>采购合同原件</w:t>
      </w:r>
      <w:r>
        <w:rPr>
          <w:rFonts w:hint="eastAsia" w:ascii="仿宋" w:hAnsi="仿宋" w:eastAsia="仿宋" w:cs="仿宋"/>
          <w:color w:val="000000" w:themeColor="text1"/>
          <w:sz w:val="24"/>
          <w14:textFill>
            <w14:solidFill>
              <w14:schemeClr w14:val="tx1"/>
            </w14:solidFill>
          </w14:textFill>
        </w:rPr>
        <w:t>报耀华建设管理有限公司备案。</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5.2未领取中标通知书，采购双方自行签订的合同不予备案。</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 售后服务考核</w:t>
      </w:r>
    </w:p>
    <w:p>
      <w:pPr>
        <w:spacing w:line="288"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六、质疑与投诉</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1.供应商询问</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供应商对政府采购活动事项有疑问的，可以向采购代理机构提出询问，采购代理机构将对供应商依法提出的询问作出答复，但答复的内容不得涉及商业秘密。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2.供应商质疑</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供应商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（2）对采购过程提出质疑的，质疑期限为各采购程序环节结束之日起计算。</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（4）供应商应在法定质疑期内一次性提出针对同一采购程序环节的质疑。</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（1）质疑人的名称、地址、邮政编码、联系人、联系电话，以及被质疑人名称及联系方式；</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（2）被质疑采购项目名称、编号及采购内容；</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（3）具体、明确的质疑事项和与质疑事项相关的请求</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（4）事实依据；</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（5）必要的法律依据；</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（6）认为自己合法权益受到损害或可能受到损害的相关证据材料；</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（7）提出质疑的日期。</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4.采购代理机构应当在收到供应商的书面质疑后七个工作日内作出答复，并以书面形式通知质疑供应商和其他与质疑处理结果有利害关系的政府采购当事人，但答复的内容不得涉及商业秘密。</w:t>
      </w:r>
    </w:p>
    <w:p>
      <w:pPr>
        <w:pStyle w:val="14"/>
        <w:adjustRightInd/>
        <w:spacing w:line="288" w:lineRule="auto"/>
        <w:ind w:firstLine="480" w:firstLineChars="200"/>
        <w:rPr>
          <w:rFonts w:ascii="仿宋" w:hAnsi="仿宋" w:eastAsia="仿宋" w:cs="仿宋"/>
          <w:b/>
          <w:sz w:val="36"/>
          <w:szCs w:val="36"/>
        </w:rPr>
      </w:pPr>
      <w:r>
        <w:rPr>
          <w:rFonts w:hint="eastAsia" w:ascii="仿宋" w:hAnsi="仿宋" w:eastAsia="仿宋" w:cs="仿宋"/>
          <w:color w:val="000000" w:themeColor="text1"/>
          <w:sz w:val="24"/>
          <w14:textFill>
            <w14:solidFill>
              <w14:schemeClr w14:val="tx1"/>
            </w14:solidFill>
          </w14:textFill>
        </w:rPr>
        <w:t>5.询问或者质疑事项可能影响采购结果的，采购人应当暂停签订合同，已经签订合同的，应当中止履行合同。</w:t>
      </w: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rPr>
          <w:rFonts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p>
    <w:p>
      <w:pPr>
        <w:pStyle w:val="14"/>
        <w:adjustRightInd/>
        <w:spacing w:line="288" w:lineRule="auto"/>
        <w:jc w:val="center"/>
        <w:rPr>
          <w:rStyle w:val="32"/>
          <w:rFonts w:ascii="仿宋" w:hAnsi="仿宋" w:eastAsia="仿宋" w:cs="仿宋"/>
          <w:color w:val="auto"/>
          <w:sz w:val="24"/>
          <w:szCs w:val="24"/>
          <w:u w:val="none"/>
        </w:rPr>
      </w:pPr>
      <w:r>
        <w:rPr>
          <w:rFonts w:hint="eastAsia" w:ascii="仿宋" w:hAnsi="仿宋" w:eastAsia="仿宋" w:cs="仿宋"/>
          <w:b/>
          <w:sz w:val="36"/>
          <w:szCs w:val="36"/>
        </w:rPr>
        <w:t>第三部分 项目技术规范和服务要求</w:t>
      </w:r>
    </w:p>
    <w:p>
      <w:pPr>
        <w:spacing w:line="288" w:lineRule="auto"/>
        <w:rPr>
          <w:rStyle w:val="32"/>
          <w:rFonts w:ascii="仿宋" w:hAnsi="仿宋" w:eastAsia="仿宋" w:cs="仿宋"/>
          <w:b/>
          <w:bCs/>
          <w:color w:val="auto"/>
          <w:sz w:val="24"/>
          <w:u w:val="none"/>
        </w:rPr>
      </w:pPr>
      <w:r>
        <w:rPr>
          <w:rStyle w:val="32"/>
          <w:rFonts w:hint="eastAsia" w:ascii="仿宋" w:hAnsi="仿宋" w:eastAsia="仿宋" w:cs="仿宋"/>
          <w:b/>
          <w:bCs/>
          <w:color w:val="auto"/>
          <w:sz w:val="24"/>
          <w:u w:val="none"/>
        </w:rPr>
        <w:t>标段1：MCS+机采耗材</w:t>
      </w:r>
    </w:p>
    <w:tbl>
      <w:tblPr>
        <w:tblStyle w:val="26"/>
        <w:tblW w:w="9525" w:type="dxa"/>
        <w:tblInd w:w="-870" w:type="dxa"/>
        <w:tblLayout w:type="fixed"/>
        <w:tblCellMar>
          <w:top w:w="15" w:type="dxa"/>
          <w:left w:w="15" w:type="dxa"/>
          <w:bottom w:w="15" w:type="dxa"/>
          <w:right w:w="15" w:type="dxa"/>
        </w:tblCellMar>
      </w:tblPr>
      <w:tblGrid>
        <w:gridCol w:w="667"/>
        <w:gridCol w:w="2198"/>
        <w:gridCol w:w="2131"/>
        <w:gridCol w:w="4529"/>
      </w:tblGrid>
      <w:tr>
        <w:tblPrEx>
          <w:tblCellMar>
            <w:top w:w="15" w:type="dxa"/>
            <w:left w:w="15" w:type="dxa"/>
            <w:bottom w:w="15" w:type="dxa"/>
            <w:right w:w="15" w:type="dxa"/>
          </w:tblCellMar>
        </w:tblPrEx>
        <w:trPr>
          <w:trHeight w:val="1377" w:hRule="atLeast"/>
        </w:trPr>
        <w:tc>
          <w:tcPr>
            <w:tcW w:w="667"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标段</w:t>
            </w:r>
          </w:p>
        </w:tc>
        <w:tc>
          <w:tcPr>
            <w:tcW w:w="2198"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分项</w:t>
            </w:r>
          </w:p>
          <w:p>
            <w:pPr>
              <w:widowControl/>
              <w:spacing w:line="288" w:lineRule="auto"/>
              <w:jc w:val="center"/>
              <w:textAlignment w:val="center"/>
              <w:rPr>
                <w:rFonts w:asciiTheme="minorEastAsia" w:hAnsiTheme="minorEastAsia" w:eastAsiaTheme="minorEastAsia" w:cstheme="minorEastAsia"/>
                <w:color w:val="auto"/>
                <w:sz w:val="18"/>
                <w:szCs w:val="18"/>
              </w:rPr>
            </w:pPr>
          </w:p>
        </w:tc>
        <w:tc>
          <w:tcPr>
            <w:tcW w:w="2131"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规格</w:t>
            </w:r>
          </w:p>
        </w:tc>
        <w:tc>
          <w:tcPr>
            <w:tcW w:w="4529"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单价上限价</w:t>
            </w:r>
          </w:p>
          <w:p>
            <w:pPr>
              <w:widowControl/>
              <w:spacing w:line="288" w:lineRule="auto"/>
              <w:jc w:val="center"/>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（元）</w:t>
            </w:r>
          </w:p>
        </w:tc>
      </w:tr>
      <w:tr>
        <w:tblPrEx>
          <w:tblCellMar>
            <w:top w:w="15" w:type="dxa"/>
            <w:left w:w="15" w:type="dxa"/>
            <w:bottom w:w="15" w:type="dxa"/>
            <w:right w:w="15" w:type="dxa"/>
          </w:tblCellMar>
        </w:tblPrEx>
        <w:trPr>
          <w:trHeight w:val="1140" w:hRule="atLeast"/>
        </w:trPr>
        <w:tc>
          <w:tcPr>
            <w:tcW w:w="66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标段一</w:t>
            </w:r>
          </w:p>
        </w:tc>
        <w:tc>
          <w:tcPr>
            <w:tcW w:w="21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 xml:space="preserve"> MCS+机采耗材</w:t>
            </w:r>
          </w:p>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（允许进口）</w:t>
            </w:r>
          </w:p>
        </w:tc>
        <w:tc>
          <w:tcPr>
            <w:tcW w:w="21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asciiTheme="minorEastAsia" w:hAnsiTheme="minorEastAsia" w:eastAsiaTheme="minorEastAsia" w:cstheme="minorEastAsia"/>
                <w:color w:val="auto"/>
                <w:kern w:val="0"/>
                <w:sz w:val="18"/>
                <w:szCs w:val="18"/>
                <w:lang w:bidi="ar"/>
              </w:rPr>
              <w:t>单份血小板</w:t>
            </w:r>
            <w:r>
              <w:rPr>
                <w:rFonts w:hint="eastAsia" w:asciiTheme="minorEastAsia" w:hAnsiTheme="minorEastAsia" w:eastAsiaTheme="minorEastAsia" w:cstheme="minorEastAsia"/>
                <w:color w:val="auto"/>
                <w:kern w:val="0"/>
                <w:sz w:val="18"/>
                <w:szCs w:val="18"/>
                <w:lang w:bidi="ar"/>
              </w:rPr>
              <w:t>/</w:t>
            </w:r>
            <w:r>
              <w:rPr>
                <w:rFonts w:asciiTheme="minorEastAsia" w:hAnsiTheme="minorEastAsia" w:eastAsiaTheme="minorEastAsia" w:cstheme="minorEastAsia"/>
                <w:color w:val="auto"/>
                <w:kern w:val="0"/>
                <w:sz w:val="18"/>
                <w:szCs w:val="18"/>
                <w:lang w:bidi="ar"/>
              </w:rPr>
              <w:t>套</w:t>
            </w:r>
          </w:p>
        </w:tc>
        <w:tc>
          <w:tcPr>
            <w:tcW w:w="452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￥655</w:t>
            </w:r>
          </w:p>
          <w:p>
            <w:pPr>
              <w:spacing w:line="288" w:lineRule="auto"/>
              <w:jc w:val="center"/>
              <w:textAlignment w:val="center"/>
              <w:rPr>
                <w:rFonts w:asciiTheme="minorEastAsia" w:hAnsiTheme="minorEastAsia" w:eastAsiaTheme="minorEastAsia" w:cstheme="minorEastAsia"/>
                <w:kern w:val="0"/>
                <w:sz w:val="18"/>
                <w:szCs w:val="18"/>
                <w:lang w:bidi="ar"/>
              </w:rPr>
            </w:pPr>
          </w:p>
        </w:tc>
      </w:tr>
      <w:tr>
        <w:tblPrEx>
          <w:tblCellMar>
            <w:top w:w="15" w:type="dxa"/>
            <w:left w:w="15" w:type="dxa"/>
            <w:bottom w:w="15" w:type="dxa"/>
            <w:right w:w="15" w:type="dxa"/>
          </w:tblCellMar>
        </w:tblPrEx>
        <w:trPr>
          <w:trHeight w:val="1140" w:hRule="atLeast"/>
        </w:trPr>
        <w:tc>
          <w:tcPr>
            <w:tcW w:w="66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p>
        </w:tc>
        <w:tc>
          <w:tcPr>
            <w:tcW w:w="219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p>
        </w:tc>
        <w:tc>
          <w:tcPr>
            <w:tcW w:w="213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双份血小板/</w:t>
            </w:r>
            <w:r>
              <w:rPr>
                <w:rFonts w:asciiTheme="minorEastAsia" w:hAnsiTheme="minorEastAsia" w:eastAsiaTheme="minorEastAsia" w:cstheme="minorEastAsia"/>
                <w:color w:val="auto"/>
                <w:kern w:val="0"/>
                <w:sz w:val="18"/>
                <w:szCs w:val="18"/>
                <w:lang w:bidi="ar"/>
              </w:rPr>
              <w:t>套</w:t>
            </w:r>
          </w:p>
        </w:tc>
        <w:tc>
          <w:tcPr>
            <w:tcW w:w="4529" w:type="dxa"/>
            <w:tcBorders>
              <w:top w:val="single" w:color="auto" w:sz="4" w:space="0"/>
              <w:left w:val="single" w:color="auto" w:sz="4" w:space="0"/>
              <w:bottom w:val="single" w:color="auto" w:sz="4" w:space="0"/>
              <w:right w:val="single" w:color="auto" w:sz="4" w:space="0"/>
            </w:tcBorders>
            <w:vAlign w:val="center"/>
          </w:tcPr>
          <w:p>
            <w:pPr>
              <w:keepNext/>
              <w:keepLines/>
              <w:spacing w:before="340" w:after="330" w:line="288" w:lineRule="auto"/>
              <w:ind w:left="425" w:hanging="425"/>
              <w:jc w:val="center"/>
              <w:outlineLvl w:val="0"/>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￥750</w:t>
            </w:r>
          </w:p>
        </w:tc>
      </w:tr>
      <w:tr>
        <w:tblPrEx>
          <w:tblCellMar>
            <w:top w:w="15" w:type="dxa"/>
            <w:left w:w="15" w:type="dxa"/>
            <w:bottom w:w="15" w:type="dxa"/>
            <w:right w:w="15" w:type="dxa"/>
          </w:tblCellMar>
        </w:tblPrEx>
        <w:trPr>
          <w:trHeight w:val="2777" w:hRule="atLeast"/>
        </w:trPr>
        <w:tc>
          <w:tcPr>
            <w:tcW w:w="667" w:type="dxa"/>
            <w:tcBorders>
              <w:top w:val="single" w:color="auto" w:sz="4" w:space="0"/>
              <w:left w:val="single" w:color="auto" w:sz="4" w:space="0"/>
              <w:bottom w:val="single" w:color="auto" w:sz="4" w:space="0"/>
              <w:right w:val="single" w:color="auto" w:sz="4" w:space="0"/>
            </w:tcBorders>
            <w:vAlign w:val="center"/>
          </w:tcPr>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技术参数</w:t>
            </w:r>
          </w:p>
        </w:tc>
        <w:tc>
          <w:tcPr>
            <w:tcW w:w="8858" w:type="dxa"/>
            <w:gridSpan w:val="3"/>
            <w:tcBorders>
              <w:top w:val="single" w:color="auto" w:sz="4" w:space="0"/>
              <w:left w:val="single" w:color="auto" w:sz="4" w:space="0"/>
              <w:bottom w:val="single" w:color="auto" w:sz="4" w:space="0"/>
              <w:right w:val="single" w:color="auto" w:sz="4" w:space="0"/>
            </w:tcBorders>
            <w:vAlign w:val="center"/>
          </w:tcPr>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1、为MCS+UPP程序配套耗材，原厂配套耗材，原装进口。</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2、有国内医疗器械注册证。</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3、须配双翼侧孔16G以上穿刺针。</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4、密闭式管路,有中文标识。</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5、管路以不同颜色标记，便于安装。</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6、使用耗材可以采集为单份或双份血小板，有效保存五天。</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7、产品采用聚氯乙烯、硅胶、聚丙烯、聚脂制成，一次性使用。</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8、耗材无热源、无菌包装、经环氧乙烷灭菌。</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9、管路产品符合血站物料采购资质要求。</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三、供货期</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合同签订之日起按要求发货。</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四、质保期</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到血站剩余质保期1年以上。</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五、保存和运输要求</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送货至绍兴市中心血站指定地点。</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六、验收标准</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按血站有关要求。</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七、售后服务</w:t>
            </w:r>
          </w:p>
          <w:p>
            <w:pPr>
              <w:widowControl/>
              <w:spacing w:line="288" w:lineRule="auto"/>
              <w:textAlignment w:val="center"/>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1、要求24小时内响应，每个季度提供上门咨询，听取使用意见，提供完整的耗材赔付制度。</w:t>
            </w:r>
          </w:p>
          <w:p>
            <w:pPr>
              <w:spacing w:line="288" w:lineRule="auto"/>
              <w:rPr>
                <w:rFonts w:asciiTheme="minorEastAsia" w:hAnsiTheme="minorEastAsia" w:eastAsiaTheme="minorEastAsia" w:cstheme="minorEastAsia"/>
                <w:kern w:val="0"/>
                <w:sz w:val="18"/>
                <w:szCs w:val="18"/>
                <w:lang w:bidi="ar"/>
              </w:rPr>
            </w:pPr>
            <w:r>
              <w:rPr>
                <w:rFonts w:hint="eastAsia" w:asciiTheme="minorEastAsia" w:hAnsiTheme="minorEastAsia" w:eastAsiaTheme="minorEastAsia" w:cstheme="minorEastAsia"/>
                <w:kern w:val="0"/>
                <w:sz w:val="18"/>
                <w:szCs w:val="18"/>
                <w:lang w:bidi="ar"/>
              </w:rPr>
              <w:t>2、定期对操作人员进行系统的操作、维护、保养及一般故障排除技能的培训。</w:t>
            </w:r>
          </w:p>
        </w:tc>
      </w:tr>
    </w:tbl>
    <w:p>
      <w:pPr>
        <w:spacing w:line="288" w:lineRule="auto"/>
        <w:rPr>
          <w:rStyle w:val="32"/>
          <w:rFonts w:ascii="仿宋" w:hAnsi="仿宋" w:eastAsia="仿宋" w:cs="仿宋"/>
          <w:b/>
          <w:bCs/>
          <w:color w:val="auto"/>
          <w:sz w:val="24"/>
          <w:u w:val="none"/>
        </w:rPr>
      </w:pPr>
    </w:p>
    <w:p>
      <w:pPr>
        <w:spacing w:line="288" w:lineRule="auto"/>
        <w:rPr>
          <w:rStyle w:val="32"/>
          <w:rFonts w:ascii="仿宋" w:hAnsi="仿宋" w:eastAsia="仿宋" w:cs="仿宋"/>
          <w:b/>
          <w:bCs/>
          <w:color w:val="auto"/>
          <w:sz w:val="24"/>
          <w:u w:val="none"/>
        </w:rPr>
      </w:pPr>
      <w:r>
        <w:rPr>
          <w:rStyle w:val="32"/>
          <w:rFonts w:hint="eastAsia" w:ascii="仿宋" w:hAnsi="仿宋" w:eastAsia="仿宋" w:cs="仿宋"/>
          <w:b/>
          <w:bCs/>
          <w:color w:val="auto"/>
          <w:sz w:val="24"/>
          <w:u w:val="none"/>
        </w:rPr>
        <w:t>标段2：Amicore机采耗材</w:t>
      </w:r>
    </w:p>
    <w:tbl>
      <w:tblPr>
        <w:tblStyle w:val="26"/>
        <w:tblW w:w="9525" w:type="dxa"/>
        <w:tblInd w:w="-8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7"/>
        <w:gridCol w:w="2198"/>
        <w:gridCol w:w="2125"/>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7" w:hRule="atLeast"/>
        </w:trPr>
        <w:tc>
          <w:tcPr>
            <w:tcW w:w="667" w:type="dxa"/>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标段</w:t>
            </w:r>
          </w:p>
        </w:tc>
        <w:tc>
          <w:tcPr>
            <w:tcW w:w="2198" w:type="dxa"/>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分项</w:t>
            </w:r>
          </w:p>
          <w:p>
            <w:pPr>
              <w:widowControl/>
              <w:spacing w:line="288" w:lineRule="auto"/>
              <w:jc w:val="center"/>
              <w:textAlignment w:val="center"/>
              <w:rPr>
                <w:rFonts w:asciiTheme="minorEastAsia" w:hAnsiTheme="minorEastAsia" w:eastAsiaTheme="minorEastAsia" w:cstheme="minorEastAsia"/>
                <w:color w:val="auto"/>
                <w:sz w:val="18"/>
                <w:szCs w:val="18"/>
              </w:rPr>
            </w:pPr>
          </w:p>
        </w:tc>
        <w:tc>
          <w:tcPr>
            <w:tcW w:w="2125" w:type="dxa"/>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规格</w:t>
            </w:r>
          </w:p>
        </w:tc>
        <w:tc>
          <w:tcPr>
            <w:tcW w:w="4535" w:type="dxa"/>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单价上限价</w:t>
            </w:r>
          </w:p>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0" w:hRule="atLeast"/>
        </w:trPr>
        <w:tc>
          <w:tcPr>
            <w:tcW w:w="667" w:type="dxa"/>
            <w:vMerge w:val="restart"/>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kern w:val="0"/>
                <w:sz w:val="18"/>
                <w:szCs w:val="18"/>
                <w:lang w:bidi="ar"/>
              </w:rPr>
              <w:t>标段二</w:t>
            </w:r>
          </w:p>
        </w:tc>
        <w:tc>
          <w:tcPr>
            <w:tcW w:w="2198" w:type="dxa"/>
            <w:vMerge w:val="restart"/>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AmiCORE机采耗材</w:t>
            </w:r>
          </w:p>
          <w:p>
            <w:pPr>
              <w:widowControl/>
              <w:spacing w:line="288" w:lineRule="auto"/>
              <w:jc w:val="center"/>
              <w:textAlignment w:val="center"/>
              <w:rPr>
                <w:rFonts w:asciiTheme="minorEastAsia" w:hAnsiTheme="minorEastAsia" w:eastAsiaTheme="minorEastAsia" w:cstheme="minorEastAsia"/>
                <w:color w:val="auto"/>
                <w:sz w:val="18"/>
                <w:szCs w:val="18"/>
              </w:rPr>
            </w:pPr>
            <w:r>
              <w:rPr>
                <w:rFonts w:hint="eastAsia" w:asciiTheme="minorEastAsia" w:hAnsiTheme="minorEastAsia" w:eastAsiaTheme="minorEastAsia" w:cstheme="minorEastAsia"/>
                <w:color w:val="auto"/>
                <w:sz w:val="18"/>
                <w:szCs w:val="18"/>
              </w:rPr>
              <w:t>（允许进口）</w:t>
            </w:r>
          </w:p>
        </w:tc>
        <w:tc>
          <w:tcPr>
            <w:tcW w:w="2125" w:type="dxa"/>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asciiTheme="minorEastAsia" w:hAnsiTheme="minorEastAsia" w:eastAsiaTheme="minorEastAsia" w:cstheme="minorEastAsia"/>
                <w:color w:val="auto"/>
                <w:kern w:val="0"/>
                <w:sz w:val="18"/>
                <w:szCs w:val="18"/>
                <w:lang w:bidi="ar"/>
              </w:rPr>
              <w:t>单份血小板</w:t>
            </w:r>
            <w:r>
              <w:rPr>
                <w:rFonts w:hint="eastAsia" w:asciiTheme="minorEastAsia" w:hAnsiTheme="minorEastAsia" w:eastAsiaTheme="minorEastAsia" w:cstheme="minorEastAsia"/>
                <w:color w:val="auto"/>
                <w:kern w:val="0"/>
                <w:sz w:val="18"/>
                <w:szCs w:val="18"/>
                <w:lang w:bidi="ar"/>
              </w:rPr>
              <w:t>/</w:t>
            </w:r>
            <w:r>
              <w:rPr>
                <w:rFonts w:asciiTheme="minorEastAsia" w:hAnsiTheme="minorEastAsia" w:eastAsiaTheme="minorEastAsia" w:cstheme="minorEastAsia"/>
                <w:color w:val="auto"/>
                <w:kern w:val="0"/>
                <w:sz w:val="18"/>
                <w:szCs w:val="18"/>
                <w:lang w:bidi="ar"/>
              </w:rPr>
              <w:t>套</w:t>
            </w:r>
          </w:p>
        </w:tc>
        <w:tc>
          <w:tcPr>
            <w:tcW w:w="4535" w:type="dxa"/>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0" w:hRule="atLeast"/>
        </w:trPr>
        <w:tc>
          <w:tcPr>
            <w:tcW w:w="667" w:type="dxa"/>
            <w:vMerge w:val="continue"/>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p>
        </w:tc>
        <w:tc>
          <w:tcPr>
            <w:tcW w:w="2198" w:type="dxa"/>
            <w:vMerge w:val="continue"/>
            <w:vAlign w:val="center"/>
          </w:tcPr>
          <w:p>
            <w:pPr>
              <w:widowControl/>
              <w:spacing w:line="288" w:lineRule="auto"/>
              <w:jc w:val="center"/>
              <w:textAlignment w:val="center"/>
              <w:rPr>
                <w:rFonts w:asciiTheme="minorEastAsia" w:hAnsiTheme="minorEastAsia" w:eastAsiaTheme="minorEastAsia" w:cstheme="minorEastAsia"/>
                <w:color w:val="auto"/>
                <w:sz w:val="18"/>
                <w:szCs w:val="18"/>
              </w:rPr>
            </w:pPr>
          </w:p>
        </w:tc>
        <w:tc>
          <w:tcPr>
            <w:tcW w:w="2125" w:type="dxa"/>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双份血小板/</w:t>
            </w:r>
            <w:r>
              <w:rPr>
                <w:rFonts w:asciiTheme="minorEastAsia" w:hAnsiTheme="minorEastAsia" w:eastAsiaTheme="minorEastAsia" w:cstheme="minorEastAsia"/>
                <w:color w:val="auto"/>
                <w:kern w:val="0"/>
                <w:sz w:val="18"/>
                <w:szCs w:val="18"/>
                <w:lang w:bidi="ar"/>
              </w:rPr>
              <w:t>套</w:t>
            </w:r>
          </w:p>
        </w:tc>
        <w:tc>
          <w:tcPr>
            <w:tcW w:w="4535" w:type="dxa"/>
            <w:vAlign w:val="center"/>
          </w:tcPr>
          <w:p>
            <w:pPr>
              <w:spacing w:line="288" w:lineRule="auto"/>
              <w:jc w:val="center"/>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77" w:hRule="atLeast"/>
        </w:trPr>
        <w:tc>
          <w:tcPr>
            <w:tcW w:w="667" w:type="dxa"/>
            <w:vAlign w:val="center"/>
          </w:tcPr>
          <w:p>
            <w:pPr>
              <w:widowControl/>
              <w:spacing w:line="288" w:lineRule="auto"/>
              <w:jc w:val="center"/>
              <w:textAlignment w:val="center"/>
              <w:rPr>
                <w:rFonts w:asciiTheme="minorEastAsia" w:hAnsiTheme="minorEastAsia" w:eastAsiaTheme="minorEastAsia" w:cstheme="minorEastAsia"/>
                <w:color w:val="auto"/>
                <w:kern w:val="0"/>
                <w:sz w:val="18"/>
                <w:szCs w:val="18"/>
                <w:lang w:bidi="ar"/>
              </w:rPr>
            </w:pPr>
          </w:p>
        </w:tc>
        <w:tc>
          <w:tcPr>
            <w:tcW w:w="8858" w:type="dxa"/>
            <w:gridSpan w:val="3"/>
            <w:vAlign w:val="center"/>
          </w:tcPr>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1、为AmiCORE血细胞分离机配套耗材，原厂配套耗材，原装进口。</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2、有国内医疗器械注册证。</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3、须配双翼侧孔16G以上穿刺针，单针采集。</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4、盐水和抗凝剂管路上有0.2um 的除菌滤器。</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5、管路以不同颜色标记，便于安装。</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6、使用耗材可以采集为单份或双份血小板，血小板不需二次处理，有效保存五天。</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7、管路灭菌方式:辐照灭菌。避免环氧乙烷毒性。</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8、管路产品符合血站物料采购资质要求。</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三、供货期</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合同签订之日起按要求发货。</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四、质保期</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到血站剩余质保期1年以上。</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五、保存和运输要求</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送货至绍兴市中心血站指定地点。</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六、验收标准</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按血站有关要求。</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七、售后服务</w:t>
            </w:r>
          </w:p>
          <w:p>
            <w:pPr>
              <w:widowControl/>
              <w:spacing w:line="288" w:lineRule="auto"/>
              <w:textAlignment w:val="center"/>
              <w:rPr>
                <w:rFonts w:asciiTheme="minorEastAsia" w:hAnsiTheme="minorEastAsia" w:eastAsiaTheme="minorEastAsia" w:cstheme="minorEastAsia"/>
                <w:color w:val="auto"/>
                <w:kern w:val="0"/>
                <w:sz w:val="18"/>
                <w:szCs w:val="18"/>
                <w:lang w:bidi="ar"/>
              </w:rPr>
            </w:pPr>
            <w:r>
              <w:rPr>
                <w:rFonts w:hint="eastAsia" w:asciiTheme="minorEastAsia" w:hAnsiTheme="minorEastAsia" w:eastAsiaTheme="minorEastAsia" w:cstheme="minorEastAsia"/>
                <w:color w:val="auto"/>
                <w:kern w:val="0"/>
                <w:sz w:val="18"/>
                <w:szCs w:val="18"/>
                <w:lang w:bidi="ar"/>
              </w:rPr>
              <w:t>1、要求24小时内响应，每个季度提供上门咨询，听取使用意见，提供完整的耗材赔付制度。2、定期对操作人员进行系统的操作、维护、保养及一般故障排除技能的培训。</w:t>
            </w:r>
          </w:p>
        </w:tc>
      </w:tr>
    </w:tbl>
    <w:p>
      <w:pPr>
        <w:spacing w:line="288" w:lineRule="auto"/>
        <w:rPr>
          <w:rStyle w:val="32"/>
          <w:rFonts w:ascii="仿宋" w:hAnsi="仿宋" w:eastAsia="仿宋" w:cs="仿宋"/>
          <w:b/>
          <w:bCs/>
          <w:color w:val="auto"/>
          <w:sz w:val="24"/>
          <w:u w:val="none"/>
        </w:rPr>
      </w:pPr>
    </w:p>
    <w:p>
      <w:pPr>
        <w:spacing w:line="288" w:lineRule="auto"/>
        <w:rPr>
          <w:rStyle w:val="32"/>
          <w:rFonts w:ascii="仿宋" w:hAnsi="仿宋" w:eastAsia="仿宋" w:cs="仿宋"/>
          <w:b/>
          <w:bCs/>
          <w:color w:val="auto"/>
          <w:sz w:val="24"/>
          <w:u w:val="none"/>
        </w:rPr>
      </w:pPr>
      <w:r>
        <w:rPr>
          <w:rStyle w:val="32"/>
          <w:rFonts w:hint="eastAsia" w:ascii="仿宋" w:hAnsi="仿宋" w:eastAsia="仿宋" w:cs="仿宋"/>
          <w:b/>
          <w:bCs/>
          <w:color w:val="auto"/>
          <w:sz w:val="24"/>
          <w:u w:val="none"/>
        </w:rPr>
        <w:t>标段</w:t>
      </w:r>
      <w:r>
        <w:rPr>
          <w:rStyle w:val="32"/>
          <w:rFonts w:hint="eastAsia" w:ascii="仿宋" w:hAnsi="仿宋" w:eastAsia="仿宋" w:cs="仿宋"/>
          <w:b/>
          <w:bCs/>
          <w:color w:val="auto"/>
          <w:sz w:val="24"/>
          <w:u w:val="none"/>
          <w:lang w:val="en-US" w:eastAsia="zh-CN"/>
        </w:rPr>
        <w:t>3</w:t>
      </w:r>
      <w:r>
        <w:rPr>
          <w:rStyle w:val="32"/>
          <w:rFonts w:hint="eastAsia" w:ascii="仿宋" w:hAnsi="仿宋" w:eastAsia="仿宋" w:cs="仿宋"/>
          <w:b/>
          <w:bCs/>
          <w:color w:val="auto"/>
          <w:sz w:val="24"/>
          <w:u w:val="none"/>
        </w:rPr>
        <w:t>：乙肝诊断试剂</w:t>
      </w:r>
    </w:p>
    <w:tbl>
      <w:tblPr>
        <w:tblStyle w:val="26"/>
        <w:tblW w:w="10549" w:type="dxa"/>
        <w:tblInd w:w="-895" w:type="dxa"/>
        <w:tblLayout w:type="fixed"/>
        <w:tblCellMar>
          <w:top w:w="15" w:type="dxa"/>
          <w:left w:w="15" w:type="dxa"/>
          <w:bottom w:w="15" w:type="dxa"/>
          <w:right w:w="15" w:type="dxa"/>
        </w:tblCellMar>
      </w:tblPr>
      <w:tblGrid>
        <w:gridCol w:w="682"/>
        <w:gridCol w:w="640"/>
        <w:gridCol w:w="1785"/>
        <w:gridCol w:w="1380"/>
        <w:gridCol w:w="690"/>
        <w:gridCol w:w="1065"/>
        <w:gridCol w:w="4307"/>
      </w:tblGrid>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标段</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分项</w:t>
            </w:r>
          </w:p>
        </w:tc>
        <w:tc>
          <w:tcPr>
            <w:tcW w:w="17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品名</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规格</w:t>
            </w:r>
          </w:p>
        </w:tc>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国产</w:t>
            </w:r>
            <w:r>
              <w:rPr>
                <w:rFonts w:ascii="宋体" w:hAnsi="宋体" w:cs="宋体"/>
                <w:kern w:val="0"/>
                <w:sz w:val="20"/>
                <w:szCs w:val="20"/>
                <w:lang w:bidi="ar"/>
              </w:rPr>
              <w:t>/</w:t>
            </w:r>
            <w:r>
              <w:rPr>
                <w:rFonts w:hint="eastAsia" w:ascii="宋体" w:hAnsi="宋体" w:cs="宋体"/>
                <w:kern w:val="0"/>
                <w:sz w:val="20"/>
                <w:szCs w:val="20"/>
                <w:lang w:bidi="ar"/>
              </w:rPr>
              <w:t>进口</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单价上限价</w:t>
            </w:r>
          </w:p>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（元）</w:t>
            </w:r>
          </w:p>
        </w:tc>
        <w:tc>
          <w:tcPr>
            <w:tcW w:w="4307"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技术参数</w:t>
            </w:r>
          </w:p>
        </w:tc>
      </w:tr>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标段四</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血液酶免试剂</w:t>
            </w:r>
          </w:p>
        </w:tc>
        <w:tc>
          <w:tcPr>
            <w:tcW w:w="178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textAlignment w:val="center"/>
              <w:rPr>
                <w:rFonts w:ascii="宋体" w:cs="宋体"/>
                <w:color w:val="auto"/>
                <w:sz w:val="20"/>
                <w:szCs w:val="20"/>
              </w:rPr>
            </w:pPr>
            <w:r>
              <w:rPr>
                <w:rFonts w:hint="eastAsia" w:ascii="宋体" w:hAnsi="宋体" w:cs="宋体"/>
                <w:color w:val="auto"/>
                <w:kern w:val="0"/>
                <w:sz w:val="20"/>
                <w:szCs w:val="20"/>
                <w:lang w:bidi="ar"/>
              </w:rPr>
              <w:t>乙型肝炎病毒表面抗原诊断试剂（酶联免疫法）</w:t>
            </w:r>
          </w:p>
        </w:tc>
        <w:tc>
          <w:tcPr>
            <w:tcW w:w="138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ascii="宋体" w:hAnsi="宋体" w:cs="宋体"/>
                <w:color w:val="auto"/>
                <w:sz w:val="20"/>
                <w:szCs w:val="20"/>
              </w:rPr>
              <w:t>480T/</w:t>
            </w:r>
            <w:r>
              <w:rPr>
                <w:rFonts w:hint="eastAsia" w:ascii="宋体" w:hAnsi="宋体" w:cs="宋体"/>
                <w:color w:val="auto"/>
                <w:sz w:val="20"/>
                <w:szCs w:val="20"/>
              </w:rPr>
              <w:t>盒（其他包装规格报价换算为</w:t>
            </w:r>
            <w:r>
              <w:rPr>
                <w:rFonts w:ascii="宋体" w:hAnsi="宋体" w:cs="宋体"/>
                <w:color w:val="auto"/>
                <w:sz w:val="20"/>
                <w:szCs w:val="20"/>
              </w:rPr>
              <w:t>480T/</w:t>
            </w:r>
            <w:r>
              <w:rPr>
                <w:rFonts w:hint="eastAsia" w:ascii="宋体" w:hAnsi="宋体" w:cs="宋体"/>
                <w:color w:val="auto"/>
                <w:sz w:val="20"/>
                <w:szCs w:val="20"/>
              </w:rPr>
              <w:t>盒）</w:t>
            </w:r>
          </w:p>
        </w:tc>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Theme="minorEastAsia" w:hAnsiTheme="minorEastAsia" w:eastAsiaTheme="minorEastAsia" w:cstheme="minorEastAsia"/>
                <w:color w:val="auto"/>
                <w:sz w:val="18"/>
                <w:szCs w:val="18"/>
              </w:rPr>
              <w:t>允许进口</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color w:val="auto"/>
                <w:kern w:val="0"/>
                <w:sz w:val="20"/>
                <w:szCs w:val="20"/>
                <w:lang w:bidi="ar"/>
              </w:rPr>
            </w:pPr>
            <w:r>
              <w:rPr>
                <w:rFonts w:hint="eastAsia" w:ascii="宋体" w:hAnsi="宋体" w:cs="宋体"/>
                <w:color w:val="auto"/>
                <w:kern w:val="0"/>
                <w:sz w:val="20"/>
                <w:szCs w:val="20"/>
                <w:lang w:bidi="ar"/>
              </w:rPr>
              <w:t>3216</w:t>
            </w:r>
          </w:p>
        </w:tc>
        <w:tc>
          <w:tcPr>
            <w:tcW w:w="4307"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宋体" w:cs="宋体"/>
                <w:color w:val="auto"/>
                <w:sz w:val="20"/>
                <w:szCs w:val="20"/>
              </w:rPr>
            </w:pPr>
            <w:r>
              <w:rPr>
                <w:rFonts w:ascii="宋体" w:hAnsi="宋体" w:cs="宋体"/>
                <w:color w:val="auto"/>
                <w:sz w:val="20"/>
                <w:szCs w:val="20"/>
              </w:rPr>
              <w:t>1.</w:t>
            </w:r>
            <w:r>
              <w:rPr>
                <w:rFonts w:hint="eastAsia" w:ascii="宋体" w:hAnsi="宋体" w:cs="宋体"/>
                <w:color w:val="auto"/>
                <w:sz w:val="20"/>
                <w:szCs w:val="20"/>
              </w:rPr>
              <w:t>适合血站的血液筛查；试剂方法：</w:t>
            </w:r>
            <w:r>
              <w:rPr>
                <w:rFonts w:ascii="宋体" w:hAnsi="宋体" w:cs="宋体"/>
                <w:color w:val="auto"/>
                <w:sz w:val="20"/>
                <w:szCs w:val="20"/>
              </w:rPr>
              <w:t>ELISA</w:t>
            </w:r>
            <w:r>
              <w:rPr>
                <w:rFonts w:hint="eastAsia" w:ascii="宋体" w:hAnsi="宋体" w:cs="宋体"/>
                <w:color w:val="auto"/>
                <w:sz w:val="20"/>
                <w:szCs w:val="20"/>
              </w:rPr>
              <w:t>，原理：双抗体夹心法；</w:t>
            </w:r>
            <w:r>
              <w:rPr>
                <w:rFonts w:ascii="宋体" w:hAnsi="宋体" w:cs="宋体"/>
                <w:color w:val="auto"/>
                <w:sz w:val="20"/>
                <w:szCs w:val="20"/>
              </w:rPr>
              <w:t xml:space="preserve"> </w:t>
            </w:r>
          </w:p>
          <w:p>
            <w:pPr>
              <w:spacing w:line="288" w:lineRule="auto"/>
              <w:jc w:val="left"/>
              <w:rPr>
                <w:rFonts w:ascii="宋体" w:cs="宋体"/>
                <w:color w:val="auto"/>
                <w:sz w:val="20"/>
                <w:szCs w:val="20"/>
              </w:rPr>
            </w:pPr>
            <w:r>
              <w:rPr>
                <w:rFonts w:ascii="宋体" w:hAnsi="宋体" w:cs="宋体"/>
                <w:color w:val="auto"/>
                <w:sz w:val="20"/>
                <w:szCs w:val="20"/>
              </w:rPr>
              <w:t>2.</w:t>
            </w:r>
            <w:r>
              <w:rPr>
                <w:rFonts w:hint="eastAsia" w:ascii="宋体" w:hAnsi="宋体" w:cs="宋体"/>
                <w:color w:val="auto"/>
                <w:sz w:val="20"/>
                <w:szCs w:val="20"/>
              </w:rPr>
              <w:t>适用于全自动酶联分析系统；</w:t>
            </w:r>
          </w:p>
          <w:p>
            <w:pPr>
              <w:spacing w:line="288" w:lineRule="auto"/>
              <w:jc w:val="left"/>
              <w:rPr>
                <w:rFonts w:ascii="宋体" w:cs="宋体"/>
                <w:color w:val="auto"/>
                <w:sz w:val="20"/>
                <w:szCs w:val="20"/>
              </w:rPr>
            </w:pPr>
            <w:r>
              <w:rPr>
                <w:rFonts w:ascii="宋体" w:hAnsi="宋体" w:cs="宋体"/>
                <w:color w:val="auto"/>
                <w:sz w:val="20"/>
                <w:szCs w:val="20"/>
              </w:rPr>
              <w:t>3.</w:t>
            </w:r>
            <w:r>
              <w:rPr>
                <w:rFonts w:hint="eastAsia" w:ascii="宋体" w:hAnsi="宋体" w:cs="宋体"/>
                <w:color w:val="auto"/>
                <w:sz w:val="20"/>
                <w:szCs w:val="20"/>
              </w:rPr>
              <w:t>试剂检测灵敏度≤</w:t>
            </w:r>
            <w:r>
              <w:rPr>
                <w:rFonts w:ascii="宋体" w:hAnsi="宋体" w:cs="宋体"/>
                <w:color w:val="auto"/>
                <w:sz w:val="20"/>
                <w:szCs w:val="20"/>
              </w:rPr>
              <w:t>0.1IU/ml</w:t>
            </w:r>
            <w:r>
              <w:rPr>
                <w:rFonts w:hint="eastAsia" w:ascii="宋体" w:hAnsi="宋体" w:cs="宋体"/>
                <w:color w:val="auto"/>
                <w:sz w:val="20"/>
                <w:szCs w:val="20"/>
              </w:rPr>
              <w:t>；</w:t>
            </w:r>
          </w:p>
          <w:p>
            <w:pPr>
              <w:spacing w:line="288" w:lineRule="auto"/>
              <w:jc w:val="left"/>
              <w:rPr>
                <w:rFonts w:ascii="宋体" w:cs="宋体"/>
                <w:color w:val="auto"/>
                <w:sz w:val="20"/>
                <w:szCs w:val="20"/>
              </w:rPr>
            </w:pPr>
            <w:r>
              <w:rPr>
                <w:rFonts w:ascii="宋体" w:hAnsi="宋体" w:cs="宋体"/>
                <w:color w:val="auto"/>
                <w:sz w:val="20"/>
                <w:szCs w:val="20"/>
              </w:rPr>
              <w:t>4.</w:t>
            </w:r>
            <w:r>
              <w:rPr>
                <w:rFonts w:hint="eastAsia" w:ascii="宋体" w:hAnsi="宋体" w:cs="宋体"/>
                <w:color w:val="auto"/>
                <w:sz w:val="20"/>
                <w:szCs w:val="20"/>
              </w:rPr>
              <w:t>稀释液加样后有明显的变色指示，标记酶有明显的颜色标识；</w:t>
            </w:r>
          </w:p>
          <w:p>
            <w:pPr>
              <w:spacing w:line="288" w:lineRule="auto"/>
              <w:jc w:val="left"/>
              <w:rPr>
                <w:rFonts w:ascii="宋体" w:cs="宋体"/>
                <w:color w:val="auto"/>
                <w:sz w:val="20"/>
                <w:szCs w:val="20"/>
              </w:rPr>
            </w:pPr>
            <w:r>
              <w:rPr>
                <w:rFonts w:ascii="宋体" w:hAnsi="宋体" w:cs="宋体"/>
                <w:color w:val="auto"/>
                <w:sz w:val="20"/>
                <w:szCs w:val="20"/>
              </w:rPr>
              <w:t>5.</w:t>
            </w:r>
            <w:r>
              <w:rPr>
                <w:rFonts w:hint="eastAsia" w:ascii="宋体" w:hAnsi="宋体" w:cs="宋体"/>
                <w:color w:val="auto"/>
                <w:sz w:val="20"/>
                <w:szCs w:val="20"/>
              </w:rPr>
              <w:t>试剂于</w:t>
            </w:r>
            <w:r>
              <w:rPr>
                <w:rFonts w:ascii="宋体" w:hAnsi="宋体" w:cs="宋体"/>
                <w:color w:val="auto"/>
                <w:sz w:val="20"/>
                <w:szCs w:val="20"/>
              </w:rPr>
              <w:t>2-8</w:t>
            </w:r>
            <w:r>
              <w:rPr>
                <w:rFonts w:hint="eastAsia" w:ascii="宋体" w:hAnsi="宋体" w:cs="宋体"/>
                <w:color w:val="auto"/>
                <w:sz w:val="20"/>
                <w:szCs w:val="20"/>
              </w:rPr>
              <w:t>℃避光保存，运输后送达时温度应在</w:t>
            </w:r>
            <w:r>
              <w:rPr>
                <w:rFonts w:ascii="宋体" w:hAnsi="宋体" w:cs="宋体"/>
                <w:color w:val="auto"/>
                <w:sz w:val="20"/>
                <w:szCs w:val="20"/>
              </w:rPr>
              <w:t>2-10</w:t>
            </w:r>
            <w:r>
              <w:rPr>
                <w:rFonts w:hint="eastAsia" w:ascii="宋体" w:hAnsi="宋体" w:cs="宋体"/>
                <w:color w:val="auto"/>
                <w:sz w:val="20"/>
                <w:szCs w:val="20"/>
              </w:rPr>
              <w:t>℃；</w:t>
            </w:r>
          </w:p>
        </w:tc>
      </w:tr>
    </w:tbl>
    <w:p>
      <w:pPr>
        <w:spacing w:line="288" w:lineRule="auto"/>
        <w:rPr>
          <w:rStyle w:val="32"/>
          <w:rFonts w:ascii="仿宋" w:hAnsi="仿宋" w:eastAsia="仿宋" w:cs="仿宋"/>
          <w:b/>
          <w:bCs/>
          <w:color w:val="auto"/>
          <w:sz w:val="24"/>
          <w:u w:val="none"/>
        </w:rPr>
      </w:pPr>
    </w:p>
    <w:p>
      <w:pPr>
        <w:spacing w:line="288" w:lineRule="auto"/>
        <w:rPr>
          <w:rStyle w:val="32"/>
          <w:rFonts w:ascii="仿宋" w:hAnsi="仿宋" w:eastAsia="仿宋" w:cs="仿宋"/>
          <w:b/>
          <w:bCs/>
          <w:color w:val="auto"/>
          <w:sz w:val="24"/>
          <w:u w:val="none"/>
        </w:rPr>
      </w:pPr>
      <w:r>
        <w:rPr>
          <w:rStyle w:val="32"/>
          <w:rFonts w:hint="eastAsia" w:ascii="仿宋" w:hAnsi="仿宋" w:eastAsia="仿宋" w:cs="仿宋"/>
          <w:b/>
          <w:bCs/>
          <w:color w:val="auto"/>
          <w:sz w:val="24"/>
          <w:u w:val="none"/>
        </w:rPr>
        <w:t>标段</w:t>
      </w:r>
      <w:r>
        <w:rPr>
          <w:rStyle w:val="32"/>
          <w:rFonts w:hint="eastAsia" w:ascii="仿宋" w:hAnsi="仿宋" w:eastAsia="仿宋" w:cs="仿宋"/>
          <w:b/>
          <w:bCs/>
          <w:color w:val="auto"/>
          <w:sz w:val="24"/>
          <w:u w:val="none"/>
          <w:lang w:val="en-US" w:eastAsia="zh-CN"/>
        </w:rPr>
        <w:t>4</w:t>
      </w:r>
      <w:r>
        <w:rPr>
          <w:rStyle w:val="32"/>
          <w:rFonts w:hint="eastAsia" w:ascii="仿宋" w:hAnsi="仿宋" w:eastAsia="仿宋" w:cs="仿宋"/>
          <w:b/>
          <w:bCs/>
          <w:color w:val="auto"/>
          <w:sz w:val="24"/>
          <w:u w:val="none"/>
        </w:rPr>
        <w:t>：HIV诊断试剂</w:t>
      </w:r>
    </w:p>
    <w:tbl>
      <w:tblPr>
        <w:tblStyle w:val="26"/>
        <w:tblW w:w="10524" w:type="dxa"/>
        <w:tblInd w:w="-870" w:type="dxa"/>
        <w:tblLayout w:type="fixed"/>
        <w:tblCellMar>
          <w:top w:w="15" w:type="dxa"/>
          <w:left w:w="15" w:type="dxa"/>
          <w:bottom w:w="15" w:type="dxa"/>
          <w:right w:w="15" w:type="dxa"/>
        </w:tblCellMar>
      </w:tblPr>
      <w:tblGrid>
        <w:gridCol w:w="682"/>
        <w:gridCol w:w="640"/>
        <w:gridCol w:w="1745"/>
        <w:gridCol w:w="1365"/>
        <w:gridCol w:w="690"/>
        <w:gridCol w:w="1035"/>
        <w:gridCol w:w="4367"/>
      </w:tblGrid>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标段</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分项</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品名</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规格</w:t>
            </w:r>
          </w:p>
        </w:tc>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国产</w:t>
            </w:r>
            <w:r>
              <w:rPr>
                <w:rFonts w:ascii="宋体" w:hAnsi="宋体" w:cs="宋体"/>
                <w:kern w:val="0"/>
                <w:sz w:val="20"/>
                <w:szCs w:val="20"/>
                <w:lang w:bidi="ar"/>
              </w:rPr>
              <w:t>/</w:t>
            </w:r>
            <w:r>
              <w:rPr>
                <w:rFonts w:hint="eastAsia" w:ascii="宋体" w:hAnsi="宋体" w:cs="宋体"/>
                <w:kern w:val="0"/>
                <w:sz w:val="20"/>
                <w:szCs w:val="20"/>
                <w:lang w:bidi="ar"/>
              </w:rPr>
              <w:t>进口</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单价上限价</w:t>
            </w:r>
          </w:p>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（元）</w:t>
            </w:r>
          </w:p>
        </w:tc>
        <w:tc>
          <w:tcPr>
            <w:tcW w:w="4367"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技术参数</w:t>
            </w:r>
          </w:p>
        </w:tc>
      </w:tr>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标段五</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血液酶免试剂</w:t>
            </w:r>
          </w:p>
        </w:tc>
        <w:tc>
          <w:tcPr>
            <w:tcW w:w="174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textAlignment w:val="center"/>
              <w:rPr>
                <w:rFonts w:ascii="宋体" w:cs="宋体"/>
                <w:color w:val="auto"/>
                <w:sz w:val="20"/>
                <w:szCs w:val="20"/>
              </w:rPr>
            </w:pPr>
            <w:r>
              <w:rPr>
                <w:rFonts w:hint="eastAsia" w:ascii="宋体" w:hAnsi="宋体" w:cs="宋体"/>
                <w:color w:val="auto"/>
                <w:kern w:val="0"/>
                <w:sz w:val="20"/>
                <w:szCs w:val="20"/>
                <w:lang w:bidi="ar"/>
              </w:rPr>
              <w:t>人类免疫缺陷病毒抗体抗原联合诊断试剂（酶联免疫法）</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ascii="宋体" w:hAnsi="宋体" w:cs="宋体"/>
                <w:color w:val="auto"/>
                <w:sz w:val="20"/>
                <w:szCs w:val="20"/>
              </w:rPr>
              <w:t>480T/</w:t>
            </w:r>
            <w:r>
              <w:rPr>
                <w:rFonts w:hint="eastAsia" w:ascii="宋体" w:hAnsi="宋体" w:cs="宋体"/>
                <w:color w:val="auto"/>
                <w:sz w:val="20"/>
                <w:szCs w:val="20"/>
              </w:rPr>
              <w:t>盒（其他包装规格报价换算为</w:t>
            </w:r>
            <w:r>
              <w:rPr>
                <w:rFonts w:ascii="宋体" w:hAnsi="宋体" w:cs="宋体"/>
                <w:color w:val="auto"/>
                <w:sz w:val="20"/>
                <w:szCs w:val="20"/>
              </w:rPr>
              <w:t>480T/</w:t>
            </w:r>
            <w:r>
              <w:rPr>
                <w:rFonts w:hint="eastAsia" w:ascii="宋体" w:hAnsi="宋体" w:cs="宋体"/>
                <w:color w:val="auto"/>
                <w:sz w:val="20"/>
                <w:szCs w:val="20"/>
              </w:rPr>
              <w:t>盒）</w:t>
            </w:r>
          </w:p>
        </w:tc>
        <w:tc>
          <w:tcPr>
            <w:tcW w:w="69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Theme="minorEastAsia" w:hAnsiTheme="minorEastAsia" w:eastAsiaTheme="minorEastAsia" w:cstheme="minorEastAsia"/>
                <w:color w:val="auto"/>
                <w:sz w:val="18"/>
                <w:szCs w:val="18"/>
              </w:rPr>
              <w:t>允许进口</w:t>
            </w:r>
          </w:p>
        </w:tc>
        <w:tc>
          <w:tcPr>
            <w:tcW w:w="103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3984</w:t>
            </w:r>
          </w:p>
        </w:tc>
        <w:tc>
          <w:tcPr>
            <w:tcW w:w="4367"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宋体" w:cs="宋体"/>
                <w:sz w:val="20"/>
                <w:szCs w:val="20"/>
              </w:rPr>
            </w:pPr>
            <w:r>
              <w:rPr>
                <w:rFonts w:ascii="宋体" w:hAnsi="宋体" w:cs="宋体"/>
                <w:sz w:val="20"/>
                <w:szCs w:val="20"/>
              </w:rPr>
              <w:t>1.</w:t>
            </w:r>
            <w:r>
              <w:rPr>
                <w:rFonts w:hint="eastAsia" w:ascii="宋体" w:hAnsi="宋体" w:cs="宋体"/>
                <w:sz w:val="20"/>
                <w:szCs w:val="20"/>
              </w:rPr>
              <w:t>适合血站的血液筛查；进口试剂方法：</w:t>
            </w:r>
            <w:r>
              <w:rPr>
                <w:rFonts w:ascii="宋体" w:hAnsi="宋体" w:cs="宋体"/>
                <w:sz w:val="20"/>
                <w:szCs w:val="20"/>
              </w:rPr>
              <w:t>ELISA</w:t>
            </w:r>
            <w:r>
              <w:rPr>
                <w:rFonts w:hint="eastAsia" w:ascii="宋体" w:hAnsi="宋体" w:cs="宋体"/>
                <w:sz w:val="20"/>
                <w:szCs w:val="20"/>
              </w:rPr>
              <w:t>；</w:t>
            </w:r>
          </w:p>
          <w:p>
            <w:pPr>
              <w:spacing w:line="288" w:lineRule="auto"/>
              <w:jc w:val="left"/>
              <w:rPr>
                <w:rFonts w:ascii="宋体" w:cs="宋体"/>
                <w:sz w:val="20"/>
                <w:szCs w:val="20"/>
              </w:rPr>
            </w:pPr>
            <w:r>
              <w:rPr>
                <w:rFonts w:ascii="宋体" w:hAnsi="宋体" w:cs="宋体"/>
                <w:sz w:val="20"/>
                <w:szCs w:val="20"/>
              </w:rPr>
              <w:t>2.</w:t>
            </w:r>
            <w:r>
              <w:rPr>
                <w:rFonts w:hint="eastAsia" w:ascii="宋体" w:hAnsi="宋体" w:cs="宋体"/>
                <w:sz w:val="20"/>
                <w:szCs w:val="20"/>
              </w:rPr>
              <w:t>适用于全自动酶联分析系统。</w:t>
            </w:r>
          </w:p>
          <w:p>
            <w:pPr>
              <w:spacing w:line="288" w:lineRule="auto"/>
              <w:jc w:val="left"/>
              <w:rPr>
                <w:rFonts w:ascii="宋体" w:cs="宋体"/>
                <w:sz w:val="20"/>
                <w:szCs w:val="20"/>
              </w:rPr>
            </w:pPr>
            <w:r>
              <w:rPr>
                <w:rFonts w:ascii="宋体" w:hAnsi="宋体" w:cs="宋体"/>
                <w:sz w:val="20"/>
                <w:szCs w:val="20"/>
              </w:rPr>
              <w:t>3.</w:t>
            </w:r>
            <w:r>
              <w:rPr>
                <w:rFonts w:hint="eastAsia" w:ascii="宋体" w:hAnsi="宋体" w:cs="宋体"/>
                <w:sz w:val="20"/>
                <w:szCs w:val="20"/>
              </w:rPr>
              <w:t>进口试剂检测范围包括</w:t>
            </w:r>
            <w:r>
              <w:rPr>
                <w:rFonts w:ascii="宋体" w:hAnsi="宋体" w:cs="宋体"/>
                <w:sz w:val="20"/>
                <w:szCs w:val="20"/>
              </w:rPr>
              <w:t>HIV-1</w:t>
            </w:r>
            <w:r>
              <w:rPr>
                <w:rFonts w:hint="eastAsia" w:ascii="宋体" w:hAnsi="宋体" w:cs="宋体"/>
                <w:sz w:val="20"/>
                <w:szCs w:val="20"/>
              </w:rPr>
              <w:t>、</w:t>
            </w:r>
            <w:r>
              <w:rPr>
                <w:rFonts w:ascii="宋体" w:hAnsi="宋体" w:cs="宋体"/>
                <w:sz w:val="20"/>
                <w:szCs w:val="20"/>
              </w:rPr>
              <w:t>2</w:t>
            </w:r>
            <w:r>
              <w:rPr>
                <w:rFonts w:hint="eastAsia" w:ascii="宋体" w:hAnsi="宋体" w:cs="宋体"/>
                <w:sz w:val="20"/>
                <w:szCs w:val="20"/>
              </w:rPr>
              <w:t>抗体、</w:t>
            </w:r>
            <w:r>
              <w:rPr>
                <w:rFonts w:ascii="宋体" w:hAnsi="宋体" w:cs="宋体"/>
                <w:sz w:val="20"/>
                <w:szCs w:val="20"/>
              </w:rPr>
              <w:t>O</w:t>
            </w:r>
            <w:r>
              <w:rPr>
                <w:rFonts w:hint="eastAsia" w:ascii="宋体" w:hAnsi="宋体" w:cs="宋体"/>
                <w:sz w:val="20"/>
                <w:szCs w:val="20"/>
              </w:rPr>
              <w:t>亚型抗体、</w:t>
            </w:r>
            <w:r>
              <w:rPr>
                <w:rFonts w:ascii="宋体" w:hAnsi="宋体" w:cs="宋体"/>
                <w:sz w:val="20"/>
                <w:szCs w:val="20"/>
              </w:rPr>
              <w:t>HIV-1</w:t>
            </w:r>
            <w:r>
              <w:rPr>
                <w:rFonts w:hint="eastAsia" w:ascii="宋体" w:hAnsi="宋体" w:cs="宋体"/>
                <w:sz w:val="20"/>
                <w:szCs w:val="20"/>
              </w:rPr>
              <w:t>型抗原；</w:t>
            </w:r>
          </w:p>
          <w:p>
            <w:pPr>
              <w:spacing w:line="288" w:lineRule="auto"/>
              <w:jc w:val="left"/>
              <w:rPr>
                <w:rFonts w:ascii="宋体" w:cs="宋体"/>
                <w:sz w:val="20"/>
                <w:szCs w:val="20"/>
              </w:rPr>
            </w:pPr>
            <w:r>
              <w:rPr>
                <w:rFonts w:ascii="宋体" w:hAnsi="宋体" w:cs="宋体"/>
                <w:sz w:val="20"/>
                <w:szCs w:val="20"/>
              </w:rPr>
              <w:t>4.</w:t>
            </w:r>
            <w:r>
              <w:rPr>
                <w:rFonts w:hint="eastAsia" w:ascii="宋体" w:hAnsi="宋体" w:cs="宋体"/>
                <w:sz w:val="20"/>
                <w:szCs w:val="20"/>
              </w:rPr>
              <w:t>试剂于</w:t>
            </w:r>
            <w:r>
              <w:rPr>
                <w:rFonts w:ascii="宋体" w:hAnsi="宋体" w:cs="宋体"/>
                <w:sz w:val="20"/>
                <w:szCs w:val="20"/>
              </w:rPr>
              <w:t>2-8</w:t>
            </w:r>
            <w:r>
              <w:rPr>
                <w:rFonts w:hint="eastAsia" w:ascii="宋体" w:hAnsi="宋体" w:cs="宋体"/>
                <w:sz w:val="20"/>
                <w:szCs w:val="20"/>
              </w:rPr>
              <w:t>℃避光保存，运输后送达时温度应在</w:t>
            </w:r>
            <w:r>
              <w:rPr>
                <w:rFonts w:ascii="宋体" w:hAnsi="宋体" w:cs="宋体"/>
                <w:sz w:val="20"/>
                <w:szCs w:val="20"/>
              </w:rPr>
              <w:t>2-10</w:t>
            </w:r>
            <w:r>
              <w:rPr>
                <w:rFonts w:hint="eastAsia" w:ascii="宋体" w:hAnsi="宋体" w:cs="宋体"/>
                <w:sz w:val="20"/>
                <w:szCs w:val="20"/>
              </w:rPr>
              <w:t>℃；</w:t>
            </w:r>
          </w:p>
        </w:tc>
      </w:tr>
    </w:tbl>
    <w:p>
      <w:pPr>
        <w:spacing w:line="288" w:lineRule="auto"/>
        <w:rPr>
          <w:rStyle w:val="32"/>
          <w:rFonts w:ascii="仿宋" w:hAnsi="仿宋" w:eastAsia="仿宋" w:cs="仿宋"/>
          <w:b/>
          <w:bCs/>
          <w:color w:val="auto"/>
          <w:sz w:val="24"/>
          <w:u w:val="none"/>
        </w:rPr>
      </w:pPr>
    </w:p>
    <w:p>
      <w:pPr>
        <w:spacing w:line="288" w:lineRule="auto"/>
        <w:rPr>
          <w:rStyle w:val="32"/>
          <w:rFonts w:ascii="仿宋" w:hAnsi="仿宋" w:eastAsia="仿宋" w:cs="仿宋"/>
          <w:b/>
          <w:bCs/>
          <w:color w:val="auto"/>
          <w:sz w:val="24"/>
          <w:u w:val="none"/>
        </w:rPr>
      </w:pPr>
      <w:r>
        <w:rPr>
          <w:rStyle w:val="32"/>
          <w:rFonts w:hint="eastAsia" w:ascii="仿宋" w:hAnsi="仿宋" w:eastAsia="仿宋" w:cs="仿宋"/>
          <w:b/>
          <w:bCs/>
          <w:color w:val="auto"/>
          <w:sz w:val="24"/>
          <w:u w:val="none"/>
        </w:rPr>
        <w:t>标段</w:t>
      </w:r>
      <w:r>
        <w:rPr>
          <w:rStyle w:val="32"/>
          <w:rFonts w:hint="eastAsia" w:ascii="仿宋" w:hAnsi="仿宋" w:eastAsia="仿宋" w:cs="仿宋"/>
          <w:b/>
          <w:bCs/>
          <w:color w:val="auto"/>
          <w:sz w:val="24"/>
          <w:u w:val="none"/>
          <w:lang w:val="en-US" w:eastAsia="zh-CN"/>
        </w:rPr>
        <w:t>5</w:t>
      </w:r>
      <w:r>
        <w:rPr>
          <w:rStyle w:val="32"/>
          <w:rFonts w:hint="eastAsia" w:ascii="仿宋" w:hAnsi="仿宋" w:eastAsia="仿宋" w:cs="仿宋"/>
          <w:b/>
          <w:bCs/>
          <w:color w:val="auto"/>
          <w:sz w:val="24"/>
          <w:u w:val="none"/>
        </w:rPr>
        <w:t>：丙肝诊断试剂</w:t>
      </w:r>
    </w:p>
    <w:tbl>
      <w:tblPr>
        <w:tblStyle w:val="26"/>
        <w:tblW w:w="10524" w:type="dxa"/>
        <w:tblInd w:w="-870" w:type="dxa"/>
        <w:tblLayout w:type="fixed"/>
        <w:tblCellMar>
          <w:top w:w="15" w:type="dxa"/>
          <w:left w:w="15" w:type="dxa"/>
          <w:bottom w:w="15" w:type="dxa"/>
          <w:right w:w="15" w:type="dxa"/>
        </w:tblCellMar>
      </w:tblPr>
      <w:tblGrid>
        <w:gridCol w:w="682"/>
        <w:gridCol w:w="640"/>
        <w:gridCol w:w="1775"/>
        <w:gridCol w:w="1395"/>
        <w:gridCol w:w="675"/>
        <w:gridCol w:w="1065"/>
        <w:gridCol w:w="4292"/>
      </w:tblGrid>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标段</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分项</w:t>
            </w:r>
          </w:p>
        </w:tc>
        <w:tc>
          <w:tcPr>
            <w:tcW w:w="17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品名</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规格</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国产</w:t>
            </w:r>
            <w:r>
              <w:rPr>
                <w:rFonts w:ascii="宋体" w:hAnsi="宋体" w:cs="宋体"/>
                <w:kern w:val="0"/>
                <w:sz w:val="20"/>
                <w:szCs w:val="20"/>
                <w:lang w:bidi="ar"/>
              </w:rPr>
              <w:t>/</w:t>
            </w:r>
            <w:r>
              <w:rPr>
                <w:rFonts w:hint="eastAsia" w:ascii="宋体" w:hAnsi="宋体" w:cs="宋体"/>
                <w:kern w:val="0"/>
                <w:sz w:val="20"/>
                <w:szCs w:val="20"/>
                <w:lang w:bidi="ar"/>
              </w:rPr>
              <w:t>进口</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单价上限价</w:t>
            </w:r>
          </w:p>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（元）</w:t>
            </w:r>
          </w:p>
        </w:tc>
        <w:tc>
          <w:tcPr>
            <w:tcW w:w="429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sz w:val="20"/>
                <w:szCs w:val="20"/>
              </w:rPr>
            </w:pPr>
            <w:r>
              <w:rPr>
                <w:rFonts w:hint="eastAsia" w:ascii="宋体" w:hAnsi="宋体" w:cs="宋体"/>
                <w:kern w:val="0"/>
                <w:sz w:val="20"/>
                <w:szCs w:val="20"/>
                <w:lang w:bidi="ar"/>
              </w:rPr>
              <w:t>技术参数</w:t>
            </w:r>
          </w:p>
        </w:tc>
      </w:tr>
      <w:tr>
        <w:tblPrEx>
          <w:tblCellMar>
            <w:top w:w="15" w:type="dxa"/>
            <w:left w:w="15" w:type="dxa"/>
            <w:bottom w:w="15" w:type="dxa"/>
            <w:right w:w="15" w:type="dxa"/>
          </w:tblCellMar>
        </w:tblPrEx>
        <w:trPr>
          <w:trHeight w:val="342" w:hRule="atLeast"/>
        </w:trPr>
        <w:tc>
          <w:tcPr>
            <w:tcW w:w="682"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标段六</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宋体" w:hAnsi="宋体" w:cs="宋体"/>
                <w:color w:val="auto"/>
                <w:kern w:val="0"/>
                <w:sz w:val="20"/>
                <w:szCs w:val="20"/>
                <w:lang w:bidi="ar"/>
              </w:rPr>
              <w:t>血液酶免试剂</w:t>
            </w:r>
          </w:p>
        </w:tc>
        <w:tc>
          <w:tcPr>
            <w:tcW w:w="17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textAlignment w:val="center"/>
              <w:rPr>
                <w:rFonts w:ascii="宋体" w:cs="宋体"/>
                <w:color w:val="auto"/>
                <w:sz w:val="20"/>
                <w:szCs w:val="20"/>
              </w:rPr>
            </w:pPr>
            <w:r>
              <w:rPr>
                <w:rFonts w:hint="eastAsia" w:ascii="宋体" w:hAnsi="宋体" w:cs="宋体"/>
                <w:color w:val="auto"/>
                <w:kern w:val="0"/>
                <w:sz w:val="20"/>
                <w:szCs w:val="20"/>
                <w:lang w:bidi="ar"/>
              </w:rPr>
              <w:t>丙型肝炎病毒抗体诊断试剂（酶联免疫法）</w:t>
            </w:r>
          </w:p>
        </w:tc>
        <w:tc>
          <w:tcPr>
            <w:tcW w:w="139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ascii="宋体" w:hAnsi="宋体" w:cs="宋体"/>
                <w:color w:val="auto"/>
                <w:sz w:val="20"/>
                <w:szCs w:val="20"/>
              </w:rPr>
              <w:t>480T/</w:t>
            </w:r>
            <w:r>
              <w:rPr>
                <w:rFonts w:hint="eastAsia" w:ascii="宋体" w:hAnsi="宋体" w:cs="宋体"/>
                <w:color w:val="auto"/>
                <w:sz w:val="20"/>
                <w:szCs w:val="20"/>
              </w:rPr>
              <w:t>盒（其他包装规格报价换算为</w:t>
            </w:r>
            <w:r>
              <w:rPr>
                <w:rFonts w:ascii="宋体" w:hAnsi="宋体" w:cs="宋体"/>
                <w:color w:val="auto"/>
                <w:sz w:val="20"/>
                <w:szCs w:val="20"/>
              </w:rPr>
              <w:t>480T/</w:t>
            </w:r>
            <w:r>
              <w:rPr>
                <w:rFonts w:hint="eastAsia" w:ascii="宋体" w:hAnsi="宋体" w:cs="宋体"/>
                <w:color w:val="auto"/>
                <w:sz w:val="20"/>
                <w:szCs w:val="20"/>
              </w:rPr>
              <w:t>盒）</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cs="宋体"/>
                <w:color w:val="auto"/>
                <w:sz w:val="20"/>
                <w:szCs w:val="20"/>
              </w:rPr>
            </w:pPr>
            <w:r>
              <w:rPr>
                <w:rFonts w:hint="eastAsia" w:asciiTheme="minorEastAsia" w:hAnsiTheme="minorEastAsia" w:eastAsiaTheme="minorEastAsia" w:cstheme="minorEastAsia"/>
                <w:color w:val="auto"/>
                <w:sz w:val="18"/>
                <w:szCs w:val="18"/>
              </w:rPr>
              <w:t>允许进口</w:t>
            </w:r>
          </w:p>
        </w:tc>
        <w:tc>
          <w:tcPr>
            <w:tcW w:w="1065"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textAlignment w:val="center"/>
              <w:rPr>
                <w:rFonts w:ascii="宋体" w:hAnsi="宋体" w:cs="宋体"/>
                <w:kern w:val="0"/>
                <w:sz w:val="20"/>
                <w:szCs w:val="20"/>
                <w:lang w:bidi="ar"/>
              </w:rPr>
            </w:pPr>
            <w:r>
              <w:rPr>
                <w:rFonts w:hint="eastAsia" w:ascii="宋体" w:hAnsi="宋体" w:cs="宋体"/>
                <w:kern w:val="0"/>
                <w:sz w:val="20"/>
                <w:szCs w:val="20"/>
                <w:lang w:bidi="ar"/>
              </w:rPr>
              <w:t>10560</w:t>
            </w:r>
          </w:p>
        </w:tc>
        <w:tc>
          <w:tcPr>
            <w:tcW w:w="4292" w:type="dxa"/>
            <w:tcBorders>
              <w:top w:val="single" w:color="auto" w:sz="4" w:space="0"/>
              <w:left w:val="single" w:color="auto" w:sz="4" w:space="0"/>
              <w:bottom w:val="single" w:color="auto" w:sz="4" w:space="0"/>
              <w:right w:val="single" w:color="auto" w:sz="4" w:space="0"/>
            </w:tcBorders>
            <w:vAlign w:val="center"/>
          </w:tcPr>
          <w:p>
            <w:pPr>
              <w:spacing w:line="288" w:lineRule="auto"/>
              <w:jc w:val="left"/>
              <w:rPr>
                <w:rFonts w:ascii="宋体" w:cs="宋体"/>
                <w:sz w:val="20"/>
                <w:szCs w:val="20"/>
              </w:rPr>
            </w:pPr>
            <w:r>
              <w:rPr>
                <w:rFonts w:ascii="宋体" w:hAnsi="宋体" w:cs="宋体"/>
                <w:sz w:val="20"/>
                <w:szCs w:val="20"/>
              </w:rPr>
              <w:t>1.</w:t>
            </w:r>
            <w:r>
              <w:rPr>
                <w:rFonts w:hint="eastAsia" w:ascii="宋体" w:hAnsi="宋体" w:cs="宋体"/>
                <w:sz w:val="20"/>
                <w:szCs w:val="20"/>
              </w:rPr>
              <w:t>适合血站的血液筛查；试剂方法：</w:t>
            </w:r>
            <w:r>
              <w:rPr>
                <w:rFonts w:ascii="宋体" w:hAnsi="宋体" w:cs="宋体"/>
                <w:sz w:val="20"/>
                <w:szCs w:val="20"/>
              </w:rPr>
              <w:t>ELISA</w:t>
            </w:r>
            <w:r>
              <w:rPr>
                <w:rFonts w:hint="eastAsia" w:ascii="宋体" w:hAnsi="宋体" w:cs="宋体"/>
                <w:sz w:val="20"/>
                <w:szCs w:val="20"/>
              </w:rPr>
              <w:t>，原理：间接法；</w:t>
            </w:r>
          </w:p>
          <w:p>
            <w:pPr>
              <w:spacing w:line="288" w:lineRule="auto"/>
              <w:jc w:val="left"/>
              <w:rPr>
                <w:rFonts w:ascii="宋体" w:cs="宋体"/>
                <w:sz w:val="20"/>
                <w:szCs w:val="20"/>
              </w:rPr>
            </w:pPr>
            <w:r>
              <w:rPr>
                <w:rFonts w:ascii="宋体" w:hAnsi="宋体" w:cs="宋体"/>
                <w:sz w:val="20"/>
                <w:szCs w:val="20"/>
              </w:rPr>
              <w:t>2.</w:t>
            </w:r>
            <w:r>
              <w:rPr>
                <w:rFonts w:hint="eastAsia" w:ascii="宋体" w:hAnsi="宋体" w:cs="宋体"/>
                <w:sz w:val="20"/>
                <w:szCs w:val="20"/>
              </w:rPr>
              <w:t>适用于全自动酶联分析系统；</w:t>
            </w:r>
          </w:p>
          <w:p>
            <w:pPr>
              <w:spacing w:line="288" w:lineRule="auto"/>
              <w:jc w:val="left"/>
              <w:rPr>
                <w:rFonts w:ascii="宋体" w:cs="宋体"/>
                <w:sz w:val="20"/>
                <w:szCs w:val="20"/>
              </w:rPr>
            </w:pPr>
            <w:r>
              <w:rPr>
                <w:rFonts w:ascii="宋体" w:hAnsi="宋体" w:cs="宋体"/>
                <w:sz w:val="20"/>
                <w:szCs w:val="20"/>
              </w:rPr>
              <w:t>3.</w:t>
            </w:r>
            <w:r>
              <w:rPr>
                <w:rFonts w:hint="eastAsia" w:ascii="宋体" w:hAnsi="宋体" w:cs="宋体"/>
                <w:sz w:val="20"/>
                <w:szCs w:val="20"/>
              </w:rPr>
              <w:t>稀释液加样后有明显的变色指示，标记酶有明显的颜色标识</w:t>
            </w:r>
          </w:p>
          <w:p>
            <w:pPr>
              <w:spacing w:line="288" w:lineRule="auto"/>
              <w:jc w:val="left"/>
              <w:rPr>
                <w:rFonts w:ascii="宋体" w:cs="宋体"/>
                <w:sz w:val="20"/>
                <w:szCs w:val="20"/>
              </w:rPr>
            </w:pPr>
            <w:r>
              <w:rPr>
                <w:rFonts w:ascii="宋体" w:hAnsi="宋体" w:cs="宋体"/>
                <w:sz w:val="20"/>
                <w:szCs w:val="20"/>
              </w:rPr>
              <w:t>4.</w:t>
            </w:r>
            <w:r>
              <w:rPr>
                <w:rFonts w:hint="eastAsia" w:ascii="宋体" w:hAnsi="宋体" w:cs="宋体"/>
                <w:sz w:val="20"/>
                <w:szCs w:val="20"/>
              </w:rPr>
              <w:t>试剂于</w:t>
            </w:r>
            <w:r>
              <w:rPr>
                <w:rFonts w:ascii="宋体" w:hAnsi="宋体" w:cs="宋体"/>
                <w:sz w:val="20"/>
                <w:szCs w:val="20"/>
              </w:rPr>
              <w:t>2-8</w:t>
            </w:r>
            <w:r>
              <w:rPr>
                <w:rFonts w:hint="eastAsia" w:ascii="宋体" w:hAnsi="宋体" w:cs="宋体"/>
                <w:sz w:val="20"/>
                <w:szCs w:val="20"/>
              </w:rPr>
              <w:t>℃避光保存，运输后送达时温度应在</w:t>
            </w:r>
            <w:r>
              <w:rPr>
                <w:rFonts w:ascii="宋体" w:hAnsi="宋体" w:cs="宋体"/>
                <w:sz w:val="20"/>
                <w:szCs w:val="20"/>
              </w:rPr>
              <w:t>2-10</w:t>
            </w:r>
            <w:r>
              <w:rPr>
                <w:rFonts w:hint="eastAsia" w:ascii="宋体" w:hAnsi="宋体" w:cs="宋体"/>
                <w:sz w:val="20"/>
                <w:szCs w:val="20"/>
              </w:rPr>
              <w:t>℃；</w:t>
            </w:r>
          </w:p>
        </w:tc>
      </w:tr>
    </w:tbl>
    <w:p>
      <w:pPr>
        <w:spacing w:line="288" w:lineRule="auto"/>
        <w:rPr>
          <w:rStyle w:val="32"/>
          <w:rFonts w:ascii="仿宋" w:hAnsi="仿宋" w:eastAsia="仿宋" w:cs="仿宋"/>
          <w:b/>
          <w:bCs/>
          <w:color w:val="auto"/>
          <w:sz w:val="24"/>
          <w:u w:val="none"/>
        </w:rPr>
      </w:pPr>
    </w:p>
    <w:p>
      <w:pPr>
        <w:spacing w:line="288" w:lineRule="auto"/>
        <w:rPr>
          <w:rFonts w:ascii="仿宋" w:hAnsi="仿宋" w:eastAsia="仿宋" w:cs="仿宋"/>
          <w:b/>
          <w:color w:val="000000"/>
          <w:sz w:val="24"/>
        </w:rPr>
      </w:pPr>
      <w:r>
        <w:rPr>
          <w:rFonts w:hint="eastAsia" w:ascii="仿宋" w:hAnsi="仿宋" w:eastAsia="仿宋" w:cs="仿宋"/>
          <w:b/>
          <w:color w:val="000000"/>
          <w:sz w:val="24"/>
        </w:rPr>
        <w:t>其他要求</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1．所有试剂和耗材符合中国食品药品监督管理局要求注册或备案，有出厂质量检验合格报告，</w:t>
      </w:r>
      <w:r>
        <w:rPr>
          <w:rFonts w:hint="eastAsia" w:ascii="仿宋" w:hAnsi="仿宋" w:eastAsia="仿宋" w:cs="仿宋"/>
          <w:bCs/>
          <w:sz w:val="24"/>
          <w:lang w:val="en-US" w:eastAsia="zh-CN"/>
        </w:rPr>
        <w:t>3</w:t>
      </w:r>
      <w:r>
        <w:rPr>
          <w:rFonts w:hint="eastAsia" w:ascii="仿宋" w:hAnsi="仿宋" w:eastAsia="仿宋" w:cs="仿宋"/>
          <w:bCs/>
          <w:sz w:val="24"/>
        </w:rPr>
        <w:t>-</w:t>
      </w:r>
      <w:r>
        <w:rPr>
          <w:rFonts w:hint="eastAsia" w:ascii="仿宋" w:hAnsi="仿宋" w:eastAsia="仿宋" w:cs="仿宋"/>
          <w:bCs/>
          <w:sz w:val="24"/>
          <w:lang w:val="en-US" w:eastAsia="zh-CN"/>
        </w:rPr>
        <w:t>5</w:t>
      </w:r>
      <w:r>
        <w:rPr>
          <w:rFonts w:hint="eastAsia" w:ascii="仿宋" w:hAnsi="仿宋" w:eastAsia="仿宋" w:cs="仿宋"/>
          <w:bCs/>
          <w:color w:val="000000"/>
          <w:sz w:val="24"/>
        </w:rPr>
        <w:t>标试剂每批由中国食品药品检定研究院检验合格。</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2．所有试剂包装及标识应符合国家相关标准，具有良好的密封性和防潮性，破损率不得超过国家规定标准。</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3．</w:t>
      </w:r>
      <w:r>
        <w:rPr>
          <w:rFonts w:hint="eastAsia" w:ascii="仿宋" w:hAnsi="仿宋" w:eastAsia="仿宋" w:cs="仿宋"/>
          <w:bCs/>
          <w:sz w:val="24"/>
          <w:lang w:val="en-US" w:eastAsia="zh-CN"/>
        </w:rPr>
        <w:t>3</w:t>
      </w:r>
      <w:r>
        <w:rPr>
          <w:rFonts w:hint="eastAsia" w:ascii="仿宋" w:hAnsi="仿宋" w:eastAsia="仿宋" w:cs="仿宋"/>
          <w:bCs/>
          <w:sz w:val="24"/>
        </w:rPr>
        <w:t>-</w:t>
      </w:r>
      <w:r>
        <w:rPr>
          <w:rFonts w:hint="eastAsia" w:ascii="仿宋" w:hAnsi="仿宋" w:eastAsia="仿宋" w:cs="仿宋"/>
          <w:bCs/>
          <w:sz w:val="24"/>
          <w:lang w:val="en-US" w:eastAsia="zh-CN"/>
        </w:rPr>
        <w:t>5</w:t>
      </w:r>
      <w:r>
        <w:rPr>
          <w:rFonts w:hint="eastAsia" w:ascii="仿宋" w:hAnsi="仿宋" w:eastAsia="仿宋" w:cs="仿宋"/>
          <w:bCs/>
          <w:color w:val="000000"/>
          <w:sz w:val="24"/>
        </w:rPr>
        <w:t>标段试剂的中标供应商每次送货必须提供试剂运输冷链监控温度记录，并将试剂盒摆放至采购方指定位置。</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4．采购人按实际需要量分批采购，供应商接采购方的发货通知后，应按要求在规定时限内将相应货物按要求的数量及时送达指定的地点。</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5．货物送达时，应在发票或送货单上注明货物名称、规格（型号）、注册证号、注册证失效日期、制造商、生产日期（或生产批号）、产品有效期；如该货物为已消毒产品需注明灭菌日期（或灭菌批号）和灭菌有效期，货物名称和货物规格（型号）须与产品注册证一致。</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6．货物经采购方质量验收不合格或抽检不合格的，供应商应无条件退货或换货。</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7．对于采购方提出的服务需求，供应商应在2小时内响应并提供令采购方满意的服务或产品解决方案。</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8．采购方对货物的外包装完好性、数量、规格、厂家、生产批号、灭菌日期（灭菌批号）、有效期等信息进行核对无误后进行入库验收。若验收不合格，供应商必须更换货物，并且赔偿由此给采购方造成的损失；入库记录为入库验收的唯一有效凭证，入库验收时间以入库记录时间为准。</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9．采购方在下一批货物验收或终止供应后，在60天内付清本批货款。</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10．如有货物质量问题，供应商应免费更换相应的货物，并承担由于产品质量问题而引发的全部费用。</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11．供应商发生一次下列情况之一，必须及时对货物进行处理，若造成采购方损失的，供应商应赔偿损失；如多次（三次及以上）发生的，采购方有权终止合同：（1）入库验收和使用中发现货物达不到产品功能性能要求或买方使用要求的；（2）不按时供货；（3）在使用过程中发生质量问题；（4）交货时，货物已过保质期的。</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12．供应商发生下列情况之一，采购方有权终止合同：</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（1）供应商的任一资质证书已过有效期的；</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（2）供应商在产品经销过程中，有违法违纪行为的；</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（3）货物发生质量问题且乙方无法解决。</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13．报价方式：送到价（含货物进口应交纳的一切税费、运输费、保险费和伴随服务费）。</w:t>
      </w:r>
    </w:p>
    <w:p>
      <w:pPr>
        <w:spacing w:line="288" w:lineRule="auto"/>
        <w:rPr>
          <w:rFonts w:ascii="仿宋" w:hAnsi="仿宋" w:eastAsia="仿宋" w:cs="仿宋"/>
          <w:bCs/>
          <w:color w:val="000000"/>
          <w:sz w:val="24"/>
        </w:rPr>
      </w:pPr>
      <w:r>
        <w:rPr>
          <w:rFonts w:hint="eastAsia" w:ascii="仿宋" w:hAnsi="仿宋" w:eastAsia="仿宋" w:cs="仿宋"/>
          <w:bCs/>
          <w:color w:val="000000"/>
          <w:sz w:val="24"/>
        </w:rPr>
        <w:t>14．如在合同期内，合同执行与法律、法规或政府行政部门要求发生抵触，则应从法律、法规或政府行政部门要求规定执行。</w:t>
      </w:r>
    </w:p>
    <w:p>
      <w:pPr>
        <w:snapToGrid w:val="0"/>
        <w:spacing w:line="288" w:lineRule="auto"/>
        <w:jc w:val="left"/>
        <w:rPr>
          <w:rFonts w:ascii="仿宋" w:hAnsi="仿宋" w:eastAsia="仿宋" w:cs="仿宋"/>
          <w:color w:val="auto"/>
          <w:sz w:val="24"/>
          <w:highlight w:val="none"/>
        </w:rPr>
      </w:pPr>
      <w:r>
        <w:rPr>
          <w:rFonts w:hint="eastAsia" w:ascii="仿宋" w:hAnsi="仿宋" w:eastAsia="仿宋" w:cs="仿宋"/>
          <w:bCs/>
          <w:color w:val="auto"/>
          <w:sz w:val="24"/>
          <w:highlight w:val="none"/>
        </w:rPr>
        <w:t>15.</w:t>
      </w:r>
      <w:r>
        <w:rPr>
          <w:rFonts w:hint="eastAsia" w:ascii="仿宋" w:hAnsi="仿宋" w:eastAsia="仿宋" w:cs="仿宋"/>
          <w:color w:val="auto"/>
          <w:sz w:val="24"/>
          <w:highlight w:val="none"/>
        </w:rPr>
        <w:t>合同期限：本标合同期暂定至2021年12月31日，合同只签订单价，不定数量，数量由招标单位根据需求临时通知中标单位。在协议中所执行的价格必须与中标价格一致，在协议执行期内不得随意变更。合同期内，如执行结算额达到预算金额时，则合同终止。</w:t>
      </w:r>
    </w:p>
    <w:p>
      <w:pPr>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付款方式：抗疫期间，按照浙财采监[2020]3号文件精神执行，采购单位应在合同生效以及具备实施条件后15日内支付政府采购预付款。财务入账后隔3个月（遇质量问题等特殊情况除外）后支付。遇上级有要求，按上级要求执行。</w:t>
      </w:r>
    </w:p>
    <w:p>
      <w:pPr>
        <w:snapToGrid w:val="0"/>
        <w:spacing w:line="288" w:lineRule="auto"/>
        <w:rPr>
          <w:rFonts w:ascii="仿宋_GB2312" w:hAnsi="仿宋" w:eastAsia="仿宋_GB2312" w:cs="仿宋"/>
          <w:b/>
          <w:color w:val="auto"/>
          <w:sz w:val="24"/>
          <w:highlight w:val="none"/>
        </w:rPr>
      </w:pPr>
      <w:r>
        <w:rPr>
          <w:rFonts w:hint="eastAsia" w:ascii="仿宋" w:hAnsi="仿宋" w:eastAsia="仿宋" w:cs="仿宋"/>
          <w:b/>
          <w:color w:val="auto"/>
          <w:sz w:val="24"/>
          <w:highlight w:val="none"/>
        </w:rPr>
        <w:t>★17.投标人为经销商或代理商的，投标时需提供承诺书，承诺中标后，最晚合同签订前提供所投产品生产制造商针对本项目出具的合法授权书</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sz w:val="24"/>
          <w:highlight w:val="none"/>
        </w:rPr>
        <w:t>（承诺书需加盖投标单位公章，不提供承诺书的则作无效投标处理）。（格式见附件）</w:t>
      </w:r>
    </w:p>
    <w:p>
      <w:pPr>
        <w:pStyle w:val="14"/>
        <w:spacing w:line="800" w:lineRule="exact"/>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r>
        <w:rPr>
          <w:rFonts w:hint="eastAsia" w:ascii="仿宋" w:hAnsi="仿宋" w:eastAsia="仿宋" w:cs="仿宋"/>
          <w:b/>
          <w:sz w:val="36"/>
          <w:szCs w:val="36"/>
        </w:rPr>
        <w:t>第四部分</w:t>
      </w:r>
      <w:r>
        <w:rPr>
          <w:rFonts w:ascii="仿宋" w:hAnsi="仿宋" w:eastAsia="仿宋" w:cs="仿宋"/>
          <w:b/>
          <w:sz w:val="36"/>
          <w:szCs w:val="36"/>
        </w:rPr>
        <w:t xml:space="preserve"> </w:t>
      </w:r>
      <w:r>
        <w:rPr>
          <w:rFonts w:hint="eastAsia" w:ascii="仿宋" w:hAnsi="仿宋" w:eastAsia="仿宋" w:cs="仿宋"/>
          <w:b/>
          <w:sz w:val="36"/>
          <w:szCs w:val="36"/>
        </w:rPr>
        <w:t>合同主要条款</w:t>
      </w:r>
    </w:p>
    <w:p>
      <w:pPr>
        <w:spacing w:line="288" w:lineRule="auto"/>
        <w:jc w:val="left"/>
        <w:rPr>
          <w:rFonts w:ascii="仿宋" w:hAnsi="仿宋" w:eastAsia="仿宋" w:cs="仿宋"/>
          <w:b/>
          <w:sz w:val="24"/>
        </w:rPr>
      </w:pPr>
      <w:r>
        <w:rPr>
          <w:rFonts w:hint="eastAsia" w:ascii="仿宋" w:hAnsi="仿宋" w:eastAsia="仿宋" w:cs="仿宋"/>
          <w:b/>
          <w:sz w:val="24"/>
        </w:rPr>
        <w:t>1.合同范围</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6"/>
        <w:spacing w:line="288" w:lineRule="auto"/>
        <w:rPr>
          <w:rFonts w:ascii="仿宋" w:hAnsi="仿宋" w:eastAsia="仿宋" w:cs="仿宋"/>
          <w:b/>
          <w:sz w:val="24"/>
          <w:szCs w:val="24"/>
        </w:rPr>
      </w:pPr>
      <w:r>
        <w:rPr>
          <w:rFonts w:hint="eastAsia" w:ascii="仿宋" w:hAnsi="仿宋" w:eastAsia="仿宋" w:cs="仿宋"/>
          <w:b/>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2.1.1交货地点：绍兴市中心血站。</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2.1.2到货期：按标项内具体要求执行。</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2.2合同期限：按标项内具体要求执行。</w:t>
      </w:r>
    </w:p>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2.3付款方式：按标项内具体要求执行。</w:t>
      </w:r>
    </w:p>
    <w:p>
      <w:pPr>
        <w:tabs>
          <w:tab w:val="left" w:pos="7950"/>
        </w:tabs>
        <w:spacing w:line="288" w:lineRule="auto"/>
        <w:jc w:val="left"/>
        <w:rPr>
          <w:rFonts w:ascii="仿宋" w:hAnsi="仿宋" w:eastAsia="仿宋" w:cs="仿宋"/>
          <w:b/>
          <w:sz w:val="24"/>
        </w:rPr>
      </w:pPr>
      <w:r>
        <w:rPr>
          <w:rFonts w:hint="eastAsia" w:ascii="仿宋" w:hAnsi="仿宋" w:eastAsia="仿宋" w:cs="仿宋"/>
          <w:b/>
          <w:sz w:val="24"/>
        </w:rPr>
        <w:t>4.合同修改</w:t>
      </w:r>
    </w:p>
    <w:p>
      <w:pPr>
        <w:snapToGrid w:val="0"/>
        <w:spacing w:line="288" w:lineRule="auto"/>
        <w:jc w:val="left"/>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rPr>
      </w:pPr>
      <w:r>
        <w:rPr>
          <w:rFonts w:hint="eastAsia" w:ascii="仿宋" w:hAnsi="仿宋" w:eastAsia="仿宋" w:cs="仿宋"/>
          <w:sz w:val="24"/>
        </w:rPr>
        <w:t>4.2除非招标人对产品的品种、规格和涉及价格因素的技术参数提出修改，中标人不得对合同价格提出修改要求。</w:t>
      </w:r>
    </w:p>
    <w:p>
      <w:pPr>
        <w:snapToGrid w:val="0"/>
        <w:spacing w:line="288" w:lineRule="auto"/>
        <w:jc w:val="left"/>
        <w:rPr>
          <w:rFonts w:ascii="仿宋" w:hAnsi="仿宋" w:eastAsia="仿宋" w:cs="仿宋"/>
          <w:b/>
          <w:sz w:val="24"/>
        </w:rPr>
      </w:pPr>
      <w:r>
        <w:rPr>
          <w:rFonts w:hint="eastAsia" w:ascii="仿宋" w:hAnsi="仿宋" w:eastAsia="仿宋" w:cs="仿宋"/>
          <w:b/>
          <w:sz w:val="24"/>
        </w:rPr>
        <w:t>5. 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rPr>
        <w:t>5.1中标人提供的产品及服务必须是经合法途径取得的。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rPr>
        <w:t>5.2中标人应按现行的国家或行业技术及验收标准和招标文件的规定提供货物或服务，因中标人提供的货物或服务达不到约定的质量标准，中标人承担违约责任。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rPr>
        <w:t>5.3验收由使用单位按规定组织相关人员或专家进行。</w:t>
      </w:r>
    </w:p>
    <w:p>
      <w:pPr>
        <w:spacing w:line="288" w:lineRule="auto"/>
        <w:jc w:val="left"/>
        <w:rPr>
          <w:rFonts w:ascii="仿宋" w:hAnsi="仿宋" w:eastAsia="仿宋" w:cs="仿宋"/>
          <w:sz w:val="24"/>
        </w:rPr>
      </w:pPr>
      <w:r>
        <w:rPr>
          <w:rFonts w:hint="eastAsia" w:ascii="仿宋" w:hAnsi="仿宋" w:eastAsia="仿宋" w:cs="仿宋"/>
          <w:sz w:val="24"/>
        </w:rPr>
        <w:t>5.4双方对工程、货物或服务的质量有争议的，由双方同意的专业检测机构鉴定，所需费及因此造成的损失由责任方承担，双方均有责任的，双方根据其责任分别承担。</w:t>
      </w:r>
    </w:p>
    <w:p>
      <w:pPr>
        <w:spacing w:line="288" w:lineRule="auto"/>
        <w:jc w:val="left"/>
        <w:rPr>
          <w:rFonts w:ascii="仿宋" w:hAnsi="仿宋" w:eastAsia="仿宋" w:cs="仿宋"/>
          <w:b/>
          <w:sz w:val="24"/>
        </w:rPr>
      </w:pPr>
      <w:r>
        <w:rPr>
          <w:rFonts w:hint="eastAsia" w:ascii="仿宋" w:hAnsi="仿宋" w:eastAsia="仿宋" w:cs="仿宋"/>
          <w:b/>
          <w:sz w:val="24"/>
        </w:rPr>
        <w:t>6.违约责任</w:t>
      </w:r>
    </w:p>
    <w:p>
      <w:pPr>
        <w:snapToGrid w:val="0"/>
        <w:spacing w:line="288" w:lineRule="auto"/>
        <w:jc w:val="left"/>
        <w:rPr>
          <w:rFonts w:ascii="仿宋" w:hAnsi="仿宋" w:eastAsia="仿宋" w:cs="仿宋"/>
          <w:sz w:val="24"/>
        </w:rPr>
      </w:pPr>
      <w:r>
        <w:rPr>
          <w:rFonts w:hint="eastAsia" w:ascii="仿宋" w:hAnsi="仿宋" w:eastAsia="仿宋" w:cs="仿宋"/>
          <w:sz w:val="24"/>
        </w:rPr>
        <w:t>6.1提供的货物和服务质量必须达到合格，凡发现的质量问题，中标人必须无偿返工直至符合质量要求，承担返工所发生的一切费用和招标人的直接经济损失。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rPr>
      </w:pPr>
      <w:r>
        <w:rPr>
          <w:rFonts w:hint="eastAsia" w:ascii="仿宋" w:hAnsi="仿宋" w:eastAsia="仿宋" w:cs="仿宋"/>
          <w:sz w:val="24"/>
        </w:rPr>
        <w:t>6.2由于招标人保管不善或使用不当造成货物短缺、损坏，中标人协助招标人及时给予补齐或修复。</w:t>
      </w:r>
    </w:p>
    <w:p>
      <w:pPr>
        <w:spacing w:line="288" w:lineRule="auto"/>
        <w:jc w:val="left"/>
        <w:rPr>
          <w:rFonts w:ascii="仿宋" w:hAnsi="仿宋" w:eastAsia="仿宋" w:cs="仿宋"/>
          <w:b/>
          <w:sz w:val="24"/>
        </w:rPr>
      </w:pPr>
      <w:r>
        <w:rPr>
          <w:rFonts w:hint="eastAsia" w:ascii="仿宋" w:hAnsi="仿宋" w:eastAsia="仿宋" w:cs="仿宋"/>
          <w:b/>
          <w:sz w:val="24"/>
        </w:rPr>
        <w:t>7．违约赔偿</w:t>
      </w:r>
    </w:p>
    <w:p>
      <w:pPr>
        <w:spacing w:line="288" w:lineRule="auto"/>
        <w:jc w:val="left"/>
        <w:rPr>
          <w:rFonts w:ascii="仿宋" w:hAnsi="仿宋" w:eastAsia="仿宋" w:cs="仿宋"/>
          <w:sz w:val="24"/>
        </w:rPr>
      </w:pPr>
      <w:r>
        <w:rPr>
          <w:rFonts w:hint="eastAsia" w:ascii="仿宋" w:hAnsi="仿宋" w:eastAsia="仿宋" w:cs="仿宋"/>
          <w:sz w:val="24"/>
        </w:rPr>
        <w:t>7.1除不可抗力外，如中标人发生不能按期完成供货任务，招标人发生中途变更等情况，应及时以书面形式通知对方。双方应本着友好的态度进行协商，妥善解决。如协商无效，按规定处以违约金。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rPr>
      </w:pPr>
      <w:r>
        <w:rPr>
          <w:rFonts w:hint="eastAsia" w:ascii="仿宋" w:hAnsi="仿宋" w:eastAsia="仿宋" w:cs="仿宋"/>
          <w:sz w:val="24"/>
        </w:rPr>
        <w:t>7.2中标人和采购人签订合同，按合同规定的供货时间供货。逾期应协商解决，如协商无效，按规定处以违约。</w:t>
      </w:r>
    </w:p>
    <w:p>
      <w:pPr>
        <w:snapToGrid w:val="0"/>
        <w:spacing w:line="288" w:lineRule="auto"/>
        <w:jc w:val="left"/>
        <w:rPr>
          <w:rFonts w:ascii="仿宋" w:hAnsi="仿宋" w:eastAsia="仿宋" w:cs="仿宋"/>
          <w:sz w:val="24"/>
        </w:rPr>
      </w:pPr>
      <w:r>
        <w:rPr>
          <w:rFonts w:hint="eastAsia" w:ascii="仿宋" w:hAnsi="仿宋" w:eastAsia="仿宋" w:cs="仿宋"/>
          <w:sz w:val="24"/>
        </w:rPr>
        <w:t>7.3招标人在规定时间无正当理由拒签合同者，以招标违约处理，并赔偿中标人由此造成的直接经济损失。</w:t>
      </w:r>
    </w:p>
    <w:p>
      <w:pPr>
        <w:spacing w:line="288" w:lineRule="auto"/>
        <w:jc w:val="left"/>
        <w:rPr>
          <w:rFonts w:ascii="仿宋" w:hAnsi="仿宋" w:eastAsia="仿宋" w:cs="仿宋"/>
          <w:b/>
          <w:sz w:val="24"/>
        </w:rPr>
      </w:pPr>
      <w:r>
        <w:rPr>
          <w:rFonts w:hint="eastAsia" w:ascii="仿宋" w:hAnsi="仿宋" w:eastAsia="仿宋" w:cs="仿宋"/>
          <w:b/>
          <w:sz w:val="24"/>
        </w:rPr>
        <w:t>8.不可抗力</w:t>
      </w:r>
    </w:p>
    <w:p>
      <w:pPr>
        <w:snapToGrid w:val="0"/>
        <w:spacing w:line="288" w:lineRule="auto"/>
        <w:jc w:val="left"/>
        <w:rPr>
          <w:rFonts w:ascii="仿宋" w:hAnsi="仿宋" w:eastAsia="仿宋" w:cs="仿宋"/>
          <w:sz w:val="24"/>
        </w:rPr>
      </w:pPr>
      <w:r>
        <w:rPr>
          <w:rFonts w:hint="eastAsia" w:ascii="仿宋" w:hAnsi="仿宋" w:eastAsia="仿宋" w:cs="仿宋"/>
          <w:sz w:val="24"/>
        </w:rPr>
        <w:t>8.1如果双方中任何一方由于战争、严重火灾、水灾、台风和地震以及其它经双方同意属于不可抗力的事故，致使合同履行受阻时，履行合同的期限应予延长，延长的期限应相当于事故所影响的时间。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rPr>
      </w:pPr>
      <w:r>
        <w:rPr>
          <w:rFonts w:hint="eastAsia" w:ascii="仿宋" w:hAnsi="仿宋" w:eastAsia="仿宋" w:cs="仿宋"/>
          <w:sz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288" w:lineRule="auto"/>
        <w:jc w:val="left"/>
        <w:rPr>
          <w:rFonts w:ascii="仿宋" w:hAnsi="仿宋" w:eastAsia="仿宋" w:cs="仿宋"/>
          <w:b/>
          <w:sz w:val="24"/>
        </w:rPr>
      </w:pPr>
      <w:r>
        <w:rPr>
          <w:rFonts w:hint="eastAsia" w:ascii="仿宋" w:hAnsi="仿宋" w:eastAsia="仿宋" w:cs="仿宋"/>
          <w:b/>
          <w:sz w:val="24"/>
        </w:rPr>
        <w:t>9.解决合同纠纷的方式</w:t>
      </w:r>
    </w:p>
    <w:p>
      <w:pPr>
        <w:snapToGrid w:val="0"/>
        <w:spacing w:line="288" w:lineRule="auto"/>
        <w:jc w:val="left"/>
        <w:rPr>
          <w:rFonts w:ascii="仿宋" w:hAnsi="仿宋" w:eastAsia="仿宋" w:cs="仿宋"/>
          <w:sz w:val="24"/>
        </w:rPr>
      </w:pPr>
      <w:r>
        <w:rPr>
          <w:rFonts w:hint="eastAsia" w:ascii="仿宋" w:hAnsi="仿宋" w:eastAsia="仿宋" w:cs="仿宋"/>
          <w:sz w:val="24"/>
        </w:rPr>
        <w:t>9.1凡有关本合同或与本合同中发生的争端，双方应通过友好协商，妥善解决。如通过协商仍不能解决时，可向当地的仲裁机构申请仲裁或人民法院起诉。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rPr>
      </w:pPr>
      <w:r>
        <w:rPr>
          <w:rFonts w:hint="eastAsia" w:ascii="仿宋" w:hAnsi="仿宋" w:eastAsia="仿宋" w:cs="仿宋"/>
          <w:sz w:val="24"/>
        </w:rPr>
        <w:t>9.2仲裁和诉讼费用除仲裁机构和人民法院另有裁决外，由败诉方承担。</w:t>
      </w:r>
    </w:p>
    <w:p>
      <w:pPr>
        <w:snapToGrid w:val="0"/>
        <w:spacing w:line="288" w:lineRule="auto"/>
        <w:jc w:val="left"/>
        <w:rPr>
          <w:rFonts w:ascii="仿宋" w:hAnsi="仿宋" w:eastAsia="仿宋" w:cs="仿宋"/>
          <w:sz w:val="24"/>
        </w:rPr>
      </w:pPr>
      <w:r>
        <w:rPr>
          <w:rFonts w:hint="eastAsia" w:ascii="仿宋" w:hAnsi="仿宋" w:eastAsia="仿宋" w:cs="仿宋"/>
          <w:sz w:val="24"/>
        </w:rPr>
        <w:t>9.3在仲裁和诉讼期间，除正在进行裁定的部分外，本合同其他部分应继续执行。</w:t>
      </w:r>
    </w:p>
    <w:p>
      <w:pPr>
        <w:snapToGrid w:val="0"/>
        <w:spacing w:line="288" w:lineRule="auto"/>
        <w:jc w:val="left"/>
        <w:rPr>
          <w:rFonts w:ascii="仿宋" w:hAnsi="仿宋" w:eastAsia="仿宋" w:cs="仿宋"/>
          <w:sz w:val="24"/>
        </w:rPr>
      </w:pPr>
      <w:r>
        <w:rPr>
          <w:rFonts w:hint="eastAsia" w:ascii="仿宋" w:hAnsi="仿宋" w:eastAsia="仿宋" w:cs="仿宋"/>
          <w:sz w:val="24"/>
        </w:rPr>
        <w:t>9.4合同应在双方签字盖章，采购人收到中标人提供的履约保证金后开始生效。</w:t>
      </w:r>
    </w:p>
    <w:p>
      <w:pPr>
        <w:snapToGrid w:val="0"/>
        <w:spacing w:line="288" w:lineRule="auto"/>
        <w:jc w:val="left"/>
        <w:rPr>
          <w:rFonts w:ascii="仿宋" w:hAnsi="仿宋" w:eastAsia="仿宋" w:cs="仿宋"/>
          <w:color w:val="FF0000"/>
          <w:sz w:val="24"/>
        </w:rPr>
      </w:pPr>
      <w:r>
        <w:rPr>
          <w:rFonts w:hint="eastAsia" w:ascii="仿宋" w:hAnsi="仿宋" w:eastAsia="仿宋" w:cs="仿宋"/>
          <w:sz w:val="24"/>
        </w:rPr>
        <w:t>（注：在正式签约时，根据上述精神应拟就更为详尽的合同。）</w:t>
      </w:r>
    </w:p>
    <w:p>
      <w:pPr>
        <w:snapToGrid w:val="0"/>
        <w:spacing w:line="288" w:lineRule="auto"/>
        <w:jc w:val="left"/>
        <w:rPr>
          <w:rFonts w:ascii="仿宋" w:hAnsi="仿宋" w:eastAsia="仿宋" w:cs="仿宋"/>
          <w:sz w:val="24"/>
        </w:rPr>
      </w:pPr>
    </w:p>
    <w:p>
      <w:pPr>
        <w:spacing w:line="288" w:lineRule="auto"/>
        <w:rPr>
          <w:rFonts w:ascii="仿宋" w:hAnsi="仿宋" w:eastAsia="仿宋" w:cs="仿宋"/>
          <w:sz w:val="24"/>
        </w:rPr>
      </w:pPr>
    </w:p>
    <w:p>
      <w:pPr>
        <w:pStyle w:val="7"/>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1.（1-</w:t>
      </w:r>
      <w:r>
        <w:rPr>
          <w:rFonts w:hint="eastAsia" w:ascii="仿宋" w:hAnsi="仿宋" w:eastAsia="仿宋" w:cs="仿宋"/>
          <w:b/>
          <w:sz w:val="24"/>
          <w:lang w:val="en-US" w:eastAsia="zh-CN"/>
        </w:rPr>
        <w:t>5</w:t>
      </w:r>
      <w:r>
        <w:rPr>
          <w:rFonts w:hint="eastAsia" w:ascii="仿宋" w:hAnsi="仿宋" w:eastAsia="仿宋" w:cs="仿宋"/>
          <w:b/>
          <w:sz w:val="24"/>
        </w:rPr>
        <w:t>标段）评标方法：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2.（1-</w:t>
      </w:r>
      <w:r>
        <w:rPr>
          <w:rFonts w:hint="eastAsia" w:ascii="仿宋" w:hAnsi="仿宋" w:eastAsia="仿宋" w:cs="仿宋"/>
          <w:b/>
          <w:sz w:val="24"/>
          <w:lang w:val="en-US" w:eastAsia="zh-CN"/>
        </w:rPr>
        <w:t>5</w:t>
      </w:r>
      <w:r>
        <w:rPr>
          <w:rFonts w:hint="eastAsia" w:ascii="仿宋" w:hAnsi="仿宋" w:eastAsia="仿宋" w:cs="仿宋"/>
          <w:b/>
          <w:sz w:val="24"/>
        </w:rPr>
        <w:t>标段）评分标准：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sz w:val="24"/>
        </w:rPr>
        <w:t>2.1</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w:t>
      </w:r>
      <w:r>
        <w:rPr>
          <w:rFonts w:hint="eastAsia" w:ascii="仿宋" w:hAnsi="仿宋" w:eastAsia="仿宋" w:cs="仿宋"/>
          <w:b/>
          <w:bCs/>
          <w:iCs/>
          <w:sz w:val="24"/>
        </w:rPr>
        <w:t>商务技术分</w:t>
      </w:r>
      <w:r>
        <w:rPr>
          <w:rFonts w:hint="eastAsia" w:ascii="仿宋" w:hAnsi="仿宋" w:eastAsia="仿宋" w:cs="仿宋"/>
          <w:b/>
          <w:bCs/>
          <w:sz w:val="24"/>
        </w:rPr>
        <w:t>（70分）</w:t>
      </w:r>
    </w:p>
    <w:tbl>
      <w:tblPr>
        <w:tblStyle w:val="26"/>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66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5"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7669"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评分项目</w:t>
            </w:r>
          </w:p>
        </w:tc>
        <w:tc>
          <w:tcPr>
            <w:tcW w:w="1005"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由各评委按照投标供应商所投产品的品牌知名度情况打分。优得12-9分，良得8-5分，一般得4-0分。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产品的总体质量水平及总体性能。优得16-10分，良得9-5分，一般得4-0分。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产品的技术要求响应程度，优秀得20-14，良好得13-7，一般得6-0。</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669" w:type="dxa"/>
          </w:tcPr>
          <w:p>
            <w:pPr>
              <w:pStyle w:val="14"/>
              <w:snapToGrid w:val="0"/>
              <w:spacing w:line="288" w:lineRule="auto"/>
              <w:rPr>
                <w:rFonts w:ascii="仿宋" w:hAnsi="仿宋" w:eastAsia="仿宋" w:cs="仿宋"/>
                <w:color w:val="auto"/>
                <w:sz w:val="24"/>
                <w:szCs w:val="24"/>
              </w:rPr>
            </w:pPr>
            <w:r>
              <w:rPr>
                <w:rFonts w:hint="eastAsia" w:ascii="仿宋" w:hAnsi="仿宋" w:eastAsia="仿宋" w:cs="仿宋"/>
                <w:color w:val="auto"/>
                <w:sz w:val="24"/>
                <w:szCs w:val="24"/>
              </w:rPr>
              <w:t>供应商类似项目的经验：提供采供血机构2018-2020年内的供货合同复印件（加盖单位公章），如不能提供合同，以发票和相应收款凭据复印件（加盖单位公章）为准。每项得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分，满分10分。</w:t>
            </w:r>
          </w:p>
        </w:tc>
        <w:tc>
          <w:tcPr>
            <w:tcW w:w="1005" w:type="dxa"/>
            <w:vAlign w:val="center"/>
          </w:tcPr>
          <w:p>
            <w:pPr>
              <w:pStyle w:val="14"/>
              <w:snapToGrid w:val="0"/>
              <w:spacing w:line="288" w:lineRule="auto"/>
              <w:jc w:val="center"/>
              <w:rPr>
                <w:rFonts w:ascii="仿宋" w:hAnsi="仿宋" w:eastAsia="仿宋" w:cs="仿宋"/>
                <w:color w:val="auto"/>
                <w:sz w:val="24"/>
                <w:szCs w:val="24"/>
              </w:rPr>
            </w:pPr>
            <w:r>
              <w:rPr>
                <w:rFonts w:hint="eastAsia" w:ascii="仿宋" w:hAnsi="仿宋" w:eastAsia="仿宋" w:cs="仿宋"/>
                <w:color w:val="auto"/>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供应商售后服务的可行性与可靠性，相关售后服务承诺及优惠承诺。优得10-8分，良得7-5分，一般得4-0分。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投标文件质量（包括投标文件的编制完整性等情况）优得2分，良得1.5分，一般得1-0分。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2分</w:t>
            </w:r>
          </w:p>
        </w:tc>
      </w:tr>
    </w:tbl>
    <w:p>
      <w:pPr>
        <w:spacing w:line="288" w:lineRule="auto"/>
        <w:rPr>
          <w:rFonts w:ascii="仿宋" w:hAnsi="仿宋" w:eastAsia="仿宋" w:cs="仿宋"/>
          <w:b/>
          <w:sz w:val="24"/>
        </w:rPr>
      </w:pPr>
      <w:r>
        <w:rPr>
          <w:rFonts w:hint="eastAsia" w:ascii="仿宋" w:hAnsi="仿宋" w:eastAsia="仿宋" w:cs="仿宋"/>
          <w:b/>
          <w:bCs/>
          <w:sz w:val="24"/>
        </w:rPr>
        <w:t>2.2</w:t>
      </w:r>
      <w:r>
        <w:rPr>
          <w:rFonts w:hint="eastAsia" w:ascii="仿宋" w:hAnsi="仿宋" w:eastAsia="仿宋" w:cs="仿宋"/>
          <w:b/>
          <w:sz w:val="24"/>
        </w:rPr>
        <w:t>（</w:t>
      </w:r>
      <w:r>
        <w:rPr>
          <w:rFonts w:hint="eastAsia" w:ascii="仿宋" w:hAnsi="仿宋" w:eastAsia="仿宋" w:cs="仿宋"/>
          <w:b/>
          <w:sz w:val="24"/>
          <w:lang w:val="en-US" w:eastAsia="zh-CN"/>
        </w:rPr>
        <w:t>3</w:t>
      </w:r>
      <w:r>
        <w:rPr>
          <w:rFonts w:hint="eastAsia" w:ascii="仿宋" w:hAnsi="仿宋" w:eastAsia="仿宋" w:cs="仿宋"/>
          <w:b/>
          <w:sz w:val="24"/>
        </w:rPr>
        <w:t>-</w:t>
      </w:r>
      <w:r>
        <w:rPr>
          <w:rFonts w:hint="eastAsia" w:ascii="仿宋" w:hAnsi="仿宋" w:eastAsia="仿宋" w:cs="仿宋"/>
          <w:b/>
          <w:sz w:val="24"/>
          <w:lang w:val="en-US" w:eastAsia="zh-CN"/>
        </w:rPr>
        <w:t>5</w:t>
      </w:r>
      <w:r>
        <w:rPr>
          <w:rFonts w:hint="eastAsia" w:ascii="仿宋" w:hAnsi="仿宋" w:eastAsia="仿宋" w:cs="仿宋"/>
          <w:b/>
          <w:sz w:val="24"/>
        </w:rPr>
        <w:t>标段）</w:t>
      </w:r>
      <w:r>
        <w:rPr>
          <w:rFonts w:hint="eastAsia" w:ascii="仿宋" w:hAnsi="仿宋" w:eastAsia="仿宋" w:cs="仿宋"/>
          <w:b/>
          <w:bCs/>
          <w:iCs/>
          <w:sz w:val="24"/>
        </w:rPr>
        <w:t>商务技术分</w:t>
      </w:r>
      <w:r>
        <w:rPr>
          <w:rFonts w:hint="eastAsia" w:ascii="仿宋" w:hAnsi="仿宋" w:eastAsia="仿宋" w:cs="仿宋"/>
          <w:b/>
          <w:bCs/>
          <w:sz w:val="24"/>
        </w:rPr>
        <w:t>（70分）</w:t>
      </w:r>
    </w:p>
    <w:tbl>
      <w:tblPr>
        <w:tblStyle w:val="26"/>
        <w:tblW w:w="9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669"/>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35"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7669"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评分项目</w:t>
            </w:r>
          </w:p>
        </w:tc>
        <w:tc>
          <w:tcPr>
            <w:tcW w:w="1005"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由各评委按照投标供应商所投产品的品牌知名度情况打分。优得8-6分，良得5-3分，一般得2-0分。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color w:val="auto"/>
                <w:sz w:val="24"/>
                <w:szCs w:val="24"/>
                <w:highlight w:val="none"/>
              </w:rPr>
              <w:t>市场占有率：以投标产品在国家临检中心2018-2019年度《采供血机构血液检验》室间质评项目中最近3次质评活动的使用单位家数总数之和的</w:t>
            </w:r>
            <w:r>
              <w:rPr>
                <w:rFonts w:hint="eastAsia" w:ascii="仿宋" w:hAnsi="仿宋" w:eastAsia="仿宋" w:cs="仿宋"/>
                <w:color w:val="auto"/>
                <w:sz w:val="24"/>
                <w:szCs w:val="24"/>
                <w:highlight w:val="none"/>
                <w:lang w:eastAsia="zh-CN"/>
              </w:rPr>
              <w:t>情况</w:t>
            </w:r>
            <w:r>
              <w:rPr>
                <w:rFonts w:hint="eastAsia" w:ascii="仿宋" w:hAnsi="仿宋" w:eastAsia="仿宋" w:cs="仿宋"/>
                <w:color w:val="auto"/>
                <w:sz w:val="24"/>
                <w:szCs w:val="24"/>
                <w:highlight w:val="none"/>
              </w:rPr>
              <w:t>打分（排名分别以进口试剂和国产试剂重新计算）。</w:t>
            </w:r>
            <w:r>
              <w:rPr>
                <w:rFonts w:hint="eastAsia" w:ascii="仿宋" w:hAnsi="仿宋" w:eastAsia="仿宋" w:cs="仿宋"/>
                <w:color w:val="auto"/>
                <w:sz w:val="24"/>
                <w:szCs w:val="24"/>
                <w:highlight w:val="none"/>
                <w:lang w:eastAsia="zh-CN"/>
              </w:rPr>
              <w:t>优得</w:t>
            </w:r>
            <w:r>
              <w:rPr>
                <w:rFonts w:hint="eastAsia" w:ascii="仿宋" w:hAnsi="仿宋" w:eastAsia="仿宋" w:cs="仿宋"/>
                <w:color w:val="auto"/>
                <w:sz w:val="24"/>
                <w:szCs w:val="24"/>
                <w:highlight w:val="none"/>
                <w:lang w:val="en-US" w:eastAsia="zh-CN"/>
              </w:rPr>
              <w:t>12-9分，良得8-4分，一般得3-0分</w:t>
            </w:r>
            <w:r>
              <w:rPr>
                <w:rFonts w:hint="eastAsia" w:ascii="仿宋" w:hAnsi="仿宋" w:eastAsia="仿宋" w:cs="仿宋"/>
                <w:color w:val="auto"/>
                <w:sz w:val="24"/>
                <w:szCs w:val="24"/>
                <w:highlight w:val="none"/>
              </w:rPr>
              <w:t>。提供相关证明（评分依据：提供国家卫生部临检中心室间质评报告或网站截图且投标人须根据报告或网站截图直接提供使用单位家数总和，不提供或未按要求提供的不得分） 。</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产品的总体质量水平及总体性能。优得10-7分，良得6-4分，一般得3-0分。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产品的技术参数响应程度：</w:t>
            </w:r>
            <w:r>
              <w:rPr>
                <w:rFonts w:hint="eastAsia" w:ascii="仿宋" w:hAnsi="仿宋" w:eastAsia="仿宋" w:cs="仿宋"/>
                <w:sz w:val="24"/>
              </w:rPr>
              <w:t>打“▲”号的性能指标每负偏离一项扣4分，没有标志的普通指标每负偏离一项扣2分，扣完为止。</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14分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7669" w:type="dxa"/>
            <w:vAlign w:val="center"/>
          </w:tcPr>
          <w:p>
            <w:pPr>
              <w:spacing w:line="288" w:lineRule="auto"/>
              <w:rPr>
                <w:rFonts w:hint="eastAsia" w:ascii="仿宋" w:hAnsi="仿宋" w:eastAsia="仿宋" w:cs="仿宋"/>
                <w:sz w:val="24"/>
                <w:lang w:eastAsia="zh-CN"/>
              </w:rPr>
            </w:pPr>
            <w:r>
              <w:rPr>
                <w:rFonts w:hint="eastAsia" w:ascii="仿宋" w:hAnsi="仿宋" w:eastAsia="仿宋" w:cs="仿宋"/>
                <w:sz w:val="24"/>
              </w:rPr>
              <w:t>产品的先进性、稳定性和可靠性，优8-6分，良5-3分，一般2-0分</w:t>
            </w:r>
            <w:r>
              <w:rPr>
                <w:rFonts w:hint="eastAsia" w:ascii="仿宋" w:hAnsi="仿宋" w:eastAsia="仿宋" w:cs="仿宋"/>
                <w:sz w:val="24"/>
                <w:lang w:eastAsia="zh-CN"/>
              </w:rPr>
              <w:t>。</w:t>
            </w:r>
          </w:p>
        </w:tc>
        <w:tc>
          <w:tcPr>
            <w:tcW w:w="1005" w:type="dxa"/>
            <w:vAlign w:val="center"/>
          </w:tcPr>
          <w:p>
            <w:pPr>
              <w:spacing w:line="288" w:lineRule="auto"/>
              <w:jc w:val="center"/>
              <w:rPr>
                <w:rFonts w:ascii="仿宋" w:hAnsi="仿宋" w:eastAsia="仿宋" w:cs="仿宋"/>
                <w:sz w:val="24"/>
              </w:rPr>
            </w:pPr>
            <w:r>
              <w:rPr>
                <w:rFonts w:hint="eastAsia" w:ascii="仿宋" w:hAnsi="仿宋" w:eastAsia="仿宋" w:cs="仿宋"/>
                <w:sz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735" w:type="dxa"/>
          </w:tcPr>
          <w:p>
            <w:pPr>
              <w:pStyle w:val="14"/>
              <w:snapToGrid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669" w:type="dxa"/>
          </w:tcPr>
          <w:p>
            <w:pPr>
              <w:pStyle w:val="14"/>
              <w:snapToGrid w:val="0"/>
              <w:spacing w:line="288" w:lineRule="auto"/>
              <w:rPr>
                <w:rFonts w:ascii="仿宋" w:hAnsi="仿宋" w:eastAsia="仿宋" w:cs="仿宋"/>
                <w:color w:val="auto"/>
                <w:sz w:val="24"/>
                <w:szCs w:val="24"/>
              </w:rPr>
            </w:pPr>
            <w:r>
              <w:rPr>
                <w:rFonts w:hint="eastAsia" w:ascii="仿宋" w:hAnsi="仿宋" w:eastAsia="仿宋" w:cs="仿宋"/>
                <w:color w:val="auto"/>
                <w:sz w:val="24"/>
                <w:szCs w:val="24"/>
              </w:rPr>
              <w:t>供应商类似项目的经验：提供采供血机构2018-2020年内的供货合同复印件（加盖单位公章），如不能提供合同，以发票和相应收款凭据复印件（加盖单位公章）为准。每项得</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分，满分8分。</w:t>
            </w:r>
          </w:p>
        </w:tc>
        <w:tc>
          <w:tcPr>
            <w:tcW w:w="1005" w:type="dxa"/>
            <w:vAlign w:val="center"/>
          </w:tcPr>
          <w:p>
            <w:pPr>
              <w:pStyle w:val="14"/>
              <w:snapToGrid w:val="0"/>
              <w:spacing w:line="288" w:lineRule="auto"/>
              <w:jc w:val="center"/>
              <w:rPr>
                <w:rFonts w:ascii="仿宋" w:hAnsi="仿宋" w:eastAsia="仿宋" w:cs="仿宋"/>
                <w:color w:val="auto"/>
                <w:sz w:val="24"/>
                <w:szCs w:val="24"/>
              </w:rPr>
            </w:pPr>
            <w:r>
              <w:rPr>
                <w:rFonts w:hint="eastAsia" w:ascii="仿宋" w:hAnsi="仿宋" w:eastAsia="仿宋" w:cs="仿宋"/>
                <w:color w:val="auto"/>
                <w:sz w:val="24"/>
                <w:szCs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供应商售后服务的可行性与可靠性，相关售后服务承诺及优惠承诺。优得8-6分，良得5-3分，一般得2-0分。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35" w:type="dxa"/>
          </w:tcPr>
          <w:p>
            <w:pPr>
              <w:pStyle w:val="14"/>
              <w:snapToGrid w:val="0"/>
              <w:spacing w:line="288"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7669" w:type="dxa"/>
          </w:tcPr>
          <w:p>
            <w:pPr>
              <w:pStyle w:val="14"/>
              <w:snapToGrid w:val="0"/>
              <w:spacing w:line="288" w:lineRule="auto"/>
              <w:rPr>
                <w:rFonts w:ascii="仿宋" w:hAnsi="仿宋" w:eastAsia="仿宋" w:cs="仿宋"/>
                <w:sz w:val="24"/>
                <w:szCs w:val="24"/>
              </w:rPr>
            </w:pPr>
            <w:r>
              <w:rPr>
                <w:rFonts w:hint="eastAsia" w:ascii="仿宋" w:hAnsi="仿宋" w:eastAsia="仿宋" w:cs="仿宋"/>
                <w:sz w:val="24"/>
                <w:szCs w:val="24"/>
              </w:rPr>
              <w:t>投标文件质量（包括投标文件的编制完整性等情况）优得2分，良得1.5分，一般得1-0分。</w:t>
            </w:r>
          </w:p>
        </w:tc>
        <w:tc>
          <w:tcPr>
            <w:tcW w:w="1005" w:type="dxa"/>
            <w:vAlign w:val="center"/>
          </w:tcPr>
          <w:p>
            <w:pPr>
              <w:pStyle w:val="14"/>
              <w:snapToGrid w:val="0"/>
              <w:spacing w:line="288" w:lineRule="auto"/>
              <w:jc w:val="center"/>
              <w:rPr>
                <w:rFonts w:ascii="仿宋" w:hAnsi="仿宋" w:eastAsia="仿宋" w:cs="仿宋"/>
                <w:sz w:val="24"/>
                <w:szCs w:val="24"/>
              </w:rPr>
            </w:pPr>
            <w:r>
              <w:rPr>
                <w:rFonts w:hint="eastAsia" w:ascii="仿宋" w:hAnsi="仿宋" w:eastAsia="仿宋" w:cs="仿宋"/>
                <w:sz w:val="24"/>
                <w:szCs w:val="24"/>
              </w:rPr>
              <w:t>2分</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sz w:val="24"/>
        </w:rPr>
      </w:pPr>
      <w:r>
        <w:rPr>
          <w:rFonts w:hint="eastAsia" w:ascii="仿宋" w:hAnsi="仿宋" w:eastAsia="仿宋" w:cs="仿宋"/>
          <w:b/>
          <w:sz w:val="24"/>
        </w:rPr>
        <w:t>▲ 减分：</w:t>
      </w:r>
      <w:r>
        <w:rPr>
          <w:rFonts w:hint="eastAsia" w:ascii="仿宋" w:hAnsi="仿宋" w:eastAsia="仿宋" w:cs="仿宋"/>
          <w:bCs/>
          <w:sz w:val="24"/>
        </w:rPr>
        <w:t>投标人的信誉情况：政府采购领域中投标人在项目招标、投标和合同履约期间是否存在不良行为记录。</w:t>
      </w:r>
    </w:p>
    <w:p>
      <w:pPr>
        <w:spacing w:line="288" w:lineRule="auto"/>
        <w:rPr>
          <w:rFonts w:ascii="仿宋" w:hAnsi="仿宋" w:eastAsia="仿宋" w:cs="仿宋"/>
          <w:b/>
          <w:bCs/>
          <w:iCs/>
          <w:sz w:val="24"/>
        </w:rPr>
      </w:pPr>
      <w:r>
        <w:rPr>
          <w:rFonts w:hint="eastAsia" w:ascii="仿宋" w:hAnsi="仿宋" w:eastAsia="仿宋" w:cs="仿宋"/>
          <w:b/>
          <w:sz w:val="24"/>
        </w:rPr>
        <w:t xml:space="preserve">● </w:t>
      </w:r>
      <w:r>
        <w:rPr>
          <w:rFonts w:hint="eastAsia" w:ascii="仿宋" w:hAnsi="仿宋" w:eastAsia="仿宋" w:cs="仿宋"/>
          <w:bCs/>
          <w:sz w:val="24"/>
        </w:rPr>
        <w:t>投标人参加本次政府采购活动前三年内在浙江省范围内政府采购领域中受到不良行为记录处罚的每次扣1分。</w:t>
      </w:r>
    </w:p>
    <w:p>
      <w:pPr>
        <w:spacing w:line="288" w:lineRule="auto"/>
        <w:rPr>
          <w:rFonts w:ascii="仿宋" w:hAnsi="仿宋" w:eastAsia="仿宋" w:cs="仿宋"/>
          <w:b/>
          <w:bCs/>
          <w:iCs/>
          <w:sz w:val="24"/>
        </w:rPr>
      </w:pPr>
      <w:r>
        <w:rPr>
          <w:rFonts w:hint="eastAsia" w:ascii="仿宋" w:hAnsi="仿宋" w:eastAsia="仿宋" w:cs="仿宋"/>
          <w:b/>
          <w:bCs/>
          <w:iCs/>
          <w:sz w:val="24"/>
        </w:rPr>
        <w:t>2.2</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标段）</w:t>
      </w:r>
      <w:r>
        <w:rPr>
          <w:rFonts w:hint="eastAsia" w:ascii="仿宋" w:hAnsi="仿宋" w:eastAsia="仿宋" w:cs="仿宋"/>
          <w:b/>
          <w:bCs/>
          <w:iCs/>
          <w:sz w:val="24"/>
        </w:rPr>
        <w:t>价格分（30分）</w:t>
      </w:r>
    </w:p>
    <w:p>
      <w:pPr>
        <w:spacing w:line="288" w:lineRule="auto"/>
        <w:rPr>
          <w:rFonts w:ascii="仿宋" w:hAnsi="仿宋" w:eastAsia="仿宋" w:cs="仿宋"/>
          <w:bCs/>
          <w:iCs/>
          <w:color w:val="auto"/>
          <w:sz w:val="24"/>
        </w:rPr>
      </w:pPr>
      <w:r>
        <w:rPr>
          <w:rFonts w:hint="eastAsia" w:ascii="仿宋" w:hAnsi="仿宋" w:eastAsia="仿宋" w:cs="仿宋"/>
          <w:b/>
          <w:bCs/>
          <w:color w:val="auto"/>
          <w:sz w:val="24"/>
        </w:rPr>
        <w:t>2.2.1本项目报价按单价报价，各产品单价报价不得高于招标文件所设的单价上限价，否则作无效投标处理。</w:t>
      </w:r>
    </w:p>
    <w:p>
      <w:pPr>
        <w:spacing w:line="288" w:lineRule="auto"/>
        <w:rPr>
          <w:rFonts w:ascii="仿宋" w:hAnsi="仿宋" w:eastAsia="仿宋" w:cs="仿宋"/>
          <w:b/>
          <w:bCs/>
          <w:color w:val="auto"/>
          <w:sz w:val="24"/>
        </w:rPr>
      </w:pPr>
      <w:r>
        <w:rPr>
          <w:rFonts w:hint="eastAsia" w:ascii="仿宋" w:hAnsi="仿宋" w:eastAsia="仿宋" w:cs="仿宋"/>
          <w:b/>
          <w:bCs/>
          <w:color w:val="auto"/>
          <w:sz w:val="24"/>
        </w:rPr>
        <w:t>2.2.2同一标段有多个规格型号的，单价取综合平均价计取价格分。（型号1报价+型号2报价+…型号N报价/N=综合平均价）</w:t>
      </w:r>
    </w:p>
    <w:p>
      <w:pPr>
        <w:spacing w:line="288" w:lineRule="auto"/>
        <w:rPr>
          <w:rFonts w:ascii="仿宋" w:hAnsi="仿宋" w:eastAsia="仿宋" w:cs="仿宋"/>
          <w:bCs/>
          <w:iCs/>
          <w:sz w:val="24"/>
        </w:rPr>
      </w:pPr>
      <w:r>
        <w:rPr>
          <w:rFonts w:hint="eastAsia" w:ascii="仿宋" w:hAnsi="仿宋" w:eastAsia="仿宋" w:cs="仿宋"/>
          <w:bCs/>
          <w:iCs/>
          <w:sz w:val="24"/>
        </w:rPr>
        <w:t>2.2.3评标基准价：即满足招标文件要求且投标价格最低的投标报价为评标基准价，其价格分为满分。</w:t>
      </w:r>
    </w:p>
    <w:p>
      <w:pPr>
        <w:spacing w:line="288" w:lineRule="auto"/>
        <w:rPr>
          <w:rFonts w:ascii="仿宋" w:hAnsi="仿宋" w:eastAsia="仿宋" w:cs="仿宋"/>
          <w:bCs/>
          <w:iCs/>
          <w:sz w:val="24"/>
        </w:rPr>
      </w:pPr>
      <w:r>
        <w:rPr>
          <w:rFonts w:hint="eastAsia" w:ascii="仿宋" w:hAnsi="仿宋" w:eastAsia="仿宋" w:cs="仿宋"/>
          <w:bCs/>
          <w:iCs/>
          <w:sz w:val="24"/>
        </w:rPr>
        <w:t>2.2.4其他投标人的价格分统一按照下列公式计算：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即：投标报价得分=(评标基准价／投标报价)×30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绍兴市中心血站、耀华建设管理有限公司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w:t>
      </w:r>
      <w:r>
        <w:rPr>
          <w:rFonts w:hint="eastAsia" w:ascii="仿宋" w:hAnsi="仿宋" w:eastAsia="仿宋" w:cs="仿宋"/>
          <w:color w:val="auto"/>
          <w:szCs w:val="24"/>
          <w:lang w:eastAsia="zh-CN"/>
        </w:rPr>
        <w:t>盖章</w:t>
      </w:r>
      <w:r>
        <w:rPr>
          <w:rFonts w:hint="eastAsia" w:ascii="仿宋" w:hAnsi="仿宋" w:eastAsia="仿宋" w:cs="仿宋"/>
          <w:color w:val="auto"/>
          <w:szCs w:val="24"/>
        </w:rPr>
        <w:t>)：</w:t>
      </w:r>
    </w:p>
    <w:p>
      <w:pPr>
        <w:pStyle w:val="64"/>
        <w:spacing w:afterLines="0" w:line="288" w:lineRule="auto"/>
        <w:ind w:firstLine="480"/>
        <w:rPr>
          <w:rFonts w:ascii="仿宋" w:hAnsi="仿宋" w:eastAsia="仿宋" w:cs="仿宋"/>
          <w:color w:val="auto"/>
          <w:szCs w:val="24"/>
        </w:rPr>
      </w:pPr>
      <w:r>
        <w:rPr>
          <w:rFonts w:hint="eastAsia" w:ascii="仿宋" w:hAnsi="仿宋" w:eastAsia="仿宋" w:cs="仿宋"/>
          <w:color w:val="auto"/>
          <w:szCs w:val="24"/>
        </w:rPr>
        <w:t xml:space="preserve">投标人(电子签章)：　　　　　　　　　日期：    </w:t>
      </w:r>
    </w:p>
    <w:p>
      <w:pPr>
        <w:pageBreakBefore/>
        <w:spacing w:line="288" w:lineRule="auto"/>
        <w:rPr>
          <w:rFonts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288" w:lineRule="auto"/>
        <w:rPr>
          <w:rFonts w:ascii="仿宋" w:hAnsi="仿宋" w:eastAsia="仿宋" w:cs="仿宋"/>
          <w:color w:val="auto"/>
          <w:sz w:val="24"/>
        </w:rPr>
      </w:pPr>
    </w:p>
    <w:p>
      <w:pPr>
        <w:spacing w:line="288" w:lineRule="auto"/>
        <w:rPr>
          <w:rFonts w:ascii="仿宋" w:hAnsi="仿宋" w:eastAsia="仿宋" w:cs="仿宋"/>
          <w:color w:val="auto"/>
          <w:sz w:val="24"/>
        </w:rPr>
      </w:pPr>
      <w:r>
        <w:rPr>
          <w:rFonts w:hint="eastAsia" w:ascii="仿宋" w:hAnsi="仿宋" w:eastAsia="仿宋" w:cs="仿宋"/>
          <w:color w:val="auto"/>
          <w:sz w:val="24"/>
        </w:rPr>
        <w:t>投标人名称：</w:t>
      </w:r>
      <w:r>
        <w:rPr>
          <w:rFonts w:hint="eastAsia" w:ascii="仿宋" w:hAnsi="仿宋" w:eastAsia="仿宋" w:cs="仿宋"/>
          <w:color w:val="auto"/>
          <w:sz w:val="24"/>
          <w:u w:val="single"/>
        </w:rPr>
        <w:t xml:space="preserve">                                    </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标    项：</w:t>
      </w:r>
      <w:r>
        <w:rPr>
          <w:rFonts w:hint="eastAsia" w:ascii="仿宋" w:hAnsi="仿宋" w:eastAsia="仿宋" w:cs="仿宋"/>
          <w:color w:val="auto"/>
          <w:sz w:val="24"/>
          <w:u w:val="single"/>
        </w:rPr>
        <w:t xml:space="preserve">                                      </w:t>
      </w:r>
    </w:p>
    <w:p>
      <w:pPr>
        <w:snapToGrid w:val="0"/>
        <w:spacing w:line="288" w:lineRule="auto"/>
        <w:rPr>
          <w:rFonts w:ascii="仿宋" w:hAnsi="仿宋" w:eastAsia="仿宋" w:cs="仿宋"/>
          <w:color w:val="auto"/>
          <w:sz w:val="24"/>
          <w:u w:val="single"/>
        </w:rPr>
      </w:pPr>
      <w:r>
        <w:rPr>
          <w:rFonts w:hint="eastAsia" w:ascii="仿宋" w:hAnsi="仿宋" w:eastAsia="仿宋" w:cs="仿宋"/>
          <w:color w:val="auto"/>
          <w:sz w:val="24"/>
        </w:rPr>
        <w:t>招标编号：</w:t>
      </w:r>
      <w:r>
        <w:rPr>
          <w:rFonts w:hint="eastAsia" w:ascii="仿宋" w:hAnsi="仿宋" w:eastAsia="仿宋" w:cs="仿宋"/>
          <w:color w:val="auto"/>
          <w:sz w:val="24"/>
          <w:u w:val="single"/>
        </w:rPr>
        <w:t xml:space="preserve">                                      </w:t>
      </w:r>
    </w:p>
    <w:p>
      <w:pPr>
        <w:spacing w:line="288" w:lineRule="auto"/>
        <w:jc w:val="left"/>
        <w:rPr>
          <w:rFonts w:ascii="仿宋" w:hAnsi="仿宋" w:eastAsia="仿宋" w:cs="仿宋"/>
          <w:color w:val="auto"/>
          <w:sz w:val="24"/>
        </w:rPr>
      </w:pPr>
      <w:r>
        <w:rPr>
          <w:rFonts w:hint="eastAsia" w:ascii="仿宋" w:hAnsi="仿宋" w:eastAsia="仿宋" w:cs="仿宋"/>
          <w:b/>
          <w:bCs/>
          <w:color w:val="auto"/>
          <w:sz w:val="24"/>
        </w:rPr>
        <w:t>标项一</w:t>
      </w:r>
      <w:r>
        <w:rPr>
          <w:rFonts w:hint="eastAsia" w:ascii="仿宋" w:hAnsi="仿宋" w:eastAsia="仿宋" w:cs="仿宋"/>
          <w:color w:val="auto"/>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p>
        </w:tc>
        <w:tc>
          <w:tcPr>
            <w:tcW w:w="108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vMerge w:val="restart"/>
            <w:tcBorders>
              <w:right w:val="single" w:color="auto" w:sz="4" w:space="0"/>
            </w:tcBorders>
            <w:vAlign w:val="center"/>
          </w:tcPr>
          <w:p>
            <w:pPr>
              <w:widowControl/>
              <w:spacing w:line="288" w:lineRule="auto"/>
              <w:jc w:val="center"/>
              <w:textAlignment w:val="center"/>
              <w:rPr>
                <w:rFonts w:ascii="仿宋" w:hAnsi="仿宋" w:eastAsia="仿宋" w:cs="仿宋"/>
                <w:color w:val="auto"/>
                <w:spacing w:val="20"/>
                <w:sz w:val="24"/>
              </w:rPr>
            </w:pPr>
            <w:r>
              <w:rPr>
                <w:rFonts w:hint="eastAsia" w:asciiTheme="minorEastAsia" w:hAnsiTheme="minorEastAsia" w:eastAsiaTheme="minorEastAsia" w:cstheme="minorEastAsia"/>
                <w:color w:val="auto"/>
                <w:sz w:val="18"/>
                <w:szCs w:val="18"/>
              </w:rPr>
              <w:t xml:space="preserve"> </w:t>
            </w:r>
            <w:r>
              <w:rPr>
                <w:rFonts w:hint="eastAsia" w:ascii="仿宋" w:hAnsi="仿宋" w:eastAsia="仿宋" w:cs="仿宋"/>
                <w:color w:val="auto"/>
                <w:spacing w:val="20"/>
                <w:sz w:val="24"/>
              </w:rPr>
              <w:t>MCS+机采耗材</w:t>
            </w:r>
          </w:p>
        </w:tc>
        <w:tc>
          <w:tcPr>
            <w:tcW w:w="1261" w:type="dxa"/>
            <w:vMerge w:val="restart"/>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Merge w:val="restart"/>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vAlign w:val="center"/>
          </w:tcPr>
          <w:p>
            <w:pPr>
              <w:snapToGrid w:val="0"/>
              <w:spacing w:line="288" w:lineRule="auto"/>
              <w:ind w:right="172" w:rightChars="82"/>
              <w:jc w:val="center"/>
              <w:rPr>
                <w:rFonts w:ascii="仿宋" w:hAnsi="仿宋" w:eastAsia="仿宋" w:cs="仿宋"/>
                <w:color w:val="auto"/>
                <w:spacing w:val="20"/>
                <w:sz w:val="24"/>
              </w:rPr>
            </w:pPr>
            <w:r>
              <w:rPr>
                <w:rFonts w:ascii="仿宋" w:hAnsi="仿宋" w:eastAsia="仿宋" w:cs="仿宋"/>
                <w:color w:val="auto"/>
                <w:spacing w:val="20"/>
                <w:sz w:val="24"/>
              </w:rPr>
              <w:t>单份血小板</w:t>
            </w:r>
            <w:r>
              <w:rPr>
                <w:rFonts w:hint="eastAsia" w:ascii="仿宋" w:hAnsi="仿宋" w:eastAsia="仿宋" w:cs="仿宋"/>
                <w:color w:val="auto"/>
                <w:spacing w:val="20"/>
                <w:sz w:val="24"/>
              </w:rPr>
              <w:t>/</w:t>
            </w:r>
            <w:r>
              <w:rPr>
                <w:rFonts w:ascii="仿宋" w:hAnsi="仿宋" w:eastAsia="仿宋" w:cs="仿宋"/>
                <w:color w:val="auto"/>
                <w:spacing w:val="20"/>
                <w:sz w:val="24"/>
              </w:rPr>
              <w:t>套</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2</w:t>
            </w:r>
          </w:p>
        </w:tc>
        <w:tc>
          <w:tcPr>
            <w:tcW w:w="1080" w:type="dxa"/>
            <w:vMerge w:val="continue"/>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vMerge w:val="continue"/>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Merge w:val="continue"/>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tcBorders>
              <w:lef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双份血小板/</w:t>
            </w:r>
            <w:r>
              <w:rPr>
                <w:rFonts w:ascii="仿宋" w:hAnsi="仿宋" w:eastAsia="仿宋" w:cs="仿宋"/>
                <w:color w:val="auto"/>
                <w:spacing w:val="20"/>
                <w:sz w:val="24"/>
              </w:rPr>
              <w:t>套</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bCs/>
                <w:color w:val="auto"/>
                <w:sz w:val="24"/>
              </w:rPr>
              <w:t>其中核心产品，由</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（请填写企业名称）制造，该企业</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b/>
                <w:bCs/>
                <w:color w:val="auto"/>
                <w:spacing w:val="20"/>
                <w:sz w:val="24"/>
              </w:rPr>
              <w:t>单价综合平均价</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color w:val="auto"/>
                <w:spacing w:val="20"/>
                <w:sz w:val="24"/>
              </w:rPr>
            </w:pPr>
          </w:p>
        </w:tc>
        <w:tc>
          <w:tcPr>
            <w:tcW w:w="7199" w:type="dxa"/>
            <w:gridSpan w:val="7"/>
            <w:tcBorders>
              <w:top w:val="single" w:color="auto" w:sz="4" w:space="0"/>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_GB2312" w:hAnsi="仿宋" w:eastAsia="仿宋_GB2312" w:cs="仿宋"/>
                <w:b/>
                <w:bCs/>
                <w:color w:val="auto"/>
                <w:sz w:val="24"/>
              </w:rPr>
              <w:t>注：标段一有多个规格型号的，需填报单价综合平均价。（型号1报价+型号2报价+</w:t>
            </w:r>
            <w:r>
              <w:rPr>
                <w:rFonts w:ascii="仿宋_GB2312" w:hAnsi="仿宋" w:eastAsia="仿宋_GB2312" w:cs="仿宋"/>
                <w:b/>
                <w:bCs/>
                <w:color w:val="auto"/>
                <w:sz w:val="24"/>
              </w:rPr>
              <w:t>…</w:t>
            </w:r>
            <w:r>
              <w:rPr>
                <w:rFonts w:hint="eastAsia" w:ascii="仿宋_GB2312" w:hAnsi="仿宋" w:eastAsia="仿宋_GB2312" w:cs="仿宋"/>
                <w:b/>
                <w:bCs/>
                <w:color w:val="auto"/>
                <w:sz w:val="24"/>
              </w:rPr>
              <w:t>型号N报价/N=单价综合平均价）</w:t>
            </w:r>
          </w:p>
        </w:tc>
      </w:tr>
    </w:tbl>
    <w:p>
      <w:pPr>
        <w:spacing w:line="288" w:lineRule="auto"/>
        <w:jc w:val="left"/>
        <w:rPr>
          <w:rFonts w:ascii="仿宋" w:hAnsi="仿宋" w:eastAsia="仿宋" w:cs="仿宋"/>
          <w:b/>
          <w:bCs/>
          <w:color w:val="auto"/>
          <w:sz w:val="24"/>
        </w:rPr>
      </w:pPr>
    </w:p>
    <w:p>
      <w:pPr>
        <w:spacing w:line="288" w:lineRule="auto"/>
        <w:jc w:val="left"/>
        <w:rPr>
          <w:rFonts w:ascii="仿宋" w:hAnsi="仿宋" w:eastAsia="仿宋" w:cs="仿宋"/>
          <w:color w:val="auto"/>
          <w:sz w:val="24"/>
        </w:rPr>
      </w:pPr>
      <w:r>
        <w:rPr>
          <w:rFonts w:hint="eastAsia" w:ascii="仿宋" w:hAnsi="仿宋" w:eastAsia="仿宋" w:cs="仿宋"/>
          <w:b/>
          <w:bCs/>
          <w:color w:val="auto"/>
          <w:sz w:val="24"/>
        </w:rPr>
        <w:t>标项二</w:t>
      </w:r>
      <w:r>
        <w:rPr>
          <w:rFonts w:hint="eastAsia" w:ascii="仿宋" w:hAnsi="仿宋" w:eastAsia="仿宋" w:cs="仿宋"/>
          <w:color w:val="auto"/>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p>
        </w:tc>
        <w:tc>
          <w:tcPr>
            <w:tcW w:w="108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vMerge w:val="restart"/>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AmiCORE机采耗材</w:t>
            </w:r>
          </w:p>
        </w:tc>
        <w:tc>
          <w:tcPr>
            <w:tcW w:w="1261" w:type="dxa"/>
            <w:vMerge w:val="restart"/>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Merge w:val="restart"/>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vAlign w:val="center"/>
          </w:tcPr>
          <w:p>
            <w:pPr>
              <w:snapToGrid w:val="0"/>
              <w:spacing w:line="288" w:lineRule="auto"/>
              <w:ind w:right="172" w:rightChars="82"/>
              <w:jc w:val="center"/>
              <w:rPr>
                <w:rFonts w:ascii="仿宋" w:hAnsi="仿宋" w:eastAsia="仿宋" w:cs="仿宋"/>
                <w:color w:val="auto"/>
                <w:spacing w:val="20"/>
                <w:sz w:val="24"/>
              </w:rPr>
            </w:pPr>
            <w:r>
              <w:rPr>
                <w:rFonts w:ascii="仿宋" w:hAnsi="仿宋" w:eastAsia="仿宋" w:cs="仿宋"/>
                <w:color w:val="auto"/>
                <w:spacing w:val="20"/>
                <w:sz w:val="24"/>
              </w:rPr>
              <w:t>单份血小板</w:t>
            </w:r>
            <w:r>
              <w:rPr>
                <w:rFonts w:hint="eastAsia" w:ascii="仿宋" w:hAnsi="仿宋" w:eastAsia="仿宋" w:cs="仿宋"/>
                <w:color w:val="auto"/>
                <w:spacing w:val="20"/>
                <w:sz w:val="24"/>
              </w:rPr>
              <w:t>/</w:t>
            </w:r>
            <w:r>
              <w:rPr>
                <w:rFonts w:ascii="仿宋" w:hAnsi="仿宋" w:eastAsia="仿宋" w:cs="仿宋"/>
                <w:color w:val="auto"/>
                <w:spacing w:val="20"/>
                <w:sz w:val="24"/>
              </w:rPr>
              <w:t>套</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2</w:t>
            </w:r>
          </w:p>
        </w:tc>
        <w:tc>
          <w:tcPr>
            <w:tcW w:w="1080" w:type="dxa"/>
            <w:vMerge w:val="continue"/>
            <w:tcBorders>
              <w:righ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261" w:type="dxa"/>
            <w:vMerge w:val="continue"/>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Merge w:val="continue"/>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tcBorders>
              <w:lef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双份血小板/</w:t>
            </w:r>
            <w:r>
              <w:rPr>
                <w:rFonts w:ascii="仿宋" w:hAnsi="仿宋" w:eastAsia="仿宋" w:cs="仿宋"/>
                <w:color w:val="auto"/>
                <w:spacing w:val="20"/>
                <w:sz w:val="24"/>
              </w:rPr>
              <w:t>套</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bCs/>
                <w:color w:val="auto"/>
                <w:sz w:val="24"/>
              </w:rPr>
              <w:t>其中核心产品，由</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（请填写企业名称）制造，该企业</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b/>
                <w:bCs/>
                <w:color w:val="auto"/>
                <w:spacing w:val="20"/>
                <w:sz w:val="24"/>
              </w:rPr>
              <w:t>单价综合平均价</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color w:val="auto"/>
                <w:spacing w:val="20"/>
                <w:sz w:val="24"/>
              </w:rPr>
            </w:pPr>
          </w:p>
        </w:tc>
        <w:tc>
          <w:tcPr>
            <w:tcW w:w="7199" w:type="dxa"/>
            <w:gridSpan w:val="7"/>
            <w:tcBorders>
              <w:top w:val="single" w:color="auto" w:sz="4" w:space="0"/>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_GB2312" w:hAnsi="仿宋" w:eastAsia="仿宋_GB2312" w:cs="仿宋"/>
                <w:b/>
                <w:bCs/>
                <w:color w:val="auto"/>
                <w:sz w:val="24"/>
              </w:rPr>
              <w:t>注：标段二有多个规格型号的，需填报单价综合平均价。（型号1报价+型号2报价+</w:t>
            </w:r>
            <w:r>
              <w:rPr>
                <w:rFonts w:ascii="仿宋_GB2312" w:hAnsi="仿宋" w:eastAsia="仿宋_GB2312" w:cs="仿宋"/>
                <w:b/>
                <w:bCs/>
                <w:color w:val="auto"/>
                <w:sz w:val="24"/>
              </w:rPr>
              <w:t>…</w:t>
            </w:r>
            <w:r>
              <w:rPr>
                <w:rFonts w:hint="eastAsia" w:ascii="仿宋_GB2312" w:hAnsi="仿宋" w:eastAsia="仿宋_GB2312" w:cs="仿宋"/>
                <w:b/>
                <w:bCs/>
                <w:color w:val="auto"/>
                <w:sz w:val="24"/>
              </w:rPr>
              <w:t>型号N报价/N=单价综合平均价）</w:t>
            </w:r>
          </w:p>
        </w:tc>
      </w:tr>
    </w:tbl>
    <w:p>
      <w:pPr>
        <w:snapToGrid w:val="0"/>
        <w:spacing w:line="288" w:lineRule="auto"/>
        <w:jc w:val="left"/>
        <w:rPr>
          <w:rFonts w:ascii="仿宋" w:hAnsi="仿宋" w:eastAsia="仿宋" w:cs="仿宋"/>
          <w:color w:val="auto"/>
          <w:sz w:val="24"/>
        </w:rPr>
      </w:pPr>
    </w:p>
    <w:p>
      <w:pPr>
        <w:spacing w:line="288" w:lineRule="auto"/>
        <w:jc w:val="left"/>
        <w:rPr>
          <w:rFonts w:ascii="仿宋" w:hAnsi="仿宋" w:eastAsia="仿宋" w:cs="仿宋"/>
          <w:color w:val="auto"/>
          <w:sz w:val="24"/>
        </w:rPr>
      </w:pPr>
      <w:r>
        <w:rPr>
          <w:rFonts w:hint="eastAsia" w:ascii="仿宋" w:hAnsi="仿宋" w:eastAsia="仿宋" w:cs="仿宋"/>
          <w:b/>
          <w:bCs/>
          <w:color w:val="auto"/>
          <w:sz w:val="24"/>
        </w:rPr>
        <w:t>标项</w:t>
      </w:r>
      <w:r>
        <w:rPr>
          <w:rFonts w:hint="eastAsia" w:ascii="仿宋" w:hAnsi="仿宋" w:eastAsia="仿宋" w:cs="仿宋"/>
          <w:b/>
          <w:bCs/>
          <w:color w:val="auto"/>
          <w:sz w:val="24"/>
          <w:lang w:eastAsia="zh-CN"/>
        </w:rPr>
        <w:t>三</w:t>
      </w:r>
      <w:r>
        <w:rPr>
          <w:rFonts w:hint="eastAsia" w:ascii="仿宋" w:hAnsi="仿宋" w:eastAsia="仿宋" w:cs="仿宋"/>
          <w:color w:val="auto"/>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p>
        </w:tc>
        <w:tc>
          <w:tcPr>
            <w:tcW w:w="108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z w:val="24"/>
              </w:rPr>
              <w:t>乙肝诊断试剂</w:t>
            </w: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480T/盒（其他包装规格报价换算为480T/盒）</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bCs/>
                <w:color w:val="auto"/>
                <w:sz w:val="24"/>
              </w:rPr>
              <w:t>其中核心产品，由</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（请填写企业名称）制造，该企业</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b/>
                <w:bCs/>
                <w:color w:val="auto"/>
                <w:spacing w:val="20"/>
                <w:sz w:val="24"/>
              </w:rPr>
              <w:t>单价</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rPr>
                <w:rFonts w:ascii="仿宋" w:hAnsi="仿宋" w:eastAsia="仿宋" w:cs="仿宋"/>
                <w:color w:val="auto"/>
                <w:spacing w:val="20"/>
                <w:sz w:val="24"/>
              </w:rPr>
            </w:pPr>
          </w:p>
        </w:tc>
        <w:tc>
          <w:tcPr>
            <w:tcW w:w="7199" w:type="dxa"/>
            <w:gridSpan w:val="7"/>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bl>
    <w:p>
      <w:pPr>
        <w:snapToGrid w:val="0"/>
        <w:spacing w:line="288" w:lineRule="auto"/>
        <w:jc w:val="left"/>
        <w:rPr>
          <w:rFonts w:ascii="仿宋" w:hAnsi="仿宋" w:eastAsia="仿宋" w:cs="仿宋"/>
          <w:color w:val="auto"/>
          <w:sz w:val="24"/>
        </w:rPr>
      </w:pPr>
    </w:p>
    <w:p>
      <w:pPr>
        <w:spacing w:line="288" w:lineRule="auto"/>
        <w:jc w:val="left"/>
        <w:rPr>
          <w:rFonts w:ascii="仿宋" w:hAnsi="仿宋" w:eastAsia="仿宋" w:cs="仿宋"/>
          <w:color w:val="auto"/>
          <w:sz w:val="24"/>
        </w:rPr>
      </w:pPr>
      <w:r>
        <w:rPr>
          <w:rFonts w:hint="eastAsia" w:ascii="仿宋" w:hAnsi="仿宋" w:eastAsia="仿宋" w:cs="仿宋"/>
          <w:b/>
          <w:bCs/>
          <w:color w:val="auto"/>
          <w:sz w:val="24"/>
        </w:rPr>
        <w:t>标项</w:t>
      </w:r>
      <w:r>
        <w:rPr>
          <w:rFonts w:hint="eastAsia" w:ascii="仿宋" w:hAnsi="仿宋" w:eastAsia="仿宋" w:cs="仿宋"/>
          <w:b/>
          <w:bCs/>
          <w:color w:val="auto"/>
          <w:sz w:val="24"/>
          <w:lang w:eastAsia="zh-CN"/>
        </w:rPr>
        <w:t>四</w:t>
      </w:r>
      <w:r>
        <w:rPr>
          <w:rFonts w:hint="eastAsia" w:ascii="仿宋" w:hAnsi="仿宋" w:eastAsia="仿宋" w:cs="仿宋"/>
          <w:color w:val="auto"/>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p>
        </w:tc>
        <w:tc>
          <w:tcPr>
            <w:tcW w:w="108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z w:val="24"/>
              </w:rPr>
              <w:t>HIV诊断试剂</w:t>
            </w: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vAlign w:val="center"/>
          </w:tcPr>
          <w:p>
            <w:pPr>
              <w:snapToGrid w:val="0"/>
              <w:spacing w:line="288" w:lineRule="auto"/>
              <w:ind w:right="172" w:rightChars="82" w:firstLine="565" w:firstLineChars="202"/>
              <w:rPr>
                <w:rFonts w:ascii="仿宋" w:hAnsi="仿宋" w:eastAsia="仿宋" w:cs="仿宋"/>
                <w:color w:val="auto"/>
                <w:spacing w:val="20"/>
                <w:sz w:val="24"/>
              </w:rPr>
            </w:pPr>
            <w:r>
              <w:rPr>
                <w:rFonts w:hint="eastAsia" w:ascii="仿宋" w:hAnsi="仿宋" w:eastAsia="仿宋" w:cs="仿宋"/>
                <w:color w:val="auto"/>
                <w:spacing w:val="20"/>
                <w:sz w:val="24"/>
              </w:rPr>
              <w:t>480T/盒（其他包装规格报价换算为480T/盒）</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bCs/>
                <w:color w:val="auto"/>
                <w:sz w:val="24"/>
              </w:rPr>
              <w:t>其中核心产品，由</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（请填写企业名称）制造，该企业</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b/>
                <w:bCs/>
                <w:color w:val="auto"/>
                <w:spacing w:val="20"/>
                <w:sz w:val="24"/>
              </w:rPr>
              <w:t>单价</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rPr>
                <w:rFonts w:ascii="仿宋" w:hAnsi="仿宋" w:eastAsia="仿宋" w:cs="仿宋"/>
                <w:color w:val="auto"/>
                <w:spacing w:val="20"/>
                <w:sz w:val="24"/>
              </w:rPr>
            </w:pPr>
          </w:p>
        </w:tc>
        <w:tc>
          <w:tcPr>
            <w:tcW w:w="7199" w:type="dxa"/>
            <w:gridSpan w:val="7"/>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bl>
    <w:p>
      <w:pPr>
        <w:spacing w:line="288" w:lineRule="auto"/>
        <w:jc w:val="left"/>
        <w:rPr>
          <w:rFonts w:ascii="仿宋" w:hAnsi="仿宋" w:eastAsia="仿宋" w:cs="仿宋"/>
          <w:color w:val="auto"/>
          <w:sz w:val="24"/>
        </w:rPr>
      </w:pPr>
      <w:r>
        <w:rPr>
          <w:rFonts w:hint="eastAsia" w:ascii="仿宋" w:hAnsi="仿宋" w:eastAsia="仿宋" w:cs="仿宋"/>
          <w:b/>
          <w:bCs/>
          <w:color w:val="auto"/>
          <w:sz w:val="24"/>
        </w:rPr>
        <w:t>标项</w:t>
      </w:r>
      <w:r>
        <w:rPr>
          <w:rFonts w:hint="eastAsia" w:ascii="仿宋" w:hAnsi="仿宋" w:eastAsia="仿宋" w:cs="仿宋"/>
          <w:b/>
          <w:bCs/>
          <w:color w:val="auto"/>
          <w:sz w:val="24"/>
          <w:lang w:eastAsia="zh-CN"/>
        </w:rPr>
        <w:t>五</w:t>
      </w:r>
      <w:r>
        <w:rPr>
          <w:rFonts w:hint="eastAsia" w:ascii="仿宋" w:hAnsi="仿宋" w:eastAsia="仿宋" w:cs="仿宋"/>
          <w:color w:val="auto"/>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108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color w:val="auto"/>
                <w:spacing w:val="20"/>
                <w:sz w:val="24"/>
              </w:rPr>
            </w:pPr>
            <w:r>
              <w:rPr>
                <w:rFonts w:hint="eastAsia" w:ascii="仿宋" w:hAnsi="仿宋" w:eastAsia="仿宋" w:cs="仿宋"/>
                <w:color w:val="auto"/>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color w:val="auto"/>
                <w:spacing w:val="20"/>
                <w:sz w:val="24"/>
              </w:rPr>
            </w:pPr>
            <w:r>
              <w:rPr>
                <w:rFonts w:hint="eastAsia" w:ascii="仿宋" w:hAnsi="仿宋" w:eastAsia="仿宋" w:cs="仿宋"/>
                <w:color w:val="auto"/>
                <w:spacing w:val="20"/>
                <w:sz w:val="24"/>
              </w:rPr>
              <w:t>货物的制造商</w:t>
            </w:r>
          </w:p>
        </w:tc>
        <w:tc>
          <w:tcPr>
            <w:tcW w:w="900" w:type="dxa"/>
            <w:vAlign w:val="center"/>
          </w:tcPr>
          <w:p>
            <w:pPr>
              <w:snapToGrid w:val="0"/>
              <w:spacing w:line="288" w:lineRule="auto"/>
              <w:ind w:left="-107" w:leftChars="-51" w:right="-107" w:rightChars="-51" w:firstLine="1"/>
              <w:rPr>
                <w:rFonts w:ascii="仿宋" w:hAnsi="仿宋" w:eastAsia="仿宋" w:cs="仿宋"/>
                <w:color w:val="auto"/>
                <w:spacing w:val="20"/>
                <w:sz w:val="24"/>
              </w:rPr>
            </w:pPr>
            <w:r>
              <w:rPr>
                <w:rFonts w:hint="eastAsia" w:ascii="仿宋" w:hAnsi="仿宋" w:eastAsia="仿宋" w:cs="仿宋"/>
                <w:color w:val="auto"/>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color w:val="auto"/>
                <w:spacing w:val="20"/>
                <w:sz w:val="24"/>
              </w:rPr>
            </w:pPr>
            <w:r>
              <w:rPr>
                <w:rFonts w:hint="eastAsia" w:ascii="仿宋" w:hAnsi="仿宋" w:eastAsia="仿宋" w:cs="仿宋"/>
                <w:color w:val="auto"/>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型号和规格</w:t>
            </w:r>
          </w:p>
        </w:tc>
        <w:tc>
          <w:tcPr>
            <w:tcW w:w="1080" w:type="dxa"/>
            <w:vAlign w:val="center"/>
          </w:tcPr>
          <w:p>
            <w:pPr>
              <w:snapToGrid w:val="0"/>
              <w:spacing w:line="288" w:lineRule="auto"/>
              <w:ind w:left="-107" w:leftChars="-51" w:right="-107" w:rightChars="-51" w:firstLine="1"/>
              <w:jc w:val="center"/>
              <w:rPr>
                <w:rFonts w:ascii="仿宋" w:hAnsi="仿宋" w:eastAsia="仿宋" w:cs="仿宋"/>
                <w:color w:val="auto"/>
                <w:spacing w:val="20"/>
                <w:sz w:val="24"/>
              </w:rPr>
            </w:pPr>
            <w:r>
              <w:rPr>
                <w:rFonts w:hint="eastAsia" w:ascii="仿宋" w:hAnsi="仿宋" w:eastAsia="仿宋" w:cs="仿宋"/>
                <w:color w:val="auto"/>
                <w:spacing w:val="20"/>
                <w:sz w:val="24"/>
              </w:rPr>
              <w:t>单价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color w:val="auto"/>
                <w:spacing w:val="20"/>
                <w:sz w:val="24"/>
              </w:rPr>
            </w:pPr>
            <w:r>
              <w:rPr>
                <w:rFonts w:hint="eastAsia" w:ascii="仿宋" w:hAnsi="仿宋" w:eastAsia="仿宋" w:cs="仿宋"/>
                <w:color w:val="auto"/>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color w:val="auto"/>
                <w:spacing w:val="20"/>
                <w:sz w:val="24"/>
              </w:rPr>
            </w:pPr>
            <w:r>
              <w:rPr>
                <w:rFonts w:hint="eastAsia" w:ascii="仿宋" w:hAnsi="仿宋" w:eastAsia="仿宋" w:cs="仿宋"/>
                <w:color w:val="auto"/>
                <w:spacing w:val="20"/>
                <w:sz w:val="24"/>
              </w:rPr>
              <w:t>质保期</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color w:val="auto"/>
                <w:spacing w:val="20"/>
                <w:sz w:val="24"/>
              </w:rPr>
            </w:pPr>
            <w:r>
              <w:rPr>
                <w:rFonts w:hint="eastAsia" w:ascii="仿宋" w:hAnsi="仿宋" w:eastAsia="仿宋" w:cs="仿宋"/>
                <w:color w:val="auto"/>
                <w:sz w:val="24"/>
              </w:rPr>
              <w:t>丙肝诊断试剂</w:t>
            </w: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color w:val="auto"/>
                <w:spacing w:val="20"/>
                <w:sz w:val="24"/>
              </w:rPr>
              <w:t>1</w:t>
            </w:r>
          </w:p>
        </w:tc>
        <w:tc>
          <w:tcPr>
            <w:tcW w:w="1440" w:type="dxa"/>
            <w:vAlign w:val="center"/>
          </w:tcPr>
          <w:p>
            <w:pPr>
              <w:snapToGrid w:val="0"/>
              <w:spacing w:line="288" w:lineRule="auto"/>
              <w:ind w:right="172" w:rightChars="82" w:firstLine="565" w:firstLineChars="202"/>
              <w:rPr>
                <w:rFonts w:ascii="仿宋" w:hAnsi="仿宋" w:eastAsia="仿宋" w:cs="仿宋"/>
                <w:color w:val="auto"/>
                <w:spacing w:val="20"/>
                <w:sz w:val="24"/>
              </w:rPr>
            </w:pPr>
            <w:r>
              <w:rPr>
                <w:rFonts w:hint="eastAsia" w:ascii="仿宋" w:hAnsi="仿宋" w:eastAsia="仿宋" w:cs="仿宋"/>
                <w:color w:val="auto"/>
                <w:spacing w:val="20"/>
                <w:sz w:val="24"/>
              </w:rPr>
              <w:t>480T/盒（其他包装规格报价换算为480T/盒）</w:t>
            </w:r>
          </w:p>
        </w:tc>
        <w:tc>
          <w:tcPr>
            <w:tcW w:w="108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color w:val="auto"/>
                <w:spacing w:val="20"/>
                <w:sz w:val="24"/>
              </w:rPr>
            </w:pPr>
          </w:p>
        </w:tc>
        <w:tc>
          <w:tcPr>
            <w:tcW w:w="1078" w:type="dxa"/>
          </w:tcPr>
          <w:p>
            <w:pPr>
              <w:snapToGrid w:val="0"/>
              <w:spacing w:line="288" w:lineRule="auto"/>
              <w:ind w:right="172" w:rightChars="82" w:firstLine="565" w:firstLineChars="202"/>
              <w:rPr>
                <w:rFonts w:ascii="仿宋" w:hAnsi="仿宋" w:eastAsia="仿宋" w:cs="仿宋"/>
                <w:color w:val="auto"/>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9"/>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bCs/>
                <w:color w:val="auto"/>
                <w:sz w:val="24"/>
              </w:rPr>
              <w:t>其中核心产品，由</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（请填写企业名称）制造，该企业</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rPr>
              <w:t>（请填写属于或不属于）小型、微型企业。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jc w:val="center"/>
              <w:rPr>
                <w:rFonts w:ascii="仿宋" w:hAnsi="仿宋" w:eastAsia="仿宋" w:cs="仿宋"/>
                <w:color w:val="auto"/>
                <w:spacing w:val="20"/>
                <w:sz w:val="24"/>
              </w:rPr>
            </w:pPr>
            <w:r>
              <w:rPr>
                <w:rFonts w:hint="eastAsia" w:ascii="仿宋" w:hAnsi="仿宋" w:eastAsia="仿宋" w:cs="仿宋"/>
                <w:b/>
                <w:bCs/>
                <w:color w:val="auto"/>
                <w:spacing w:val="20"/>
                <w:sz w:val="24"/>
              </w:rPr>
              <w:t>单价</w:t>
            </w:r>
          </w:p>
        </w:tc>
        <w:tc>
          <w:tcPr>
            <w:tcW w:w="7199" w:type="dxa"/>
            <w:gridSpan w:val="7"/>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rPr>
                <w:rFonts w:ascii="仿宋" w:hAnsi="仿宋" w:eastAsia="仿宋" w:cs="仿宋"/>
                <w:color w:val="auto"/>
                <w:spacing w:val="20"/>
                <w:sz w:val="24"/>
              </w:rPr>
            </w:pPr>
          </w:p>
        </w:tc>
        <w:tc>
          <w:tcPr>
            <w:tcW w:w="7199" w:type="dxa"/>
            <w:gridSpan w:val="7"/>
            <w:vAlign w:val="center"/>
          </w:tcPr>
          <w:p>
            <w:pPr>
              <w:snapToGrid w:val="0"/>
              <w:spacing w:line="288" w:lineRule="auto"/>
              <w:ind w:right="172" w:rightChars="82"/>
              <w:rPr>
                <w:rFonts w:ascii="仿宋" w:hAnsi="仿宋" w:eastAsia="仿宋" w:cs="仿宋"/>
                <w:color w:val="auto"/>
                <w:spacing w:val="20"/>
                <w:sz w:val="24"/>
              </w:rPr>
            </w:pPr>
            <w:r>
              <w:rPr>
                <w:rFonts w:hint="eastAsia" w:ascii="仿宋" w:hAnsi="仿宋" w:eastAsia="仿宋" w:cs="仿宋"/>
                <w:color w:val="auto"/>
                <w:spacing w:val="20"/>
                <w:sz w:val="24"/>
              </w:rPr>
              <w:t>大写：</w:t>
            </w:r>
          </w:p>
        </w:tc>
      </w:tr>
    </w:tbl>
    <w:p>
      <w:pPr>
        <w:snapToGrid w:val="0"/>
        <w:spacing w:line="288" w:lineRule="auto"/>
        <w:jc w:val="left"/>
        <w:rPr>
          <w:rFonts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spacing w:line="288" w:lineRule="auto"/>
        <w:ind w:left="480"/>
        <w:rPr>
          <w:rFonts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color w:val="auto"/>
          <w:sz w:val="24"/>
        </w:rPr>
      </w:pPr>
      <w:r>
        <w:rPr>
          <w:rFonts w:hint="eastAsia" w:ascii="仿宋" w:hAnsi="仿宋" w:eastAsia="仿宋" w:cs="仿宋"/>
          <w:color w:val="auto"/>
          <w:kern w:val="0"/>
          <w:sz w:val="24"/>
          <w:lang w:val="zh-CN"/>
        </w:rPr>
        <w:t>5.以上表格要求细分项目及报价，</w:t>
      </w:r>
      <w:r>
        <w:rPr>
          <w:rFonts w:hint="eastAsia" w:ascii="仿宋" w:hAnsi="仿宋" w:eastAsia="仿宋" w:cs="仿宋"/>
          <w:b/>
          <w:color w:val="auto"/>
          <w:kern w:val="0"/>
          <w:sz w:val="24"/>
        </w:rPr>
        <w:t>在“规格型号一栏中，货物类项目填写规格型号。</w:t>
      </w:r>
      <w:r>
        <w:rPr>
          <w:rFonts w:hint="eastAsia" w:ascii="仿宋" w:hAnsi="仿宋" w:eastAsia="仿宋" w:cs="仿宋"/>
          <w:b/>
          <w:color w:val="auto"/>
          <w:sz w:val="24"/>
        </w:rPr>
        <w:t>产品包含但不仅限于:名称、品牌、型号、生产厂商、数量、质保期等。</w:t>
      </w:r>
    </w:p>
    <w:p>
      <w:pPr>
        <w:spacing w:line="288" w:lineRule="auto"/>
        <w:ind w:firstLine="482" w:firstLineChars="200"/>
        <w:rPr>
          <w:rFonts w:ascii="仿宋" w:hAnsi="仿宋" w:eastAsia="仿宋" w:cs="仿宋"/>
          <w:color w:val="auto"/>
          <w:kern w:val="0"/>
          <w:sz w:val="24"/>
          <w:lang w:val="zh-CN"/>
        </w:rPr>
      </w:pPr>
      <w:r>
        <w:rPr>
          <w:rFonts w:hint="eastAsia" w:ascii="仿宋" w:hAnsi="仿宋" w:eastAsia="仿宋" w:cs="仿宋"/>
          <w:b/>
          <w:color w:val="auto"/>
          <w:sz w:val="24"/>
        </w:rPr>
        <w:t>6、</w:t>
      </w:r>
      <w:r>
        <w:rPr>
          <w:rFonts w:hint="eastAsia" w:ascii="仿宋" w:hAnsi="仿宋" w:eastAsia="仿宋" w:cs="仿宋"/>
          <w:color w:val="auto"/>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color w:val="auto"/>
          <w:kern w:val="0"/>
          <w:sz w:val="24"/>
          <w:lang w:val="zh-CN"/>
        </w:rPr>
      </w:pPr>
      <w:r>
        <w:rPr>
          <w:rFonts w:hint="eastAsia" w:ascii="仿宋" w:hAnsi="仿宋" w:eastAsia="仿宋" w:cs="仿宋"/>
          <w:b/>
          <w:color w:val="auto"/>
          <w:kern w:val="0"/>
          <w:sz w:val="24"/>
          <w:lang w:val="zh-CN"/>
        </w:rPr>
        <w:t>7.特别提示：采购代理机构将对</w:t>
      </w:r>
      <w:r>
        <w:rPr>
          <w:rFonts w:hint="eastAsia" w:ascii="仿宋" w:hAnsi="仿宋" w:eastAsia="仿宋" w:cs="仿宋"/>
          <w:b/>
          <w:color w:val="auto"/>
          <w:kern w:val="0"/>
          <w:sz w:val="24"/>
        </w:rPr>
        <w:t>项目名称和项目编号，中标供应商名称、地址和中标金额，主要中标标的的名称、规格型号、数量、单价、服务要求等</w:t>
      </w:r>
      <w:r>
        <w:rPr>
          <w:rFonts w:hint="eastAsia" w:ascii="仿宋" w:hAnsi="仿宋" w:eastAsia="仿宋" w:cs="仿宋"/>
          <w:b/>
          <w:color w:val="auto"/>
          <w:kern w:val="0"/>
          <w:sz w:val="24"/>
          <w:lang w:val="zh-CN"/>
        </w:rPr>
        <w:t>予以公示。请把上述涉及的内容完整填写在开标一览表中。</w:t>
      </w:r>
    </w:p>
    <w:p>
      <w:pPr>
        <w:spacing w:line="288" w:lineRule="auto"/>
        <w:ind w:right="-817" w:rightChars="-389"/>
        <w:rPr>
          <w:rFonts w:ascii="仿宋" w:hAnsi="仿宋" w:eastAsia="仿宋" w:cs="仿宋"/>
          <w:color w:val="auto"/>
          <w:sz w:val="24"/>
        </w:rPr>
      </w:pPr>
    </w:p>
    <w:p>
      <w:pPr>
        <w:spacing w:line="288" w:lineRule="auto"/>
        <w:ind w:right="-817" w:rightChars="-389"/>
        <w:rPr>
          <w:rFonts w:ascii="仿宋" w:hAnsi="仿宋" w:eastAsia="仿宋" w:cs="仿宋"/>
          <w:color w:val="auto"/>
          <w:sz w:val="24"/>
        </w:rPr>
      </w:pPr>
      <w:r>
        <w:rPr>
          <w:rFonts w:hint="eastAsia" w:ascii="仿宋" w:hAnsi="仿宋" w:eastAsia="仿宋" w:cs="仿宋"/>
          <w:color w:val="auto"/>
          <w:sz w:val="24"/>
        </w:rPr>
        <w:t>投标人名称(电子签章)：</w:t>
      </w:r>
    </w:p>
    <w:p>
      <w:pPr>
        <w:spacing w:line="288" w:lineRule="auto"/>
        <w:jc w:val="center"/>
        <w:outlineLvl w:val="0"/>
        <w:rPr>
          <w:rFonts w:ascii="仿宋" w:hAnsi="仿宋" w:eastAsia="仿宋" w:cs="仿宋"/>
          <w:color w:val="auto"/>
          <w:sz w:val="24"/>
        </w:rPr>
      </w:pPr>
    </w:p>
    <w:p>
      <w:pPr>
        <w:spacing w:line="288" w:lineRule="auto"/>
        <w:outlineLvl w:val="0"/>
        <w:rPr>
          <w:rFonts w:ascii="仿宋" w:hAnsi="仿宋" w:eastAsia="仿宋" w:cs="仿宋"/>
          <w:color w:val="auto"/>
          <w:sz w:val="24"/>
        </w:rPr>
      </w:pPr>
      <w:r>
        <w:rPr>
          <w:rFonts w:hint="eastAsia" w:ascii="仿宋" w:hAnsi="仿宋" w:eastAsia="仿宋" w:cs="仿宋"/>
          <w:color w:val="auto"/>
          <w:sz w:val="24"/>
        </w:rPr>
        <w:t xml:space="preserve">法定代表人或其授权代表（签字或盖章）：            </w:t>
      </w:r>
    </w:p>
    <w:p>
      <w:pPr>
        <w:spacing w:line="288" w:lineRule="auto"/>
        <w:outlineLvl w:val="0"/>
        <w:rPr>
          <w:rFonts w:ascii="仿宋" w:hAnsi="仿宋" w:eastAsia="仿宋" w:cs="仿宋"/>
          <w:color w:val="auto"/>
          <w:sz w:val="24"/>
        </w:rPr>
      </w:pPr>
    </w:p>
    <w:p>
      <w:pPr>
        <w:spacing w:line="288" w:lineRule="auto"/>
        <w:ind w:right="420" w:firstLine="5520" w:firstLineChars="2300"/>
        <w:jc w:val="right"/>
        <w:rPr>
          <w:rFonts w:ascii="仿宋" w:hAnsi="仿宋" w:eastAsia="仿宋" w:cs="仿宋"/>
          <w:color w:val="auto"/>
          <w:sz w:val="24"/>
        </w:rPr>
      </w:pPr>
      <w:r>
        <w:rPr>
          <w:rFonts w:hint="eastAsia" w:ascii="仿宋" w:hAnsi="仿宋" w:eastAsia="仿宋" w:cs="仿宋"/>
          <w:color w:val="auto"/>
          <w:sz w:val="24"/>
        </w:rPr>
        <w:t>日期： 年  月  日</w:t>
      </w:r>
    </w:p>
    <w:p>
      <w:pPr>
        <w:pageBreakBefore/>
        <w:spacing w:line="288" w:lineRule="auto"/>
        <w:jc w:val="left"/>
        <w:rPr>
          <w:rFonts w:ascii="仿宋" w:hAnsi="仿宋" w:eastAsia="仿宋" w:cs="仿宋"/>
          <w:b/>
          <w:color w:val="auto"/>
          <w:sz w:val="32"/>
          <w:szCs w:val="32"/>
        </w:rPr>
      </w:pPr>
      <w:r>
        <w:rPr>
          <w:rFonts w:hint="eastAsia" w:ascii="仿宋" w:hAnsi="仿宋" w:eastAsia="仿宋" w:cs="仿宋"/>
          <w:b/>
          <w:color w:val="auto"/>
          <w:sz w:val="32"/>
          <w:szCs w:val="32"/>
        </w:rPr>
        <w:t>3、中小企业声明函</w:t>
      </w:r>
    </w:p>
    <w:p>
      <w:pPr>
        <w:spacing w:line="288" w:lineRule="auto"/>
        <w:rPr>
          <w:rFonts w:ascii="仿宋" w:hAnsi="仿宋" w:eastAsia="仿宋" w:cs="仿宋"/>
          <w:color w:val="auto"/>
        </w:rPr>
      </w:pP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本公司郑重声明，根据《政府采购促进中小企业发展暂行办法》（财库[2011]181号）的规定，本公司为</w:t>
      </w:r>
      <w:r>
        <w:rPr>
          <w:rFonts w:hint="eastAsia" w:ascii="仿宋" w:hAnsi="仿宋" w:eastAsia="仿宋" w:cs="仿宋"/>
          <w:color w:val="auto"/>
          <w:sz w:val="24"/>
          <w:u w:val="single"/>
        </w:rPr>
        <w:t xml:space="preserve">      （请填写：中型、小型、微型）</w:t>
      </w:r>
      <w:r>
        <w:rPr>
          <w:rFonts w:hint="eastAsia" w:ascii="仿宋" w:hAnsi="仿宋" w:eastAsia="仿宋" w:cs="仿宋"/>
          <w:color w:val="auto"/>
          <w:sz w:val="24"/>
        </w:rPr>
        <w:t>企业。即，本公司同时满足以下条件：</w:t>
      </w:r>
    </w:p>
    <w:p>
      <w:pPr>
        <w:spacing w:line="288" w:lineRule="auto"/>
        <w:rPr>
          <w:rFonts w:ascii="仿宋" w:hAnsi="仿宋" w:eastAsia="仿宋" w:cs="仿宋"/>
          <w:color w:val="auto"/>
          <w:sz w:val="24"/>
        </w:rPr>
      </w:pPr>
    </w:p>
    <w:p>
      <w:pPr>
        <w:pStyle w:val="76"/>
        <w:widowControl/>
        <w:adjustRightInd/>
        <w:spacing w:line="288" w:lineRule="auto"/>
        <w:ind w:firstLine="480"/>
        <w:rPr>
          <w:rFonts w:ascii="仿宋" w:hAnsi="仿宋" w:eastAsia="仿宋" w:cs="仿宋"/>
          <w:color w:val="auto"/>
        </w:rPr>
      </w:pPr>
      <w:r>
        <w:rPr>
          <w:rFonts w:hint="eastAsia" w:ascii="仿宋" w:hAnsi="仿宋" w:eastAsia="仿宋" w:cs="仿宋"/>
          <w:color w:val="auto"/>
        </w:rPr>
        <w:t>1、根据《工业和信息化部、国家统计局、国家发展和改革委员会、财政部关于印发中小企业划型标准规定的通知》（工信部联企业[2011]300号）规定的划分标准，本公司为</w:t>
      </w:r>
      <w:r>
        <w:rPr>
          <w:rFonts w:hint="eastAsia" w:ascii="仿宋" w:hAnsi="仿宋" w:eastAsia="仿宋" w:cs="仿宋"/>
          <w:color w:val="auto"/>
          <w:u w:val="single"/>
        </w:rPr>
        <w:t xml:space="preserve">   （请填写：中型、小型、微型）</w:t>
      </w:r>
      <w:r>
        <w:rPr>
          <w:rFonts w:hint="eastAsia" w:ascii="仿宋" w:hAnsi="仿宋" w:eastAsia="仿宋" w:cs="仿宋"/>
          <w:color w:val="auto"/>
        </w:rPr>
        <w:t>企业。</w:t>
      </w:r>
    </w:p>
    <w:p>
      <w:pPr>
        <w:pStyle w:val="76"/>
        <w:widowControl/>
        <w:adjustRightInd/>
        <w:spacing w:line="288" w:lineRule="auto"/>
        <w:ind w:firstLine="480"/>
        <w:rPr>
          <w:rFonts w:ascii="仿宋" w:hAnsi="仿宋" w:eastAsia="仿宋" w:cs="仿宋"/>
          <w:color w:val="auto"/>
        </w:rPr>
      </w:pPr>
      <w:r>
        <w:rPr>
          <w:rFonts w:hint="eastAsia" w:ascii="仿宋" w:hAnsi="仿宋" w:eastAsia="仿宋" w:cs="仿宋"/>
          <w:color w:val="auto"/>
        </w:rPr>
        <w:t>2、本公司参加</w:t>
      </w:r>
      <w:r>
        <w:rPr>
          <w:rFonts w:hint="eastAsia" w:ascii="仿宋" w:hAnsi="仿宋" w:eastAsia="仿宋" w:cs="仿宋"/>
          <w:color w:val="auto"/>
          <w:u w:val="single"/>
        </w:rPr>
        <w:t>绍兴市中心血站</w:t>
      </w:r>
      <w:r>
        <w:rPr>
          <w:rFonts w:hint="eastAsia" w:ascii="仿宋" w:hAnsi="仿宋" w:eastAsia="仿宋" w:cs="仿宋"/>
          <w:color w:val="auto"/>
        </w:rPr>
        <w:t>的</w:t>
      </w:r>
      <w:r>
        <w:rPr>
          <w:rFonts w:hint="eastAsia" w:ascii="仿宋" w:hAnsi="仿宋" w:eastAsia="仿宋" w:cs="仿宋"/>
          <w:color w:val="auto"/>
          <w:u w:val="single"/>
        </w:rPr>
        <w:t>2020-2021年度试剂耗材采购项目</w:t>
      </w:r>
      <w:r>
        <w:rPr>
          <w:rFonts w:hint="eastAsia" w:ascii="仿宋" w:hAnsi="仿宋" w:eastAsia="仿宋" w:cs="仿宋"/>
          <w:color w:val="auto"/>
          <w:u w:val="single"/>
          <w:lang w:eastAsia="zh-CN"/>
        </w:rPr>
        <w:t>（重招）</w:t>
      </w:r>
      <w:r>
        <w:rPr>
          <w:rFonts w:hint="eastAsia" w:ascii="仿宋" w:hAnsi="仿宋" w:eastAsia="仿宋" w:cs="仿宋"/>
          <w:color w:val="auto"/>
        </w:rPr>
        <w:t xml:space="preserve">采购活动提供本企业制造的货物，由本企业承担工程、提供服务，或者提供其他 </w:t>
      </w:r>
      <w:r>
        <w:rPr>
          <w:rFonts w:hint="eastAsia" w:ascii="仿宋" w:hAnsi="仿宋" w:eastAsia="仿宋" w:cs="仿宋"/>
          <w:color w:val="auto"/>
          <w:u w:val="single"/>
        </w:rPr>
        <w:t xml:space="preserve">        （请填写：中型、小型、微型）</w:t>
      </w:r>
      <w:r>
        <w:rPr>
          <w:rFonts w:hint="eastAsia" w:ascii="仿宋" w:hAnsi="仿宋" w:eastAsia="仿宋" w:cs="仿宋"/>
          <w:color w:val="auto"/>
        </w:rPr>
        <w:t>企业制造的货物。本条所称货物不包括使用大型企业注册商标的货物。</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本公司对上述声明的真实性负责。如有虚假，将依法承担相应责任。</w:t>
      </w:r>
    </w:p>
    <w:p>
      <w:pPr>
        <w:spacing w:line="288" w:lineRule="auto"/>
        <w:ind w:right="420"/>
        <w:rPr>
          <w:rFonts w:ascii="仿宋" w:hAnsi="仿宋" w:eastAsia="仿宋" w:cs="仿宋"/>
          <w:color w:val="auto"/>
          <w:sz w:val="24"/>
        </w:rPr>
      </w:pPr>
    </w:p>
    <w:p>
      <w:pPr>
        <w:spacing w:line="288" w:lineRule="auto"/>
        <w:ind w:right="420" w:firstLine="5880" w:firstLineChars="2450"/>
        <w:rPr>
          <w:rFonts w:ascii="仿宋" w:hAnsi="仿宋" w:eastAsia="仿宋" w:cs="仿宋"/>
          <w:color w:val="auto"/>
          <w:sz w:val="24"/>
        </w:rPr>
      </w:pPr>
    </w:p>
    <w:p>
      <w:pPr>
        <w:spacing w:line="288" w:lineRule="auto"/>
        <w:ind w:right="420"/>
        <w:rPr>
          <w:rFonts w:ascii="仿宋" w:hAnsi="仿宋" w:eastAsia="仿宋" w:cs="仿宋"/>
          <w:color w:val="auto"/>
          <w:sz w:val="24"/>
        </w:rPr>
      </w:pPr>
      <w:r>
        <w:rPr>
          <w:rFonts w:hint="eastAsia" w:ascii="仿宋" w:hAnsi="仿宋" w:eastAsia="仿宋" w:cs="仿宋"/>
          <w:color w:val="auto"/>
          <w:sz w:val="24"/>
        </w:rPr>
        <w:t>企业名称(</w:t>
      </w:r>
      <w:r>
        <w:rPr>
          <w:rFonts w:hint="eastAsia" w:ascii="仿宋" w:hAnsi="仿宋" w:eastAsia="仿宋" w:cs="仿宋"/>
          <w:color w:val="auto"/>
          <w:sz w:val="24"/>
          <w:lang w:eastAsia="zh-CN"/>
        </w:rPr>
        <w:t>盖章</w:t>
      </w:r>
      <w:r>
        <w:rPr>
          <w:rFonts w:hint="eastAsia" w:ascii="仿宋" w:hAnsi="仿宋" w:eastAsia="仿宋" w:cs="仿宋"/>
          <w:color w:val="auto"/>
          <w:sz w:val="24"/>
        </w:rPr>
        <w:t xml:space="preserve">)： </w:t>
      </w:r>
    </w:p>
    <w:p>
      <w:pPr>
        <w:spacing w:line="288" w:lineRule="auto"/>
        <w:ind w:right="420" w:firstLine="5520" w:firstLineChars="2300"/>
        <w:jc w:val="right"/>
        <w:rPr>
          <w:rFonts w:ascii="仿宋" w:hAnsi="仿宋" w:eastAsia="仿宋" w:cs="仿宋"/>
          <w:color w:val="auto"/>
          <w:sz w:val="24"/>
        </w:rPr>
      </w:pPr>
      <w:r>
        <w:rPr>
          <w:rFonts w:hint="eastAsia" w:ascii="仿宋" w:hAnsi="仿宋" w:eastAsia="仿宋" w:cs="仿宋"/>
          <w:color w:val="auto"/>
          <w:sz w:val="24"/>
        </w:rPr>
        <w:t>日期： 年  月  日</w:t>
      </w:r>
    </w:p>
    <w:p>
      <w:pPr>
        <w:spacing w:line="288" w:lineRule="auto"/>
        <w:rPr>
          <w:rFonts w:ascii="仿宋" w:hAnsi="仿宋" w:eastAsia="仿宋" w:cs="仿宋"/>
          <w:color w:val="auto"/>
        </w:rPr>
      </w:pPr>
      <w:r>
        <w:rPr>
          <w:rFonts w:hint="eastAsia" w:ascii="仿宋" w:hAnsi="仿宋" w:eastAsia="仿宋" w:cs="仿宋"/>
          <w:color w:val="auto"/>
        </w:rPr>
        <w:t xml:space="preserve"> </w:t>
      </w:r>
    </w:p>
    <w:p>
      <w:pPr>
        <w:spacing w:line="288" w:lineRule="auto"/>
        <w:rPr>
          <w:rFonts w:ascii="仿宋" w:hAnsi="仿宋" w:eastAsia="仿宋" w:cs="仿宋"/>
          <w:b/>
          <w:color w:val="auto"/>
          <w:sz w:val="24"/>
        </w:rPr>
      </w:pPr>
    </w:p>
    <w:p>
      <w:pPr>
        <w:rPr>
          <w:rFonts w:ascii="仿宋" w:hAnsi="仿宋" w:eastAsia="仿宋" w:cs="仿宋"/>
          <w:color w:val="auto"/>
          <w:sz w:val="24"/>
        </w:rPr>
      </w:pPr>
      <w:r>
        <w:rPr>
          <w:rFonts w:hint="eastAsia" w:ascii="仿宋" w:hAnsi="仿宋" w:eastAsia="仿宋" w:cs="仿宋"/>
          <w:color w:val="auto"/>
          <w:sz w:val="24"/>
        </w:rPr>
        <w:t>注：</w:t>
      </w:r>
    </w:p>
    <w:p>
      <w:pPr>
        <w:rPr>
          <w:rFonts w:ascii="仿宋" w:hAnsi="仿宋" w:eastAsia="仿宋" w:cs="仿宋"/>
          <w:color w:val="auto"/>
          <w:sz w:val="24"/>
        </w:rPr>
      </w:pPr>
      <w:r>
        <w:rPr>
          <w:rFonts w:hint="eastAsia" w:ascii="仿宋" w:hAnsi="仿宋" w:eastAsia="仿宋" w:cs="仿宋"/>
          <w:color w:val="auto"/>
          <w:sz w:val="24"/>
        </w:rPr>
        <w:t>1、投标人提供的中小企业声明函与实际情况不符的，视为投标人提供虚假材料投标的，投标无效。</w:t>
      </w:r>
    </w:p>
    <w:p>
      <w:pPr>
        <w:rPr>
          <w:rFonts w:ascii="仿宋" w:hAnsi="仿宋" w:eastAsia="仿宋" w:cs="仿宋"/>
          <w:color w:val="auto"/>
          <w:sz w:val="24"/>
        </w:rPr>
      </w:pPr>
      <w:r>
        <w:rPr>
          <w:rFonts w:hint="eastAsia" w:ascii="仿宋" w:hAnsi="仿宋" w:eastAsia="仿宋" w:cs="仿宋"/>
          <w:color w:val="auto"/>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288" w:lineRule="auto"/>
        <w:rPr>
          <w:rFonts w:ascii="仿宋" w:hAnsi="仿宋" w:eastAsia="仿宋" w:cs="仿宋"/>
          <w:b/>
          <w:color w:val="auto"/>
          <w:spacing w:val="6"/>
          <w:sz w:val="30"/>
          <w:szCs w:val="30"/>
        </w:rPr>
      </w:pP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color w:val="auto"/>
          <w:sz w:val="24"/>
          <w:u w:val="single"/>
        </w:rPr>
        <w:t>绍兴市中心血站</w:t>
      </w:r>
      <w:r>
        <w:rPr>
          <w:rFonts w:hint="eastAsia" w:ascii="仿宋" w:hAnsi="仿宋" w:eastAsia="仿宋" w:cs="仿宋"/>
          <w:color w:val="auto"/>
          <w:sz w:val="24"/>
        </w:rPr>
        <w:t>的</w:t>
      </w:r>
      <w:r>
        <w:rPr>
          <w:rFonts w:hint="eastAsia" w:ascii="仿宋" w:hAnsi="仿宋" w:eastAsia="仿宋" w:cs="仿宋"/>
          <w:color w:val="auto"/>
          <w:sz w:val="24"/>
          <w:u w:val="single"/>
        </w:rPr>
        <w:t>2020-2021年度试剂耗材采购项目</w:t>
      </w:r>
      <w:r>
        <w:rPr>
          <w:rFonts w:hint="eastAsia" w:ascii="仿宋" w:hAnsi="仿宋" w:eastAsia="仿宋" w:cs="仿宋"/>
          <w:color w:val="auto"/>
          <w:sz w:val="24"/>
          <w:u w:val="single"/>
          <w:lang w:eastAsia="zh-CN"/>
        </w:rPr>
        <w:t>（重招）</w:t>
      </w:r>
      <w:r>
        <w:rPr>
          <w:rFonts w:hint="eastAsia" w:ascii="仿宋" w:hAnsi="仿宋" w:eastAsia="仿宋" w:cs="仿宋"/>
          <w:color w:val="auto"/>
          <w:sz w:val="24"/>
        </w:rPr>
        <w:t>采购活动提供本单位制造的货物（由本单位承担工程/提供服务），或者提供其他残疾人福利性单位制造的货物（不包括使用非残疾人福利性单位注册商标的货物）。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288" w:lineRule="auto"/>
        <w:ind w:firstLine="480" w:firstLineChars="200"/>
        <w:rPr>
          <w:rFonts w:ascii="仿宋" w:hAnsi="仿宋" w:eastAsia="仿宋" w:cs="仿宋"/>
          <w:color w:val="auto"/>
          <w:sz w:val="24"/>
        </w:rPr>
      </w:pPr>
    </w:p>
    <w:p>
      <w:pPr>
        <w:spacing w:line="288" w:lineRule="auto"/>
        <w:ind w:firstLine="480" w:firstLineChars="200"/>
        <w:rPr>
          <w:rFonts w:ascii="仿宋" w:hAnsi="仿宋" w:eastAsia="仿宋" w:cs="仿宋"/>
          <w:color w:val="auto"/>
          <w:sz w:val="24"/>
        </w:rPr>
      </w:pPr>
    </w:p>
    <w:p>
      <w:pPr>
        <w:tabs>
          <w:tab w:val="left" w:pos="4860"/>
        </w:tabs>
        <w:spacing w:line="288" w:lineRule="auto"/>
        <w:ind w:right="1560"/>
        <w:rPr>
          <w:rFonts w:ascii="仿宋" w:hAnsi="仿宋" w:eastAsia="仿宋" w:cs="仿宋"/>
          <w:color w:val="auto"/>
          <w:sz w:val="24"/>
        </w:rPr>
      </w:pPr>
      <w:r>
        <w:rPr>
          <w:rFonts w:hint="eastAsia" w:ascii="仿宋" w:hAnsi="仿宋" w:eastAsia="仿宋" w:cs="仿宋"/>
          <w:color w:val="auto"/>
          <w:sz w:val="24"/>
        </w:rPr>
        <w:t>单位名称(</w:t>
      </w:r>
      <w:r>
        <w:rPr>
          <w:rFonts w:hint="eastAsia" w:ascii="仿宋" w:hAnsi="仿宋" w:eastAsia="仿宋" w:cs="仿宋"/>
          <w:color w:val="auto"/>
          <w:sz w:val="24"/>
          <w:lang w:eastAsia="zh-CN"/>
        </w:rPr>
        <w:t>盖章</w:t>
      </w:r>
      <w:r>
        <w:rPr>
          <w:rFonts w:hint="eastAsia" w:ascii="仿宋" w:hAnsi="仿宋" w:eastAsia="仿宋" w:cs="仿宋"/>
          <w:color w:val="auto"/>
          <w:sz w:val="24"/>
        </w:rPr>
        <w:t>)：</w:t>
      </w:r>
    </w:p>
    <w:p>
      <w:pPr>
        <w:spacing w:line="288" w:lineRule="auto"/>
        <w:ind w:right="420" w:firstLine="5520" w:firstLineChars="2300"/>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4860"/>
        </w:tabs>
        <w:spacing w:line="288" w:lineRule="auto"/>
        <w:ind w:right="1560" w:firstLine="480" w:firstLineChars="200"/>
        <w:jc w:val="center"/>
        <w:rPr>
          <w:rFonts w:ascii="仿宋" w:hAnsi="仿宋" w:eastAsia="仿宋" w:cs="仿宋"/>
          <w:color w:val="auto"/>
          <w:sz w:val="24"/>
        </w:rPr>
      </w:pPr>
    </w:p>
    <w:p>
      <w:pPr>
        <w:spacing w:line="288" w:lineRule="auto"/>
        <w:ind w:firstLine="480" w:firstLineChars="200"/>
        <w:rPr>
          <w:rFonts w:ascii="仿宋" w:hAnsi="仿宋" w:eastAsia="仿宋" w:cs="仿宋"/>
          <w:color w:val="auto"/>
          <w:sz w:val="24"/>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ind w:firstLine="420" w:firstLineChars="200"/>
        <w:rPr>
          <w:rFonts w:ascii="仿宋" w:hAnsi="仿宋" w:eastAsia="仿宋" w:cs="仿宋"/>
          <w:color w:val="auto"/>
        </w:rPr>
      </w:pPr>
    </w:p>
    <w:p>
      <w:pPr>
        <w:spacing w:line="288" w:lineRule="auto"/>
        <w:rPr>
          <w:rFonts w:ascii="仿宋" w:hAnsi="仿宋" w:eastAsia="仿宋" w:cs="仿宋"/>
          <w:b/>
          <w:color w:val="auto"/>
          <w:sz w:val="24"/>
        </w:rPr>
      </w:pPr>
    </w:p>
    <w:p>
      <w:pPr>
        <w:spacing w:line="288" w:lineRule="auto"/>
        <w:rPr>
          <w:rFonts w:ascii="仿宋" w:hAnsi="仿宋" w:eastAsia="仿宋" w:cs="仿宋"/>
          <w:b/>
          <w:color w:val="auto"/>
          <w:sz w:val="24"/>
        </w:rPr>
      </w:pPr>
    </w:p>
    <w:p>
      <w:pPr>
        <w:pageBreakBefore/>
        <w:spacing w:line="288"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288" w:lineRule="auto"/>
        <w:jc w:val="center"/>
        <w:outlineLvl w:val="0"/>
        <w:rPr>
          <w:rFonts w:ascii="仿宋" w:hAnsi="仿宋" w:eastAsia="仿宋" w:cs="仿宋"/>
          <w:b/>
          <w:color w:val="auto"/>
          <w:kern w:val="0"/>
          <w:sz w:val="24"/>
        </w:rPr>
      </w:pPr>
    </w:p>
    <w:p>
      <w:pPr>
        <w:spacing w:line="288"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77"/>
        <w:spacing w:line="288" w:lineRule="auto"/>
        <w:ind w:left="0" w:firstLine="0" w:firstLineChars="0"/>
        <w:rPr>
          <w:rFonts w:ascii="仿宋" w:eastAsia="仿宋" w:cs="仿宋"/>
          <w:color w:val="auto"/>
        </w:rPr>
      </w:pPr>
      <w:r>
        <w:rPr>
          <w:rFonts w:hint="eastAsia" w:ascii="仿宋" w:eastAsia="仿宋" w:cs="仿宋"/>
          <w:color w:val="auto"/>
        </w:rPr>
        <w:t>（1）法定代表人授权书 ………………………………………………………………（页码）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（2）授权代表社保证明（复印件）…………………………………………………（页码）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（3）法定代表人及其授权代表的身份证（复印件）………………………………（页码）</w:t>
      </w:r>
    </w:p>
    <w:p>
      <w:pPr>
        <w:pStyle w:val="77"/>
        <w:spacing w:line="288" w:lineRule="auto"/>
        <w:ind w:left="0" w:firstLine="0" w:firstLineChars="0"/>
        <w:rPr>
          <w:rFonts w:ascii="仿宋" w:eastAsia="仿宋" w:cs="仿宋"/>
          <w:color w:val="auto"/>
        </w:rPr>
      </w:pPr>
      <w:r>
        <w:rPr>
          <w:rFonts w:hint="eastAsia" w:ascii="仿宋" w:eastAsia="仿宋" w:cs="仿宋"/>
          <w:color w:val="auto"/>
        </w:rPr>
        <w:t>（4）法定代表人身份证明书…………………………………………………………（页码）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（5）营业执照(或事业法人登记证或其他登记证明材料)复印件…………………（页码）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（6）2019年度资产负债表等财务报表资料文件(新成立的公司，提供情况说明)………………………………………………………………………………………（页码）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（7）具有履行合同所必需的设备和专业技术能力的承诺函………………………（页码）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（8）重大违法记录的声明 …………………………………………………………（页码）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（9）符合特定资格条件（如果项目要求）的有关证明材料（复印件）…………（页码）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（10）非本地投标人售后服务机构证明材料………………………………………（页码）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（11）所有与符合性审查有关的资信文件（复印件）………………………………（页码）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（12）</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（13）廉政承诺书 ……………………………………………………………………（页码）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（14）技术解决方案…………………………………………………………………（页码）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（15）技术偏离说明表………………………………………………………………（页码）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（16）组织实施方案…………………………………………………………………（页码）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（17）售后服务方案…………………………………………………………………（页码）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（18）项目小组人员名单……………………………………………………………（页码）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（19）</w:t>
      </w:r>
      <w:r>
        <w:rPr>
          <w:rFonts w:hint="eastAsia" w:ascii="仿宋" w:hAnsi="仿宋" w:eastAsia="仿宋" w:cs="仿宋"/>
          <w:color w:val="auto"/>
          <w:sz w:val="24"/>
          <w:lang w:val="zh-CN"/>
        </w:rPr>
        <w:t>优惠条件及特殊承诺……………………………</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（20）</w:t>
      </w:r>
      <w:r>
        <w:rPr>
          <w:rFonts w:hint="eastAsia" w:ascii="仿宋" w:hAnsi="仿宋" w:eastAsia="仿宋" w:cs="仿宋"/>
          <w:color w:val="auto"/>
          <w:sz w:val="24"/>
          <w:lang w:val="zh-CN"/>
        </w:rPr>
        <w:t>备品备件及供选择的配套零部件清单…………</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lang w:val="zh-CN"/>
        </w:rPr>
      </w:pPr>
      <w:r>
        <w:rPr>
          <w:rFonts w:hint="eastAsia" w:ascii="仿宋" w:hAnsi="仿宋" w:eastAsia="仿宋" w:cs="仿宋"/>
          <w:color w:val="auto"/>
          <w:sz w:val="24"/>
        </w:rPr>
        <w:t>（21）</w:t>
      </w:r>
      <w:r>
        <w:rPr>
          <w:rFonts w:hint="eastAsia" w:ascii="仿宋" w:hAnsi="仿宋" w:eastAsia="仿宋" w:cs="仿宋"/>
          <w:color w:val="auto"/>
          <w:sz w:val="24"/>
          <w:lang w:val="zh-CN"/>
        </w:rPr>
        <w:t>消耗品、维修零配件购买价格清单……………</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lang w:val="zh-CN"/>
        </w:rPr>
        <w:t>（22）培训计划………………………………………</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（23）</w:t>
      </w:r>
      <w:r>
        <w:rPr>
          <w:rFonts w:hint="eastAsia" w:ascii="仿宋" w:hAnsi="仿宋" w:eastAsia="仿宋" w:cs="仿宋"/>
          <w:color w:val="auto"/>
          <w:sz w:val="24"/>
          <w:lang w:val="zh-CN"/>
        </w:rPr>
        <w:t>验收方案…………………………………</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（24）</w:t>
      </w:r>
      <w:r>
        <w:rPr>
          <w:rFonts w:hint="eastAsia" w:ascii="仿宋" w:hAnsi="仿宋" w:eastAsia="仿宋" w:cs="仿宋"/>
          <w:color w:val="auto"/>
          <w:sz w:val="24"/>
          <w:lang w:val="zh-CN"/>
        </w:rPr>
        <w:t>认为需要的其他商务技术（资信）文件或说明…………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sz w:val="24"/>
        </w:rPr>
        <w:t>（页码）</w:t>
      </w:r>
    </w:p>
    <w:p>
      <w:pPr>
        <w:snapToGrid w:val="0"/>
        <w:spacing w:line="288" w:lineRule="auto"/>
        <w:rPr>
          <w:rFonts w:ascii="仿宋" w:hAnsi="仿宋" w:eastAsia="仿宋" w:cs="仿宋"/>
          <w:color w:val="auto"/>
          <w:sz w:val="24"/>
        </w:rPr>
      </w:pPr>
      <w:r>
        <w:rPr>
          <w:rFonts w:hint="eastAsia" w:ascii="仿宋" w:hAnsi="仿宋" w:eastAsia="仿宋" w:cs="仿宋"/>
          <w:color w:val="auto"/>
          <w:sz w:val="24"/>
        </w:rPr>
        <w:t>注：以上目录是基本格式要求，各投标人可根据自身情况进一步细化。</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p>
    <w:p>
      <w:pPr>
        <w:jc w:val="cente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绍兴市中心血站、耀华建设管理有限公司</w:t>
      </w:r>
      <w:r>
        <w:rPr>
          <w:rFonts w:hint="eastAsia" w:ascii="仿宋" w:hAnsi="仿宋" w:eastAsia="仿宋" w:cs="仿宋"/>
          <w:color w:val="auto"/>
          <w:sz w:val="24"/>
        </w:rPr>
        <w:t>组织的</w:t>
      </w:r>
      <w:r>
        <w:rPr>
          <w:rFonts w:hint="eastAsia" w:ascii="仿宋" w:hAnsi="仿宋" w:eastAsia="仿宋" w:cs="仿宋"/>
          <w:color w:val="auto"/>
          <w:sz w:val="24"/>
          <w:u w:val="single"/>
        </w:rPr>
        <w:t>2020-2021年度试剂耗材采购项目</w:t>
      </w:r>
      <w:r>
        <w:rPr>
          <w:rFonts w:hint="eastAsia" w:ascii="仿宋" w:hAnsi="仿宋" w:eastAsia="仿宋" w:cs="仿宋"/>
          <w:color w:val="auto"/>
          <w:sz w:val="24"/>
          <w:u w:val="single"/>
          <w:lang w:eastAsia="zh-CN"/>
        </w:rPr>
        <w:t>（重招）</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投标人名称(电子签章)：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jc w:val="right"/>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ascii="仿宋" w:hAnsi="仿宋" w:eastAsia="仿宋" w:cs="仿宋"/>
          <w:color w:val="auto"/>
          <w:sz w:val="24"/>
        </w:rPr>
      </w:pPr>
      <w:r>
        <w:rPr>
          <w:rFonts w:hint="eastAsia" w:ascii="仿宋" w:hAnsi="仿宋" w:eastAsia="仿宋" w:cs="仿宋"/>
          <w:color w:val="auto"/>
          <w:sz w:val="24"/>
        </w:rPr>
        <w:t xml:space="preserve">                 </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ascii="仿宋" w:hAnsi="仿宋" w:eastAsia="仿宋" w:cs="仿宋"/>
          <w:color w:val="auto"/>
          <w:sz w:val="24"/>
        </w:rPr>
      </w:pPr>
      <w:r>
        <w:rPr>
          <w:rFonts w:hint="eastAsia" w:ascii="仿宋" w:hAnsi="仿宋" w:eastAsia="仿宋" w:cs="仿宋"/>
          <w:color w:val="auto"/>
          <w:sz w:val="24"/>
        </w:rPr>
        <w:t xml:space="preserve">            </w:t>
      </w:r>
    </w:p>
    <w:p>
      <w:pPr>
        <w:spacing w:line="800" w:lineRule="exact"/>
        <w:ind w:firstLine="4337" w:firstLineChars="1800"/>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ascii="仿宋" w:hAnsi="仿宋" w:eastAsia="仿宋" w:cs="仿宋"/>
          <w:color w:val="auto"/>
          <w:sz w:val="24"/>
        </w:rPr>
      </w:pPr>
    </w:p>
    <w:p>
      <w:pPr>
        <w:spacing w:line="360" w:lineRule="auto"/>
        <w:jc w:val="right"/>
        <w:rPr>
          <w:rFonts w:ascii="仿宋" w:hAnsi="仿宋" w:eastAsia="仿宋" w:cs="仿宋"/>
          <w:b/>
          <w:color w:val="auto"/>
          <w:sz w:val="30"/>
          <w:szCs w:val="30"/>
        </w:rPr>
      </w:pPr>
      <w:r>
        <w:rPr>
          <w:rFonts w:hint="eastAsia" w:ascii="仿宋" w:hAnsi="仿宋" w:eastAsia="仿宋" w:cs="仿宋"/>
          <w:color w:val="auto"/>
          <w:sz w:val="24"/>
        </w:rPr>
        <w:t>日期： 年 月 日</w:t>
      </w:r>
    </w:p>
    <w:p>
      <w:pPr>
        <w:pageBreakBefore/>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5</w:t>
      </w:r>
      <w:r>
        <w:rPr>
          <w:rFonts w:hint="eastAsia" w:ascii="仿宋" w:hAnsi="仿宋" w:eastAsia="仿宋" w:cs="仿宋"/>
          <w:b/>
          <w:color w:val="auto"/>
          <w:kern w:val="0"/>
          <w:sz w:val="30"/>
          <w:szCs w:val="30"/>
          <w:lang w:val="zh-CN"/>
        </w:rPr>
        <w:t>、</w:t>
      </w:r>
      <w:r>
        <w:rPr>
          <w:rFonts w:hint="eastAsia" w:ascii="仿宋" w:hAnsi="仿宋" w:eastAsia="仿宋" w:cs="仿宋"/>
          <w:b/>
          <w:color w:val="auto"/>
          <w:sz w:val="30"/>
          <w:szCs w:val="30"/>
        </w:rPr>
        <w:t>营业执照（或事业法人登记证或其他登记证明材料）（复印件）</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6、财务报表资料文件（2019年度资产负债表等财务报表资料文件(新成立的公司，提供情况说明，格式自拟)）</w:t>
      </w:r>
    </w:p>
    <w:p>
      <w:pPr>
        <w:spacing w:line="360" w:lineRule="auto"/>
        <w:rPr>
          <w:rFonts w:ascii="仿宋" w:hAnsi="仿宋" w:eastAsia="仿宋" w:cs="仿宋"/>
          <w:b/>
          <w:color w:val="auto"/>
          <w:sz w:val="30"/>
          <w:szCs w:val="30"/>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jc w:val="center"/>
        <w:rPr>
          <w:rFonts w:ascii="仿宋" w:hAnsi="仿宋" w:eastAsia="仿宋" w:cs="仿宋"/>
          <w:b/>
          <w:color w:val="auto"/>
          <w:kern w:val="0"/>
          <w:sz w:val="32"/>
          <w:szCs w:val="32"/>
          <w:lang w:val="zh-CN"/>
        </w:rPr>
      </w:pPr>
    </w:p>
    <w:p>
      <w:pPr>
        <w:snapToGrid w:val="0"/>
        <w:spacing w:line="360" w:lineRule="auto"/>
        <w:ind w:right="480"/>
        <w:rPr>
          <w:rFonts w:ascii="仿宋" w:hAnsi="仿宋" w:eastAsia="仿宋" w:cs="仿宋"/>
          <w:b/>
          <w:color w:val="auto"/>
          <w:kern w:val="0"/>
          <w:sz w:val="32"/>
          <w:szCs w:val="32"/>
        </w:rPr>
      </w:pPr>
      <w:r>
        <w:rPr>
          <w:rFonts w:hint="eastAsia" w:ascii="仿宋" w:hAnsi="仿宋" w:eastAsia="仿宋" w:cs="仿宋"/>
          <w:b/>
          <w:color w:val="auto"/>
          <w:kern w:val="0"/>
          <w:sz w:val="32"/>
          <w:szCs w:val="32"/>
        </w:rPr>
        <w:t>7、具有履行合同所必需的设备和专业技术能力的承诺函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绍兴市中心血站、耀华建设管理有限公司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我方郑重承诺，我方具有履行绍兴市中心血站2020-2021年度试剂耗材采购项目</w:t>
      </w:r>
      <w:r>
        <w:rPr>
          <w:rFonts w:hint="eastAsia" w:ascii="仿宋" w:hAnsi="仿宋" w:eastAsia="仿宋" w:cs="仿宋"/>
          <w:color w:val="auto"/>
          <w:kern w:val="0"/>
          <w:sz w:val="24"/>
          <w:lang w:eastAsia="zh-CN"/>
        </w:rPr>
        <w:t>（重招）</w:t>
      </w:r>
      <w:r>
        <w:rPr>
          <w:rFonts w:hint="eastAsia" w:ascii="仿宋" w:hAnsi="仿宋" w:eastAsia="仿宋" w:cs="仿宋"/>
          <w:color w:val="auto"/>
          <w:sz w:val="24"/>
        </w:rPr>
        <w:t>（招标编号: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）合同所必需的设备和专业技术能力。如中标，我方将保证合同顺利履行。</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w:t>
      </w:r>
    </w:p>
    <w:p>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r>
        <w:rPr>
          <w:rFonts w:hint="eastAsia" w:ascii="仿宋" w:hAnsi="仿宋" w:eastAsia="仿宋" w:cs="仿宋"/>
          <w:color w:val="auto"/>
          <w:sz w:val="24"/>
        </w:rPr>
        <w:t>日期： 年 月 日</w:t>
      </w:r>
    </w:p>
    <w:p>
      <w:pPr>
        <w:spacing w:line="360" w:lineRule="auto"/>
        <w:jc w:val="center"/>
        <w:rPr>
          <w:rFonts w:ascii="仿宋" w:hAnsi="仿宋" w:eastAsia="仿宋" w:cs="仿宋"/>
          <w:b/>
          <w:color w:val="auto"/>
          <w:kern w:val="0"/>
          <w:sz w:val="32"/>
          <w:szCs w:val="32"/>
        </w:rPr>
      </w:pPr>
    </w:p>
    <w:p>
      <w:pPr>
        <w:spacing w:line="360" w:lineRule="auto"/>
        <w:jc w:val="center"/>
        <w:rPr>
          <w:rFonts w:ascii="仿宋" w:hAnsi="仿宋" w:eastAsia="仿宋" w:cs="仿宋"/>
          <w:b/>
          <w:color w:val="auto"/>
          <w:kern w:val="0"/>
          <w:sz w:val="32"/>
          <w:szCs w:val="32"/>
        </w:rPr>
      </w:pPr>
    </w:p>
    <w:p>
      <w:pPr>
        <w:pageBreakBefore/>
        <w:spacing w:line="360" w:lineRule="auto"/>
        <w:rPr>
          <w:rFonts w:ascii="仿宋" w:hAnsi="仿宋" w:eastAsia="仿宋" w:cs="仿宋"/>
          <w:b/>
          <w:color w:val="auto"/>
          <w:kern w:val="0"/>
          <w:sz w:val="32"/>
          <w:szCs w:val="32"/>
          <w:lang w:val="zh-CN"/>
        </w:rPr>
      </w:pPr>
      <w:r>
        <w:rPr>
          <w:rFonts w:hint="eastAsia" w:ascii="仿宋" w:hAnsi="仿宋" w:eastAsia="仿宋" w:cs="仿宋"/>
          <w:b/>
          <w:color w:val="auto"/>
          <w:kern w:val="0"/>
          <w:sz w:val="32"/>
          <w:szCs w:val="32"/>
        </w:rPr>
        <w:t>8、重大违法记录的声明</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绍兴市中心血站、耀华建设管理有限公司</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strike/>
          <w:color w:val="auto"/>
          <w:sz w:val="24"/>
          <w:szCs w:val="20"/>
        </w:rPr>
      </w:pP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声明参加本次政府采购活动前三年内，在</w:t>
      </w:r>
      <w:r>
        <w:rPr>
          <w:rFonts w:hint="eastAsia" w:ascii="仿宋" w:hAnsi="仿宋" w:eastAsia="仿宋" w:cs="仿宋"/>
          <w:color w:val="auto"/>
          <w:kern w:val="0"/>
          <w:sz w:val="24"/>
        </w:rPr>
        <w:t>经营活动中</w:t>
      </w:r>
      <w:r>
        <w:rPr>
          <w:rFonts w:hint="eastAsia" w:ascii="仿宋" w:hAnsi="仿宋" w:eastAsia="仿宋" w:cs="仿宋"/>
          <w:color w:val="auto"/>
          <w:sz w:val="24"/>
        </w:rPr>
        <w:t>没有重大违法记录；也</w:t>
      </w:r>
      <w:r>
        <w:rPr>
          <w:rFonts w:hint="eastAsia" w:ascii="仿宋" w:hAnsi="仿宋" w:eastAsia="仿宋" w:cs="仿宋"/>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color w:val="auto"/>
          <w:sz w:val="24"/>
          <w:szCs w:val="20"/>
        </w:rPr>
      </w:pP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p>
    <w:p>
      <w:pPr>
        <w:snapToGrid w:val="0"/>
        <w:spacing w:line="360" w:lineRule="auto"/>
        <w:rPr>
          <w:rFonts w:ascii="仿宋" w:hAnsi="仿宋" w:eastAsia="仿宋" w:cs="仿宋"/>
          <w:color w:val="auto"/>
          <w:kern w:val="0"/>
          <w:sz w:val="24"/>
          <w:szCs w:val="24"/>
        </w:rPr>
      </w:pPr>
      <w:r>
        <w:rPr>
          <w:rFonts w:hint="eastAsia" w:ascii="仿宋" w:hAnsi="仿宋" w:eastAsia="仿宋" w:cs="仿宋"/>
          <w:color w:val="auto"/>
          <w:kern w:val="0"/>
          <w:sz w:val="24"/>
          <w:lang w:val="zh-CN"/>
        </w:rPr>
        <w:t>法定代表人或其授权代表</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szCs w:val="24"/>
        </w:rPr>
        <w:t>)</w:t>
      </w:r>
      <w:r>
        <w:rPr>
          <w:rFonts w:hint="eastAsia" w:ascii="仿宋" w:hAnsi="仿宋" w:eastAsia="仿宋" w:cs="仿宋"/>
          <w:color w:val="auto"/>
          <w:kern w:val="0"/>
          <w:sz w:val="24"/>
          <w:szCs w:val="24"/>
          <w:lang w:val="zh-CN"/>
        </w:rPr>
        <w:t>：</w:t>
      </w:r>
    </w:p>
    <w:p>
      <w:pPr>
        <w:snapToGrid w:val="0"/>
        <w:spacing w:line="360" w:lineRule="auto"/>
        <w:ind w:firstLine="5160" w:firstLineChars="2150"/>
        <w:jc w:val="right"/>
        <w:rPr>
          <w:rFonts w:ascii="仿宋" w:hAnsi="仿宋" w:eastAsia="仿宋" w:cs="仿宋"/>
          <w:color w:val="auto"/>
          <w:kern w:val="0"/>
          <w:sz w:val="24"/>
          <w:lang w:val="zh-CN"/>
        </w:rPr>
      </w:pPr>
      <w:r>
        <w:rPr>
          <w:rFonts w:hint="eastAsia" w:ascii="仿宋" w:hAnsi="仿宋" w:eastAsia="仿宋" w:cs="仿宋"/>
          <w:color w:val="auto"/>
          <w:sz w:val="24"/>
        </w:rPr>
        <w:t>日期： 年 月 日</w:t>
      </w: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jc w:val="center"/>
        <w:rPr>
          <w:rFonts w:ascii="仿宋" w:hAnsi="仿宋" w:eastAsia="仿宋" w:cs="仿宋"/>
          <w:b/>
          <w:color w:val="auto"/>
          <w:sz w:val="30"/>
          <w:szCs w:val="30"/>
        </w:rPr>
      </w:pPr>
    </w:p>
    <w:p>
      <w:pPr>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9、特定资格条件要求的资质文件（复印件）</w:t>
      </w:r>
    </w:p>
    <w:p>
      <w:pPr>
        <w:widowControl/>
        <w:spacing w:line="360" w:lineRule="auto"/>
        <w:ind w:firstLine="480" w:firstLineChars="200"/>
        <w:jc w:val="left"/>
        <w:rPr>
          <w:rFonts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（由投标人根据招标公告合格的投标人应具备的特定资格要求编制）</w:t>
      </w: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p>
    <w:p>
      <w:pPr>
        <w:spacing w:line="360" w:lineRule="auto"/>
        <w:rPr>
          <w:rFonts w:ascii="仿宋" w:hAnsi="仿宋" w:eastAsia="仿宋" w:cs="仿宋"/>
          <w:b/>
          <w:color w:val="auto"/>
          <w:sz w:val="30"/>
          <w:szCs w:val="30"/>
        </w:rPr>
      </w:pPr>
      <w:r>
        <w:rPr>
          <w:rFonts w:hint="eastAsia" w:ascii="仿宋" w:hAnsi="仿宋" w:eastAsia="仿宋" w:cs="仿宋"/>
          <w:b/>
          <w:color w:val="auto"/>
          <w:sz w:val="30"/>
          <w:szCs w:val="30"/>
        </w:rPr>
        <w:t>10、非本地投标人售后服务机构证明材料</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（由非本地投标人根据采购需求及招标文件要求编制）</w:t>
      </w:r>
    </w:p>
    <w:p>
      <w:pPr>
        <w:spacing w:line="360" w:lineRule="auto"/>
        <w:jc w:val="center"/>
        <w:rPr>
          <w:rFonts w:ascii="仿宋" w:hAnsi="仿宋" w:eastAsia="仿宋" w:cs="仿宋"/>
          <w:b/>
          <w:color w:val="auto"/>
          <w:sz w:val="32"/>
          <w:szCs w:val="32"/>
        </w:rPr>
      </w:pPr>
    </w:p>
    <w:p>
      <w:pPr>
        <w:spacing w:line="360" w:lineRule="auto"/>
        <w:jc w:val="center"/>
        <w:rPr>
          <w:rFonts w:ascii="仿宋" w:hAnsi="仿宋" w:eastAsia="仿宋" w:cs="仿宋"/>
          <w:b/>
          <w:color w:val="auto"/>
          <w:sz w:val="32"/>
          <w:szCs w:val="32"/>
        </w:rPr>
      </w:pPr>
    </w:p>
    <w:p>
      <w:pPr>
        <w:pageBreakBefore/>
        <w:spacing w:line="360" w:lineRule="auto"/>
        <w:rPr>
          <w:rFonts w:ascii="仿宋" w:hAnsi="仿宋" w:eastAsia="仿宋" w:cs="仿宋"/>
          <w:b/>
          <w:color w:val="auto"/>
          <w:sz w:val="32"/>
          <w:szCs w:val="32"/>
        </w:rPr>
      </w:pPr>
      <w:r>
        <w:rPr>
          <w:rFonts w:hint="eastAsia" w:ascii="仿宋" w:hAnsi="仿宋" w:eastAsia="仿宋" w:cs="仿宋"/>
          <w:b/>
          <w:color w:val="auto"/>
          <w:sz w:val="32"/>
          <w:szCs w:val="32"/>
        </w:rPr>
        <w:t>11、所有与符合性审查有关的资信文件（复印件）</w:t>
      </w:r>
    </w:p>
    <w:p>
      <w:pPr>
        <w:spacing w:line="360" w:lineRule="auto"/>
        <w:rPr>
          <w:rFonts w:ascii="仿宋" w:hAnsi="仿宋" w:eastAsia="仿宋" w:cs="仿宋"/>
          <w:b/>
          <w:bCs/>
          <w:color w:val="auto"/>
          <w:sz w:val="32"/>
          <w:szCs w:val="32"/>
        </w:rPr>
      </w:pPr>
      <w:r>
        <w:rPr>
          <w:rFonts w:hint="eastAsia" w:ascii="仿宋" w:hAnsi="仿宋" w:eastAsia="仿宋" w:cs="仿宋"/>
          <w:b/>
          <w:color w:val="auto"/>
          <w:sz w:val="24"/>
        </w:rPr>
        <w:t>（1. 提供依法缴纳税收和社会保障资金的良好记录证明，税收和社保证明打印时间不得早于投标截止时间前1个月；2.</w:t>
      </w:r>
      <w:r>
        <w:rPr>
          <w:rFonts w:hint="eastAsia" w:ascii="仿宋" w:hAnsi="仿宋" w:eastAsia="仿宋" w:cs="仿宋"/>
          <w:color w:val="auto"/>
          <w:sz w:val="24"/>
        </w:rPr>
        <w:t>其他资料由投标人根据采购需求及招标文件要求编制。</w:t>
      </w:r>
      <w:r>
        <w:rPr>
          <w:rFonts w:hint="eastAsia" w:ascii="仿宋" w:hAnsi="仿宋" w:eastAsia="仿宋" w:cs="仿宋"/>
          <w:b/>
          <w:color w:val="auto"/>
          <w:sz w:val="24"/>
        </w:rPr>
        <w:t>）</w:t>
      </w: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p>
    <w:p>
      <w:pPr>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12、</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2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auto"/>
                <w:sz w:val="24"/>
              </w:rPr>
            </w:pPr>
          </w:p>
        </w:tc>
      </w:tr>
    </w:tbl>
    <w:p>
      <w:pPr>
        <w:autoSpaceDE w:val="0"/>
        <w:autoSpaceDN w:val="0"/>
        <w:spacing w:line="360" w:lineRule="auto"/>
        <w:rPr>
          <w:rFonts w:ascii="仿宋" w:hAnsi="仿宋" w:eastAsia="仿宋" w:cs="仿宋"/>
          <w:color w:val="auto"/>
          <w:sz w:val="24"/>
        </w:rPr>
      </w:pPr>
      <w:r>
        <w:rPr>
          <w:rFonts w:hint="eastAsia" w:ascii="仿宋" w:hAnsi="仿宋" w:eastAsia="仿宋" w:cs="仿宋"/>
          <w:b/>
          <w:color w:val="auto"/>
          <w:sz w:val="24"/>
        </w:rPr>
        <w:t>注：投标人可按上述的格式自行编制。</w:t>
      </w:r>
    </w:p>
    <w:p>
      <w:pPr>
        <w:autoSpaceDE w:val="0"/>
        <w:autoSpaceDN w:val="0"/>
        <w:spacing w:line="360" w:lineRule="auto"/>
        <w:ind w:firstLine="4560" w:firstLineChars="1900"/>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 xml:space="preserve">：                       </w:t>
      </w:r>
    </w:p>
    <w:p>
      <w:pPr>
        <w:autoSpaceDE w:val="0"/>
        <w:autoSpaceDN w:val="0"/>
        <w:spacing w:line="360" w:lineRule="auto"/>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法定代表人或其授权代表</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szCs w:val="24"/>
        </w:rPr>
        <w:t>)</w:t>
      </w:r>
      <w:r>
        <w:rPr>
          <w:rFonts w:hint="eastAsia" w:ascii="仿宋" w:hAnsi="仿宋" w:eastAsia="仿宋" w:cs="仿宋"/>
          <w:color w:val="auto"/>
          <w:kern w:val="0"/>
          <w:sz w:val="24"/>
        </w:rPr>
        <w:t xml:space="preserve">：                   </w:t>
      </w:r>
    </w:p>
    <w:p>
      <w:pPr>
        <w:snapToGrid w:val="0"/>
        <w:spacing w:line="360" w:lineRule="auto"/>
        <w:ind w:firstLine="5160" w:firstLineChars="2150"/>
        <w:jc w:val="right"/>
        <w:rPr>
          <w:rFonts w:ascii="仿宋" w:hAnsi="仿宋" w:eastAsia="仿宋" w:cs="仿宋"/>
          <w:color w:val="auto"/>
          <w:kern w:val="0"/>
          <w:sz w:val="24"/>
          <w:lang w:val="zh-CN"/>
        </w:rPr>
      </w:pPr>
      <w:r>
        <w:rPr>
          <w:rFonts w:hint="eastAsia" w:ascii="仿宋" w:hAnsi="仿宋" w:eastAsia="仿宋" w:cs="仿宋"/>
          <w:color w:val="auto"/>
          <w:kern w:val="0"/>
          <w:sz w:val="24"/>
        </w:rPr>
        <w:t xml:space="preserve">                                      </w:t>
      </w:r>
      <w:r>
        <w:rPr>
          <w:rFonts w:hint="eastAsia" w:ascii="仿宋" w:hAnsi="仿宋" w:eastAsia="仿宋" w:cs="仿宋"/>
          <w:color w:val="auto"/>
          <w:sz w:val="24"/>
        </w:rPr>
        <w:t>日期： 年 月 日</w:t>
      </w:r>
    </w:p>
    <w:p>
      <w:pPr>
        <w:spacing w:line="360" w:lineRule="auto"/>
        <w:rPr>
          <w:rFonts w:ascii="仿宋" w:hAnsi="仿宋" w:eastAsia="仿宋" w:cs="仿宋"/>
          <w:color w:val="auto"/>
          <w:kern w:val="0"/>
          <w:sz w:val="24"/>
        </w:rPr>
      </w:pPr>
    </w:p>
    <w:p>
      <w:pPr>
        <w:pStyle w:val="78"/>
        <w:ind w:firstLine="0"/>
        <w:jc w:val="both"/>
        <w:rPr>
          <w:rFonts w:ascii="仿宋" w:eastAsia="仿宋" w:cs="仿宋"/>
          <w:color w:val="auto"/>
        </w:rPr>
      </w:pPr>
    </w:p>
    <w:p>
      <w:pPr>
        <w:pStyle w:val="78"/>
        <w:ind w:firstLine="0"/>
        <w:jc w:val="both"/>
        <w:rPr>
          <w:rFonts w:ascii="仿宋" w:eastAsia="仿宋" w:cs="仿宋"/>
          <w:color w:val="auto"/>
        </w:rPr>
      </w:pPr>
    </w:p>
    <w:p>
      <w:pPr>
        <w:pStyle w:val="78"/>
        <w:pageBreakBefore/>
        <w:ind w:firstLine="0"/>
        <w:jc w:val="both"/>
        <w:rPr>
          <w:rFonts w:ascii="仿宋" w:eastAsia="仿宋" w:cs="仿宋"/>
          <w:color w:val="auto"/>
        </w:rPr>
      </w:pPr>
      <w:r>
        <w:rPr>
          <w:rFonts w:hint="eastAsia" w:ascii="仿宋" w:eastAsia="仿宋" w:cs="仿宋"/>
          <w:color w:val="auto"/>
        </w:rPr>
        <w:t>13、廉政承诺书</w:t>
      </w:r>
    </w:p>
    <w:p>
      <w:pPr>
        <w:autoSpaceDE w:val="0"/>
        <w:autoSpaceDN w:val="0"/>
        <w:spacing w:line="360" w:lineRule="auto"/>
        <w:ind w:left="2"/>
        <w:jc w:val="left"/>
        <w:rPr>
          <w:rFonts w:ascii="仿宋" w:hAnsi="仿宋" w:eastAsia="仿宋" w:cs="仿宋"/>
          <w:color w:val="auto"/>
          <w:kern w:val="0"/>
          <w:sz w:val="24"/>
          <w:lang w:val="zh-CN"/>
        </w:rPr>
      </w:pPr>
      <w:r>
        <w:rPr>
          <w:rFonts w:hint="eastAsia" w:ascii="仿宋" w:hAnsi="仿宋" w:eastAsia="仿宋" w:cs="仿宋"/>
          <w:color w:val="auto"/>
          <w:sz w:val="24"/>
        </w:rPr>
        <w:t>绍兴市中心血站</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left="2"/>
        <w:jc w:val="left"/>
        <w:rPr>
          <w:rFonts w:ascii="仿宋" w:hAnsi="仿宋" w:eastAsia="仿宋" w:cs="仿宋"/>
          <w:color w:val="auto"/>
          <w:kern w:val="0"/>
          <w:sz w:val="24"/>
          <w:lang w:val="zh-CN"/>
        </w:rPr>
      </w:pPr>
    </w:p>
    <w:p>
      <w:pPr>
        <w:autoSpaceDE w:val="0"/>
        <w:autoSpaceDN w:val="0"/>
        <w:spacing w:line="360" w:lineRule="auto"/>
        <w:ind w:right="112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spacing w:line="360" w:lineRule="auto"/>
        <w:ind w:left="5040" w:hanging="5040" w:hangingChars="2100"/>
        <w:jc w:val="left"/>
        <w:rPr>
          <w:rFonts w:ascii="仿宋" w:hAnsi="仿宋" w:eastAsia="仿宋" w:cs="仿宋"/>
          <w:color w:val="auto"/>
          <w:kern w:val="0"/>
          <w:sz w:val="24"/>
          <w:lang w:val="zh-CN"/>
        </w:rPr>
      </w:pPr>
    </w:p>
    <w:p>
      <w:pPr>
        <w:spacing w:line="360" w:lineRule="auto"/>
        <w:ind w:left="5040" w:hanging="5040" w:hangingChars="21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法定代表人或其授权代表</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szCs w:val="24"/>
        </w:rPr>
        <w:t>)</w:t>
      </w:r>
      <w:r>
        <w:rPr>
          <w:rFonts w:hint="eastAsia" w:ascii="仿宋" w:hAnsi="仿宋" w:eastAsia="仿宋" w:cs="仿宋"/>
          <w:color w:val="auto"/>
          <w:kern w:val="0"/>
          <w:sz w:val="24"/>
          <w:lang w:val="zh-CN"/>
        </w:rPr>
        <w:t>：</w:t>
      </w:r>
    </w:p>
    <w:p>
      <w:pPr>
        <w:spacing w:line="360" w:lineRule="auto"/>
        <w:ind w:left="5040" w:hanging="5040" w:hangingChars="2100"/>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r>
        <w:rPr>
          <w:rFonts w:hint="eastAsia" w:ascii="仿宋" w:hAnsi="仿宋" w:eastAsia="仿宋" w:cs="仿宋"/>
          <w:color w:val="auto"/>
          <w:sz w:val="24"/>
        </w:rPr>
        <w:t>日期： 年 月 日</w:t>
      </w: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spacing w:line="360" w:lineRule="auto"/>
        <w:jc w:val="center"/>
        <w:rPr>
          <w:rFonts w:ascii="仿宋" w:hAnsi="仿宋" w:eastAsia="仿宋" w:cs="仿宋"/>
          <w:b/>
          <w:bCs/>
          <w:color w:val="auto"/>
          <w:sz w:val="32"/>
          <w:szCs w:val="32"/>
        </w:rPr>
      </w:pP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14、技术解决方案</w:t>
      </w:r>
    </w:p>
    <w:p>
      <w:pPr>
        <w:spacing w:line="360"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ascii="仿宋" w:hAnsi="仿宋" w:eastAsia="仿宋" w:cs="仿宋"/>
          <w:color w:val="auto"/>
          <w:sz w:val="24"/>
        </w:rPr>
      </w:pPr>
    </w:p>
    <w:p>
      <w:pPr>
        <w:snapToGrid w:val="0"/>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2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ascii="仿宋" w:hAnsi="仿宋" w:eastAsia="仿宋" w:cs="仿宋"/>
                <w:color w:val="auto"/>
                <w:sz w:val="24"/>
              </w:rPr>
            </w:pPr>
          </w:p>
        </w:tc>
        <w:tc>
          <w:tcPr>
            <w:tcW w:w="2160" w:type="dxa"/>
            <w:vAlign w:val="center"/>
          </w:tcPr>
          <w:p>
            <w:pPr>
              <w:snapToGrid w:val="0"/>
              <w:spacing w:line="360" w:lineRule="auto"/>
              <w:jc w:val="center"/>
              <w:rPr>
                <w:rFonts w:ascii="仿宋" w:hAnsi="仿宋" w:eastAsia="仿宋" w:cs="仿宋"/>
                <w:color w:val="auto"/>
                <w:sz w:val="24"/>
              </w:rPr>
            </w:pPr>
          </w:p>
        </w:tc>
        <w:tc>
          <w:tcPr>
            <w:tcW w:w="2340" w:type="dxa"/>
            <w:vAlign w:val="center"/>
          </w:tcPr>
          <w:p>
            <w:pPr>
              <w:spacing w:line="360" w:lineRule="auto"/>
              <w:jc w:val="center"/>
              <w:rPr>
                <w:rFonts w:ascii="仿宋" w:hAnsi="仿宋" w:eastAsia="仿宋" w:cs="仿宋"/>
                <w:color w:val="auto"/>
                <w:sz w:val="24"/>
              </w:rPr>
            </w:pPr>
          </w:p>
        </w:tc>
        <w:tc>
          <w:tcPr>
            <w:tcW w:w="1080" w:type="dxa"/>
            <w:vAlign w:val="center"/>
          </w:tcPr>
          <w:p>
            <w:pPr>
              <w:spacing w:line="360" w:lineRule="auto"/>
              <w:jc w:val="center"/>
              <w:rPr>
                <w:rFonts w:ascii="仿宋" w:hAnsi="仿宋" w:eastAsia="仿宋" w:cs="仿宋"/>
                <w:color w:val="auto"/>
                <w:sz w:val="24"/>
              </w:rPr>
            </w:pPr>
          </w:p>
        </w:tc>
        <w:tc>
          <w:tcPr>
            <w:tcW w:w="1332" w:type="dxa"/>
            <w:vAlign w:val="center"/>
          </w:tcPr>
          <w:p>
            <w:pPr>
              <w:spacing w:line="360" w:lineRule="auto"/>
              <w:jc w:val="center"/>
              <w:rPr>
                <w:rFonts w:ascii="仿宋" w:hAnsi="仿宋" w:eastAsia="仿宋" w:cs="仿宋"/>
                <w:color w:val="auto"/>
                <w:sz w:val="24"/>
              </w:rPr>
            </w:pPr>
          </w:p>
        </w:tc>
      </w:tr>
    </w:tbl>
    <w:p>
      <w:pPr>
        <w:autoSpaceDE w:val="0"/>
        <w:autoSpaceDN w:val="0"/>
        <w:spacing w:line="360" w:lineRule="auto"/>
        <w:rPr>
          <w:rFonts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color w:val="auto"/>
          <w:spacing w:val="6"/>
          <w:sz w:val="24"/>
        </w:rPr>
      </w:pPr>
      <w:r>
        <w:rPr>
          <w:rFonts w:hint="eastAsia" w:ascii="仿宋" w:hAnsi="仿宋" w:eastAsia="仿宋" w:cs="仿宋"/>
          <w:b/>
          <w:color w:val="auto"/>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color w:val="auto"/>
          <w:kern w:val="0"/>
          <w:sz w:val="28"/>
          <w:szCs w:val="28"/>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6pt;width:442.4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color w:val="auto"/>
          <w:kern w:val="0"/>
          <w:sz w:val="28"/>
          <w:szCs w:val="28"/>
        </w:rPr>
        <w:object>
          <v:shape id="_x0000_i1026" o:spt="75" type="#_x0000_t75" style="height:42.6pt;width:442.4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360" w:lineRule="auto"/>
        <w:rPr>
          <w:rFonts w:ascii="仿宋" w:hAnsi="仿宋" w:eastAsia="仿宋" w:cs="仿宋"/>
          <w:color w:val="auto"/>
          <w:kern w:val="0"/>
          <w:sz w:val="24"/>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rPr>
        <w:t>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360" w:lineRule="auto"/>
        <w:jc w:val="right"/>
        <w:rPr>
          <w:rFonts w:ascii="仿宋" w:hAnsi="仿宋" w:eastAsia="仿宋" w:cs="仿宋"/>
          <w:b/>
          <w:bCs/>
          <w:color w:val="auto"/>
          <w:kern w:val="0"/>
          <w:sz w:val="24"/>
          <w:lang w:val="zh-CN"/>
        </w:rPr>
      </w:pPr>
      <w:r>
        <w:rPr>
          <w:rFonts w:hint="eastAsia" w:ascii="仿宋" w:hAnsi="仿宋" w:eastAsia="仿宋" w:cs="仿宋"/>
          <w:color w:val="auto"/>
          <w:kern w:val="0"/>
          <w:sz w:val="24"/>
        </w:rPr>
        <w:t xml:space="preserve">                     </w:t>
      </w:r>
      <w:r>
        <w:rPr>
          <w:rFonts w:hint="eastAsia" w:ascii="仿宋" w:hAnsi="仿宋" w:eastAsia="仿宋" w:cs="仿宋"/>
          <w:color w:val="auto"/>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 xml:space="preserve">   </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 xml:space="preserve">                     </w:t>
      </w:r>
    </w:p>
    <w:p>
      <w:pPr>
        <w:pageBreakBefore/>
        <w:spacing w:line="360" w:lineRule="auto"/>
        <w:rPr>
          <w:rFonts w:ascii="仿宋" w:hAnsi="仿宋" w:eastAsia="仿宋" w:cs="仿宋"/>
          <w:b/>
          <w:bCs/>
          <w:color w:val="auto"/>
          <w:sz w:val="32"/>
          <w:szCs w:val="32"/>
        </w:rPr>
      </w:pPr>
      <w:r>
        <w:rPr>
          <w:rFonts w:hint="eastAsia" w:ascii="仿宋" w:hAnsi="仿宋" w:eastAsia="仿宋" w:cs="仿宋"/>
          <w:b/>
          <w:bCs/>
          <w:color w:val="auto"/>
          <w:sz w:val="32"/>
          <w:szCs w:val="32"/>
        </w:rPr>
        <w:t>15、技术偏离说明表</w:t>
      </w:r>
    </w:p>
    <w:p>
      <w:pPr>
        <w:spacing w:line="360" w:lineRule="auto"/>
        <w:rPr>
          <w:rFonts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26"/>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color w:val="auto"/>
                <w:sz w:val="24"/>
              </w:rPr>
            </w:pPr>
          </w:p>
        </w:tc>
      </w:tr>
    </w:tbl>
    <w:p>
      <w:pPr>
        <w:tabs>
          <w:tab w:val="left" w:pos="570"/>
        </w:tabs>
        <w:spacing w:line="440" w:lineRule="exact"/>
        <w:jc w:val="left"/>
        <w:rPr>
          <w:rFonts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color w:val="auto"/>
          <w:kern w:val="0"/>
          <w:sz w:val="24"/>
          <w:lang w:val="zh-CN"/>
        </w:rPr>
      </w:pPr>
    </w:p>
    <w:p>
      <w:pPr>
        <w:autoSpaceDE w:val="0"/>
        <w:autoSpaceDN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autoSpaceDE w:val="0"/>
        <w:autoSpaceDN w:val="0"/>
        <w:spacing w:line="360" w:lineRule="auto"/>
        <w:rPr>
          <w:rFonts w:ascii="仿宋" w:hAnsi="仿宋" w:eastAsia="仿宋" w:cs="仿宋"/>
          <w:color w:val="auto"/>
          <w:kern w:val="0"/>
          <w:sz w:val="24"/>
          <w:lang w:val="zh-CN"/>
        </w:rPr>
      </w:pPr>
    </w:p>
    <w:p>
      <w:pPr>
        <w:autoSpaceDE w:val="0"/>
        <w:autoSpaceDN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w:t>
      </w:r>
    </w:p>
    <w:p>
      <w:pPr>
        <w:spacing w:line="360" w:lineRule="auto"/>
        <w:jc w:val="right"/>
        <w:rPr>
          <w:rFonts w:ascii="仿宋" w:hAnsi="仿宋" w:eastAsia="仿宋" w:cs="仿宋"/>
          <w:b/>
          <w:color w:val="auto"/>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r>
        <w:rPr>
          <w:rFonts w:hint="eastAsia" w:ascii="仿宋" w:hAnsi="仿宋" w:eastAsia="仿宋" w:cs="仿宋"/>
          <w:b/>
          <w:bCs/>
          <w:color w:val="auto"/>
          <w:kern w:val="0"/>
          <w:sz w:val="36"/>
          <w:szCs w:val="36"/>
          <w:lang w:val="zh-CN"/>
        </w:rPr>
        <w:t xml:space="preserve"> </w:t>
      </w: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16、组织实施方案</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2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 xml:space="preserve">  工作日</w:t>
            </w:r>
          </w:p>
          <w:p>
            <w:pPr>
              <w:spacing w:line="288" w:lineRule="auto"/>
              <w:rPr>
                <w:rFonts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spacing w:line="288" w:lineRule="auto"/>
              <w:rPr>
                <w:rFonts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2"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c>
          <w:tcPr>
            <w:tcW w:w="553" w:type="dxa"/>
          </w:tcPr>
          <w:p>
            <w:pPr>
              <w:spacing w:line="288" w:lineRule="auto"/>
              <w:rPr>
                <w:rFonts w:ascii="仿宋" w:hAnsi="仿宋" w:eastAsia="仿宋" w:cs="仿宋"/>
                <w:color w:val="auto"/>
                <w:sz w:val="24"/>
              </w:rPr>
            </w:pPr>
          </w:p>
        </w:tc>
      </w:tr>
    </w:tbl>
    <w:p>
      <w:pPr>
        <w:autoSpaceDE w:val="0"/>
        <w:autoSpaceDN w:val="0"/>
        <w:spacing w:line="288" w:lineRule="auto"/>
        <w:rPr>
          <w:rFonts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288" w:lineRule="auto"/>
        <w:rPr>
          <w:rFonts w:ascii="仿宋" w:hAnsi="仿宋" w:eastAsia="仿宋" w:cs="仿宋"/>
          <w:b/>
          <w:bCs/>
          <w:color w:val="auto"/>
          <w:sz w:val="24"/>
        </w:rPr>
      </w:pPr>
      <w:r>
        <w:rPr>
          <w:rFonts w:hint="eastAsia" w:ascii="仿宋" w:hAnsi="仿宋" w:eastAsia="仿宋" w:cs="仿宋"/>
          <w:color w:val="auto"/>
          <w:kern w:val="0"/>
          <w:sz w:val="24"/>
        </w:rPr>
        <w:t xml:space="preserve">                                     日期：  年  月   日</w:t>
      </w:r>
    </w:p>
    <w:p>
      <w:pPr>
        <w:spacing w:line="288" w:lineRule="auto"/>
        <w:jc w:val="center"/>
        <w:rPr>
          <w:rFonts w:ascii="仿宋" w:hAnsi="仿宋" w:eastAsia="仿宋" w:cs="仿宋"/>
          <w:b/>
          <w:bCs/>
          <w:color w:val="auto"/>
          <w:sz w:val="32"/>
          <w:szCs w:val="32"/>
        </w:rPr>
      </w:pPr>
    </w:p>
    <w:p>
      <w:pPr>
        <w:spacing w:line="288" w:lineRule="auto"/>
        <w:rPr>
          <w:rFonts w:ascii="仿宋" w:hAnsi="仿宋" w:eastAsia="仿宋" w:cs="仿宋"/>
          <w:b/>
          <w:bCs/>
          <w:color w:val="auto"/>
          <w:sz w:val="32"/>
          <w:szCs w:val="32"/>
        </w:rPr>
      </w:pPr>
      <w:r>
        <w:rPr>
          <w:rFonts w:hint="eastAsia" w:ascii="仿宋" w:hAnsi="仿宋" w:eastAsia="仿宋" w:cs="仿宋"/>
          <w:b/>
          <w:bCs/>
          <w:color w:val="auto"/>
          <w:sz w:val="32"/>
          <w:szCs w:val="32"/>
        </w:rPr>
        <w:t>17、售后服务方案</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288" w:lineRule="auto"/>
        <w:rPr>
          <w:rFonts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288" w:lineRule="auto"/>
              <w:jc w:val="center"/>
              <w:rPr>
                <w:rFonts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color w:val="auto"/>
                <w:sz w:val="24"/>
              </w:rPr>
            </w:pPr>
          </w:p>
        </w:tc>
        <w:tc>
          <w:tcPr>
            <w:tcW w:w="2160" w:type="dxa"/>
          </w:tcPr>
          <w:p>
            <w:pPr>
              <w:autoSpaceDE w:val="0"/>
              <w:autoSpaceDN w:val="0"/>
              <w:spacing w:line="288" w:lineRule="auto"/>
              <w:jc w:val="center"/>
              <w:rPr>
                <w:rFonts w:ascii="仿宋" w:hAnsi="仿宋" w:eastAsia="仿宋" w:cs="仿宋"/>
                <w:color w:val="auto"/>
                <w:sz w:val="24"/>
              </w:rPr>
            </w:pPr>
          </w:p>
        </w:tc>
        <w:tc>
          <w:tcPr>
            <w:tcW w:w="1620" w:type="dxa"/>
          </w:tcPr>
          <w:p>
            <w:pPr>
              <w:autoSpaceDE w:val="0"/>
              <w:autoSpaceDN w:val="0"/>
              <w:spacing w:line="288" w:lineRule="auto"/>
              <w:jc w:val="center"/>
              <w:rPr>
                <w:rFonts w:ascii="仿宋" w:hAnsi="仿宋" w:eastAsia="仿宋" w:cs="仿宋"/>
                <w:color w:val="auto"/>
                <w:sz w:val="24"/>
              </w:rPr>
            </w:pPr>
          </w:p>
        </w:tc>
        <w:tc>
          <w:tcPr>
            <w:tcW w:w="1245" w:type="dxa"/>
          </w:tcPr>
          <w:p>
            <w:pPr>
              <w:autoSpaceDE w:val="0"/>
              <w:autoSpaceDN w:val="0"/>
              <w:spacing w:line="288" w:lineRule="auto"/>
              <w:jc w:val="center"/>
              <w:rPr>
                <w:rFonts w:ascii="仿宋" w:hAnsi="仿宋" w:eastAsia="仿宋" w:cs="仿宋"/>
                <w:color w:val="auto"/>
                <w:sz w:val="24"/>
              </w:rPr>
            </w:pPr>
          </w:p>
        </w:tc>
        <w:tc>
          <w:tcPr>
            <w:tcW w:w="2175" w:type="dxa"/>
          </w:tcPr>
          <w:p>
            <w:pPr>
              <w:autoSpaceDE w:val="0"/>
              <w:autoSpaceDN w:val="0"/>
              <w:spacing w:line="288" w:lineRule="auto"/>
              <w:jc w:val="center"/>
              <w:rPr>
                <w:rFonts w:ascii="仿宋" w:hAnsi="仿宋" w:eastAsia="仿宋" w:cs="仿宋"/>
                <w:color w:val="auto"/>
                <w:sz w:val="24"/>
              </w:rPr>
            </w:pPr>
          </w:p>
        </w:tc>
        <w:tc>
          <w:tcPr>
            <w:tcW w:w="1260" w:type="dxa"/>
          </w:tcPr>
          <w:p>
            <w:pPr>
              <w:autoSpaceDE w:val="0"/>
              <w:autoSpaceDN w:val="0"/>
              <w:spacing w:line="288"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color w:val="auto"/>
                <w:sz w:val="24"/>
              </w:rPr>
            </w:pPr>
          </w:p>
        </w:tc>
        <w:tc>
          <w:tcPr>
            <w:tcW w:w="2160" w:type="dxa"/>
          </w:tcPr>
          <w:p>
            <w:pPr>
              <w:autoSpaceDE w:val="0"/>
              <w:autoSpaceDN w:val="0"/>
              <w:spacing w:line="288" w:lineRule="auto"/>
              <w:jc w:val="center"/>
              <w:rPr>
                <w:rFonts w:ascii="仿宋" w:hAnsi="仿宋" w:eastAsia="仿宋" w:cs="仿宋"/>
                <w:color w:val="auto"/>
                <w:sz w:val="24"/>
              </w:rPr>
            </w:pPr>
          </w:p>
        </w:tc>
        <w:tc>
          <w:tcPr>
            <w:tcW w:w="1620" w:type="dxa"/>
          </w:tcPr>
          <w:p>
            <w:pPr>
              <w:autoSpaceDE w:val="0"/>
              <w:autoSpaceDN w:val="0"/>
              <w:spacing w:line="288" w:lineRule="auto"/>
              <w:jc w:val="center"/>
              <w:rPr>
                <w:rFonts w:ascii="仿宋" w:hAnsi="仿宋" w:eastAsia="仿宋" w:cs="仿宋"/>
                <w:color w:val="auto"/>
                <w:sz w:val="24"/>
              </w:rPr>
            </w:pPr>
          </w:p>
        </w:tc>
        <w:tc>
          <w:tcPr>
            <w:tcW w:w="1245" w:type="dxa"/>
          </w:tcPr>
          <w:p>
            <w:pPr>
              <w:autoSpaceDE w:val="0"/>
              <w:autoSpaceDN w:val="0"/>
              <w:spacing w:line="288" w:lineRule="auto"/>
              <w:jc w:val="center"/>
              <w:rPr>
                <w:rFonts w:ascii="仿宋" w:hAnsi="仿宋" w:eastAsia="仿宋" w:cs="仿宋"/>
                <w:color w:val="auto"/>
                <w:sz w:val="24"/>
              </w:rPr>
            </w:pPr>
          </w:p>
        </w:tc>
        <w:tc>
          <w:tcPr>
            <w:tcW w:w="2175" w:type="dxa"/>
          </w:tcPr>
          <w:p>
            <w:pPr>
              <w:autoSpaceDE w:val="0"/>
              <w:autoSpaceDN w:val="0"/>
              <w:spacing w:line="288" w:lineRule="auto"/>
              <w:jc w:val="center"/>
              <w:rPr>
                <w:rFonts w:ascii="仿宋" w:hAnsi="仿宋" w:eastAsia="仿宋" w:cs="仿宋"/>
                <w:color w:val="auto"/>
                <w:sz w:val="24"/>
              </w:rPr>
            </w:pPr>
          </w:p>
        </w:tc>
        <w:tc>
          <w:tcPr>
            <w:tcW w:w="1260" w:type="dxa"/>
          </w:tcPr>
          <w:p>
            <w:pPr>
              <w:autoSpaceDE w:val="0"/>
              <w:autoSpaceDN w:val="0"/>
              <w:spacing w:line="288" w:lineRule="auto"/>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color w:val="auto"/>
                <w:sz w:val="24"/>
              </w:rPr>
            </w:pPr>
          </w:p>
        </w:tc>
        <w:tc>
          <w:tcPr>
            <w:tcW w:w="2160" w:type="dxa"/>
          </w:tcPr>
          <w:p>
            <w:pPr>
              <w:autoSpaceDE w:val="0"/>
              <w:autoSpaceDN w:val="0"/>
              <w:spacing w:line="288" w:lineRule="auto"/>
              <w:jc w:val="center"/>
              <w:rPr>
                <w:rFonts w:ascii="仿宋" w:hAnsi="仿宋" w:eastAsia="仿宋" w:cs="仿宋"/>
                <w:color w:val="auto"/>
                <w:sz w:val="24"/>
              </w:rPr>
            </w:pPr>
          </w:p>
        </w:tc>
        <w:tc>
          <w:tcPr>
            <w:tcW w:w="1620" w:type="dxa"/>
          </w:tcPr>
          <w:p>
            <w:pPr>
              <w:autoSpaceDE w:val="0"/>
              <w:autoSpaceDN w:val="0"/>
              <w:spacing w:line="288" w:lineRule="auto"/>
              <w:jc w:val="center"/>
              <w:rPr>
                <w:rFonts w:ascii="仿宋" w:hAnsi="仿宋" w:eastAsia="仿宋" w:cs="仿宋"/>
                <w:color w:val="auto"/>
                <w:sz w:val="24"/>
              </w:rPr>
            </w:pPr>
          </w:p>
        </w:tc>
        <w:tc>
          <w:tcPr>
            <w:tcW w:w="1245" w:type="dxa"/>
          </w:tcPr>
          <w:p>
            <w:pPr>
              <w:autoSpaceDE w:val="0"/>
              <w:autoSpaceDN w:val="0"/>
              <w:spacing w:line="288" w:lineRule="auto"/>
              <w:jc w:val="center"/>
              <w:rPr>
                <w:rFonts w:ascii="仿宋" w:hAnsi="仿宋" w:eastAsia="仿宋" w:cs="仿宋"/>
                <w:color w:val="auto"/>
                <w:sz w:val="24"/>
              </w:rPr>
            </w:pPr>
          </w:p>
        </w:tc>
        <w:tc>
          <w:tcPr>
            <w:tcW w:w="2175" w:type="dxa"/>
          </w:tcPr>
          <w:p>
            <w:pPr>
              <w:autoSpaceDE w:val="0"/>
              <w:autoSpaceDN w:val="0"/>
              <w:spacing w:line="288" w:lineRule="auto"/>
              <w:jc w:val="center"/>
              <w:rPr>
                <w:rFonts w:ascii="仿宋" w:hAnsi="仿宋" w:eastAsia="仿宋" w:cs="仿宋"/>
                <w:color w:val="auto"/>
                <w:sz w:val="24"/>
              </w:rPr>
            </w:pPr>
          </w:p>
        </w:tc>
        <w:tc>
          <w:tcPr>
            <w:tcW w:w="1260" w:type="dxa"/>
          </w:tcPr>
          <w:p>
            <w:pPr>
              <w:autoSpaceDE w:val="0"/>
              <w:autoSpaceDN w:val="0"/>
              <w:spacing w:line="288" w:lineRule="auto"/>
              <w:jc w:val="center"/>
              <w:rPr>
                <w:rFonts w:ascii="仿宋" w:hAnsi="仿宋" w:eastAsia="仿宋" w:cs="仿宋"/>
                <w:color w:val="auto"/>
                <w:sz w:val="24"/>
              </w:rPr>
            </w:pPr>
          </w:p>
        </w:tc>
      </w:tr>
    </w:tbl>
    <w:p>
      <w:pPr>
        <w:autoSpaceDE w:val="0"/>
        <w:autoSpaceDN w:val="0"/>
        <w:spacing w:line="288" w:lineRule="auto"/>
        <w:rPr>
          <w:rFonts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2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r>
    </w:tbl>
    <w:p>
      <w:pPr>
        <w:autoSpaceDE w:val="0"/>
        <w:autoSpaceDN w:val="0"/>
        <w:spacing w:line="288" w:lineRule="auto"/>
        <w:rPr>
          <w:rFonts w:ascii="仿宋" w:hAnsi="仿宋" w:eastAsia="仿宋" w:cs="仿宋"/>
          <w:color w:val="auto"/>
          <w:kern w:val="0"/>
          <w:sz w:val="24"/>
        </w:rPr>
      </w:pPr>
    </w:p>
    <w:p>
      <w:pPr>
        <w:autoSpaceDE w:val="0"/>
        <w:autoSpaceDN w:val="0"/>
        <w:spacing w:line="288" w:lineRule="auto"/>
        <w:ind w:firstLine="4440" w:firstLineChars="1850"/>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288" w:lineRule="auto"/>
        <w:rPr>
          <w:rFonts w:ascii="仿宋" w:hAnsi="仿宋" w:eastAsia="仿宋" w:cs="仿宋"/>
          <w:b/>
          <w:bCs/>
          <w:color w:val="auto"/>
          <w:sz w:val="24"/>
        </w:rPr>
      </w:pPr>
      <w:r>
        <w:rPr>
          <w:rFonts w:hint="eastAsia" w:ascii="仿宋" w:hAnsi="仿宋" w:eastAsia="仿宋" w:cs="仿宋"/>
          <w:color w:val="auto"/>
          <w:kern w:val="0"/>
          <w:sz w:val="24"/>
        </w:rPr>
        <w:t xml:space="preserve">                                     日期：  年  月   日</w:t>
      </w:r>
    </w:p>
    <w:p>
      <w:pPr>
        <w:pageBreakBefore/>
        <w:spacing w:line="288" w:lineRule="auto"/>
        <w:rPr>
          <w:rFonts w:ascii="仿宋" w:hAnsi="仿宋" w:eastAsia="仿宋" w:cs="仿宋"/>
          <w:b/>
          <w:bCs/>
          <w:color w:val="auto"/>
          <w:sz w:val="32"/>
          <w:szCs w:val="32"/>
        </w:rPr>
      </w:pPr>
      <w:r>
        <w:rPr>
          <w:rFonts w:hint="eastAsia" w:ascii="仿宋" w:hAnsi="仿宋" w:eastAsia="仿宋" w:cs="仿宋"/>
          <w:b/>
          <w:bCs/>
          <w:color w:val="auto"/>
          <w:sz w:val="32"/>
          <w:szCs w:val="32"/>
        </w:rPr>
        <w:t>18、项目小组人员名单</w:t>
      </w:r>
    </w:p>
    <w:p>
      <w:pPr>
        <w:spacing w:line="288" w:lineRule="auto"/>
        <w:rPr>
          <w:rFonts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288" w:lineRule="auto"/>
        <w:ind w:firstLine="477"/>
        <w:rPr>
          <w:rFonts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26"/>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p>
        </w:tc>
      </w:tr>
    </w:tbl>
    <w:p>
      <w:pPr>
        <w:autoSpaceDE w:val="0"/>
        <w:autoSpaceDN w:val="0"/>
        <w:spacing w:line="288"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注：须随表提交相应的证书复印件并注明所在投标商务技术（资信）文件页码。</w:t>
      </w:r>
    </w:p>
    <w:p>
      <w:pPr>
        <w:autoSpaceDE w:val="0"/>
        <w:autoSpaceDN w:val="0"/>
        <w:spacing w:line="288" w:lineRule="auto"/>
        <w:rPr>
          <w:rFonts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26"/>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bookmarkStart w:id="6" w:name="_GoBack"/>
            <w:bookmarkEnd w:id="6"/>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color w:val="auto"/>
                <w:sz w:val="24"/>
              </w:rPr>
            </w:pPr>
          </w:p>
        </w:tc>
      </w:tr>
    </w:tbl>
    <w:p>
      <w:pPr>
        <w:spacing w:line="288" w:lineRule="auto"/>
        <w:rPr>
          <w:rFonts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注：投标人可按上述的格式自行编制，须随表提交相应的证书复印件并注明所在投标商务技术（资信）文件页码。</w:t>
      </w:r>
    </w:p>
    <w:p>
      <w:pPr>
        <w:spacing w:line="288" w:lineRule="auto"/>
        <w:rPr>
          <w:rFonts w:ascii="仿宋" w:hAnsi="仿宋" w:eastAsia="仿宋" w:cs="仿宋"/>
          <w:b/>
          <w:bCs/>
          <w:color w:val="auto"/>
          <w:sz w:val="24"/>
        </w:rPr>
      </w:pPr>
      <w:r>
        <w:rPr>
          <w:rFonts w:hint="eastAsia" w:ascii="仿宋" w:hAnsi="仿宋" w:eastAsia="仿宋" w:cs="仿宋"/>
          <w:b/>
          <w:color w:val="auto"/>
          <w:sz w:val="24"/>
        </w:rPr>
        <w:t>附表C:本项目的项目经理和小组人员提供近3个月交纳社保记录情况表</w:t>
      </w:r>
      <w:r>
        <w:rPr>
          <w:rFonts w:hint="eastAsia" w:ascii="仿宋" w:hAnsi="仿宋" w:eastAsia="仿宋" w:cs="仿宋"/>
          <w:color w:val="auto"/>
          <w:sz w:val="24"/>
        </w:rPr>
        <w:t>（以社保局缴纳凭证作附件）</w:t>
      </w:r>
    </w:p>
    <w:p>
      <w:pPr>
        <w:autoSpaceDE w:val="0"/>
        <w:autoSpaceDN w:val="0"/>
        <w:spacing w:line="288" w:lineRule="auto"/>
        <w:ind w:firstLine="4440" w:firstLineChars="1850"/>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spacing w:line="288" w:lineRule="auto"/>
        <w:jc w:val="center"/>
        <w:rPr>
          <w:rFonts w:ascii="仿宋" w:hAnsi="仿宋" w:eastAsia="仿宋" w:cs="仿宋"/>
          <w:b/>
          <w:bCs/>
          <w:color w:val="auto"/>
          <w:sz w:val="32"/>
          <w:szCs w:val="32"/>
        </w:rPr>
      </w:pPr>
    </w:p>
    <w:p>
      <w:pPr>
        <w:pageBreakBefore/>
        <w:spacing w:line="288"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19、</w:t>
      </w:r>
      <w:r>
        <w:rPr>
          <w:rFonts w:hint="eastAsia" w:ascii="仿宋" w:hAnsi="仿宋" w:eastAsia="仿宋" w:cs="仿宋"/>
          <w:b/>
          <w:color w:val="auto"/>
          <w:kern w:val="0"/>
          <w:sz w:val="32"/>
          <w:szCs w:val="32"/>
          <w:lang w:val="zh-CN"/>
        </w:rPr>
        <w:t>优惠条件及特殊承诺</w:t>
      </w:r>
    </w:p>
    <w:p>
      <w:pPr>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288" w:lineRule="auto"/>
        <w:rPr>
          <w:rFonts w:ascii="仿宋" w:hAnsi="仿宋" w:eastAsia="仿宋" w:cs="仿宋"/>
          <w:color w:val="auto"/>
          <w:sz w:val="18"/>
          <w:szCs w:val="18"/>
        </w:rPr>
      </w:pPr>
    </w:p>
    <w:p>
      <w:pPr>
        <w:autoSpaceDE w:val="0"/>
        <w:autoSpaceDN w:val="0"/>
        <w:spacing w:line="288" w:lineRule="auto"/>
        <w:ind w:firstLine="4440" w:firstLineChars="1850"/>
        <w:rPr>
          <w:rFonts w:ascii="仿宋" w:hAnsi="仿宋" w:eastAsia="仿宋" w:cs="仿宋"/>
          <w:color w:val="auto"/>
          <w:kern w:val="0"/>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w:t>
      </w:r>
    </w:p>
    <w:p>
      <w:pPr>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spacing w:line="288" w:lineRule="auto"/>
        <w:rPr>
          <w:rFonts w:ascii="仿宋" w:hAnsi="仿宋" w:eastAsia="仿宋" w:cs="仿宋"/>
          <w:b/>
          <w:bCs/>
          <w:color w:val="auto"/>
          <w:sz w:val="18"/>
          <w:szCs w:val="18"/>
        </w:rPr>
      </w:pPr>
    </w:p>
    <w:p>
      <w:pPr>
        <w:spacing w:line="288"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20、</w:t>
      </w:r>
      <w:r>
        <w:rPr>
          <w:rFonts w:hint="eastAsia" w:ascii="仿宋" w:hAnsi="仿宋" w:eastAsia="仿宋" w:cs="仿宋"/>
          <w:b/>
          <w:color w:val="auto"/>
          <w:kern w:val="0"/>
          <w:sz w:val="32"/>
          <w:szCs w:val="32"/>
          <w:lang w:val="zh-CN"/>
        </w:rPr>
        <w:t>备品备件及供选择的配套零部件清单</w:t>
      </w:r>
    </w:p>
    <w:p>
      <w:pPr>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288" w:lineRule="auto"/>
        <w:rPr>
          <w:rFonts w:ascii="仿宋" w:hAnsi="仿宋" w:eastAsia="仿宋" w:cs="仿宋"/>
          <w:b/>
          <w:bCs/>
          <w:color w:val="auto"/>
          <w:sz w:val="32"/>
          <w:szCs w:val="32"/>
        </w:rPr>
      </w:pPr>
    </w:p>
    <w:p>
      <w:pPr>
        <w:spacing w:line="288" w:lineRule="auto"/>
        <w:rPr>
          <w:rFonts w:ascii="仿宋" w:hAnsi="仿宋" w:eastAsia="仿宋" w:cs="仿宋"/>
          <w:b/>
          <w:bCs/>
          <w:color w:val="auto"/>
          <w:sz w:val="32"/>
          <w:szCs w:val="32"/>
        </w:rPr>
      </w:pPr>
    </w:p>
    <w:p>
      <w:pPr>
        <w:spacing w:line="288" w:lineRule="auto"/>
        <w:rPr>
          <w:rFonts w:ascii="仿宋" w:hAnsi="仿宋" w:eastAsia="仿宋" w:cs="仿宋"/>
          <w:b/>
          <w:color w:val="auto"/>
          <w:spacing w:val="20"/>
          <w:sz w:val="24"/>
        </w:rPr>
      </w:pPr>
      <w:r>
        <w:rPr>
          <w:rFonts w:hint="eastAsia" w:ascii="仿宋" w:hAnsi="仿宋" w:eastAsia="仿宋" w:cs="仿宋"/>
          <w:b/>
          <w:color w:val="auto"/>
          <w:sz w:val="32"/>
          <w:szCs w:val="32"/>
        </w:rPr>
        <w:t>21、</w:t>
      </w:r>
      <w:r>
        <w:rPr>
          <w:rFonts w:hint="eastAsia" w:ascii="仿宋" w:hAnsi="仿宋" w:eastAsia="仿宋" w:cs="仿宋"/>
          <w:b/>
          <w:color w:val="auto"/>
          <w:spacing w:val="20"/>
          <w:sz w:val="32"/>
          <w:szCs w:val="32"/>
        </w:rPr>
        <w:t>消耗品、维修零配件购买价格清单</w:t>
      </w:r>
      <w:r>
        <w:rPr>
          <w:rFonts w:hint="eastAsia" w:ascii="仿宋" w:hAnsi="仿宋" w:eastAsia="仿宋" w:cs="仿宋"/>
          <w:b/>
          <w:color w:val="auto"/>
          <w:spacing w:val="20"/>
          <w:sz w:val="24"/>
        </w:rPr>
        <w:t>(如有</w:t>
      </w:r>
      <w:r>
        <w:rPr>
          <w:rFonts w:hint="eastAsia" w:ascii="仿宋" w:hAnsi="仿宋" w:eastAsia="仿宋" w:cs="仿宋"/>
          <w:b/>
          <w:color w:val="auto"/>
          <w:sz w:val="24"/>
        </w:rPr>
        <w:t>，放入“技术资料部分”</w:t>
      </w:r>
      <w:r>
        <w:rPr>
          <w:rFonts w:hint="eastAsia" w:ascii="仿宋" w:hAnsi="仿宋" w:eastAsia="仿宋" w:cs="仿宋"/>
          <w:b/>
          <w:color w:val="auto"/>
          <w:spacing w:val="20"/>
          <w:sz w:val="24"/>
        </w:rPr>
        <w:t>)</w:t>
      </w:r>
    </w:p>
    <w:tbl>
      <w:tblPr>
        <w:tblStyle w:val="26"/>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color w:va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r>
              <w:rPr>
                <w:rFonts w:hint="eastAsia" w:ascii="仿宋" w:hAnsi="仿宋" w:eastAsia="仿宋" w:cs="仿宋"/>
                <w:color w:val="auto"/>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90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720" w:type="dxa"/>
            <w:tcBorders>
              <w:top w:val="single" w:color="000000" w:sz="6" w:space="0"/>
              <w:left w:val="single" w:color="auto" w:sz="4" w:space="0"/>
              <w:bottom w:val="double" w:color="000000" w:sz="6" w:space="0"/>
              <w:right w:val="single" w:color="000000" w:sz="6" w:space="0"/>
            </w:tcBorders>
            <w:vAlign w:val="center"/>
          </w:tcPr>
          <w:p>
            <w:pPr>
              <w:spacing w:line="288" w:lineRule="auto"/>
              <w:rPr>
                <w:rFonts w:ascii="仿宋" w:hAnsi="仿宋" w:eastAsia="仿宋" w:cs="仿宋"/>
                <w:color w:val="auto"/>
              </w:rPr>
            </w:pPr>
          </w:p>
        </w:tc>
        <w:tc>
          <w:tcPr>
            <w:tcW w:w="1440" w:type="dxa"/>
            <w:tcBorders>
              <w:top w:val="single" w:color="000000" w:sz="6" w:space="0"/>
              <w:left w:val="single" w:color="000000" w:sz="6" w:space="0"/>
              <w:bottom w:val="double" w:color="000000" w:sz="6" w:space="0"/>
              <w:right w:val="double" w:color="000000" w:sz="6" w:space="0"/>
            </w:tcBorders>
            <w:vAlign w:val="center"/>
          </w:tcPr>
          <w:p>
            <w:pPr>
              <w:spacing w:line="288" w:lineRule="auto"/>
              <w:rPr>
                <w:rFonts w:ascii="仿宋" w:hAnsi="仿宋" w:eastAsia="仿宋" w:cs="仿宋"/>
                <w:color w:val="auto"/>
              </w:rPr>
            </w:pPr>
          </w:p>
        </w:tc>
      </w:tr>
    </w:tbl>
    <w:p>
      <w:pPr>
        <w:snapToGrid w:val="0"/>
        <w:spacing w:line="288" w:lineRule="auto"/>
        <w:ind w:right="172" w:rightChars="82"/>
        <w:rPr>
          <w:rFonts w:ascii="仿宋" w:hAnsi="仿宋" w:eastAsia="仿宋" w:cs="仿宋"/>
          <w:color w:val="auto"/>
          <w:szCs w:val="21"/>
        </w:rPr>
      </w:pPr>
      <w:r>
        <w:rPr>
          <w:rFonts w:hint="eastAsia" w:ascii="仿宋" w:hAnsi="仿宋" w:eastAsia="仿宋" w:cs="仿宋"/>
          <w:color w:val="auto"/>
          <w:szCs w:val="21"/>
        </w:rPr>
        <w:t>注：消耗品和零配件必须是常用的主要部件类品目，此报价的优惠度将作为综合评标的重要依据之一。</w:t>
      </w:r>
    </w:p>
    <w:p>
      <w:pPr>
        <w:snapToGrid w:val="0"/>
        <w:spacing w:line="288" w:lineRule="auto"/>
        <w:ind w:right="172" w:rightChars="82" w:firstLine="606" w:firstLineChars="202"/>
        <w:rPr>
          <w:rFonts w:ascii="仿宋" w:hAnsi="仿宋" w:eastAsia="仿宋" w:cs="仿宋"/>
          <w:color w:val="auto"/>
          <w:sz w:val="30"/>
        </w:rPr>
      </w:pPr>
    </w:p>
    <w:p>
      <w:pPr>
        <w:snapToGrid w:val="0"/>
        <w:spacing w:line="288" w:lineRule="auto"/>
        <w:ind w:right="172" w:rightChars="82" w:firstLine="606" w:firstLineChars="202"/>
        <w:rPr>
          <w:rFonts w:ascii="仿宋" w:hAnsi="仿宋" w:eastAsia="仿宋" w:cs="仿宋"/>
          <w:color w:val="auto"/>
          <w:sz w:val="30"/>
        </w:rPr>
      </w:pPr>
    </w:p>
    <w:p>
      <w:pPr>
        <w:spacing w:line="288" w:lineRule="auto"/>
        <w:ind w:left="-210" w:leftChars="-100" w:firstLine="120" w:firstLineChars="50"/>
        <w:rPr>
          <w:rFonts w:ascii="仿宋" w:hAnsi="仿宋" w:eastAsia="仿宋" w:cs="仿宋"/>
          <w:color w:val="auto"/>
          <w:sz w:val="24"/>
        </w:rPr>
      </w:pPr>
      <w:r>
        <w:rPr>
          <w:rFonts w:hint="eastAsia" w:ascii="仿宋" w:hAnsi="仿宋" w:eastAsia="仿宋" w:cs="仿宋"/>
          <w:color w:val="auto"/>
          <w:sz w:val="24"/>
        </w:rPr>
        <w:t>投标人名称（电子签章）：</w:t>
      </w:r>
    </w:p>
    <w:p>
      <w:pPr>
        <w:spacing w:line="288" w:lineRule="auto"/>
        <w:jc w:val="left"/>
        <w:rPr>
          <w:rFonts w:ascii="仿宋" w:hAnsi="仿宋" w:eastAsia="仿宋" w:cs="仿宋"/>
          <w:color w:val="auto"/>
          <w:sz w:val="24"/>
        </w:rPr>
      </w:pPr>
    </w:p>
    <w:p>
      <w:pPr>
        <w:spacing w:line="288" w:lineRule="auto"/>
        <w:ind w:left="-210" w:leftChars="-100" w:firstLine="120" w:firstLineChars="50"/>
        <w:jc w:val="left"/>
        <w:rPr>
          <w:rFonts w:ascii="仿宋" w:hAnsi="仿宋" w:eastAsia="仿宋" w:cs="仿宋"/>
          <w:color w:val="auto"/>
          <w:sz w:val="24"/>
        </w:rPr>
      </w:pPr>
      <w:r>
        <w:rPr>
          <w:rFonts w:hint="eastAsia" w:ascii="仿宋" w:hAnsi="仿宋" w:eastAsia="仿宋" w:cs="仿宋"/>
          <w:color w:val="auto"/>
          <w:sz w:val="24"/>
        </w:rPr>
        <w:t>法定代表人或其授权代表（</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 xml:space="preserve">）：                                      </w:t>
      </w:r>
      <w:r>
        <w:rPr>
          <w:rFonts w:hint="eastAsia" w:ascii="仿宋" w:hAnsi="仿宋" w:eastAsia="仿宋" w:cs="仿宋"/>
          <w:color w:val="auto"/>
          <w:sz w:val="24"/>
        </w:rPr>
        <w:tab/>
      </w:r>
      <w:r>
        <w:rPr>
          <w:rFonts w:hint="eastAsia" w:ascii="仿宋" w:hAnsi="仿宋" w:eastAsia="仿宋" w:cs="仿宋"/>
          <w:color w:val="auto"/>
          <w:sz w:val="24"/>
        </w:rPr>
        <w:t xml:space="preserve"> </w:t>
      </w:r>
    </w:p>
    <w:p>
      <w:pPr>
        <w:spacing w:line="288" w:lineRule="auto"/>
        <w:rPr>
          <w:rFonts w:ascii="仿宋" w:hAnsi="仿宋" w:eastAsia="仿宋" w:cs="仿宋"/>
          <w:b/>
          <w:color w:val="auto"/>
          <w:sz w:val="24"/>
        </w:rPr>
      </w:pPr>
      <w:r>
        <w:rPr>
          <w:rFonts w:hint="eastAsia" w:ascii="仿宋" w:hAnsi="仿宋" w:eastAsia="仿宋" w:cs="仿宋"/>
          <w:color w:val="auto"/>
          <w:sz w:val="24"/>
        </w:rPr>
        <w:t xml:space="preserve">                                              日期：    年   月   日  </w:t>
      </w:r>
    </w:p>
    <w:p>
      <w:pPr>
        <w:pageBreakBefore/>
        <w:spacing w:line="288"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22、</w:t>
      </w:r>
      <w:r>
        <w:rPr>
          <w:rFonts w:hint="eastAsia" w:ascii="仿宋" w:hAnsi="仿宋" w:eastAsia="仿宋" w:cs="仿宋"/>
          <w:b/>
          <w:color w:val="auto"/>
          <w:kern w:val="0"/>
          <w:sz w:val="32"/>
          <w:szCs w:val="32"/>
          <w:lang w:val="zh-CN"/>
        </w:rPr>
        <w:t>培训计划</w:t>
      </w:r>
    </w:p>
    <w:p>
      <w:pPr>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288" w:lineRule="auto"/>
        <w:ind w:firstLine="477"/>
        <w:jc w:val="left"/>
        <w:rPr>
          <w:rFonts w:ascii="仿宋" w:hAnsi="仿宋" w:eastAsia="仿宋" w:cs="仿宋"/>
          <w:b/>
          <w:color w:val="auto"/>
          <w:sz w:val="24"/>
        </w:rPr>
      </w:pPr>
      <w:r>
        <w:rPr>
          <w:rFonts w:hint="eastAsia" w:ascii="仿宋" w:hAnsi="仿宋" w:eastAsia="仿宋" w:cs="仿宋"/>
          <w:b/>
          <w:color w:val="auto"/>
          <w:sz w:val="24"/>
        </w:rPr>
        <w:t>附表: 培训日程及费用</w:t>
      </w:r>
    </w:p>
    <w:tbl>
      <w:tblPr>
        <w:tblStyle w:val="2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color w:val="auto"/>
          <w:sz w:val="24"/>
        </w:rPr>
      </w:pPr>
      <w:r>
        <w:rPr>
          <w:rFonts w:hint="eastAsia" w:ascii="仿宋" w:hAnsi="仿宋" w:eastAsia="仿宋" w:cs="仿宋"/>
          <w:color w:val="auto"/>
          <w:sz w:val="24"/>
        </w:rPr>
        <w:t>课程概要</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color w:val="auto"/>
          <w:sz w:val="24"/>
        </w:rPr>
      </w:pPr>
      <w:r>
        <w:rPr>
          <w:rFonts w:hint="eastAsia" w:ascii="仿宋" w:hAnsi="仿宋" w:eastAsia="仿宋" w:cs="仿宋"/>
          <w:color w:val="auto"/>
          <w:sz w:val="24"/>
        </w:rPr>
        <w:t>课程目的</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color w:val="auto"/>
          <w:sz w:val="24"/>
        </w:rPr>
      </w:pPr>
      <w:r>
        <w:rPr>
          <w:rFonts w:hint="eastAsia" w:ascii="仿宋" w:hAnsi="仿宋" w:eastAsia="仿宋" w:cs="仿宋"/>
          <w:color w:val="auto"/>
          <w:sz w:val="24"/>
        </w:rPr>
        <w:t>教学方式</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color w:val="auto"/>
          <w:sz w:val="24"/>
        </w:rPr>
      </w:pPr>
      <w:r>
        <w:rPr>
          <w:rFonts w:hint="eastAsia" w:ascii="仿宋" w:hAnsi="仿宋" w:eastAsia="仿宋" w:cs="仿宋"/>
          <w:color w:val="auto"/>
          <w:sz w:val="24"/>
        </w:rPr>
        <w:t>先决条件</w:t>
      </w:r>
    </w:p>
    <w:p>
      <w:pPr>
        <w:numPr>
          <w:ilvl w:val="0"/>
          <w:numId w:val="7"/>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288" w:lineRule="auto"/>
        <w:rPr>
          <w:rFonts w:ascii="仿宋" w:hAnsi="仿宋" w:eastAsia="仿宋" w:cs="仿宋"/>
          <w:b/>
          <w:color w:val="auto"/>
          <w:sz w:val="24"/>
        </w:rPr>
      </w:pPr>
      <w:r>
        <w:rPr>
          <w:rFonts w:hint="eastAsia" w:ascii="仿宋" w:hAnsi="仿宋" w:eastAsia="仿宋" w:cs="仿宋"/>
          <w:b/>
          <w:color w:val="auto"/>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color w:val="auto"/>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 xml:space="preserve">）：                       </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 xml:space="preserve">：                   </w:t>
      </w:r>
    </w:p>
    <w:p>
      <w:pPr>
        <w:autoSpaceDE w:val="0"/>
        <w:autoSpaceDN w:val="0"/>
        <w:spacing w:line="288" w:lineRule="auto"/>
        <w:ind w:firstLine="120"/>
        <w:rPr>
          <w:rFonts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spacing w:line="288" w:lineRule="auto"/>
        <w:rPr>
          <w:rFonts w:ascii="仿宋" w:hAnsi="仿宋" w:eastAsia="仿宋" w:cs="仿宋"/>
          <w:b/>
          <w:bCs/>
          <w:color w:val="auto"/>
          <w:sz w:val="24"/>
        </w:rPr>
      </w:pPr>
    </w:p>
    <w:p>
      <w:pPr>
        <w:spacing w:line="288" w:lineRule="auto"/>
        <w:rPr>
          <w:rFonts w:ascii="仿宋" w:hAnsi="仿宋" w:eastAsia="仿宋" w:cs="仿宋"/>
          <w:b/>
          <w:bCs/>
          <w:color w:val="auto"/>
          <w:sz w:val="32"/>
          <w:szCs w:val="32"/>
        </w:rPr>
      </w:pPr>
      <w:r>
        <w:rPr>
          <w:rFonts w:hint="eastAsia" w:ascii="仿宋" w:hAnsi="仿宋" w:eastAsia="仿宋" w:cs="仿宋"/>
          <w:b/>
          <w:bCs/>
          <w:color w:val="auto"/>
          <w:sz w:val="32"/>
          <w:szCs w:val="32"/>
        </w:rPr>
        <w:t>23、验收方案</w:t>
      </w:r>
    </w:p>
    <w:p>
      <w:pPr>
        <w:spacing w:line="288" w:lineRule="auto"/>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288" w:lineRule="auto"/>
        <w:jc w:val="center"/>
        <w:rPr>
          <w:rFonts w:ascii="仿宋" w:hAnsi="仿宋" w:eastAsia="仿宋" w:cs="仿宋"/>
          <w:color w:val="auto"/>
          <w:sz w:val="24"/>
        </w:rPr>
      </w:pPr>
    </w:p>
    <w:p>
      <w:pPr>
        <w:autoSpaceDE w:val="0"/>
        <w:autoSpaceDN w:val="0"/>
        <w:spacing w:line="288" w:lineRule="auto"/>
        <w:ind w:firstLine="4800" w:firstLineChars="2000"/>
        <w:rPr>
          <w:rFonts w:ascii="仿宋" w:hAnsi="仿宋" w:eastAsia="仿宋" w:cs="仿宋"/>
          <w:color w:val="auto"/>
          <w:sz w:val="24"/>
        </w:rPr>
      </w:pPr>
      <w:r>
        <w:rPr>
          <w:rFonts w:hint="eastAsia" w:ascii="仿宋" w:hAnsi="仿宋" w:eastAsia="仿宋" w:cs="仿宋"/>
          <w:color w:val="auto"/>
          <w:kern w:val="0"/>
          <w:sz w:val="24"/>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rPr>
        <w:t xml:space="preserve">）：                       </w:t>
      </w: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rPr>
        <w:t xml:space="preserve">                                        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rPr>
        <w:t xml:space="preserve">：                   </w:t>
      </w:r>
    </w:p>
    <w:p>
      <w:pPr>
        <w:spacing w:line="288" w:lineRule="auto"/>
        <w:jc w:val="center"/>
        <w:rPr>
          <w:rFonts w:ascii="仿宋" w:hAnsi="仿宋" w:eastAsia="仿宋" w:cs="仿宋"/>
          <w:color w:val="auto"/>
          <w:kern w:val="0"/>
          <w:sz w:val="24"/>
        </w:rPr>
      </w:pPr>
      <w:r>
        <w:rPr>
          <w:rFonts w:hint="eastAsia" w:ascii="仿宋" w:hAnsi="仿宋" w:eastAsia="仿宋" w:cs="仿宋"/>
          <w:color w:val="auto"/>
          <w:kern w:val="0"/>
          <w:sz w:val="24"/>
        </w:rPr>
        <w:t xml:space="preserve">                          日期：   年  月   日</w:t>
      </w: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rPr>
        <w:t>24</w:t>
      </w:r>
      <w:r>
        <w:rPr>
          <w:rFonts w:hint="eastAsia" w:ascii="仿宋_GB2312" w:hAnsi="仿宋_GB2312" w:eastAsia="仿宋_GB2312" w:cs="仿宋_GB2312"/>
          <w:b/>
          <w:color w:val="auto"/>
          <w:kern w:val="0"/>
          <w:sz w:val="32"/>
          <w:szCs w:val="32"/>
          <w:lang w:val="zh-CN"/>
        </w:rPr>
        <w:t>、经销商或代理商的承诺书</w:t>
      </w:r>
    </w:p>
    <w:p>
      <w:pPr>
        <w:spacing w:line="440" w:lineRule="exact"/>
        <w:jc w:val="center"/>
        <w:rPr>
          <w:rFonts w:ascii="仿宋_GB2312" w:eastAsia="仿宋_GB2312"/>
          <w:color w:val="auto"/>
          <w:sz w:val="36"/>
          <w:szCs w:val="36"/>
        </w:rPr>
      </w:pPr>
    </w:p>
    <w:p>
      <w:pPr>
        <w:spacing w:line="480" w:lineRule="exact"/>
        <w:ind w:firstLine="480" w:firstLineChars="200"/>
        <w:rPr>
          <w:rFonts w:ascii="仿宋_GB2312" w:eastAsia="仿宋_GB2312"/>
          <w:color w:val="auto"/>
          <w:kern w:val="0"/>
          <w:sz w:val="24"/>
          <w:lang w:val="zh-CN"/>
        </w:rPr>
      </w:pPr>
      <w:r>
        <w:rPr>
          <w:rFonts w:hint="eastAsia" w:ascii="仿宋_GB2312" w:eastAsia="仿宋_GB2312"/>
          <w:color w:val="auto"/>
          <w:sz w:val="24"/>
        </w:rPr>
        <w:t>针对本招标项目,我公司郑重承诺:</w:t>
      </w:r>
      <w:r>
        <w:rPr>
          <w:rFonts w:hint="eastAsia" w:ascii="仿宋_GB2312" w:eastAsia="仿宋_GB2312"/>
          <w:color w:val="auto"/>
          <w:kern w:val="0"/>
          <w:sz w:val="24"/>
          <w:lang w:val="zh-CN"/>
        </w:rPr>
        <w:t xml:space="preserve"> 本单位自愿参加</w:t>
      </w:r>
      <w:r>
        <w:rPr>
          <w:rFonts w:hint="eastAsia" w:ascii="仿宋_GB2312" w:eastAsia="仿宋_GB2312"/>
          <w:bCs/>
          <w:color w:val="auto"/>
          <w:sz w:val="24"/>
          <w:u w:val="single"/>
        </w:rPr>
        <w:t xml:space="preserve">                    项目         </w:t>
      </w:r>
      <w:r>
        <w:rPr>
          <w:rFonts w:hint="eastAsia" w:ascii="仿宋_GB2312" w:eastAsia="仿宋_GB2312"/>
          <w:color w:val="auto"/>
          <w:kern w:val="0"/>
          <w:sz w:val="24"/>
          <w:lang w:val="zh-CN"/>
        </w:rPr>
        <w:t>（编号：           ）政府采购的投标。</w:t>
      </w:r>
    </w:p>
    <w:p>
      <w:pPr>
        <w:spacing w:line="480" w:lineRule="exact"/>
        <w:ind w:firstLine="480" w:firstLineChars="200"/>
        <w:rPr>
          <w:rFonts w:ascii="仿宋_GB2312" w:eastAsia="仿宋_GB2312"/>
          <w:color w:val="auto"/>
          <w:kern w:val="0"/>
          <w:sz w:val="24"/>
          <w:lang w:val="zh-CN"/>
        </w:rPr>
      </w:pPr>
      <w:r>
        <w:rPr>
          <w:rFonts w:hint="eastAsia" w:ascii="仿宋_GB2312" w:eastAsia="仿宋_GB2312"/>
          <w:color w:val="auto"/>
          <w:kern w:val="0"/>
          <w:sz w:val="24"/>
          <w:lang w:val="zh-CN"/>
        </w:rPr>
        <w:t>本公司承诺中标后，</w:t>
      </w:r>
      <w:r>
        <w:rPr>
          <w:rFonts w:hint="eastAsia" w:ascii="仿宋" w:hAnsi="仿宋" w:eastAsia="仿宋" w:cs="仿宋"/>
          <w:color w:val="auto"/>
          <w:sz w:val="24"/>
        </w:rPr>
        <w:t>最晚合同签订前提供所投产品生产制造商针对本项目出具的合法授权书</w:t>
      </w:r>
      <w:r>
        <w:rPr>
          <w:rFonts w:hint="eastAsia" w:ascii="仿宋_GB2312" w:eastAsia="仿宋_GB2312"/>
          <w:color w:val="auto"/>
          <w:kern w:val="0"/>
          <w:sz w:val="24"/>
          <w:lang w:val="zh-CN"/>
        </w:rPr>
        <w:t>。</w:t>
      </w:r>
    </w:p>
    <w:p>
      <w:pPr>
        <w:spacing w:line="480" w:lineRule="exact"/>
        <w:rPr>
          <w:rFonts w:ascii="仿宋_GB2312" w:eastAsia="仿宋_GB2312"/>
          <w:color w:val="auto"/>
          <w:sz w:val="24"/>
        </w:rPr>
      </w:pPr>
    </w:p>
    <w:p>
      <w:pPr>
        <w:autoSpaceDE w:val="0"/>
        <w:autoSpaceDN w:val="0"/>
        <w:spacing w:line="288" w:lineRule="auto"/>
        <w:ind w:left="4788" w:leftChars="2280"/>
        <w:jc w:val="left"/>
        <w:rPr>
          <w:rFonts w:ascii="仿宋" w:hAnsi="仿宋" w:eastAsia="仿宋" w:cs="仿宋"/>
          <w:color w:val="auto"/>
          <w:kern w:val="0"/>
          <w:sz w:val="24"/>
        </w:rPr>
      </w:pPr>
      <w:r>
        <w:rPr>
          <w:rFonts w:hint="eastAsia" w:ascii="仿宋" w:hAnsi="仿宋" w:eastAsia="仿宋" w:cs="仿宋"/>
          <w:color w:val="auto"/>
          <w:kern w:val="0"/>
          <w:sz w:val="24"/>
        </w:rPr>
        <w:t>投标人名称（电子签章）：                                                             法定代表人或其授权代表(</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kern w:val="0"/>
          <w:sz w:val="24"/>
        </w:rPr>
        <w:t xml:space="preserve">)：     </w:t>
      </w:r>
    </w:p>
    <w:p>
      <w:pPr>
        <w:autoSpaceDE w:val="0"/>
        <w:autoSpaceDN w:val="0"/>
        <w:spacing w:line="288" w:lineRule="auto"/>
        <w:ind w:firstLine="4800" w:firstLineChars="2000"/>
        <w:jc w:val="left"/>
        <w:rPr>
          <w:rFonts w:ascii="仿宋" w:hAnsi="仿宋" w:eastAsia="仿宋" w:cs="仿宋"/>
          <w:color w:val="auto"/>
          <w:kern w:val="0"/>
          <w:sz w:val="24"/>
        </w:rPr>
      </w:pPr>
      <w:r>
        <w:rPr>
          <w:rFonts w:hint="eastAsia" w:ascii="仿宋" w:hAnsi="仿宋" w:eastAsia="仿宋" w:cs="仿宋"/>
          <w:color w:val="auto"/>
          <w:kern w:val="0"/>
          <w:sz w:val="24"/>
        </w:rPr>
        <w:t>日期：   年  月   日</w:t>
      </w:r>
    </w:p>
    <w:p>
      <w:pPr>
        <w:pageBreakBefore/>
        <w:spacing w:line="288" w:lineRule="auto"/>
        <w:rPr>
          <w:rFonts w:ascii="仿宋" w:hAnsi="仿宋" w:eastAsia="仿宋" w:cs="仿宋"/>
          <w:b/>
          <w:color w:val="auto"/>
          <w:kern w:val="0"/>
          <w:sz w:val="32"/>
          <w:szCs w:val="32"/>
          <w:lang w:val="zh-CN"/>
        </w:rPr>
      </w:pPr>
      <w:r>
        <w:rPr>
          <w:rFonts w:hint="eastAsia" w:ascii="仿宋" w:hAnsi="仿宋" w:eastAsia="仿宋" w:cs="仿宋"/>
          <w:b/>
          <w:bCs/>
          <w:color w:val="auto"/>
          <w:sz w:val="32"/>
          <w:szCs w:val="32"/>
        </w:rPr>
        <w:t>25、认为需要的</w:t>
      </w:r>
      <w:r>
        <w:rPr>
          <w:rFonts w:hint="eastAsia" w:ascii="仿宋" w:hAnsi="仿宋" w:eastAsia="仿宋" w:cs="仿宋"/>
          <w:b/>
          <w:color w:val="auto"/>
          <w:kern w:val="0"/>
          <w:sz w:val="32"/>
          <w:szCs w:val="32"/>
          <w:lang w:val="zh-CN"/>
        </w:rPr>
        <w:t>其他商务技术（资信）文件或说明</w:t>
      </w:r>
    </w:p>
    <w:p>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（由投标人根据采购需求自行编制）</w:t>
      </w:r>
    </w:p>
    <w:p>
      <w:pPr>
        <w:spacing w:line="288" w:lineRule="auto"/>
        <w:rPr>
          <w:rFonts w:ascii="仿宋" w:hAnsi="仿宋" w:eastAsia="仿宋" w:cs="仿宋"/>
          <w:color w:val="auto"/>
          <w:sz w:val="24"/>
        </w:rPr>
      </w:pPr>
    </w:p>
    <w:p>
      <w:pPr>
        <w:autoSpaceDE w:val="0"/>
        <w:autoSpaceDN w:val="0"/>
        <w:spacing w:line="288" w:lineRule="auto"/>
        <w:rPr>
          <w:rFonts w:ascii="仿宋" w:hAnsi="仿宋" w:eastAsia="仿宋" w:cs="仿宋"/>
          <w:color w:val="auto"/>
          <w:kern w:val="0"/>
          <w:sz w:val="24"/>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(电子签章)</w:t>
      </w:r>
      <w:r>
        <w:rPr>
          <w:rFonts w:hint="eastAsia" w:ascii="仿宋" w:hAnsi="仿宋" w:eastAsia="仿宋" w:cs="仿宋"/>
          <w:color w:val="auto"/>
          <w:kern w:val="0"/>
          <w:sz w:val="24"/>
          <w:lang w:val="zh-CN"/>
        </w:rPr>
        <w:t xml:space="preserve">：      </w:t>
      </w:r>
    </w:p>
    <w:p>
      <w:pPr>
        <w:autoSpaceDE w:val="0"/>
        <w:autoSpaceDN w:val="0"/>
        <w:spacing w:line="288" w:lineRule="auto"/>
        <w:rPr>
          <w:rFonts w:ascii="仿宋" w:hAnsi="仿宋" w:eastAsia="仿宋" w:cs="仿宋"/>
          <w:color w:val="auto"/>
          <w:kern w:val="0"/>
          <w:sz w:val="24"/>
          <w:lang w:val="zh-CN"/>
        </w:rPr>
      </w:pPr>
    </w:p>
    <w:p>
      <w:pPr>
        <w:autoSpaceDE w:val="0"/>
        <w:autoSpaceDN w:val="0"/>
        <w:spacing w:line="288"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法定代表人或其授权代表</w:t>
      </w:r>
      <w:r>
        <w:rPr>
          <w:rFonts w:hint="eastAsia" w:ascii="仿宋" w:hAnsi="仿宋" w:eastAsia="仿宋" w:cs="仿宋"/>
          <w:color w:val="auto"/>
          <w:sz w:val="24"/>
        </w:rPr>
        <w:t>(</w:t>
      </w:r>
      <w:r>
        <w:rPr>
          <w:rFonts w:hint="eastAsia" w:ascii="仿宋" w:hAnsi="仿宋" w:eastAsia="仿宋" w:cs="仿宋"/>
          <w:color w:val="auto"/>
          <w:sz w:val="24"/>
          <w:szCs w:val="24"/>
        </w:rPr>
        <w:t>签字或</w:t>
      </w:r>
      <w:r>
        <w:rPr>
          <w:rFonts w:hint="eastAsia" w:ascii="仿宋" w:hAnsi="仿宋" w:eastAsia="仿宋" w:cs="仿宋"/>
          <w:color w:val="auto"/>
          <w:sz w:val="24"/>
          <w:szCs w:val="24"/>
          <w:lang w:eastAsia="zh-CN"/>
        </w:rPr>
        <w:t>盖章</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w:t>
      </w:r>
    </w:p>
    <w:p>
      <w:pPr>
        <w:spacing w:line="288"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r>
        <w:rPr>
          <w:rFonts w:hint="eastAsia" w:ascii="仿宋" w:hAnsi="仿宋" w:eastAsia="仿宋" w:cs="仿宋"/>
          <w:color w:val="auto"/>
          <w:sz w:val="24"/>
        </w:rPr>
        <w:t>日期： 年 月 日</w:t>
      </w:r>
    </w:p>
    <w:p>
      <w:pPr>
        <w:rPr>
          <w:color w:val="auto"/>
        </w:rPr>
      </w:pPr>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Calibri Light">
    <w:altName w:val="Calibri"/>
    <w:panose1 w:val="020F0302020204030204"/>
    <w:charset w:val="00"/>
    <w:family w:val="swiss"/>
    <w:pitch w:val="default"/>
    <w:sig w:usb0="00000000" w:usb1="00000000" w:usb2="00000009" w:usb3="00000000" w:csb0="000001FF"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00685" cy="147955"/>
              <wp:effectExtent l="0" t="0" r="18415" b="4445"/>
              <wp:wrapNone/>
              <wp:docPr id="2"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400685" cy="147955"/>
                      </a:xfrm>
                      <a:prstGeom prst="rect">
                        <a:avLst/>
                      </a:prstGeom>
                      <a:noFill/>
                      <a:ln>
                        <a:noFill/>
                      </a:ln>
                    </wps:spPr>
                    <wps:txbx>
                      <w:txbxContent>
                        <w:p>
                          <w:pPr>
                            <w:pStyle w:val="18"/>
                          </w:pPr>
                          <w:r>
                            <w:rPr>
                              <w:rFonts w:hint="eastAsia"/>
                            </w:rPr>
                            <w:t>第</w:t>
                          </w:r>
                          <w:r>
                            <w:fldChar w:fldCharType="begin"/>
                          </w:r>
                          <w:r>
                            <w:instrText xml:space="preserve"> PAGE  \* MERGEFORMAT </w:instrText>
                          </w:r>
                          <w:r>
                            <w:fldChar w:fldCharType="separate"/>
                          </w:r>
                          <w:r>
                            <w:t>30</w:t>
                          </w:r>
                          <w:r>
                            <w:fldChar w:fldCharType="end"/>
                          </w:r>
                          <w:r>
                            <w:rPr>
                              <w:rFonts w:hint="eastAsia"/>
                            </w:rPr>
                            <w:t>页</w:t>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1.65pt;width:31.55pt;mso-position-horizontal:center;mso-position-horizontal-relative:margin;mso-wrap-style:none;z-index:251658240;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UOo8tEAAAADAQAADwAAAAAAAAABACAAAAAiAAAAZHJzL2Rvd25yZXYueG1sUEsB&#10;AhQAFAAAAAgAh07iQF635bH8AQAABAQAAA4AAAAAAAAAAQAgAAAAIAEAAGRycy9lMm9Eb2MueG1s&#10;UEsFBgAAAAAGAAYAWQEAAI4FAAAAAA==&#10;">
              <v:fill on="f" focussize="0,0"/>
              <v:stroke on="f"/>
              <v:imagedata o:title=""/>
              <o:lock v:ext="edit" aspectratio="f"/>
              <v:textbox inset="0mm,0mm,0mm,0mm" style="mso-fit-shape-to-text:t;">
                <w:txbxContent>
                  <w:p>
                    <w:pPr>
                      <w:pStyle w:val="18"/>
                    </w:pPr>
                    <w:r>
                      <w:rPr>
                        <w:rFonts w:hint="eastAsia"/>
                      </w:rPr>
                      <w:t>第</w:t>
                    </w:r>
                    <w:r>
                      <w:fldChar w:fldCharType="begin"/>
                    </w:r>
                    <w:r>
                      <w:instrText xml:space="preserve"> PAGE  \* MERGEFORMAT </w:instrText>
                    </w:r>
                    <w:r>
                      <w:fldChar w:fldCharType="separate"/>
                    </w:r>
                    <w:r>
                      <w:t>30</w:t>
                    </w:r>
                    <w:r>
                      <w:fldChar w:fldCharType="end"/>
                    </w:r>
                    <w:r>
                      <w:rPr>
                        <w:rFonts w:hint="eastAsia"/>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Fonts w:cs="Arial"/>
        <w:sz w:val="18"/>
        <w:szCs w:val="21"/>
      </w:rPr>
    </w:pPr>
    <w:r>
      <w:rPr>
        <w:rStyle w:val="30"/>
        <w:rFonts w:cs="Arial"/>
        <w:sz w:val="18"/>
        <w:szCs w:val="21"/>
      </w:rPr>
      <w:fldChar w:fldCharType="begin"/>
    </w:r>
    <w:r>
      <w:rPr>
        <w:rStyle w:val="30"/>
        <w:rFonts w:cs="Arial"/>
        <w:sz w:val="18"/>
        <w:szCs w:val="21"/>
      </w:rPr>
      <w:instrText xml:space="preserve">PAGE  </w:instrText>
    </w:r>
    <w:r>
      <w:rPr>
        <w:rStyle w:val="30"/>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BE0B11"/>
    <w:multiLevelType w:val="singleLevel"/>
    <w:tmpl w:val="86BE0B11"/>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2">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4">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5">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6"/>
  </w:num>
  <w:num w:numId="2">
    <w:abstractNumId w:val="3"/>
  </w:num>
  <w:num w:numId="3">
    <w:abstractNumId w:val="4"/>
  </w:num>
  <w:num w:numId="4">
    <w:abstractNumId w:val="5"/>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8FF"/>
    <w:rsid w:val="000040C1"/>
    <w:rsid w:val="0002017B"/>
    <w:rsid w:val="0002428C"/>
    <w:rsid w:val="00030F1E"/>
    <w:rsid w:val="00051731"/>
    <w:rsid w:val="00055CDF"/>
    <w:rsid w:val="0006767A"/>
    <w:rsid w:val="00067735"/>
    <w:rsid w:val="00080F79"/>
    <w:rsid w:val="000813EC"/>
    <w:rsid w:val="00093879"/>
    <w:rsid w:val="000C38DF"/>
    <w:rsid w:val="000D7240"/>
    <w:rsid w:val="000F70F7"/>
    <w:rsid w:val="00110186"/>
    <w:rsid w:val="00110F77"/>
    <w:rsid w:val="00114135"/>
    <w:rsid w:val="0012034D"/>
    <w:rsid w:val="001311E4"/>
    <w:rsid w:val="00142376"/>
    <w:rsid w:val="0014517B"/>
    <w:rsid w:val="001559EF"/>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22BF"/>
    <w:rsid w:val="0023264D"/>
    <w:rsid w:val="002476B8"/>
    <w:rsid w:val="00262448"/>
    <w:rsid w:val="00273B10"/>
    <w:rsid w:val="00275656"/>
    <w:rsid w:val="00294D3C"/>
    <w:rsid w:val="002A2838"/>
    <w:rsid w:val="002A2E37"/>
    <w:rsid w:val="002B54E5"/>
    <w:rsid w:val="002B67ED"/>
    <w:rsid w:val="002B6E84"/>
    <w:rsid w:val="002B77DD"/>
    <w:rsid w:val="002C0AB1"/>
    <w:rsid w:val="002F25A8"/>
    <w:rsid w:val="0031163B"/>
    <w:rsid w:val="00330C22"/>
    <w:rsid w:val="003403EB"/>
    <w:rsid w:val="003411E7"/>
    <w:rsid w:val="00345DE3"/>
    <w:rsid w:val="003542AC"/>
    <w:rsid w:val="0035529E"/>
    <w:rsid w:val="003849D9"/>
    <w:rsid w:val="00387522"/>
    <w:rsid w:val="003A2766"/>
    <w:rsid w:val="003A5C0F"/>
    <w:rsid w:val="003B2510"/>
    <w:rsid w:val="003B25FB"/>
    <w:rsid w:val="003B5CB4"/>
    <w:rsid w:val="003D237E"/>
    <w:rsid w:val="003D2443"/>
    <w:rsid w:val="003F0B46"/>
    <w:rsid w:val="003F5CF0"/>
    <w:rsid w:val="00412A3B"/>
    <w:rsid w:val="0043244B"/>
    <w:rsid w:val="00440162"/>
    <w:rsid w:val="00455DAB"/>
    <w:rsid w:val="00465752"/>
    <w:rsid w:val="00467496"/>
    <w:rsid w:val="00467DC5"/>
    <w:rsid w:val="004706A2"/>
    <w:rsid w:val="00481099"/>
    <w:rsid w:val="0048467F"/>
    <w:rsid w:val="0048770F"/>
    <w:rsid w:val="004B065D"/>
    <w:rsid w:val="004C0A50"/>
    <w:rsid w:val="004C27D1"/>
    <w:rsid w:val="004D6606"/>
    <w:rsid w:val="004E47C3"/>
    <w:rsid w:val="004F2C71"/>
    <w:rsid w:val="004F3245"/>
    <w:rsid w:val="00503E88"/>
    <w:rsid w:val="0050684D"/>
    <w:rsid w:val="005117F3"/>
    <w:rsid w:val="00517BEB"/>
    <w:rsid w:val="005213B8"/>
    <w:rsid w:val="0052572A"/>
    <w:rsid w:val="00545306"/>
    <w:rsid w:val="00547532"/>
    <w:rsid w:val="00566429"/>
    <w:rsid w:val="00583589"/>
    <w:rsid w:val="00590683"/>
    <w:rsid w:val="005A4AFA"/>
    <w:rsid w:val="005A64B3"/>
    <w:rsid w:val="005C0BB4"/>
    <w:rsid w:val="00602260"/>
    <w:rsid w:val="006313C5"/>
    <w:rsid w:val="00636FED"/>
    <w:rsid w:val="00637621"/>
    <w:rsid w:val="006418DD"/>
    <w:rsid w:val="006451AB"/>
    <w:rsid w:val="006543AB"/>
    <w:rsid w:val="00663D9D"/>
    <w:rsid w:val="006843A0"/>
    <w:rsid w:val="006940CC"/>
    <w:rsid w:val="006A4D37"/>
    <w:rsid w:val="006B047E"/>
    <w:rsid w:val="006D2193"/>
    <w:rsid w:val="006E080D"/>
    <w:rsid w:val="006F5A9E"/>
    <w:rsid w:val="007030D1"/>
    <w:rsid w:val="00706826"/>
    <w:rsid w:val="00711FD6"/>
    <w:rsid w:val="00723CE8"/>
    <w:rsid w:val="00741A2B"/>
    <w:rsid w:val="00762D7F"/>
    <w:rsid w:val="00766BFA"/>
    <w:rsid w:val="0078125A"/>
    <w:rsid w:val="007A150E"/>
    <w:rsid w:val="007B3644"/>
    <w:rsid w:val="007C3048"/>
    <w:rsid w:val="007D3ADA"/>
    <w:rsid w:val="007E3668"/>
    <w:rsid w:val="007E571E"/>
    <w:rsid w:val="007F3B1E"/>
    <w:rsid w:val="00801A53"/>
    <w:rsid w:val="0082182E"/>
    <w:rsid w:val="00825E11"/>
    <w:rsid w:val="00851A0E"/>
    <w:rsid w:val="00851D0E"/>
    <w:rsid w:val="00851E94"/>
    <w:rsid w:val="008702F4"/>
    <w:rsid w:val="00872AA9"/>
    <w:rsid w:val="00884208"/>
    <w:rsid w:val="0089216A"/>
    <w:rsid w:val="008931B6"/>
    <w:rsid w:val="008A197E"/>
    <w:rsid w:val="008A7E46"/>
    <w:rsid w:val="008D1D22"/>
    <w:rsid w:val="008D38D9"/>
    <w:rsid w:val="008D6072"/>
    <w:rsid w:val="00923FCF"/>
    <w:rsid w:val="00937337"/>
    <w:rsid w:val="0094368A"/>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41BE4"/>
    <w:rsid w:val="00A56A1E"/>
    <w:rsid w:val="00A63825"/>
    <w:rsid w:val="00A63FBA"/>
    <w:rsid w:val="00A67091"/>
    <w:rsid w:val="00A831F9"/>
    <w:rsid w:val="00A86515"/>
    <w:rsid w:val="00A929F0"/>
    <w:rsid w:val="00A95926"/>
    <w:rsid w:val="00AA527A"/>
    <w:rsid w:val="00AB3AF5"/>
    <w:rsid w:val="00AD0587"/>
    <w:rsid w:val="00AD18FF"/>
    <w:rsid w:val="00AD270F"/>
    <w:rsid w:val="00AE1493"/>
    <w:rsid w:val="00AE6A3D"/>
    <w:rsid w:val="00B01CF7"/>
    <w:rsid w:val="00B1333D"/>
    <w:rsid w:val="00B22626"/>
    <w:rsid w:val="00B251FC"/>
    <w:rsid w:val="00B63DE9"/>
    <w:rsid w:val="00B71876"/>
    <w:rsid w:val="00B76EC0"/>
    <w:rsid w:val="00BA30DB"/>
    <w:rsid w:val="00C207BF"/>
    <w:rsid w:val="00C249E6"/>
    <w:rsid w:val="00C5693F"/>
    <w:rsid w:val="00C60D63"/>
    <w:rsid w:val="00C7051D"/>
    <w:rsid w:val="00C750A5"/>
    <w:rsid w:val="00C85041"/>
    <w:rsid w:val="00C90C86"/>
    <w:rsid w:val="00C94F88"/>
    <w:rsid w:val="00CB14BF"/>
    <w:rsid w:val="00CB3AAD"/>
    <w:rsid w:val="00CB4467"/>
    <w:rsid w:val="00CC5263"/>
    <w:rsid w:val="00D036B1"/>
    <w:rsid w:val="00D23DF7"/>
    <w:rsid w:val="00D95393"/>
    <w:rsid w:val="00D9689D"/>
    <w:rsid w:val="00D96BD9"/>
    <w:rsid w:val="00DA2B91"/>
    <w:rsid w:val="00DA5951"/>
    <w:rsid w:val="00DA73D0"/>
    <w:rsid w:val="00DD1F2E"/>
    <w:rsid w:val="00E02CE4"/>
    <w:rsid w:val="00E2051B"/>
    <w:rsid w:val="00E4050A"/>
    <w:rsid w:val="00E60A3E"/>
    <w:rsid w:val="00E62AFA"/>
    <w:rsid w:val="00E710CD"/>
    <w:rsid w:val="00E76BEC"/>
    <w:rsid w:val="00E81842"/>
    <w:rsid w:val="00EA43CE"/>
    <w:rsid w:val="00EB2D90"/>
    <w:rsid w:val="00ED3842"/>
    <w:rsid w:val="00F56126"/>
    <w:rsid w:val="00F63769"/>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1B0F6F"/>
    <w:rsid w:val="0135256E"/>
    <w:rsid w:val="017F0419"/>
    <w:rsid w:val="01F614C5"/>
    <w:rsid w:val="0202557A"/>
    <w:rsid w:val="02455361"/>
    <w:rsid w:val="025D66F4"/>
    <w:rsid w:val="026B7D9D"/>
    <w:rsid w:val="02B0326C"/>
    <w:rsid w:val="02E03D80"/>
    <w:rsid w:val="02F63C40"/>
    <w:rsid w:val="02FF6323"/>
    <w:rsid w:val="03166C95"/>
    <w:rsid w:val="03297D3C"/>
    <w:rsid w:val="033742BA"/>
    <w:rsid w:val="0352039E"/>
    <w:rsid w:val="0432047D"/>
    <w:rsid w:val="04450DCA"/>
    <w:rsid w:val="044736CF"/>
    <w:rsid w:val="04A37EB2"/>
    <w:rsid w:val="04AB653B"/>
    <w:rsid w:val="04BB2CB1"/>
    <w:rsid w:val="04CE269C"/>
    <w:rsid w:val="052D2EBC"/>
    <w:rsid w:val="05B40EB1"/>
    <w:rsid w:val="05B75E5D"/>
    <w:rsid w:val="06E4135A"/>
    <w:rsid w:val="07DA186C"/>
    <w:rsid w:val="084E3C8A"/>
    <w:rsid w:val="08540933"/>
    <w:rsid w:val="08973F9C"/>
    <w:rsid w:val="08C922E5"/>
    <w:rsid w:val="08DC6D2E"/>
    <w:rsid w:val="08E27460"/>
    <w:rsid w:val="08FA3C1C"/>
    <w:rsid w:val="097A3B63"/>
    <w:rsid w:val="09E609C7"/>
    <w:rsid w:val="0A0A25D7"/>
    <w:rsid w:val="0A392750"/>
    <w:rsid w:val="0B3869A1"/>
    <w:rsid w:val="0B637A3A"/>
    <w:rsid w:val="0B9713AA"/>
    <w:rsid w:val="0BF4331C"/>
    <w:rsid w:val="0D917941"/>
    <w:rsid w:val="0DD1638B"/>
    <w:rsid w:val="0DD31BAC"/>
    <w:rsid w:val="0E45263B"/>
    <w:rsid w:val="0EB01236"/>
    <w:rsid w:val="0ED21131"/>
    <w:rsid w:val="0EE1261E"/>
    <w:rsid w:val="0F6303AF"/>
    <w:rsid w:val="104D6387"/>
    <w:rsid w:val="109C1626"/>
    <w:rsid w:val="10C92ED0"/>
    <w:rsid w:val="10F654D7"/>
    <w:rsid w:val="114664CC"/>
    <w:rsid w:val="11564EC4"/>
    <w:rsid w:val="11B07BD6"/>
    <w:rsid w:val="11CB368F"/>
    <w:rsid w:val="11CB3B70"/>
    <w:rsid w:val="11D91565"/>
    <w:rsid w:val="125750F6"/>
    <w:rsid w:val="127542AA"/>
    <w:rsid w:val="127C00DF"/>
    <w:rsid w:val="12F15FC0"/>
    <w:rsid w:val="13882F60"/>
    <w:rsid w:val="13AD3C35"/>
    <w:rsid w:val="14685E9F"/>
    <w:rsid w:val="149C53ED"/>
    <w:rsid w:val="14A17E3B"/>
    <w:rsid w:val="14E97485"/>
    <w:rsid w:val="1557079B"/>
    <w:rsid w:val="15661BF2"/>
    <w:rsid w:val="15C63B07"/>
    <w:rsid w:val="169F1555"/>
    <w:rsid w:val="16C339B4"/>
    <w:rsid w:val="17E0367B"/>
    <w:rsid w:val="181C3543"/>
    <w:rsid w:val="183550AA"/>
    <w:rsid w:val="1887170A"/>
    <w:rsid w:val="18BB3650"/>
    <w:rsid w:val="18BE625E"/>
    <w:rsid w:val="18F64FE1"/>
    <w:rsid w:val="193E2714"/>
    <w:rsid w:val="197B1E34"/>
    <w:rsid w:val="197D38E8"/>
    <w:rsid w:val="198960E3"/>
    <w:rsid w:val="199F0C8D"/>
    <w:rsid w:val="19A857C8"/>
    <w:rsid w:val="19CE48C9"/>
    <w:rsid w:val="19D9355D"/>
    <w:rsid w:val="1A0C3B58"/>
    <w:rsid w:val="1A761D5D"/>
    <w:rsid w:val="1A8B44E3"/>
    <w:rsid w:val="1B1C0F2A"/>
    <w:rsid w:val="1B1F3315"/>
    <w:rsid w:val="1B5003E0"/>
    <w:rsid w:val="1B632526"/>
    <w:rsid w:val="1B765B82"/>
    <w:rsid w:val="1B965EA6"/>
    <w:rsid w:val="1BE62BE0"/>
    <w:rsid w:val="1CA57265"/>
    <w:rsid w:val="1D155786"/>
    <w:rsid w:val="1DDC590A"/>
    <w:rsid w:val="1E335181"/>
    <w:rsid w:val="1E6472D8"/>
    <w:rsid w:val="1EE4458C"/>
    <w:rsid w:val="1F3A2255"/>
    <w:rsid w:val="1F7362DF"/>
    <w:rsid w:val="1FB74E43"/>
    <w:rsid w:val="1FC70F79"/>
    <w:rsid w:val="1FD44083"/>
    <w:rsid w:val="1FDB4036"/>
    <w:rsid w:val="1FEA51B4"/>
    <w:rsid w:val="209A7B6A"/>
    <w:rsid w:val="20BE6021"/>
    <w:rsid w:val="214A627F"/>
    <w:rsid w:val="216D4A99"/>
    <w:rsid w:val="2173797E"/>
    <w:rsid w:val="218642C5"/>
    <w:rsid w:val="218B4CE9"/>
    <w:rsid w:val="22C65437"/>
    <w:rsid w:val="22F6541B"/>
    <w:rsid w:val="2304797C"/>
    <w:rsid w:val="231942C4"/>
    <w:rsid w:val="235D70BA"/>
    <w:rsid w:val="238A7522"/>
    <w:rsid w:val="23BE0F28"/>
    <w:rsid w:val="23CB6CF7"/>
    <w:rsid w:val="23E17F6F"/>
    <w:rsid w:val="24097FEF"/>
    <w:rsid w:val="242F6C37"/>
    <w:rsid w:val="249D31FD"/>
    <w:rsid w:val="24CA6AC2"/>
    <w:rsid w:val="24D972C4"/>
    <w:rsid w:val="24E92B02"/>
    <w:rsid w:val="252565D6"/>
    <w:rsid w:val="253216FD"/>
    <w:rsid w:val="256D4AB4"/>
    <w:rsid w:val="25A13331"/>
    <w:rsid w:val="25A57D1C"/>
    <w:rsid w:val="26294A1D"/>
    <w:rsid w:val="26CC410D"/>
    <w:rsid w:val="27903546"/>
    <w:rsid w:val="27E947C1"/>
    <w:rsid w:val="284D434A"/>
    <w:rsid w:val="287D0691"/>
    <w:rsid w:val="28C204EB"/>
    <w:rsid w:val="291E1DAE"/>
    <w:rsid w:val="292C3247"/>
    <w:rsid w:val="29DA29ED"/>
    <w:rsid w:val="2A523300"/>
    <w:rsid w:val="2AFA300F"/>
    <w:rsid w:val="2BAE3154"/>
    <w:rsid w:val="2BB712A2"/>
    <w:rsid w:val="2BD668A3"/>
    <w:rsid w:val="2C446861"/>
    <w:rsid w:val="2CD53511"/>
    <w:rsid w:val="2D2A61CE"/>
    <w:rsid w:val="2D80707D"/>
    <w:rsid w:val="2DE2488D"/>
    <w:rsid w:val="2E083145"/>
    <w:rsid w:val="2ED5521A"/>
    <w:rsid w:val="2ED619F5"/>
    <w:rsid w:val="2F3227B0"/>
    <w:rsid w:val="2F642E82"/>
    <w:rsid w:val="2F9F3A1B"/>
    <w:rsid w:val="303B0264"/>
    <w:rsid w:val="304B5E64"/>
    <w:rsid w:val="30730BA2"/>
    <w:rsid w:val="30765D10"/>
    <w:rsid w:val="30782F4C"/>
    <w:rsid w:val="3091213D"/>
    <w:rsid w:val="30ED1CE2"/>
    <w:rsid w:val="31AF70A8"/>
    <w:rsid w:val="31C6513D"/>
    <w:rsid w:val="32221E3A"/>
    <w:rsid w:val="32B05C3D"/>
    <w:rsid w:val="32B65903"/>
    <w:rsid w:val="32C97243"/>
    <w:rsid w:val="32D758ED"/>
    <w:rsid w:val="33012007"/>
    <w:rsid w:val="336B222A"/>
    <w:rsid w:val="33AD15F4"/>
    <w:rsid w:val="33F65183"/>
    <w:rsid w:val="34842703"/>
    <w:rsid w:val="34A065F2"/>
    <w:rsid w:val="35653C58"/>
    <w:rsid w:val="359C1A91"/>
    <w:rsid w:val="35B15AC7"/>
    <w:rsid w:val="36763EFF"/>
    <w:rsid w:val="37186BCB"/>
    <w:rsid w:val="37251CAF"/>
    <w:rsid w:val="37604E39"/>
    <w:rsid w:val="378D5403"/>
    <w:rsid w:val="37C02DA1"/>
    <w:rsid w:val="37D43997"/>
    <w:rsid w:val="38042CE6"/>
    <w:rsid w:val="38285B2C"/>
    <w:rsid w:val="38387BC2"/>
    <w:rsid w:val="38A11738"/>
    <w:rsid w:val="38CF2698"/>
    <w:rsid w:val="38D4603A"/>
    <w:rsid w:val="38F76EE1"/>
    <w:rsid w:val="392E3D2B"/>
    <w:rsid w:val="3A4719E4"/>
    <w:rsid w:val="3A5F0E06"/>
    <w:rsid w:val="3B273494"/>
    <w:rsid w:val="3B813EB2"/>
    <w:rsid w:val="3B9F7E10"/>
    <w:rsid w:val="3BA40ED7"/>
    <w:rsid w:val="3BE67851"/>
    <w:rsid w:val="3C025073"/>
    <w:rsid w:val="3C0D4D62"/>
    <w:rsid w:val="3C1842BA"/>
    <w:rsid w:val="3D0E3394"/>
    <w:rsid w:val="3E253FC4"/>
    <w:rsid w:val="3E66686E"/>
    <w:rsid w:val="3E781CBE"/>
    <w:rsid w:val="3EF13B78"/>
    <w:rsid w:val="3F184BE9"/>
    <w:rsid w:val="3F96657B"/>
    <w:rsid w:val="3FF45C27"/>
    <w:rsid w:val="404118C7"/>
    <w:rsid w:val="40574A41"/>
    <w:rsid w:val="40712EC2"/>
    <w:rsid w:val="40D9690C"/>
    <w:rsid w:val="4175100A"/>
    <w:rsid w:val="41A3573D"/>
    <w:rsid w:val="41B4707C"/>
    <w:rsid w:val="422A0C37"/>
    <w:rsid w:val="425B70E5"/>
    <w:rsid w:val="43DD0189"/>
    <w:rsid w:val="43E828F9"/>
    <w:rsid w:val="43F07929"/>
    <w:rsid w:val="441559CB"/>
    <w:rsid w:val="44A620DD"/>
    <w:rsid w:val="44E52F1C"/>
    <w:rsid w:val="454753F6"/>
    <w:rsid w:val="45A339CF"/>
    <w:rsid w:val="45BB538B"/>
    <w:rsid w:val="4616050C"/>
    <w:rsid w:val="4624734D"/>
    <w:rsid w:val="47663221"/>
    <w:rsid w:val="48110612"/>
    <w:rsid w:val="48163222"/>
    <w:rsid w:val="48BF50A6"/>
    <w:rsid w:val="48C46876"/>
    <w:rsid w:val="48E66DBF"/>
    <w:rsid w:val="49246CEA"/>
    <w:rsid w:val="4964544D"/>
    <w:rsid w:val="49E360AC"/>
    <w:rsid w:val="4A04095E"/>
    <w:rsid w:val="4A2E44F7"/>
    <w:rsid w:val="4A373AFF"/>
    <w:rsid w:val="4B3C70F3"/>
    <w:rsid w:val="4B454E59"/>
    <w:rsid w:val="4B574DAA"/>
    <w:rsid w:val="4B923C7B"/>
    <w:rsid w:val="4BCD25AC"/>
    <w:rsid w:val="4BF23C29"/>
    <w:rsid w:val="4C64718C"/>
    <w:rsid w:val="4D000BB8"/>
    <w:rsid w:val="4D2764E4"/>
    <w:rsid w:val="4D4F434C"/>
    <w:rsid w:val="4D553076"/>
    <w:rsid w:val="4DC16712"/>
    <w:rsid w:val="4DEB5E0D"/>
    <w:rsid w:val="4DED4C94"/>
    <w:rsid w:val="4E083898"/>
    <w:rsid w:val="4E26397C"/>
    <w:rsid w:val="4E363927"/>
    <w:rsid w:val="4EA76E32"/>
    <w:rsid w:val="4EA90E17"/>
    <w:rsid w:val="4EF418A3"/>
    <w:rsid w:val="4F401E22"/>
    <w:rsid w:val="4F486A73"/>
    <w:rsid w:val="4F9153B3"/>
    <w:rsid w:val="4FB56A2C"/>
    <w:rsid w:val="4FF50BC0"/>
    <w:rsid w:val="50135C05"/>
    <w:rsid w:val="504B2A65"/>
    <w:rsid w:val="50BB6A75"/>
    <w:rsid w:val="52521883"/>
    <w:rsid w:val="52C0259A"/>
    <w:rsid w:val="52CF0E54"/>
    <w:rsid w:val="52E96B17"/>
    <w:rsid w:val="52FE221E"/>
    <w:rsid w:val="53A129B1"/>
    <w:rsid w:val="53ED7088"/>
    <w:rsid w:val="54637050"/>
    <w:rsid w:val="55266A6A"/>
    <w:rsid w:val="55902CE3"/>
    <w:rsid w:val="55A42927"/>
    <w:rsid w:val="56311879"/>
    <w:rsid w:val="56B87238"/>
    <w:rsid w:val="56CE4F7A"/>
    <w:rsid w:val="571E2C5F"/>
    <w:rsid w:val="57351512"/>
    <w:rsid w:val="57CE1172"/>
    <w:rsid w:val="57F303AA"/>
    <w:rsid w:val="582710F0"/>
    <w:rsid w:val="584B359D"/>
    <w:rsid w:val="5863246B"/>
    <w:rsid w:val="588A53A7"/>
    <w:rsid w:val="595C082B"/>
    <w:rsid w:val="596E3097"/>
    <w:rsid w:val="59F56D5F"/>
    <w:rsid w:val="59FE758C"/>
    <w:rsid w:val="5A912606"/>
    <w:rsid w:val="5B14063F"/>
    <w:rsid w:val="5B301B1F"/>
    <w:rsid w:val="5B7103BB"/>
    <w:rsid w:val="5BFF536B"/>
    <w:rsid w:val="5CEC747F"/>
    <w:rsid w:val="5D9A2ED9"/>
    <w:rsid w:val="5DC236EC"/>
    <w:rsid w:val="5EA2001B"/>
    <w:rsid w:val="5F0266A3"/>
    <w:rsid w:val="5F232D5B"/>
    <w:rsid w:val="5F744292"/>
    <w:rsid w:val="5F93368A"/>
    <w:rsid w:val="5F952C60"/>
    <w:rsid w:val="5FD51C0C"/>
    <w:rsid w:val="606129E7"/>
    <w:rsid w:val="60662262"/>
    <w:rsid w:val="60F431B9"/>
    <w:rsid w:val="60F8796B"/>
    <w:rsid w:val="610B35BB"/>
    <w:rsid w:val="61655791"/>
    <w:rsid w:val="618F11E9"/>
    <w:rsid w:val="61CD1945"/>
    <w:rsid w:val="620E2B02"/>
    <w:rsid w:val="624A22BB"/>
    <w:rsid w:val="62B65C75"/>
    <w:rsid w:val="633D3608"/>
    <w:rsid w:val="63487EAC"/>
    <w:rsid w:val="635349E5"/>
    <w:rsid w:val="63575F25"/>
    <w:rsid w:val="637F68CB"/>
    <w:rsid w:val="63FE2657"/>
    <w:rsid w:val="64013D86"/>
    <w:rsid w:val="64031C4A"/>
    <w:rsid w:val="643A6EA0"/>
    <w:rsid w:val="64A17E2B"/>
    <w:rsid w:val="64A849CD"/>
    <w:rsid w:val="64A92738"/>
    <w:rsid w:val="64CF1F8E"/>
    <w:rsid w:val="64EC5A6B"/>
    <w:rsid w:val="650D77AD"/>
    <w:rsid w:val="653666D1"/>
    <w:rsid w:val="65917E54"/>
    <w:rsid w:val="6597576B"/>
    <w:rsid w:val="66090E80"/>
    <w:rsid w:val="6611701E"/>
    <w:rsid w:val="662E3989"/>
    <w:rsid w:val="664E5DEE"/>
    <w:rsid w:val="66E30B4F"/>
    <w:rsid w:val="67141CD7"/>
    <w:rsid w:val="6723482A"/>
    <w:rsid w:val="67B72F92"/>
    <w:rsid w:val="67FD2A7B"/>
    <w:rsid w:val="68210070"/>
    <w:rsid w:val="68BB3495"/>
    <w:rsid w:val="68DB190B"/>
    <w:rsid w:val="68FB53DD"/>
    <w:rsid w:val="69634496"/>
    <w:rsid w:val="69B03442"/>
    <w:rsid w:val="69E90B77"/>
    <w:rsid w:val="6A1331D9"/>
    <w:rsid w:val="6A315029"/>
    <w:rsid w:val="6AB1009A"/>
    <w:rsid w:val="6B8860DC"/>
    <w:rsid w:val="6BAE7000"/>
    <w:rsid w:val="6BB05959"/>
    <w:rsid w:val="6BD67C2C"/>
    <w:rsid w:val="6BF91AB9"/>
    <w:rsid w:val="6C5C04D5"/>
    <w:rsid w:val="6CB13F20"/>
    <w:rsid w:val="6CCA6527"/>
    <w:rsid w:val="6D1E181B"/>
    <w:rsid w:val="6D496890"/>
    <w:rsid w:val="6D9B2320"/>
    <w:rsid w:val="6F572D08"/>
    <w:rsid w:val="6FB83CDB"/>
    <w:rsid w:val="6FD5142D"/>
    <w:rsid w:val="6FD548BE"/>
    <w:rsid w:val="6FD849FE"/>
    <w:rsid w:val="70853498"/>
    <w:rsid w:val="70B74C51"/>
    <w:rsid w:val="70FC7A0D"/>
    <w:rsid w:val="710D5076"/>
    <w:rsid w:val="712F4D7E"/>
    <w:rsid w:val="713A67EE"/>
    <w:rsid w:val="71D613DB"/>
    <w:rsid w:val="71E0367E"/>
    <w:rsid w:val="720400C9"/>
    <w:rsid w:val="72074872"/>
    <w:rsid w:val="72BB4D4E"/>
    <w:rsid w:val="72BE4B83"/>
    <w:rsid w:val="73094A27"/>
    <w:rsid w:val="73200F6B"/>
    <w:rsid w:val="7366739F"/>
    <w:rsid w:val="746A71CC"/>
    <w:rsid w:val="74715CA6"/>
    <w:rsid w:val="74BB1904"/>
    <w:rsid w:val="74D249BF"/>
    <w:rsid w:val="754358D4"/>
    <w:rsid w:val="75FF0A2F"/>
    <w:rsid w:val="767F7FDC"/>
    <w:rsid w:val="76F66D3B"/>
    <w:rsid w:val="770563B7"/>
    <w:rsid w:val="77286310"/>
    <w:rsid w:val="77DE40CB"/>
    <w:rsid w:val="781135E0"/>
    <w:rsid w:val="78305FF2"/>
    <w:rsid w:val="78694157"/>
    <w:rsid w:val="78FF382D"/>
    <w:rsid w:val="792E66F3"/>
    <w:rsid w:val="796203CB"/>
    <w:rsid w:val="79B44386"/>
    <w:rsid w:val="79EE6A68"/>
    <w:rsid w:val="7A3E7618"/>
    <w:rsid w:val="7A5717B0"/>
    <w:rsid w:val="7AE5282F"/>
    <w:rsid w:val="7AF956FC"/>
    <w:rsid w:val="7BFC6E88"/>
    <w:rsid w:val="7C003A54"/>
    <w:rsid w:val="7C373DB7"/>
    <w:rsid w:val="7C4228B4"/>
    <w:rsid w:val="7C5D47C4"/>
    <w:rsid w:val="7C6B5BDD"/>
    <w:rsid w:val="7CF851FF"/>
    <w:rsid w:val="7D6E0D92"/>
    <w:rsid w:val="7D842440"/>
    <w:rsid w:val="7DA94ABE"/>
    <w:rsid w:val="7E073573"/>
    <w:rsid w:val="7E132D44"/>
    <w:rsid w:val="7E3B60DE"/>
    <w:rsid w:val="7EDC6139"/>
    <w:rsid w:val="7EE65B9A"/>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ocked="1"/>
    <w:lsdException w:qFormat="1" w:unhideWhenUsed="0" w:uiPriority="99" w:semiHidden="0" w:name="Table Grid"/>
    <w:lsdException w:unhideWhenUsed="0" w:uiPriority="99"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1"/>
    <w:link w:val="38"/>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2"/>
    <w:qFormat/>
    <w:locked/>
    <w:uiPriority w:val="99"/>
    <w:pPr>
      <w:spacing w:line="360" w:lineRule="auto"/>
    </w:pPr>
    <w:rPr>
      <w:rFonts w:eastAsia="仿宋_GB2312"/>
      <w:sz w:val="28"/>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10">
    <w:name w:val="Document Map"/>
    <w:basedOn w:val="1"/>
    <w:link w:val="40"/>
    <w:semiHidden/>
    <w:qFormat/>
    <w:locked/>
    <w:uiPriority w:val="99"/>
    <w:pPr>
      <w:shd w:val="clear" w:color="auto" w:fill="000080"/>
      <w:adjustRightInd/>
    </w:pPr>
    <w:rPr>
      <w:rFonts w:ascii="宋体"/>
      <w:sz w:val="18"/>
      <w:szCs w:val="18"/>
    </w:rPr>
  </w:style>
  <w:style w:type="paragraph" w:styleId="11">
    <w:name w:val="annotation text"/>
    <w:basedOn w:val="1"/>
    <w:link w:val="41"/>
    <w:qFormat/>
    <w:uiPriority w:val="99"/>
    <w:pPr>
      <w:adjustRightInd/>
      <w:jc w:val="left"/>
    </w:pPr>
    <w:rPr>
      <w:kern w:val="0"/>
      <w:sz w:val="24"/>
      <w:lang w:val="zh-CN"/>
    </w:rPr>
  </w:style>
  <w:style w:type="paragraph" w:styleId="12">
    <w:name w:val="Body Text Indent"/>
    <w:basedOn w:val="1"/>
    <w:link w:val="43"/>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link w:val="44"/>
    <w:qFormat/>
    <w:uiPriority w:val="99"/>
    <w:rPr>
      <w:rFonts w:ascii="宋体" w:hAnsi="Courier New"/>
      <w:kern w:val="0"/>
      <w:szCs w:val="20"/>
    </w:rPr>
  </w:style>
  <w:style w:type="paragraph" w:styleId="15">
    <w:name w:val="Date"/>
    <w:basedOn w:val="1"/>
    <w:next w:val="1"/>
    <w:link w:val="45"/>
    <w:qFormat/>
    <w:uiPriority w:val="99"/>
    <w:pPr>
      <w:ind w:left="100" w:leftChars="2500"/>
    </w:pPr>
    <w:rPr>
      <w:rFonts w:ascii="宋体"/>
      <w:kern w:val="0"/>
      <w:szCs w:val="20"/>
      <w:lang w:val="zh-CN"/>
    </w:rPr>
  </w:style>
  <w:style w:type="paragraph" w:styleId="16">
    <w:name w:val="Body Text Indent 2"/>
    <w:basedOn w:val="1"/>
    <w:link w:val="46"/>
    <w:semiHidden/>
    <w:qFormat/>
    <w:locked/>
    <w:uiPriority w:val="99"/>
    <w:pPr>
      <w:spacing w:after="120" w:line="480" w:lineRule="auto"/>
      <w:ind w:left="420" w:leftChars="200"/>
    </w:pPr>
  </w:style>
  <w:style w:type="paragraph" w:styleId="17">
    <w:name w:val="Balloon Text"/>
    <w:basedOn w:val="1"/>
    <w:link w:val="80"/>
    <w:semiHidden/>
    <w:qFormat/>
    <w:locked/>
    <w:uiPriority w:val="99"/>
    <w:rPr>
      <w:sz w:val="18"/>
      <w:szCs w:val="18"/>
    </w:rPr>
  </w:style>
  <w:style w:type="paragraph" w:styleId="18">
    <w:name w:val="footer"/>
    <w:basedOn w:val="1"/>
    <w:link w:val="47"/>
    <w:qFormat/>
    <w:uiPriority w:val="99"/>
    <w:pPr>
      <w:tabs>
        <w:tab w:val="center" w:pos="4153"/>
        <w:tab w:val="right" w:pos="8306"/>
      </w:tabs>
      <w:snapToGrid w:val="0"/>
      <w:jc w:val="left"/>
    </w:pPr>
    <w:rPr>
      <w:kern w:val="0"/>
      <w:sz w:val="18"/>
      <w:szCs w:val="18"/>
    </w:rPr>
  </w:style>
  <w:style w:type="paragraph" w:styleId="19">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49"/>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1"/>
    <w:next w:val="11"/>
    <w:link w:val="51"/>
    <w:qFormat/>
    <w:uiPriority w:val="99"/>
    <w:pPr>
      <w:widowControl/>
      <w:spacing w:afterLines="50"/>
    </w:pPr>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bCs/>
    </w:rPr>
  </w:style>
  <w:style w:type="character" w:styleId="30">
    <w:name w:val="page number"/>
    <w:basedOn w:val="28"/>
    <w:qFormat/>
    <w:uiPriority w:val="99"/>
    <w:rPr>
      <w:rFonts w:ascii="Arial" w:hAnsi="Arial" w:eastAsia="黑体" w:cs="Times New Roman"/>
      <w:snapToGrid w:val="0"/>
      <w:kern w:val="0"/>
      <w:sz w:val="21"/>
    </w:rPr>
  </w:style>
  <w:style w:type="character" w:styleId="31">
    <w:name w:val="FollowedHyperlink"/>
    <w:basedOn w:val="28"/>
    <w:qFormat/>
    <w:locked/>
    <w:uiPriority w:val="99"/>
    <w:rPr>
      <w:rFonts w:cs="Times New Roman"/>
      <w:color w:val="800080"/>
      <w:u w:val="none"/>
    </w:rPr>
  </w:style>
  <w:style w:type="character" w:styleId="32">
    <w:name w:val="Hyperlink"/>
    <w:basedOn w:val="28"/>
    <w:qFormat/>
    <w:uiPriority w:val="99"/>
    <w:rPr>
      <w:rFonts w:cs="Times New Roman"/>
      <w:color w:val="0000FF"/>
      <w:u w:val="single"/>
    </w:rPr>
  </w:style>
  <w:style w:type="character" w:styleId="33">
    <w:name w:val="annotation reference"/>
    <w:basedOn w:val="28"/>
    <w:semiHidden/>
    <w:qFormat/>
    <w:locked/>
    <w:uiPriority w:val="99"/>
    <w:rPr>
      <w:rFonts w:cs="Times New Roman"/>
      <w:sz w:val="21"/>
      <w:szCs w:val="21"/>
    </w:rPr>
  </w:style>
  <w:style w:type="paragraph" w:customStyle="1" w:styleId="34">
    <w:name w:val="首行缩进"/>
    <w:basedOn w:val="1"/>
    <w:qFormat/>
    <w:uiPriority w:val="99"/>
    <w:pPr>
      <w:spacing w:line="360" w:lineRule="auto"/>
      <w:ind w:firstLine="480" w:firstLineChars="200"/>
    </w:pPr>
    <w:rPr>
      <w:sz w:val="24"/>
      <w:szCs w:val="22"/>
      <w:lang w:val="zh-CN"/>
    </w:rPr>
  </w:style>
  <w:style w:type="paragraph" w:customStyle="1" w:styleId="35">
    <w:name w:val="[Normal]"/>
    <w:qFormat/>
    <w:uiPriority w:val="0"/>
    <w:rPr>
      <w:rFonts w:ascii="宋体" w:hAnsi="宋体" w:eastAsia="宋体" w:cs="Times New Roman"/>
      <w:sz w:val="24"/>
      <w:szCs w:val="22"/>
      <w:lang w:val="zh-CN" w:eastAsia="zh-CN" w:bidi="ar-SA"/>
    </w:rPr>
  </w:style>
  <w:style w:type="character" w:customStyle="1" w:styleId="36">
    <w:name w:val="标题 1 Char"/>
    <w:basedOn w:val="28"/>
    <w:link w:val="3"/>
    <w:qFormat/>
    <w:locked/>
    <w:uiPriority w:val="99"/>
    <w:rPr>
      <w:rFonts w:eastAsia="仿宋_GB2312"/>
      <w:b/>
      <w:kern w:val="44"/>
      <w:sz w:val="44"/>
      <w:szCs w:val="20"/>
    </w:rPr>
  </w:style>
  <w:style w:type="character" w:customStyle="1" w:styleId="37">
    <w:name w:val="标题 2 Char"/>
    <w:basedOn w:val="28"/>
    <w:link w:val="4"/>
    <w:semiHidden/>
    <w:qFormat/>
    <w:locked/>
    <w:uiPriority w:val="99"/>
    <w:rPr>
      <w:rFonts w:ascii="Calibri Light" w:hAnsi="Calibri Light" w:eastAsia="宋体" w:cs="Times New Roman"/>
      <w:b/>
      <w:sz w:val="32"/>
    </w:rPr>
  </w:style>
  <w:style w:type="character" w:customStyle="1" w:styleId="38">
    <w:name w:val="标题 3 Char"/>
    <w:basedOn w:val="28"/>
    <w:link w:val="5"/>
    <w:semiHidden/>
    <w:qFormat/>
    <w:locked/>
    <w:uiPriority w:val="99"/>
    <w:rPr>
      <w:rFonts w:ascii="Times New Roman" w:hAnsi="Times New Roman" w:eastAsia="宋体" w:cs="Times New Roman"/>
      <w:b/>
      <w:sz w:val="32"/>
    </w:rPr>
  </w:style>
  <w:style w:type="character" w:customStyle="1" w:styleId="39">
    <w:name w:val="标题 4 Char"/>
    <w:basedOn w:val="28"/>
    <w:link w:val="6"/>
    <w:semiHidden/>
    <w:qFormat/>
    <w:locked/>
    <w:uiPriority w:val="99"/>
    <w:rPr>
      <w:rFonts w:ascii="Calibri Light" w:hAnsi="Calibri Light" w:eastAsia="宋体" w:cs="Times New Roman"/>
      <w:b/>
      <w:sz w:val="28"/>
    </w:rPr>
  </w:style>
  <w:style w:type="character" w:customStyle="1" w:styleId="40">
    <w:name w:val="文档结构图 Char1"/>
    <w:basedOn w:val="28"/>
    <w:link w:val="10"/>
    <w:semiHidden/>
    <w:qFormat/>
    <w:locked/>
    <w:uiPriority w:val="99"/>
    <w:rPr>
      <w:rFonts w:ascii="宋体" w:hAnsi="Times New Roman" w:cs="Times New Roman"/>
      <w:kern w:val="2"/>
      <w:sz w:val="18"/>
    </w:rPr>
  </w:style>
  <w:style w:type="character" w:customStyle="1" w:styleId="41">
    <w:name w:val="批注文字 Char"/>
    <w:basedOn w:val="28"/>
    <w:link w:val="11"/>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28"/>
    <w:link w:val="2"/>
    <w:semiHidden/>
    <w:qFormat/>
    <w:locked/>
    <w:uiPriority w:val="99"/>
    <w:rPr>
      <w:rFonts w:cs="Times New Roman"/>
      <w:sz w:val="24"/>
      <w:szCs w:val="24"/>
    </w:rPr>
  </w:style>
  <w:style w:type="character" w:customStyle="1" w:styleId="43">
    <w:name w:val="正文文本缩进 Char"/>
    <w:basedOn w:val="28"/>
    <w:link w:val="12"/>
    <w:semiHidden/>
    <w:qFormat/>
    <w:locked/>
    <w:uiPriority w:val="99"/>
    <w:rPr>
      <w:rFonts w:ascii="Times New Roman" w:hAnsi="Times New Roman" w:cs="Times New Roman"/>
      <w:sz w:val="24"/>
    </w:rPr>
  </w:style>
  <w:style w:type="character" w:customStyle="1" w:styleId="44">
    <w:name w:val="纯文本 Char"/>
    <w:basedOn w:val="28"/>
    <w:link w:val="14"/>
    <w:qFormat/>
    <w:locked/>
    <w:uiPriority w:val="99"/>
    <w:rPr>
      <w:rFonts w:ascii="宋体" w:hAnsi="Courier New" w:eastAsia="宋体" w:cs="Times New Roman"/>
      <w:snapToGrid w:val="0"/>
      <w:sz w:val="21"/>
    </w:rPr>
  </w:style>
  <w:style w:type="character" w:customStyle="1" w:styleId="45">
    <w:name w:val="日期 Char"/>
    <w:basedOn w:val="28"/>
    <w:link w:val="15"/>
    <w:qFormat/>
    <w:locked/>
    <w:uiPriority w:val="99"/>
    <w:rPr>
      <w:rFonts w:ascii="宋体" w:cs="Times New Roman"/>
      <w:sz w:val="21"/>
      <w:lang w:val="zh-CN"/>
    </w:rPr>
  </w:style>
  <w:style w:type="character" w:customStyle="1" w:styleId="46">
    <w:name w:val="正文文本缩进 2 Char"/>
    <w:basedOn w:val="28"/>
    <w:link w:val="16"/>
    <w:semiHidden/>
    <w:qFormat/>
    <w:locked/>
    <w:uiPriority w:val="99"/>
    <w:rPr>
      <w:rFonts w:cs="Times New Roman"/>
      <w:sz w:val="24"/>
      <w:szCs w:val="24"/>
    </w:rPr>
  </w:style>
  <w:style w:type="character" w:customStyle="1" w:styleId="47">
    <w:name w:val="页脚 Char"/>
    <w:basedOn w:val="28"/>
    <w:link w:val="18"/>
    <w:qFormat/>
    <w:locked/>
    <w:uiPriority w:val="99"/>
    <w:rPr>
      <w:rFonts w:ascii="Times New Roman" w:hAnsi="Times New Roman" w:eastAsia="宋体" w:cs="Times New Roman"/>
      <w:sz w:val="18"/>
    </w:rPr>
  </w:style>
  <w:style w:type="character" w:customStyle="1" w:styleId="48">
    <w:name w:val="Header Char"/>
    <w:basedOn w:val="28"/>
    <w:qFormat/>
    <w:locked/>
    <w:uiPriority w:val="99"/>
    <w:rPr>
      <w:rFonts w:ascii="Times New Roman" w:hAnsi="Times New Roman" w:eastAsia="宋体" w:cs="Times New Roman"/>
      <w:sz w:val="18"/>
    </w:rPr>
  </w:style>
  <w:style w:type="character" w:customStyle="1" w:styleId="49">
    <w:name w:val="正文文本 2 Char"/>
    <w:basedOn w:val="28"/>
    <w:link w:val="21"/>
    <w:semiHidden/>
    <w:qFormat/>
    <w:locked/>
    <w:uiPriority w:val="99"/>
    <w:rPr>
      <w:rFonts w:ascii="Times New Roman" w:hAnsi="Times New Roman" w:cs="Times New Roman"/>
      <w:sz w:val="24"/>
    </w:rPr>
  </w:style>
  <w:style w:type="character" w:customStyle="1" w:styleId="50">
    <w:name w:val="标题 Char"/>
    <w:basedOn w:val="28"/>
    <w:link w:val="24"/>
    <w:qFormat/>
    <w:locked/>
    <w:uiPriority w:val="99"/>
    <w:rPr>
      <w:rFonts w:ascii="Calibri Light" w:hAnsi="Calibri Light" w:eastAsia="宋体" w:cs="Times New Roman"/>
      <w:b/>
      <w:sz w:val="32"/>
    </w:rPr>
  </w:style>
  <w:style w:type="character" w:customStyle="1" w:styleId="51">
    <w:name w:val="批注主题 Char"/>
    <w:basedOn w:val="41"/>
    <w:link w:val="25"/>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19"/>
    <w:qFormat/>
    <w:locked/>
    <w:uiPriority w:val="99"/>
    <w:rPr>
      <w:rFonts w:ascii="Times New Roman" w:hAnsi="Times New Roman" w:eastAsia="宋体"/>
      <w:sz w:val="18"/>
    </w:rPr>
  </w:style>
  <w:style w:type="character" w:customStyle="1" w:styleId="53">
    <w:name w:val="正文缩进 Char"/>
    <w:link w:val="9"/>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4"/>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28"/>
    <w:link w:val="17"/>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28"/>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28"/>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28"/>
    <w:qFormat/>
    <w:uiPriority w:val="0"/>
    <w:rPr>
      <w:color w:val="333333"/>
      <w:sz w:val="18"/>
      <w:szCs w:val="18"/>
    </w:rPr>
  </w:style>
  <w:style w:type="character" w:customStyle="1" w:styleId="94">
    <w:name w:val="cfdate"/>
    <w:basedOn w:val="28"/>
    <w:qFormat/>
    <w:uiPriority w:val="0"/>
    <w:rPr>
      <w:color w:val="333333"/>
      <w:sz w:val="18"/>
      <w:szCs w:val="18"/>
    </w:rPr>
  </w:style>
  <w:style w:type="character" w:customStyle="1" w:styleId="95">
    <w:name w:val="redfilefwwh"/>
    <w:basedOn w:val="28"/>
    <w:qFormat/>
    <w:uiPriority w:val="0"/>
    <w:rPr>
      <w:color w:val="BA2636"/>
      <w:sz w:val="18"/>
      <w:szCs w:val="18"/>
    </w:rPr>
  </w:style>
  <w:style w:type="character" w:customStyle="1" w:styleId="96">
    <w:name w:val="displayarti"/>
    <w:basedOn w:val="28"/>
    <w:qFormat/>
    <w:uiPriority w:val="0"/>
    <w:rPr>
      <w:color w:val="FFFFFF"/>
      <w:shd w:val="clear" w:color="auto" w:fill="A00000"/>
    </w:rPr>
  </w:style>
  <w:style w:type="character" w:customStyle="1" w:styleId="97">
    <w:name w:val="gjfg"/>
    <w:basedOn w:val="28"/>
    <w:qFormat/>
    <w:uiPriority w:val="0"/>
  </w:style>
  <w:style w:type="character" w:customStyle="1" w:styleId="98">
    <w:name w:val="redfilenumber"/>
    <w:basedOn w:val="28"/>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1">
    <w:name w:val="msonormalcxspmiddle"/>
    <w:basedOn w:val="1"/>
    <w:qFormat/>
    <w:uiPriority w:val="99"/>
    <w:pPr>
      <w:widowControl/>
      <w:spacing w:before="100" w:beforeAutospacing="1" w:after="100" w:afterAutospacing="1"/>
      <w:jc w:val="left"/>
    </w:pPr>
    <w:rPr>
      <w:rFonts w:ascii="宋体" w:hAnsi="宋体" w:cs="宋体"/>
      <w:kern w:val="0"/>
      <w:sz w:val="24"/>
    </w:rPr>
  </w:style>
  <w:style w:type="character" w:customStyle="1" w:styleId="102">
    <w:name w:val="font21"/>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6180</Words>
  <Characters>35228</Characters>
  <Lines>293</Lines>
  <Paragraphs>82</Paragraphs>
  <TotalTime>2</TotalTime>
  <ScaleCrop>false</ScaleCrop>
  <LinksUpToDate>false</LinksUpToDate>
  <CharactersWithSpaces>41326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2020-06-12T07:56:00Z</dcterms:created>
  <dc:creator>Ting</dc:creator>
  <cp:lastModifiedBy>囍多多</cp:lastModifiedBy>
  <cp:lastPrinted>2020-01-14T04:42:00Z</cp:lastPrinted>
  <dcterms:modified xsi:type="dcterms:W3CDTF">2020-12-23T04:21:20Z</dcterms:modified>
  <dc:title>绍兴市公安局交通警察支队交警互联网支付及罚缴平台二期项目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