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52"/>
          <w:szCs w:val="52"/>
        </w:rPr>
      </w:pPr>
    </w:p>
    <w:p>
      <w:pPr>
        <w:spacing w:line="312" w:lineRule="auto"/>
        <w:jc w:val="center"/>
        <w:outlineLvl w:val="0"/>
        <w:rPr>
          <w:rFonts w:hint="eastAsia" w:ascii="隶书" w:hAnsi="Arial" w:eastAsia="隶书" w:cs="Arial"/>
          <w:b/>
          <w:sz w:val="52"/>
          <w:szCs w:val="52"/>
          <w:lang w:eastAsia="zh-CN"/>
        </w:rPr>
      </w:pPr>
      <w:r>
        <w:rPr>
          <w:rFonts w:hint="eastAsia" w:ascii="隶书" w:hAnsi="Arial" w:eastAsia="隶书" w:cs="Arial"/>
          <w:b/>
          <w:sz w:val="52"/>
          <w:szCs w:val="52"/>
          <w:lang w:eastAsia="zh-CN"/>
        </w:rPr>
        <w:t>绍兴市公安局万兆三级网租赁项目</w:t>
      </w:r>
    </w:p>
    <w:p>
      <w:pPr>
        <w:pStyle w:val="3"/>
      </w:pP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公</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开</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招</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标</w:t>
      </w:r>
    </w:p>
    <w:p>
      <w:pPr>
        <w:spacing w:line="312" w:lineRule="auto"/>
        <w:jc w:val="center"/>
        <w:outlineLvl w:val="0"/>
        <w:rPr>
          <w:rFonts w:ascii="隶书" w:eastAsia="隶书"/>
          <w:b/>
          <w:sz w:val="52"/>
          <w:szCs w:val="52"/>
        </w:rPr>
      </w:pPr>
      <w:r>
        <w:rPr>
          <w:rFonts w:hint="eastAsia" w:ascii="隶书" w:eastAsia="隶书"/>
          <w:b/>
          <w:sz w:val="52"/>
          <w:szCs w:val="52"/>
        </w:rPr>
        <w:t>文</w:t>
      </w:r>
    </w:p>
    <w:p>
      <w:pPr>
        <w:spacing w:line="312" w:lineRule="auto"/>
        <w:jc w:val="center"/>
        <w:outlineLvl w:val="0"/>
        <w:rPr>
          <w:rFonts w:ascii="隶书" w:eastAsia="隶书"/>
          <w:b/>
          <w:sz w:val="52"/>
          <w:szCs w:val="52"/>
        </w:rPr>
      </w:pPr>
      <w:r>
        <w:rPr>
          <w:rFonts w:hint="eastAsia" w:ascii="隶书" w:eastAsia="隶书"/>
          <w:b/>
          <w:sz w:val="52"/>
          <w:szCs w:val="52"/>
        </w:rPr>
        <w:t>件</w:t>
      </w:r>
    </w:p>
    <w:p>
      <w:pPr>
        <w:pStyle w:val="2"/>
        <w:rPr>
          <w:lang w:val="en-US"/>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招标编号:YH2020-</w:t>
      </w:r>
      <w:r>
        <w:rPr>
          <w:rFonts w:hint="eastAsia" w:ascii="隶书" w:eastAsia="隶书"/>
          <w:b/>
          <w:sz w:val="28"/>
          <w:szCs w:val="28"/>
          <w:lang w:val="en-US" w:eastAsia="zh-CN"/>
        </w:rPr>
        <w:t>10019</w:t>
      </w:r>
    </w:p>
    <w:tbl>
      <w:tblPr>
        <w:tblStyle w:val="28"/>
        <w:tblW w:w="7800" w:type="dxa"/>
        <w:jc w:val="center"/>
        <w:tblLayout w:type="fixed"/>
        <w:tblCellMar>
          <w:top w:w="0" w:type="dxa"/>
          <w:left w:w="108" w:type="dxa"/>
          <w:bottom w:w="0" w:type="dxa"/>
          <w:right w:w="108" w:type="dxa"/>
        </w:tblCellMar>
      </w:tblPr>
      <w:tblGrid>
        <w:gridCol w:w="2356"/>
        <w:gridCol w:w="5444"/>
      </w:tblGrid>
      <w:tr>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绍兴市公安局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九</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8"/>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br w:type="page"/>
            </w:r>
          </w:p>
          <w:tbl>
            <w:tblPr>
              <w:tblStyle w:val="2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项目概况：  </w:t>
                  </w:r>
                </w:p>
                <w:p>
                  <w:pPr>
                    <w:widowControl/>
                    <w:snapToGrid w:val="0"/>
                    <w:spacing w:line="288" w:lineRule="auto"/>
                    <w:rPr>
                      <w:rFonts w:ascii="仿宋" w:hAnsi="仿宋" w:eastAsia="仿宋" w:cs="仿宋"/>
                      <w:color w:val="auto"/>
                      <w:kern w:val="0"/>
                      <w:sz w:val="24"/>
                    </w:rPr>
                  </w:pPr>
                  <w:r>
                    <w:rPr>
                      <w:rFonts w:hint="eastAsia" w:ascii="仿宋" w:hAnsi="仿宋" w:eastAsia="仿宋" w:cs="仿宋"/>
                      <w:color w:val="auto"/>
                      <w:kern w:val="0"/>
                      <w:sz w:val="24"/>
                      <w:lang w:eastAsia="zh-CN"/>
                    </w:rPr>
                    <w:t>绍兴市公安局万兆三级网租赁项目</w:t>
                  </w:r>
                  <w:r>
                    <w:rPr>
                      <w:rFonts w:hint="eastAsia" w:ascii="仿宋" w:hAnsi="仿宋" w:eastAsia="仿宋" w:cs="仿宋"/>
                      <w:color w:val="auto"/>
                      <w:kern w:val="0"/>
                      <w:sz w:val="24"/>
                    </w:rPr>
                    <w:t>的潜在投标人应在网上报名获取（下载）招标文件，并于2020年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10:00</w:t>
                  </w:r>
                  <w:r>
                    <w:rPr>
                      <w:rFonts w:hint="eastAsia" w:ascii="仿宋" w:hAnsi="仿宋" w:eastAsia="仿宋" w:cs="仿宋"/>
                      <w:color w:val="auto"/>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一、项目基本情况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项目编号：YH2020-</w:t>
            </w:r>
            <w:r>
              <w:rPr>
                <w:rFonts w:hint="eastAsia" w:ascii="仿宋" w:hAnsi="仿宋" w:eastAsia="仿宋" w:cs="仿宋"/>
                <w:color w:val="auto"/>
                <w:kern w:val="0"/>
                <w:sz w:val="24"/>
                <w:lang w:val="en-US" w:eastAsia="zh-CN"/>
              </w:rPr>
              <w:t>10019</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项目名称：</w:t>
            </w:r>
            <w:r>
              <w:rPr>
                <w:rFonts w:hint="eastAsia" w:ascii="仿宋" w:hAnsi="仿宋" w:eastAsia="仿宋" w:cs="仿宋"/>
                <w:color w:val="auto"/>
                <w:kern w:val="0"/>
                <w:sz w:val="24"/>
                <w:lang w:eastAsia="zh-CN"/>
              </w:rPr>
              <w:t>绍兴市公安局万兆三级网租赁项目</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eastAsia="zh-CN"/>
              </w:rPr>
              <w:t>676080</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最高限价（元）：</w:t>
            </w:r>
            <w:r>
              <w:rPr>
                <w:rFonts w:hint="eastAsia" w:ascii="仿宋" w:hAnsi="仿宋" w:eastAsia="仿宋" w:cs="仿宋"/>
                <w:color w:val="auto"/>
                <w:kern w:val="0"/>
                <w:sz w:val="24"/>
                <w:lang w:eastAsia="zh-CN"/>
              </w:rPr>
              <w:t>676080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采购需求：详见采购文件</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标项一:</w:t>
            </w:r>
            <w:bookmarkStart w:id="9" w:name="_GoBack"/>
            <w:bookmarkEnd w:id="9"/>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标项名称:</w:t>
            </w:r>
            <w:r>
              <w:rPr>
                <w:rFonts w:hint="eastAsia" w:ascii="仿宋" w:hAnsi="仿宋" w:eastAsia="仿宋" w:cs="仿宋"/>
                <w:color w:val="auto"/>
                <w:kern w:val="0"/>
                <w:sz w:val="24"/>
                <w:lang w:eastAsia="zh-CN"/>
              </w:rPr>
              <w:t>绍兴市公安局万兆三级网租赁项目</w:t>
            </w:r>
            <w:r>
              <w:rPr>
                <w:rFonts w:hint="eastAsia" w:ascii="仿宋" w:hAnsi="仿宋" w:eastAsia="仿宋" w:cs="仿宋"/>
                <w:color w:val="auto"/>
                <w:kern w:val="0"/>
                <w:sz w:val="24"/>
              </w:rPr>
              <w:t>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数量:1</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eastAsia="zh-CN"/>
              </w:rPr>
              <w:t>676080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备注：无。</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3.本项目的特定资格要求：具备光纤覆盖及运营能力的本地通信运营商。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三、获取招标文件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时间：/至2020年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rPr>
              <w:t>http://www.zcygov.cn/</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10:00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w:t>
            </w:r>
            <w:r>
              <w:rPr>
                <w:rFonts w:hint="eastAsia" w:ascii="仿宋" w:hAnsi="仿宋" w:eastAsia="仿宋" w:cs="仿宋"/>
                <w:bCs/>
                <w:color w:val="auto"/>
                <w:kern w:val="0"/>
                <w:sz w:val="24"/>
              </w:rPr>
              <w:t>http://www.zcygov.cn/</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10:00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五、公告期限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自本公告发布之日起5个工作日。</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六、其他补充事宜</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2.其他事项：无。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1.采购人信息</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名称：</w:t>
            </w:r>
            <w:r>
              <w:rPr>
                <w:rFonts w:hint="eastAsia" w:ascii="仿宋" w:hAnsi="仿宋" w:eastAsia="仿宋" w:cs="仿宋"/>
                <w:color w:val="auto"/>
                <w:kern w:val="0"/>
                <w:sz w:val="24"/>
                <w:lang w:eastAsia="zh-CN"/>
              </w:rPr>
              <w:t xml:space="preserve">绍兴市公安局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地址：</w:t>
            </w:r>
            <w:r>
              <w:rPr>
                <w:rFonts w:hint="eastAsia" w:ascii="仿宋" w:hAnsi="仿宋" w:eastAsia="仿宋" w:cs="仿宋"/>
                <w:color w:val="auto"/>
                <w:kern w:val="0"/>
                <w:sz w:val="24"/>
                <w:lang w:eastAsia="zh-CN"/>
              </w:rPr>
              <w:t>绍兴市灵芝街道凤林西路</w:t>
            </w:r>
            <w:r>
              <w:rPr>
                <w:rFonts w:hint="eastAsia" w:ascii="仿宋" w:hAnsi="仿宋" w:eastAsia="仿宋" w:cs="仿宋"/>
                <w:color w:val="auto"/>
                <w:kern w:val="0"/>
                <w:sz w:val="24"/>
                <w:lang w:val="en-US" w:eastAsia="zh-CN"/>
              </w:rPr>
              <w:t>1977号</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rPr>
              <w:t xml:space="preserve"> 李红存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w:t>
            </w:r>
            <w:r>
              <w:rPr>
                <w:rFonts w:hint="eastAsia" w:ascii="仿宋" w:hAnsi="仿宋" w:eastAsia="仿宋" w:cs="仿宋"/>
                <w:bCs/>
                <w:color w:val="auto"/>
                <w:sz w:val="24"/>
              </w:rPr>
              <w:t>0575-88582381</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质疑联系人：王剑锋</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质疑联系方式：0575-88582665</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2.采购代理机构信息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名称：耀华建设管理有限公司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eastAsia="zh-CN"/>
              </w:rPr>
              <w:t>陈芳芳</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项目联系方式（询问）：0575-88776697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质疑联系人：单成燕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质疑联系方式：0575-88336881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3.同级政府采购监督管理部门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名称：绍兴市财政局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地址：绍兴市越城区凤林西路151号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联系人 ：应春兴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监督投诉电话：0575-85209806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CA问题联系电话（人工）：汇信CA 400-888-4636；天谷CA 400-087-8198。</w:t>
            </w:r>
          </w:p>
        </w:tc>
      </w:tr>
    </w:tbl>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r>
        <w:rPr>
          <w:rFonts w:hint="eastAsia" w:ascii="仿宋" w:hAnsi="仿宋" w:eastAsia="仿宋" w:cs="仿宋"/>
          <w:b/>
          <w:sz w:val="36"/>
          <w:szCs w:val="36"/>
        </w:rPr>
        <w:t>第二部分 投标人须知</w:t>
      </w:r>
    </w:p>
    <w:p>
      <w:pPr>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序号</w:t>
            </w:r>
          </w:p>
        </w:tc>
        <w:tc>
          <w:tcPr>
            <w:tcW w:w="8643" w:type="dxa"/>
            <w:gridSpan w:val="2"/>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8643" w:type="dxa"/>
            <w:gridSpan w:val="2"/>
            <w:vAlign w:val="center"/>
          </w:tcPr>
          <w:p>
            <w:pPr>
              <w:snapToGrid w:val="0"/>
              <w:spacing w:line="42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2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8643"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8643"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bCs/>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 w:hAnsi="仿宋" w:eastAsia="仿宋" w:cs="仿宋"/>
                <w:b/>
                <w:sz w:val="24"/>
              </w:rPr>
              <w:t>开标前答疑会或现场考察：</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样品提供：</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现场演示(讲解)：</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8</w:t>
            </w:r>
          </w:p>
        </w:tc>
        <w:tc>
          <w:tcPr>
            <w:tcW w:w="1222"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进口产品</w:t>
            </w:r>
          </w:p>
        </w:tc>
        <w:tc>
          <w:tcPr>
            <w:tcW w:w="7421"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9</w:t>
            </w:r>
          </w:p>
        </w:tc>
        <w:tc>
          <w:tcPr>
            <w:tcW w:w="1222" w:type="dxa"/>
            <w:vMerge w:val="restart"/>
            <w:vAlign w:val="center"/>
          </w:tcPr>
          <w:p>
            <w:pPr>
              <w:snapToGrid w:val="0"/>
              <w:rPr>
                <w:rFonts w:ascii="仿宋" w:hAnsi="仿宋" w:eastAsia="仿宋" w:cs="仿宋"/>
                <w:sz w:val="24"/>
              </w:rPr>
            </w:pPr>
            <w:r>
              <w:rPr>
                <w:rFonts w:hint="eastAsia" w:ascii="仿宋" w:hAnsi="仿宋" w:eastAsia="仿宋" w:cs="仿宋"/>
                <w:b/>
                <w:sz w:val="24"/>
              </w:rPr>
              <w:t>投标人信用信息事项</w:t>
            </w: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项目评审组织人员将通过“信用中国”网站(www.creditchina.gov.cn)、中国政府采购网(www.ccgp.gov.cn)渠道查询投标人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pacing w:line="340" w:lineRule="exact"/>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10</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其他：代理服务费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中标人须向招标代理机构交纳代理服务费：</w:t>
            </w:r>
          </w:p>
          <w:p>
            <w:pPr>
              <w:numPr>
                <w:ilvl w:val="0"/>
                <w:numId w:val="6"/>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lang w:val="en-US" w:eastAsia="zh-CN"/>
              </w:rPr>
              <w:t>4</w:t>
            </w:r>
            <w:r>
              <w:rPr>
                <w:rFonts w:hint="eastAsia" w:ascii="仿宋" w:hAnsi="仿宋" w:eastAsia="仿宋" w:cs="仿宋"/>
                <w:sz w:val="24"/>
                <w:lang w:eastAsia="zh-CN"/>
              </w:rPr>
              <w:t>折收取。</w:t>
            </w:r>
          </w:p>
          <w:p>
            <w:pPr>
              <w:numPr>
                <w:ilvl w:val="0"/>
                <w:numId w:val="0"/>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收费标准：中标金额在100万以下部分为1.5%。</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（2）本项目招标评审所产生的评审费用2</w:t>
            </w:r>
            <w:r>
              <w:rPr>
                <w:rFonts w:hint="eastAsia" w:ascii="仿宋" w:hAnsi="仿宋" w:eastAsia="仿宋" w:cs="仿宋"/>
                <w:sz w:val="24"/>
                <w:lang w:val="en-US" w:eastAsia="zh-CN"/>
              </w:rPr>
              <w:t>1</w:t>
            </w:r>
            <w:r>
              <w:rPr>
                <w:rFonts w:hint="eastAsia" w:ascii="仿宋" w:hAnsi="仿宋" w:eastAsia="仿宋" w:cs="仿宋"/>
                <w:sz w:val="24"/>
                <w:lang w:eastAsia="zh-CN"/>
              </w:rPr>
              <w:t>00元由业主支付。</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（3）代理服务费的交纳方式：</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用银行支票、汇票、电汇、现金等付款方式直接交纳代理服务费。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公司名称：耀华建设管理有限公司绍兴迪荡分公司</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账    号：336006190018819003083</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开 户 行：交通银行股份有限公司绍兴迪荡支行</w:t>
            </w:r>
          </w:p>
          <w:p>
            <w:pPr>
              <w:spacing w:line="340" w:lineRule="exact"/>
              <w:rPr>
                <w:rFonts w:ascii="仿宋" w:hAnsi="仿宋" w:eastAsia="仿宋" w:cs="仿宋"/>
                <w:sz w:val="24"/>
              </w:rPr>
            </w:pPr>
            <w:r>
              <w:rPr>
                <w:rFonts w:hint="eastAsia" w:ascii="仿宋" w:hAnsi="仿宋" w:eastAsia="仿宋" w:cs="仿宋"/>
                <w:sz w:val="24"/>
                <w:lang w:eastAsia="zh-CN"/>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11</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12</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b/>
                <w:sz w:val="24"/>
              </w:rPr>
              <w:t>注：中标人放弃中标资格或因质疑、投诉被取消中标资格或不能履行合同的，本项目重新组织采购。</w:t>
            </w:r>
          </w:p>
        </w:tc>
      </w:tr>
    </w:tbl>
    <w:p>
      <w:pPr>
        <w:pStyle w:val="22"/>
        <w:widowControl w:val="0"/>
        <w:spacing w:afterLines="0" w:line="560" w:lineRule="exact"/>
        <w:jc w:val="both"/>
        <w:rPr>
          <w:rFonts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绍兴市公安局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更正补充公告请自行登录浙江政府采购网或绍兴公共资源交易网查看下载。</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4" w:lineRule="auto"/>
        <w:ind w:firstLine="480" w:firstLineChars="200"/>
        <w:rPr>
          <w:rFonts w:ascii="仿宋" w:hAnsi="仿宋" w:eastAsia="仿宋" w:cs="仿宋"/>
          <w:sz w:val="24"/>
          <w:szCs w:val="24"/>
        </w:rPr>
      </w:pPr>
      <w:bookmarkStart w:id="0" w:name="_Hlt68403820"/>
      <w:bookmarkEnd w:id="0"/>
      <w:bookmarkStart w:id="1" w:name="_Hlt68072998"/>
      <w:bookmarkEnd w:id="1"/>
      <w:bookmarkStart w:id="2" w:name="_Hlt68073093"/>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资产负债表等财务报表资料文件(新成立的公司，必须提供情况说明)；</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5"/>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5"/>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5"/>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5"/>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5"/>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1.4由唱读人当众宣读通过技术标符合性评审的投标人名称，启封投标文件（商务标），宣读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1.5</w:t>
      </w:r>
      <w:r>
        <w:rPr>
          <w:rFonts w:hint="eastAsia" w:eastAsia="仿宋"/>
          <w:color w:val="000000"/>
          <w:sz w:val="24"/>
        </w:rPr>
        <w:t>评标委员会对商务标进行符合性评审。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1.6</w:t>
      </w:r>
      <w:r>
        <w:rPr>
          <w:rFonts w:hint="eastAsia" w:eastAsia="仿宋"/>
          <w:color w:val="000000"/>
          <w:sz w:val="24"/>
        </w:rPr>
        <w:t>评标委员会根据投标报价从高到低确定中标候选人。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6.7.1根据财政部发布的《政府采购促进中小企业发展暂行办法》规定，对于非专门面向中小企业的项目，对小型和微型企业产品的价格给予一定的扣除，用扣除后的价格参与评审。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6.7.2如需投标价格修正，按财政部87号令第五十九条的规定对投标价格进行修正。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_GB2312" w:hAnsi="宋体" w:eastAsia="仿宋_GB2312"/>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adjustRightInd/>
        <w:snapToGrid w:val="0"/>
        <w:spacing w:line="284" w:lineRule="auto"/>
        <w:rPr>
          <w:rFonts w:ascii="仿宋" w:hAnsi="仿宋" w:eastAsia="仿宋" w:cs="仿宋"/>
          <w:kern w:val="0"/>
          <w:sz w:val="24"/>
        </w:rPr>
      </w:pPr>
    </w:p>
    <w:p>
      <w:pPr>
        <w:snapToGrid w:val="0"/>
        <w:spacing w:line="284" w:lineRule="auto"/>
        <w:jc w:val="center"/>
        <w:rPr>
          <w:rFonts w:ascii="仿宋" w:hAnsi="仿宋" w:eastAsia="仿宋" w:cs="仿宋"/>
          <w:b/>
          <w:sz w:val="36"/>
          <w:szCs w:val="36"/>
        </w:rPr>
      </w:pPr>
      <w:bookmarkStart w:id="3" w:name="_Toc81372953"/>
      <w:bookmarkStart w:id="4" w:name="_Toc84325929"/>
      <w:bookmarkStart w:id="5" w:name="_Toc81372776"/>
      <w:r>
        <w:rPr>
          <w:rFonts w:hint="eastAsia" w:ascii="仿宋" w:hAnsi="仿宋" w:eastAsia="仿宋" w:cs="仿宋"/>
          <w:b/>
          <w:sz w:val="36"/>
          <w:szCs w:val="36"/>
        </w:rPr>
        <w:t>五、授予合同</w:t>
      </w:r>
    </w:p>
    <w:p>
      <w:pPr>
        <w:spacing w:line="336" w:lineRule="auto"/>
        <w:jc w:val="left"/>
        <w:rPr>
          <w:rFonts w:eastAsia="仿宋"/>
          <w:b/>
          <w:sz w:val="24"/>
        </w:rPr>
      </w:pPr>
      <w:r>
        <w:rPr>
          <w:rFonts w:eastAsia="仿宋"/>
          <w:b/>
          <w:sz w:val="24"/>
        </w:rPr>
        <w:t>1．中标方式</w:t>
      </w:r>
    </w:p>
    <w:p>
      <w:pPr>
        <w:widowControl/>
        <w:tabs>
          <w:tab w:val="left" w:pos="360"/>
          <w:tab w:val="left" w:pos="454"/>
        </w:tabs>
        <w:spacing w:line="336" w:lineRule="auto"/>
        <w:jc w:val="left"/>
        <w:rPr>
          <w:rFonts w:eastAsia="仿宋"/>
          <w:color w:val="000000"/>
          <w:kern w:val="0"/>
          <w:sz w:val="24"/>
        </w:rPr>
      </w:pPr>
      <w:r>
        <w:rPr>
          <w:rFonts w:hint="eastAsia" w:eastAsia="仿宋"/>
          <w:color w:val="000000"/>
          <w:kern w:val="0"/>
          <w:sz w:val="24"/>
        </w:rPr>
        <w:t>1.1 评标委员会首先对投标人的投标文件进行符合性审查。经评审后合格投标人中报价最低的单位中标。有两个或两个以上投标单位报价相同的，则当场抽签决定预中标候选人。</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2.中标条件</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2.1投标文件基本符合招标文件要求；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2.2投标人有很好的执行合同的能力；</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2.3实施方案最合理并对招标人最为有利，最大限度满足招标文件的要求；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2.5招标人将把中标通知书授予最佳投标者，但最低价不是中标的绝对保证。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3.中标确认</w:t>
      </w:r>
    </w:p>
    <w:p>
      <w:pPr>
        <w:adjustRightInd/>
        <w:spacing w:line="284" w:lineRule="auto"/>
        <w:jc w:val="left"/>
        <w:rPr>
          <w:rFonts w:ascii="仿宋" w:hAnsi="仿宋" w:eastAsia="仿宋" w:cs="仿宋"/>
          <w:sz w:val="24"/>
        </w:rPr>
      </w:pPr>
      <w:r>
        <w:rPr>
          <w:rFonts w:hint="eastAsia" w:ascii="仿宋" w:hAnsi="仿宋" w:eastAsia="仿宋" w:cs="仿宋"/>
          <w:sz w:val="24"/>
        </w:rPr>
        <w:t>3.1采购人应当自收到评标报告之日起５个工作日内，在评标报告确定的中标候选人名单中按顺序确定中标人。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3.2采购人在收到评标报告5个工作日内未按评标报告推荐的中标候选人顺序确定中标人，视同按评标报告推荐的顺序确定的中标候选人为中标人。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3.3采购人应在确认中标人前再次对资格条件和相关证件材料进一步查验核实。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4．中标通知</w:t>
      </w:r>
    </w:p>
    <w:bookmarkEnd w:id="3"/>
    <w:bookmarkEnd w:id="4"/>
    <w:bookmarkEnd w:id="5"/>
    <w:p>
      <w:pPr>
        <w:pStyle w:val="65"/>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"http://www.zjzfcg.gov.cn" </w:instrText>
      </w:r>
      <w:r>
        <w:fldChar w:fldCharType="separate"/>
      </w:r>
      <w:r>
        <w:rPr>
          <w:rStyle w:val="34"/>
          <w:rFonts w:hint="eastAsia" w:ascii="仿宋" w:hAnsi="仿宋" w:eastAsia="仿宋" w:cs="仿宋"/>
          <w:color w:val="auto"/>
          <w:kern w:val="0"/>
          <w:szCs w:val="24"/>
        </w:rPr>
        <w:t>http://www.zjzfcg.gov.cn</w:t>
      </w:r>
      <w:r>
        <w:rPr>
          <w:rStyle w:val="34"/>
          <w:rFonts w:hint="eastAsia" w:ascii="仿宋" w:hAnsi="仿宋" w:eastAsia="仿宋" w:cs="仿宋"/>
          <w:color w:val="auto"/>
          <w:kern w:val="0"/>
          <w:szCs w:val="24"/>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auto"/>
          <w:szCs w:val="24"/>
        </w:rPr>
        <w:t>http://ggb.sx.gov.cn</w:t>
      </w:r>
      <w:r>
        <w:rPr>
          <w:rStyle w:val="34"/>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4.2在采购代理机构发出中标通知书前，中标供应商如有违反有关法律法规和本项目要求行为的，则取消该投标人的中标资格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4.3采购代理机构对中标结果不作任何说明和解释，也不回答任何提问。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5．履约保证金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5.2供应商在履行完合同约定事项后，采购人应及时退还履约保证金。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6．合同备案</w:t>
      </w:r>
    </w:p>
    <w:p>
      <w:pPr>
        <w:adjustRightInd/>
        <w:spacing w:line="284" w:lineRule="auto"/>
        <w:jc w:val="left"/>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6.2未领取中标通知书，采购双方自行签订的合同不予备案。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7.验收</w:t>
      </w:r>
    </w:p>
    <w:p>
      <w:pPr>
        <w:adjustRightInd/>
        <w:spacing w:line="284" w:lineRule="auto"/>
        <w:jc w:val="left"/>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8.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hint="eastAsia"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2"/>
      </w:pPr>
    </w:p>
    <w:p>
      <w:pPr>
        <w:rPr>
          <w:rFonts w:ascii="仿宋" w:hAnsi="仿宋" w:eastAsia="仿宋" w:cs="仿宋"/>
          <w:b/>
          <w:sz w:val="36"/>
          <w:szCs w:val="36"/>
        </w:rPr>
      </w:pPr>
      <w:r>
        <w:rPr>
          <w:rFonts w:ascii="仿宋" w:hAnsi="仿宋" w:eastAsia="仿宋" w:cs="仿宋"/>
          <w:b/>
          <w:sz w:val="36"/>
          <w:szCs w:val="36"/>
        </w:rPr>
        <w:br w:type="page"/>
      </w:r>
    </w:p>
    <w:p>
      <w:pPr>
        <w:pStyle w:val="15"/>
        <w:adjustRightInd/>
        <w:spacing w:line="288" w:lineRule="auto"/>
        <w:rPr>
          <w:rFonts w:ascii="仿宋" w:hAnsi="仿宋" w:eastAsia="仿宋" w:cs="仿宋"/>
          <w:b/>
          <w:sz w:val="36"/>
          <w:szCs w:val="36"/>
        </w:rPr>
      </w:pPr>
    </w:p>
    <w:p>
      <w:pPr>
        <w:pStyle w:val="15"/>
        <w:numPr>
          <w:ilvl w:val="0"/>
          <w:numId w:val="7"/>
        </w:numPr>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项目技术规范和服务要求</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1. 项目实施人员费用</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中标人应自行承担选派专业人员的住宿、就餐和交通等费用。</w:t>
      </w:r>
    </w:p>
    <w:p>
      <w:pPr>
        <w:snapToGrid w:val="0"/>
        <w:spacing w:line="440" w:lineRule="exact"/>
        <w:jc w:val="left"/>
        <w:rPr>
          <w:rFonts w:hint="eastAsia" w:ascii="仿宋" w:hAnsi="仿宋" w:eastAsia="仿宋" w:cs="仿宋"/>
          <w:b/>
          <w:sz w:val="24"/>
          <w:szCs w:val="24"/>
        </w:rPr>
      </w:pPr>
      <w:bookmarkStart w:id="6" w:name="_Toc151354173"/>
      <w:r>
        <w:rPr>
          <w:rFonts w:hint="eastAsia" w:ascii="仿宋" w:hAnsi="仿宋" w:eastAsia="仿宋" w:cs="仿宋"/>
          <w:b/>
          <w:sz w:val="24"/>
          <w:szCs w:val="24"/>
        </w:rPr>
        <w:t>2.招标项目设备名称及数量：</w:t>
      </w:r>
    </w:p>
    <w:bookmarkEnd w:id="6"/>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bdr w:val="single" w:color="auto" w:sz="4" w:space="0"/>
        </w:rPr>
        <w:t>01标</w:t>
      </w:r>
      <w:r>
        <w:rPr>
          <w:rFonts w:hint="eastAsia" w:ascii="仿宋" w:hAnsi="仿宋" w:eastAsia="仿宋" w:cs="仿宋"/>
          <w:b/>
          <w:color w:val="auto"/>
          <w:sz w:val="24"/>
          <w:szCs w:val="24"/>
        </w:rPr>
        <w:t>万兆三级网租赁项目</w:t>
      </w:r>
      <w:r>
        <w:rPr>
          <w:rFonts w:hint="eastAsia" w:ascii="仿宋" w:hAnsi="仿宋" w:eastAsia="仿宋" w:cs="仿宋"/>
          <w:b/>
          <w:sz w:val="24"/>
          <w:szCs w:val="24"/>
        </w:rPr>
        <w:t xml:space="preserve">           预算金额：</w:t>
      </w:r>
      <w:r>
        <w:rPr>
          <w:rFonts w:hint="eastAsia" w:ascii="仿宋" w:hAnsi="仿宋" w:eastAsia="仿宋" w:cs="仿宋"/>
          <w:sz w:val="24"/>
          <w:szCs w:val="24"/>
        </w:rPr>
        <w:t>67.6080</w:t>
      </w:r>
      <w:r>
        <w:rPr>
          <w:rFonts w:hint="eastAsia" w:ascii="仿宋" w:hAnsi="仿宋" w:eastAsia="仿宋" w:cs="仿宋"/>
          <w:b/>
          <w:sz w:val="24"/>
          <w:szCs w:val="24"/>
        </w:rPr>
        <w:t>万元</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一、招标内容：</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租用一年期公安三级网网络服务，满足公安应用要求，主要包括核心设备及主用链路服务和</w:t>
      </w:r>
      <w:r>
        <w:rPr>
          <w:rFonts w:hint="eastAsia" w:ascii="仿宋" w:hAnsi="仿宋" w:eastAsia="仿宋" w:cs="仿宋"/>
          <w:color w:val="auto"/>
          <w:sz w:val="24"/>
          <w:szCs w:val="24"/>
        </w:rPr>
        <w:t>驻场维保服务。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二、服务清单</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1.设备清单</w:t>
      </w:r>
    </w:p>
    <w:tbl>
      <w:tblPr>
        <w:tblStyle w:val="28"/>
        <w:tblW w:w="7812" w:type="dxa"/>
        <w:tblInd w:w="93" w:type="dxa"/>
        <w:tblLayout w:type="autofit"/>
        <w:tblCellMar>
          <w:top w:w="0" w:type="dxa"/>
          <w:left w:w="108" w:type="dxa"/>
          <w:bottom w:w="0" w:type="dxa"/>
          <w:right w:w="108" w:type="dxa"/>
        </w:tblCellMar>
      </w:tblPr>
      <w:tblGrid>
        <w:gridCol w:w="2400"/>
        <w:gridCol w:w="3440"/>
        <w:gridCol w:w="1972"/>
      </w:tblGrid>
      <w:tr>
        <w:tblPrEx>
          <w:tblCellMar>
            <w:top w:w="0" w:type="dxa"/>
            <w:left w:w="108" w:type="dxa"/>
            <w:bottom w:w="0" w:type="dxa"/>
            <w:right w:w="108" w:type="dxa"/>
          </w:tblCellMar>
        </w:tblPrEx>
        <w:trPr>
          <w:trHeight w:val="285" w:hRule="atLeast"/>
        </w:trPr>
        <w:tc>
          <w:tcPr>
            <w:tcW w:w="24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设备类型</w:t>
            </w:r>
          </w:p>
        </w:tc>
        <w:tc>
          <w:tcPr>
            <w:tcW w:w="344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产品描述</w:t>
            </w:r>
          </w:p>
        </w:tc>
        <w:tc>
          <w:tcPr>
            <w:tcW w:w="197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CellMar>
            <w:top w:w="0" w:type="dxa"/>
            <w:left w:w="108" w:type="dxa"/>
            <w:bottom w:w="0" w:type="dxa"/>
            <w:right w:w="108" w:type="dxa"/>
          </w:tblCellMar>
        </w:tblPrEx>
        <w:trPr>
          <w:trHeight w:val="285" w:hRule="atLeast"/>
        </w:trPr>
        <w:tc>
          <w:tcPr>
            <w:tcW w:w="2400" w:type="dxa"/>
            <w:tcBorders>
              <w:top w:val="nil"/>
              <w:left w:val="single" w:color="auto" w:sz="4" w:space="0"/>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285" w:hRule="atLeast"/>
        </w:trPr>
        <w:tc>
          <w:tcPr>
            <w:tcW w:w="2400"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市局核心路由交换机</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主控制引擎模块</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以太网交换机主机</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交换网板,B类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48端口千兆以太网电接口模块(SE)</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48端口千兆/百兆以太网光接口模块(SFP,LC)(SE)</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32端口万兆以太网光接口模块(SFP+,LC)(SF)</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0,FW III 防火墙业务板</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SFP+电缆5m</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交流电源模块,2500W</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r>
      <w:tr>
        <w:tblPrEx>
          <w:tblCellMar>
            <w:top w:w="0" w:type="dxa"/>
            <w:left w:w="108" w:type="dxa"/>
            <w:bottom w:w="0" w:type="dxa"/>
            <w:right w:w="108" w:type="dxa"/>
          </w:tblCellMar>
        </w:tblPrEx>
        <w:trPr>
          <w:trHeight w:val="285" w:hRule="atLeast"/>
        </w:trPr>
        <w:tc>
          <w:tcPr>
            <w:tcW w:w="2400" w:type="dxa"/>
            <w:tcBorders>
              <w:top w:val="single" w:color="auto" w:sz="4" w:space="0"/>
              <w:left w:val="single" w:color="auto" w:sz="4" w:space="0"/>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285" w:hRule="atLeast"/>
        </w:trPr>
        <w:tc>
          <w:tcPr>
            <w:tcW w:w="24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市局核心路由器</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核心路由器主机</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管理及路由处理板(1L1)</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主机软件</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交换网板</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SFP+电缆5m</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交流电源模块,2500W</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8端口增强型万兆以太网光接口模块(SFP+,LC)</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tcBorders>
              <w:top w:val="nil"/>
              <w:left w:val="single" w:color="auto" w:sz="4" w:space="0"/>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675" w:hRule="atLeast"/>
        </w:trPr>
        <w:tc>
          <w:tcPr>
            <w:tcW w:w="24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服务器万兆汇聚交换机</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以太网交换机主机,支持48个10/100/1000BASE-T电口,4个10G/1G BASE-X SFP+端口,支持AC/DC</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SFP+电缆3m</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r>
      <w:tr>
        <w:tblPrEx>
          <w:tblCellMar>
            <w:top w:w="0" w:type="dxa"/>
            <w:left w:w="108" w:type="dxa"/>
            <w:bottom w:w="0" w:type="dxa"/>
            <w:right w:w="108" w:type="dxa"/>
          </w:tblCellMar>
        </w:tblPrEx>
        <w:trPr>
          <w:trHeight w:val="285" w:hRule="atLeast"/>
        </w:trPr>
        <w:tc>
          <w:tcPr>
            <w:tcW w:w="2400" w:type="dxa"/>
            <w:tcBorders>
              <w:top w:val="nil"/>
              <w:left w:val="single" w:color="auto" w:sz="4" w:space="0"/>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450" w:hRule="atLeast"/>
        </w:trPr>
        <w:tc>
          <w:tcPr>
            <w:tcW w:w="24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各县区万兆路由器</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路由器主机(4GE Combo,2 10GE SFP+,1 FIP 插槽)</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300W交流系统电源模块</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24</w:t>
            </w:r>
          </w:p>
        </w:tc>
      </w:tr>
      <w:tr>
        <w:tblPrEx>
          <w:tblCellMar>
            <w:top w:w="0" w:type="dxa"/>
            <w:left w:w="108" w:type="dxa"/>
            <w:bottom w:w="0" w:type="dxa"/>
            <w:right w:w="108" w:type="dxa"/>
          </w:tblCellMar>
        </w:tblPrEx>
        <w:trPr>
          <w:trHeight w:val="285" w:hRule="atLeast"/>
        </w:trPr>
        <w:tc>
          <w:tcPr>
            <w:tcW w:w="2400" w:type="dxa"/>
            <w:tcBorders>
              <w:top w:val="nil"/>
              <w:left w:val="single" w:color="auto" w:sz="4" w:space="0"/>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noWrap/>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285" w:hRule="atLeast"/>
        </w:trPr>
        <w:tc>
          <w:tcPr>
            <w:tcW w:w="24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各县区千兆路由器</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路由器主机(4GE Combo,1 FIP 插槽)</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CellMar>
            <w:top w:w="0" w:type="dxa"/>
            <w:left w:w="108" w:type="dxa"/>
            <w:bottom w:w="0" w:type="dxa"/>
            <w:right w:w="108" w:type="dxa"/>
          </w:tblCellMar>
        </w:tblPrEx>
        <w:trPr>
          <w:trHeight w:val="285" w:hRule="atLeast"/>
        </w:trPr>
        <w:tc>
          <w:tcPr>
            <w:tcW w:w="240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300W交流系统电源模块</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r>
      <w:tr>
        <w:tblPrEx>
          <w:tblCellMar>
            <w:top w:w="0" w:type="dxa"/>
            <w:left w:w="108" w:type="dxa"/>
            <w:bottom w:w="0" w:type="dxa"/>
            <w:right w:w="108" w:type="dxa"/>
          </w:tblCellMar>
        </w:tblPrEx>
        <w:trPr>
          <w:trHeight w:val="285" w:hRule="atLeast"/>
        </w:trPr>
        <w:tc>
          <w:tcPr>
            <w:tcW w:w="2400" w:type="dxa"/>
            <w:tcBorders>
              <w:top w:val="nil"/>
              <w:left w:val="single" w:color="auto" w:sz="4" w:space="0"/>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3440" w:type="dxa"/>
            <w:tcBorders>
              <w:top w:val="nil"/>
              <w:left w:val="nil"/>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c>
          <w:tcPr>
            <w:tcW w:w="1972" w:type="dxa"/>
            <w:tcBorders>
              <w:top w:val="nil"/>
              <w:left w:val="nil"/>
              <w:bottom w:val="single" w:color="auto" w:sz="4" w:space="0"/>
              <w:right w:val="single" w:color="auto" w:sz="4" w:space="0"/>
            </w:tcBorders>
            <w:shd w:val="clear" w:color="000000" w:fill="99CCFF"/>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　</w:t>
            </w:r>
          </w:p>
        </w:tc>
      </w:tr>
      <w:tr>
        <w:tblPrEx>
          <w:tblCellMar>
            <w:top w:w="0" w:type="dxa"/>
            <w:left w:w="108" w:type="dxa"/>
            <w:bottom w:w="0" w:type="dxa"/>
            <w:right w:w="108" w:type="dxa"/>
          </w:tblCellMar>
        </w:tblPrEx>
        <w:trPr>
          <w:trHeight w:val="450" w:hRule="atLeast"/>
        </w:trPr>
        <w:tc>
          <w:tcPr>
            <w:tcW w:w="24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智能网管</w:t>
            </w: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智能管理平台标准版(不含节点)-纯软件(DVD)</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r>
      <w:tr>
        <w:tblPrEx>
          <w:tblCellMar>
            <w:top w:w="0" w:type="dxa"/>
            <w:left w:w="108" w:type="dxa"/>
            <w:bottom w:w="0" w:type="dxa"/>
            <w:right w:w="108" w:type="dxa"/>
          </w:tblCellMar>
        </w:tblPrEx>
        <w:trPr>
          <w:trHeight w:val="450" w:hRule="atLeast"/>
        </w:trPr>
        <w:tc>
          <w:tcPr>
            <w:tcW w:w="240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智能管理平台标准版管理50节点License费用</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r>
      <w:tr>
        <w:tblPrEx>
          <w:tblCellMar>
            <w:top w:w="0" w:type="dxa"/>
            <w:left w:w="108" w:type="dxa"/>
            <w:bottom w:w="0" w:type="dxa"/>
            <w:right w:w="108" w:type="dxa"/>
          </w:tblCellMar>
        </w:tblPrEx>
        <w:trPr>
          <w:trHeight w:val="450" w:hRule="atLeast"/>
        </w:trPr>
        <w:tc>
          <w:tcPr>
            <w:tcW w:w="240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344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网管一体机</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r>
      <w:tr>
        <w:tblPrEx>
          <w:tblCellMar>
            <w:top w:w="0" w:type="dxa"/>
            <w:left w:w="108" w:type="dxa"/>
            <w:bottom w:w="0" w:type="dxa"/>
            <w:right w:w="108" w:type="dxa"/>
          </w:tblCellMar>
        </w:tblPrEx>
        <w:trPr>
          <w:trHeight w:val="450" w:hRule="atLeast"/>
        </w:trPr>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光纤模块</w:t>
            </w:r>
          </w:p>
        </w:tc>
        <w:tc>
          <w:tcPr>
            <w:tcW w:w="344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根据实际需求提供</w:t>
            </w:r>
          </w:p>
        </w:tc>
        <w:tc>
          <w:tcPr>
            <w:tcW w:w="19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若干</w:t>
            </w:r>
          </w:p>
        </w:tc>
      </w:tr>
    </w:tbl>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2、链路清单</w:t>
      </w:r>
    </w:p>
    <w:tbl>
      <w:tblPr>
        <w:tblStyle w:val="28"/>
        <w:tblW w:w="9057" w:type="dxa"/>
        <w:jc w:val="center"/>
        <w:tblLayout w:type="fixed"/>
        <w:tblCellMar>
          <w:top w:w="0" w:type="dxa"/>
          <w:left w:w="108" w:type="dxa"/>
          <w:bottom w:w="0" w:type="dxa"/>
          <w:right w:w="108" w:type="dxa"/>
        </w:tblCellMar>
      </w:tblPr>
      <w:tblGrid>
        <w:gridCol w:w="648"/>
        <w:gridCol w:w="2706"/>
        <w:gridCol w:w="2741"/>
        <w:gridCol w:w="1970"/>
        <w:gridCol w:w="509"/>
        <w:gridCol w:w="483"/>
      </w:tblGrid>
      <w:tr>
        <w:tblPrEx>
          <w:tblCellMar>
            <w:top w:w="0" w:type="dxa"/>
            <w:left w:w="108" w:type="dxa"/>
            <w:bottom w:w="0" w:type="dxa"/>
            <w:right w:w="108" w:type="dxa"/>
          </w:tblCellMar>
        </w:tblPrEx>
        <w:trPr>
          <w:trHeight w:val="28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序号</w:t>
            </w:r>
          </w:p>
        </w:tc>
        <w:tc>
          <w:tcPr>
            <w:tcW w:w="2706"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A端地址</w:t>
            </w:r>
          </w:p>
        </w:tc>
        <w:tc>
          <w:tcPr>
            <w:tcW w:w="2741"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B端地址</w:t>
            </w:r>
          </w:p>
        </w:tc>
        <w:tc>
          <w:tcPr>
            <w:tcW w:w="197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业务型号</w:t>
            </w:r>
          </w:p>
        </w:tc>
        <w:tc>
          <w:tcPr>
            <w:tcW w:w="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单位</w:t>
            </w:r>
          </w:p>
        </w:tc>
        <w:tc>
          <w:tcPr>
            <w:tcW w:w="48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数量</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上虞区公安局</w:t>
            </w:r>
          </w:p>
        </w:tc>
        <w:tc>
          <w:tcPr>
            <w:tcW w:w="2741" w:type="dxa"/>
            <w:vMerge w:val="restart"/>
            <w:tcBorders>
              <w:top w:val="nil"/>
              <w:left w:val="nil"/>
              <w:right w:val="single" w:color="auto" w:sz="4" w:space="0"/>
            </w:tcBorders>
            <w:noWrap/>
            <w:vAlign w:val="center"/>
          </w:tcPr>
          <w:p>
            <w:pPr>
              <w:jc w:val="center"/>
              <w:rPr>
                <w:rFonts w:hint="eastAsia" w:ascii="仿宋" w:hAnsi="仿宋" w:eastAsia="仿宋" w:cs="仿宋"/>
                <w:sz w:val="24"/>
                <w:szCs w:val="24"/>
              </w:rPr>
            </w:pPr>
            <w:r>
              <w:rPr>
                <w:rFonts w:hint="eastAsia" w:ascii="仿宋" w:hAnsi="仿宋" w:eastAsia="仿宋" w:cs="仿宋"/>
                <w:sz w:val="24"/>
                <w:szCs w:val="24"/>
              </w:rPr>
              <w:t>绍兴市公安局</w:t>
            </w:r>
          </w:p>
          <w:p>
            <w:pPr>
              <w:jc w:val="center"/>
              <w:rPr>
                <w:rFonts w:hint="eastAsia" w:ascii="仿宋" w:hAnsi="仿宋" w:eastAsia="仿宋" w:cs="仿宋"/>
                <w:sz w:val="24"/>
                <w:szCs w:val="24"/>
              </w:rPr>
            </w:pPr>
            <w:r>
              <w:rPr>
                <w:rFonts w:hint="eastAsia" w:ascii="仿宋" w:hAnsi="仿宋" w:eastAsia="仿宋" w:cs="仿宋"/>
                <w:sz w:val="24"/>
                <w:szCs w:val="24"/>
              </w:rPr>
              <w:t>绍兴市人民东路489号</w:t>
            </w: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诸暨市公安局</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新昌市公安局</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嵊州市公安局</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柯桥区公安局</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绍兴市公安局越城区（滨海）</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千兆波分电路</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绍兴市公安局越城区分局</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万兆光纤</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8</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绍兴市公安局凤林西路1977号大楼（链路1）</w:t>
            </w:r>
          </w:p>
        </w:tc>
        <w:tc>
          <w:tcPr>
            <w:tcW w:w="2741" w:type="dxa"/>
            <w:vMerge w:val="continue"/>
            <w:tcBorders>
              <w:left w:val="nil"/>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万兆光纤</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CellMar>
            <w:top w:w="0" w:type="dxa"/>
            <w:left w:w="108" w:type="dxa"/>
            <w:bottom w:w="0" w:type="dxa"/>
            <w:right w:w="108" w:type="dxa"/>
          </w:tblCellMar>
        </w:tblPrEx>
        <w:trPr>
          <w:trHeight w:val="285" w:hRule="atLeast"/>
          <w:jc w:val="center"/>
        </w:trPr>
        <w:tc>
          <w:tcPr>
            <w:tcW w:w="648"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tcW w:w="2706" w:type="dxa"/>
            <w:tcBorders>
              <w:top w:val="nil"/>
              <w:left w:val="nil"/>
              <w:bottom w:val="single" w:color="auto" w:sz="4" w:space="0"/>
              <w:right w:val="single" w:color="auto" w:sz="4" w:space="0"/>
            </w:tcBorders>
            <w:noWrap/>
            <w:vAlign w:val="bottom"/>
          </w:tcPr>
          <w:p>
            <w:pPr>
              <w:rPr>
                <w:rFonts w:hint="eastAsia" w:ascii="仿宋" w:hAnsi="仿宋" w:eastAsia="仿宋" w:cs="仿宋"/>
                <w:sz w:val="24"/>
                <w:szCs w:val="24"/>
              </w:rPr>
            </w:pPr>
            <w:r>
              <w:rPr>
                <w:rFonts w:hint="eastAsia" w:ascii="仿宋" w:hAnsi="仿宋" w:eastAsia="仿宋" w:cs="仿宋"/>
                <w:sz w:val="24"/>
                <w:szCs w:val="24"/>
              </w:rPr>
              <w:t>绍兴市公安局凤林西路1977号大楼（链路2）</w:t>
            </w:r>
          </w:p>
        </w:tc>
        <w:tc>
          <w:tcPr>
            <w:tcW w:w="2741" w:type="dxa"/>
            <w:vMerge w:val="continue"/>
            <w:tcBorders>
              <w:left w:val="nil"/>
              <w:bottom w:val="single" w:color="auto" w:sz="4" w:space="0"/>
              <w:right w:val="single" w:color="auto" w:sz="4" w:space="0"/>
            </w:tcBorders>
            <w:noWrap/>
          </w:tcPr>
          <w:p>
            <w:pPr>
              <w:rPr>
                <w:rFonts w:hint="eastAsia" w:ascii="仿宋" w:hAnsi="仿宋" w:eastAsia="仿宋" w:cs="仿宋"/>
                <w:sz w:val="24"/>
                <w:szCs w:val="24"/>
              </w:rPr>
            </w:pPr>
          </w:p>
        </w:tc>
        <w:tc>
          <w:tcPr>
            <w:tcW w:w="1970" w:type="dxa"/>
            <w:tcBorders>
              <w:top w:val="nil"/>
              <w:left w:val="nil"/>
              <w:bottom w:val="single" w:color="auto" w:sz="4" w:space="0"/>
              <w:right w:val="single" w:color="auto" w:sz="4" w:space="0"/>
            </w:tcBorders>
            <w:vAlign w:val="bottom"/>
          </w:tcPr>
          <w:p>
            <w:pPr>
              <w:rPr>
                <w:rFonts w:hint="eastAsia" w:ascii="仿宋" w:hAnsi="仿宋" w:eastAsia="仿宋" w:cs="仿宋"/>
                <w:sz w:val="24"/>
                <w:szCs w:val="24"/>
              </w:rPr>
            </w:pPr>
            <w:r>
              <w:rPr>
                <w:rFonts w:hint="eastAsia" w:ascii="仿宋" w:hAnsi="仿宋" w:eastAsia="仿宋" w:cs="仿宋"/>
                <w:sz w:val="24"/>
                <w:szCs w:val="24"/>
              </w:rPr>
              <w:t>千兆光纤</w:t>
            </w:r>
          </w:p>
        </w:tc>
        <w:tc>
          <w:tcPr>
            <w:tcW w:w="509" w:type="dxa"/>
            <w:tcBorders>
              <w:top w:val="nil"/>
              <w:left w:val="single" w:color="auto" w:sz="4" w:space="0"/>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条</w:t>
            </w:r>
          </w:p>
        </w:tc>
        <w:tc>
          <w:tcPr>
            <w:tcW w:w="483" w:type="dxa"/>
            <w:tcBorders>
              <w:top w:val="nil"/>
              <w:left w:val="nil"/>
              <w:bottom w:val="single" w:color="auto" w:sz="4" w:space="0"/>
              <w:right w:val="single" w:color="auto" w:sz="4" w:space="0"/>
            </w:tcBorders>
            <w:noWrap/>
            <w:vAlign w:val="bottom"/>
          </w:tcPr>
          <w:p>
            <w:pPr>
              <w:jc w:val="center"/>
              <w:rPr>
                <w:rFonts w:hint="eastAsia" w:ascii="仿宋" w:hAnsi="仿宋" w:eastAsia="仿宋" w:cs="仿宋"/>
                <w:sz w:val="24"/>
                <w:szCs w:val="24"/>
              </w:rPr>
            </w:pPr>
            <w:r>
              <w:rPr>
                <w:rFonts w:hint="eastAsia" w:ascii="仿宋" w:hAnsi="仿宋" w:eastAsia="仿宋" w:cs="仿宋"/>
                <w:sz w:val="24"/>
                <w:szCs w:val="24"/>
              </w:rPr>
              <w:t>1</w:t>
            </w:r>
          </w:p>
        </w:tc>
      </w:tr>
    </w:tbl>
    <w:p>
      <w:pPr>
        <w:rPr>
          <w:rFonts w:hint="eastAsia" w:ascii="仿宋" w:hAnsi="仿宋" w:eastAsia="仿宋" w:cs="仿宋"/>
          <w:b/>
          <w:color w:val="auto"/>
          <w:sz w:val="24"/>
          <w:szCs w:val="24"/>
        </w:rPr>
      </w:pPr>
      <w:r>
        <w:rPr>
          <w:rFonts w:hint="eastAsia" w:ascii="仿宋" w:hAnsi="仿宋" w:eastAsia="仿宋" w:cs="仿宋"/>
          <w:b/>
          <w:color w:val="auto"/>
          <w:sz w:val="24"/>
          <w:szCs w:val="24"/>
        </w:rPr>
        <w:t>3、驻场服务</w:t>
      </w:r>
    </w:p>
    <w:p>
      <w:pPr>
        <w:rPr>
          <w:rFonts w:hint="eastAsia" w:ascii="仿宋" w:hAnsi="仿宋" w:eastAsia="仿宋" w:cs="仿宋"/>
          <w:b/>
          <w:color w:val="FF0000"/>
          <w:sz w:val="24"/>
          <w:szCs w:val="24"/>
        </w:rPr>
      </w:pPr>
      <w:r>
        <w:rPr>
          <w:rFonts w:hint="eastAsia" w:ascii="仿宋" w:hAnsi="仿宋" w:eastAsia="仿宋" w:cs="仿宋"/>
          <w:b/>
          <w:color w:val="auto"/>
          <w:sz w:val="24"/>
          <w:szCs w:val="24"/>
        </w:rPr>
        <w:t xml:space="preserve">   派遣网络工程师一名，提供一年驻场服务。</w:t>
      </w:r>
    </w:p>
    <w:p>
      <w:pPr>
        <w:rPr>
          <w:rFonts w:hint="eastAsia" w:ascii="仿宋" w:hAnsi="仿宋" w:eastAsia="仿宋" w:cs="仿宋"/>
          <w:sz w:val="24"/>
          <w:szCs w:val="24"/>
        </w:rPr>
      </w:pPr>
      <w:r>
        <w:rPr>
          <w:rFonts w:hint="eastAsia" w:ascii="仿宋" w:hAnsi="仿宋" w:eastAsia="仿宋" w:cs="仿宋"/>
          <w:b/>
          <w:sz w:val="24"/>
          <w:szCs w:val="24"/>
        </w:rPr>
        <w:t>三、技术指标</w:t>
      </w: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市局核心交换机2台：</w:t>
      </w:r>
    </w:p>
    <w:tbl>
      <w:tblPr>
        <w:tblStyle w:val="28"/>
        <w:tblW w:w="82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功能类别</w:t>
            </w:r>
          </w:p>
        </w:tc>
        <w:tc>
          <w:tcPr>
            <w:tcW w:w="6379" w:type="dxa"/>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品牌要求</w:t>
            </w:r>
          </w:p>
        </w:tc>
        <w:tc>
          <w:tcPr>
            <w:tcW w:w="6379" w:type="dxa"/>
            <w:shd w:val="clear" w:color="auto" w:fill="auto"/>
            <w:vAlign w:val="bottom"/>
          </w:tcPr>
          <w:p>
            <w:pPr>
              <w:jc w:val="left"/>
              <w:rPr>
                <w:rFonts w:hint="eastAsia" w:ascii="仿宋" w:hAnsi="仿宋" w:eastAsia="仿宋" w:cs="仿宋"/>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restart"/>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sz w:val="24"/>
                <w:szCs w:val="24"/>
              </w:rPr>
              <w:t>硬件架构</w:t>
            </w:r>
          </w:p>
        </w:tc>
        <w:tc>
          <w:tcPr>
            <w:tcW w:w="6379" w:type="dxa"/>
            <w:shd w:val="clear" w:color="auto" w:fill="auto"/>
            <w:vAlign w:val="center"/>
          </w:tcPr>
          <w:p>
            <w:pPr>
              <w:tabs>
                <w:tab w:val="left" w:pos="540"/>
              </w:tabs>
              <w:adjustRightInd w:val="0"/>
              <w:snapToGrid w:val="0"/>
              <w:jc w:val="left"/>
              <w:rPr>
                <w:rFonts w:hint="eastAsia" w:ascii="仿宋" w:hAnsi="仿宋" w:eastAsia="仿宋" w:cs="仿宋"/>
                <w:color w:val="000000"/>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业务槽位≥8、引擎槽位≥2、交换网板槽位≥4；当前配置交换容量≥17Tbps，支持后续扩展至30Tbps；当前配置包转发率≥5700Mpps, 支持后续扩展至8600Mpps；</w:t>
            </w:r>
            <w:r>
              <w:rPr>
                <w:rFonts w:hint="eastAsia" w:ascii="仿宋" w:hAnsi="仿宋" w:eastAsia="仿宋" w:cs="仿宋"/>
                <w:sz w:val="24"/>
                <w:szCs w:val="24"/>
                <w:shd w:val="clear" w:color="auto" w:fill="FAFAFA"/>
              </w:rPr>
              <w:t>上述指标具有官网截图并提供原厂盖章的产品彩页作为证明</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shd w:val="clear" w:color="auto" w:fill="auto"/>
            <w:vAlign w:val="center"/>
          </w:tcPr>
          <w:p>
            <w:pPr>
              <w:widowControl/>
              <w:jc w:val="center"/>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jc w:val="left"/>
              <w:rPr>
                <w:rFonts w:hint="eastAsia" w:ascii="仿宋" w:hAnsi="仿宋" w:eastAsia="仿宋" w:cs="仿宋"/>
                <w:color w:val="000000"/>
                <w:kern w:val="0"/>
                <w:sz w:val="24"/>
                <w:szCs w:val="24"/>
              </w:rPr>
            </w:pPr>
            <w:r>
              <w:rPr>
                <w:rFonts w:hint="eastAsia" w:ascii="仿宋" w:hAnsi="仿宋" w:eastAsia="仿宋" w:cs="仿宋"/>
                <w:sz w:val="24"/>
                <w:szCs w:val="24"/>
              </w:rPr>
              <w:t>CLOS多级交换架构，配置独立的交换网板和独立的主控板，交换网板与主控板硬件槽位分离；为满足当前机房上下通风散热的要求，要求核心交换机业务和引擎插槽为竖插槽，并提供原厂盖章的产品彩页作为证明；</w:t>
            </w:r>
            <w:r>
              <w:rPr>
                <w:rFonts w:hint="eastAsia" w:ascii="仿宋" w:hAnsi="仿宋" w:eastAsia="仿宋" w:cs="仿宋"/>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shd w:val="clear" w:color="auto" w:fill="auto"/>
            <w:vAlign w:val="center"/>
          </w:tcPr>
          <w:p>
            <w:pPr>
              <w:widowControl/>
              <w:jc w:val="center"/>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jc w:val="left"/>
              <w:rPr>
                <w:rFonts w:hint="eastAsia" w:ascii="仿宋" w:hAnsi="仿宋" w:eastAsia="仿宋" w:cs="仿宋"/>
                <w:color w:val="000000"/>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当前配置硬件N:1虚拟化技术，使用普通万兆以太口实现虚拟化；支持1：N虚拟化，支持一台交换机虚拟成N台互相独立的虚拟交换机；支持纵向异构虚拟化功能，支持不同系列和不同型号的设备通过虚拟化技术形成一台纵向逻辑虚拟设备；以上虚拟化技术要求官网具有明确说明，并提供原厂盖章的产品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VEPA特性</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支持虚拟机产生的网络流量上传至物理交换机进行处理，支持虚拟机流量监管、访问控制策略部署功能，官网具有明确说明，并提供原厂盖章的产品彩页作为证明；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FCOE特性</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支持LAN网络和存储网络异构部署，支持数据中心前端网络和后端网络架构的融合，官网具有明确说明，并提供原厂盖章的产品彩页作为证明；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58" w:type="dxa"/>
            <w:vMerge w:val="restart"/>
            <w:shd w:val="clear" w:color="auto" w:fill="auto"/>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Ipv6/MPLS VPN</w:t>
            </w:r>
          </w:p>
        </w:tc>
        <w:tc>
          <w:tcPr>
            <w:tcW w:w="6379" w:type="dxa"/>
            <w:shd w:val="clear" w:color="auto" w:fill="auto"/>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为保证未来IPv6使用，要求支持并配置Ipv4和Ipv6双协议栈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58" w:type="dxa"/>
            <w:vMerge w:val="continue"/>
            <w:shd w:val="clear" w:color="auto" w:fill="auto"/>
            <w:vAlign w:val="center"/>
          </w:tcPr>
          <w:p>
            <w:pPr>
              <w:rPr>
                <w:rFonts w:hint="eastAsia" w:ascii="仿宋" w:hAnsi="仿宋" w:eastAsia="仿宋" w:cs="仿宋"/>
                <w:sz w:val="24"/>
                <w:szCs w:val="24"/>
              </w:rPr>
            </w:pP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配置二、三层MPLS VPN，支持MCE，支持分布式 MPLS VPN处理；支持VLL（Maritni、Kompella）；支持并配置分层VPLS，以及QinQ+VPLS接入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MAC地址功能</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支持MAC地址自动学习和老化；支持基于端口和VLAN的MAC地址学习限制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冗余特性</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主机支持电源最大可配置≥5块电源，支持冗余电源；支持主控板冗余，支持交换网板冗余；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MPLS特性</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支持MPLS基本功能，支持MPLS OAM，支持MPLS TE，支持MPLS VPN/VLL/VPLS，所配板卡必须支持IPv6、MPLS VPN；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58"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多业务支持</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为了便于以后安全业务扩展和方便设备维护管理，核心设备支持独立式的防火墙业务板卡、应用控制业务板卡、负载均衡业务板卡、SSL VPN业务板卡、入侵防御业务板卡和无线控制器业务板卡等，以上板卡要求非多功能复合业务板；要求官网有明确说明，并提供原厂盖章产品的彩页作为证明；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设备管理</w:t>
            </w: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支持Console、Telnet、SSH等终端服务 支持SNMPv1/v2/v3等网络管理协议；支持通过FTP、TFTP方式上载、下载文件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restart"/>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配置要求</w:t>
            </w: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单台配置竖插槽千兆电口≥96、竖插槽千兆光口≥96、竖插槽万兆SFP+光口≥32；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vAlign w:val="center"/>
          </w:tcPr>
          <w:p>
            <w:pPr>
              <w:tabs>
                <w:tab w:val="left" w:pos="540"/>
              </w:tabs>
              <w:adjustRightInd w:val="0"/>
              <w:snapToGrid w:val="0"/>
              <w:jc w:val="left"/>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单台配置电源≥4、配置竖插槽全尺寸双引擎(不接受半宽或半高槽位配置，引擎尺寸与业务板尺寸大小相同，提供官网截图作为证明)、配置交换网板≥4；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vAlign w:val="center"/>
          </w:tcPr>
          <w:p>
            <w:pPr>
              <w:tabs>
                <w:tab w:val="left" w:pos="540"/>
              </w:tabs>
              <w:adjustRightInd w:val="0"/>
              <w:snapToGrid w:val="0"/>
              <w:jc w:val="left"/>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单台配置万兆5米虚拟化电缆3根；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vAlign w:val="center"/>
          </w:tcPr>
          <w:p>
            <w:pPr>
              <w:tabs>
                <w:tab w:val="left" w:pos="540"/>
              </w:tabs>
              <w:adjustRightInd w:val="0"/>
              <w:snapToGrid w:val="0"/>
              <w:jc w:val="left"/>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单台配置竖插槽40G防火墙板卡一块，要求实现HA功能，板卡固化千兆电口≥2个和千兆光口≥2个，可以利用核心交换机上的所有接口，并配置250个虚拟化防火墙授权；防火墙板卡官网具有明确说明并提供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858" w:type="dxa"/>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其它要求</w:t>
            </w:r>
          </w:p>
        </w:tc>
        <w:tc>
          <w:tcPr>
            <w:tcW w:w="6379" w:type="dxa"/>
            <w:shd w:val="clear" w:color="auto" w:fill="auto"/>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投标时提供原厂五年质保函（质保单位名称必须为“绍兴市公安局”）；投标时提供设备名称为“三层交换机”和所投标型号的三年以上入网证书（入网时间早于2010年10月），工信部网站可查并提供截图作为证明；预中标公示期内7个工作日须针对本项目的原厂授权； </w:t>
            </w:r>
          </w:p>
        </w:tc>
      </w:tr>
    </w:tbl>
    <w:p>
      <w:pPr>
        <w:rPr>
          <w:rFonts w:hint="eastAsia" w:ascii="仿宋" w:hAnsi="仿宋" w:eastAsia="仿宋" w:cs="仿宋"/>
          <w:sz w:val="24"/>
          <w:szCs w:val="24"/>
        </w:rPr>
      </w:pP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市局核心路由器2台：</w:t>
      </w:r>
    </w:p>
    <w:tbl>
      <w:tblPr>
        <w:tblStyle w:val="28"/>
        <w:tblW w:w="82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功能类别</w:t>
            </w:r>
          </w:p>
        </w:tc>
        <w:tc>
          <w:tcPr>
            <w:tcW w:w="6379" w:type="dxa"/>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推荐品牌</w:t>
            </w:r>
          </w:p>
        </w:tc>
        <w:tc>
          <w:tcPr>
            <w:tcW w:w="6379" w:type="dxa"/>
            <w:shd w:val="clear" w:color="auto" w:fill="auto"/>
            <w:vAlign w:val="bottom"/>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与核心交换机同一品牌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58" w:type="dxa"/>
            <w:vMerge w:val="restart"/>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硬件架构</w:t>
            </w: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业务槽位≥4，交换网板槽位≥4，引擎槽位≥2，业务子卡槽位≥16，高度≤8U(满足机房安装环境要求)；配置交换容量≥15Tbps，配置包转发率≥2800Mpps；CLOS多级交换架构级设备，配置独立的交换网板和独立的主控板，交换网板与主控板硬件槽位分离(非引擎板和业务板芯片分离)，以上要求提供设备产品所在官网网址和截图，并提供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shd w:val="clear" w:color="auto" w:fill="auto"/>
            <w:vAlign w:val="center"/>
          </w:tcPr>
          <w:p>
            <w:pPr>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支持1：N的虚拟化能力，一台物理设备可以虚拟化成多台逻辑网络设备，硬件上虚拟设备享有独立的CPU、内存、板卡等资源，软件上虚拟设备享有独立的控制平面、数据平面和管理平面，要求官网有明确说明，并提供截图和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shd w:val="clear" w:color="auto" w:fill="auto"/>
            <w:vAlign w:val="center"/>
          </w:tcPr>
          <w:p>
            <w:pPr>
              <w:rPr>
                <w:rFonts w:hint="eastAsia" w:ascii="仿宋" w:hAnsi="仿宋" w:eastAsia="仿宋" w:cs="仿宋"/>
                <w:sz w:val="24"/>
                <w:szCs w:val="24"/>
              </w:rPr>
            </w:pPr>
          </w:p>
        </w:tc>
        <w:tc>
          <w:tcPr>
            <w:tcW w:w="6379" w:type="dxa"/>
            <w:shd w:val="clear" w:color="auto" w:fill="auto"/>
            <w:vAlign w:val="center"/>
          </w:tcPr>
          <w:p>
            <w:pPr>
              <w:tabs>
                <w:tab w:val="left" w:pos="540"/>
              </w:tabs>
              <w:adjustRightInd w:val="0"/>
              <w:snapToGrid w:val="0"/>
              <w:rPr>
                <w:rFonts w:hint="eastAsia" w:ascii="仿宋" w:hAnsi="仿宋" w:eastAsia="仿宋" w:cs="仿宋"/>
                <w:sz w:val="24"/>
                <w:szCs w:val="24"/>
              </w:rPr>
            </w:pPr>
            <w:r>
              <w:rPr>
                <w:rFonts w:hint="eastAsia" w:ascii="仿宋" w:hAnsi="仿宋" w:eastAsia="仿宋" w:cs="仿宋"/>
                <w:sz w:val="24"/>
                <w:szCs w:val="24"/>
              </w:rPr>
              <w:t>支持纵向虚拟化功能，核心路由器作为控制单板，盒式设备作为端口扩展设备，核心设备与多台盒式设备组成一个虚拟逻辑设备，统一软件版本、统一控制管理，可以减少网络层次，简化维护工作量；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冗余特性</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支持主控引擎冗余，路由交换网板N+1冗余(N≥3)，电源N+1冗余(N≥3)；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可支持接口类型</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支持千兆电口≥160，千兆光口≥170，万兆光口≥170，40G光口≥30,100G接口≥30；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MAC地址功能</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支持MAC地址自动学习和老化；支持基于端口和VLAN的MAC地址学习限制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restart"/>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组播/ IPV6</w:t>
            </w:r>
          </w:p>
        </w:tc>
        <w:tc>
          <w:tcPr>
            <w:tcW w:w="6379" w:type="dxa"/>
            <w:shd w:val="clear" w:color="auto" w:fill="auto"/>
          </w:tcPr>
          <w:p>
            <w:pPr>
              <w:rPr>
                <w:rFonts w:hint="eastAsia" w:ascii="仿宋" w:hAnsi="仿宋" w:eastAsia="仿宋" w:cs="仿宋"/>
                <w:sz w:val="24"/>
                <w:szCs w:val="24"/>
              </w:rPr>
            </w:pPr>
            <w:r>
              <w:rPr>
                <w:rFonts w:hint="eastAsia" w:ascii="仿宋" w:hAnsi="仿宋" w:eastAsia="仿宋" w:cs="仿宋"/>
                <w:sz w:val="24"/>
                <w:szCs w:val="24"/>
              </w:rPr>
              <w:t>配置VPN组播、配置跨域的VPN组播（Option1/2/3），本次要求实际配置提供组播 VPN功能硬件板卡，不接受通过额外的license激活实现；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shd w:val="clear" w:color="auto" w:fill="auto"/>
          </w:tcPr>
          <w:p>
            <w:pPr>
              <w:rPr>
                <w:rFonts w:hint="eastAsia" w:ascii="仿宋" w:hAnsi="仿宋" w:eastAsia="仿宋" w:cs="仿宋"/>
                <w:sz w:val="24"/>
                <w:szCs w:val="24"/>
              </w:rPr>
            </w:pP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支持IPv6协议，支持IPv6路由功能，支持IPv4/IPv6过度隧道技术；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业务内置</w:t>
            </w:r>
          </w:p>
        </w:tc>
        <w:tc>
          <w:tcPr>
            <w:tcW w:w="6379" w:type="dxa"/>
            <w:shd w:val="clear" w:color="auto" w:fill="auto"/>
          </w:tcPr>
          <w:p>
            <w:pPr>
              <w:rPr>
                <w:rFonts w:hint="eastAsia" w:ascii="仿宋" w:hAnsi="仿宋" w:eastAsia="仿宋" w:cs="仿宋"/>
                <w:sz w:val="24"/>
                <w:szCs w:val="24"/>
              </w:rPr>
            </w:pPr>
            <w:r>
              <w:rPr>
                <w:rFonts w:hint="eastAsia" w:ascii="仿宋" w:hAnsi="仿宋" w:eastAsia="仿宋" w:cs="仿宋"/>
                <w:sz w:val="24"/>
                <w:szCs w:val="24"/>
              </w:rPr>
              <w:t>配置L2TP、GRE，为保证性能，L2TP、GRE功能要求由业务板卡实现，做到分布式处理；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Netstream</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配置Netstream功能，本次要求实际配置提供NetStream功能的硬件板卡，为保证Netstream效果，要求配置的硬件板卡内置Netstream功能，不接受通过额外的license激活实现；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接口类型</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支持10GE、2.5G POS、155M/622M POS、155M ATM、E3/T3、 8端口E1/E1-F接口、1/2端口CPOS、T1/T1-F、同步串口等广域网接口；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QOS</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支持优先级Mark/Remark，支持FIFO、PQ、CQ、WFQ、RTPQ、CBWFQ各种队列调度机制 ，支持拥塞避免算法：Tail-Drop、WRED ，支持层次化Qos（H-Qos）；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多业务扩展能力</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与路由器一体化的防火墙业务插卡、入侵防御业务板卡，以上板卡均非多业务复合板，以简化管理，消除单点故障，业务插卡必须在原厂官方网站上可查询到相关选配信息并提供网页截图；（截图需要包含网址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设备管理</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支持Console、Telnet、SSH等终端服务 支持SNMPv1/v2/v3等网络管理协议；支持通过FTP、TFTP方式上载、下载文件；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restart"/>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配置要求</w:t>
            </w: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单台配置万兆SFP+三层路由接口≥16；单台配置万兆5米虚拟化电缆2根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vMerge w:val="continue"/>
            <w:vAlign w:val="center"/>
          </w:tcPr>
          <w:p>
            <w:pPr>
              <w:rPr>
                <w:rFonts w:hint="eastAsia" w:ascii="仿宋" w:hAnsi="仿宋" w:eastAsia="仿宋" w:cs="仿宋"/>
                <w:sz w:val="24"/>
                <w:szCs w:val="24"/>
              </w:rPr>
            </w:pPr>
          </w:p>
        </w:tc>
        <w:tc>
          <w:tcPr>
            <w:tcW w:w="6379"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单台配置电源≥4、配置全尺寸双引擎(非半高或半宽配置，与业务板卡尺寸相同，提供官网截图和原厂盖章的产品彩页作为证明)、配置交换网板≥4；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58" w:type="dxa"/>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其它要求</w:t>
            </w:r>
          </w:p>
        </w:tc>
        <w:tc>
          <w:tcPr>
            <w:tcW w:w="6379" w:type="dxa"/>
            <w:shd w:val="clear" w:color="auto" w:fill="auto"/>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color w:val="000000"/>
                <w:kern w:val="0"/>
                <w:sz w:val="24"/>
                <w:szCs w:val="24"/>
              </w:rPr>
              <w:t>投标时提供原厂五年质保函（质保单位名称必须为“绍兴市公安局”）；投标时提供设备名称为“核心路由器”的入网证书，工信部网站可查并提供截图作为证明；预中标公示期内7个工作日须针对本项目的原厂授权；</w:t>
            </w:r>
          </w:p>
        </w:tc>
      </w:tr>
    </w:tbl>
    <w:p>
      <w:pPr>
        <w:rPr>
          <w:rFonts w:hint="eastAsia" w:ascii="仿宋" w:hAnsi="仿宋" w:eastAsia="仿宋" w:cs="仿宋"/>
          <w:sz w:val="24"/>
          <w:szCs w:val="24"/>
        </w:rPr>
      </w:pP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服务器汇聚交换机6台：</w:t>
      </w: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1"/>
              <w:ind w:left="360"/>
              <w:rPr>
                <w:rFonts w:hint="eastAsia" w:ascii="仿宋" w:hAnsi="仿宋" w:eastAsia="仿宋" w:cs="仿宋"/>
                <w:b/>
                <w:sz w:val="24"/>
                <w:szCs w:val="24"/>
              </w:rPr>
            </w:pPr>
            <w:r>
              <w:rPr>
                <w:rFonts w:hint="eastAsia" w:ascii="仿宋" w:hAnsi="仿宋" w:eastAsia="仿宋" w:cs="仿宋"/>
                <w:b/>
                <w:sz w:val="24"/>
                <w:szCs w:val="24"/>
              </w:rPr>
              <w:t>功能类别</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品牌要求</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bottom"/>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与核心交换机同一品牌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43" w:type="dxa"/>
            <w:vMerge w:val="restart"/>
            <w:tcBorders>
              <w:top w:val="single" w:color="auto" w:sz="4" w:space="0"/>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基本要求</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交换容量≥256Gbps、包转发≥132Mpps；固化48个千兆电口、4个SFP+万兆光端口；单台配置万兆虚拟化电缆2根(3M或以上)；支持SDN和Openflow特性；配置IPv4/v6 静态路由和RIPv1/v2、RIPng功能；提供官网截图和原厂盖章的产品彩页作为证明；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43" w:type="dxa"/>
            <w:vMerge w:val="continue"/>
            <w:tcBorders>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支持硬件N:1虚拟化技术，使用普通万兆以太口实现虚拟化；支持纵向维度上支持异构虚拟化，将核心和接入设备形成一台纵向逻辑虚拟设备；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VLAN特性</w:t>
            </w:r>
          </w:p>
        </w:tc>
        <w:tc>
          <w:tcPr>
            <w:tcW w:w="6379"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支持基于端口的VLAN、基于协议的VLAN、Voice VLAN、Guest VLAN、MAC VLAN、最大VLAN数(不是VLAN ID)&gt;=4094、支持QinQ，灵活QinQ、VLAN Mapping、支持PVLAN；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镜像功能</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支持本地端口镜像和远程端口镜像RSPAN；支持流镜像；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链路聚合</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支持GE/10GE端口聚合、支持动态聚合、支持跨设备聚合；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QoS</w:t>
            </w:r>
          </w:p>
        </w:tc>
        <w:tc>
          <w:tcPr>
            <w:tcW w:w="6379" w:type="dxa"/>
            <w:tcBorders>
              <w:top w:val="single" w:color="auto" w:sz="4" w:space="0"/>
              <w:left w:val="single" w:color="auto" w:sz="4" w:space="0"/>
              <w:bottom w:val="single" w:color="auto" w:sz="4" w:space="0"/>
              <w:right w:val="single" w:color="auto" w:sz="4" w:space="0"/>
            </w:tcBorders>
            <w:vAlign w:val="center"/>
          </w:tcPr>
          <w:p>
            <w:pPr>
              <w:pStyle w:val="102"/>
              <w:tabs>
                <w:tab w:val="left" w:pos="540"/>
              </w:tabs>
              <w:adjustRightInd w:val="0"/>
              <w:rPr>
                <w:rFonts w:hint="eastAsia" w:ascii="仿宋" w:hAnsi="仿宋" w:eastAsia="仿宋" w:cs="仿宋"/>
                <w:sz w:val="24"/>
                <w:szCs w:val="24"/>
              </w:rPr>
            </w:pPr>
            <w:r>
              <w:rPr>
                <w:rFonts w:hint="eastAsia" w:ascii="仿宋" w:hAnsi="仿宋" w:eastAsia="仿宋" w:cs="仿宋"/>
                <w:sz w:val="24"/>
                <w:szCs w:val="24"/>
              </w:rPr>
              <w:t>每个端口支持8个输出队列、支持端口队列调度（SP、WRR、SP+WRR）</w:t>
            </w:r>
          </w:p>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、支持对端口接收报文的速率和发送报文的速率进行限制、支持报文重定向、支持CAR功能；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组播协议</w:t>
            </w:r>
          </w:p>
        </w:tc>
        <w:tc>
          <w:tcPr>
            <w:tcW w:w="6379"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支持IGMP Snooping ，支持MLD Snooping，支持组播VLAN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生成树及二层链路切换协议</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支持STP/RSTP/MSTP/PVST协议；支持Smartlink技术，双上行链路故障切换时间小于50ms；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访问控制策略</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支持基于第二层、第三层和第四层的ACL；支持基于端口，VLAN，全局下发 ACL；支持IPv6的ACL策略；支持双向ACL；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OAM</w:t>
            </w:r>
          </w:p>
        </w:tc>
        <w:tc>
          <w:tcPr>
            <w:tcW w:w="6379" w:type="dxa"/>
            <w:tcBorders>
              <w:top w:val="single" w:color="auto" w:sz="4" w:space="0"/>
              <w:left w:val="single" w:color="auto" w:sz="4" w:space="0"/>
              <w:bottom w:val="single" w:color="auto" w:sz="4" w:space="0"/>
              <w:right w:val="single" w:color="auto" w:sz="4" w:space="0"/>
            </w:tcBorders>
            <w:vAlign w:val="center"/>
          </w:tcPr>
          <w:p>
            <w:pPr>
              <w:pStyle w:val="102"/>
              <w:tabs>
                <w:tab w:val="left" w:pos="540"/>
              </w:tabs>
              <w:adjustRightInd w:val="0"/>
              <w:rPr>
                <w:rFonts w:hint="eastAsia" w:ascii="仿宋" w:hAnsi="仿宋" w:eastAsia="仿宋" w:cs="仿宋"/>
                <w:sz w:val="24"/>
                <w:szCs w:val="24"/>
              </w:rPr>
            </w:pPr>
            <w:r>
              <w:rPr>
                <w:rFonts w:hint="eastAsia" w:ascii="仿宋" w:hAnsi="仿宋" w:eastAsia="仿宋" w:cs="仿宋"/>
                <w:sz w:val="24"/>
                <w:szCs w:val="24"/>
              </w:rPr>
              <w:t>支持802.1ag；支持802.3ah；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843"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安全特性</w:t>
            </w:r>
          </w:p>
        </w:tc>
        <w:tc>
          <w:tcPr>
            <w:tcW w:w="6379" w:type="dxa"/>
            <w:tcBorders>
              <w:top w:val="single" w:color="auto" w:sz="4" w:space="0"/>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支持IP+MAC+PORT的绑定；支持DHCP Snooping，防止欺骗的DHCP服务器；支持ARP检测来抵御ARP欺骗攻击；支持IP Source Check；</w:t>
            </w:r>
          </w:p>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支持IPv6安全特性包括IPv6环境下的IP＋MAC＋PORT绑定，NP detection，ND Snooping等；支持CPU防护；支持802.1x认证，支持集中式MAC地址认证；支持Portal认证；单端口同时开启802.1x认证，MAC认证，和Web认证，在客户端多样的网络环境中，通过单端口多认证的方式，满足客户端可以通过适合的认证方式接入网络，实现业务的灵活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虚拟化技术</w:t>
            </w:r>
          </w:p>
        </w:tc>
        <w:tc>
          <w:tcPr>
            <w:tcW w:w="6379"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 xml:space="preserve">支持多台物理设备虚拟为一台逻辑设备，可以将这多台设备看成一台单一设备进行管理和使用；支持纵向虚拟化技术，通过将接入设备作为远程接口板加入主设备系统，在纵向维度上将核心层设备和接入层设备虚拟为一台逻辑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c>
          <w:tcPr>
            <w:tcW w:w="6379" w:type="dxa"/>
            <w:vMerge w:val="continue"/>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843" w:type="dxa"/>
            <w:tcBorders>
              <w:top w:val="single" w:color="auto" w:sz="4" w:space="0"/>
              <w:left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管理</w:t>
            </w:r>
          </w:p>
        </w:tc>
        <w:tc>
          <w:tcPr>
            <w:tcW w:w="6379" w:type="dxa"/>
            <w:tcBorders>
              <w:top w:val="single" w:color="auto" w:sz="4" w:space="0"/>
              <w:left w:val="single" w:color="auto" w:sz="4" w:space="0"/>
              <w:bottom w:val="single" w:color="auto" w:sz="4" w:space="0"/>
              <w:right w:val="single" w:color="auto" w:sz="4" w:space="0"/>
            </w:tcBorders>
            <w:vAlign w:val="center"/>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支持SNMPv1/v2/v3，WEB网管；支持RMON告警、事件、历史记录；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其它要求</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投标时提供原厂五年质保函（质保单位名称必须为“绍兴市公安局”）；投标时提供设备入网证书，工信部网站可查并提供截图作为证明；预中标公示期内7个工作日须针对本项目的原厂授权；</w:t>
            </w:r>
          </w:p>
        </w:tc>
      </w:tr>
    </w:tbl>
    <w:p>
      <w:pPr>
        <w:rPr>
          <w:rFonts w:hint="eastAsia" w:ascii="仿宋" w:hAnsi="仿宋" w:eastAsia="仿宋" w:cs="仿宋"/>
          <w:sz w:val="24"/>
          <w:szCs w:val="24"/>
        </w:rPr>
      </w:pP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各县区万兆路由器12台：</w:t>
      </w:r>
    </w:p>
    <w:tbl>
      <w:tblPr>
        <w:tblStyle w:val="28"/>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6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tcBorders>
              <w:bottom w:val="single" w:color="auto" w:sz="4" w:space="0"/>
            </w:tcBorders>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功能类别</w:t>
            </w:r>
          </w:p>
        </w:tc>
        <w:tc>
          <w:tcPr>
            <w:tcW w:w="3869" w:type="pct"/>
            <w:tcBorders>
              <w:bottom w:val="single" w:color="auto" w:sz="4" w:space="0"/>
            </w:tcBorders>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tcBorders>
              <w:bottom w:val="single" w:color="auto" w:sz="4" w:space="0"/>
            </w:tcBorders>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品牌要求</w:t>
            </w:r>
          </w:p>
        </w:tc>
        <w:tc>
          <w:tcPr>
            <w:tcW w:w="3869" w:type="pct"/>
            <w:tcBorders>
              <w:bottom w:val="single" w:color="auto" w:sz="4" w:space="0"/>
            </w:tcBorders>
            <w:shd w:val="clear" w:color="auto" w:fill="auto"/>
            <w:vAlign w:val="bottom"/>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与核心交换机同一品牌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基本要求</w:t>
            </w: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kern w:val="0"/>
                <w:sz w:val="24"/>
                <w:szCs w:val="24"/>
              </w:rPr>
              <w:t>▲</w:t>
            </w:r>
            <w:r>
              <w:rPr>
                <w:rFonts w:hint="eastAsia" w:ascii="仿宋" w:hAnsi="仿宋" w:eastAsia="仿宋" w:cs="仿宋"/>
                <w:color w:val="000000"/>
                <w:kern w:val="0"/>
                <w:sz w:val="24"/>
                <w:szCs w:val="24"/>
              </w:rPr>
              <w:t>设备高度≤2RU，交换容量≥80Gbps，包转发≥15Mpps；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tcPr>
          <w:p>
            <w:pPr>
              <w:rPr>
                <w:rFonts w:hint="eastAsia" w:ascii="仿宋" w:hAnsi="仿宋" w:eastAsia="仿宋" w:cs="仿宋"/>
                <w:color w:val="000000"/>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配置内置冗余交流电源（不得配置外置电源或外接转换器）；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配置固化三层千兆电口≥4、固化三层千兆光口≥4、固化三层万兆SFP+光口≥2，以上接口不接受扩展卡或光电转换模块实现，要求业务模块槽位≥3；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配置GRE、IPSec、L2TP等VPN协议，内置硬件加密引擎，整机IPSec加密能力≥6Gbps，不允许通过额外的license激活实现；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配置分布式硬件NAT功能，NAT并发≥400万，要求官网具有明确说明，并提供原厂盖章的产品彩页作为证明；不允许通过额外的license激活实现；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配置IPv6协议，如OSPFv3/BGP4+/PIM6-DM/PIM6-SSM/VRRPv3等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MPLS和IPv4功能</w:t>
            </w:r>
          </w:p>
        </w:tc>
        <w:tc>
          <w:tcPr>
            <w:tcW w:w="3869" w:type="pct"/>
            <w:shd w:val="clear" w:color="auto" w:fill="FFFFFF"/>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配置MPLS VPN功能；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tabs>
                <w:tab w:val="left" w:pos="540"/>
              </w:tabs>
              <w:adjustRightInd w:val="0"/>
              <w:snapToGrid w:val="0"/>
              <w:jc w:val="left"/>
              <w:rPr>
                <w:rFonts w:hint="eastAsia" w:ascii="仿宋" w:hAnsi="仿宋" w:eastAsia="仿宋" w:cs="仿宋"/>
                <w:sz w:val="24"/>
                <w:szCs w:val="24"/>
              </w:rPr>
            </w:pPr>
          </w:p>
        </w:tc>
        <w:tc>
          <w:tcPr>
            <w:tcW w:w="3869" w:type="pct"/>
            <w:shd w:val="clear" w:color="auto" w:fill="FFFFFF"/>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color w:val="000000"/>
                <w:kern w:val="0"/>
                <w:sz w:val="24"/>
                <w:szCs w:val="24"/>
              </w:rPr>
              <w:t>支持策略路由、支持路由策略、ISIS多拓扑路由；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QoS功能</w:t>
            </w:r>
          </w:p>
        </w:tc>
        <w:tc>
          <w:tcPr>
            <w:tcW w:w="3869" w:type="pct"/>
            <w:shd w:val="clear" w:color="auto" w:fill="FFFFFF"/>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配置优先级Mark/Remark，支持并配置FIFO、PQ、CQ、WFQ、RTPQ、CBWFQ各种队列调度机制 ，支持并配置拥塞避免算法：Tail-Drop、WRED ，支持并配置支持层次化Qos（H-Qos），要求此参数官网可查，并提供产品彩页作为证明；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安全功能</w:t>
            </w:r>
          </w:p>
        </w:tc>
        <w:tc>
          <w:tcPr>
            <w:tcW w:w="3869" w:type="pct"/>
            <w:shd w:val="clear" w:color="auto" w:fill="FFFFFF"/>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配置包过滤防火墙功能，支持并配置状态防火墙ASPF功能，支持并配置Web过滤功能，支持并配置Portal认证功能，支持并配置IPSec、IPSec多实例、IKE功能；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Netstream</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硬件支持Netstream功能，本次要求实际配置NetStream功能的，为保证Netstream效果，要求硬件内置Netstream功能，不允许通过额外的license激活实现；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可靠性要求</w:t>
            </w:r>
          </w:p>
        </w:tc>
        <w:tc>
          <w:tcPr>
            <w:tcW w:w="3869" w:type="pct"/>
            <w:shd w:val="clear" w:color="auto" w:fill="FFFFFF"/>
            <w:vAlign w:val="center"/>
          </w:tcPr>
          <w:p>
            <w:pPr>
              <w:rPr>
                <w:rFonts w:hint="eastAsia" w:ascii="仿宋" w:hAnsi="仿宋" w:eastAsia="仿宋" w:cs="仿宋"/>
                <w:color w:val="666666"/>
                <w:kern w:val="0"/>
                <w:sz w:val="24"/>
                <w:szCs w:val="24"/>
              </w:rPr>
            </w:pPr>
            <w:r>
              <w:rPr>
                <w:rFonts w:hint="eastAsia" w:ascii="仿宋" w:hAnsi="仿宋" w:eastAsia="仿宋" w:cs="仿宋"/>
                <w:color w:val="000000"/>
                <w:kern w:val="0"/>
                <w:sz w:val="24"/>
                <w:szCs w:val="24"/>
              </w:rPr>
              <w:t>配置VRRP /VRRP v3 虚拟路由冗余协议功能，支持并配置VRRPE（VRRP增强）功能，支持并配置MPLS TE FRR（Fast ReRoute，快速重路由）功能；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虚拟化功能</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虚拟化功能，能够将多台路由器虚拟成一台设备，具备统一控制平面、统一转发平面；支持一台路由器虚拟成多台互相独立的虚拟路由器，硬件上虚拟设备享有独立的CPU、内存、板卡等资源，软件上虚拟设备享有独立的控制平面、数据平面和管理平面，虚拟路由器之间相互独立；虚拟化技术要求官网具有明确说明，并提供原厂盖章的产品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管理特性</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支持并配置网络质量分析功能，支持与VRRP、策略路由、静态路由联动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color w:val="000000"/>
                <w:kern w:val="0"/>
                <w:sz w:val="24"/>
                <w:szCs w:val="24"/>
              </w:rPr>
            </w:pP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支持通过命令行、Web、中文图形化配置软件等方式进行配置和管理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其它要求</w:t>
            </w:r>
          </w:p>
        </w:tc>
        <w:tc>
          <w:tcPr>
            <w:tcW w:w="3869" w:type="pct"/>
            <w:shd w:val="clear" w:color="auto" w:fill="FFFFFF"/>
            <w:vAlign w:val="center"/>
          </w:tcPr>
          <w:p>
            <w:pPr>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投标时提供原厂五年质保函（质保单位名称必须为“绍兴市公安局”）；投标时提供所投标型号的入网证书，工信部网站可查并提供截图作为证明；预中标公示期内7个工作日须针对本项目的原厂授权； </w:t>
            </w:r>
          </w:p>
        </w:tc>
      </w:tr>
    </w:tbl>
    <w:p>
      <w:pPr>
        <w:rPr>
          <w:rFonts w:hint="eastAsia" w:ascii="仿宋" w:hAnsi="仿宋" w:eastAsia="仿宋" w:cs="仿宋"/>
          <w:sz w:val="24"/>
          <w:szCs w:val="24"/>
        </w:rPr>
      </w:pP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越城区（滨海）千兆路由2台：</w:t>
      </w:r>
    </w:p>
    <w:tbl>
      <w:tblPr>
        <w:tblStyle w:val="28"/>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6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tcBorders>
              <w:bottom w:val="single" w:color="auto" w:sz="4" w:space="0"/>
            </w:tcBorders>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功能类别</w:t>
            </w:r>
          </w:p>
        </w:tc>
        <w:tc>
          <w:tcPr>
            <w:tcW w:w="3869" w:type="pct"/>
            <w:tcBorders>
              <w:bottom w:val="single" w:color="auto" w:sz="4" w:space="0"/>
            </w:tcBorders>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tcBorders>
              <w:bottom w:val="single" w:color="auto" w:sz="4" w:space="0"/>
            </w:tcBorders>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品牌要求</w:t>
            </w:r>
          </w:p>
        </w:tc>
        <w:tc>
          <w:tcPr>
            <w:tcW w:w="3869" w:type="pct"/>
            <w:tcBorders>
              <w:bottom w:val="single" w:color="auto" w:sz="4" w:space="0"/>
            </w:tcBorders>
            <w:shd w:val="clear" w:color="auto" w:fill="auto"/>
            <w:vAlign w:val="bottom"/>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与核心交换机同一品牌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基本要求</w:t>
            </w: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设备高度≤2RU，交换容量≥80Gbps，包转发≥15Mpps；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tcPr>
          <w:p>
            <w:pPr>
              <w:rPr>
                <w:rFonts w:hint="eastAsia" w:ascii="仿宋" w:hAnsi="仿宋" w:eastAsia="仿宋" w:cs="仿宋"/>
                <w:color w:val="000000"/>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配置内置冗余交流电源（不得配置外置电源或外接转换器）；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配置固化三层千兆电口≥4、固化三层千兆光口≥4；以上接口不接受扩展卡或光电转换模块实现，要求业务模块槽位≥3；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配置GRE、IPSec、L2TP等VPN协议，内置硬件加密引擎，整机IPSec加密能力≥6Gbps，不允许通过额外的license激活实现；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配置分布式硬件NAT功能，NAT并发≥400万，要求官网具有明确说明，并提供原厂盖章的产品彩页作为证明；不允许通过额外的license激活实现；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kern w:val="0"/>
                <w:sz w:val="24"/>
                <w:szCs w:val="24"/>
              </w:rPr>
            </w:pPr>
          </w:p>
        </w:tc>
        <w:tc>
          <w:tcPr>
            <w:tcW w:w="3869" w:type="pct"/>
            <w:shd w:val="clear" w:color="auto" w:fill="FFFFFF"/>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配置IPv6协议，如OSPFv3/BGP4+/PIM6-DM/PIM6-SSM/VRRPv3等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MPLS和IPv4功能</w:t>
            </w:r>
          </w:p>
        </w:tc>
        <w:tc>
          <w:tcPr>
            <w:tcW w:w="3869" w:type="pct"/>
            <w:shd w:val="clear" w:color="auto" w:fill="FFFFFF"/>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配置MPLS VPN功能；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tabs>
                <w:tab w:val="left" w:pos="540"/>
              </w:tabs>
              <w:adjustRightInd w:val="0"/>
              <w:snapToGrid w:val="0"/>
              <w:jc w:val="left"/>
              <w:rPr>
                <w:rFonts w:hint="eastAsia" w:ascii="仿宋" w:hAnsi="仿宋" w:eastAsia="仿宋" w:cs="仿宋"/>
                <w:sz w:val="24"/>
                <w:szCs w:val="24"/>
              </w:rPr>
            </w:pPr>
          </w:p>
        </w:tc>
        <w:tc>
          <w:tcPr>
            <w:tcW w:w="3869" w:type="pct"/>
            <w:shd w:val="clear" w:color="auto" w:fill="FFFFFF"/>
          </w:tcPr>
          <w:p>
            <w:pPr>
              <w:tabs>
                <w:tab w:val="left" w:pos="540"/>
              </w:tabs>
              <w:adjustRightInd w:val="0"/>
              <w:snapToGrid w:val="0"/>
              <w:jc w:val="left"/>
              <w:rPr>
                <w:rFonts w:hint="eastAsia" w:ascii="仿宋" w:hAnsi="仿宋" w:eastAsia="仿宋" w:cs="仿宋"/>
                <w:sz w:val="24"/>
                <w:szCs w:val="24"/>
              </w:rPr>
            </w:pPr>
            <w:r>
              <w:rPr>
                <w:rFonts w:hint="eastAsia" w:ascii="仿宋" w:hAnsi="仿宋" w:eastAsia="仿宋" w:cs="仿宋"/>
                <w:color w:val="000000"/>
                <w:kern w:val="0"/>
                <w:sz w:val="24"/>
                <w:szCs w:val="24"/>
              </w:rPr>
              <w:t>支持策略路由、支持路由策略、ISIS多拓扑路由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QoS功能</w:t>
            </w:r>
          </w:p>
        </w:tc>
        <w:tc>
          <w:tcPr>
            <w:tcW w:w="3869" w:type="pct"/>
            <w:shd w:val="clear" w:color="auto" w:fill="FFFFFF"/>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配置优先级Mark/Remark，支持并配置FIFO、PQ、CQ、WFQ、RTPQ、CBWFQ各种队列调度机制 ，支持并配置拥塞避免算法：Tail-Drop、WRED ，支持并配置支持层次化Qos（H-Qos），要求此参数官网可查，并提供产品彩页作为证明；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安全功能</w:t>
            </w:r>
          </w:p>
        </w:tc>
        <w:tc>
          <w:tcPr>
            <w:tcW w:w="3869" w:type="pct"/>
            <w:shd w:val="clear" w:color="auto" w:fill="FFFFFF"/>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配置包过滤防火墙功能，支持并配置状态防火墙ASPF功能，支持并配置Web过滤功能，支持并配置Portal认证功能，支持并配置IPSec、IPSec多实例、IKE功能；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Netstream</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硬件支持Netstream功能，本次要求实际配置NetStream功能的，为保证Netstream效果，要求硬件内置Netstream功能，不允许通过额外的license激活实现；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可靠性要求</w:t>
            </w:r>
          </w:p>
        </w:tc>
        <w:tc>
          <w:tcPr>
            <w:tcW w:w="3869" w:type="pct"/>
            <w:shd w:val="clear" w:color="auto" w:fill="FFFFFF"/>
            <w:vAlign w:val="center"/>
          </w:tcPr>
          <w:p>
            <w:pPr>
              <w:rPr>
                <w:rFonts w:hint="eastAsia" w:ascii="仿宋" w:hAnsi="仿宋" w:eastAsia="仿宋" w:cs="仿宋"/>
                <w:color w:val="666666"/>
                <w:kern w:val="0"/>
                <w:sz w:val="24"/>
                <w:szCs w:val="24"/>
              </w:rPr>
            </w:pPr>
            <w:r>
              <w:rPr>
                <w:rFonts w:hint="eastAsia" w:ascii="仿宋" w:hAnsi="仿宋" w:eastAsia="仿宋" w:cs="仿宋"/>
                <w:color w:val="000000"/>
                <w:kern w:val="0"/>
                <w:sz w:val="24"/>
                <w:szCs w:val="24"/>
              </w:rPr>
              <w:t>配置VRRP /VRRP v3 虚拟路由冗余协议功能，支持并配置VRRPE（VRRP增强）功能，支持并配置MPLS TE FRR（Fast ReRoute，快速重路由）功能；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虚拟化功能</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虚拟化功能，能够将多台路由器虚拟成一台设备，具备统一控制平面、统一转发平面；支持一台路由器虚拟成多台互相独立的虚拟路由器，硬件上虚拟设备享有独立的CPU、内存、板卡等资源，软件上虚拟设备享有独立的控制平面、数据平面和管理平面，虚拟路由器之间相互独立；虚拟化技术要求官网具有明确说明，并提供原厂盖章的产品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restar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管理特性</w:t>
            </w: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支持并配置网络质量分析功能，支持与VRRP、策略路由、静态路由联动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vMerge w:val="continue"/>
            <w:shd w:val="clear" w:color="auto" w:fill="FFFFFF"/>
            <w:vAlign w:val="center"/>
          </w:tcPr>
          <w:p>
            <w:pPr>
              <w:rPr>
                <w:rFonts w:hint="eastAsia" w:ascii="仿宋" w:hAnsi="仿宋" w:eastAsia="仿宋" w:cs="仿宋"/>
                <w:color w:val="000000"/>
                <w:kern w:val="0"/>
                <w:sz w:val="24"/>
                <w:szCs w:val="24"/>
              </w:rPr>
            </w:pPr>
          </w:p>
        </w:tc>
        <w:tc>
          <w:tcPr>
            <w:tcW w:w="3869"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支持通过命令行、Web、中文图形化配置软件等方式进行配置和管理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pct"/>
            <w:shd w:val="clear" w:color="auto" w:fill="FFFFFF"/>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其它要求</w:t>
            </w:r>
          </w:p>
        </w:tc>
        <w:tc>
          <w:tcPr>
            <w:tcW w:w="3869" w:type="pct"/>
            <w:shd w:val="clear" w:color="auto" w:fill="FFFFFF"/>
            <w:vAlign w:val="center"/>
          </w:tcPr>
          <w:p>
            <w:pPr>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投标时提供原厂五年质保函（质保单位名称必须为“绍兴市公安局”）；投标时提供所投标型号的入网证书，工信部网站可查并提供截图作为证明；预中标公示期内7个工作日须针对本项目的原厂授权； </w:t>
            </w:r>
          </w:p>
        </w:tc>
      </w:tr>
    </w:tbl>
    <w:p>
      <w:pPr>
        <w:rPr>
          <w:rFonts w:hint="eastAsia" w:ascii="仿宋" w:hAnsi="仿宋" w:eastAsia="仿宋" w:cs="仿宋"/>
          <w:sz w:val="24"/>
          <w:szCs w:val="24"/>
        </w:rPr>
      </w:pPr>
    </w:p>
    <w:p>
      <w:pPr>
        <w:pStyle w:val="71"/>
        <w:widowControl w:val="0"/>
        <w:numPr>
          <w:ilvl w:val="0"/>
          <w:numId w:val="8"/>
        </w:numPr>
        <w:spacing w:after="0" w:line="240" w:lineRule="auto"/>
        <w:contextualSpacing w:val="0"/>
        <w:jc w:val="both"/>
        <w:rPr>
          <w:rFonts w:hint="eastAsia" w:ascii="仿宋" w:hAnsi="仿宋" w:eastAsia="仿宋" w:cs="仿宋"/>
          <w:sz w:val="24"/>
          <w:szCs w:val="24"/>
        </w:rPr>
      </w:pPr>
      <w:r>
        <w:rPr>
          <w:rFonts w:hint="eastAsia" w:ascii="仿宋" w:hAnsi="仿宋" w:eastAsia="仿宋" w:cs="仿宋"/>
          <w:sz w:val="24"/>
          <w:szCs w:val="24"/>
        </w:rPr>
        <w:t>智能网管平台1套：</w:t>
      </w:r>
    </w:p>
    <w:tbl>
      <w:tblPr>
        <w:tblStyle w:val="28"/>
        <w:tblW w:w="82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16"/>
        <w:gridCol w:w="64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功能类别</w:t>
            </w:r>
          </w:p>
        </w:tc>
        <w:tc>
          <w:tcPr>
            <w:tcW w:w="6436" w:type="dxa"/>
            <w:shd w:val="clear" w:color="auto" w:fill="auto"/>
            <w:vAlign w:val="center"/>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技术要求及指标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shd w:val="clear" w:color="auto" w:fill="auto"/>
            <w:vAlign w:val="center"/>
          </w:tcPr>
          <w:p>
            <w:pPr>
              <w:jc w:val="center"/>
              <w:rPr>
                <w:rFonts w:hint="eastAsia" w:ascii="仿宋" w:hAnsi="仿宋" w:eastAsia="仿宋" w:cs="仿宋"/>
                <w:b/>
                <w:kern w:val="0"/>
                <w:sz w:val="24"/>
                <w:szCs w:val="24"/>
              </w:rPr>
            </w:pPr>
            <w:r>
              <w:rPr>
                <w:rFonts w:hint="eastAsia" w:ascii="仿宋" w:hAnsi="仿宋" w:eastAsia="仿宋" w:cs="仿宋"/>
                <w:b/>
                <w:kern w:val="0"/>
                <w:sz w:val="24"/>
                <w:szCs w:val="24"/>
              </w:rPr>
              <w:t>品牌要求</w:t>
            </w:r>
          </w:p>
        </w:tc>
        <w:tc>
          <w:tcPr>
            <w:tcW w:w="6436" w:type="dxa"/>
            <w:shd w:val="clear" w:color="auto" w:fill="auto"/>
            <w:vAlign w:val="bottom"/>
          </w:tcPr>
          <w:p>
            <w:pPr>
              <w:jc w:val="left"/>
              <w:rPr>
                <w:rFonts w:hint="eastAsia" w:ascii="仿宋" w:hAnsi="仿宋" w:eastAsia="仿宋" w:cs="仿宋"/>
                <w:b/>
                <w:kern w:val="0"/>
                <w:sz w:val="24"/>
                <w:szCs w:val="24"/>
              </w:rPr>
            </w:pPr>
            <w:r>
              <w:rPr>
                <w:rFonts w:hint="eastAsia" w:ascii="仿宋" w:hAnsi="仿宋" w:eastAsia="仿宋" w:cs="仿宋"/>
                <w:b/>
                <w:kern w:val="0"/>
                <w:sz w:val="24"/>
                <w:szCs w:val="24"/>
              </w:rPr>
              <w:t>与核心交换机同一品牌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多平台支持</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支持Windows、Linux平台及MS SQL、Oracle数据库，支持B/S架构。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移动客户端功能</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支持使用移动客户端（智能手机、平板电脑）访问iMC中的资源，如常见的iOS和Andorid移动操作系统；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Merge w:val="restart"/>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首页定制和大屏显示功能</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支持在首页上定制展示元素，设定页面布局，自定义多个首页页面。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Merge w:val="continue"/>
            <w:vAlign w:val="center"/>
          </w:tcPr>
          <w:p>
            <w:pPr>
              <w:widowControl/>
              <w:jc w:val="left"/>
              <w:rPr>
                <w:rFonts w:hint="eastAsia" w:ascii="仿宋" w:hAnsi="仿宋" w:eastAsia="仿宋" w:cs="仿宋"/>
                <w:color w:val="000000"/>
                <w:kern w:val="0"/>
                <w:sz w:val="24"/>
                <w:szCs w:val="24"/>
              </w:rPr>
            </w:pP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支持高分辨率大屏幕监视网络运行情况，以便帮助管理人员实时掌握网络运行状态，显示的内容可根据管理员的需求进行定制；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可以自定义拓扑</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根据网络的实际组网，管理员可对拓扑图进行灵活定制网络拓扑，包括对设备、链路、背景图等自定义修改；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设备与流量分析统一管理</w:t>
            </w:r>
          </w:p>
        </w:tc>
        <w:tc>
          <w:tcPr>
            <w:tcW w:w="6436" w:type="dxa"/>
            <w:vAlign w:val="center"/>
          </w:tcPr>
          <w:p>
            <w:pPr>
              <w:widowControl/>
              <w:tabs>
                <w:tab w:val="left" w:pos="4188"/>
              </w:tabs>
              <w:ind w:right="76"/>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支持并配置网络管理平台实现设备管理与流量分析联动功能，如通过点击拓扑某链路可查看该链路的关键应用流量分布、关键用户流量使用等；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硬件平台电源</w:t>
            </w:r>
          </w:p>
        </w:tc>
        <w:tc>
          <w:tcPr>
            <w:tcW w:w="6436" w:type="dxa"/>
            <w:vAlign w:val="center"/>
          </w:tcPr>
          <w:p>
            <w:pPr>
              <w:widowControl/>
              <w:tabs>
                <w:tab w:val="left" w:pos="4188"/>
              </w:tabs>
              <w:ind w:right="76"/>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刀箱支持≥6个电源模块，支持N+1、N+N冗余模式；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IPv6功能 </w:t>
            </w:r>
          </w:p>
        </w:tc>
        <w:tc>
          <w:tcPr>
            <w:tcW w:w="6436" w:type="dxa"/>
            <w:vAlign w:val="center"/>
          </w:tcPr>
          <w:p>
            <w:pPr>
              <w:widowControl/>
              <w:tabs>
                <w:tab w:val="left" w:pos="4188"/>
              </w:tabs>
              <w:ind w:right="76"/>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支持并配置IPv6环境下的资源、性能、告警、拓扑、面板管理功能，包括纯IPv6组网和双栈组网；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设备配置集中管理</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支持、配置库包括配置文件和配置片断，配置内容可带有参数，在部署时根据设备的差异设置不同的值；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设备软件智能升级</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支持并配置网络运行设备的软件版本查询功能，支持先备份后升级，保证一旦升级失败后可以恢复到原有设备软件版本，支持对整个升级过程的可靠性检查；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双机热备</w:t>
            </w:r>
          </w:p>
        </w:tc>
        <w:tc>
          <w:tcPr>
            <w:tcW w:w="6436" w:type="dxa"/>
            <w:vAlign w:val="center"/>
          </w:tcPr>
          <w:p>
            <w:pPr>
              <w:widowControl/>
              <w:tabs>
                <w:tab w:val="left" w:pos="4188"/>
              </w:tabs>
              <w:ind w:right="76"/>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支持并配置主备服务器共享存储功能，公用一个虚拟IP，实时备份，保障系统切换时无数据丢失；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181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配置要求</w:t>
            </w:r>
          </w:p>
        </w:tc>
        <w:tc>
          <w:tcPr>
            <w:tcW w:w="6436" w:type="dxa"/>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1、提供管理软件平台1套；</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2、配置50个有线节点管理功能；</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3、硬件配置要求2颗处理器，Intel Xeon E5-2600系列以上，配置2根8GB内存；内存支持RDIMM,UDIMM；主板集成2端口万兆以太网卡，万兆单端口虚拟成4个虚端口，支持TOE、TCP/IP卸载、SR-IOV；硬盘空间≥300G；集成硬件RAID卡，配置512M缓存，提供FBWC数据保护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816" w:type="dxa"/>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其它要求</w:t>
            </w:r>
          </w:p>
        </w:tc>
        <w:tc>
          <w:tcPr>
            <w:tcW w:w="6436" w:type="dxa"/>
            <w:vAlign w:val="center"/>
          </w:tcPr>
          <w:p>
            <w:pPr>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投标时提供原厂五年质保函（质保单位名称必须为“绍兴市公安局”）；预中标公示期内7个工作日须针对本项目的原厂授权； </w:t>
            </w:r>
          </w:p>
        </w:tc>
      </w:tr>
    </w:tbl>
    <w:p>
      <w:pPr>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color w:val="auto"/>
          <w:kern w:val="0"/>
          <w:sz w:val="24"/>
          <w:szCs w:val="24"/>
        </w:rPr>
        <w:t>▲</w:t>
      </w:r>
      <w:r>
        <w:rPr>
          <w:rFonts w:hint="eastAsia" w:ascii="仿宋" w:hAnsi="仿宋" w:eastAsia="仿宋" w:cs="仿宋"/>
          <w:b/>
          <w:color w:val="auto"/>
          <w:sz w:val="24"/>
          <w:szCs w:val="24"/>
        </w:rPr>
        <w:t>驻场维护人员，三年以上工作经历，能熟练解决各类网络问题，要求具有HCIE或者H3CIE或同级别证书。</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四、其他</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sz w:val="24"/>
          <w:szCs w:val="24"/>
        </w:rPr>
        <w:t xml:space="preserve"> </w:t>
      </w:r>
      <w:r>
        <w:rPr>
          <w:rFonts w:hint="eastAsia" w:ascii="仿宋" w:hAnsi="仿宋" w:eastAsia="仿宋" w:cs="仿宋"/>
          <w:kern w:val="0"/>
          <w:sz w:val="24"/>
          <w:szCs w:val="24"/>
        </w:rPr>
        <w:t>1.服务响应</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提供7×24×365全天侯服务，及时解决故障，电话半小时内必须响应。</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2.故障排除</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使用方发现设备或光纤通信网络故障，以电子邮件、传真或电话等形式告知中标方。中标方接到故障申告后须在相应的时限内修复，逾期未修复，则扣除超时的费用。具体为：</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1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①</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因中标方通信设备损坏或产生的故障，须在接到使用方故障报修的通知后，立即使用替代设备支持系统正常运行，并在24小时内排除。24小时内不能排除的，扣除超时的日租费，直至修复为止。若一个月内累计故障日超过10日（含），则扣除该点位当月的租赁费；一季度内累计故障日超过30日（含），则扣除该点位全年的租赁费。</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2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②</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因交通事故、人为因素等外力破坏导致基础、立杆、光纤通信网络设施损坏，修复时限为国家执法部门取证后5个日历日内完成（恶劣天气或施工条件不具备而无法施工的，向招标人提出延长施工期限申请，甲方同意后予以适当延长）。</w:t>
      </w:r>
    </w:p>
    <w:p>
      <w:pPr>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3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③</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 xml:space="preserve">因招标人原因要求设备改造或系统升级，导致光纤通信网络中断或故障，中标方需提前将施工时间、进度、时限等信息上报招标人进行备案，经同意后开始施工。施工期间，招标人需正常支付租赁费。超出施工时限，则扣除逾期的租赁费。  </w:t>
      </w:r>
    </w:p>
    <w:p>
      <w:pPr>
        <w:spacing w:line="440" w:lineRule="exact"/>
        <w:ind w:firstLine="480" w:firstLineChars="200"/>
        <w:jc w:val="left"/>
        <w:rPr>
          <w:rFonts w:hint="eastAsia" w:ascii="仿宋" w:hAnsi="仿宋" w:eastAsia="仿宋" w:cs="仿宋"/>
          <w:kern w:val="0"/>
          <w:sz w:val="24"/>
          <w:szCs w:val="24"/>
          <w:lang w:val="zh-CN"/>
        </w:rPr>
      </w:pPr>
      <w:r>
        <w:rPr>
          <w:rFonts w:hint="eastAsia" w:ascii="仿宋" w:hAnsi="仿宋" w:eastAsia="仿宋" w:cs="仿宋"/>
          <w:kern w:val="0"/>
          <w:sz w:val="24"/>
          <w:szCs w:val="24"/>
        </w:rPr>
        <w:t>3</w:t>
      </w:r>
      <w:r>
        <w:rPr>
          <w:rFonts w:hint="eastAsia" w:ascii="仿宋" w:hAnsi="仿宋" w:eastAsia="仿宋" w:cs="仿宋"/>
          <w:kern w:val="0"/>
          <w:sz w:val="24"/>
          <w:szCs w:val="24"/>
          <w:lang w:val="zh-CN"/>
        </w:rPr>
        <w:t>.交货方式：中标人负责运至现场安装调试，在整个系统设备安装调试验收合格前的所有设备材料的运输、保管、保险均由中标人负责。</w:t>
      </w:r>
    </w:p>
    <w:p>
      <w:pPr>
        <w:spacing w:line="440" w:lineRule="exact"/>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zh-CN"/>
        </w:rPr>
        <w:t>4.租赁期内,提供相关维护记录。</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5.付款方式：合同签订后，乙方向甲方指定账户支付合同金额的5%作为履约保证金，合同签订维护开始，甲方向乙方支付合同金额的100%，维护期满验收合格后，甲方退还履约保证金（不计息）。</w:t>
      </w: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jc w:val="both"/>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pStyle w:val="15"/>
        <w:spacing w:line="288" w:lineRule="auto"/>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1.合同</w:t>
      </w:r>
      <w:bookmarkStart w:id="7" w:name="OLE_LINK1"/>
      <w:r>
        <w:rPr>
          <w:rFonts w:hint="eastAsia" w:ascii="仿宋" w:hAnsi="仿宋" w:eastAsia="仿宋" w:cs="仿宋"/>
          <w:b/>
          <w:sz w:val="24"/>
        </w:rPr>
        <w:t>范围</w:t>
      </w:r>
      <w:bookmarkEnd w:id="7"/>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本合同条款适用与本次采购活动。项目实施范围详见附件——招标文件和投标文件及补充文件、采购设计图、承诺书等。</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2.合同的签订</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2.1.1交货地点：用户指定地点。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2.1.2完工期：按标项内具体要求执行。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2.2交货方式：所有成果应同时提供电子文档和纸质文档。所需的印刷、运送等费用均由中标人负责。</w:t>
      </w:r>
    </w:p>
    <w:p>
      <w:pPr>
        <w:spacing w:line="288"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3.付款方式：按标项内具体要求执行。</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4.合同修改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4.1双方的任何一方对合同内容提出修改，均应以书面形式通知对方，并达成由双方签署的合同修改书，须报政府采购管理部门批准。</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4.2除非招标人提出大幅增加内容的要求，中标人不得对合同价格提出修改要求。</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5. 质量标准和验收</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5.1中标人提供的产品及服务必须是经合法途径取得的。</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5.2中标人应按现行的国家或行业技术及验收标准和招标文件的规定提供内容和服务，因中标人提供的内容或服务达不到约定的质量标准，中标人承担违约责任。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5.3验收由使用单位按规定组织相关人员或专家进行。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5.4双方对内容或服务的质量有争议的，由双方同意的仲裁鉴定，所需费及因此造成的损失由责任方承担，双方均有责任的，双方根据其责任分别承担。</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6.违约责任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6.1提供的内容和服务质量必须达到合格，凡合同期内发现的问题，中标人必须无偿返工直至符合质量要求，承担返工所发生的一切费用和招标人的直接经济损失。</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6.2由于招标人保管不善或使用不当造成设备短缺、故障或损坏，中标人协助招标人及时给予补齐或修复。</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7．违约赔偿</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7.1除不可抗力外，如中标人发生不能按期完成工作任务，招标人发生中途变更等情况，应及时以书面形式通知对方。双方应本着友好的态度进行协商，妥善解决。如协商无效，按规定处以违约金。</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7.2 中标人和采购人签订合同，按合同规定的时间完成相关工作。逾期每推迟一天，扣中标价0.1%的滞纳金给采购人。</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7.3招标人在规定时间无正当理由拒签合同者，以招标违约处理，并赔偿中标人由此造成的直接经济损失。</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8.不可抗力</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9.解决合同纠纷的方式</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9.1凡有关本合同或与本合同中发生的争端，双方应通过友好协商，妥善解决。如通过协商仍不能解决时，可向当地的仲裁机构申请仲裁或人民法院起诉。</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9.2仲裁和诉讼费用除仲裁机构和人民法院另有裁决外，由败诉方承担。</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9.3在仲裁和诉讼期间，除正在进行裁定的部分外，本合同其他部分应继续执行。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9.4合同应在双方签字盖章，采购人收到中标人提供的履约保证金后开始生效。</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（注：在正式签约时，根据上述精神应拟就更为详尽的合同书）</w:t>
      </w:r>
    </w:p>
    <w:p>
      <w:pPr>
        <w:spacing w:line="288" w:lineRule="auto"/>
        <w:rPr>
          <w:rFonts w:ascii="仿宋" w:hAnsi="仿宋" w:eastAsia="仿宋" w:cs="仿宋"/>
          <w:sz w:val="24"/>
        </w:rPr>
      </w:pPr>
    </w:p>
    <w:p>
      <w:pPr>
        <w:pStyle w:val="9"/>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pPr>
    </w:p>
    <w:p>
      <w:pPr>
        <w:pStyle w:val="27"/>
        <w:ind w:left="0" w:leftChars="0" w:firstLine="0" w:firstLineChars="0"/>
        <w:rPr>
          <w:rFonts w:ascii="仿宋" w:hAnsi="仿宋" w:eastAsia="仿宋" w:cs="仿宋"/>
          <w:b/>
          <w:sz w:val="36"/>
          <w:szCs w:val="36"/>
        </w:rPr>
      </w:pPr>
    </w:p>
    <w:p>
      <w:pPr>
        <w:pStyle w:val="27"/>
        <w:ind w:firstLine="0" w:firstLineChars="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p>
    <w:p>
      <w:pPr>
        <w:pStyle w:val="15"/>
        <w:spacing w:line="360" w:lineRule="auto"/>
        <w:jc w:val="left"/>
        <w:rPr>
          <w:rFonts w:ascii="仿宋" w:hAnsi="仿宋" w:eastAsia="仿宋"/>
          <w:sz w:val="24"/>
          <w:szCs w:val="24"/>
        </w:rPr>
      </w:pPr>
      <w:r>
        <w:rPr>
          <w:rFonts w:ascii="FangSong_GB2312" w:hAnsi="宋体" w:eastAsia="FangSong_GB2312" w:cs="FangSong_GB2312"/>
          <w:b/>
          <w:bCs/>
          <w:sz w:val="24"/>
          <w:szCs w:val="24"/>
        </w:rPr>
        <w:t>1</w:t>
      </w:r>
      <w:r>
        <w:rPr>
          <w:rFonts w:hint="eastAsia" w:ascii="FangSong_GB2312" w:hAnsi="宋体" w:eastAsia="FangSong_GB2312" w:cs="FangSong_GB2312"/>
          <w:b/>
          <w:bCs/>
          <w:sz w:val="24"/>
          <w:szCs w:val="24"/>
        </w:rPr>
        <w:t>、</w:t>
      </w:r>
      <w:r>
        <w:rPr>
          <w:rFonts w:hint="eastAsia" w:ascii="仿宋" w:hAnsi="仿宋" w:eastAsia="仿宋" w:cs="仿宋"/>
          <w:b/>
          <w:bCs/>
          <w:sz w:val="24"/>
          <w:szCs w:val="24"/>
        </w:rPr>
        <w:t>评标方法：</w:t>
      </w:r>
      <w:r>
        <w:rPr>
          <w:rFonts w:hint="eastAsia" w:ascii="仿宋" w:hAnsi="仿宋" w:eastAsia="仿宋" w:cs="仿宋"/>
          <w:sz w:val="24"/>
          <w:szCs w:val="24"/>
        </w:rPr>
        <w:t>采用最低评标价法，即在最大限度满足招标文件实质性要求前提下，由评标委员会对各投标人资格、报价、服务承诺等各方面进行符合性评审。符合性评审完，对所有有效报价从低到高顺序确定报价最低者为中标单位。最低者有效最低报价出现相同的，抽签决定中标</w:t>
      </w:r>
      <w:r>
        <w:rPr>
          <w:rFonts w:hint="eastAsia" w:ascii="Times New Roman" w:hAnsi="Times New Roman" w:eastAsia="仿宋" w:cs="仿宋"/>
          <w:sz w:val="24"/>
          <w:szCs w:val="24"/>
        </w:rPr>
        <w:t>单位</w:t>
      </w:r>
      <w:r>
        <w:rPr>
          <w:rFonts w:hint="eastAsia" w:ascii="仿宋" w:hAnsi="仿宋" w:eastAsia="仿宋" w:cs="仿宋"/>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8"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投标人按照以下格式编制投标文件，并将报价文件、商务技术（资信）文件分别装订成册。</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w:t>
      </w:r>
      <w:r>
        <w:rPr>
          <w:rFonts w:hint="eastAsia" w:ascii="仿宋" w:hAnsi="仿宋" w:eastAsia="仿宋" w:cs="仿宋"/>
          <w:szCs w:val="24"/>
          <w:u w:val="single"/>
        </w:rPr>
        <w:t>、耀华建设管理有限公司</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）的要求，正式授权下述签字人</w:t>
      </w:r>
      <w:r>
        <w:rPr>
          <w:rFonts w:hint="eastAsia" w:ascii="仿宋" w:hAnsi="仿宋" w:eastAsia="仿宋" w:cs="仿宋"/>
          <w:b/>
          <w:szCs w:val="24"/>
          <w:u w:val="single"/>
        </w:rPr>
        <w:t>（填写姓名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我方已完全明白招标文件的所有条款要求，兹宣布同意如下：</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1.承诺按标书和合同的规定履行责任和义务。</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(1)具有独立承担民事责任的能力；</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(2)遵守国家法律、行政法规，具有良好的信誉和商业道德；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(3)具有履行合同的能力和良好的履行合同记录；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(4)良好的资金、财务状况；</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(5)产品及生产所需装备符合中国政府规定的相应技术标准和环保标准；</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(6)没有违反政府采购法规、政策的记录；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(7)没有发生重大经济纠纷和走私犯罪记录。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 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4.我单位保证所供货物质量符合国家强制性规范和标准，达到招标文件规定的要求；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5.我方理解贵方将不受你们所收到的最低报价或其它任何投标文件的约束；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6.本投标自开标之日（投标截止之日）起60天内有效，如中标，有效期将延至合同终止日为止。</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7.我方承诺完全遵守和满足招标文件供货日期(完工日期)和所投产品(服务)的质保期(免费保修期)要求。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a)提供虚假材料谋取中标、成交的；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b)采取不正当手段诋毁、排挤其他供应商的；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c)与采购人、其它供应商或者采购代理机构恶意串通的；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e)在招标采购过程中与采购人进行协商谈判的；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f)拒绝有关部门监督检查或提供虚假情况的。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4"/>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w:t>
            </w:r>
            <w:r>
              <w:rPr>
                <w:rFonts w:hint="eastAsia" w:ascii="仿宋" w:hAnsi="仿宋" w:eastAsia="仿宋" w:cs="仿宋"/>
                <w:b/>
                <w:sz w:val="24"/>
                <w:u w:val="single"/>
              </w:rPr>
              <w:t xml:space="preserve">            </w:t>
            </w:r>
            <w:r>
              <w:rPr>
                <w:rFonts w:hint="eastAsia" w:ascii="仿宋" w:hAnsi="仿宋" w:eastAsia="仿宋" w:cs="仿宋"/>
                <w:b/>
                <w:sz w:val="24"/>
              </w:rPr>
              <w:t>（请填写企业名称）制造，该企业</w:t>
            </w:r>
            <w:r>
              <w:rPr>
                <w:rFonts w:hint="eastAsia" w:ascii="仿宋" w:hAnsi="仿宋" w:eastAsia="仿宋" w:cs="仿宋"/>
                <w:b/>
                <w:sz w:val="24"/>
                <w:u w:val="single"/>
              </w:rPr>
              <w:t xml:space="preserve">         </w:t>
            </w:r>
            <w:r>
              <w:rPr>
                <w:rFonts w:hint="eastAsia" w:ascii="仿宋" w:hAnsi="仿宋" w:eastAsia="仿宋" w:cs="仿宋"/>
                <w:b/>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76"/>
        <w:widowControl/>
        <w:numPr>
          <w:ilvl w:val="0"/>
          <w:numId w:val="9"/>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76"/>
        <w:widowControl/>
        <w:numPr>
          <w:ilvl w:val="0"/>
          <w:numId w:val="9"/>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rPr>
        <w:t>绍兴市</w:t>
      </w:r>
      <w:r>
        <w:rPr>
          <w:rFonts w:hint="eastAsia" w:ascii="仿宋_GB2312" w:hAnsi="仿宋_GB2312" w:eastAsia="仿宋_GB2312" w:cs="仿宋_GB2312"/>
          <w:u w:val="single"/>
          <w:lang w:eastAsia="zh-CN"/>
        </w:rPr>
        <w:t>公安局</w:t>
      </w:r>
      <w:r>
        <w:rPr>
          <w:rFonts w:hint="eastAsia" w:ascii="仿宋_GB2312" w:hAnsi="仿宋_GB2312" w:eastAsia="仿宋_GB2312" w:cs="仿宋_GB2312"/>
        </w:rPr>
        <w:t>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 xml:space="preserve">采购活动提供本企业制造的货物，由本企业承担工程、提供服务，或者提供其他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jc w:val="right"/>
        <w:rPr>
          <w:rFonts w:ascii="仿宋_GB2312" w:hAnsi="仿宋_GB2312" w:eastAsia="仿宋_GB2312" w:cs="仿宋_GB2312"/>
          <w:sz w:val="24"/>
        </w:rPr>
      </w:pPr>
      <w:r>
        <w:rPr>
          <w:rFonts w:hint="eastAsia" w:ascii="仿宋_GB2312" w:hAnsi="仿宋_GB2312" w:eastAsia="仿宋_GB2312" w:cs="仿宋_GB2312"/>
          <w:sz w:val="24"/>
        </w:rPr>
        <w:t xml:space="preserve">声明企业（盖章）： </w:t>
      </w: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88" w:lineRule="auto"/>
        <w:ind w:firstLine="480" w:firstLineChars="200"/>
        <w:rPr>
          <w:rFonts w:ascii="仿宋" w:hAnsi="仿宋" w:eastAsia="仿宋" w:cs="仿宋"/>
          <w:sz w:val="24"/>
        </w:rPr>
      </w:pP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7"/>
        <w:spacing w:line="288" w:lineRule="auto"/>
        <w:ind w:left="0" w:firstLine="0" w:firstLineChars="0"/>
        <w:rPr>
          <w:rFonts w:ascii="仿宋" w:eastAsia="仿宋" w:cs="仿宋"/>
        </w:rPr>
      </w:pPr>
      <w:r>
        <w:rPr>
          <w:rFonts w:hint="eastAsia" w:ascii="仿宋" w:eastAsia="仿宋" w:cs="仿宋"/>
        </w:rPr>
        <w:t>（1）法定代表人授权书 ………………………………………………………………（页码）</w:t>
      </w:r>
    </w:p>
    <w:p>
      <w:pPr>
        <w:pStyle w:val="77"/>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7"/>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7"/>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rPr>
        <w:t>………</w:t>
      </w:r>
      <w:r>
        <w:rPr>
          <w:rFonts w:hint="eastAsia" w:ascii="仿宋" w:hAnsi="仿宋" w:eastAsia="仿宋" w:cs="仿宋"/>
          <w:kern w:val="0"/>
          <w:sz w:val="24"/>
        </w:rPr>
        <w:t>…（页码）</w:t>
      </w:r>
    </w:p>
    <w:p>
      <w:pPr>
        <w:pStyle w:val="77"/>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7"/>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7"/>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7"/>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rPr>
        <w:t>绍兴市固废、土壤监管制度体系建设项目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w:t>
      </w:r>
      <w:r>
        <w:rPr>
          <w:rFonts w:hint="eastAsia" w:ascii="仿宋" w:hAnsi="仿宋" w:eastAsia="仿宋" w:cs="仿宋"/>
          <w:b/>
          <w:sz w:val="30"/>
          <w:szCs w:val="30"/>
          <w:lang w:eastAsia="zh-CN"/>
        </w:rPr>
        <w:t>2018年度或2019年度</w:t>
      </w:r>
      <w:r>
        <w:rPr>
          <w:rFonts w:hint="eastAsia" w:ascii="仿宋" w:hAnsi="仿宋" w:eastAsia="仿宋" w:cs="仿宋"/>
          <w:b/>
          <w:sz w:val="30"/>
          <w:szCs w:val="30"/>
        </w:rPr>
        <w:t>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w:t>
      </w:r>
      <w:r>
        <w:rPr>
          <w:rFonts w:hint="eastAsia" w:ascii="仿宋" w:hAnsi="仿宋" w:eastAsia="仿宋" w:cs="仿宋"/>
          <w:sz w:val="24"/>
        </w:rPr>
        <w:t>绍兴市固废、土壤监管制度体系建设项目（招标编号:）合同所必需的设备和专业技术能力。如中标，我方将保证合同顺利履行。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color w:val="FF0000"/>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8"/>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 xml:space="preserve">法定代表人或其授权代表（签字）：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8"/>
        <w:ind w:firstLine="0"/>
        <w:jc w:val="both"/>
        <w:rPr>
          <w:rFonts w:ascii="仿宋" w:eastAsia="仿宋" w:cs="仿宋"/>
        </w:rPr>
      </w:pPr>
    </w:p>
    <w:p>
      <w:pPr>
        <w:pStyle w:val="78"/>
        <w:ind w:firstLine="0"/>
        <w:jc w:val="both"/>
        <w:rPr>
          <w:rFonts w:ascii="仿宋" w:eastAsia="仿宋" w:cs="仿宋"/>
        </w:rPr>
      </w:pPr>
    </w:p>
    <w:p>
      <w:pPr>
        <w:pStyle w:val="78"/>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绍兴市公安局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法定代表人或其授权代表（签字）：</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1.8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05pt;width:441.8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法定代表人或其授权代表（签字）：</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8"/>
    <w:p>
      <w:pPr>
        <w:pStyle w:val="2"/>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Futura Bk">
    <w:altName w:val="Segoe UI"/>
    <w:panose1 w:val="00000000000000000000"/>
    <w:charset w:val="00"/>
    <w:family w:val="swiss"/>
    <w:pitch w:val="default"/>
    <w:sig w:usb0="00000000" w:usb1="00000000" w:usb2="00000000" w:usb3="00000000" w:csb0="0000009F" w:csb1="00000000"/>
  </w:font>
  <w:font w:name="隶书">
    <w:panose1 w:val="02010509060101010101"/>
    <w:charset w:val="86"/>
    <w:family w:val="modern"/>
    <w:pitch w:val="default"/>
    <w:sig w:usb0="00000001" w:usb1="080E0000" w:usb2="00000000" w:usb3="00000000" w:csb0="00040000" w:csb1="00000000"/>
  </w:font>
  <w:font w:name="FangSong_GB2312">
    <w:altName w:val="仿宋"/>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3qrfSAAAABAEAAA8AAAAA&#10;AAAAAQAgAAAAIgAAAGRycy9kb3ducmV2LnhtbFBLAQIUABQAAAAIAIdO4kAioKVd4QEAALYDAAAO&#10;AAAAAAAAAAEAIAAAACEBAABkcnMvZTJvRG9jLnhtbFBLBQYAAAAABgAGAFkBAAB0BQ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1</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2"/>
        <w:rFonts w:cs="Arial"/>
        <w:sz w:val="18"/>
        <w:szCs w:val="21"/>
      </w:rPr>
    </w:pPr>
    <w:r>
      <w:rPr>
        <w:rStyle w:val="32"/>
        <w:rFonts w:cs="Arial"/>
        <w:sz w:val="18"/>
        <w:szCs w:val="21"/>
      </w:rPr>
      <w:fldChar w:fldCharType="begin"/>
    </w:r>
    <w:r>
      <w:rPr>
        <w:rStyle w:val="32"/>
        <w:rFonts w:cs="Arial"/>
        <w:sz w:val="18"/>
        <w:szCs w:val="21"/>
      </w:rPr>
      <w:instrText xml:space="preserve">PAGE  </w:instrText>
    </w:r>
    <w:r>
      <w:rPr>
        <w:rStyle w:val="32"/>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08001DDB"/>
    <w:multiLevelType w:val="multilevel"/>
    <w:tmpl w:val="08001DD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4A09717F"/>
    <w:multiLevelType w:val="singleLevel"/>
    <w:tmpl w:val="4A09717F"/>
    <w:lvl w:ilvl="0" w:tentative="0">
      <w:start w:val="1"/>
      <w:numFmt w:val="decimal"/>
      <w:suff w:val="nothing"/>
      <w:lvlText w:val="（%1）"/>
      <w:lvlJc w:val="left"/>
    </w:lvl>
  </w:abstractNum>
  <w:abstractNum w:abstractNumId="4">
    <w:nsid w:val="5888EE2C"/>
    <w:multiLevelType w:val="singleLevel"/>
    <w:tmpl w:val="5888EE2C"/>
    <w:lvl w:ilvl="0" w:tentative="0">
      <w:start w:val="3"/>
      <w:numFmt w:val="chineseCounting"/>
      <w:suff w:val="space"/>
      <w:lvlText w:val="第%1部分"/>
      <w:lvlJc w:val="left"/>
      <w:rPr>
        <w:rFonts w:hint="eastAsia"/>
      </w:rPr>
    </w:lvl>
  </w:abstractNum>
  <w:abstractNum w:abstractNumId="5">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6">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7">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8">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8"/>
  </w:num>
  <w:num w:numId="2">
    <w:abstractNumId w:val="5"/>
  </w:num>
  <w:num w:numId="3">
    <w:abstractNumId w:val="6"/>
  </w:num>
  <w:num w:numId="4">
    <w:abstractNumId w:val="7"/>
  </w:num>
  <w:num w:numId="5">
    <w:abstractNumId w:val="0"/>
  </w:num>
  <w:num w:numId="6">
    <w:abstractNumId w:val="3"/>
  </w:num>
  <w:num w:numId="7">
    <w:abstractNumId w:val="4"/>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7418D"/>
    <w:rsid w:val="00080F79"/>
    <w:rsid w:val="000813EC"/>
    <w:rsid w:val="00093879"/>
    <w:rsid w:val="000C38DF"/>
    <w:rsid w:val="000D7240"/>
    <w:rsid w:val="000E78B5"/>
    <w:rsid w:val="00114135"/>
    <w:rsid w:val="0012034D"/>
    <w:rsid w:val="00123D0A"/>
    <w:rsid w:val="001311E4"/>
    <w:rsid w:val="00142376"/>
    <w:rsid w:val="0014517B"/>
    <w:rsid w:val="001559EF"/>
    <w:rsid w:val="00162A3F"/>
    <w:rsid w:val="00171C91"/>
    <w:rsid w:val="0017463C"/>
    <w:rsid w:val="0017787E"/>
    <w:rsid w:val="001814F1"/>
    <w:rsid w:val="0018495F"/>
    <w:rsid w:val="00190DB7"/>
    <w:rsid w:val="001A1325"/>
    <w:rsid w:val="001A4537"/>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8194A"/>
    <w:rsid w:val="00294D3C"/>
    <w:rsid w:val="002A2838"/>
    <w:rsid w:val="002A2E37"/>
    <w:rsid w:val="002B54E5"/>
    <w:rsid w:val="002B67ED"/>
    <w:rsid w:val="002B6E84"/>
    <w:rsid w:val="002B77DD"/>
    <w:rsid w:val="002C0AB1"/>
    <w:rsid w:val="002C21EA"/>
    <w:rsid w:val="002C404D"/>
    <w:rsid w:val="002F25A8"/>
    <w:rsid w:val="0031163B"/>
    <w:rsid w:val="00330C22"/>
    <w:rsid w:val="003403EB"/>
    <w:rsid w:val="003411E7"/>
    <w:rsid w:val="00345DE3"/>
    <w:rsid w:val="00370300"/>
    <w:rsid w:val="00387522"/>
    <w:rsid w:val="003A0CEC"/>
    <w:rsid w:val="003A2766"/>
    <w:rsid w:val="003A5C0F"/>
    <w:rsid w:val="003B2510"/>
    <w:rsid w:val="003B25FB"/>
    <w:rsid w:val="003B5CB4"/>
    <w:rsid w:val="003D237E"/>
    <w:rsid w:val="003D2443"/>
    <w:rsid w:val="003D63AC"/>
    <w:rsid w:val="003F0B46"/>
    <w:rsid w:val="003F5CF0"/>
    <w:rsid w:val="00412A3B"/>
    <w:rsid w:val="0043244B"/>
    <w:rsid w:val="00440162"/>
    <w:rsid w:val="00455DAB"/>
    <w:rsid w:val="00465752"/>
    <w:rsid w:val="00467496"/>
    <w:rsid w:val="00467DC5"/>
    <w:rsid w:val="004706A2"/>
    <w:rsid w:val="00481099"/>
    <w:rsid w:val="0048467F"/>
    <w:rsid w:val="004A0A0B"/>
    <w:rsid w:val="004B065D"/>
    <w:rsid w:val="004C0A50"/>
    <w:rsid w:val="004C27D1"/>
    <w:rsid w:val="004D6606"/>
    <w:rsid w:val="004E47C3"/>
    <w:rsid w:val="004E5EB8"/>
    <w:rsid w:val="004F2C71"/>
    <w:rsid w:val="0050684D"/>
    <w:rsid w:val="005117F3"/>
    <w:rsid w:val="005213B8"/>
    <w:rsid w:val="0052572A"/>
    <w:rsid w:val="00545306"/>
    <w:rsid w:val="00547532"/>
    <w:rsid w:val="00565304"/>
    <w:rsid w:val="00566429"/>
    <w:rsid w:val="00576B8A"/>
    <w:rsid w:val="00583589"/>
    <w:rsid w:val="00590683"/>
    <w:rsid w:val="005A4AFA"/>
    <w:rsid w:val="005A64B3"/>
    <w:rsid w:val="005C0BB4"/>
    <w:rsid w:val="005D586C"/>
    <w:rsid w:val="00602260"/>
    <w:rsid w:val="006313C5"/>
    <w:rsid w:val="00636FED"/>
    <w:rsid w:val="00637621"/>
    <w:rsid w:val="006418DD"/>
    <w:rsid w:val="006451AB"/>
    <w:rsid w:val="006543AB"/>
    <w:rsid w:val="00663D9D"/>
    <w:rsid w:val="006843A0"/>
    <w:rsid w:val="006940CC"/>
    <w:rsid w:val="006A318B"/>
    <w:rsid w:val="006A4D37"/>
    <w:rsid w:val="006B047E"/>
    <w:rsid w:val="006D2193"/>
    <w:rsid w:val="006D28F8"/>
    <w:rsid w:val="006D5981"/>
    <w:rsid w:val="006E080D"/>
    <w:rsid w:val="006F5A9E"/>
    <w:rsid w:val="007030D1"/>
    <w:rsid w:val="00706826"/>
    <w:rsid w:val="00723CE8"/>
    <w:rsid w:val="00741A2B"/>
    <w:rsid w:val="00762D7F"/>
    <w:rsid w:val="00766BFA"/>
    <w:rsid w:val="00775E23"/>
    <w:rsid w:val="0078125A"/>
    <w:rsid w:val="007A150E"/>
    <w:rsid w:val="007B3644"/>
    <w:rsid w:val="007C3048"/>
    <w:rsid w:val="007D0ACA"/>
    <w:rsid w:val="007D3ADA"/>
    <w:rsid w:val="007E3668"/>
    <w:rsid w:val="007E571E"/>
    <w:rsid w:val="007F3B1E"/>
    <w:rsid w:val="00801A53"/>
    <w:rsid w:val="00816F95"/>
    <w:rsid w:val="0082182E"/>
    <w:rsid w:val="00851A0E"/>
    <w:rsid w:val="00851D0E"/>
    <w:rsid w:val="00851E94"/>
    <w:rsid w:val="00861FC3"/>
    <w:rsid w:val="008702F4"/>
    <w:rsid w:val="00872AA9"/>
    <w:rsid w:val="00884208"/>
    <w:rsid w:val="0089216A"/>
    <w:rsid w:val="008A197E"/>
    <w:rsid w:val="008A7E46"/>
    <w:rsid w:val="008B631A"/>
    <w:rsid w:val="008D1D22"/>
    <w:rsid w:val="008D38D9"/>
    <w:rsid w:val="008D483E"/>
    <w:rsid w:val="008F0D46"/>
    <w:rsid w:val="008F1941"/>
    <w:rsid w:val="00923FCF"/>
    <w:rsid w:val="00937337"/>
    <w:rsid w:val="00945D15"/>
    <w:rsid w:val="00950791"/>
    <w:rsid w:val="00955273"/>
    <w:rsid w:val="00962E86"/>
    <w:rsid w:val="009660EE"/>
    <w:rsid w:val="009A4CEF"/>
    <w:rsid w:val="009C74DB"/>
    <w:rsid w:val="009C76A2"/>
    <w:rsid w:val="009D2FED"/>
    <w:rsid w:val="009E0533"/>
    <w:rsid w:val="00A10A46"/>
    <w:rsid w:val="00A1598B"/>
    <w:rsid w:val="00A16944"/>
    <w:rsid w:val="00A27EBF"/>
    <w:rsid w:val="00A30EAA"/>
    <w:rsid w:val="00A41BE4"/>
    <w:rsid w:val="00A56A1E"/>
    <w:rsid w:val="00A63825"/>
    <w:rsid w:val="00A63FBA"/>
    <w:rsid w:val="00A67091"/>
    <w:rsid w:val="00A831F9"/>
    <w:rsid w:val="00A86515"/>
    <w:rsid w:val="00A95926"/>
    <w:rsid w:val="00AA19C5"/>
    <w:rsid w:val="00AA527A"/>
    <w:rsid w:val="00AB0950"/>
    <w:rsid w:val="00AD0587"/>
    <w:rsid w:val="00AD18FF"/>
    <w:rsid w:val="00AD270F"/>
    <w:rsid w:val="00AE1493"/>
    <w:rsid w:val="00B01CF7"/>
    <w:rsid w:val="00B1333D"/>
    <w:rsid w:val="00B22626"/>
    <w:rsid w:val="00B22BFD"/>
    <w:rsid w:val="00B2348C"/>
    <w:rsid w:val="00B251FC"/>
    <w:rsid w:val="00B63DE9"/>
    <w:rsid w:val="00B71876"/>
    <w:rsid w:val="00B76EC0"/>
    <w:rsid w:val="00BA30DB"/>
    <w:rsid w:val="00C207BF"/>
    <w:rsid w:val="00C208DD"/>
    <w:rsid w:val="00C249E6"/>
    <w:rsid w:val="00C60D63"/>
    <w:rsid w:val="00C7051D"/>
    <w:rsid w:val="00C71B62"/>
    <w:rsid w:val="00C750A5"/>
    <w:rsid w:val="00C85041"/>
    <w:rsid w:val="00C90C86"/>
    <w:rsid w:val="00C94F88"/>
    <w:rsid w:val="00CB14BF"/>
    <w:rsid w:val="00CB3AAD"/>
    <w:rsid w:val="00CB4467"/>
    <w:rsid w:val="00CC5263"/>
    <w:rsid w:val="00CD09B8"/>
    <w:rsid w:val="00D036B1"/>
    <w:rsid w:val="00D95393"/>
    <w:rsid w:val="00D9689D"/>
    <w:rsid w:val="00DA2B91"/>
    <w:rsid w:val="00DA5951"/>
    <w:rsid w:val="00DA73D0"/>
    <w:rsid w:val="00DD1F2E"/>
    <w:rsid w:val="00E02CE4"/>
    <w:rsid w:val="00E31CF1"/>
    <w:rsid w:val="00E4050A"/>
    <w:rsid w:val="00E556E6"/>
    <w:rsid w:val="00E60A3E"/>
    <w:rsid w:val="00E62AFA"/>
    <w:rsid w:val="00E710CD"/>
    <w:rsid w:val="00E76BEC"/>
    <w:rsid w:val="00E81842"/>
    <w:rsid w:val="00EA43CE"/>
    <w:rsid w:val="00EB2D90"/>
    <w:rsid w:val="00EC5325"/>
    <w:rsid w:val="00ED3842"/>
    <w:rsid w:val="00EF1039"/>
    <w:rsid w:val="00F56126"/>
    <w:rsid w:val="00F63769"/>
    <w:rsid w:val="00F854BD"/>
    <w:rsid w:val="00F962A2"/>
    <w:rsid w:val="00FA3C13"/>
    <w:rsid w:val="00FA6E82"/>
    <w:rsid w:val="00FB06C5"/>
    <w:rsid w:val="00FB28A6"/>
    <w:rsid w:val="00FB744B"/>
    <w:rsid w:val="00FC0CF4"/>
    <w:rsid w:val="00FC1A98"/>
    <w:rsid w:val="00FC3D34"/>
    <w:rsid w:val="00FD0A36"/>
    <w:rsid w:val="00FD25D7"/>
    <w:rsid w:val="00FE7019"/>
    <w:rsid w:val="00FF20E1"/>
    <w:rsid w:val="01073442"/>
    <w:rsid w:val="011779BC"/>
    <w:rsid w:val="0135256E"/>
    <w:rsid w:val="017F0419"/>
    <w:rsid w:val="0202557A"/>
    <w:rsid w:val="02455361"/>
    <w:rsid w:val="026B7D9D"/>
    <w:rsid w:val="02E03D80"/>
    <w:rsid w:val="02FF6323"/>
    <w:rsid w:val="03166C95"/>
    <w:rsid w:val="033742BA"/>
    <w:rsid w:val="0352039E"/>
    <w:rsid w:val="0432047D"/>
    <w:rsid w:val="043915D7"/>
    <w:rsid w:val="044736CF"/>
    <w:rsid w:val="047B780F"/>
    <w:rsid w:val="04AB653B"/>
    <w:rsid w:val="04CE269C"/>
    <w:rsid w:val="052D2EBC"/>
    <w:rsid w:val="05B75E5D"/>
    <w:rsid w:val="06E4135A"/>
    <w:rsid w:val="07412213"/>
    <w:rsid w:val="07DA186C"/>
    <w:rsid w:val="084D65E4"/>
    <w:rsid w:val="08C922E5"/>
    <w:rsid w:val="08DC6D2E"/>
    <w:rsid w:val="08E27460"/>
    <w:rsid w:val="08FA3C1C"/>
    <w:rsid w:val="095440F8"/>
    <w:rsid w:val="097A3B63"/>
    <w:rsid w:val="0A0A25D7"/>
    <w:rsid w:val="0B384983"/>
    <w:rsid w:val="0B3869A1"/>
    <w:rsid w:val="0B637A3A"/>
    <w:rsid w:val="0B9713AA"/>
    <w:rsid w:val="0BB65870"/>
    <w:rsid w:val="0BEE79BC"/>
    <w:rsid w:val="0BF4331C"/>
    <w:rsid w:val="0C346F4B"/>
    <w:rsid w:val="0DD1638B"/>
    <w:rsid w:val="0E443C6A"/>
    <w:rsid w:val="0ED21131"/>
    <w:rsid w:val="0EE1261E"/>
    <w:rsid w:val="0F6303AF"/>
    <w:rsid w:val="104D6387"/>
    <w:rsid w:val="10C92ED0"/>
    <w:rsid w:val="10F654D7"/>
    <w:rsid w:val="112D19C6"/>
    <w:rsid w:val="11564EC4"/>
    <w:rsid w:val="11B07BD6"/>
    <w:rsid w:val="11CB3B70"/>
    <w:rsid w:val="11D91565"/>
    <w:rsid w:val="125750F6"/>
    <w:rsid w:val="127542AA"/>
    <w:rsid w:val="12F15FC0"/>
    <w:rsid w:val="12F66813"/>
    <w:rsid w:val="13AD3C35"/>
    <w:rsid w:val="14685E9F"/>
    <w:rsid w:val="149C53ED"/>
    <w:rsid w:val="14A17E3B"/>
    <w:rsid w:val="1557079B"/>
    <w:rsid w:val="15661BF2"/>
    <w:rsid w:val="169F1555"/>
    <w:rsid w:val="16C339B4"/>
    <w:rsid w:val="17273EDE"/>
    <w:rsid w:val="17465A04"/>
    <w:rsid w:val="174B4A2A"/>
    <w:rsid w:val="17E0367B"/>
    <w:rsid w:val="181C3543"/>
    <w:rsid w:val="183550AA"/>
    <w:rsid w:val="1887170A"/>
    <w:rsid w:val="18BE625E"/>
    <w:rsid w:val="18F64FE1"/>
    <w:rsid w:val="193E2714"/>
    <w:rsid w:val="197D38E8"/>
    <w:rsid w:val="198960E3"/>
    <w:rsid w:val="198B4079"/>
    <w:rsid w:val="199F0C8D"/>
    <w:rsid w:val="19A857C8"/>
    <w:rsid w:val="19CE48C9"/>
    <w:rsid w:val="19D9355D"/>
    <w:rsid w:val="19E901E2"/>
    <w:rsid w:val="1A0C3B58"/>
    <w:rsid w:val="1A8B44E3"/>
    <w:rsid w:val="1B1C0F2A"/>
    <w:rsid w:val="1B1F3315"/>
    <w:rsid w:val="1B210D62"/>
    <w:rsid w:val="1B5003E0"/>
    <w:rsid w:val="1B632526"/>
    <w:rsid w:val="1B765B82"/>
    <w:rsid w:val="1B965EA6"/>
    <w:rsid w:val="1BE62BE0"/>
    <w:rsid w:val="1D155786"/>
    <w:rsid w:val="1DDC590A"/>
    <w:rsid w:val="1E335181"/>
    <w:rsid w:val="1EE4458C"/>
    <w:rsid w:val="1F3A2255"/>
    <w:rsid w:val="1F7362DF"/>
    <w:rsid w:val="1FB74E43"/>
    <w:rsid w:val="1FC70F79"/>
    <w:rsid w:val="1FD44083"/>
    <w:rsid w:val="1FDB4036"/>
    <w:rsid w:val="209A7B6A"/>
    <w:rsid w:val="20BE6021"/>
    <w:rsid w:val="216D4A99"/>
    <w:rsid w:val="2173797E"/>
    <w:rsid w:val="218642C5"/>
    <w:rsid w:val="218B4CE9"/>
    <w:rsid w:val="221B2107"/>
    <w:rsid w:val="227F3AB8"/>
    <w:rsid w:val="22C65437"/>
    <w:rsid w:val="2304797C"/>
    <w:rsid w:val="231942C4"/>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7BD17FC"/>
    <w:rsid w:val="284D434A"/>
    <w:rsid w:val="28AE4F82"/>
    <w:rsid w:val="291E1DAE"/>
    <w:rsid w:val="29DA29ED"/>
    <w:rsid w:val="2A523300"/>
    <w:rsid w:val="2AFA300F"/>
    <w:rsid w:val="2B4C0158"/>
    <w:rsid w:val="2BB712A2"/>
    <w:rsid w:val="2BD668A3"/>
    <w:rsid w:val="2C446861"/>
    <w:rsid w:val="2CD53511"/>
    <w:rsid w:val="2D2A61CE"/>
    <w:rsid w:val="2D80707D"/>
    <w:rsid w:val="2DE2488D"/>
    <w:rsid w:val="2E083145"/>
    <w:rsid w:val="2E524F35"/>
    <w:rsid w:val="2ED5521A"/>
    <w:rsid w:val="2ED619F5"/>
    <w:rsid w:val="2F9F3A1B"/>
    <w:rsid w:val="30132522"/>
    <w:rsid w:val="303B0264"/>
    <w:rsid w:val="304B5E64"/>
    <w:rsid w:val="30730BA2"/>
    <w:rsid w:val="30782F4C"/>
    <w:rsid w:val="3091213D"/>
    <w:rsid w:val="31AF70A8"/>
    <w:rsid w:val="31C6513D"/>
    <w:rsid w:val="32221E3A"/>
    <w:rsid w:val="32B05C3D"/>
    <w:rsid w:val="32B65903"/>
    <w:rsid w:val="32C97243"/>
    <w:rsid w:val="32D758ED"/>
    <w:rsid w:val="33012007"/>
    <w:rsid w:val="33AD15F4"/>
    <w:rsid w:val="33F65183"/>
    <w:rsid w:val="34842703"/>
    <w:rsid w:val="34A065F2"/>
    <w:rsid w:val="359C1A91"/>
    <w:rsid w:val="36683A56"/>
    <w:rsid w:val="3669535D"/>
    <w:rsid w:val="37186BCB"/>
    <w:rsid w:val="37251CAF"/>
    <w:rsid w:val="37604E39"/>
    <w:rsid w:val="378D5403"/>
    <w:rsid w:val="37C02DA1"/>
    <w:rsid w:val="37D43997"/>
    <w:rsid w:val="38042CE6"/>
    <w:rsid w:val="38285B2C"/>
    <w:rsid w:val="38387BC2"/>
    <w:rsid w:val="38A11738"/>
    <w:rsid w:val="38C715C9"/>
    <w:rsid w:val="38CF2698"/>
    <w:rsid w:val="38D4603A"/>
    <w:rsid w:val="38F76EE1"/>
    <w:rsid w:val="392E3D2B"/>
    <w:rsid w:val="3A4719E4"/>
    <w:rsid w:val="3A5F0E06"/>
    <w:rsid w:val="3B2640C3"/>
    <w:rsid w:val="3B9F7E10"/>
    <w:rsid w:val="3BA40ED7"/>
    <w:rsid w:val="3BE67851"/>
    <w:rsid w:val="3C025073"/>
    <w:rsid w:val="3C0D4D62"/>
    <w:rsid w:val="3D0E3394"/>
    <w:rsid w:val="3D2359C1"/>
    <w:rsid w:val="3E253FC4"/>
    <w:rsid w:val="3E66686E"/>
    <w:rsid w:val="3E781CBE"/>
    <w:rsid w:val="3EF13B78"/>
    <w:rsid w:val="3F184BE9"/>
    <w:rsid w:val="3F96657B"/>
    <w:rsid w:val="40712EC2"/>
    <w:rsid w:val="40D9690C"/>
    <w:rsid w:val="4175100A"/>
    <w:rsid w:val="41A3573D"/>
    <w:rsid w:val="41B4707C"/>
    <w:rsid w:val="422A0C37"/>
    <w:rsid w:val="425B70E5"/>
    <w:rsid w:val="43DD0189"/>
    <w:rsid w:val="43E828F9"/>
    <w:rsid w:val="445951F9"/>
    <w:rsid w:val="44A620DD"/>
    <w:rsid w:val="44E52F1C"/>
    <w:rsid w:val="454753F6"/>
    <w:rsid w:val="455C29AA"/>
    <w:rsid w:val="45A339CF"/>
    <w:rsid w:val="45BB538B"/>
    <w:rsid w:val="4616050C"/>
    <w:rsid w:val="4624734D"/>
    <w:rsid w:val="46BB019A"/>
    <w:rsid w:val="47663221"/>
    <w:rsid w:val="47F235B6"/>
    <w:rsid w:val="48863F51"/>
    <w:rsid w:val="48BF50A6"/>
    <w:rsid w:val="48C46876"/>
    <w:rsid w:val="48E66DBF"/>
    <w:rsid w:val="49246CEA"/>
    <w:rsid w:val="4964544D"/>
    <w:rsid w:val="49E360AC"/>
    <w:rsid w:val="4A04095E"/>
    <w:rsid w:val="4A2E44F7"/>
    <w:rsid w:val="4A373AFF"/>
    <w:rsid w:val="4B3C70F3"/>
    <w:rsid w:val="4BC83044"/>
    <w:rsid w:val="4BF23C29"/>
    <w:rsid w:val="4C2A52C3"/>
    <w:rsid w:val="4C7952A3"/>
    <w:rsid w:val="4D000BB8"/>
    <w:rsid w:val="4D2500D2"/>
    <w:rsid w:val="4D2764E4"/>
    <w:rsid w:val="4D553076"/>
    <w:rsid w:val="4DC16712"/>
    <w:rsid w:val="4E083898"/>
    <w:rsid w:val="4E26397C"/>
    <w:rsid w:val="4E363927"/>
    <w:rsid w:val="4EA90E17"/>
    <w:rsid w:val="4F9153B3"/>
    <w:rsid w:val="51940740"/>
    <w:rsid w:val="52521883"/>
    <w:rsid w:val="52C0259A"/>
    <w:rsid w:val="52FE221E"/>
    <w:rsid w:val="53933799"/>
    <w:rsid w:val="53A129B1"/>
    <w:rsid w:val="53ED7088"/>
    <w:rsid w:val="541737FB"/>
    <w:rsid w:val="545A3E03"/>
    <w:rsid w:val="54BB579F"/>
    <w:rsid w:val="550643C5"/>
    <w:rsid w:val="55902CE3"/>
    <w:rsid w:val="55A42927"/>
    <w:rsid w:val="56311879"/>
    <w:rsid w:val="56B87238"/>
    <w:rsid w:val="571E2C5F"/>
    <w:rsid w:val="57351512"/>
    <w:rsid w:val="57F303AA"/>
    <w:rsid w:val="5863246B"/>
    <w:rsid w:val="588A53A7"/>
    <w:rsid w:val="58C56ACE"/>
    <w:rsid w:val="595C082B"/>
    <w:rsid w:val="596E3097"/>
    <w:rsid w:val="59C2216C"/>
    <w:rsid w:val="59F56D5F"/>
    <w:rsid w:val="59FE758C"/>
    <w:rsid w:val="5A484FFF"/>
    <w:rsid w:val="5B14063F"/>
    <w:rsid w:val="5B301B1F"/>
    <w:rsid w:val="5BD30C20"/>
    <w:rsid w:val="5CEC747F"/>
    <w:rsid w:val="5CFD4F8F"/>
    <w:rsid w:val="5D430C6F"/>
    <w:rsid w:val="5D6F11DF"/>
    <w:rsid w:val="5D9A2ED9"/>
    <w:rsid w:val="5DC236EC"/>
    <w:rsid w:val="5DD04D85"/>
    <w:rsid w:val="5EA2001B"/>
    <w:rsid w:val="5F0266A3"/>
    <w:rsid w:val="5F232D5B"/>
    <w:rsid w:val="5F744292"/>
    <w:rsid w:val="5F952C60"/>
    <w:rsid w:val="5FD51C0C"/>
    <w:rsid w:val="606129E7"/>
    <w:rsid w:val="60662262"/>
    <w:rsid w:val="60F431B9"/>
    <w:rsid w:val="60F8796B"/>
    <w:rsid w:val="610B35BB"/>
    <w:rsid w:val="61CD1945"/>
    <w:rsid w:val="620E2B02"/>
    <w:rsid w:val="624A22BB"/>
    <w:rsid w:val="62B65C75"/>
    <w:rsid w:val="63053E2C"/>
    <w:rsid w:val="633D3608"/>
    <w:rsid w:val="634805B5"/>
    <w:rsid w:val="63487EAC"/>
    <w:rsid w:val="63575F25"/>
    <w:rsid w:val="637F68CB"/>
    <w:rsid w:val="6393380C"/>
    <w:rsid w:val="63970B18"/>
    <w:rsid w:val="64013D86"/>
    <w:rsid w:val="64031C4A"/>
    <w:rsid w:val="643A6EA0"/>
    <w:rsid w:val="646D5791"/>
    <w:rsid w:val="64A17E2B"/>
    <w:rsid w:val="64A849CD"/>
    <w:rsid w:val="64CF1F8E"/>
    <w:rsid w:val="64EC5A6B"/>
    <w:rsid w:val="64EF560A"/>
    <w:rsid w:val="650D77AD"/>
    <w:rsid w:val="653666D1"/>
    <w:rsid w:val="6597576B"/>
    <w:rsid w:val="66090E80"/>
    <w:rsid w:val="6611701E"/>
    <w:rsid w:val="66E30B4F"/>
    <w:rsid w:val="67DD703C"/>
    <w:rsid w:val="67FD2A7B"/>
    <w:rsid w:val="680711F8"/>
    <w:rsid w:val="68210070"/>
    <w:rsid w:val="68BB3495"/>
    <w:rsid w:val="68DB190B"/>
    <w:rsid w:val="69166174"/>
    <w:rsid w:val="69634496"/>
    <w:rsid w:val="69B03442"/>
    <w:rsid w:val="69FB5EBC"/>
    <w:rsid w:val="6A11649E"/>
    <w:rsid w:val="6A293AC6"/>
    <w:rsid w:val="6A315029"/>
    <w:rsid w:val="6AB1009A"/>
    <w:rsid w:val="6B8860DC"/>
    <w:rsid w:val="6BAE7000"/>
    <w:rsid w:val="6BB05959"/>
    <w:rsid w:val="6BBC2151"/>
    <w:rsid w:val="6BC15672"/>
    <w:rsid w:val="6BD67C2C"/>
    <w:rsid w:val="6C5C04D5"/>
    <w:rsid w:val="6CB13F20"/>
    <w:rsid w:val="6CCA6527"/>
    <w:rsid w:val="6CF93646"/>
    <w:rsid w:val="6D1E181B"/>
    <w:rsid w:val="6D6C6444"/>
    <w:rsid w:val="6D8A1025"/>
    <w:rsid w:val="6D9B2320"/>
    <w:rsid w:val="6DC536BD"/>
    <w:rsid w:val="6F572D08"/>
    <w:rsid w:val="6FB83CDB"/>
    <w:rsid w:val="6FD5142D"/>
    <w:rsid w:val="70853498"/>
    <w:rsid w:val="70FC7A0D"/>
    <w:rsid w:val="712F4D7E"/>
    <w:rsid w:val="71AD0A0A"/>
    <w:rsid w:val="720400C9"/>
    <w:rsid w:val="72074872"/>
    <w:rsid w:val="72BB4D4E"/>
    <w:rsid w:val="72BE4B83"/>
    <w:rsid w:val="73094A27"/>
    <w:rsid w:val="73200F6B"/>
    <w:rsid w:val="73F80FA0"/>
    <w:rsid w:val="746A71CC"/>
    <w:rsid w:val="74715CA6"/>
    <w:rsid w:val="74BB1904"/>
    <w:rsid w:val="74D249BF"/>
    <w:rsid w:val="754358D4"/>
    <w:rsid w:val="75480C47"/>
    <w:rsid w:val="75FF0A2F"/>
    <w:rsid w:val="767F7FDC"/>
    <w:rsid w:val="76F66D3B"/>
    <w:rsid w:val="770563B7"/>
    <w:rsid w:val="77DE40CB"/>
    <w:rsid w:val="781135E0"/>
    <w:rsid w:val="78305FF2"/>
    <w:rsid w:val="78694157"/>
    <w:rsid w:val="78B9024B"/>
    <w:rsid w:val="79243729"/>
    <w:rsid w:val="792E66F3"/>
    <w:rsid w:val="796203CB"/>
    <w:rsid w:val="79B44386"/>
    <w:rsid w:val="79EE6A68"/>
    <w:rsid w:val="7A3E7618"/>
    <w:rsid w:val="7AE5282F"/>
    <w:rsid w:val="7AF956FC"/>
    <w:rsid w:val="7B970C64"/>
    <w:rsid w:val="7C003A54"/>
    <w:rsid w:val="7C373DB7"/>
    <w:rsid w:val="7C4228B4"/>
    <w:rsid w:val="7C5D47C4"/>
    <w:rsid w:val="7C6B5BDD"/>
    <w:rsid w:val="7CF851FF"/>
    <w:rsid w:val="7D842440"/>
    <w:rsid w:val="7DA94ABE"/>
    <w:rsid w:val="7E073573"/>
    <w:rsid w:val="7E3B60DE"/>
    <w:rsid w:val="7E49423D"/>
    <w:rsid w:val="7E8C3B59"/>
    <w:rsid w:val="7EDC6139"/>
    <w:rsid w:val="7EEE135D"/>
    <w:rsid w:val="7F290C8A"/>
    <w:rsid w:val="7F3C32C9"/>
    <w:rsid w:val="7F54096F"/>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38"/>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99"/>
    <w:pPr>
      <w:spacing w:line="360" w:lineRule="auto"/>
      <w:ind w:firstLine="480" w:firstLineChars="200"/>
    </w:pPr>
    <w:rPr>
      <w:sz w:val="24"/>
      <w:szCs w:val="22"/>
      <w:lang w:val="zh-CN"/>
    </w:rPr>
  </w:style>
  <w:style w:type="paragraph" w:styleId="3">
    <w:name w:val="Body Text"/>
    <w:basedOn w:val="1"/>
    <w:link w:val="42"/>
    <w:qFormat/>
    <w:locked/>
    <w:uiPriority w:val="99"/>
    <w:pPr>
      <w:spacing w:line="360" w:lineRule="auto"/>
    </w:pPr>
    <w:rPr>
      <w:rFonts w:eastAsia="仿宋_GB2312"/>
      <w:sz w:val="28"/>
    </w:rPr>
  </w:style>
  <w:style w:type="paragraph" w:styleId="7">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0"/>
    <w:semiHidden/>
    <w:qFormat/>
    <w:locked/>
    <w:uiPriority w:val="99"/>
    <w:pPr>
      <w:shd w:val="clear" w:color="auto" w:fill="000080"/>
      <w:adjustRightInd/>
    </w:pPr>
    <w:rPr>
      <w:rFonts w:ascii="宋体"/>
      <w:sz w:val="18"/>
      <w:szCs w:val="18"/>
    </w:rPr>
  </w:style>
  <w:style w:type="paragraph" w:styleId="12">
    <w:name w:val="annotation text"/>
    <w:basedOn w:val="1"/>
    <w:link w:val="41"/>
    <w:qFormat/>
    <w:uiPriority w:val="99"/>
    <w:pPr>
      <w:adjustRightInd/>
      <w:jc w:val="left"/>
    </w:pPr>
    <w:rPr>
      <w:kern w:val="0"/>
      <w:sz w:val="24"/>
      <w:lang w:val="zh-CN"/>
    </w:rPr>
  </w:style>
  <w:style w:type="paragraph" w:styleId="13">
    <w:name w:val="Body Text Indent"/>
    <w:basedOn w:val="1"/>
    <w:link w:val="43"/>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4"/>
    <w:qFormat/>
    <w:uiPriority w:val="99"/>
    <w:rPr>
      <w:rFonts w:ascii="宋体" w:hAnsi="Courier New"/>
      <w:kern w:val="0"/>
      <w:szCs w:val="20"/>
    </w:rPr>
  </w:style>
  <w:style w:type="paragraph" w:styleId="16">
    <w:name w:val="Date"/>
    <w:basedOn w:val="1"/>
    <w:next w:val="1"/>
    <w:link w:val="45"/>
    <w:qFormat/>
    <w:uiPriority w:val="99"/>
    <w:pPr>
      <w:ind w:left="100" w:leftChars="2500"/>
    </w:pPr>
    <w:rPr>
      <w:rFonts w:ascii="宋体"/>
      <w:kern w:val="0"/>
      <w:szCs w:val="20"/>
      <w:lang w:val="zh-CN"/>
    </w:rPr>
  </w:style>
  <w:style w:type="paragraph" w:styleId="17">
    <w:name w:val="Body Text Indent 2"/>
    <w:basedOn w:val="1"/>
    <w:link w:val="46"/>
    <w:semiHidden/>
    <w:qFormat/>
    <w:locked/>
    <w:uiPriority w:val="99"/>
    <w:pPr>
      <w:spacing w:after="120" w:line="480" w:lineRule="auto"/>
      <w:ind w:left="420" w:leftChars="200"/>
    </w:pPr>
  </w:style>
  <w:style w:type="paragraph" w:styleId="18">
    <w:name w:val="Balloon Text"/>
    <w:basedOn w:val="1"/>
    <w:link w:val="80"/>
    <w:semiHidden/>
    <w:qFormat/>
    <w:locked/>
    <w:uiPriority w:val="99"/>
    <w:rPr>
      <w:sz w:val="18"/>
      <w:szCs w:val="18"/>
    </w:rPr>
  </w:style>
  <w:style w:type="paragraph" w:styleId="19">
    <w:name w:val="footer"/>
    <w:basedOn w:val="1"/>
    <w:link w:val="47"/>
    <w:qFormat/>
    <w:uiPriority w:val="99"/>
    <w:pPr>
      <w:tabs>
        <w:tab w:val="center" w:pos="4153"/>
        <w:tab w:val="right" w:pos="8306"/>
      </w:tabs>
      <w:snapToGrid w:val="0"/>
      <w:jc w:val="left"/>
    </w:pPr>
    <w:rPr>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9"/>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2"/>
    <w:next w:val="12"/>
    <w:link w:val="51"/>
    <w:qFormat/>
    <w:uiPriority w:val="99"/>
    <w:pPr>
      <w:widowControl/>
      <w:spacing w:afterLines="50"/>
    </w:pPr>
    <w:rPr>
      <w:b/>
      <w:bCs/>
    </w:rPr>
  </w:style>
  <w:style w:type="paragraph" w:styleId="27">
    <w:name w:val="Body Text First Indent"/>
    <w:basedOn w:val="3"/>
    <w:qFormat/>
    <w:locked/>
    <w:uiPriority w:val="0"/>
    <w:pPr>
      <w:spacing w:line="240" w:lineRule="auto"/>
      <w:ind w:firstLine="420" w:firstLineChars="100"/>
    </w:pPr>
    <w:rPr>
      <w:sz w:val="21"/>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99"/>
    <w:rPr>
      <w:rFonts w:ascii="Arial" w:hAnsi="Arial" w:eastAsia="黑体" w:cs="Times New Roman"/>
      <w:snapToGrid w:val="0"/>
      <w:kern w:val="0"/>
      <w:sz w:val="21"/>
    </w:rPr>
  </w:style>
  <w:style w:type="character" w:styleId="33">
    <w:name w:val="FollowedHyperlink"/>
    <w:basedOn w:val="30"/>
    <w:qFormat/>
    <w:locked/>
    <w:uiPriority w:val="99"/>
    <w:rPr>
      <w:rFonts w:cs="Times New Roman"/>
      <w:color w:val="800080"/>
      <w:u w:val="none"/>
    </w:rPr>
  </w:style>
  <w:style w:type="character" w:styleId="34">
    <w:name w:val="Hyperlink"/>
    <w:basedOn w:val="30"/>
    <w:qFormat/>
    <w:uiPriority w:val="99"/>
    <w:rPr>
      <w:rFonts w:cs="Times New Roman"/>
      <w:color w:val="0000FF"/>
      <w:u w:val="single"/>
    </w:rPr>
  </w:style>
  <w:style w:type="character" w:styleId="35">
    <w:name w:val="annotation reference"/>
    <w:basedOn w:val="30"/>
    <w:semiHidden/>
    <w:qFormat/>
    <w:locked/>
    <w:uiPriority w:val="99"/>
    <w:rPr>
      <w:rFonts w:cs="Times New Roman"/>
      <w:sz w:val="21"/>
      <w:szCs w:val="21"/>
    </w:rPr>
  </w:style>
  <w:style w:type="character" w:customStyle="1" w:styleId="36">
    <w:name w:val="标题 1 Char"/>
    <w:basedOn w:val="30"/>
    <w:link w:val="4"/>
    <w:qFormat/>
    <w:locked/>
    <w:uiPriority w:val="99"/>
    <w:rPr>
      <w:rFonts w:eastAsia="仿宋_GB2312"/>
      <w:b/>
      <w:kern w:val="44"/>
      <w:sz w:val="44"/>
      <w:szCs w:val="20"/>
    </w:rPr>
  </w:style>
  <w:style w:type="character" w:customStyle="1" w:styleId="37">
    <w:name w:val="标题 2 Char"/>
    <w:basedOn w:val="30"/>
    <w:link w:val="5"/>
    <w:semiHidden/>
    <w:qFormat/>
    <w:locked/>
    <w:uiPriority w:val="99"/>
    <w:rPr>
      <w:rFonts w:ascii="Calibri Light" w:hAnsi="Calibri Light" w:eastAsia="宋体" w:cs="Times New Roman"/>
      <w:b/>
      <w:sz w:val="32"/>
    </w:rPr>
  </w:style>
  <w:style w:type="character" w:customStyle="1" w:styleId="38">
    <w:name w:val="标题 3 Char"/>
    <w:basedOn w:val="30"/>
    <w:link w:val="6"/>
    <w:semiHidden/>
    <w:qFormat/>
    <w:locked/>
    <w:uiPriority w:val="99"/>
    <w:rPr>
      <w:rFonts w:ascii="Times New Roman" w:hAnsi="Times New Roman" w:eastAsia="宋体" w:cs="Times New Roman"/>
      <w:b/>
      <w:sz w:val="32"/>
    </w:rPr>
  </w:style>
  <w:style w:type="character" w:customStyle="1" w:styleId="39">
    <w:name w:val="标题 4 Char"/>
    <w:basedOn w:val="30"/>
    <w:link w:val="8"/>
    <w:semiHidden/>
    <w:qFormat/>
    <w:locked/>
    <w:uiPriority w:val="99"/>
    <w:rPr>
      <w:rFonts w:ascii="Calibri Light" w:hAnsi="Calibri Light" w:eastAsia="宋体" w:cs="Times New Roman"/>
      <w:b/>
      <w:sz w:val="28"/>
    </w:rPr>
  </w:style>
  <w:style w:type="character" w:customStyle="1" w:styleId="40">
    <w:name w:val="文档结构图 Char1"/>
    <w:basedOn w:val="30"/>
    <w:link w:val="11"/>
    <w:semiHidden/>
    <w:qFormat/>
    <w:locked/>
    <w:uiPriority w:val="99"/>
    <w:rPr>
      <w:rFonts w:ascii="宋体" w:hAnsi="Times New Roman" w:cs="Times New Roman"/>
      <w:kern w:val="2"/>
      <w:sz w:val="18"/>
    </w:rPr>
  </w:style>
  <w:style w:type="character" w:customStyle="1" w:styleId="41">
    <w:name w:val="批注文字 Char"/>
    <w:basedOn w:val="30"/>
    <w:link w:val="12"/>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30"/>
    <w:link w:val="3"/>
    <w:semiHidden/>
    <w:qFormat/>
    <w:locked/>
    <w:uiPriority w:val="99"/>
    <w:rPr>
      <w:rFonts w:cs="Times New Roman"/>
      <w:sz w:val="24"/>
      <w:szCs w:val="24"/>
    </w:rPr>
  </w:style>
  <w:style w:type="character" w:customStyle="1" w:styleId="43">
    <w:name w:val="正文文本缩进 Char"/>
    <w:basedOn w:val="30"/>
    <w:link w:val="13"/>
    <w:semiHidden/>
    <w:qFormat/>
    <w:locked/>
    <w:uiPriority w:val="99"/>
    <w:rPr>
      <w:rFonts w:ascii="Times New Roman" w:hAnsi="Times New Roman" w:cs="Times New Roman"/>
      <w:sz w:val="24"/>
    </w:rPr>
  </w:style>
  <w:style w:type="character" w:customStyle="1" w:styleId="44">
    <w:name w:val="纯文本 Char"/>
    <w:basedOn w:val="30"/>
    <w:link w:val="15"/>
    <w:qFormat/>
    <w:locked/>
    <w:uiPriority w:val="99"/>
    <w:rPr>
      <w:rFonts w:ascii="宋体" w:hAnsi="Courier New" w:eastAsia="宋体" w:cs="Times New Roman"/>
      <w:snapToGrid w:val="0"/>
      <w:sz w:val="21"/>
    </w:rPr>
  </w:style>
  <w:style w:type="character" w:customStyle="1" w:styleId="45">
    <w:name w:val="日期 Char"/>
    <w:basedOn w:val="30"/>
    <w:link w:val="16"/>
    <w:qFormat/>
    <w:locked/>
    <w:uiPriority w:val="99"/>
    <w:rPr>
      <w:rFonts w:ascii="宋体" w:cs="Times New Roman"/>
      <w:sz w:val="21"/>
      <w:lang w:val="zh-CN"/>
    </w:rPr>
  </w:style>
  <w:style w:type="character" w:customStyle="1" w:styleId="46">
    <w:name w:val="正文文本缩进 2 Char"/>
    <w:basedOn w:val="30"/>
    <w:link w:val="17"/>
    <w:semiHidden/>
    <w:qFormat/>
    <w:locked/>
    <w:uiPriority w:val="99"/>
    <w:rPr>
      <w:rFonts w:cs="Times New Roman"/>
      <w:sz w:val="24"/>
      <w:szCs w:val="24"/>
    </w:rPr>
  </w:style>
  <w:style w:type="character" w:customStyle="1" w:styleId="47">
    <w:name w:val="页脚 Char"/>
    <w:basedOn w:val="30"/>
    <w:link w:val="19"/>
    <w:qFormat/>
    <w:locked/>
    <w:uiPriority w:val="99"/>
    <w:rPr>
      <w:rFonts w:ascii="Times New Roman" w:hAnsi="Times New Roman" w:eastAsia="宋体" w:cs="Times New Roman"/>
      <w:sz w:val="18"/>
    </w:rPr>
  </w:style>
  <w:style w:type="character" w:customStyle="1" w:styleId="48">
    <w:name w:val="Header Char"/>
    <w:basedOn w:val="30"/>
    <w:qFormat/>
    <w:locked/>
    <w:uiPriority w:val="99"/>
    <w:rPr>
      <w:rFonts w:ascii="Times New Roman" w:hAnsi="Times New Roman" w:eastAsia="宋体" w:cs="Times New Roman"/>
      <w:sz w:val="18"/>
    </w:rPr>
  </w:style>
  <w:style w:type="character" w:customStyle="1" w:styleId="49">
    <w:name w:val="正文文本 2 Char"/>
    <w:basedOn w:val="30"/>
    <w:link w:val="22"/>
    <w:semiHidden/>
    <w:qFormat/>
    <w:locked/>
    <w:uiPriority w:val="99"/>
    <w:rPr>
      <w:rFonts w:ascii="Times New Roman" w:hAnsi="Times New Roman" w:cs="Times New Roman"/>
      <w:sz w:val="24"/>
    </w:rPr>
  </w:style>
  <w:style w:type="character" w:customStyle="1" w:styleId="50">
    <w:name w:val="标题 Char"/>
    <w:basedOn w:val="30"/>
    <w:link w:val="25"/>
    <w:qFormat/>
    <w:locked/>
    <w:uiPriority w:val="99"/>
    <w:rPr>
      <w:rFonts w:ascii="Calibri Light" w:hAnsi="Calibri Light" w:eastAsia="宋体" w:cs="Times New Roman"/>
      <w:b/>
      <w:sz w:val="32"/>
    </w:rPr>
  </w:style>
  <w:style w:type="character" w:customStyle="1" w:styleId="51">
    <w:name w:val="批注主题 Char"/>
    <w:basedOn w:val="41"/>
    <w:link w:val="26"/>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20"/>
    <w:qFormat/>
    <w:locked/>
    <w:uiPriority w:val="99"/>
    <w:rPr>
      <w:rFonts w:ascii="Times New Roman" w:hAnsi="Times New Roman" w:eastAsia="宋体"/>
      <w:sz w:val="18"/>
    </w:rPr>
  </w:style>
  <w:style w:type="character" w:customStyle="1" w:styleId="53">
    <w:name w:val="正文缩进 Char"/>
    <w:link w:val="7"/>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5"/>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30"/>
    <w:link w:val="18"/>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30"/>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30"/>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30"/>
    <w:qFormat/>
    <w:uiPriority w:val="0"/>
    <w:rPr>
      <w:color w:val="333333"/>
      <w:sz w:val="18"/>
      <w:szCs w:val="18"/>
    </w:rPr>
  </w:style>
  <w:style w:type="character" w:customStyle="1" w:styleId="94">
    <w:name w:val="cfdate"/>
    <w:basedOn w:val="30"/>
    <w:qFormat/>
    <w:uiPriority w:val="0"/>
    <w:rPr>
      <w:color w:val="333333"/>
      <w:sz w:val="18"/>
      <w:szCs w:val="18"/>
    </w:rPr>
  </w:style>
  <w:style w:type="character" w:customStyle="1" w:styleId="95">
    <w:name w:val="redfilefwwh"/>
    <w:basedOn w:val="30"/>
    <w:qFormat/>
    <w:uiPriority w:val="0"/>
    <w:rPr>
      <w:color w:val="BA2636"/>
      <w:sz w:val="18"/>
      <w:szCs w:val="18"/>
    </w:rPr>
  </w:style>
  <w:style w:type="character" w:customStyle="1" w:styleId="96">
    <w:name w:val="displayarti"/>
    <w:basedOn w:val="30"/>
    <w:qFormat/>
    <w:uiPriority w:val="0"/>
    <w:rPr>
      <w:color w:val="FFFFFF"/>
      <w:shd w:val="clear" w:color="auto" w:fill="A00000"/>
    </w:rPr>
  </w:style>
  <w:style w:type="character" w:customStyle="1" w:styleId="97">
    <w:name w:val="gjfg"/>
    <w:basedOn w:val="30"/>
    <w:qFormat/>
    <w:uiPriority w:val="0"/>
  </w:style>
  <w:style w:type="character" w:customStyle="1" w:styleId="98">
    <w:name w:val="redfilenumber"/>
    <w:basedOn w:val="30"/>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paragraph" w:styleId="101">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102">
    <w:name w:val="表格非标题文字"/>
    <w:qFormat/>
    <w:uiPriority w:val="0"/>
    <w:pPr>
      <w:snapToGrid w:val="0"/>
      <w:spacing w:before="80" w:after="40"/>
    </w:pPr>
    <w:rPr>
      <w:rFonts w:ascii="Futura Bk" w:hAnsi="Futura Bk" w:eastAsia="Times New Roman" w:cstheme="minorBidi"/>
      <w:sz w:val="1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华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33859-C5FF-4F45-9BF6-34CCC7CEC9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4198</Words>
  <Characters>23929</Characters>
  <Lines>199</Lines>
  <Paragraphs>56</Paragraphs>
  <TotalTime>2</TotalTime>
  <ScaleCrop>false</ScaleCrop>
  <LinksUpToDate>false</LinksUpToDate>
  <CharactersWithSpaces>28071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2020-06-08T01:09:00Z</dcterms:created>
  <dc:creator>Ting</dc:creator>
  <cp:lastModifiedBy>Administrator</cp:lastModifiedBy>
  <cp:lastPrinted>2020-01-14T04:42:00Z</cp:lastPrinted>
  <dcterms:modified xsi:type="dcterms:W3CDTF">2020-10-15T06:48:58Z</dcterms:modified>
  <dc:title>绍兴市公安局交通警察支队交警互联网支付及罚缴平台二期项目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