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ascii="隶书" w:hAnsi="Arial" w:eastAsia="隶书" w:cs="Arial"/>
          <w:b/>
          <w:color w:val="auto"/>
          <w:sz w:val="52"/>
          <w:szCs w:val="52"/>
        </w:rPr>
      </w:pPr>
    </w:p>
    <w:p>
      <w:pPr>
        <w:spacing w:line="312" w:lineRule="auto"/>
        <w:jc w:val="center"/>
        <w:outlineLvl w:val="0"/>
        <w:rPr>
          <w:rFonts w:ascii="隶书" w:hAnsi="Arial" w:eastAsia="隶书" w:cs="Arial"/>
          <w:b/>
          <w:color w:val="auto"/>
          <w:sz w:val="52"/>
          <w:szCs w:val="52"/>
        </w:rPr>
      </w:pPr>
      <w:r>
        <w:rPr>
          <w:rFonts w:hint="eastAsia" w:ascii="隶书" w:hAnsi="Arial" w:eastAsia="隶书" w:cs="Arial"/>
          <w:b/>
          <w:color w:val="auto"/>
          <w:sz w:val="52"/>
          <w:szCs w:val="52"/>
        </w:rPr>
        <w:t xml:space="preserve">绍兴市公安局**平台***模块维护、市公安局电脑网络设备维护、桌面云硬件维保项目 </w:t>
      </w:r>
    </w:p>
    <w:p>
      <w:pPr>
        <w:pStyle w:val="3"/>
        <w:rPr>
          <w:color w:val="auto"/>
        </w:rPr>
      </w:pPr>
    </w:p>
    <w:p>
      <w:pPr>
        <w:spacing w:line="312" w:lineRule="auto"/>
        <w:jc w:val="center"/>
        <w:outlineLvl w:val="0"/>
        <w:rPr>
          <w:rFonts w:ascii="隶书" w:hAnsi="Arial" w:eastAsia="隶书" w:cs="Arial"/>
          <w:b/>
          <w:color w:val="auto"/>
          <w:sz w:val="52"/>
          <w:szCs w:val="52"/>
        </w:rPr>
      </w:pPr>
      <w:r>
        <w:rPr>
          <w:rFonts w:hint="eastAsia" w:ascii="隶书" w:hAnsi="Arial" w:eastAsia="隶书" w:cs="Arial"/>
          <w:b/>
          <w:color w:val="auto"/>
          <w:sz w:val="52"/>
          <w:szCs w:val="52"/>
        </w:rPr>
        <w:t>公</w:t>
      </w:r>
    </w:p>
    <w:p>
      <w:pPr>
        <w:spacing w:line="312" w:lineRule="auto"/>
        <w:jc w:val="center"/>
        <w:outlineLvl w:val="0"/>
        <w:rPr>
          <w:rFonts w:ascii="隶书" w:hAnsi="Arial" w:eastAsia="隶书" w:cs="Arial"/>
          <w:b/>
          <w:color w:val="auto"/>
          <w:sz w:val="52"/>
          <w:szCs w:val="52"/>
        </w:rPr>
      </w:pPr>
      <w:r>
        <w:rPr>
          <w:rFonts w:hint="eastAsia" w:ascii="隶书" w:hAnsi="Arial" w:eastAsia="隶书" w:cs="Arial"/>
          <w:b/>
          <w:color w:val="auto"/>
          <w:sz w:val="52"/>
          <w:szCs w:val="52"/>
        </w:rPr>
        <w:t>开</w:t>
      </w:r>
    </w:p>
    <w:p>
      <w:pPr>
        <w:spacing w:line="312" w:lineRule="auto"/>
        <w:jc w:val="center"/>
        <w:outlineLvl w:val="0"/>
        <w:rPr>
          <w:rFonts w:ascii="隶书" w:hAnsi="Arial" w:eastAsia="隶书" w:cs="Arial"/>
          <w:b/>
          <w:color w:val="auto"/>
          <w:sz w:val="52"/>
          <w:szCs w:val="52"/>
        </w:rPr>
      </w:pPr>
      <w:r>
        <w:rPr>
          <w:rFonts w:hint="eastAsia" w:ascii="隶书" w:hAnsi="Arial" w:eastAsia="隶书" w:cs="Arial"/>
          <w:b/>
          <w:color w:val="auto"/>
          <w:sz w:val="52"/>
          <w:szCs w:val="52"/>
        </w:rPr>
        <w:t>招</w:t>
      </w:r>
    </w:p>
    <w:p>
      <w:pPr>
        <w:spacing w:line="312" w:lineRule="auto"/>
        <w:jc w:val="center"/>
        <w:outlineLvl w:val="0"/>
        <w:rPr>
          <w:rFonts w:ascii="隶书" w:hAnsi="Arial" w:eastAsia="隶书" w:cs="Arial"/>
          <w:b/>
          <w:color w:val="auto"/>
          <w:sz w:val="52"/>
          <w:szCs w:val="52"/>
        </w:rPr>
      </w:pPr>
      <w:r>
        <w:rPr>
          <w:rFonts w:hint="eastAsia" w:ascii="隶书" w:hAnsi="Arial" w:eastAsia="隶书" w:cs="Arial"/>
          <w:b/>
          <w:color w:val="auto"/>
          <w:sz w:val="52"/>
          <w:szCs w:val="52"/>
        </w:rPr>
        <w:t>标</w:t>
      </w:r>
    </w:p>
    <w:p>
      <w:pPr>
        <w:spacing w:line="312" w:lineRule="auto"/>
        <w:jc w:val="center"/>
        <w:outlineLvl w:val="0"/>
        <w:rPr>
          <w:rFonts w:ascii="隶书" w:eastAsia="隶书"/>
          <w:b/>
          <w:color w:val="auto"/>
          <w:sz w:val="52"/>
          <w:szCs w:val="52"/>
        </w:rPr>
      </w:pPr>
      <w:r>
        <w:rPr>
          <w:rFonts w:hint="eastAsia" w:ascii="隶书" w:eastAsia="隶书"/>
          <w:b/>
          <w:color w:val="auto"/>
          <w:sz w:val="52"/>
          <w:szCs w:val="52"/>
        </w:rPr>
        <w:t>文</w:t>
      </w:r>
    </w:p>
    <w:p>
      <w:pPr>
        <w:spacing w:line="312" w:lineRule="auto"/>
        <w:jc w:val="center"/>
        <w:outlineLvl w:val="0"/>
        <w:rPr>
          <w:rFonts w:ascii="隶书" w:eastAsia="隶书"/>
          <w:b/>
          <w:color w:val="auto"/>
          <w:sz w:val="52"/>
          <w:szCs w:val="52"/>
        </w:rPr>
      </w:pPr>
      <w:r>
        <w:rPr>
          <w:rFonts w:hint="eastAsia" w:ascii="隶书" w:eastAsia="隶书"/>
          <w:b/>
          <w:color w:val="auto"/>
          <w:sz w:val="52"/>
          <w:szCs w:val="52"/>
        </w:rPr>
        <w:t>件</w:t>
      </w:r>
    </w:p>
    <w:p>
      <w:pPr>
        <w:pStyle w:val="2"/>
        <w:rPr>
          <w:color w:val="auto"/>
          <w:lang w:val="en-US"/>
        </w:rPr>
      </w:pPr>
    </w:p>
    <w:p>
      <w:pPr>
        <w:spacing w:line="312" w:lineRule="auto"/>
        <w:jc w:val="center"/>
        <w:rPr>
          <w:rFonts w:hint="default" w:ascii="隶书" w:eastAsia="隶书"/>
          <w:b/>
          <w:color w:val="auto"/>
          <w:sz w:val="28"/>
          <w:szCs w:val="28"/>
          <w:lang w:val="en-US" w:eastAsia="zh-CN"/>
        </w:rPr>
      </w:pPr>
      <w:r>
        <w:rPr>
          <w:rFonts w:hint="eastAsia" w:ascii="隶书" w:eastAsia="隶书"/>
          <w:b/>
          <w:color w:val="auto"/>
          <w:sz w:val="28"/>
          <w:szCs w:val="28"/>
        </w:rPr>
        <w:t>招标编号:YH2020-</w:t>
      </w:r>
      <w:r>
        <w:rPr>
          <w:rFonts w:hint="eastAsia" w:ascii="隶书" w:eastAsia="隶书"/>
          <w:b/>
          <w:color w:val="auto"/>
          <w:sz w:val="28"/>
          <w:szCs w:val="28"/>
          <w:lang w:val="en-US" w:eastAsia="zh-CN"/>
        </w:rPr>
        <w:t>10017</w:t>
      </w:r>
    </w:p>
    <w:tbl>
      <w:tblPr>
        <w:tblStyle w:val="28"/>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4" w:type="dxa"/>
            <w:vAlign w:val="center"/>
          </w:tcPr>
          <w:p>
            <w:pPr>
              <w:spacing w:after="100" w:afterAutospacing="1"/>
              <w:rPr>
                <w:rFonts w:ascii="隶书" w:hAnsi="宋体" w:eastAsia="隶书"/>
                <w:color w:val="auto"/>
                <w:sz w:val="28"/>
                <w:szCs w:val="28"/>
              </w:rPr>
            </w:pPr>
            <w:r>
              <w:rPr>
                <w:rFonts w:hint="eastAsia" w:ascii="隶书" w:hAnsi="宋体" w:eastAsia="隶书"/>
                <w:color w:val="auto"/>
                <w:sz w:val="28"/>
                <w:szCs w:val="28"/>
              </w:rPr>
              <w:t>绍兴市公安局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color w:val="auto"/>
                <w:sz w:val="28"/>
                <w:szCs w:val="28"/>
              </w:rPr>
            </w:pPr>
            <w:r>
              <w:rPr>
                <w:rFonts w:hint="eastAsia" w:ascii="隶书" w:hAnsi="宋体" w:eastAsia="隶书"/>
                <w:color w:val="auto"/>
                <w:kern w:val="0"/>
                <w:sz w:val="28"/>
                <w:szCs w:val="28"/>
              </w:rPr>
              <w:t>采购代理机构</w:t>
            </w:r>
            <w:r>
              <w:rPr>
                <w:rFonts w:hint="eastAsia" w:ascii="隶书" w:hAnsi="宋体" w:eastAsia="隶书"/>
                <w:color w:val="auto"/>
                <w:sz w:val="28"/>
                <w:szCs w:val="28"/>
              </w:rPr>
              <w:t>：</w:t>
            </w:r>
          </w:p>
        </w:tc>
        <w:tc>
          <w:tcPr>
            <w:tcW w:w="5444" w:type="dxa"/>
          </w:tcPr>
          <w:p>
            <w:pPr>
              <w:spacing w:after="100" w:afterAutospacing="1"/>
              <w:rPr>
                <w:rFonts w:ascii="隶书" w:hAnsi="宋体" w:eastAsia="隶书"/>
                <w:color w:val="auto"/>
                <w:sz w:val="28"/>
                <w:szCs w:val="28"/>
              </w:rPr>
            </w:pPr>
            <w:r>
              <w:rPr>
                <w:rFonts w:hint="eastAsia" w:ascii="隶书" w:hAnsi="宋体" w:eastAsia="隶书"/>
                <w:color w:val="auto"/>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color w:val="auto"/>
                <w:sz w:val="28"/>
                <w:szCs w:val="28"/>
              </w:rPr>
            </w:pPr>
            <w:r>
              <w:rPr>
                <w:rFonts w:hint="eastAsia" w:ascii="隶书" w:hAnsi="宋体" w:eastAsia="隶书"/>
                <w:color w:val="auto"/>
                <w:spacing w:val="93"/>
                <w:kern w:val="0"/>
                <w:sz w:val="28"/>
                <w:szCs w:val="28"/>
              </w:rPr>
              <w:t>监督单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4" w:type="dxa"/>
          </w:tcPr>
          <w:p>
            <w:pPr>
              <w:spacing w:after="100" w:afterAutospacing="1"/>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color w:val="auto"/>
                <w:sz w:val="28"/>
                <w:szCs w:val="28"/>
              </w:rPr>
            </w:pPr>
            <w:r>
              <w:rPr>
                <w:rFonts w:hint="eastAsia" w:ascii="隶书" w:eastAsia="隶书"/>
                <w:b/>
                <w:color w:val="auto"/>
                <w:sz w:val="28"/>
                <w:szCs w:val="28"/>
              </w:rPr>
              <w:t>二</w:t>
            </w:r>
            <w:r>
              <w:rPr>
                <w:rFonts w:ascii="隶书" w:eastAsia="隶书"/>
                <w:b/>
                <w:color w:val="auto"/>
                <w:sz w:val="28"/>
                <w:szCs w:val="28"/>
              </w:rPr>
              <w:t>0</w:t>
            </w:r>
            <w:r>
              <w:rPr>
                <w:rFonts w:hint="eastAsia" w:ascii="隶书" w:eastAsia="隶书"/>
                <w:b/>
                <w:color w:val="auto"/>
                <w:sz w:val="28"/>
                <w:szCs w:val="28"/>
              </w:rPr>
              <w:t>二</w:t>
            </w:r>
            <w:r>
              <w:rPr>
                <w:rFonts w:ascii="隶书" w:eastAsia="隶书"/>
                <w:b/>
                <w:color w:val="auto"/>
                <w:sz w:val="28"/>
                <w:szCs w:val="28"/>
              </w:rPr>
              <w:t>0</w:t>
            </w:r>
            <w:r>
              <w:rPr>
                <w:rFonts w:hint="eastAsia" w:ascii="隶书" w:eastAsia="隶书"/>
                <w:b/>
                <w:color w:val="auto"/>
                <w:sz w:val="28"/>
                <w:szCs w:val="28"/>
              </w:rPr>
              <w:t>年九月</w:t>
            </w:r>
          </w:p>
        </w:tc>
      </w:tr>
    </w:tbl>
    <w:p>
      <w:pPr>
        <w:spacing w:line="360" w:lineRule="auto"/>
        <w:rPr>
          <w:rFonts w:ascii="仿宋" w:hAnsi="仿宋" w:eastAsia="仿宋" w:cs="仿宋"/>
          <w:b/>
          <w:color w:val="auto"/>
          <w:sz w:val="44"/>
          <w:szCs w:val="44"/>
        </w:rPr>
      </w:pPr>
    </w:p>
    <w:p>
      <w:pPr>
        <w:rPr>
          <w:rFonts w:ascii="仿宋" w:hAnsi="仿宋" w:eastAsia="仿宋" w:cs="仿宋"/>
          <w:b/>
          <w:color w:val="auto"/>
          <w:sz w:val="44"/>
          <w:szCs w:val="44"/>
        </w:rPr>
      </w:pPr>
    </w:p>
    <w:p>
      <w:pPr>
        <w:rPr>
          <w:rFonts w:ascii="仿宋" w:hAnsi="仿宋" w:eastAsia="仿宋" w:cs="仿宋"/>
          <w:b/>
          <w:color w:val="auto"/>
          <w:sz w:val="44"/>
          <w:szCs w:val="44"/>
        </w:rPr>
      </w:pPr>
    </w:p>
    <w:p>
      <w:pPr>
        <w:jc w:val="center"/>
        <w:rPr>
          <w:rFonts w:ascii="仿宋" w:hAnsi="仿宋" w:eastAsia="仿宋" w:cs="仿宋"/>
          <w:b/>
          <w:color w:val="auto"/>
          <w:sz w:val="44"/>
          <w:szCs w:val="44"/>
        </w:rPr>
      </w:pPr>
    </w:p>
    <w:p>
      <w:pPr>
        <w:jc w:val="center"/>
        <w:rPr>
          <w:rFonts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ascii="仿宋" w:hAnsi="仿宋" w:eastAsia="仿宋" w:cs="仿宋"/>
          <w:b/>
          <w:color w:val="auto"/>
          <w:sz w:val="44"/>
          <w:szCs w:val="44"/>
        </w:rPr>
      </w:pPr>
    </w:p>
    <w:p>
      <w:pPr>
        <w:jc w:val="center"/>
        <w:rPr>
          <w:rFonts w:ascii="仿宋" w:hAnsi="仿宋" w:eastAsia="仿宋" w:cs="仿宋"/>
          <w:color w:val="auto"/>
        </w:rPr>
      </w:pP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snapToGrid w:val="0"/>
        <w:spacing w:line="480" w:lineRule="auto"/>
        <w:jc w:val="left"/>
        <w:rPr>
          <w:rFonts w:ascii="仿宋" w:hAnsi="仿宋" w:eastAsia="仿宋" w:cs="仿宋"/>
          <w:color w:val="auto"/>
          <w:sz w:val="36"/>
          <w:szCs w:val="36"/>
        </w:rPr>
      </w:pPr>
    </w:p>
    <w:p>
      <w:pPr>
        <w:pageBreakBefore/>
        <w:snapToGrid w:val="0"/>
        <w:spacing w:line="6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28"/>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br w:type="page"/>
            </w:r>
          </w:p>
          <w:tbl>
            <w:tblPr>
              <w:tblStyle w:val="28"/>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项目概况：  </w:t>
                  </w:r>
                </w:p>
                <w:p>
                  <w:pPr>
                    <w:widowControl/>
                    <w:snapToGrid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绍兴市公安局警务平台派出所模块维护、市公安局电脑网络设备维护、桌面云硬件维保项目 的潜在投标人应在网上报名获取（下载）招标文件，并于2020年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15:00</w:t>
                  </w:r>
                  <w:r>
                    <w:rPr>
                      <w:rFonts w:hint="eastAsia" w:ascii="仿宋" w:hAnsi="仿宋" w:eastAsia="仿宋" w:cs="仿宋"/>
                      <w:color w:val="auto"/>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一、项目基本情况 </w:t>
            </w:r>
          </w:p>
          <w:p>
            <w:pPr>
              <w:widowControl/>
              <w:snapToGrid w:val="0"/>
              <w:spacing w:line="288" w:lineRule="auto"/>
              <w:ind w:firstLine="480" w:firstLineChars="200"/>
              <w:rPr>
                <w:rFonts w:hint="default" w:ascii="仿宋" w:hAnsi="仿宋" w:eastAsia="仿宋" w:cs="仿宋"/>
                <w:color w:val="auto"/>
                <w:kern w:val="0"/>
                <w:sz w:val="24"/>
                <w:lang w:val="en-US" w:eastAsia="zh-CN"/>
              </w:rPr>
            </w:pPr>
            <w:r>
              <w:rPr>
                <w:rFonts w:hint="eastAsia" w:ascii="仿宋" w:hAnsi="仿宋" w:eastAsia="仿宋" w:cs="仿宋"/>
                <w:color w:val="auto"/>
                <w:kern w:val="0"/>
                <w:sz w:val="24"/>
              </w:rPr>
              <w:t>项目编号：YH2020-</w:t>
            </w:r>
            <w:r>
              <w:rPr>
                <w:rFonts w:hint="eastAsia" w:ascii="仿宋" w:hAnsi="仿宋" w:eastAsia="仿宋" w:cs="仿宋"/>
                <w:color w:val="auto"/>
                <w:kern w:val="0"/>
                <w:sz w:val="24"/>
                <w:lang w:val="en-US" w:eastAsia="zh-CN"/>
              </w:rPr>
              <w:t>10017</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项目名称：绍兴市公安局**平台***模块维护、市公安局电脑网络设备维护、桌面云硬件维保项目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预算金额（元）：</w:t>
            </w:r>
            <w:r>
              <w:rPr>
                <w:rFonts w:hint="eastAsia" w:ascii="仿宋" w:hAnsi="仿宋" w:eastAsia="仿宋" w:cs="仿宋"/>
                <w:color w:val="auto"/>
                <w:kern w:val="0"/>
                <w:sz w:val="24"/>
              </w:rPr>
              <w:t>259000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最高限价（元）：</w:t>
            </w:r>
            <w:r>
              <w:rPr>
                <w:rFonts w:hint="eastAsia" w:ascii="仿宋" w:hAnsi="仿宋" w:eastAsia="仿宋" w:cs="仿宋"/>
                <w:color w:val="auto"/>
                <w:kern w:val="0"/>
                <w:sz w:val="24"/>
              </w:rPr>
              <w:t>259000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采购需求：详见采购文件</w:t>
            </w:r>
          </w:p>
          <w:p>
            <w:pPr>
              <w:widowControl/>
              <w:snapToGrid w:val="0"/>
              <w:spacing w:line="288" w:lineRule="auto"/>
              <w:ind w:firstLine="480" w:firstLineChars="200"/>
              <w:rPr>
                <w:rFonts w:ascii="仿宋" w:hAnsi="仿宋" w:eastAsia="仿宋" w:cs="仿宋"/>
                <w:color w:val="auto"/>
                <w:kern w:val="0"/>
                <w:sz w:val="24"/>
              </w:rPr>
            </w:pP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标项一:</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标项名称:绍兴市公安局**平台***模块维护项目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数量:1</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预算金额（元）:60000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rPr>
            </w:pPr>
            <w:r>
              <w:rPr>
                <w:rFonts w:hint="eastAsia" w:ascii="仿宋" w:hAnsi="仿宋" w:eastAsia="仿宋" w:cs="仿宋"/>
                <w:color w:val="auto"/>
                <w:szCs w:val="24"/>
              </w:rPr>
              <w:t>备注：无。</w:t>
            </w:r>
          </w:p>
          <w:p>
            <w:pPr>
              <w:widowControl/>
              <w:snapToGrid w:val="0"/>
              <w:spacing w:line="288" w:lineRule="auto"/>
              <w:ind w:firstLine="480" w:firstLineChars="200"/>
              <w:rPr>
                <w:rFonts w:ascii="仿宋" w:hAnsi="仿宋" w:eastAsia="仿宋" w:cs="仿宋"/>
                <w:color w:val="auto"/>
                <w:kern w:val="0"/>
                <w:sz w:val="24"/>
              </w:rPr>
            </w:pP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标项二:</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标项名称:绍兴市公安局电脑网络设备维护项目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数量: 不限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预算金额（元）:99000</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简要规格描述或项目基本概况介绍、用途：详见采购文件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备注：无。 </w:t>
            </w:r>
          </w:p>
          <w:p>
            <w:pPr>
              <w:widowControl/>
              <w:snapToGrid w:val="0"/>
              <w:spacing w:line="288" w:lineRule="auto"/>
              <w:ind w:firstLine="480" w:firstLineChars="200"/>
              <w:rPr>
                <w:rFonts w:ascii="仿宋" w:hAnsi="仿宋" w:eastAsia="仿宋" w:cs="仿宋"/>
                <w:color w:val="auto"/>
                <w:kern w:val="0"/>
                <w:sz w:val="24"/>
              </w:rPr>
            </w:pP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标项三:</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标项名称: 绍兴市公安局桌面云硬件维保项目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数量: 不限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预算金额（元）: 100000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简要规格描述或项目基本概况介绍、用途：详见采购文件 </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    备注：无。 </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w:t>
            </w:r>
            <w:r>
              <w:rPr>
                <w:rFonts w:hint="eastAsia" w:ascii="仿宋_GB2312" w:hAnsi="宋体" w:eastAsia="仿宋_GB2312" w:cs="宋体"/>
                <w:color w:val="auto"/>
                <w:kern w:val="0"/>
                <w:sz w:val="24"/>
              </w:rPr>
              <w:t>无</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三、获取招标文件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时间：/至2020年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rPr>
              <w:t>http://www.zcygov.cn/</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15:00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w:t>
            </w:r>
            <w:r>
              <w:rPr>
                <w:rFonts w:hint="eastAsia" w:ascii="仿宋" w:hAnsi="仿宋" w:eastAsia="仿宋" w:cs="仿宋"/>
                <w:bCs/>
                <w:color w:val="auto"/>
                <w:kern w:val="0"/>
                <w:sz w:val="24"/>
              </w:rPr>
              <w:t>http://www.zcygov.cn/</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开标时间：2020年</w:t>
            </w:r>
            <w:r>
              <w:rPr>
                <w:rFonts w:hint="eastAsia" w:ascii="仿宋" w:hAnsi="仿宋" w:eastAsia="仿宋" w:cs="仿宋"/>
                <w:color w:val="auto"/>
                <w:kern w:val="0"/>
                <w:sz w:val="24"/>
                <w:lang w:val="en-US" w:eastAsia="zh-CN"/>
              </w:rPr>
              <w:t>11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5</w:t>
            </w:r>
            <w:r>
              <w:rPr>
                <w:rFonts w:hint="eastAsia" w:ascii="仿宋" w:hAnsi="仿宋" w:eastAsia="仿宋" w:cs="仿宋"/>
                <w:color w:val="auto"/>
                <w:kern w:val="0"/>
                <w:sz w:val="24"/>
              </w:rPr>
              <w:t>日</w:t>
            </w:r>
            <w:r>
              <w:rPr>
                <w:rFonts w:hint="eastAsia" w:ascii="仿宋" w:hAnsi="仿宋" w:eastAsia="仿宋" w:cs="仿宋"/>
                <w:color w:val="auto"/>
                <w:kern w:val="0"/>
                <w:sz w:val="24"/>
                <w:lang w:val="en-US" w:eastAsia="zh-CN"/>
              </w:rPr>
              <w:t>15:00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w:t>
            </w:r>
            <w:r>
              <w:rPr>
                <w:rFonts w:hint="eastAsia" w:ascii="仿宋" w:hAnsi="仿宋" w:eastAsia="仿宋" w:cs="仿宋"/>
                <w:bCs/>
                <w:color w:val="auto"/>
                <w:sz w:val="24"/>
              </w:rPr>
              <w:t>耀华建设管理有限公司绍兴迪荡分公司（</w:t>
            </w:r>
            <w:r>
              <w:rPr>
                <w:rFonts w:hint="eastAsia" w:ascii="仿宋" w:hAnsi="仿宋" w:eastAsia="仿宋" w:cs="仿宋"/>
                <w:color w:val="auto"/>
                <w:kern w:val="0"/>
                <w:sz w:val="24"/>
              </w:rPr>
              <w:t>绍兴市越城区阳明北路80号滨江大厦C楼3楼9/10号</w:t>
            </w:r>
            <w:r>
              <w:rPr>
                <w:rFonts w:hint="eastAsia" w:ascii="仿宋" w:hAnsi="仿宋" w:eastAsia="仿宋" w:cs="仿宋"/>
                <w:bCs/>
                <w:color w:val="auto"/>
                <w:sz w:val="24"/>
              </w:rPr>
              <w:t>）开标室</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五、公告期限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自本公告发布之日起5个工作日。</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六、其他补充事宜</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2.其他事项：无。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1.采购人信息</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名称：绍兴市公安局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地址：绍兴市灵芝街道凤林西路1977号</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bCs/>
                <w:color w:val="auto"/>
                <w:sz w:val="24"/>
              </w:rPr>
              <w:t xml:space="preserve"> 李红存  </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项目联系方式（询问）：0575-88582381</w:t>
            </w:r>
          </w:p>
          <w:p>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质疑联系人：王剑锋</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质疑联系方式：0575-88582665</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2.采购代理机构信息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名称：耀华建设管理有限公司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项目联系人（询问）：陈芳芳</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项目联系方式（询问）：0575-88776697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质疑联系人：单成燕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质疑联系方式：0575-88336881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3.同级政府采购监督管理部门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名称：绍兴市财政局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地址：绍兴市越城区凤林西路151号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传真：0575-85209806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联系人 ：应春兴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 xml:space="preserve">监督投诉电话：0575-85209806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CA问题联系电话（人工）：汇信CA 400-888-4636；天谷CA 400-087-8198。</w:t>
            </w:r>
          </w:p>
        </w:tc>
      </w:tr>
    </w:tbl>
    <w:p>
      <w:pPr>
        <w:snapToGrid w:val="0"/>
        <w:spacing w:line="288" w:lineRule="auto"/>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jc w:val="center"/>
        <w:rPr>
          <w:rFonts w:ascii="仿宋" w:hAnsi="仿宋" w:eastAsia="仿宋" w:cs="仿宋"/>
          <w:b/>
          <w:color w:val="auto"/>
          <w:sz w:val="36"/>
          <w:szCs w:val="36"/>
        </w:rPr>
      </w:pPr>
    </w:p>
    <w:p>
      <w:pPr>
        <w:rPr>
          <w:rFonts w:ascii="仿宋" w:hAnsi="仿宋" w:eastAsia="仿宋" w:cs="仿宋"/>
          <w:b/>
          <w:color w:val="auto"/>
          <w:sz w:val="36"/>
          <w:szCs w:val="36"/>
        </w:rPr>
      </w:pPr>
    </w:p>
    <w:p>
      <w:pPr>
        <w:jc w:val="center"/>
        <w:rPr>
          <w:rFonts w:ascii="仿宋" w:hAnsi="仿宋" w:eastAsia="仿宋" w:cs="仿宋"/>
          <w:b/>
          <w:color w:val="auto"/>
          <w:sz w:val="36"/>
          <w:szCs w:val="36"/>
        </w:rPr>
      </w:pPr>
      <w:r>
        <w:rPr>
          <w:rFonts w:hint="eastAsia" w:ascii="仿宋" w:hAnsi="仿宋" w:eastAsia="仿宋" w:cs="仿宋"/>
          <w:b/>
          <w:color w:val="auto"/>
          <w:sz w:val="36"/>
          <w:szCs w:val="36"/>
        </w:rPr>
        <w:t>第二部分 投标人须知</w:t>
      </w:r>
    </w:p>
    <w:p>
      <w:pPr>
        <w:ind w:left="238"/>
        <w:jc w:val="center"/>
        <w:rPr>
          <w:rFonts w:ascii="仿宋" w:hAnsi="仿宋" w:eastAsia="仿宋" w:cs="仿宋"/>
          <w:b/>
          <w:color w:val="auto"/>
          <w:sz w:val="30"/>
          <w:szCs w:val="36"/>
        </w:rPr>
      </w:pPr>
      <w:r>
        <w:rPr>
          <w:rFonts w:hint="eastAsia" w:ascii="仿宋" w:hAnsi="仿宋" w:eastAsia="仿宋" w:cs="仿宋"/>
          <w:b/>
          <w:color w:val="auto"/>
          <w:sz w:val="30"/>
          <w:szCs w:val="36"/>
        </w:rPr>
        <w:t>前附表</w:t>
      </w:r>
    </w:p>
    <w:tbl>
      <w:tblPr>
        <w:tblStyle w:val="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222"/>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beforeLines="50" w:afterLines="30" w:line="3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643" w:type="dxa"/>
            <w:gridSpan w:val="2"/>
            <w:vAlign w:val="center"/>
          </w:tcPr>
          <w:p>
            <w:pPr>
              <w:spacing w:beforeLines="50" w:afterLines="30" w:line="300" w:lineRule="exact"/>
              <w:jc w:val="center"/>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643" w:type="dxa"/>
            <w:gridSpan w:val="2"/>
            <w:vAlign w:val="center"/>
          </w:tcPr>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2018年度或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643"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643"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bCs/>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643" w:type="dxa"/>
            <w:gridSpan w:val="2"/>
            <w:vAlign w:val="center"/>
          </w:tcPr>
          <w:p>
            <w:pPr>
              <w:autoSpaceDE w:val="0"/>
              <w:autoSpaceDN w:val="0"/>
              <w:spacing w:line="340" w:lineRule="exact"/>
              <w:textAlignment w:val="bottom"/>
              <w:rPr>
                <w:rFonts w:ascii="仿宋" w:hAnsi="仿宋" w:eastAsia="仿宋" w:cs="仿宋"/>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643" w:type="dxa"/>
            <w:gridSpan w:val="2"/>
            <w:vAlign w:val="center"/>
          </w:tcPr>
          <w:p>
            <w:pPr>
              <w:autoSpaceDE w:val="0"/>
              <w:autoSpaceDN w:val="0"/>
              <w:spacing w:line="340" w:lineRule="exact"/>
              <w:textAlignment w:val="bottom"/>
              <w:rPr>
                <w:rFonts w:ascii="仿宋" w:hAnsi="仿宋" w:eastAsia="仿宋" w:cs="仿宋"/>
                <w:color w:val="auto"/>
                <w:sz w:val="24"/>
              </w:rPr>
            </w:pPr>
            <w:r>
              <w:rPr>
                <w:rFonts w:hint="eastAsia" w:ascii="仿宋" w:hAnsi="仿宋" w:eastAsia="仿宋" w:cs="仿宋"/>
                <w:b/>
                <w:color w:val="auto"/>
                <w:sz w:val="24"/>
              </w:rPr>
              <w:t>开标前答疑会或现场考察：</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643" w:type="dxa"/>
            <w:gridSpan w:val="2"/>
            <w:vAlign w:val="center"/>
          </w:tcPr>
          <w:p>
            <w:pPr>
              <w:autoSpaceDE w:val="0"/>
              <w:autoSpaceDN w:val="0"/>
              <w:spacing w:line="420" w:lineRule="exact"/>
              <w:jc w:val="left"/>
              <w:rPr>
                <w:rFonts w:ascii="仿宋" w:hAnsi="仿宋" w:eastAsia="仿宋" w:cs="仿宋"/>
                <w:b/>
                <w:color w:val="auto"/>
                <w:sz w:val="24"/>
              </w:rPr>
            </w:pPr>
            <w:r>
              <w:rPr>
                <w:rFonts w:hint="eastAsia" w:ascii="仿宋" w:hAnsi="仿宋" w:eastAsia="仿宋" w:cs="仿宋"/>
                <w:b/>
                <w:color w:val="auto"/>
                <w:sz w:val="24"/>
              </w:rPr>
              <w:t>样品提供：</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643" w:type="dxa"/>
            <w:gridSpan w:val="2"/>
            <w:vAlign w:val="center"/>
          </w:tcPr>
          <w:p>
            <w:pPr>
              <w:autoSpaceDE w:val="0"/>
              <w:autoSpaceDN w:val="0"/>
              <w:spacing w:line="420" w:lineRule="exact"/>
              <w:jc w:val="left"/>
              <w:rPr>
                <w:rFonts w:ascii="仿宋" w:hAnsi="仿宋" w:eastAsia="仿宋" w:cs="仿宋"/>
                <w:b/>
                <w:color w:val="auto"/>
                <w:sz w:val="24"/>
              </w:rPr>
            </w:pPr>
            <w:r>
              <w:rPr>
                <w:rFonts w:hint="eastAsia" w:ascii="仿宋" w:hAnsi="仿宋" w:eastAsia="仿宋" w:cs="仿宋"/>
                <w:b/>
                <w:color w:val="auto"/>
                <w:sz w:val="24"/>
              </w:rPr>
              <w:t>现场演示(讲解)：</w:t>
            </w:r>
            <w:r>
              <w:rPr>
                <w:rFonts w:hint="eastAsia" w:ascii="仿宋" w:hAnsi="仿宋" w:eastAsia="仿宋" w:cs="仿宋"/>
                <w:bCs/>
                <w:color w:val="auto"/>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1222" w:type="dxa"/>
            <w:vAlign w:val="center"/>
          </w:tcPr>
          <w:p>
            <w:pPr>
              <w:autoSpaceDE w:val="0"/>
              <w:autoSpaceDN w:val="0"/>
              <w:spacing w:line="420" w:lineRule="exact"/>
              <w:jc w:val="left"/>
              <w:rPr>
                <w:rFonts w:ascii="仿宋" w:hAnsi="仿宋" w:eastAsia="仿宋" w:cs="仿宋"/>
                <w:b/>
                <w:color w:val="auto"/>
                <w:sz w:val="24"/>
              </w:rPr>
            </w:pPr>
            <w:r>
              <w:rPr>
                <w:rFonts w:hint="eastAsia" w:ascii="仿宋" w:hAnsi="仿宋" w:eastAsia="仿宋" w:cs="仿宋"/>
                <w:b/>
                <w:color w:val="auto"/>
                <w:sz w:val="24"/>
              </w:rPr>
              <w:t>进口产品</w:t>
            </w:r>
          </w:p>
        </w:tc>
        <w:tc>
          <w:tcPr>
            <w:tcW w:w="7421" w:type="dxa"/>
            <w:vAlign w:val="center"/>
          </w:tcPr>
          <w:p>
            <w:pPr>
              <w:autoSpaceDE w:val="0"/>
              <w:autoSpaceDN w:val="0"/>
              <w:spacing w:line="420" w:lineRule="exact"/>
              <w:jc w:val="left"/>
              <w:rPr>
                <w:rFonts w:ascii="仿宋" w:hAnsi="仿宋" w:eastAsia="仿宋" w:cs="仿宋"/>
                <w:b/>
                <w:color w:val="auto"/>
                <w:sz w:val="24"/>
              </w:rPr>
            </w:pPr>
            <w:r>
              <w:rPr>
                <w:rFonts w:hint="eastAsia" w:ascii="仿宋" w:hAnsi="仿宋" w:eastAsia="仿宋" w:cs="仿宋"/>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897" w:type="dxa"/>
            <w:vMerge w:val="restart"/>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1222" w:type="dxa"/>
            <w:vMerge w:val="restart"/>
            <w:vAlign w:val="center"/>
          </w:tcPr>
          <w:p>
            <w:pPr>
              <w:snapToGrid w:val="0"/>
              <w:rPr>
                <w:rFonts w:ascii="仿宋" w:hAnsi="仿宋" w:eastAsia="仿宋" w:cs="仿宋"/>
                <w:color w:val="auto"/>
                <w:sz w:val="24"/>
              </w:rPr>
            </w:pPr>
            <w:r>
              <w:rPr>
                <w:rFonts w:hint="eastAsia" w:ascii="仿宋" w:hAnsi="仿宋" w:eastAsia="仿宋" w:cs="仿宋"/>
                <w:b/>
                <w:color w:val="auto"/>
                <w:sz w:val="24"/>
              </w:rPr>
              <w:t>投标人信用信息事项</w:t>
            </w:r>
          </w:p>
        </w:tc>
        <w:tc>
          <w:tcPr>
            <w:tcW w:w="7421" w:type="dxa"/>
            <w:vAlign w:val="center"/>
          </w:tcPr>
          <w:p>
            <w:pPr>
              <w:snapToGrid w:val="0"/>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项目评审组织人员将通过“信用中国”网站(www.creditchina.gov.cn)、中国政府采购网(www.ccgp.gov.cn)渠道查询投标人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97" w:type="dxa"/>
            <w:vMerge w:val="continue"/>
            <w:vAlign w:val="center"/>
          </w:tcPr>
          <w:p>
            <w:pPr>
              <w:spacing w:line="340" w:lineRule="exact"/>
              <w:jc w:val="center"/>
              <w:rPr>
                <w:rFonts w:ascii="仿宋" w:hAnsi="仿宋" w:eastAsia="仿宋" w:cs="仿宋"/>
                <w:color w:val="auto"/>
                <w:sz w:val="24"/>
              </w:rPr>
            </w:pPr>
          </w:p>
        </w:tc>
        <w:tc>
          <w:tcPr>
            <w:tcW w:w="1222" w:type="dxa"/>
            <w:vMerge w:val="continue"/>
            <w:vAlign w:val="center"/>
          </w:tcPr>
          <w:p>
            <w:pPr>
              <w:spacing w:line="340" w:lineRule="exact"/>
              <w:rPr>
                <w:rFonts w:ascii="仿宋" w:hAnsi="仿宋" w:eastAsia="仿宋" w:cs="仿宋"/>
                <w:b/>
                <w:color w:val="auto"/>
                <w:sz w:val="24"/>
              </w:rPr>
            </w:pPr>
          </w:p>
        </w:tc>
        <w:tc>
          <w:tcPr>
            <w:tcW w:w="7421" w:type="dxa"/>
            <w:vAlign w:val="center"/>
          </w:tcPr>
          <w:p>
            <w:pPr>
              <w:snapToGrid w:val="0"/>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项目评审组织人员现场查询投标人的信用记录，查询结果经确认后与采购文件一起存档。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897" w:type="dxa"/>
            <w:vMerge w:val="continue"/>
            <w:vAlign w:val="center"/>
          </w:tcPr>
          <w:p>
            <w:pPr>
              <w:spacing w:line="340" w:lineRule="exact"/>
              <w:jc w:val="center"/>
              <w:rPr>
                <w:rFonts w:ascii="仿宋" w:hAnsi="仿宋" w:eastAsia="仿宋" w:cs="仿宋"/>
                <w:color w:val="auto"/>
                <w:sz w:val="24"/>
              </w:rPr>
            </w:pPr>
          </w:p>
        </w:tc>
        <w:tc>
          <w:tcPr>
            <w:tcW w:w="1222" w:type="dxa"/>
            <w:vMerge w:val="continue"/>
            <w:vAlign w:val="center"/>
          </w:tcPr>
          <w:p>
            <w:pPr>
              <w:spacing w:line="340" w:lineRule="exact"/>
              <w:rPr>
                <w:rFonts w:ascii="仿宋" w:hAnsi="仿宋" w:eastAsia="仿宋" w:cs="仿宋"/>
                <w:b/>
                <w:color w:val="auto"/>
                <w:sz w:val="24"/>
              </w:rPr>
            </w:pPr>
          </w:p>
        </w:tc>
        <w:tc>
          <w:tcPr>
            <w:tcW w:w="7421" w:type="dxa"/>
            <w:vAlign w:val="center"/>
          </w:tcPr>
          <w:p>
            <w:pPr>
              <w:spacing w:line="340" w:lineRule="exact"/>
              <w:rPr>
                <w:rFonts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经查询列入失信被执行人名单、重大税收违法案件当事人名单、政府采购严重违法失信行为记录名单的投标人的投标文件将被拒绝。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643" w:type="dxa"/>
            <w:gridSpan w:val="2"/>
            <w:vAlign w:val="center"/>
          </w:tcPr>
          <w:p>
            <w:pPr>
              <w:spacing w:line="340" w:lineRule="exact"/>
              <w:rPr>
                <w:rFonts w:ascii="仿宋" w:hAnsi="仿宋" w:eastAsia="仿宋" w:cs="仿宋"/>
                <w:color w:val="auto"/>
                <w:sz w:val="24"/>
              </w:rPr>
            </w:pPr>
            <w:r>
              <w:rPr>
                <w:rFonts w:hint="eastAsia" w:ascii="仿宋" w:hAnsi="仿宋" w:eastAsia="仿宋" w:cs="仿宋"/>
                <w:color w:val="auto"/>
                <w:sz w:val="24"/>
              </w:rPr>
              <w:t>其他：代理服务费</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中标人须向招标代理机构交纳代理服务费：</w:t>
            </w:r>
          </w:p>
          <w:p>
            <w:pPr>
              <w:numPr>
                <w:ilvl w:val="0"/>
                <w:numId w:val="6"/>
              </w:num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lang w:eastAsia="zh-CN"/>
              </w:rPr>
              <w:t>折收取。</w:t>
            </w:r>
          </w:p>
          <w:p>
            <w:pPr>
              <w:numPr>
                <w:ilvl w:val="0"/>
                <w:numId w:val="0"/>
              </w:num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收费标准：中标金额在100万以下部分为1.5%。</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（2）本项目招标评审所产生的评审费用2</w:t>
            </w:r>
            <w:r>
              <w:rPr>
                <w:rFonts w:hint="eastAsia" w:ascii="仿宋" w:hAnsi="仿宋" w:eastAsia="仿宋" w:cs="仿宋"/>
                <w:color w:val="auto"/>
                <w:sz w:val="24"/>
                <w:lang w:val="en-US" w:eastAsia="zh-CN"/>
              </w:rPr>
              <w:t>1</w:t>
            </w:r>
            <w:r>
              <w:rPr>
                <w:rFonts w:hint="eastAsia" w:ascii="仿宋" w:hAnsi="仿宋" w:eastAsia="仿宋" w:cs="仿宋"/>
                <w:color w:val="auto"/>
                <w:sz w:val="24"/>
                <w:lang w:eastAsia="zh-CN"/>
              </w:rPr>
              <w:t>00元由业主支付。</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（3）代理服务费的交纳方式：</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用银行支票、汇票、电汇、现金等付款方式直接交纳代理服务费。</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公司名称：耀华建设管理有限公司绍兴迪荡分公司</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账    号：336006190018819003083</w:t>
            </w:r>
          </w:p>
          <w:p>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lang w:eastAsia="zh-CN"/>
              </w:rPr>
              <w:t>开 户 行：交通银行股份有限公司绍兴迪荡支行</w:t>
            </w:r>
          </w:p>
          <w:p>
            <w:pPr>
              <w:spacing w:line="340" w:lineRule="exact"/>
              <w:rPr>
                <w:rFonts w:ascii="仿宋" w:hAnsi="仿宋" w:eastAsia="仿宋" w:cs="仿宋"/>
                <w:color w:val="auto"/>
                <w:sz w:val="24"/>
              </w:rPr>
            </w:pPr>
            <w:r>
              <w:rPr>
                <w:rFonts w:hint="eastAsia" w:ascii="仿宋" w:hAnsi="仿宋" w:eastAsia="仿宋" w:cs="仿宋"/>
                <w:color w:val="auto"/>
                <w:sz w:val="24"/>
                <w:lang w:eastAsia="zh-CN"/>
              </w:rPr>
              <w:t>（4）领取中标通知书前交纳。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643" w:type="dxa"/>
            <w:gridSpan w:val="2"/>
            <w:vAlign w:val="center"/>
          </w:tcPr>
          <w:p>
            <w:pPr>
              <w:spacing w:line="3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97" w:type="dxa"/>
            <w:vAlign w:val="center"/>
          </w:tcPr>
          <w:p>
            <w:pPr>
              <w:spacing w:line="3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643" w:type="dxa"/>
            <w:gridSpan w:val="2"/>
            <w:vAlign w:val="center"/>
          </w:tcPr>
          <w:p>
            <w:pPr>
              <w:spacing w:line="340" w:lineRule="exact"/>
              <w:rPr>
                <w:rFonts w:ascii="仿宋" w:hAnsi="仿宋" w:eastAsia="仿宋" w:cs="仿宋"/>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pStyle w:val="22"/>
        <w:widowControl w:val="0"/>
        <w:spacing w:afterLines="0" w:line="560" w:lineRule="exact"/>
        <w:jc w:val="both"/>
        <w:rPr>
          <w:rFonts w:ascii="仿宋" w:hAnsi="仿宋" w:eastAsia="仿宋" w:cs="仿宋"/>
          <w:b/>
          <w:bCs/>
          <w:color w:val="auto"/>
          <w:sz w:val="30"/>
          <w:szCs w:val="30"/>
        </w:rPr>
      </w:pPr>
      <w:r>
        <w:rPr>
          <w:rFonts w:hint="eastAsia" w:ascii="仿宋" w:hAnsi="仿宋" w:eastAsia="仿宋" w:cs="仿宋"/>
          <w:b/>
          <w:color w:val="auto"/>
          <w:sz w:val="30"/>
          <w:szCs w:val="30"/>
        </w:rPr>
        <w:t>注：为维护绍兴市公共资源交易中心交易市场的正常秩序，进一步遏制串标、抬标行为，保护交易各方的合法权益，凡在同一招标项目的评标中，发现</w:t>
      </w:r>
      <w:r>
        <w:rPr>
          <w:rFonts w:hint="eastAsia" w:ascii="仿宋" w:hAnsi="仿宋" w:eastAsia="仿宋" w:cs="仿宋"/>
          <w:b/>
          <w:i/>
          <w:color w:val="auto"/>
          <w:sz w:val="30"/>
          <w:szCs w:val="30"/>
          <w:u w:val="double"/>
        </w:rPr>
        <w:t>①有二份及二份以上投标文件的相互之间有特别相同或相似之处②两家或两家以上投标人提供的投标文件出自同一终端设备的，或在相同Internet主机分配地址（相同IP地址）报名或网上投标的</w:t>
      </w:r>
      <w:r>
        <w:rPr>
          <w:rFonts w:hint="eastAsia" w:ascii="仿宋" w:hAnsi="仿宋" w:eastAsia="仿宋" w:cs="仿宋"/>
          <w:b/>
          <w:color w:val="auto"/>
          <w:sz w:val="30"/>
          <w:szCs w:val="30"/>
        </w:rPr>
        <w:t>，且经询标澄清投标人无令人信服的理由和可靠证据证明其合理性的，经评标委员会半数以上成员确认有</w:t>
      </w:r>
      <w:r>
        <w:rPr>
          <w:rFonts w:hint="eastAsia" w:ascii="仿宋" w:hAnsi="仿宋" w:eastAsia="仿宋" w:cs="仿宋"/>
          <w:b/>
          <w:color w:val="auto"/>
          <w:sz w:val="30"/>
          <w:szCs w:val="30"/>
          <w:u w:val="double"/>
        </w:rPr>
        <w:t>串通投标</w:t>
      </w:r>
      <w:r>
        <w:rPr>
          <w:rFonts w:hint="eastAsia" w:ascii="仿宋" w:hAnsi="仿宋" w:eastAsia="仿宋" w:cs="仿宋"/>
          <w:b/>
          <w:color w:val="auto"/>
          <w:sz w:val="30"/>
          <w:szCs w:val="30"/>
        </w:rPr>
        <w:t>嫌疑的，其投标文件按</w:t>
      </w:r>
      <w:r>
        <w:rPr>
          <w:rFonts w:hint="eastAsia" w:ascii="仿宋" w:hAnsi="仿宋" w:eastAsia="仿宋" w:cs="仿宋"/>
          <w:b/>
          <w:color w:val="auto"/>
          <w:sz w:val="30"/>
          <w:szCs w:val="30"/>
          <w:u w:val="double"/>
        </w:rPr>
        <w:t>无效投标处理</w:t>
      </w:r>
      <w:r>
        <w:rPr>
          <w:rFonts w:hint="eastAsia" w:ascii="仿宋" w:hAnsi="仿宋" w:eastAsia="仿宋" w:cs="仿宋"/>
          <w:b/>
          <w:color w:val="auto"/>
          <w:sz w:val="30"/>
          <w:szCs w:val="30"/>
        </w:rPr>
        <w:t>，不再对其进行评审，也不影响招标工作继续评标。</w:t>
      </w:r>
    </w:p>
    <w:p>
      <w:pPr>
        <w:snapToGrid w:val="0"/>
        <w:spacing w:line="288" w:lineRule="auto"/>
        <w:jc w:val="center"/>
        <w:rPr>
          <w:rFonts w:ascii="仿宋" w:hAnsi="仿宋" w:eastAsia="仿宋" w:cs="仿宋"/>
          <w:b/>
          <w:color w:val="auto"/>
          <w:sz w:val="36"/>
          <w:szCs w:val="36"/>
        </w:rPr>
      </w:pPr>
    </w:p>
    <w:p>
      <w:pPr>
        <w:snapToGrid w:val="0"/>
        <w:spacing w:line="288" w:lineRule="auto"/>
        <w:jc w:val="center"/>
        <w:rPr>
          <w:rFonts w:ascii="仿宋" w:hAnsi="仿宋" w:eastAsia="仿宋" w:cs="仿宋"/>
          <w:b/>
          <w:color w:val="auto"/>
          <w:sz w:val="36"/>
          <w:szCs w:val="36"/>
        </w:rPr>
      </w:pPr>
    </w:p>
    <w:p>
      <w:pPr>
        <w:snapToGrid w:val="0"/>
        <w:spacing w:line="288" w:lineRule="auto"/>
        <w:jc w:val="center"/>
        <w:rPr>
          <w:rFonts w:ascii="仿宋" w:hAnsi="仿宋" w:eastAsia="仿宋" w:cs="仿宋"/>
          <w:b/>
          <w:color w:val="auto"/>
          <w:sz w:val="36"/>
          <w:szCs w:val="36"/>
        </w:rPr>
      </w:pPr>
    </w:p>
    <w:p>
      <w:pPr>
        <w:snapToGrid w:val="0"/>
        <w:spacing w:line="288" w:lineRule="auto"/>
        <w:jc w:val="center"/>
        <w:rPr>
          <w:rFonts w:ascii="仿宋" w:hAnsi="仿宋" w:eastAsia="仿宋" w:cs="仿宋"/>
          <w:b/>
          <w:color w:val="auto"/>
          <w:sz w:val="36"/>
          <w:szCs w:val="36"/>
        </w:rPr>
      </w:pPr>
    </w:p>
    <w:p>
      <w:pPr>
        <w:snapToGrid w:val="0"/>
        <w:spacing w:line="284" w:lineRule="auto"/>
        <w:rPr>
          <w:rFonts w:ascii="仿宋" w:hAnsi="仿宋" w:eastAsia="仿宋" w:cs="仿宋"/>
          <w:b/>
          <w:color w:val="auto"/>
          <w:sz w:val="36"/>
          <w:szCs w:val="36"/>
        </w:rPr>
      </w:pPr>
    </w:p>
    <w:p>
      <w:pPr>
        <w:snapToGrid w:val="0"/>
        <w:spacing w:line="284" w:lineRule="auto"/>
        <w:jc w:val="center"/>
        <w:rPr>
          <w:rFonts w:ascii="仿宋" w:hAnsi="仿宋" w:eastAsia="仿宋" w:cs="仿宋"/>
          <w:b/>
          <w:color w:val="auto"/>
          <w:sz w:val="36"/>
          <w:szCs w:val="36"/>
        </w:rPr>
      </w:pPr>
    </w:p>
    <w:p>
      <w:pPr>
        <w:snapToGrid w:val="0"/>
        <w:spacing w:line="284" w:lineRule="auto"/>
        <w:jc w:val="center"/>
        <w:rPr>
          <w:rFonts w:ascii="仿宋" w:hAnsi="仿宋" w:eastAsia="仿宋" w:cs="仿宋"/>
          <w:b/>
          <w:color w:val="auto"/>
          <w:sz w:val="36"/>
          <w:szCs w:val="36"/>
        </w:rPr>
      </w:pPr>
    </w:p>
    <w:p>
      <w:pPr>
        <w:snapToGrid w:val="0"/>
        <w:spacing w:line="284"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1.项目说明</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2.定义</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2.1政府采购当事人及监管部门：绍兴市公安局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2.3“服务”系指招标文件规定投标人须承担的安装、调试、技术协助、校准、培训、技术指导以及其他类似的义务。</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2.4“项目”系指投标人按招标文件规定向采购人提供的产品和服务。</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2.5“授权代表”系指法定代表人的被授权委托人。</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284" w:lineRule="auto"/>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color w:val="auto"/>
          <w:sz w:val="24"/>
        </w:rPr>
      </w:pPr>
      <w:r>
        <w:rPr>
          <w:rFonts w:hint="eastAsia" w:ascii="仿宋" w:hAnsi="仿宋" w:eastAsia="仿宋" w:cs="仿宋"/>
          <w:color w:val="auto"/>
          <w:sz w:val="24"/>
        </w:rPr>
        <w:t>3.2 节能环保要求</w:t>
      </w:r>
    </w:p>
    <w:p>
      <w:pPr>
        <w:spacing w:line="284" w:lineRule="auto"/>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小型、微型</w:t>
      </w:r>
      <w:r>
        <w:rPr>
          <w:rFonts w:hint="eastAsia" w:ascii="仿宋" w:hAnsi="仿宋" w:eastAsia="仿宋" w:cs="仿宋"/>
          <w:color w:val="auto"/>
          <w:sz w:val="24"/>
        </w:rPr>
        <w:t>企业价格扣除。</w:t>
      </w:r>
    </w:p>
    <w:p>
      <w:pPr>
        <w:spacing w:line="284" w:lineRule="auto"/>
        <w:rPr>
          <w:rFonts w:ascii="仿宋" w:hAnsi="仿宋" w:eastAsia="仿宋" w:cs="仿宋"/>
          <w:bCs/>
          <w:color w:val="auto"/>
          <w:sz w:val="24"/>
        </w:rPr>
      </w:pPr>
      <w:r>
        <w:rPr>
          <w:rFonts w:hint="eastAsia" w:ascii="仿宋" w:hAnsi="仿宋" w:eastAsia="仿宋" w:cs="仿宋"/>
          <w:color w:val="auto"/>
          <w:sz w:val="24"/>
        </w:rPr>
        <w:t>3.3.1</w:t>
      </w:r>
      <w:r>
        <w:rPr>
          <w:rFonts w:hint="eastAsia" w:ascii="仿宋" w:hAnsi="仿宋" w:eastAsia="仿宋" w:cs="仿宋"/>
          <w:bCs/>
          <w:color w:val="auto"/>
          <w:sz w:val="24"/>
        </w:rPr>
        <w:t>小型、微型企业应当同时符合以下条件：</w:t>
      </w:r>
    </w:p>
    <w:p>
      <w:pPr>
        <w:spacing w:line="284" w:lineRule="auto"/>
        <w:rPr>
          <w:rFonts w:ascii="仿宋" w:hAnsi="仿宋" w:eastAsia="仿宋" w:cs="仿宋"/>
          <w:bCs/>
          <w:color w:val="auto"/>
          <w:sz w:val="24"/>
        </w:rPr>
      </w:pPr>
      <w:r>
        <w:rPr>
          <w:rFonts w:hint="eastAsia" w:ascii="仿宋" w:hAnsi="仿宋" w:eastAsia="仿宋" w:cs="仿宋"/>
          <w:bCs/>
          <w:color w:val="auto"/>
          <w:sz w:val="24"/>
        </w:rPr>
        <w:t>（1）符合中小企业划分标准；</w:t>
      </w:r>
    </w:p>
    <w:p>
      <w:pPr>
        <w:spacing w:line="284" w:lineRule="auto"/>
        <w:rPr>
          <w:rFonts w:ascii="仿宋" w:hAnsi="仿宋" w:eastAsia="仿宋" w:cs="仿宋"/>
          <w:bCs/>
          <w:color w:val="auto"/>
          <w:sz w:val="24"/>
        </w:rPr>
      </w:pPr>
      <w:r>
        <w:rPr>
          <w:rFonts w:hint="eastAsia" w:ascii="仿宋" w:hAnsi="仿宋" w:eastAsia="仿宋" w:cs="仿宋"/>
          <w:bCs/>
          <w:color w:val="auto"/>
          <w:sz w:val="24"/>
        </w:rPr>
        <w:t>（2）</w:t>
      </w:r>
      <w:r>
        <w:rPr>
          <w:rFonts w:hint="eastAsia" w:ascii="仿宋" w:hAnsi="仿宋" w:eastAsia="仿宋" w:cs="仿宋"/>
          <w:b/>
          <w:bCs/>
          <w:color w:val="auto"/>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color w:val="auto"/>
          <w:sz w:val="24"/>
        </w:rPr>
      </w:pPr>
      <w:r>
        <w:rPr>
          <w:rFonts w:hint="eastAsia" w:ascii="仿宋" w:hAnsi="仿宋" w:eastAsia="仿宋" w:cs="仿宋"/>
          <w:color w:val="auto"/>
          <w:sz w:val="24"/>
        </w:rPr>
        <w:t>3.3.2小型、微型企业应按照招标文件格式要求提供《中小企业声明函》。</w:t>
      </w:r>
    </w:p>
    <w:p>
      <w:pPr>
        <w:spacing w:line="284" w:lineRule="auto"/>
        <w:rPr>
          <w:rFonts w:ascii="仿宋" w:hAnsi="仿宋" w:eastAsia="仿宋" w:cs="仿宋"/>
          <w:color w:val="auto"/>
          <w:sz w:val="24"/>
        </w:rPr>
      </w:pPr>
      <w:r>
        <w:rPr>
          <w:rFonts w:hint="eastAsia" w:ascii="仿宋" w:hAnsi="仿宋" w:eastAsia="仿宋" w:cs="仿宋"/>
          <w:color w:val="auto"/>
          <w:sz w:val="24"/>
        </w:rPr>
        <w:t>3.3.3对于非专门面向此类企业的项目，对小型和微型企业产品的投标价格给予6%的扣除，用扣除后的价格参与评审。</w:t>
      </w:r>
    </w:p>
    <w:p>
      <w:pPr>
        <w:spacing w:line="284" w:lineRule="auto"/>
        <w:rPr>
          <w:rFonts w:ascii="仿宋" w:hAnsi="仿宋" w:eastAsia="仿宋" w:cs="仿宋"/>
          <w:color w:val="auto"/>
          <w:sz w:val="24"/>
        </w:rPr>
      </w:pPr>
      <w:r>
        <w:rPr>
          <w:rFonts w:hint="eastAsia" w:ascii="仿宋" w:hAnsi="仿宋" w:eastAsia="仿宋" w:cs="仿宋"/>
          <w:color w:val="auto"/>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联合体各方均为小型、微型企业的，联合体视同为小型、微型企业。</w:t>
      </w:r>
    </w:p>
    <w:p>
      <w:pPr>
        <w:spacing w:line="284" w:lineRule="auto"/>
        <w:rPr>
          <w:rFonts w:ascii="仿宋" w:hAnsi="仿宋" w:eastAsia="仿宋" w:cs="仿宋"/>
          <w:color w:val="auto"/>
          <w:sz w:val="24"/>
        </w:rPr>
      </w:pPr>
      <w:r>
        <w:rPr>
          <w:rFonts w:hint="eastAsia" w:ascii="仿宋" w:hAnsi="仿宋" w:eastAsia="仿宋" w:cs="仿宋"/>
          <w:color w:val="auto"/>
          <w:sz w:val="24"/>
        </w:rPr>
        <w:t>3.3.5符合《关于促进残疾人就业政府采购政策的通知》（财库〔2017〕141号）规定的条件并提供《残疾人福利性单位声明函》（附件1）的残疾人福利性单位视同小型、微型企业；</w:t>
      </w:r>
    </w:p>
    <w:p>
      <w:pPr>
        <w:spacing w:line="284" w:lineRule="auto"/>
        <w:rPr>
          <w:rFonts w:ascii="仿宋" w:hAnsi="仿宋" w:eastAsia="仿宋" w:cs="仿宋"/>
          <w:color w:val="auto"/>
          <w:sz w:val="24"/>
        </w:rPr>
      </w:pPr>
      <w:r>
        <w:rPr>
          <w:rFonts w:hint="eastAsia" w:ascii="仿宋" w:hAnsi="仿宋" w:eastAsia="仿宋" w:cs="仿宋"/>
          <w:color w:val="auto"/>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color w:val="auto"/>
          <w:sz w:val="24"/>
        </w:rPr>
      </w:pPr>
      <w:r>
        <w:rPr>
          <w:rFonts w:hint="eastAsia" w:ascii="仿宋" w:hAnsi="仿宋" w:eastAsia="仿宋" w:cs="仿宋"/>
          <w:color w:val="auto"/>
          <w:sz w:val="24"/>
        </w:rPr>
        <w:t>★4.特别说明：</w:t>
      </w:r>
    </w:p>
    <w:p>
      <w:pPr>
        <w:spacing w:line="284" w:lineRule="auto"/>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284" w:lineRule="auto"/>
        <w:rPr>
          <w:rFonts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color w:val="auto"/>
          <w:sz w:val="24"/>
        </w:rPr>
      </w:pPr>
      <w:r>
        <w:rPr>
          <w:rFonts w:hint="eastAsia" w:ascii="仿宋" w:hAnsi="仿宋" w:eastAsia="仿宋" w:cs="仿宋"/>
          <w:b/>
          <w:color w:val="auto"/>
          <w:sz w:val="36"/>
          <w:szCs w:val="36"/>
        </w:rPr>
        <w:t>二、招标文件</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1.招标方式</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284" w:lineRule="auto"/>
        <w:jc w:val="left"/>
        <w:rPr>
          <w:rFonts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2.投标委托</w:t>
      </w:r>
    </w:p>
    <w:p>
      <w:pPr>
        <w:snapToGrid w:val="0"/>
        <w:spacing w:line="284" w:lineRule="auto"/>
        <w:ind w:firstLine="480" w:firstLineChars="200"/>
        <w:jc w:val="left"/>
        <w:rPr>
          <w:rFonts w:ascii="仿宋" w:hAnsi="仿宋" w:eastAsia="仿宋" w:cs="仿宋"/>
          <w:color w:val="auto"/>
        </w:rPr>
      </w:pPr>
      <w:r>
        <w:rPr>
          <w:rFonts w:hint="eastAsia" w:ascii="仿宋" w:hAnsi="仿宋" w:eastAsia="仿宋" w:cs="仿宋"/>
          <w:color w:val="auto"/>
          <w:sz w:val="24"/>
        </w:rPr>
        <w:t>本项目为电子投标项目，授权代表不需要参加现场投标和开标。</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3.投标费用</w:t>
      </w:r>
    </w:p>
    <w:p>
      <w:pPr>
        <w:pStyle w:val="10"/>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4.招标文件的修改</w:t>
      </w:r>
    </w:p>
    <w:p>
      <w:pPr>
        <w:spacing w:line="284" w:lineRule="auto"/>
        <w:jc w:val="left"/>
        <w:rPr>
          <w:rFonts w:ascii="仿宋" w:hAnsi="仿宋" w:eastAsia="仿宋" w:cs="仿宋"/>
          <w:color w:val="auto"/>
          <w:sz w:val="24"/>
        </w:rPr>
      </w:pPr>
      <w:r>
        <w:rPr>
          <w:rFonts w:hint="eastAsia" w:ascii="仿宋" w:hAnsi="仿宋" w:eastAsia="仿宋" w:cs="仿宋"/>
          <w:color w:val="auto"/>
          <w:sz w:val="24"/>
        </w:rPr>
        <w:t>4.1招标文件包括本招标文件及所有所述的招标答疑记录和发出的补充通知组成。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color w:val="auto"/>
          <w:sz w:val="24"/>
        </w:rPr>
      </w:pPr>
      <w:r>
        <w:rPr>
          <w:rFonts w:hint="eastAsia" w:ascii="仿宋" w:hAnsi="仿宋" w:eastAsia="仿宋" w:cs="仿宋"/>
          <w:color w:val="auto"/>
          <w:sz w:val="24"/>
        </w:rPr>
        <w:t xml:space="preserve">4.2招标文件的澄清 </w:t>
      </w:r>
    </w:p>
    <w:p>
      <w:pPr>
        <w:pStyle w:val="10"/>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color w:val="auto"/>
          <w:sz w:val="24"/>
        </w:rPr>
      </w:pPr>
      <w:r>
        <w:rPr>
          <w:rFonts w:hint="eastAsia" w:ascii="仿宋" w:hAnsi="仿宋" w:eastAsia="仿宋" w:cs="仿宋"/>
          <w:color w:val="auto"/>
          <w:sz w:val="24"/>
        </w:rPr>
        <w:t>4.3招标文件的修改</w:t>
      </w:r>
    </w:p>
    <w:p>
      <w:pPr>
        <w:pStyle w:val="10"/>
        <w:numPr>
          <w:ilvl w:val="0"/>
          <w:numId w:val="0"/>
        </w:numPr>
        <w:spacing w:line="284" w:lineRule="auto"/>
        <w:jc w:val="left"/>
        <w:rPr>
          <w:rFonts w:ascii="仿宋" w:hAnsi="仿宋" w:eastAsia="仿宋" w:cs="仿宋"/>
          <w:color w:val="auto"/>
          <w:sz w:val="24"/>
        </w:rPr>
      </w:pPr>
      <w:r>
        <w:rPr>
          <w:rFonts w:hint="eastAsia" w:ascii="仿宋" w:hAnsi="仿宋" w:eastAsia="仿宋" w:cs="仿宋"/>
          <w:color w:val="auto"/>
          <w:sz w:val="24"/>
        </w:rPr>
        <w:t>4.3.1在投标截止时间前规定时间内，招标人有权修改招标文件，并发布更正补充公告，</w:t>
      </w:r>
      <w:r>
        <w:rPr>
          <w:rFonts w:hint="eastAsia" w:ascii="仿宋" w:hAnsi="仿宋" w:eastAsia="仿宋" w:cs="仿宋"/>
          <w:bCs/>
          <w:color w:val="auto"/>
          <w:sz w:val="24"/>
        </w:rPr>
        <w:t>更正补充公告请自行登录浙江政府采购网或绍兴公共资源交易网查看下载。</w:t>
      </w:r>
      <w:r>
        <w:rPr>
          <w:rFonts w:hint="eastAsia" w:ascii="仿宋" w:hAnsi="仿宋" w:eastAsia="仿宋" w:cs="仿宋"/>
          <w:color w:val="auto"/>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5.参考品牌</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三、投标文件</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1.投标文件的语言及计量单位</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284" w:lineRule="auto"/>
        <w:jc w:val="left"/>
        <w:rPr>
          <w:rFonts w:ascii="仿宋" w:hAnsi="仿宋" w:eastAsia="仿宋" w:cs="仿宋"/>
          <w:b/>
          <w:bCs/>
          <w:color w:val="auto"/>
          <w:sz w:val="24"/>
        </w:rPr>
      </w:pPr>
      <w:r>
        <w:rPr>
          <w:rFonts w:hint="eastAsia" w:ascii="仿宋" w:hAnsi="仿宋" w:eastAsia="仿宋" w:cs="仿宋"/>
          <w:b/>
          <w:bCs/>
          <w:color w:val="auto"/>
          <w:sz w:val="24"/>
        </w:rPr>
        <w:t>1.5投标文件的形式和效力</w:t>
      </w:r>
    </w:p>
    <w:p>
      <w:pPr>
        <w:snapToGrid w:val="0"/>
        <w:spacing w:line="284" w:lineRule="auto"/>
        <w:jc w:val="left"/>
        <w:rPr>
          <w:rFonts w:ascii="仿宋" w:hAnsi="仿宋" w:eastAsia="仿宋" w:cs="仿宋"/>
          <w:b/>
          <w:bCs/>
          <w:color w:val="auto"/>
          <w:sz w:val="24"/>
        </w:rPr>
      </w:pPr>
      <w:r>
        <w:rPr>
          <w:rFonts w:hint="eastAsia" w:ascii="仿宋" w:hAnsi="仿宋" w:eastAsia="仿宋" w:cs="仿宋"/>
          <w:b/>
          <w:bCs/>
          <w:color w:val="auto"/>
          <w:sz w:val="24"/>
        </w:rPr>
        <w:t>1.5.1投标文件为电子投标文件，电子投标文件按“政采云供应商项目采购-电子招投标操作指南”及本招标文件要求制作、加密传输。</w:t>
      </w:r>
    </w:p>
    <w:p>
      <w:pPr>
        <w:snapToGrid w:val="0"/>
        <w:spacing w:line="284" w:lineRule="auto"/>
        <w:jc w:val="left"/>
        <w:rPr>
          <w:rFonts w:ascii="仿宋" w:hAnsi="仿宋" w:eastAsia="仿宋" w:cs="仿宋"/>
          <w:b/>
          <w:bCs/>
          <w:color w:val="auto"/>
          <w:sz w:val="24"/>
          <w:u w:val="single"/>
        </w:rPr>
      </w:pPr>
      <w:r>
        <w:rPr>
          <w:rFonts w:hint="eastAsia" w:ascii="仿宋" w:hAnsi="仿宋" w:eastAsia="仿宋" w:cs="仿宋"/>
          <w:b/>
          <w:bCs/>
          <w:color w:val="auto"/>
          <w:sz w:val="24"/>
          <w:u w:val="single"/>
        </w:rPr>
        <w:t>1.5.2投标文件的效力：</w:t>
      </w:r>
    </w:p>
    <w:p>
      <w:pPr>
        <w:snapToGrid w:val="0"/>
        <w:spacing w:line="284" w:lineRule="auto"/>
        <w:ind w:firstLine="482" w:firstLineChars="200"/>
        <w:jc w:val="left"/>
        <w:rPr>
          <w:rFonts w:ascii="仿宋" w:hAnsi="仿宋" w:eastAsia="仿宋" w:cs="仿宋"/>
          <w:color w:val="auto"/>
          <w:sz w:val="24"/>
        </w:rPr>
      </w:pPr>
      <w:r>
        <w:rPr>
          <w:rFonts w:hint="eastAsia" w:ascii="仿宋" w:hAnsi="仿宋" w:eastAsia="仿宋" w:cs="仿宋"/>
          <w:b/>
          <w:bCs/>
          <w:color w:val="auto"/>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color w:val="auto"/>
          <w:sz w:val="24"/>
        </w:rPr>
      </w:pPr>
      <w:r>
        <w:rPr>
          <w:rFonts w:hint="eastAsia" w:ascii="仿宋" w:hAnsi="仿宋" w:eastAsia="仿宋" w:cs="仿宋"/>
          <w:b/>
          <w:color w:val="auto"/>
          <w:sz w:val="24"/>
        </w:rPr>
        <w:t>2.投标文件的组成</w:t>
      </w:r>
    </w:p>
    <w:p>
      <w:pPr>
        <w:spacing w:line="284" w:lineRule="auto"/>
        <w:ind w:firstLine="480" w:firstLineChars="200"/>
        <w:jc w:val="left"/>
        <w:rPr>
          <w:rFonts w:ascii="仿宋" w:hAnsi="仿宋" w:eastAsia="仿宋"/>
          <w:b/>
          <w:color w:val="auto"/>
          <w:sz w:val="24"/>
        </w:rPr>
      </w:pPr>
      <w:r>
        <w:rPr>
          <w:rFonts w:hint="eastAsia" w:ascii="仿宋" w:hAnsi="仿宋" w:eastAsia="仿宋" w:cs="仿宋"/>
          <w:color w:val="auto"/>
          <w:sz w:val="24"/>
        </w:rPr>
        <w:t>投标文件由“报价文件资料”、“商务技术（资信）文件资料”两部分组成,</w:t>
      </w:r>
      <w:r>
        <w:rPr>
          <w:rFonts w:hint="eastAsia" w:ascii="仿宋" w:hAnsi="仿宋" w:eastAsia="仿宋"/>
          <w:b/>
          <w:color w:val="auto"/>
          <w:sz w:val="24"/>
        </w:rPr>
        <w:t>其中电子投标文件中所须加盖公章部分均应采用电子签章。</w:t>
      </w:r>
    </w:p>
    <w:p>
      <w:pPr>
        <w:spacing w:line="284" w:lineRule="auto"/>
        <w:jc w:val="left"/>
        <w:rPr>
          <w:rFonts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2.1.2开标一览表（格式见第六部分附件）；</w:t>
      </w:r>
    </w:p>
    <w:p>
      <w:pPr>
        <w:snapToGrid w:val="0"/>
        <w:spacing w:line="284" w:lineRule="auto"/>
        <w:jc w:val="left"/>
        <w:rPr>
          <w:rFonts w:ascii="仿宋" w:hAnsi="仿宋" w:eastAsia="仿宋" w:cs="仿宋"/>
          <w:bCs/>
          <w:color w:val="auto"/>
          <w:sz w:val="24"/>
        </w:rPr>
      </w:pPr>
      <w:r>
        <w:rPr>
          <w:rFonts w:hint="eastAsia" w:ascii="仿宋" w:hAnsi="仿宋" w:eastAsia="仿宋" w:cs="仿宋"/>
          <w:bCs/>
          <w:color w:val="auto"/>
          <w:sz w:val="24"/>
        </w:rPr>
        <w:t>2.1.3小微企业声明函及证明资料（如有，格式见第六部分附件）；</w:t>
      </w:r>
    </w:p>
    <w:p>
      <w:pPr>
        <w:snapToGrid w:val="0"/>
        <w:spacing w:line="284" w:lineRule="auto"/>
        <w:jc w:val="left"/>
        <w:rPr>
          <w:rFonts w:ascii="仿宋" w:hAnsi="仿宋" w:eastAsia="仿宋" w:cs="仿宋"/>
          <w:bCs/>
          <w:color w:val="auto"/>
          <w:sz w:val="24"/>
        </w:rPr>
      </w:pPr>
      <w:r>
        <w:rPr>
          <w:rFonts w:hint="eastAsia" w:ascii="仿宋" w:hAnsi="仿宋" w:eastAsia="仿宋" w:cs="仿宋"/>
          <w:bCs/>
          <w:color w:val="auto"/>
          <w:sz w:val="24"/>
        </w:rPr>
        <w:t>2.1.4残疾人福利性单位声明函（如有，格式见第六部分附件）。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color w:val="auto"/>
          <w:sz w:val="24"/>
        </w:rPr>
      </w:pPr>
      <w:r>
        <w:rPr>
          <w:rFonts w:hint="eastAsia" w:ascii="仿宋" w:hAnsi="仿宋" w:eastAsia="仿宋" w:cs="仿宋"/>
          <w:color w:val="auto"/>
          <w:sz w:val="24"/>
        </w:rPr>
        <w:t>2.2 “商务技术（资信）文件资料”应包括以下内容：</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2.2.1法定代表人授权委托书(个体工商户不需要提供，格式见第六部分附件)；</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2.2.3法定代表人身份证明书（格式见第六部分附件）；</w:t>
      </w:r>
    </w:p>
    <w:p>
      <w:pPr>
        <w:snapToGrid w:val="0"/>
        <w:spacing w:line="284" w:lineRule="auto"/>
        <w:rPr>
          <w:rFonts w:ascii="仿宋" w:hAnsi="仿宋" w:eastAsia="仿宋" w:cs="仿宋"/>
          <w:color w:val="auto"/>
          <w:kern w:val="0"/>
          <w:sz w:val="24"/>
        </w:rPr>
      </w:pPr>
      <w:r>
        <w:rPr>
          <w:rFonts w:hint="eastAsia" w:ascii="仿宋" w:hAnsi="仿宋" w:eastAsia="仿宋" w:cs="仿宋"/>
          <w:color w:val="auto"/>
          <w:sz w:val="24"/>
        </w:rPr>
        <w:t>2.2.4相关资质证明或文件复印件（加盖单位公章）；（均需加盖公章）：</w:t>
      </w:r>
      <w:r>
        <w:rPr>
          <w:rFonts w:hint="eastAsia" w:ascii="仿宋" w:hAnsi="仿宋" w:eastAsia="仿宋" w:cs="仿宋"/>
          <w:color w:val="auto"/>
          <w:kern w:val="0"/>
          <w:sz w:val="24"/>
        </w:rPr>
        <w:t>证明其符合《中华人民共和国政府采购法》规定的供应商基本条件和采购项目对供应商的特定要求</w:t>
      </w:r>
      <w:r>
        <w:rPr>
          <w:rFonts w:hint="eastAsia" w:ascii="仿宋" w:hAnsi="仿宋" w:eastAsia="仿宋" w:cs="仿宋"/>
          <w:color w:val="auto"/>
          <w:sz w:val="24"/>
        </w:rPr>
        <w:t>（如果项目要求）</w:t>
      </w:r>
      <w:r>
        <w:rPr>
          <w:rFonts w:hint="eastAsia" w:ascii="仿宋" w:hAnsi="仿宋" w:eastAsia="仿宋" w:cs="仿宋"/>
          <w:color w:val="auto"/>
          <w:kern w:val="0"/>
          <w:sz w:val="24"/>
        </w:rPr>
        <w:t>的有关资格证明文件。</w:t>
      </w:r>
    </w:p>
    <w:p>
      <w:pPr>
        <w:pStyle w:val="15"/>
        <w:spacing w:line="284" w:lineRule="auto"/>
        <w:ind w:firstLine="480" w:firstLineChars="200"/>
        <w:rPr>
          <w:rFonts w:ascii="仿宋" w:hAnsi="仿宋" w:eastAsia="仿宋" w:cs="仿宋"/>
          <w:color w:val="auto"/>
          <w:sz w:val="24"/>
          <w:szCs w:val="24"/>
        </w:rPr>
      </w:pPr>
      <w:bookmarkStart w:id="0" w:name="_Hlt68072998"/>
      <w:bookmarkEnd w:id="0"/>
      <w:bookmarkStart w:id="1" w:name="_Hlt68073093"/>
      <w:bookmarkEnd w:id="1"/>
      <w:bookmarkStart w:id="2" w:name="_Hlt68403820"/>
      <w:bookmarkEnd w:id="2"/>
      <w:r>
        <w:rPr>
          <w:rFonts w:hint="eastAsia" w:ascii="仿宋" w:hAnsi="仿宋" w:eastAsia="仿宋" w:cs="仿宋"/>
          <w:color w:val="auto"/>
          <w:sz w:val="24"/>
          <w:szCs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（2）2018年度或2019年度资产负债表等财务报表资料文件(新成立的公司，必须提供情况说明)；</w:t>
      </w:r>
    </w:p>
    <w:p>
      <w:pPr>
        <w:pStyle w:val="15"/>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（3）具有履行合同所必需的设备和专业技术能力的承诺函；</w:t>
      </w:r>
    </w:p>
    <w:p>
      <w:pPr>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（4）参加本次政府采购活动前三年内，在经营活动中没有重大违法记录的声明（需要特别声明“没有因违反《浙江省政府采购供应商注册及诚信管理暂行办法》被列入‘黑名单’，在处罚有效期”）；</w:t>
      </w:r>
    </w:p>
    <w:p>
      <w:pPr>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（6）提供依法缴纳税收和社会保障资金的良好记录证明，税收和社保证明打印时间不得早于投标截止时间前1个月； </w:t>
      </w:r>
    </w:p>
    <w:p>
      <w:pPr>
        <w:snapToGrid w:val="0"/>
        <w:spacing w:line="284" w:lineRule="auto"/>
        <w:ind w:firstLine="480" w:firstLineChars="200"/>
        <w:rPr>
          <w:rFonts w:ascii="仿宋" w:hAnsi="仿宋" w:eastAsia="仿宋" w:cs="仿宋"/>
          <w:color w:val="auto"/>
          <w:sz w:val="24"/>
        </w:rPr>
      </w:pPr>
      <w:r>
        <w:rPr>
          <w:rFonts w:hint="eastAsia" w:ascii="仿宋" w:hAnsi="仿宋" w:eastAsia="仿宋" w:cs="仿宋"/>
          <w:color w:val="auto"/>
          <w:sz w:val="24"/>
        </w:rPr>
        <w:t>（7）符合特定资格条件（如果项目要求）的有关证明材料（复印件）；</w:t>
      </w:r>
    </w:p>
    <w:p>
      <w:pPr>
        <w:pStyle w:val="15"/>
        <w:snapToGrid w:val="0"/>
        <w:spacing w:line="284" w:lineRule="auto"/>
        <w:rPr>
          <w:rFonts w:ascii="仿宋" w:hAnsi="仿宋" w:eastAsia="仿宋" w:cs="仿宋"/>
          <w:color w:val="auto"/>
          <w:sz w:val="24"/>
          <w:szCs w:val="24"/>
          <w:lang w:val="zh-CN"/>
        </w:rPr>
      </w:pPr>
      <w:r>
        <w:rPr>
          <w:rFonts w:hint="eastAsia" w:ascii="仿宋" w:hAnsi="仿宋" w:eastAsia="仿宋" w:cs="仿宋"/>
          <w:color w:val="auto"/>
          <w:sz w:val="24"/>
          <w:szCs w:val="24"/>
        </w:rPr>
        <w:t>2.2.5</w:t>
      </w:r>
      <w:r>
        <w:rPr>
          <w:rFonts w:hint="eastAsia" w:ascii="仿宋" w:hAnsi="仿宋" w:eastAsia="仿宋" w:cs="仿宋"/>
          <w:color w:val="auto"/>
          <w:sz w:val="24"/>
          <w:szCs w:val="24"/>
          <w:lang w:val="zh-CN"/>
        </w:rPr>
        <w:t>投标人应提供针对项目的完整技术解决方案：</w:t>
      </w:r>
    </w:p>
    <w:p>
      <w:pPr>
        <w:snapToGrid w:val="0"/>
        <w:spacing w:line="284"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284" w:lineRule="auto"/>
        <w:ind w:firstLine="470" w:firstLineChars="196"/>
        <w:jc w:val="left"/>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color w:val="auto"/>
          <w:kern w:val="0"/>
          <w:sz w:val="24"/>
          <w:lang w:val="zh-CN"/>
        </w:rPr>
      </w:pPr>
      <w:r>
        <w:rPr>
          <w:rFonts w:hint="eastAsia" w:ascii="仿宋" w:hAnsi="仿宋" w:eastAsia="仿宋" w:cs="仿宋"/>
          <w:color w:val="auto"/>
          <w:kern w:val="0"/>
          <w:sz w:val="24"/>
        </w:rPr>
        <w:t>2.2.8</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2.2.</w:t>
      </w:r>
      <w:r>
        <w:rPr>
          <w:rFonts w:hint="eastAsia" w:ascii="仿宋" w:hAnsi="仿宋" w:eastAsia="仿宋" w:cs="仿宋"/>
          <w:color w:val="auto"/>
          <w:kern w:val="0"/>
          <w:sz w:val="24"/>
        </w:rPr>
        <w:t>9</w:t>
      </w:r>
      <w:r>
        <w:rPr>
          <w:rFonts w:hint="eastAsia" w:ascii="仿宋" w:hAnsi="仿宋" w:eastAsia="仿宋" w:cs="仿宋"/>
          <w:color w:val="auto"/>
          <w:kern w:val="0"/>
          <w:sz w:val="24"/>
          <w:lang w:val="zh-CN"/>
        </w:rPr>
        <w:t>针对本项目建设的详细实施计划。本项目详细工作实施组织方案，包括(但不限于)以下内容：组织机构、工作时间进度表、工作程序和步骤、管理和协调方法、关键步骤的思路和要点。（如果有）</w:t>
      </w:r>
    </w:p>
    <w:p>
      <w:pPr>
        <w:snapToGrid w:val="0"/>
        <w:spacing w:line="284" w:lineRule="auto"/>
        <w:rPr>
          <w:rFonts w:ascii="仿宋" w:hAnsi="仿宋" w:eastAsia="仿宋" w:cs="仿宋"/>
          <w:color w:val="auto"/>
          <w:kern w:val="0"/>
          <w:sz w:val="24"/>
        </w:rPr>
      </w:pPr>
      <w:r>
        <w:rPr>
          <w:rFonts w:hint="eastAsia" w:ascii="仿宋" w:hAnsi="仿宋" w:eastAsia="仿宋" w:cs="仿宋"/>
          <w:color w:val="auto"/>
          <w:kern w:val="0"/>
          <w:sz w:val="24"/>
        </w:rPr>
        <w:t>2.2.10</w:t>
      </w:r>
      <w:r>
        <w:rPr>
          <w:rFonts w:hint="eastAsia" w:ascii="仿宋" w:hAnsi="仿宋" w:eastAsia="仿宋" w:cs="仿宋"/>
          <w:snapToGrid w:val="0"/>
          <w:color w:val="auto"/>
          <w:sz w:val="24"/>
        </w:rPr>
        <w:t>非本地投标人售后服务机构证明材料。非本地投标人</w:t>
      </w:r>
      <w:r>
        <w:rPr>
          <w:rFonts w:hint="eastAsia" w:ascii="仿宋" w:hAnsi="仿宋" w:eastAsia="仿宋" w:cs="仿宋"/>
          <w:color w:val="auto"/>
          <w:sz w:val="24"/>
          <w:lang w:val="zh-CN"/>
        </w:rPr>
        <w:t>在绍兴的分公司</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需提供本地工商注册</w:t>
      </w:r>
      <w:r>
        <w:rPr>
          <w:rFonts w:hint="eastAsia" w:ascii="仿宋" w:hAnsi="仿宋" w:eastAsia="仿宋" w:cs="仿宋"/>
          <w:color w:val="auto"/>
          <w:sz w:val="24"/>
        </w:rPr>
        <w:t>登记</w:t>
      </w:r>
      <w:r>
        <w:rPr>
          <w:rFonts w:hint="eastAsia" w:ascii="仿宋" w:hAnsi="仿宋" w:eastAsia="仿宋" w:cs="仿宋"/>
          <w:color w:val="auto"/>
          <w:sz w:val="24"/>
          <w:lang w:val="zh-CN"/>
        </w:rPr>
        <w:t>资料）或办事处</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需提供本地国内经济合作办注册资料</w:t>
      </w:r>
      <w:r>
        <w:rPr>
          <w:rFonts w:hint="eastAsia" w:ascii="仿宋" w:hAnsi="仿宋" w:eastAsia="仿宋" w:cs="仿宋"/>
          <w:color w:val="auto"/>
          <w:kern w:val="0"/>
          <w:sz w:val="24"/>
        </w:rPr>
        <w:t>）或符合本项目服务能力并签订合作协议的第三方机构或者在中标（成交）公示后在本地设立售后服务机构作</w:t>
      </w:r>
      <w:r>
        <w:rPr>
          <w:rFonts w:hint="eastAsia" w:ascii="仿宋" w:hAnsi="仿宋" w:eastAsia="仿宋" w:cs="仿宋"/>
          <w:color w:val="auto"/>
          <w:sz w:val="24"/>
          <w:lang w:val="zh-CN"/>
        </w:rPr>
        <w:t>为常驻服务和技术支持机构；</w:t>
      </w:r>
      <w:r>
        <w:rPr>
          <w:rFonts w:hint="eastAsia" w:ascii="仿宋" w:hAnsi="仿宋" w:eastAsia="仿宋" w:cs="仿宋"/>
          <w:color w:val="auto"/>
          <w:kern w:val="0"/>
          <w:sz w:val="24"/>
          <w:lang w:val="zh-CN"/>
        </w:rPr>
        <w:t>（如果有）</w:t>
      </w:r>
    </w:p>
    <w:p>
      <w:pPr>
        <w:snapToGrid w:val="0"/>
        <w:spacing w:line="284" w:lineRule="auto"/>
        <w:jc w:val="left"/>
        <w:rPr>
          <w:rFonts w:ascii="仿宋" w:hAnsi="仿宋" w:eastAsia="仿宋" w:cs="仿宋"/>
          <w:color w:val="auto"/>
          <w:sz w:val="24"/>
        </w:rPr>
      </w:pPr>
      <w:r>
        <w:rPr>
          <w:rFonts w:hint="eastAsia" w:ascii="仿宋" w:hAnsi="仿宋" w:eastAsia="仿宋" w:cs="仿宋"/>
          <w:color w:val="auto"/>
          <w:sz w:val="24"/>
        </w:rPr>
        <w:t>2.2.11</w:t>
      </w:r>
      <w:r>
        <w:rPr>
          <w:rFonts w:hint="eastAsia" w:ascii="仿宋" w:hAnsi="仿宋" w:eastAsia="仿宋" w:cs="仿宋"/>
          <w:color w:val="auto"/>
          <w:sz w:val="24"/>
          <w:u w:val="wave"/>
        </w:rPr>
        <w:t>未尽事宜请各投标单位按评分细则和相对应标项相关要求制作(重要)</w:t>
      </w:r>
      <w:r>
        <w:rPr>
          <w:rFonts w:hint="eastAsia" w:ascii="仿宋" w:hAnsi="仿宋" w:eastAsia="仿宋" w:cs="仿宋"/>
          <w:color w:val="auto"/>
          <w:sz w:val="24"/>
        </w:rPr>
        <w:t>；</w:t>
      </w:r>
    </w:p>
    <w:p>
      <w:pPr>
        <w:pStyle w:val="14"/>
        <w:numPr>
          <w:ilvl w:val="0"/>
          <w:numId w:val="0"/>
        </w:numPr>
        <w:tabs>
          <w:tab w:val="left" w:pos="1854"/>
          <w:tab w:val="clear" w:pos="1200"/>
        </w:tabs>
        <w:spacing w:line="284" w:lineRule="auto"/>
        <w:rPr>
          <w:rFonts w:ascii="仿宋" w:hAnsi="仿宋" w:eastAsia="仿宋" w:cs="仿宋"/>
          <w:color w:val="auto"/>
          <w:sz w:val="24"/>
        </w:rPr>
      </w:pPr>
      <w:r>
        <w:rPr>
          <w:rFonts w:hint="eastAsia" w:ascii="仿宋" w:hAnsi="仿宋" w:eastAsia="仿宋" w:cs="仿宋"/>
          <w:color w:val="auto"/>
          <w:sz w:val="24"/>
        </w:rPr>
        <w:t>2.2.12投标人需要说明的其他文件和说明（格式自拟）。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color w:val="auto"/>
          <w:sz w:val="24"/>
        </w:rPr>
      </w:pPr>
      <w:r>
        <w:rPr>
          <w:rFonts w:hint="eastAsia" w:ascii="仿宋" w:hAnsi="仿宋" w:eastAsia="仿宋" w:cs="仿宋"/>
          <w:color w:val="auto"/>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注：复印件应加盖投标人公章</w:t>
      </w:r>
    </w:p>
    <w:p>
      <w:pPr>
        <w:spacing w:line="284" w:lineRule="auto"/>
        <w:jc w:val="left"/>
        <w:rPr>
          <w:rFonts w:ascii="仿宋" w:hAnsi="仿宋" w:eastAsia="仿宋" w:cs="仿宋"/>
          <w:b/>
          <w:color w:val="auto"/>
          <w:sz w:val="24"/>
        </w:rPr>
      </w:pPr>
      <w:r>
        <w:rPr>
          <w:rFonts w:hint="eastAsia" w:ascii="仿宋" w:hAnsi="仿宋" w:eastAsia="仿宋" w:cs="仿宋"/>
          <w:b/>
          <w:color w:val="auto"/>
          <w:sz w:val="24"/>
        </w:rPr>
        <w:t>3.投标报价</w:t>
      </w:r>
    </w:p>
    <w:p>
      <w:pPr>
        <w:pStyle w:val="15"/>
        <w:spacing w:line="284" w:lineRule="auto"/>
        <w:jc w:val="left"/>
        <w:rPr>
          <w:rFonts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15"/>
        <w:spacing w:line="284" w:lineRule="auto"/>
        <w:jc w:val="left"/>
        <w:rPr>
          <w:rFonts w:ascii="仿宋" w:hAnsi="仿宋" w:eastAsia="仿宋" w:cs="仿宋"/>
          <w:color w:val="auto"/>
          <w:sz w:val="24"/>
        </w:rPr>
      </w:pPr>
      <w:r>
        <w:rPr>
          <w:rFonts w:hint="eastAsia" w:ascii="仿宋" w:hAnsi="仿宋" w:eastAsia="仿宋" w:cs="仿宋"/>
          <w:color w:val="auto"/>
          <w:sz w:val="24"/>
        </w:rPr>
        <w:t>3.2报价为购买货物或服务需缴纳的所有税费及其他包括知识产权在内的一切相关费用。</w:t>
      </w:r>
    </w:p>
    <w:p>
      <w:pPr>
        <w:pStyle w:val="15"/>
        <w:spacing w:line="284" w:lineRule="auto"/>
        <w:jc w:val="left"/>
        <w:rPr>
          <w:rFonts w:ascii="仿宋" w:hAnsi="仿宋" w:eastAsia="仿宋" w:cs="仿宋"/>
          <w:color w:val="auto"/>
          <w:sz w:val="24"/>
        </w:rPr>
      </w:pPr>
      <w:r>
        <w:rPr>
          <w:rFonts w:hint="eastAsia" w:ascii="仿宋" w:hAnsi="仿宋" w:eastAsia="仿宋" w:cs="仿宋"/>
          <w:color w:val="auto"/>
          <w:sz w:val="24"/>
        </w:rPr>
        <w:t>3.3招标文件未列明，而投标人认为必需的费用也需列入报价。</w:t>
      </w:r>
    </w:p>
    <w:p>
      <w:pPr>
        <w:pStyle w:val="15"/>
        <w:spacing w:line="284" w:lineRule="auto"/>
        <w:jc w:val="left"/>
        <w:rPr>
          <w:rFonts w:ascii="仿宋" w:hAnsi="仿宋" w:eastAsia="仿宋" w:cs="仿宋"/>
          <w:color w:val="auto"/>
          <w:sz w:val="24"/>
        </w:rPr>
      </w:pPr>
      <w:r>
        <w:rPr>
          <w:rFonts w:hint="eastAsia" w:ascii="仿宋" w:hAnsi="仿宋" w:eastAsia="仿宋" w:cs="仿宋"/>
          <w:color w:val="auto"/>
          <w:sz w:val="24"/>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color w:val="auto"/>
          <w:sz w:val="24"/>
        </w:rPr>
      </w:pPr>
      <w:r>
        <w:rPr>
          <w:rFonts w:hint="eastAsia" w:ascii="仿宋" w:hAnsi="仿宋" w:eastAsia="仿宋" w:cs="仿宋"/>
          <w:color w:val="auto"/>
          <w:sz w:val="24"/>
        </w:rPr>
        <w:t>3.5</w:t>
      </w:r>
      <w:r>
        <w:rPr>
          <w:rFonts w:hint="eastAsia" w:ascii="仿宋" w:hAnsi="仿宋" w:eastAsia="仿宋" w:cs="仿宋"/>
          <w:b/>
          <w:i/>
          <w:color w:val="auto"/>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
          <w:color w:val="auto"/>
          <w:sz w:val="24"/>
        </w:rPr>
        <w:t>4.投标文件的有效期</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4.1投标有效期为从提交投标文件的截止之日起90天。</w:t>
      </w:r>
      <w:r>
        <w:rPr>
          <w:rFonts w:hint="eastAsia" w:ascii="仿宋" w:hAnsi="仿宋" w:eastAsia="仿宋" w:cs="仿宋"/>
          <w:b/>
          <w:color w:val="auto"/>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4.2在特殊情况下，招标人可与投标人协商延长投标书的有效期，这种要求和答复均以书面形式进行。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Cs/>
          <w:color w:val="auto"/>
          <w:sz w:val="24"/>
        </w:rPr>
        <w:t>4.3投标人可拒绝接受延期要求而不会导致投标保证金被没收。同意延长有效期的投标人不能修改投标文件。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
          <w:color w:val="auto"/>
          <w:sz w:val="24"/>
        </w:rPr>
        <w:t>5.投标文件的规定</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Cs/>
          <w:color w:val="auto"/>
          <w:sz w:val="24"/>
        </w:rPr>
        <w:t>5.1投标文件由“商务技术（资信）文件资料”、“报价文件资料”两部分文件组成，应按统一格式填写。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Cs/>
          <w:color w:val="auto"/>
          <w:sz w:val="24"/>
        </w:rPr>
        <w:t>5.2投标文件须按附件格式要求进行电子签章，投标人应写全称。</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Cs/>
          <w:color w:val="auto"/>
          <w:sz w:val="24"/>
        </w:rPr>
        <w:t>5.4投标文件不得涂改，若有修改错漏处，须加盖单位公章或者法定代表人或其授权代表签字或盖章。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Cs/>
          <w:color w:val="auto"/>
          <w:sz w:val="24"/>
        </w:rPr>
        <w:t>5.5投标文件因字迹潦草或表达不清所引起的后果由投标人负责。</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Cs/>
          <w:color w:val="auto"/>
          <w:sz w:val="24"/>
        </w:rPr>
        <w:t>5.6投标人应认真阅读招标文件中所有的内容。如果投标人编制的投标文件实质上不响应招标文件的要求，其投标文件将被招标人拒绝。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color w:val="auto"/>
          <w:sz w:val="24"/>
        </w:rPr>
      </w:pPr>
      <w:r>
        <w:rPr>
          <w:rFonts w:hint="eastAsia" w:ascii="仿宋" w:hAnsi="仿宋" w:eastAsia="仿宋" w:cs="仿宋"/>
          <w:b/>
          <w:color w:val="auto"/>
          <w:sz w:val="24"/>
        </w:rPr>
        <w:t>5.7电子投标文件部分：投标人应根据“政采云供应商项目采购-电子招投标操作指南”及本招标文件规定的格式和顺序编制电子投标文件并进行关联定位。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
          <w:color w:val="auto"/>
          <w:sz w:val="24"/>
        </w:rPr>
        <w:t>6.投标文件的提交</w:t>
      </w:r>
    </w:p>
    <w:p>
      <w:pPr>
        <w:pStyle w:val="10"/>
        <w:numPr>
          <w:ilvl w:val="0"/>
          <w:numId w:val="0"/>
        </w:numPr>
        <w:adjustRightInd/>
        <w:spacing w:line="284"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
          <w:color w:val="auto"/>
          <w:sz w:val="24"/>
        </w:rPr>
        <w:t>7.投标文件的补充和修改</w:t>
      </w:r>
    </w:p>
    <w:p>
      <w:pPr>
        <w:pStyle w:val="10"/>
        <w:numPr>
          <w:ilvl w:val="0"/>
          <w:numId w:val="0"/>
        </w:numPr>
        <w:adjustRightInd/>
        <w:spacing w:line="284"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四、开标和评标</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1.3评标委员会对资格和商务技术响应文件进行符合性评审。</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1.4由唱读人当众宣读通过技术标符合性评审的投标人名称，启封投标文件（商务标），宣读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1.5</w:t>
      </w:r>
      <w:r>
        <w:rPr>
          <w:rFonts w:hint="eastAsia" w:eastAsia="仿宋"/>
          <w:color w:val="auto"/>
          <w:sz w:val="24"/>
        </w:rPr>
        <w:t>评标委员会对商务标进行符合性评审。</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1.6</w:t>
      </w:r>
      <w:r>
        <w:rPr>
          <w:rFonts w:hint="eastAsia" w:eastAsia="仿宋"/>
          <w:color w:val="auto"/>
          <w:sz w:val="24"/>
        </w:rPr>
        <w:t>评标委员会根据投标报价从高到低确定中标候选人。</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adjustRightInd/>
        <w:snapToGrid w:val="0"/>
        <w:spacing w:line="288" w:lineRule="auto"/>
        <w:jc w:val="left"/>
        <w:rPr>
          <w:rFonts w:ascii="仿宋" w:hAnsi="仿宋" w:eastAsia="仿宋" w:cs="仿宋"/>
          <w:b/>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color w:val="auto"/>
          <w:sz w:val="24"/>
        </w:rPr>
      </w:pPr>
      <w:r>
        <w:rPr>
          <w:rFonts w:hint="eastAsia" w:ascii="仿宋" w:hAnsi="仿宋" w:eastAsia="仿宋" w:cs="仿宋"/>
          <w:b/>
          <w:bCs/>
          <w:color w:val="auto"/>
          <w:sz w:val="24"/>
        </w:rPr>
        <w:t>3.评标</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color w:val="auto"/>
          <w:sz w:val="24"/>
        </w:rPr>
      </w:pPr>
      <w:r>
        <w:rPr>
          <w:rFonts w:hint="eastAsia" w:ascii="仿宋" w:hAnsi="仿宋" w:eastAsia="仿宋" w:cs="仿宋"/>
          <w:b/>
          <w:bCs/>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color w:val="auto"/>
          <w:sz w:val="24"/>
        </w:rPr>
      </w:pPr>
      <w:r>
        <w:rPr>
          <w:rFonts w:hint="eastAsia" w:ascii="仿宋" w:hAnsi="仿宋" w:eastAsia="仿宋" w:cs="仿宋"/>
          <w:b/>
          <w:bCs/>
          <w:color w:val="auto"/>
          <w:sz w:val="24"/>
        </w:rPr>
        <w:t>供应商通过政采云平台交换的数据电文必须进行电子签章。</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3.5评标委员会对投标文件的判定，只依据投标文件和招标文件内容本身，不依据任何外来证明。</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3.6评标委员会不向落标方解释落标的原因。</w:t>
      </w:r>
    </w:p>
    <w:p>
      <w:pPr>
        <w:snapToGrid w:val="0"/>
        <w:spacing w:line="288" w:lineRule="auto"/>
        <w:jc w:val="left"/>
        <w:rPr>
          <w:rFonts w:ascii="仿宋" w:hAnsi="仿宋" w:eastAsia="仿宋" w:cs="仿宋"/>
          <w:b/>
          <w:bCs/>
          <w:color w:val="auto"/>
          <w:sz w:val="24"/>
        </w:rPr>
      </w:pPr>
      <w:r>
        <w:rPr>
          <w:rFonts w:hint="eastAsia" w:ascii="仿宋" w:hAnsi="仿宋" w:eastAsia="仿宋" w:cs="仿宋"/>
          <w:b/>
          <w:bCs/>
          <w:color w:val="auto"/>
          <w:sz w:val="24"/>
        </w:rPr>
        <w:t>4.投标文件的初审鉴定</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color w:val="auto"/>
          <w:sz w:val="24"/>
        </w:rPr>
      </w:pPr>
      <w:r>
        <w:rPr>
          <w:rFonts w:hint="eastAsia" w:ascii="仿宋" w:hAnsi="仿宋" w:eastAsia="仿宋" w:cs="仿宋"/>
          <w:b/>
          <w:bCs/>
          <w:color w:val="auto"/>
          <w:sz w:val="24"/>
        </w:rPr>
        <w:t>5.投标文件报价出现前后不一致的，按照下列规定修正：</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color w:val="auto"/>
          <w:sz w:val="24"/>
        </w:rPr>
      </w:pPr>
      <w:r>
        <w:rPr>
          <w:rFonts w:hint="eastAsia" w:ascii="仿宋" w:hAnsi="仿宋" w:eastAsia="仿宋" w:cs="仿宋"/>
          <w:b/>
          <w:bCs/>
          <w:color w:val="auto"/>
          <w:sz w:val="24"/>
        </w:rPr>
        <w:t>6.投标文件的评审、比较和否决</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6.6报价审核。对符合采购需求且通过商务技术（资信）评审的投标人的报价的合理性、准确性等进行审查核实。</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6.7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6.7.1根据财政部发布的《政府采购促进中小企业发展暂行办法》规定，对于非专门面向中小企业的项目，对小型和微型企业产品的价格给予一定的扣除，用扣除后的价格参与评审。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6.7.2如需投标价格修正，按财政部87号令第五十九条的规定对投标价格进行修正。</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color w:val="auto"/>
          <w:sz w:val="24"/>
        </w:rPr>
      </w:pPr>
      <w:r>
        <w:rPr>
          <w:rFonts w:hint="eastAsia" w:ascii="仿宋" w:hAnsi="仿宋" w:eastAsia="仿宋" w:cs="仿宋"/>
          <w:b/>
          <w:bCs/>
          <w:color w:val="auto"/>
          <w:sz w:val="24"/>
        </w:rPr>
        <w:t>7.投标文件的澄清</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8.1未按照招标文件规定要求签署、盖章的；</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auto"/>
          <w:kern w:val="0"/>
          <w:sz w:val="24"/>
        </w:rPr>
      </w:pPr>
      <w:r>
        <w:rPr>
          <w:rFonts w:hint="eastAsia" w:ascii="仿宋" w:hAnsi="仿宋" w:eastAsia="仿宋" w:cs="仿宋"/>
          <w:b/>
          <w:color w:val="auto"/>
          <w:kern w:val="0"/>
          <w:sz w:val="24"/>
        </w:rPr>
        <w:t>8.5《法定代表人授权委托书》或《法定代表人身份证明书》填写不全、错误、未加盖公章(《法定代表人授权委托书》要求“公章”和“签字或盖章”缺一不可）的；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auto"/>
          <w:kern w:val="0"/>
          <w:sz w:val="24"/>
        </w:rPr>
      </w:pPr>
      <w:r>
        <w:rPr>
          <w:rFonts w:hint="eastAsia" w:ascii="仿宋" w:hAnsi="仿宋" w:eastAsia="仿宋" w:cs="仿宋"/>
          <w:b/>
          <w:color w:val="auto"/>
          <w:kern w:val="0"/>
          <w:sz w:val="24"/>
        </w:rPr>
        <w:t>8.6授权代表非投标单位正式职工的（以社保证明为准，如授权代表为离退休返聘人员的，需提供退休证明及单位聘用证明）；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8.7投标文件中的投标函未加盖投标人的企业公章或填写不全的；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auto"/>
          <w:kern w:val="0"/>
          <w:sz w:val="24"/>
        </w:rPr>
      </w:pPr>
      <w:r>
        <w:rPr>
          <w:rFonts w:hint="eastAsia" w:ascii="仿宋" w:hAnsi="仿宋" w:eastAsia="仿宋" w:cs="仿宋"/>
          <w:b/>
          <w:color w:val="auto"/>
          <w:kern w:val="0"/>
          <w:sz w:val="24"/>
        </w:rPr>
        <w:t>8.8报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kern w:val="0"/>
          <w:sz w:val="24"/>
        </w:rPr>
        <w:t>8.9</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pPr>
        <w:pStyle w:val="15"/>
        <w:snapToGrid w:val="0"/>
        <w:spacing w:line="288" w:lineRule="auto"/>
        <w:jc w:val="left"/>
        <w:rPr>
          <w:rFonts w:ascii="仿宋" w:hAnsi="仿宋" w:eastAsia="仿宋" w:cs="仿宋"/>
          <w:b/>
          <w:color w:val="auto"/>
          <w:sz w:val="24"/>
          <w:szCs w:val="24"/>
        </w:rPr>
      </w:pPr>
      <w:r>
        <w:rPr>
          <w:rFonts w:hint="eastAsia" w:ascii="仿宋" w:hAnsi="仿宋" w:eastAsia="仿宋" w:cs="仿宋"/>
          <w:b/>
          <w:color w:val="auto"/>
          <w:sz w:val="24"/>
          <w:szCs w:val="24"/>
        </w:rPr>
        <w:t>8.10出现同一标的物或本次招标产品(服务)内的主要产品(重要组成部分)出现商务技术（资信）文件资料、报价文件资料描述不一致或前后描述不一致，经评标委员会认定后为无法评审的；</w:t>
      </w:r>
    </w:p>
    <w:p>
      <w:pPr>
        <w:pStyle w:val="15"/>
        <w:snapToGrid w:val="0"/>
        <w:spacing w:line="288" w:lineRule="auto"/>
        <w:jc w:val="left"/>
        <w:rPr>
          <w:rFonts w:ascii="仿宋" w:hAnsi="仿宋" w:eastAsia="仿宋" w:cs="仿宋"/>
          <w:b/>
          <w:color w:val="auto"/>
          <w:sz w:val="24"/>
          <w:szCs w:val="24"/>
        </w:rPr>
      </w:pPr>
      <w:r>
        <w:rPr>
          <w:rFonts w:hint="eastAsia" w:ascii="仿宋" w:hAnsi="仿宋" w:eastAsia="仿宋" w:cs="仿宋"/>
          <w:b/>
          <w:color w:val="auto"/>
          <w:sz w:val="24"/>
          <w:szCs w:val="24"/>
        </w:rPr>
        <w:t>8.11《技术偏离说明表》不真实填写或弄虚作假的；</w:t>
      </w:r>
    </w:p>
    <w:p>
      <w:pPr>
        <w:tabs>
          <w:tab w:val="left" w:pos="3870"/>
          <w:tab w:val="left" w:pos="4085"/>
        </w:tabs>
        <w:snapToGrid w:val="0"/>
        <w:spacing w:line="288" w:lineRule="auto"/>
        <w:jc w:val="left"/>
        <w:rPr>
          <w:rFonts w:ascii="仿宋" w:hAnsi="仿宋" w:eastAsia="仿宋" w:cs="仿宋"/>
          <w:b/>
          <w:color w:val="auto"/>
          <w:kern w:val="0"/>
          <w:sz w:val="24"/>
        </w:rPr>
      </w:pPr>
      <w:r>
        <w:rPr>
          <w:rFonts w:hint="eastAsia" w:ascii="仿宋" w:hAnsi="仿宋" w:eastAsia="仿宋" w:cs="仿宋"/>
          <w:b/>
          <w:color w:val="auto"/>
          <w:sz w:val="24"/>
        </w:rPr>
        <w:t>8.12投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auto"/>
          <w:kern w:val="0"/>
          <w:sz w:val="24"/>
        </w:rPr>
      </w:pPr>
      <w:r>
        <w:rPr>
          <w:rFonts w:hint="eastAsia" w:ascii="仿宋" w:hAnsi="仿宋" w:eastAsia="仿宋" w:cs="仿宋"/>
          <w:b/>
          <w:color w:val="auto"/>
          <w:kern w:val="0"/>
          <w:sz w:val="24"/>
        </w:rPr>
        <w:t>8.13评</w:t>
      </w:r>
      <w:r>
        <w:rPr>
          <w:rFonts w:hint="eastAsia" w:ascii="仿宋" w:hAnsi="仿宋" w:eastAsia="仿宋" w:cs="仿宋"/>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8.14报价超过招标文件中规定的预算金额或最高限价的；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8.15投标文件“商务技术（资信）文件资料”部分中出现《开标一览表》相关内容的；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8.16采购人拟采购的产品属于政府强制采购的节能产品品目清单范围的，投标人未按招标文件要求提供国家确定的认证机构出具的、处于有效期之内的节能产品认证证书的；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8.17《开标一览表》填写不完整或字迹不能辨认或有漏项的，经评标委员会认定属于重大偏差的；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8.18投标人对根据修正原则修正后的报价不确认的；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8.19投标人提供虚假材料投标的（包括但不限于以下情节）；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8.19.1使用伪造、变造的许可证件；</w:t>
      </w:r>
    </w:p>
    <w:p>
      <w:pPr>
        <w:tabs>
          <w:tab w:val="left" w:pos="3870"/>
          <w:tab w:val="left" w:pos="4085"/>
        </w:tabs>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8.19.2提供虚假的财务状况或者业绩；</w:t>
      </w:r>
    </w:p>
    <w:p>
      <w:pPr>
        <w:tabs>
          <w:tab w:val="left" w:pos="3870"/>
          <w:tab w:val="left" w:pos="4085"/>
        </w:tabs>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8.19.3提供虚假的项目负责人或者主要技术人员简历、劳动关系证明；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8.19.4提供虚假的信用状况；</w:t>
      </w:r>
    </w:p>
    <w:p>
      <w:pPr>
        <w:tabs>
          <w:tab w:val="left" w:pos="3870"/>
          <w:tab w:val="left" w:pos="4085"/>
        </w:tabs>
        <w:snapToGrid w:val="0"/>
        <w:spacing w:line="288" w:lineRule="auto"/>
        <w:ind w:firstLine="480"/>
        <w:jc w:val="left"/>
        <w:rPr>
          <w:rFonts w:ascii="仿宋" w:hAnsi="仿宋" w:eastAsia="仿宋" w:cs="仿宋"/>
          <w:color w:val="auto"/>
          <w:sz w:val="24"/>
        </w:rPr>
      </w:pPr>
      <w:r>
        <w:rPr>
          <w:rFonts w:hint="eastAsia" w:ascii="仿宋" w:hAnsi="仿宋" w:eastAsia="仿宋" w:cs="仿宋"/>
          <w:color w:val="auto"/>
          <w:sz w:val="24"/>
        </w:rPr>
        <w:t>8.19.5其他弄虚作假的行为。</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8.20下列情形之一的，视为投标人串通投标，其投标无效：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8.20.6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8.21有下列情形之一的，属于恶意串通，其投标无效：</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8.21.1供应商直接或者间接从采购人或者采购代理机构处获得其他供应商的相关情况并修改其投标文件或者响应文件；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8.21.2供应商按照采购人或者采购代理机构的授意撤换、修改投标文件或者响应文件；</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8.23.3供应商之间协商报价、技术方案等投标文件或者响应文件的实质性内容；</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8.21.4属于同一集团、协会、商会等组织成员的供应商按照该组织要求协同参加政府采购活动；</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8.21.5供应商之间事先约定由某一特定供应商中标、成交；</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8.21.6供应商之间商定部分供应商放弃参加政府采购活动或者放弃中标、成交；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8.21.7供应商与采购人或者采购代理机构之间、供应商相互之间，为谋求特定供应商中标、成交或者排斥其他供应商的其他串通行为。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auto"/>
          <w:sz w:val="24"/>
        </w:rPr>
      </w:pPr>
      <w:r>
        <w:rPr>
          <w:rFonts w:hint="eastAsia" w:ascii="仿宋" w:hAnsi="仿宋" w:eastAsia="仿宋" w:cs="仿宋"/>
          <w:b/>
          <w:color w:val="auto"/>
          <w:sz w:val="24"/>
        </w:rPr>
        <w:t>8.22评标委员会认定有重大偏差或实质性不响应招标文件要求的；</w:t>
      </w:r>
    </w:p>
    <w:p>
      <w:pPr>
        <w:spacing w:line="288" w:lineRule="auto"/>
        <w:rPr>
          <w:rFonts w:ascii="仿宋" w:hAnsi="仿宋" w:eastAsia="仿宋" w:cs="仿宋"/>
          <w:color w:val="auto"/>
          <w:sz w:val="24"/>
        </w:rPr>
      </w:pPr>
      <w:r>
        <w:rPr>
          <w:rFonts w:hint="eastAsia" w:ascii="仿宋" w:hAnsi="仿宋" w:eastAsia="仿宋" w:cs="仿宋"/>
          <w:b/>
          <w:color w:val="auto"/>
          <w:sz w:val="24"/>
        </w:rPr>
        <w:t>8.23其他违反法律、法规的情形。</w:t>
      </w:r>
    </w:p>
    <w:p>
      <w:pPr>
        <w:snapToGrid w:val="0"/>
        <w:spacing w:line="288" w:lineRule="auto"/>
        <w:rPr>
          <w:rFonts w:ascii="仿宋" w:hAnsi="仿宋" w:eastAsia="仿宋" w:cs="仿宋"/>
          <w:b/>
          <w:color w:val="auto"/>
          <w:kern w:val="0"/>
          <w:sz w:val="24"/>
        </w:rPr>
      </w:pPr>
      <w:r>
        <w:rPr>
          <w:rFonts w:hint="eastAsia" w:ascii="仿宋" w:hAnsi="仿宋" w:eastAsia="仿宋" w:cs="仿宋"/>
          <w:b/>
          <w:color w:val="auto"/>
          <w:kern w:val="0"/>
          <w:sz w:val="24"/>
        </w:rPr>
        <w:t>9.评标过程保密</w:t>
      </w:r>
    </w:p>
    <w:p>
      <w:pPr>
        <w:snapToGrid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_GB2312" w:hAnsi="宋体" w:eastAsia="仿宋_GB2312"/>
          <w:color w:val="auto"/>
          <w:kern w:val="0"/>
          <w:sz w:val="24"/>
        </w:rPr>
      </w:pPr>
      <w:r>
        <w:rPr>
          <w:rFonts w:hint="eastAsia" w:ascii="仿宋" w:hAnsi="仿宋" w:eastAsia="仿宋" w:cs="仿宋"/>
          <w:color w:val="auto"/>
          <w:kern w:val="0"/>
          <w:sz w:val="24"/>
        </w:rPr>
        <w:t>9.2在评标期间，投标人企图影响招标人或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adjustRightInd/>
        <w:snapToGrid w:val="0"/>
        <w:spacing w:line="284" w:lineRule="auto"/>
        <w:rPr>
          <w:rFonts w:ascii="仿宋" w:hAnsi="仿宋" w:eastAsia="仿宋" w:cs="仿宋"/>
          <w:color w:val="auto"/>
          <w:kern w:val="0"/>
          <w:sz w:val="24"/>
        </w:rPr>
      </w:pPr>
    </w:p>
    <w:p>
      <w:pPr>
        <w:snapToGrid w:val="0"/>
        <w:spacing w:line="284" w:lineRule="auto"/>
        <w:jc w:val="center"/>
        <w:rPr>
          <w:rFonts w:ascii="仿宋" w:hAnsi="仿宋" w:eastAsia="仿宋" w:cs="仿宋"/>
          <w:b/>
          <w:color w:val="auto"/>
          <w:sz w:val="36"/>
          <w:szCs w:val="36"/>
        </w:rPr>
      </w:pPr>
      <w:bookmarkStart w:id="3" w:name="_Toc84325929"/>
      <w:bookmarkStart w:id="4" w:name="_Toc81372776"/>
      <w:bookmarkStart w:id="5" w:name="_Toc81372953"/>
      <w:r>
        <w:rPr>
          <w:rFonts w:hint="eastAsia" w:ascii="仿宋" w:hAnsi="仿宋" w:eastAsia="仿宋" w:cs="仿宋"/>
          <w:b/>
          <w:color w:val="auto"/>
          <w:sz w:val="36"/>
          <w:szCs w:val="36"/>
        </w:rPr>
        <w:t>五、授予合同</w:t>
      </w:r>
    </w:p>
    <w:p>
      <w:pPr>
        <w:spacing w:line="336" w:lineRule="auto"/>
        <w:jc w:val="left"/>
        <w:rPr>
          <w:rFonts w:eastAsia="仿宋"/>
          <w:b/>
          <w:color w:val="auto"/>
          <w:sz w:val="24"/>
        </w:rPr>
      </w:pPr>
      <w:r>
        <w:rPr>
          <w:rFonts w:eastAsia="仿宋"/>
          <w:b/>
          <w:color w:val="auto"/>
          <w:sz w:val="24"/>
        </w:rPr>
        <w:t>1．中标方式</w:t>
      </w:r>
    </w:p>
    <w:p>
      <w:pPr>
        <w:widowControl/>
        <w:tabs>
          <w:tab w:val="left" w:pos="360"/>
          <w:tab w:val="left" w:pos="454"/>
        </w:tabs>
        <w:spacing w:line="336" w:lineRule="auto"/>
        <w:jc w:val="left"/>
        <w:rPr>
          <w:rFonts w:eastAsia="仿宋"/>
          <w:color w:val="auto"/>
          <w:kern w:val="0"/>
          <w:sz w:val="24"/>
        </w:rPr>
      </w:pPr>
      <w:r>
        <w:rPr>
          <w:rFonts w:hint="eastAsia" w:eastAsia="仿宋"/>
          <w:color w:val="auto"/>
          <w:kern w:val="0"/>
          <w:sz w:val="24"/>
        </w:rPr>
        <w:t>1.1 评标委员会首先对投标人的投标文件进行符合性审查。经评审后合格投标人中报价最低的单位中标。有两个或两个以上投标单位报价相同的，则当场抽签决定预中标候选人。</w:t>
      </w:r>
    </w:p>
    <w:p>
      <w:pPr>
        <w:pStyle w:val="10"/>
        <w:numPr>
          <w:ilvl w:val="0"/>
          <w:numId w:val="0"/>
        </w:numPr>
        <w:adjustRightInd/>
        <w:spacing w:line="284" w:lineRule="auto"/>
        <w:rPr>
          <w:rFonts w:ascii="仿宋" w:hAnsi="仿宋" w:eastAsia="仿宋" w:cs="仿宋"/>
          <w:b/>
          <w:color w:val="auto"/>
          <w:sz w:val="24"/>
        </w:rPr>
      </w:pPr>
      <w:r>
        <w:rPr>
          <w:rFonts w:hint="eastAsia" w:ascii="仿宋" w:hAnsi="仿宋" w:eastAsia="仿宋" w:cs="仿宋"/>
          <w:b/>
          <w:color w:val="auto"/>
          <w:sz w:val="24"/>
        </w:rPr>
        <w:t>2.中标条件</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2.1投标文件基本符合招标文件要求；</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2.2投标人有很好的执行合同的能力；</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2.3实施方案最合理并对招标人最为有利，最大限度满足招标文件的要求；</w:t>
      </w:r>
    </w:p>
    <w:p>
      <w:pPr>
        <w:pStyle w:val="10"/>
        <w:numPr>
          <w:ilvl w:val="0"/>
          <w:numId w:val="0"/>
        </w:numPr>
        <w:adjustRightInd/>
        <w:spacing w:line="284" w:lineRule="auto"/>
        <w:rPr>
          <w:rFonts w:ascii="仿宋" w:hAnsi="仿宋" w:eastAsia="仿宋" w:cs="仿宋"/>
          <w:color w:val="auto"/>
          <w:sz w:val="24"/>
        </w:rPr>
      </w:pPr>
      <w:r>
        <w:rPr>
          <w:rFonts w:hint="eastAsia" w:ascii="仿宋" w:hAnsi="仿宋" w:eastAsia="仿宋" w:cs="仿宋"/>
          <w:color w:val="auto"/>
          <w:sz w:val="24"/>
        </w:rPr>
        <w:t>2.4投标人能够提供质量技术、商务经济占综合优势的系统及服务。</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2.5招标人将把中标通知书授予最佳投标者，但最低价不是中标的绝对保证。</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3.中标确认</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3.1采购人应当自收到评标报告之日起５个工作日内，在评标报告确定的中标候选人名单中按顺序确定中标人。</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3.2采购人在收到评标报告5个工作日内未按评标报告推荐的中标候选人顺序确定中标人，视同按评标报告推荐的顺序确定的中标候选人为中标人。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3.3采购人应在确认中标人前再次对资格条件和相关证件材料进一步查验核实。</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4．中标通知</w:t>
      </w:r>
    </w:p>
    <w:bookmarkEnd w:id="3"/>
    <w:bookmarkEnd w:id="4"/>
    <w:bookmarkEnd w:id="5"/>
    <w:p>
      <w:pPr>
        <w:pStyle w:val="65"/>
        <w:tabs>
          <w:tab w:val="left" w:pos="0"/>
        </w:tabs>
        <w:adjustRightInd/>
        <w:spacing w:before="0" w:line="284" w:lineRule="auto"/>
        <w:ind w:firstLine="0" w:firstLineChars="0"/>
        <w:rPr>
          <w:rFonts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kern w:val="0"/>
          <w:szCs w:val="24"/>
        </w:rPr>
        <w:t>采购代理机构</w:t>
      </w:r>
      <w:r>
        <w:rPr>
          <w:rFonts w:hint="eastAsia" w:ascii="仿宋" w:hAnsi="仿宋" w:eastAsia="仿宋" w:cs="仿宋"/>
          <w:color w:val="auto"/>
          <w:szCs w:val="24"/>
        </w:rPr>
        <w:t>对中标结果在指定媒体</w:t>
      </w:r>
      <w:r>
        <w:rPr>
          <w:rFonts w:hint="eastAsia" w:ascii="仿宋" w:hAnsi="仿宋" w:eastAsia="仿宋" w:cs="仿宋"/>
          <w:color w:val="auto"/>
          <w:kern w:val="0"/>
          <w:szCs w:val="24"/>
        </w:rPr>
        <w:t>（浙江政府采购网</w:t>
      </w:r>
      <w:r>
        <w:rPr>
          <w:color w:val="auto"/>
        </w:rPr>
        <w:fldChar w:fldCharType="begin"/>
      </w:r>
      <w:r>
        <w:rPr>
          <w:color w:val="auto"/>
        </w:rPr>
        <w:instrText xml:space="preserve"> HYPERLINK "http://www.zjzfcg.gov.cn" </w:instrText>
      </w:r>
      <w:r>
        <w:rPr>
          <w:color w:val="auto"/>
        </w:rPr>
        <w:fldChar w:fldCharType="separate"/>
      </w:r>
      <w:r>
        <w:rPr>
          <w:rStyle w:val="34"/>
          <w:rFonts w:hint="eastAsia" w:ascii="仿宋" w:hAnsi="仿宋" w:eastAsia="仿宋" w:cs="仿宋"/>
          <w:color w:val="auto"/>
          <w:kern w:val="0"/>
          <w:szCs w:val="24"/>
        </w:rPr>
        <w:t>http://www.zjzfcg.gov.cn</w:t>
      </w:r>
      <w:r>
        <w:rPr>
          <w:rStyle w:val="34"/>
          <w:rFonts w:hint="eastAsia" w:ascii="仿宋" w:hAnsi="仿宋" w:eastAsia="仿宋" w:cs="仿宋"/>
          <w:color w:val="auto"/>
          <w:kern w:val="0"/>
          <w:szCs w:val="24"/>
        </w:rPr>
        <w:fldChar w:fldCharType="end"/>
      </w:r>
      <w:r>
        <w:rPr>
          <w:rFonts w:hint="eastAsia" w:ascii="仿宋" w:hAnsi="仿宋" w:eastAsia="仿宋" w:cs="仿宋"/>
          <w:color w:val="auto"/>
          <w:kern w:val="0"/>
          <w:szCs w:val="24"/>
        </w:rPr>
        <w:t>、绍兴公共资源交易网</w:t>
      </w:r>
      <w:r>
        <w:rPr>
          <w:color w:val="auto"/>
        </w:rPr>
        <w:fldChar w:fldCharType="begin"/>
      </w:r>
      <w:r>
        <w:rPr>
          <w:color w:val="auto"/>
        </w:rPr>
        <w:instrText xml:space="preserve"> HYPERLINK "http://ggb.sx.gov.cn" </w:instrText>
      </w:r>
      <w:r>
        <w:rPr>
          <w:color w:val="auto"/>
        </w:rPr>
        <w:fldChar w:fldCharType="separate"/>
      </w:r>
      <w:r>
        <w:rPr>
          <w:rStyle w:val="34"/>
          <w:rFonts w:hint="eastAsia" w:ascii="仿宋" w:hAnsi="仿宋" w:eastAsia="仿宋" w:cs="仿宋"/>
          <w:color w:val="auto"/>
          <w:szCs w:val="24"/>
        </w:rPr>
        <w:t>http://ggb.sx.gov.cn</w:t>
      </w:r>
      <w:r>
        <w:rPr>
          <w:rStyle w:val="34"/>
          <w:rFonts w:hint="eastAsia" w:ascii="仿宋" w:hAnsi="仿宋" w:eastAsia="仿宋" w:cs="仿宋"/>
          <w:color w:val="auto"/>
          <w:szCs w:val="24"/>
        </w:rPr>
        <w:fldChar w:fldCharType="end"/>
      </w:r>
      <w:r>
        <w:rPr>
          <w:rFonts w:hint="eastAsia" w:ascii="仿宋" w:hAnsi="仿宋" w:eastAsia="仿宋" w:cs="仿宋"/>
          <w:color w:val="auto"/>
          <w:kern w:val="0"/>
          <w:szCs w:val="24"/>
        </w:rPr>
        <w:t>）发布中标公告，中标公告期限为1个工作日。</w:t>
      </w:r>
    </w:p>
    <w:p>
      <w:pPr>
        <w:tabs>
          <w:tab w:val="left" w:pos="0"/>
        </w:tabs>
        <w:adjustRightInd/>
        <w:spacing w:line="284" w:lineRule="auto"/>
        <w:rPr>
          <w:rFonts w:ascii="仿宋" w:hAnsi="仿宋" w:eastAsia="仿宋" w:cs="仿宋"/>
          <w:color w:val="auto"/>
          <w:kern w:val="0"/>
          <w:sz w:val="24"/>
          <w:lang w:val="zh-CN"/>
        </w:rPr>
      </w:pPr>
      <w:r>
        <w:rPr>
          <w:rFonts w:hint="eastAsia" w:ascii="仿宋" w:hAnsi="仿宋" w:eastAsia="仿宋" w:cs="仿宋"/>
          <w:color w:val="auto"/>
          <w:sz w:val="24"/>
        </w:rPr>
        <w:t>4.2在采购代理机构发出中标通知书前，中标供应商如有违反有关法律法规和本项目要求行为的，则取消该投标人的中标资格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4.3采购代理机构对中标结果不作任何说明和解释，也不回答任何提问。</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5．履约保证金</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5.1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5.2供应商在履行完合同约定事项后，采购人应及时退还履约保证金。</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5.3供应商以银行、保险公司出具保函形式提交履约保证金的，采购人不得拒收。</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6．合同备案</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6.1中标人应当在中标通知书发出之日起30天内与采购人签订合同，自采购合同签订之日起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，将</w:t>
      </w:r>
      <w:r>
        <w:rPr>
          <w:rFonts w:hint="eastAsia" w:ascii="仿宋" w:hAnsi="仿宋" w:eastAsia="仿宋" w:cs="仿宋"/>
          <w:b/>
          <w:color w:val="auto"/>
          <w:sz w:val="24"/>
        </w:rPr>
        <w:t>采购合同原件</w:t>
      </w:r>
      <w:r>
        <w:rPr>
          <w:rFonts w:hint="eastAsia" w:ascii="仿宋" w:hAnsi="仿宋" w:eastAsia="仿宋" w:cs="仿宋"/>
          <w:color w:val="auto"/>
          <w:sz w:val="24"/>
        </w:rPr>
        <w:t>报耀华建设管理有限公司备案。</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6.2未领取中标通知书，采购双方自行签订的合同不予备案。</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7.验收</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7.2采购人可以邀请参加本项目的其他投标人或者第三方机构参与验收。参与验收的投标人或者第三方机构的意见作为验收书的参考资料一并存档。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color w:val="auto"/>
          <w:sz w:val="24"/>
        </w:rPr>
      </w:pPr>
      <w:r>
        <w:rPr>
          <w:rFonts w:hint="eastAsia" w:ascii="仿宋" w:hAnsi="仿宋" w:eastAsia="仿宋" w:cs="仿宋"/>
          <w:color w:val="auto"/>
          <w:sz w:val="24"/>
        </w:rPr>
        <w:t>7.3 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color w:val="auto"/>
          <w:sz w:val="24"/>
        </w:rPr>
      </w:pPr>
      <w:r>
        <w:rPr>
          <w:rFonts w:hint="eastAsia" w:ascii="仿宋" w:hAnsi="仿宋" w:eastAsia="仿宋" w:cs="仿宋"/>
          <w:b/>
          <w:color w:val="auto"/>
          <w:sz w:val="24"/>
        </w:rPr>
        <w:t>8. 售后服务考核</w:t>
      </w:r>
    </w:p>
    <w:p>
      <w:pPr>
        <w:adjustRightInd/>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2.1供应商认为采购文件、采购过程和成交结果使自己的权益受到损害的，可以在知道或者应知其权益受到损害之日起七个工作日内，以书面形式向采购代理机构提出质疑，否则，采购代理机构不予受理：</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（2）对采购过程提出质疑的，质疑期限为各采购程序环节结束之日起计算。</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（3）对采购结果提出质疑的，质疑期限自采购结果公告（包括公示、预公告、结果变更公告等）期限届满之日起计算。</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（4）供应商应在法定质疑期内一次性提出针对同一采购程序环节的质疑。</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3.供应商提交的质疑书需一式三份，质疑书至少应包括下列主要内容：</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（1）质疑人的名称、地址、邮政编码、联系人、联系电话，以及被质疑人名称及联系方式；</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（2）被质疑采购项目名称、编号及采购内容；</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（3）具体、明确的质疑事项和与质疑事项相关的请求</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（4）事实依据；</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（5）必要的法律依据；</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（6）认为自己合法权益受到损害或可能受到损害的相关证据材料；</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（7）提出质疑的日期。</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（8） 质疑书应当署名。质疑人为自然人的，应当由本人签字并附有效身份证明；质疑人为法人或其他组织的，应当由法定代表人或主要负责人签字（或盖章）并加盖单位公章。</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（9） 质疑人因故不能自行办理质疑事项的，可以委托代理人办理质疑事宜，但应当向被质疑人提交授权委托书，并载明委托代理的具体权限和事项。</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（10）质疑人提供的相关材料中有外文资料的，应当将与质疑相关的外文资料完整、客观、真实地翻译为中文，并注明翻译人员姓名、工作单位、联系方式等信息。</w:t>
      </w:r>
    </w:p>
    <w:p>
      <w:pPr>
        <w:pStyle w:val="15"/>
        <w:adjustRightInd/>
        <w:spacing w:line="284"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5.询问或者质疑事项可能影响采购结果的，采购人应当暂停签订合同，已经签订合同的，应当中止履行合同。</w:t>
      </w:r>
    </w:p>
    <w:p>
      <w:pPr>
        <w:pStyle w:val="2"/>
        <w:rPr>
          <w:color w:val="auto"/>
        </w:rPr>
      </w:pPr>
    </w:p>
    <w:p>
      <w:pPr>
        <w:pStyle w:val="15"/>
        <w:adjustRightInd/>
        <w:spacing w:line="288" w:lineRule="auto"/>
        <w:rPr>
          <w:rFonts w:ascii="仿宋" w:hAnsi="仿宋" w:eastAsia="仿宋" w:cs="仿宋"/>
          <w:b/>
          <w:color w:val="auto"/>
          <w:sz w:val="36"/>
          <w:szCs w:val="36"/>
        </w:rPr>
      </w:pPr>
    </w:p>
    <w:p>
      <w:pPr>
        <w:pStyle w:val="15"/>
        <w:numPr>
          <w:ilvl w:val="0"/>
          <w:numId w:val="7"/>
        </w:numPr>
        <w:adjustRightInd/>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项目技术规范和服务要求</w:t>
      </w:r>
    </w:p>
    <w:p>
      <w:pPr>
        <w:keepNext/>
        <w:keepLines/>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标段一：**平台***模块维护项目，预算价：6万元,</w:t>
      </w:r>
    </w:p>
    <w:p>
      <w:pPr>
        <w:keepNext/>
        <w:keepLines/>
        <w:spacing w:line="44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一、维护内容及技术要求</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***模块维护服务主要包括系统软件支撑服务、巡检及故障处理等两方面内容，具体如下：</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a、系统软件支撑服务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1.日常支撑内容</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对平台相关系统软件进行使用指导和咨询</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对软件系统性能优化、系统安全、参数配置提供建议</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必要时现场进行软件设置调整优化</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2.系统增值服务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系统优化服务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3.系统周边服务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系统咨询服务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如甲方需要购买机器，乙方可以提供相应的系统咨询服务。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系统测试服务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如甲方需要对旧机器重新利用，乙方可以提供相应的系统测试服务。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4.机构调整</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行政管理数据调整</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满足政府机构调整需求，根据乡镇街道、村居委会合并、撤销、拆分等需要，维护乡镇街道、村居委会与公安机构关系，同时调整***模块基础数据行政管理信息，便于基层能顺利及时操作相关数据。</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所属机构调整</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鉴于分局、***、**区机构调整需要，根据分局、***、**区合并、撤销、拆分，维护分局、***、**区基本信息，同时调整***模块基础数据所属机构信息，便于基层能顺利及时操作相关数据。</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b、巡检、故障处理。</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1.制定定期预防性维护方案</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制定预防性维护计划；</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热线技术支持及远程服务；</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建立甲方档案及维修记录；</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工程师定期电话询访、现场走访，解决系统隐患，解答客户技术疑难问题；</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季度、年度结束提交系统情况分析报告及维护总结报告。</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2.定期维护计划</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每季度派工程师到甲方现场对系统及相关系统进行一次预防性维护服务（例行巡检），以便及时发现一些隐患，把故障几率降至最低；巡检后，乙方将为甲方提供详细的巡检报告，内容包括系统现在运行情况，哪些方面存在问题隐患及解决方案，总结同期系统的运行情况，并提出日常维护的建议，根据巡检报告，做出以后工作重点和建议乙方工程师定期以电话方式与甲方工程师进行业务沟通，并做详细电话记录，若有问题要及时派工程师现场处理；</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每次例行的系统预防性维护后，乙方公司工程师将详细填写《预防性维护检查表》并交用户签字认可，双方各留一份以备存档。</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3.紧急故障维修</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1）修复方案</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出现故障时，乙方公司工程师将及时做出响应并尽快开展维修及修复工作。电话了解故障情况及错误码情况,并指导甲方系统管理员采取紧急措施；在电话指挥启动备份方案的同时，乙方工程师将以最快的速度到达内网现场进行系统修复。</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维修修复过程由专人负责跟踪、协调、监督，此案例负责人与具体责任工程师、甲方多方保持畅通的交流沟通，直至问题解决。</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2）内网故障支撑</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系统出现故障时，乙工程师将及时到达公安内网进行系统修复。在进行故障诊断启动故障恢复应急方案，故障处理汇报及预防措施实施</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3）响应时间及修复时间</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响应时间：每天24小时，立即响应</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乙方工程师在接到用户故障服务请求后，将及时电话指导甲方工程师采取应急措施，避免造成重大事故。同时从乙方办事处乘最快的交通工具抵达内网现场。</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系统修复时间：关键性故障或影响业务正常生产的故障：到达内网现场后4小时；疑难故障：到达内网现场后12小时内。</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4）免费服务项目</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（1）系统安全及性能优化</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根据甲方系统的运行使用情况，乙方及时向甲方提出系统安全及系统优化的合理建议，确保甲方系统安全正常运行。</w:t>
      </w:r>
    </w:p>
    <w:p>
      <w:pPr>
        <w:pStyle w:val="15"/>
        <w:spacing w:line="44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（2）建立系统维护技术档案</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乙方对甲方的所有保修系统，均根据每次的电话记录、预防性维修报告和故障维修报告建立技术文档，详细记录设备型号、故障时间、故障类型、维护措施、维护质量、维护时间及维修人员等信息。</w:t>
      </w:r>
    </w:p>
    <w:p>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snapToGrid w:val="0"/>
          <w:color w:val="auto"/>
          <w:kern w:val="24"/>
          <w:sz w:val="24"/>
        </w:rPr>
        <w:t>二</w:t>
      </w:r>
      <w:r>
        <w:rPr>
          <w:rFonts w:hint="eastAsia" w:ascii="仿宋" w:hAnsi="仿宋" w:eastAsia="仿宋" w:cs="仿宋"/>
          <w:b/>
          <w:color w:val="auto"/>
          <w:sz w:val="24"/>
        </w:rPr>
        <w:t>、其它相关要求</w:t>
      </w:r>
      <w:r>
        <w:rPr>
          <w:rFonts w:hint="eastAsia" w:ascii="仿宋" w:hAnsi="仿宋" w:eastAsia="仿宋" w:cs="仿宋"/>
          <w:color w:val="auto"/>
          <w:kern w:val="0"/>
          <w:sz w:val="24"/>
        </w:rPr>
        <w:t>：</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  服务期限</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服务期限为自合同签订之日起一年。</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  付款方式</w:t>
      </w:r>
    </w:p>
    <w:p>
      <w:pPr>
        <w:pStyle w:val="15"/>
        <w:spacing w:line="288" w:lineRule="auto"/>
        <w:rPr>
          <w:rFonts w:ascii="仿宋" w:hAnsi="仿宋" w:eastAsia="仿宋" w:cs="仿宋"/>
          <w:b/>
          <w:color w:val="auto"/>
          <w:sz w:val="24"/>
          <w:szCs w:val="24"/>
        </w:rPr>
      </w:pPr>
      <w:r>
        <w:rPr>
          <w:rFonts w:hint="eastAsia" w:ascii="仿宋" w:hAnsi="仿宋" w:eastAsia="仿宋" w:cs="仿宋"/>
          <w:color w:val="auto"/>
          <w:sz w:val="24"/>
          <w:szCs w:val="24"/>
        </w:rPr>
        <w:t>合同签订后，乙方向甲方指定账户支付合同金额的5%作为履约保证金，合同签订租期开始，甲方向乙方支付合同金额的100%，租赁期满验收合格后，甲方退还履约保证金（不计息）。</w:t>
      </w:r>
    </w:p>
    <w:p>
      <w:pPr>
        <w:keepNext/>
        <w:keepLines/>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 xml:space="preserve">标段二：市公安局电脑网络设备维护项目，预算价：9.9万元 </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（一）维护内容</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本项目提供绍兴市公安局电脑网络设备为期一年的技术服务及相关配件。</w:t>
      </w:r>
    </w:p>
    <w:tbl>
      <w:tblPr>
        <w:tblStyle w:val="28"/>
        <w:tblW w:w="8467" w:type="dxa"/>
        <w:tblInd w:w="93" w:type="dxa"/>
        <w:tblLayout w:type="fixed"/>
        <w:tblCellMar>
          <w:top w:w="0" w:type="dxa"/>
          <w:left w:w="108" w:type="dxa"/>
          <w:bottom w:w="0" w:type="dxa"/>
          <w:right w:w="108" w:type="dxa"/>
        </w:tblCellMar>
      </w:tblPr>
      <w:tblGrid>
        <w:gridCol w:w="1291"/>
        <w:gridCol w:w="1276"/>
        <w:gridCol w:w="3260"/>
        <w:gridCol w:w="2640"/>
      </w:tblGrid>
      <w:tr>
        <w:tblPrEx>
          <w:tblCellMar>
            <w:top w:w="0" w:type="dxa"/>
            <w:left w:w="108" w:type="dxa"/>
            <w:bottom w:w="0" w:type="dxa"/>
            <w:right w:w="108" w:type="dxa"/>
          </w:tblCellMar>
        </w:tblPrEx>
        <w:trPr>
          <w:trHeight w:val="735" w:hRule="atLeast"/>
        </w:trPr>
        <w:tc>
          <w:tcPr>
            <w:tcW w:w="8467" w:type="dxa"/>
            <w:gridSpan w:val="4"/>
            <w:tcBorders>
              <w:top w:val="single" w:color="auto" w:sz="12" w:space="0"/>
              <w:left w:val="single" w:color="auto" w:sz="12" w:space="0"/>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电脑网络维修和耗材清单(提供配件需与原设备适应)</w:t>
            </w:r>
          </w:p>
        </w:tc>
      </w:tr>
      <w:tr>
        <w:tblPrEx>
          <w:tblCellMar>
            <w:top w:w="0" w:type="dxa"/>
            <w:left w:w="108" w:type="dxa"/>
            <w:bottom w:w="0" w:type="dxa"/>
            <w:right w:w="108" w:type="dxa"/>
          </w:tblCellMar>
        </w:tblPrEx>
        <w:trPr>
          <w:trHeight w:val="750" w:hRule="atLeast"/>
        </w:trPr>
        <w:tc>
          <w:tcPr>
            <w:tcW w:w="1291" w:type="dxa"/>
            <w:vMerge w:val="restart"/>
            <w:tcBorders>
              <w:top w:val="nil"/>
              <w:left w:val="single" w:color="auto" w:sz="12" w:space="0"/>
              <w:bottom w:val="single" w:color="000000" w:sz="12" w:space="0"/>
              <w:right w:val="single" w:color="auto" w:sz="12" w:space="0"/>
            </w:tcBorders>
            <w:shd w:val="clear" w:color="auto" w:fill="auto"/>
            <w:textDirection w:val="tbRlV"/>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更换的配件部分</w:t>
            </w: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名称</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数量（不少于所列数量）</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1T机械硬盘</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20块</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内存（DDR2,3,4）</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10条</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电源模块</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风扇</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6</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纽扣电池</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光驱  </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8</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pci网卡   </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5张</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主板维修</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20块</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笔记本维修</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15台  </w:t>
            </w:r>
          </w:p>
        </w:tc>
      </w:tr>
      <w:tr>
        <w:tblPrEx>
          <w:tblCellMar>
            <w:top w:w="0" w:type="dxa"/>
            <w:left w:w="108" w:type="dxa"/>
            <w:bottom w:w="0" w:type="dxa"/>
            <w:right w:w="108" w:type="dxa"/>
          </w:tblCellMar>
        </w:tblPrEx>
        <w:trPr>
          <w:trHeight w:val="559" w:hRule="atLeast"/>
        </w:trPr>
        <w:tc>
          <w:tcPr>
            <w:tcW w:w="1291" w:type="dxa"/>
            <w:vMerge w:val="restart"/>
            <w:tcBorders>
              <w:top w:val="nil"/>
              <w:left w:val="single" w:color="auto" w:sz="12" w:space="0"/>
              <w:bottom w:val="single" w:color="000000" w:sz="12" w:space="0"/>
              <w:right w:val="single" w:color="auto" w:sz="12" w:space="0"/>
            </w:tcBorders>
            <w:shd w:val="clear" w:color="auto" w:fill="auto"/>
            <w:textDirection w:val="tbRlV"/>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常用耗材部分</w:t>
            </w: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有线、无线鼠标、键盘</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50套</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网线</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15箱</w:t>
            </w:r>
          </w:p>
        </w:tc>
      </w:tr>
      <w:tr>
        <w:tblPrEx>
          <w:tblCellMar>
            <w:top w:w="0" w:type="dxa"/>
            <w:left w:w="108" w:type="dxa"/>
            <w:bottom w:w="0" w:type="dxa"/>
            <w:right w:w="108" w:type="dxa"/>
          </w:tblCellMar>
        </w:tblPrEx>
        <w:trPr>
          <w:trHeight w:val="626"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水晶头</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10盒</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电话线</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10箱</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电话水晶头</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10盒</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6</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CD/DVD光盘（50张装）</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10盒 </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 xml:space="preserve"> hub交换机</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8</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无线路由器</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网线钳 、 巡线仪</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2套</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5#、7#、12V电池</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5盒</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11</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移动光驱</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12</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墙插模块</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5个</w:t>
            </w:r>
          </w:p>
        </w:tc>
      </w:tr>
      <w:tr>
        <w:tblPrEx>
          <w:tblCellMar>
            <w:top w:w="0" w:type="dxa"/>
            <w:left w:w="108" w:type="dxa"/>
            <w:bottom w:w="0" w:type="dxa"/>
            <w:right w:w="108" w:type="dxa"/>
          </w:tblCellMar>
        </w:tblPrEx>
        <w:trPr>
          <w:trHeight w:val="55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13</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光纤收发器</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3对</w:t>
            </w:r>
          </w:p>
        </w:tc>
      </w:tr>
      <w:tr>
        <w:tblPrEx>
          <w:tblCellMar>
            <w:top w:w="0" w:type="dxa"/>
            <w:left w:w="108" w:type="dxa"/>
            <w:bottom w:w="0" w:type="dxa"/>
            <w:right w:w="108" w:type="dxa"/>
          </w:tblCellMar>
        </w:tblPrEx>
        <w:trPr>
          <w:trHeight w:val="1979"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14</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插排</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10个</w:t>
            </w:r>
          </w:p>
        </w:tc>
      </w:tr>
      <w:tr>
        <w:tblPrEx>
          <w:tblCellMar>
            <w:top w:w="0" w:type="dxa"/>
            <w:left w:w="108" w:type="dxa"/>
            <w:bottom w:w="0" w:type="dxa"/>
            <w:right w:w="108" w:type="dxa"/>
          </w:tblCellMar>
        </w:tblPrEx>
        <w:trPr>
          <w:trHeight w:val="1006" w:hRule="atLeast"/>
        </w:trPr>
        <w:tc>
          <w:tcPr>
            <w:tcW w:w="1291" w:type="dxa"/>
            <w:vMerge w:val="continue"/>
            <w:tcBorders>
              <w:top w:val="nil"/>
              <w:left w:val="single" w:color="auto" w:sz="12" w:space="0"/>
              <w:bottom w:val="single" w:color="000000" w:sz="12" w:space="0"/>
              <w:right w:val="single" w:color="auto" w:sz="12" w:space="0"/>
            </w:tcBorders>
            <w:vAlign w:val="center"/>
          </w:tcPr>
          <w:p>
            <w:pPr>
              <w:widowControl/>
              <w:spacing w:line="400" w:lineRule="exact"/>
              <w:ind w:firstLine="480" w:firstLineChars="200"/>
              <w:jc w:val="left"/>
              <w:rPr>
                <w:rFonts w:ascii="仿宋" w:hAnsi="仿宋" w:eastAsia="仿宋" w:cs="仿宋"/>
                <w:color w:val="auto"/>
                <w:kern w:val="0"/>
                <w:sz w:val="24"/>
              </w:rPr>
            </w:pPr>
          </w:p>
        </w:tc>
        <w:tc>
          <w:tcPr>
            <w:tcW w:w="1276" w:type="dxa"/>
            <w:tcBorders>
              <w:top w:val="nil"/>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15</w:t>
            </w:r>
          </w:p>
        </w:tc>
        <w:tc>
          <w:tcPr>
            <w:tcW w:w="3260" w:type="dxa"/>
            <w:tcBorders>
              <w:top w:val="single" w:color="auto" w:sz="12" w:space="0"/>
              <w:left w:val="nil"/>
              <w:bottom w:val="single" w:color="auto" w:sz="12" w:space="0"/>
              <w:right w:val="single" w:color="auto"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数据恢复服务</w:t>
            </w:r>
          </w:p>
        </w:tc>
        <w:tc>
          <w:tcPr>
            <w:tcW w:w="2640" w:type="dxa"/>
            <w:tcBorders>
              <w:top w:val="single" w:color="auto" w:sz="12" w:space="0"/>
              <w:left w:val="nil"/>
              <w:bottom w:val="single" w:color="auto" w:sz="12" w:space="0"/>
              <w:right w:val="single" w:color="000000" w:sz="12" w:space="0"/>
            </w:tcBorders>
            <w:shd w:val="clear" w:color="auto" w:fill="auto"/>
            <w:vAlign w:val="center"/>
          </w:tcPr>
          <w:p>
            <w:pPr>
              <w:widowControl/>
              <w:spacing w:line="40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5次</w:t>
            </w:r>
          </w:p>
        </w:tc>
      </w:tr>
    </w:tbl>
    <w:p>
      <w:pPr>
        <w:spacing w:line="440" w:lineRule="exact"/>
        <w:ind w:firstLine="480" w:firstLineChars="200"/>
        <w:jc w:val="left"/>
        <w:rPr>
          <w:rFonts w:ascii="仿宋" w:hAnsi="仿宋" w:eastAsia="仿宋" w:cs="仿宋"/>
          <w:color w:val="auto"/>
          <w:sz w:val="24"/>
        </w:rPr>
      </w:pP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（二）技术要求：</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（1）服务响应</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提供7×24×365全天侯服务，及时解决故障，电话半小时内必须响应，急需配件2小时内送达。</w:t>
      </w:r>
    </w:p>
    <w:p>
      <w:pPr>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（2）因数据涉密，公安网电脑不能带出，硬件更换、设备调试必须在公安局内实施。</w:t>
      </w:r>
    </w:p>
    <w:p>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（三）服务期限：</w:t>
      </w:r>
    </w:p>
    <w:p>
      <w:pPr>
        <w:keepNext/>
        <w:keepLines/>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本项目期限为</w:t>
      </w:r>
      <w:r>
        <w:rPr>
          <w:rFonts w:hint="eastAsia" w:ascii="仿宋" w:hAnsi="仿宋" w:eastAsia="仿宋" w:cs="仿宋"/>
          <w:b/>
          <w:bCs/>
          <w:color w:val="auto"/>
          <w:sz w:val="24"/>
        </w:rPr>
        <w:t>自合同签订起一年。</w:t>
      </w:r>
      <w:bookmarkStart w:id="10" w:name="_GoBack"/>
      <w:bookmarkEnd w:id="10"/>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（四）</w:t>
      </w:r>
      <w:r>
        <w:rPr>
          <w:rFonts w:hint="eastAsia" w:ascii="仿宋" w:hAnsi="仿宋" w:eastAsia="仿宋" w:cs="仿宋"/>
          <w:color w:val="auto"/>
          <w:kern w:val="0"/>
          <w:sz w:val="24"/>
        </w:rPr>
        <w:t>付款方式</w:t>
      </w:r>
    </w:p>
    <w:p>
      <w:pPr>
        <w:widowControl/>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合同签订后，乙方向甲方指定账户支付合同金额的5%作为履约保证金，合同签订租期开始，甲方向乙方支付合同金额的100%，租赁期满验收合格后，甲方退还履约保证金（不计息）。</w:t>
      </w:r>
    </w:p>
    <w:p>
      <w:pPr>
        <w:keepNext/>
        <w:keepLines/>
        <w:spacing w:line="360" w:lineRule="auto"/>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 xml:space="preserve">标段三：桌面云硬件维保项目，预算价：10万元 </w:t>
      </w:r>
    </w:p>
    <w:p>
      <w:pPr>
        <w:spacing w:line="440" w:lineRule="exact"/>
        <w:ind w:firstLine="482" w:firstLineChars="200"/>
        <w:jc w:val="left"/>
        <w:rPr>
          <w:rFonts w:ascii="仿宋" w:hAnsi="仿宋" w:eastAsia="仿宋" w:cs="仿宋"/>
          <w:b/>
          <w:snapToGrid w:val="0"/>
          <w:color w:val="auto"/>
          <w:kern w:val="24"/>
          <w:sz w:val="24"/>
        </w:rPr>
      </w:pPr>
      <w:bookmarkStart w:id="6" w:name="_Toc43764570"/>
      <w:r>
        <w:rPr>
          <w:rFonts w:hint="eastAsia" w:ascii="仿宋" w:hAnsi="仿宋" w:eastAsia="仿宋" w:cs="仿宋"/>
          <w:b/>
          <w:snapToGrid w:val="0"/>
          <w:color w:val="auto"/>
          <w:kern w:val="24"/>
          <w:sz w:val="24"/>
        </w:rPr>
        <w:t>一、</w:t>
      </w:r>
      <w:bookmarkEnd w:id="6"/>
      <w:r>
        <w:rPr>
          <w:rFonts w:hint="eastAsia" w:ascii="仿宋" w:hAnsi="仿宋" w:eastAsia="仿宋" w:cs="仿宋"/>
          <w:b/>
          <w:snapToGrid w:val="0"/>
          <w:color w:val="auto"/>
          <w:kern w:val="24"/>
          <w:sz w:val="24"/>
        </w:rPr>
        <w:t>招标内容</w:t>
      </w:r>
    </w:p>
    <w:p>
      <w:pPr>
        <w:spacing w:line="600" w:lineRule="exact"/>
        <w:ind w:firstLine="480" w:firstLineChars="200"/>
        <w:rPr>
          <w:rFonts w:ascii="仿宋" w:hAnsi="仿宋" w:eastAsia="仿宋" w:cs="仿宋"/>
          <w:color w:val="auto"/>
          <w:sz w:val="24"/>
        </w:rPr>
      </w:pPr>
      <w:r>
        <w:rPr>
          <w:rFonts w:hint="eastAsia" w:ascii="仿宋" w:hAnsi="仿宋" w:eastAsia="仿宋" w:cs="仿宋"/>
          <w:color w:val="auto"/>
          <w:sz w:val="24"/>
        </w:rPr>
        <w:t>桌面云硬件维保服务项目，服务期限一年。预算10万</w:t>
      </w:r>
    </w:p>
    <w:p>
      <w:pPr>
        <w:spacing w:line="440" w:lineRule="exact"/>
        <w:ind w:firstLine="482" w:firstLineChars="200"/>
        <w:jc w:val="left"/>
        <w:rPr>
          <w:rFonts w:ascii="仿宋" w:hAnsi="仿宋" w:eastAsia="仿宋" w:cs="仿宋"/>
          <w:b/>
          <w:snapToGrid w:val="0"/>
          <w:color w:val="auto"/>
          <w:kern w:val="24"/>
          <w:sz w:val="24"/>
        </w:rPr>
      </w:pPr>
      <w:r>
        <w:rPr>
          <w:rFonts w:hint="eastAsia" w:ascii="仿宋" w:hAnsi="仿宋" w:eastAsia="仿宋" w:cs="仿宋"/>
          <w:b/>
          <w:snapToGrid w:val="0"/>
          <w:color w:val="auto"/>
          <w:kern w:val="24"/>
          <w:sz w:val="24"/>
        </w:rPr>
        <w:t>二、维护保修服务清单</w:t>
      </w:r>
    </w:p>
    <w:tbl>
      <w:tblPr>
        <w:tblStyle w:val="28"/>
        <w:tblW w:w="10035" w:type="dxa"/>
        <w:tblInd w:w="-430" w:type="dxa"/>
        <w:tblLayout w:type="fixed"/>
        <w:tblCellMar>
          <w:top w:w="0" w:type="dxa"/>
          <w:left w:w="108" w:type="dxa"/>
          <w:bottom w:w="0" w:type="dxa"/>
          <w:right w:w="108" w:type="dxa"/>
        </w:tblCellMar>
      </w:tblPr>
      <w:tblGrid>
        <w:gridCol w:w="856"/>
        <w:gridCol w:w="1298"/>
        <w:gridCol w:w="236"/>
        <w:gridCol w:w="1788"/>
        <w:gridCol w:w="5119"/>
        <w:gridCol w:w="738"/>
      </w:tblGrid>
      <w:tr>
        <w:tblPrEx>
          <w:tblCellMar>
            <w:top w:w="0" w:type="dxa"/>
            <w:left w:w="108" w:type="dxa"/>
            <w:bottom w:w="0" w:type="dxa"/>
            <w:right w:w="108" w:type="dxa"/>
          </w:tblCellMar>
        </w:tblPrEx>
        <w:trPr>
          <w:trHeight w:val="402" w:hRule="atLeast"/>
        </w:trPr>
        <w:tc>
          <w:tcPr>
            <w:tcW w:w="856" w:type="dxa"/>
            <w:tcBorders>
              <w:top w:val="single" w:color="000000" w:sz="2" w:space="0"/>
              <w:left w:val="single" w:color="000000" w:sz="2" w:space="0"/>
              <w:bottom w:val="single" w:color="000000" w:sz="2" w:space="0"/>
              <w:right w:val="single" w:color="000000" w:sz="2" w:space="0"/>
            </w:tcBorders>
            <w:shd w:val="clear" w:color="000000" w:fill="A6A6A6"/>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序号</w:t>
            </w:r>
          </w:p>
        </w:tc>
        <w:tc>
          <w:tcPr>
            <w:tcW w:w="1300" w:type="dxa"/>
            <w:tcBorders>
              <w:top w:val="single" w:color="000000" w:sz="2" w:space="0"/>
              <w:left w:val="nil"/>
              <w:bottom w:val="single" w:color="000000" w:sz="2" w:space="0"/>
              <w:right w:val="single" w:color="auto" w:sz="4" w:space="0"/>
            </w:tcBorders>
            <w:shd w:val="clear" w:color="000000" w:fill="A6A6A6"/>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设备名称</w:t>
            </w:r>
          </w:p>
        </w:tc>
        <w:tc>
          <w:tcPr>
            <w:tcW w:w="222" w:type="dxa"/>
            <w:tcBorders>
              <w:top w:val="single" w:color="000000" w:sz="2" w:space="0"/>
              <w:left w:val="single" w:color="auto" w:sz="4" w:space="0"/>
              <w:bottom w:val="single" w:color="000000" w:sz="2" w:space="0"/>
              <w:right w:val="nil"/>
            </w:tcBorders>
            <w:shd w:val="clear" w:color="000000" w:fill="A6A6A6"/>
            <w:vAlign w:val="center"/>
          </w:tcPr>
          <w:p>
            <w:pPr>
              <w:spacing w:line="600" w:lineRule="exact"/>
              <w:ind w:firstLine="720" w:firstLineChars="300"/>
              <w:rPr>
                <w:rFonts w:ascii="仿宋" w:hAnsi="仿宋" w:eastAsia="仿宋" w:cs="仿宋"/>
                <w:color w:val="auto"/>
                <w:sz w:val="24"/>
              </w:rPr>
            </w:pPr>
          </w:p>
        </w:tc>
        <w:tc>
          <w:tcPr>
            <w:tcW w:w="1791" w:type="dxa"/>
            <w:tcBorders>
              <w:top w:val="single" w:color="000000" w:sz="2" w:space="0"/>
              <w:left w:val="nil"/>
              <w:bottom w:val="single" w:color="000000" w:sz="2" w:space="0"/>
              <w:right w:val="single" w:color="000000" w:sz="2" w:space="0"/>
            </w:tcBorders>
            <w:shd w:val="clear" w:color="000000" w:fill="A6A6A6"/>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设备型号</w:t>
            </w:r>
          </w:p>
        </w:tc>
        <w:tc>
          <w:tcPr>
            <w:tcW w:w="5127" w:type="dxa"/>
            <w:tcBorders>
              <w:top w:val="single" w:color="000000" w:sz="2" w:space="0"/>
              <w:left w:val="nil"/>
              <w:bottom w:val="single" w:color="000000" w:sz="2" w:space="0"/>
              <w:right w:val="single" w:color="000000" w:sz="2" w:space="0"/>
            </w:tcBorders>
            <w:shd w:val="clear" w:color="000000" w:fill="A6A6A6"/>
            <w:vAlign w:val="center"/>
          </w:tcPr>
          <w:p>
            <w:pPr>
              <w:spacing w:line="600" w:lineRule="exact"/>
              <w:ind w:firstLine="720" w:firstLineChars="300"/>
              <w:rPr>
                <w:rFonts w:ascii="仿宋" w:hAnsi="仿宋" w:eastAsia="仿宋" w:cs="仿宋"/>
                <w:color w:val="auto"/>
                <w:sz w:val="24"/>
              </w:rPr>
            </w:pPr>
            <w:r>
              <w:rPr>
                <w:rFonts w:hint="eastAsia" w:ascii="仿宋" w:hAnsi="仿宋" w:eastAsia="仿宋" w:cs="仿宋"/>
                <w:color w:val="auto"/>
                <w:sz w:val="24"/>
              </w:rPr>
              <w:t>设备配置描述</w:t>
            </w:r>
          </w:p>
        </w:tc>
        <w:tc>
          <w:tcPr>
            <w:tcW w:w="739" w:type="dxa"/>
            <w:tcBorders>
              <w:top w:val="single" w:color="000000" w:sz="2" w:space="0"/>
              <w:left w:val="nil"/>
              <w:bottom w:val="single" w:color="000000" w:sz="2" w:space="0"/>
              <w:right w:val="single" w:color="000000" w:sz="2" w:space="0"/>
            </w:tcBorders>
            <w:shd w:val="clear" w:color="000000" w:fill="A6A6A6"/>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数量</w:t>
            </w:r>
          </w:p>
        </w:tc>
      </w:tr>
      <w:tr>
        <w:tblPrEx>
          <w:tblCellMar>
            <w:top w:w="0" w:type="dxa"/>
            <w:left w:w="108" w:type="dxa"/>
            <w:bottom w:w="0" w:type="dxa"/>
            <w:right w:w="108" w:type="dxa"/>
          </w:tblCellMar>
        </w:tblPrEx>
        <w:trPr>
          <w:trHeight w:val="1320" w:hRule="atLeast"/>
        </w:trPr>
        <w:tc>
          <w:tcPr>
            <w:tcW w:w="856" w:type="dxa"/>
            <w:tcBorders>
              <w:top w:val="nil"/>
              <w:left w:val="single" w:color="000000" w:sz="2" w:space="0"/>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w:t>
            </w:r>
          </w:p>
        </w:tc>
        <w:tc>
          <w:tcPr>
            <w:tcW w:w="1300" w:type="dxa"/>
            <w:tcBorders>
              <w:top w:val="nil"/>
              <w:left w:val="nil"/>
              <w:bottom w:val="single" w:color="000000" w:sz="2" w:space="0"/>
              <w:right w:val="single" w:color="auto" w:sz="4"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刀片刀框</w:t>
            </w:r>
          </w:p>
        </w:tc>
        <w:tc>
          <w:tcPr>
            <w:tcW w:w="222" w:type="dxa"/>
            <w:tcBorders>
              <w:top w:val="nil"/>
              <w:left w:val="single" w:color="auto" w:sz="4" w:space="0"/>
              <w:bottom w:val="single" w:color="000000" w:sz="2" w:space="0"/>
              <w:right w:val="nil"/>
            </w:tcBorders>
            <w:vAlign w:val="center"/>
          </w:tcPr>
          <w:p>
            <w:pPr>
              <w:spacing w:line="600" w:lineRule="exact"/>
              <w:ind w:firstLine="720" w:firstLineChars="300"/>
              <w:rPr>
                <w:rFonts w:ascii="仿宋" w:hAnsi="仿宋" w:eastAsia="仿宋" w:cs="仿宋"/>
                <w:color w:val="auto"/>
                <w:sz w:val="24"/>
              </w:rPr>
            </w:pPr>
          </w:p>
        </w:tc>
        <w:tc>
          <w:tcPr>
            <w:tcW w:w="1791"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华为/E900机框</w:t>
            </w:r>
          </w:p>
        </w:tc>
        <w:tc>
          <w:tcPr>
            <w:tcW w:w="5127"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12U高性能一体化机箱;2个管理模块；14个风扇框;6个3000W铂金交流电源；配置2个以太网交换模块，每个交换模块配置12*GE电口和4*10GE；配置2个8*8G FC交换模块，配置8个8GB FC光模块。</w:t>
            </w:r>
          </w:p>
        </w:tc>
        <w:tc>
          <w:tcPr>
            <w:tcW w:w="739"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1个</w:t>
            </w:r>
          </w:p>
        </w:tc>
      </w:tr>
      <w:tr>
        <w:tblPrEx>
          <w:tblCellMar>
            <w:top w:w="0" w:type="dxa"/>
            <w:left w:w="108" w:type="dxa"/>
            <w:bottom w:w="0" w:type="dxa"/>
            <w:right w:w="108" w:type="dxa"/>
          </w:tblCellMar>
        </w:tblPrEx>
        <w:trPr>
          <w:trHeight w:val="1320" w:hRule="atLeast"/>
        </w:trPr>
        <w:tc>
          <w:tcPr>
            <w:tcW w:w="856" w:type="dxa"/>
            <w:tcBorders>
              <w:top w:val="nil"/>
              <w:left w:val="single" w:color="000000" w:sz="2" w:space="0"/>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2</w:t>
            </w:r>
          </w:p>
        </w:tc>
        <w:tc>
          <w:tcPr>
            <w:tcW w:w="1300" w:type="dxa"/>
            <w:tcBorders>
              <w:top w:val="nil"/>
              <w:left w:val="nil"/>
              <w:bottom w:val="single" w:color="000000" w:sz="2" w:space="0"/>
              <w:right w:val="single" w:color="auto" w:sz="4"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刀片服务器</w:t>
            </w:r>
          </w:p>
        </w:tc>
        <w:tc>
          <w:tcPr>
            <w:tcW w:w="222" w:type="dxa"/>
            <w:tcBorders>
              <w:top w:val="nil"/>
              <w:left w:val="single" w:color="auto" w:sz="4" w:space="0"/>
              <w:bottom w:val="single" w:color="000000" w:sz="2" w:space="0"/>
              <w:right w:val="nil"/>
            </w:tcBorders>
            <w:vAlign w:val="center"/>
          </w:tcPr>
          <w:p>
            <w:pPr>
              <w:spacing w:line="600" w:lineRule="exact"/>
              <w:ind w:firstLine="720" w:firstLineChars="300"/>
              <w:rPr>
                <w:rFonts w:ascii="仿宋" w:hAnsi="仿宋" w:eastAsia="仿宋" w:cs="仿宋"/>
                <w:color w:val="auto"/>
                <w:sz w:val="24"/>
              </w:rPr>
            </w:pPr>
          </w:p>
        </w:tc>
        <w:tc>
          <w:tcPr>
            <w:tcW w:w="1791"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华为/CH121 V3</w:t>
            </w:r>
          </w:p>
        </w:tc>
        <w:tc>
          <w:tcPr>
            <w:tcW w:w="5127"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半宽刀片服务器；2*E5-2620 v3-6Core处理器；160GB内存；2*300GB-SAS-10000rpm-2.5"-16M-热插拔硬盘；RAID卡，支持RAID0,1,10,1E；4*GE端口扣卡，2*8G FC HBA扣卡。</w:t>
            </w:r>
          </w:p>
        </w:tc>
        <w:tc>
          <w:tcPr>
            <w:tcW w:w="739"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16台</w:t>
            </w:r>
          </w:p>
        </w:tc>
      </w:tr>
      <w:tr>
        <w:tblPrEx>
          <w:tblCellMar>
            <w:top w:w="0" w:type="dxa"/>
            <w:left w:w="108" w:type="dxa"/>
            <w:bottom w:w="0" w:type="dxa"/>
            <w:right w:w="108" w:type="dxa"/>
          </w:tblCellMar>
        </w:tblPrEx>
        <w:trPr>
          <w:trHeight w:val="990" w:hRule="atLeast"/>
        </w:trPr>
        <w:tc>
          <w:tcPr>
            <w:tcW w:w="856" w:type="dxa"/>
            <w:tcBorders>
              <w:top w:val="nil"/>
              <w:left w:val="single" w:color="000000" w:sz="2" w:space="0"/>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3</w:t>
            </w:r>
          </w:p>
        </w:tc>
        <w:tc>
          <w:tcPr>
            <w:tcW w:w="1300" w:type="dxa"/>
            <w:tcBorders>
              <w:top w:val="nil"/>
              <w:left w:val="nil"/>
              <w:bottom w:val="single" w:color="000000" w:sz="2" w:space="0"/>
              <w:right w:val="single" w:color="auto" w:sz="4"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集中存储</w:t>
            </w:r>
          </w:p>
        </w:tc>
        <w:tc>
          <w:tcPr>
            <w:tcW w:w="222" w:type="dxa"/>
            <w:tcBorders>
              <w:top w:val="nil"/>
              <w:left w:val="single" w:color="auto" w:sz="4" w:space="0"/>
              <w:bottom w:val="single" w:color="000000" w:sz="2" w:space="0"/>
              <w:right w:val="nil"/>
            </w:tcBorders>
            <w:vAlign w:val="center"/>
          </w:tcPr>
          <w:p>
            <w:pPr>
              <w:spacing w:line="600" w:lineRule="exact"/>
              <w:ind w:firstLine="720" w:firstLineChars="300"/>
              <w:rPr>
                <w:rFonts w:ascii="仿宋" w:hAnsi="仿宋" w:eastAsia="仿宋" w:cs="仿宋"/>
                <w:color w:val="auto"/>
                <w:sz w:val="24"/>
              </w:rPr>
            </w:pPr>
          </w:p>
        </w:tc>
        <w:tc>
          <w:tcPr>
            <w:tcW w:w="1791"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华为/S5300 V3</w:t>
            </w:r>
          </w:p>
        </w:tc>
        <w:tc>
          <w:tcPr>
            <w:tcW w:w="5127"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双控存储，96GB缓存，8*8GB FC口，8*8GE接口，50*600GB 10K RPM SAS硬盘，12*6TB 7.2K RPM NL SAS硬盘，存储基础软件。</w:t>
            </w:r>
          </w:p>
        </w:tc>
        <w:tc>
          <w:tcPr>
            <w:tcW w:w="739"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1台</w:t>
            </w:r>
          </w:p>
        </w:tc>
      </w:tr>
      <w:tr>
        <w:tblPrEx>
          <w:tblCellMar>
            <w:top w:w="0" w:type="dxa"/>
            <w:left w:w="108" w:type="dxa"/>
            <w:bottom w:w="0" w:type="dxa"/>
            <w:right w:w="108" w:type="dxa"/>
          </w:tblCellMar>
        </w:tblPrEx>
        <w:trPr>
          <w:trHeight w:val="790" w:hRule="atLeast"/>
        </w:trPr>
        <w:tc>
          <w:tcPr>
            <w:tcW w:w="856" w:type="dxa"/>
            <w:tcBorders>
              <w:top w:val="nil"/>
              <w:left w:val="single" w:color="000000" w:sz="2" w:space="0"/>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4</w:t>
            </w:r>
          </w:p>
        </w:tc>
        <w:tc>
          <w:tcPr>
            <w:tcW w:w="1300" w:type="dxa"/>
            <w:tcBorders>
              <w:top w:val="nil"/>
              <w:left w:val="nil"/>
              <w:bottom w:val="single" w:color="000000" w:sz="2" w:space="0"/>
              <w:right w:val="single" w:color="auto" w:sz="4"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备份存储扩容</w:t>
            </w:r>
          </w:p>
        </w:tc>
        <w:tc>
          <w:tcPr>
            <w:tcW w:w="222" w:type="dxa"/>
            <w:tcBorders>
              <w:top w:val="nil"/>
              <w:left w:val="single" w:color="auto" w:sz="4" w:space="0"/>
              <w:bottom w:val="single" w:color="000000" w:sz="2" w:space="0"/>
              <w:right w:val="nil"/>
            </w:tcBorders>
            <w:vAlign w:val="center"/>
          </w:tcPr>
          <w:p>
            <w:pPr>
              <w:spacing w:line="600" w:lineRule="exact"/>
              <w:ind w:firstLine="720" w:firstLineChars="300"/>
              <w:rPr>
                <w:rFonts w:ascii="仿宋" w:hAnsi="仿宋" w:eastAsia="仿宋" w:cs="仿宋"/>
                <w:color w:val="auto"/>
                <w:sz w:val="24"/>
              </w:rPr>
            </w:pPr>
          </w:p>
        </w:tc>
        <w:tc>
          <w:tcPr>
            <w:tcW w:w="1791"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华为/S2600 T</w:t>
            </w:r>
          </w:p>
        </w:tc>
        <w:tc>
          <w:tcPr>
            <w:tcW w:w="5127"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配置1个硬盘框(4U,3.5寸,交流,SAS级联模块,不包含硬盘单元)和12*4TB 7.2K RPM NL SAS 硬盘单元(3.5")。</w:t>
            </w:r>
          </w:p>
        </w:tc>
        <w:tc>
          <w:tcPr>
            <w:tcW w:w="739"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1台</w:t>
            </w:r>
          </w:p>
        </w:tc>
      </w:tr>
      <w:tr>
        <w:tblPrEx>
          <w:tblCellMar>
            <w:top w:w="0" w:type="dxa"/>
            <w:left w:w="108" w:type="dxa"/>
            <w:bottom w:w="0" w:type="dxa"/>
            <w:right w:w="108" w:type="dxa"/>
          </w:tblCellMar>
        </w:tblPrEx>
        <w:trPr>
          <w:trHeight w:val="660" w:hRule="atLeast"/>
        </w:trPr>
        <w:tc>
          <w:tcPr>
            <w:tcW w:w="856" w:type="dxa"/>
            <w:tcBorders>
              <w:top w:val="nil"/>
              <w:left w:val="single" w:color="000000" w:sz="2" w:space="0"/>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5</w:t>
            </w:r>
          </w:p>
        </w:tc>
        <w:tc>
          <w:tcPr>
            <w:tcW w:w="1300" w:type="dxa"/>
            <w:tcBorders>
              <w:top w:val="nil"/>
              <w:left w:val="nil"/>
              <w:bottom w:val="single" w:color="000000" w:sz="2" w:space="0"/>
              <w:right w:val="single" w:color="auto" w:sz="4"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接入交换机</w:t>
            </w:r>
          </w:p>
        </w:tc>
        <w:tc>
          <w:tcPr>
            <w:tcW w:w="222" w:type="dxa"/>
            <w:tcBorders>
              <w:top w:val="nil"/>
              <w:left w:val="single" w:color="auto" w:sz="4" w:space="0"/>
              <w:bottom w:val="single" w:color="000000" w:sz="2" w:space="0"/>
              <w:right w:val="nil"/>
            </w:tcBorders>
            <w:vAlign w:val="center"/>
          </w:tcPr>
          <w:p>
            <w:pPr>
              <w:spacing w:line="600" w:lineRule="exact"/>
              <w:ind w:firstLine="720" w:firstLineChars="300"/>
              <w:rPr>
                <w:rFonts w:ascii="仿宋" w:hAnsi="仿宋" w:eastAsia="仿宋" w:cs="仿宋"/>
                <w:color w:val="auto"/>
                <w:sz w:val="24"/>
              </w:rPr>
            </w:pPr>
          </w:p>
        </w:tc>
        <w:tc>
          <w:tcPr>
            <w:tcW w:w="1791"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S3700-52P-SI-AC</w:t>
            </w:r>
          </w:p>
        </w:tc>
        <w:tc>
          <w:tcPr>
            <w:tcW w:w="5127"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48端口百兆，4千兆光上行接入交换机S3700-52P-Si-AC。</w:t>
            </w:r>
          </w:p>
        </w:tc>
        <w:tc>
          <w:tcPr>
            <w:tcW w:w="739" w:type="dxa"/>
            <w:tcBorders>
              <w:top w:val="nil"/>
              <w:left w:val="nil"/>
              <w:bottom w:val="single" w:color="000000" w:sz="2" w:space="0"/>
              <w:right w:val="single" w:color="000000" w:sz="2" w:space="0"/>
            </w:tcBorders>
            <w:vAlign w:val="center"/>
          </w:tcPr>
          <w:p>
            <w:pPr>
              <w:spacing w:line="600" w:lineRule="exact"/>
              <w:rPr>
                <w:rFonts w:ascii="仿宋" w:hAnsi="仿宋" w:eastAsia="仿宋" w:cs="仿宋"/>
                <w:color w:val="auto"/>
                <w:sz w:val="24"/>
              </w:rPr>
            </w:pPr>
            <w:r>
              <w:rPr>
                <w:rFonts w:hint="eastAsia" w:ascii="仿宋" w:hAnsi="仿宋" w:eastAsia="仿宋" w:cs="仿宋"/>
                <w:color w:val="auto"/>
                <w:sz w:val="24"/>
              </w:rPr>
              <w:t>2台</w:t>
            </w:r>
          </w:p>
        </w:tc>
      </w:tr>
    </w:tbl>
    <w:p>
      <w:pPr>
        <w:spacing w:line="600" w:lineRule="exact"/>
        <w:rPr>
          <w:rFonts w:ascii="仿宋" w:hAnsi="仿宋" w:eastAsia="仿宋" w:cs="仿宋"/>
          <w:color w:val="auto"/>
          <w:sz w:val="24"/>
        </w:rPr>
      </w:pPr>
    </w:p>
    <w:p>
      <w:pPr>
        <w:spacing w:line="440" w:lineRule="exact"/>
        <w:ind w:firstLine="482" w:firstLineChars="200"/>
        <w:jc w:val="left"/>
        <w:rPr>
          <w:rFonts w:ascii="仿宋" w:hAnsi="仿宋" w:eastAsia="仿宋" w:cs="仿宋"/>
          <w:b/>
          <w:snapToGrid w:val="0"/>
          <w:color w:val="auto"/>
          <w:kern w:val="24"/>
          <w:sz w:val="24"/>
        </w:rPr>
      </w:pPr>
      <w:r>
        <w:rPr>
          <w:rFonts w:hint="eastAsia" w:ascii="仿宋" w:hAnsi="仿宋" w:eastAsia="仿宋" w:cs="仿宋"/>
          <w:b/>
          <w:snapToGrid w:val="0"/>
          <w:color w:val="auto"/>
          <w:kern w:val="24"/>
          <w:sz w:val="24"/>
        </w:rPr>
        <w:t>三、服务要求：</w:t>
      </w:r>
    </w:p>
    <w:p>
      <w:pPr>
        <w:spacing w:line="440" w:lineRule="exact"/>
        <w:ind w:right="420" w:firstLine="480" w:firstLineChars="200"/>
        <w:rPr>
          <w:rFonts w:ascii="仿宋" w:hAnsi="仿宋" w:eastAsia="仿宋" w:cs="仿宋"/>
          <w:color w:val="auto"/>
          <w:kern w:val="0"/>
          <w:sz w:val="24"/>
        </w:rPr>
      </w:pPr>
      <w:r>
        <w:rPr>
          <w:rFonts w:hint="eastAsia" w:ascii="仿宋" w:hAnsi="仿宋" w:eastAsia="仿宋" w:cs="仿宋"/>
          <w:color w:val="auto"/>
          <w:kern w:val="0"/>
          <w:sz w:val="24"/>
        </w:rPr>
        <w:t>中标人必须有可靠的售后服务保障包括但不限于在绍兴附近有固定的维修服务点，能提供正常的技术。提供7×24×365全天侯服务，及时解决故障，中标人在接到招标人通知后，电话1小时内必须响应，4小时内派人赴现场处理设备质量问题。</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1.故障隐患排除服务</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系统日常应用维护，主要是指绍兴市公安局桌面云刀片E9000服务器、存储设备及数据硬盘、交换机等部件中所出现的各种硬件问题的解决,维保过程中如有硬件故障需及时解决，故障无法修复需进行更换。故障响应时间：8小时以内。一般情况下，启动现场服务模式。</w:t>
      </w:r>
    </w:p>
    <w:p>
      <w:pPr>
        <w:spacing w:line="440" w:lineRule="exact"/>
        <w:rPr>
          <w:rFonts w:ascii="仿宋" w:hAnsi="仿宋" w:eastAsia="仿宋" w:cs="仿宋"/>
          <w:color w:val="auto"/>
          <w:kern w:val="0"/>
          <w:sz w:val="24"/>
        </w:rPr>
      </w:pPr>
      <w:bookmarkStart w:id="7" w:name="_Toc130306019"/>
      <w:r>
        <w:rPr>
          <w:rFonts w:hint="eastAsia" w:ascii="仿宋" w:hAnsi="仿宋" w:eastAsia="仿宋" w:cs="仿宋"/>
          <w:color w:val="auto"/>
          <w:kern w:val="0"/>
          <w:sz w:val="24"/>
        </w:rPr>
        <w:t>2.紧急事件处理</w:t>
      </w:r>
      <w:bookmarkEnd w:id="7"/>
      <w:r>
        <w:rPr>
          <w:rFonts w:hint="eastAsia" w:ascii="仿宋" w:hAnsi="仿宋" w:eastAsia="仿宋" w:cs="仿宋"/>
          <w:color w:val="auto"/>
          <w:kern w:val="0"/>
          <w:sz w:val="24"/>
        </w:rPr>
        <w:t>服务</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服务内容：由于系统硬件意外或者其它因素造成损坏，导致系统崩溃、瘫痪，或者系统性能急剧下降，或者核心业务不能办理等问题，需要及时进行响应。响应时间：7x24小时，全天候服务。</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3.提供软件升级服务所需硬件技术支持</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根据客户的需求，有偿或免费提供系统软件的版本升级所需的硬件技术服务，并协助解决由于软件的安装而产生的硬件问题，以确保顺利升级。</w:t>
      </w:r>
    </w:p>
    <w:p>
      <w:pPr>
        <w:pStyle w:val="64"/>
        <w:spacing w:afterLines="0" w:line="440" w:lineRule="exact"/>
        <w:ind w:firstLine="482"/>
        <w:jc w:val="left"/>
        <w:rPr>
          <w:rFonts w:ascii="仿宋" w:hAnsi="仿宋" w:eastAsia="仿宋" w:cs="仿宋"/>
          <w:b/>
          <w:bCs/>
          <w:color w:val="auto"/>
          <w:szCs w:val="24"/>
        </w:rPr>
      </w:pPr>
    </w:p>
    <w:p>
      <w:pPr>
        <w:spacing w:line="440" w:lineRule="exact"/>
        <w:ind w:firstLine="482" w:firstLineChars="200"/>
        <w:jc w:val="left"/>
        <w:rPr>
          <w:rFonts w:ascii="仿宋" w:hAnsi="仿宋" w:eastAsia="仿宋" w:cs="仿宋"/>
          <w:b/>
          <w:color w:val="auto"/>
          <w:sz w:val="24"/>
        </w:rPr>
      </w:pPr>
      <w:r>
        <w:rPr>
          <w:rFonts w:hint="eastAsia" w:ascii="仿宋" w:hAnsi="仿宋" w:eastAsia="仿宋" w:cs="仿宋"/>
          <w:b/>
          <w:snapToGrid w:val="0"/>
          <w:color w:val="auto"/>
          <w:kern w:val="24"/>
          <w:sz w:val="24"/>
        </w:rPr>
        <w:t>四</w:t>
      </w:r>
      <w:r>
        <w:rPr>
          <w:rFonts w:hint="eastAsia" w:ascii="仿宋" w:hAnsi="仿宋" w:eastAsia="仿宋" w:cs="仿宋"/>
          <w:b/>
          <w:color w:val="auto"/>
          <w:sz w:val="24"/>
        </w:rPr>
        <w:t>、其它相关要求</w:t>
      </w:r>
      <w:r>
        <w:rPr>
          <w:rFonts w:hint="eastAsia" w:ascii="仿宋" w:hAnsi="仿宋" w:eastAsia="仿宋" w:cs="仿宋"/>
          <w:color w:val="auto"/>
          <w:kern w:val="0"/>
          <w:sz w:val="24"/>
        </w:rPr>
        <w:t>：</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  服务期限</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服务期限为自合同签订之日起一年。</w:t>
      </w:r>
    </w:p>
    <w:p>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  付款方式</w:t>
      </w:r>
    </w:p>
    <w:p>
      <w:pPr>
        <w:pStyle w:val="15"/>
        <w:spacing w:line="288" w:lineRule="auto"/>
        <w:rPr>
          <w:rFonts w:ascii="仿宋" w:hAnsi="仿宋" w:eastAsia="仿宋" w:cs="仿宋"/>
          <w:b/>
          <w:color w:val="auto"/>
          <w:sz w:val="24"/>
          <w:szCs w:val="24"/>
        </w:rPr>
      </w:pPr>
      <w:r>
        <w:rPr>
          <w:rFonts w:hint="eastAsia" w:ascii="仿宋" w:hAnsi="仿宋" w:eastAsia="仿宋" w:cs="仿宋"/>
          <w:color w:val="auto"/>
          <w:sz w:val="24"/>
          <w:szCs w:val="24"/>
        </w:rPr>
        <w:t>合同签订后，乙方向甲方指定账户支付合同金额的5%作为履约保证金，合同签订租期开始，甲方向乙方支付合同金额的100%，租赁期满验收合格后，甲方退还履约保证金（不计息）。</w:t>
      </w:r>
    </w:p>
    <w:p>
      <w:pPr>
        <w:pStyle w:val="15"/>
        <w:spacing w:line="288" w:lineRule="auto"/>
        <w:rPr>
          <w:rFonts w:ascii="仿宋" w:hAnsi="仿宋" w:eastAsia="仿宋" w:cs="仿宋"/>
          <w:b/>
          <w:color w:val="auto"/>
          <w:sz w:val="36"/>
          <w:szCs w:val="36"/>
        </w:rPr>
      </w:pPr>
    </w:p>
    <w:p>
      <w:pPr>
        <w:pStyle w:val="15"/>
        <w:spacing w:line="288" w:lineRule="auto"/>
        <w:rPr>
          <w:rFonts w:ascii="仿宋" w:hAnsi="仿宋" w:eastAsia="仿宋" w:cs="仿宋"/>
          <w:b/>
          <w:color w:val="auto"/>
          <w:sz w:val="36"/>
          <w:szCs w:val="36"/>
        </w:rPr>
      </w:pPr>
    </w:p>
    <w:p>
      <w:pPr>
        <w:pStyle w:val="15"/>
        <w:spacing w:line="288" w:lineRule="auto"/>
        <w:ind w:firstLine="723"/>
        <w:jc w:val="center"/>
        <w:rPr>
          <w:rFonts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spacing w:line="288"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1.合同</w:t>
      </w:r>
      <w:bookmarkStart w:id="8" w:name="OLE_LINK1"/>
      <w:r>
        <w:rPr>
          <w:rFonts w:hint="eastAsia" w:ascii="仿宋" w:hAnsi="仿宋" w:eastAsia="仿宋" w:cs="仿宋"/>
          <w:b/>
          <w:color w:val="auto"/>
          <w:sz w:val="24"/>
        </w:rPr>
        <w:t>范围</w:t>
      </w:r>
      <w:bookmarkEnd w:id="8"/>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2.合同的签订</w:t>
      </w:r>
    </w:p>
    <w:p>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2.1.1交货地点：用户指定地点。</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2.1.2完工期：按标项内具体要求执行。</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2.2交货方式：所有成果应同时提供电子文档和纸质文档。所需的印刷、运送等费用均由中标人负责。</w:t>
      </w:r>
    </w:p>
    <w:p>
      <w:pPr>
        <w:spacing w:line="288"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3.付款方式：按标项内具体要求执行。</w:t>
      </w:r>
    </w:p>
    <w:p>
      <w:pPr>
        <w:spacing w:line="288"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4.合同修改</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4.1双方的任何一方对合同内容提出修改，均应以书面形式通知对方，并达成由双方签署的合同修改书，须报政府采购管理部门批准。</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4.2除非招标人提出大幅增加内容的要求，中标人不得对合同价格提出修改要求。</w:t>
      </w:r>
    </w:p>
    <w:p>
      <w:pPr>
        <w:spacing w:line="288"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5. 质量标准和验收</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5.1中标人提供的产品及服务必须是经合法途径取得的。</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5.2中标人应按现行的国家或行业技术及验收标准和招标文件的规定提供内容和服务，因中标人提供的内容或服务达不到约定的质量标准，中标人承担违约责任。</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5.3验收由使用单位按规定组织相关人员或专家进行。</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5.4双方对内容或服务的质量有争议的，由双方同意的仲裁鉴定，所需费及因此造成的损失由责任方承担，双方均有责任的，双方根据其责任分别承担。</w:t>
      </w:r>
    </w:p>
    <w:p>
      <w:pPr>
        <w:spacing w:line="288" w:lineRule="auto"/>
        <w:ind w:firstLine="482" w:firstLineChars="200"/>
        <w:jc w:val="left"/>
        <w:rPr>
          <w:rFonts w:ascii="仿宋" w:hAnsi="仿宋" w:eastAsia="仿宋" w:cs="仿宋"/>
          <w:color w:val="auto"/>
          <w:kern w:val="0"/>
          <w:sz w:val="24"/>
        </w:rPr>
      </w:pPr>
      <w:r>
        <w:rPr>
          <w:rFonts w:hint="eastAsia" w:ascii="仿宋" w:hAnsi="仿宋" w:eastAsia="仿宋" w:cs="仿宋"/>
          <w:b/>
          <w:bCs/>
          <w:color w:val="auto"/>
          <w:kern w:val="0"/>
          <w:sz w:val="24"/>
        </w:rPr>
        <w:t>6.违约责任</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6.1提供的内容和服务质量必须达到合格，凡合同期内发现的问题，中标人必须无偿返工直至符合质量要求，承担返工所发生的一切费用和招标人的直接经济损失。</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6.2由于招标人保管不善或使用不当造成设备短缺、故障或损坏，中标人协助招标人及时给予补齐或修复。</w:t>
      </w:r>
    </w:p>
    <w:p>
      <w:pPr>
        <w:spacing w:line="288" w:lineRule="auto"/>
        <w:ind w:firstLine="482" w:firstLineChars="200"/>
        <w:jc w:val="left"/>
        <w:rPr>
          <w:rFonts w:ascii="仿宋" w:hAnsi="仿宋" w:eastAsia="仿宋" w:cs="仿宋"/>
          <w:color w:val="auto"/>
          <w:kern w:val="0"/>
          <w:sz w:val="24"/>
        </w:rPr>
      </w:pPr>
      <w:r>
        <w:rPr>
          <w:rFonts w:hint="eastAsia" w:ascii="仿宋" w:hAnsi="仿宋" w:eastAsia="仿宋" w:cs="仿宋"/>
          <w:b/>
          <w:bCs/>
          <w:color w:val="auto"/>
          <w:kern w:val="0"/>
          <w:sz w:val="24"/>
        </w:rPr>
        <w:t>7．违约赔偿</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7.1除不可抗力外，如中标人发生不能按期完成工作任务，招标人发生中途变更等情况，应及时以书面形式通知对方。双方应本着友好的态度进行协商，妥善解决。如协商无效，按规定处以违约金。</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7.2 中标人和采购人签订合同，按合同规定的时间完成相关工作。逾期每推迟一天，扣中标价0.1%的滞纳金给采购人。</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7.3招标人在规定时间无正当理由拒签合同者，以招标违约处理，并赔偿中标人由此造成的直接经济损失。</w:t>
      </w:r>
    </w:p>
    <w:p>
      <w:pPr>
        <w:spacing w:line="288"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8.不可抗力</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8.1如果双方中任何一方由于战争、严重火灾、水灾、台风和地震以及其它经双方同意属于不可抗力的事故，致使合同履行受阻时，履行合同的期限应予延长，延长的期限应相当于事故所影响的时间。</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ind w:firstLine="482" w:firstLineChars="200"/>
        <w:jc w:val="left"/>
        <w:rPr>
          <w:rFonts w:ascii="仿宋" w:hAnsi="仿宋" w:eastAsia="仿宋" w:cs="仿宋"/>
          <w:b/>
          <w:bCs/>
          <w:color w:val="auto"/>
          <w:kern w:val="0"/>
          <w:sz w:val="24"/>
        </w:rPr>
      </w:pPr>
      <w:r>
        <w:rPr>
          <w:rFonts w:hint="eastAsia" w:ascii="仿宋" w:hAnsi="仿宋" w:eastAsia="仿宋" w:cs="仿宋"/>
          <w:b/>
          <w:bCs/>
          <w:color w:val="auto"/>
          <w:kern w:val="0"/>
          <w:sz w:val="24"/>
        </w:rPr>
        <w:t>9.解决合同纠纷的方式</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9.1凡有关本合同或与本合同中发生的争端，双方应通过友好协商，妥善解决。如通过协商仍不能解决时，可向当地的仲裁机构申请仲裁或人民法院起诉。</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9.2仲裁和诉讼费用除仲裁机构和人民法院另有裁决外，由败诉方承担。</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9.3在仲裁和诉讼期间，除正在进行裁定的部分外，本合同其他部分应继续执行。</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9.4合同应在双方签字盖章，采购人收到中标人提供的履约保证金后开始生效。</w:t>
      </w:r>
    </w:p>
    <w:p>
      <w:pPr>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（注：在正式签约时，根据上述精神应拟就更为详尽的合同书）</w:t>
      </w:r>
    </w:p>
    <w:p>
      <w:pPr>
        <w:spacing w:line="288" w:lineRule="auto"/>
        <w:rPr>
          <w:rFonts w:ascii="仿宋" w:hAnsi="仿宋" w:eastAsia="仿宋" w:cs="仿宋"/>
          <w:color w:val="auto"/>
          <w:sz w:val="24"/>
        </w:rPr>
      </w:pPr>
    </w:p>
    <w:p>
      <w:pPr>
        <w:pStyle w:val="9"/>
        <w:numPr>
          <w:ilvl w:val="0"/>
          <w:numId w:val="0"/>
        </w:numPr>
        <w:tabs>
          <w:tab w:val="clear" w:pos="780"/>
        </w:tabs>
        <w:spacing w:line="288" w:lineRule="auto"/>
        <w:rPr>
          <w:rFonts w:ascii="仿宋" w:hAnsi="仿宋" w:eastAsia="仿宋" w:cs="仿宋"/>
          <w:color w:val="auto"/>
          <w:kern w:val="0"/>
          <w:sz w:val="24"/>
          <w:szCs w:val="20"/>
        </w:rPr>
      </w:pPr>
    </w:p>
    <w:p>
      <w:pPr>
        <w:spacing w:line="360" w:lineRule="auto"/>
        <w:jc w:val="center"/>
        <w:outlineLvl w:val="0"/>
        <w:rPr>
          <w:rFonts w:ascii="仿宋" w:hAnsi="仿宋" w:eastAsia="仿宋" w:cs="仿宋"/>
          <w:b/>
          <w:color w:val="auto"/>
          <w:sz w:val="36"/>
          <w:szCs w:val="36"/>
        </w:rPr>
      </w:pPr>
    </w:p>
    <w:p>
      <w:pPr>
        <w:spacing w:line="360" w:lineRule="auto"/>
        <w:jc w:val="center"/>
        <w:outlineLvl w:val="0"/>
        <w:rPr>
          <w:rFonts w:ascii="仿宋" w:hAnsi="仿宋" w:eastAsia="仿宋" w:cs="仿宋"/>
          <w:b/>
          <w:color w:val="auto"/>
          <w:sz w:val="36"/>
          <w:szCs w:val="36"/>
        </w:rPr>
      </w:pPr>
    </w:p>
    <w:p>
      <w:pPr>
        <w:rPr>
          <w:rFonts w:ascii="仿宋" w:hAnsi="仿宋" w:eastAsia="仿宋" w:cs="仿宋"/>
          <w:b/>
          <w:color w:val="auto"/>
          <w:sz w:val="36"/>
          <w:szCs w:val="36"/>
        </w:rPr>
      </w:pPr>
    </w:p>
    <w:p>
      <w:pPr>
        <w:pStyle w:val="4"/>
        <w:numPr>
          <w:ilvl w:val="0"/>
          <w:numId w:val="0"/>
        </w:numPr>
        <w:rPr>
          <w:rFonts w:ascii="仿宋" w:hAnsi="仿宋" w:eastAsia="仿宋" w:cs="仿宋"/>
          <w:color w:val="auto"/>
          <w:sz w:val="36"/>
          <w:szCs w:val="36"/>
        </w:rPr>
      </w:pPr>
    </w:p>
    <w:p>
      <w:pPr>
        <w:rPr>
          <w:rFonts w:ascii="仿宋" w:hAnsi="仿宋" w:eastAsia="仿宋" w:cs="仿宋"/>
          <w:b/>
          <w:color w:val="auto"/>
          <w:sz w:val="36"/>
          <w:szCs w:val="36"/>
        </w:rPr>
      </w:pPr>
    </w:p>
    <w:p>
      <w:pPr>
        <w:pStyle w:val="4"/>
        <w:numPr>
          <w:ilvl w:val="0"/>
          <w:numId w:val="0"/>
        </w:numPr>
        <w:rPr>
          <w:color w:val="auto"/>
        </w:rPr>
      </w:pPr>
    </w:p>
    <w:p>
      <w:pPr>
        <w:pStyle w:val="27"/>
        <w:ind w:firstLine="0" w:firstLineChars="0"/>
        <w:rPr>
          <w:rFonts w:ascii="仿宋" w:hAnsi="仿宋" w:eastAsia="仿宋" w:cs="仿宋"/>
          <w:b/>
          <w:color w:val="auto"/>
          <w:sz w:val="36"/>
          <w:szCs w:val="36"/>
        </w:rPr>
      </w:pPr>
    </w:p>
    <w:p>
      <w:pPr>
        <w:pStyle w:val="27"/>
        <w:ind w:firstLine="0" w:firstLineChars="0"/>
        <w:rPr>
          <w:rFonts w:ascii="仿宋" w:hAnsi="仿宋" w:eastAsia="仿宋" w:cs="仿宋"/>
          <w:b/>
          <w:color w:val="auto"/>
          <w:sz w:val="36"/>
          <w:szCs w:val="36"/>
        </w:rPr>
      </w:pPr>
    </w:p>
    <w:p>
      <w:pPr>
        <w:spacing w:line="288" w:lineRule="auto"/>
        <w:jc w:val="center"/>
        <w:outlineLvl w:val="0"/>
        <w:rPr>
          <w:rFonts w:ascii="仿宋" w:hAnsi="仿宋" w:eastAsia="仿宋" w:cs="仿宋"/>
          <w:b/>
          <w:color w:val="auto"/>
          <w:sz w:val="36"/>
          <w:szCs w:val="36"/>
        </w:rPr>
      </w:pPr>
    </w:p>
    <w:p>
      <w:pPr>
        <w:spacing w:line="288"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第五部分 评标办法及评分标准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color w:val="auto"/>
          <w:sz w:val="36"/>
          <w:szCs w:val="20"/>
        </w:rPr>
      </w:pPr>
    </w:p>
    <w:p>
      <w:pPr>
        <w:pStyle w:val="15"/>
        <w:spacing w:line="360" w:lineRule="auto"/>
        <w:jc w:val="left"/>
        <w:rPr>
          <w:rFonts w:ascii="仿宋" w:hAnsi="仿宋" w:eastAsia="仿宋"/>
          <w:color w:val="auto"/>
          <w:sz w:val="24"/>
          <w:szCs w:val="24"/>
        </w:rPr>
      </w:pPr>
      <w:r>
        <w:rPr>
          <w:rFonts w:ascii="FangSong_GB2312" w:hAnsi="宋体" w:eastAsia="FangSong_GB2312" w:cs="FangSong_GB2312"/>
          <w:b/>
          <w:bCs/>
          <w:color w:val="auto"/>
          <w:sz w:val="24"/>
          <w:szCs w:val="24"/>
        </w:rPr>
        <w:t>1</w:t>
      </w:r>
      <w:r>
        <w:rPr>
          <w:rFonts w:hint="eastAsia" w:ascii="FangSong_GB2312" w:hAnsi="宋体" w:eastAsia="FangSong_GB2312" w:cs="FangSong_GB2312"/>
          <w:b/>
          <w:bCs/>
          <w:color w:val="auto"/>
          <w:sz w:val="24"/>
          <w:szCs w:val="24"/>
        </w:rPr>
        <w:t>、（01标-03标）</w:t>
      </w:r>
      <w:r>
        <w:rPr>
          <w:rFonts w:hint="eastAsia" w:ascii="仿宋" w:hAnsi="仿宋" w:eastAsia="仿宋" w:cs="仿宋"/>
          <w:b/>
          <w:bCs/>
          <w:color w:val="auto"/>
          <w:sz w:val="24"/>
          <w:szCs w:val="24"/>
        </w:rPr>
        <w:t>评标方法：</w:t>
      </w:r>
      <w:r>
        <w:rPr>
          <w:rFonts w:hint="eastAsia" w:ascii="仿宋" w:hAnsi="仿宋" w:eastAsia="仿宋" w:cs="仿宋"/>
          <w:color w:val="auto"/>
          <w:sz w:val="24"/>
          <w:szCs w:val="24"/>
        </w:rPr>
        <w:t>采用最低评标价法，即在最大限度满足招标文件实质性要求前提下，由评标委员会对各投标人资格、报价、服务承诺等各方面进行符合性评审。符合性评审完，对所有有效报价从低到高顺序确定报价最低者为中标单位。最低者有效最低报价出现相同的，抽签决定中标</w:t>
      </w:r>
      <w:r>
        <w:rPr>
          <w:rFonts w:hint="eastAsia" w:ascii="Times New Roman" w:hAnsi="Times New Roman" w:eastAsia="仿宋" w:cs="仿宋"/>
          <w:color w:val="auto"/>
          <w:sz w:val="24"/>
          <w:szCs w:val="24"/>
        </w:rPr>
        <w:t>单位</w:t>
      </w:r>
      <w:r>
        <w:rPr>
          <w:rFonts w:hint="eastAsia" w:ascii="仿宋" w:hAnsi="仿宋" w:eastAsia="仿宋" w:cs="仿宋"/>
          <w:color w:val="auto"/>
          <w:sz w:val="24"/>
          <w:szCs w:val="24"/>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color w:val="auto"/>
          <w:sz w:val="36"/>
          <w:szCs w:val="20"/>
        </w:rPr>
      </w:pPr>
      <w:r>
        <w:rPr>
          <w:rFonts w:hint="eastAsia" w:ascii="仿宋" w:hAnsi="仿宋" w:eastAsia="仿宋" w:cs="仿宋"/>
          <w:b/>
          <w:color w:val="auto"/>
          <w:sz w:val="36"/>
          <w:szCs w:val="20"/>
        </w:rPr>
        <w:br w:type="page"/>
      </w:r>
      <w:bookmarkStart w:id="9" w:name="_Toc465665161"/>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288" w:lineRule="auto"/>
        <w:ind w:firstLine="480" w:firstLineChars="200"/>
        <w:outlineLvl w:val="0"/>
        <w:rPr>
          <w:rFonts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投标人按照以下格式编制投标文件，并将报价文件、商务技术（资信）文件分别装订成册。</w:t>
      </w:r>
    </w:p>
    <w:p>
      <w:pPr>
        <w:spacing w:line="288" w:lineRule="auto"/>
        <w:ind w:firstLine="480" w:firstLineChars="200"/>
        <w:outlineLvl w:val="0"/>
        <w:rPr>
          <w:rFonts w:ascii="仿宋" w:hAnsi="仿宋" w:eastAsia="仿宋" w:cs="仿宋"/>
          <w:color w:val="auto"/>
          <w:sz w:val="24"/>
        </w:rPr>
      </w:pPr>
    </w:p>
    <w:p>
      <w:pPr>
        <w:spacing w:line="288" w:lineRule="auto"/>
        <w:ind w:firstLine="480" w:firstLineChars="200"/>
        <w:outlineLvl w:val="0"/>
        <w:rPr>
          <w:rFonts w:ascii="仿宋" w:hAnsi="仿宋" w:eastAsia="仿宋" w:cs="仿宋"/>
          <w:color w:val="auto"/>
          <w:sz w:val="24"/>
        </w:rPr>
      </w:pPr>
    </w:p>
    <w:p>
      <w:pPr>
        <w:spacing w:line="288" w:lineRule="auto"/>
        <w:ind w:firstLine="480" w:firstLineChars="200"/>
        <w:outlineLvl w:val="0"/>
        <w:rPr>
          <w:rFonts w:ascii="仿宋" w:hAnsi="仿宋" w:eastAsia="仿宋" w:cs="仿宋"/>
          <w:color w:val="auto"/>
          <w:sz w:val="24"/>
        </w:rPr>
      </w:pPr>
    </w:p>
    <w:p>
      <w:pPr>
        <w:spacing w:line="288" w:lineRule="auto"/>
        <w:ind w:firstLine="480" w:firstLineChars="200"/>
        <w:outlineLvl w:val="0"/>
        <w:rPr>
          <w:rFonts w:ascii="仿宋" w:hAnsi="仿宋" w:eastAsia="仿宋" w:cs="仿宋"/>
          <w:color w:val="auto"/>
          <w:sz w:val="24"/>
        </w:rPr>
      </w:pPr>
    </w:p>
    <w:p>
      <w:pPr>
        <w:spacing w:line="288" w:lineRule="auto"/>
        <w:ind w:firstLine="480" w:firstLineChars="200"/>
        <w:outlineLvl w:val="0"/>
        <w:rPr>
          <w:rFonts w:ascii="仿宋" w:hAnsi="仿宋" w:eastAsia="仿宋" w:cs="仿宋"/>
          <w:color w:val="auto"/>
          <w:sz w:val="24"/>
        </w:rPr>
      </w:pPr>
    </w:p>
    <w:p>
      <w:pPr>
        <w:snapToGrid w:val="0"/>
        <w:spacing w:line="288"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288" w:lineRule="auto"/>
        <w:jc w:val="center"/>
        <w:outlineLvl w:val="0"/>
        <w:rPr>
          <w:rFonts w:ascii="仿宋" w:hAnsi="仿宋" w:eastAsia="仿宋" w:cs="仿宋"/>
          <w:b/>
          <w:color w:val="auto"/>
          <w:kern w:val="0"/>
          <w:sz w:val="24"/>
        </w:rPr>
      </w:pPr>
    </w:p>
    <w:p>
      <w:pPr>
        <w:spacing w:line="288"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spacing w:line="288" w:lineRule="auto"/>
        <w:ind w:left="2" w:firstLine="480" w:firstLineChars="200"/>
        <w:rPr>
          <w:rFonts w:ascii="仿宋" w:hAnsi="仿宋" w:eastAsia="仿宋" w:cs="仿宋"/>
          <w:color w:val="auto"/>
          <w:kern w:val="0"/>
          <w:sz w:val="24"/>
        </w:rPr>
      </w:pPr>
    </w:p>
    <w:p>
      <w:pPr>
        <w:spacing w:line="288" w:lineRule="auto"/>
        <w:ind w:left="2" w:firstLine="480" w:firstLineChars="200"/>
        <w:rPr>
          <w:rFonts w:ascii="仿宋" w:hAnsi="仿宋" w:eastAsia="仿宋" w:cs="仿宋"/>
          <w:color w:val="auto"/>
          <w:kern w:val="0"/>
          <w:sz w:val="24"/>
        </w:rPr>
      </w:pPr>
    </w:p>
    <w:p>
      <w:pPr>
        <w:spacing w:line="288" w:lineRule="auto"/>
        <w:ind w:left="2" w:firstLine="480" w:firstLineChars="200"/>
        <w:rPr>
          <w:rFonts w:ascii="仿宋" w:hAnsi="仿宋" w:eastAsia="仿宋" w:cs="仿宋"/>
          <w:color w:val="auto"/>
          <w:kern w:val="0"/>
          <w:sz w:val="24"/>
        </w:rPr>
      </w:pPr>
    </w:p>
    <w:p>
      <w:pPr>
        <w:spacing w:line="288" w:lineRule="auto"/>
        <w:ind w:left="2" w:firstLine="480" w:firstLineChars="200"/>
        <w:rPr>
          <w:rFonts w:ascii="仿宋" w:hAnsi="仿宋" w:eastAsia="仿宋" w:cs="仿宋"/>
          <w:color w:val="auto"/>
          <w:sz w:val="24"/>
        </w:rPr>
      </w:pPr>
    </w:p>
    <w:p>
      <w:pPr>
        <w:pStyle w:val="13"/>
        <w:spacing w:line="288" w:lineRule="auto"/>
        <w:ind w:left="0" w:leftChars="0"/>
        <w:rPr>
          <w:rFonts w:ascii="仿宋" w:hAnsi="仿宋" w:eastAsia="仿宋" w:cs="仿宋"/>
          <w:b/>
          <w:color w:val="auto"/>
          <w:sz w:val="36"/>
          <w:szCs w:val="36"/>
        </w:rPr>
      </w:pPr>
    </w:p>
    <w:p>
      <w:pPr>
        <w:pStyle w:val="13"/>
        <w:spacing w:line="288" w:lineRule="auto"/>
        <w:ind w:left="0" w:leftChars="0"/>
        <w:rPr>
          <w:rFonts w:ascii="仿宋" w:hAnsi="仿宋" w:eastAsia="仿宋" w:cs="仿宋"/>
          <w:b/>
          <w:color w:val="auto"/>
          <w:sz w:val="36"/>
          <w:szCs w:val="36"/>
        </w:rPr>
      </w:pPr>
    </w:p>
    <w:p>
      <w:pPr>
        <w:pStyle w:val="13"/>
        <w:spacing w:line="288" w:lineRule="auto"/>
        <w:ind w:left="0" w:leftChars="0"/>
        <w:rPr>
          <w:rFonts w:ascii="仿宋" w:hAnsi="仿宋" w:eastAsia="仿宋" w:cs="仿宋"/>
          <w:b/>
          <w:color w:val="auto"/>
          <w:sz w:val="36"/>
          <w:szCs w:val="36"/>
        </w:rPr>
      </w:pPr>
    </w:p>
    <w:p>
      <w:pPr>
        <w:pStyle w:val="13"/>
        <w:spacing w:line="288" w:lineRule="auto"/>
        <w:ind w:left="0" w:leftChars="0"/>
        <w:rPr>
          <w:rFonts w:ascii="仿宋" w:hAnsi="仿宋" w:eastAsia="仿宋" w:cs="仿宋"/>
          <w:b/>
          <w:color w:val="auto"/>
          <w:sz w:val="36"/>
          <w:szCs w:val="36"/>
        </w:rPr>
      </w:pPr>
    </w:p>
    <w:p>
      <w:pPr>
        <w:spacing w:line="288" w:lineRule="auto"/>
        <w:rPr>
          <w:rFonts w:ascii="仿宋" w:hAnsi="仿宋" w:eastAsia="仿宋" w:cs="仿宋"/>
          <w:b/>
          <w:color w:val="auto"/>
          <w:sz w:val="30"/>
          <w:szCs w:val="30"/>
        </w:rPr>
      </w:pPr>
    </w:p>
    <w:p>
      <w:pPr>
        <w:pageBreakBefore/>
        <w:spacing w:line="288" w:lineRule="auto"/>
        <w:rPr>
          <w:rFonts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4"/>
        <w:spacing w:afterLines="0" w:line="288" w:lineRule="auto"/>
        <w:ind w:firstLine="0" w:firstLineChars="0"/>
        <w:rPr>
          <w:rFonts w:ascii="仿宋" w:hAnsi="仿宋" w:eastAsia="仿宋" w:cs="仿宋"/>
          <w:color w:val="auto"/>
          <w:szCs w:val="24"/>
        </w:rPr>
      </w:pPr>
    </w:p>
    <w:p>
      <w:pPr>
        <w:pStyle w:val="64"/>
        <w:spacing w:afterLines="0" w:line="288"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绍兴市公安局、耀华建设管理有限公司</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）的要求，正式授权下述签字人</w:t>
      </w:r>
      <w:r>
        <w:rPr>
          <w:rFonts w:hint="eastAsia" w:ascii="仿宋" w:hAnsi="仿宋" w:eastAsia="仿宋" w:cs="仿宋"/>
          <w:b/>
          <w:color w:val="auto"/>
          <w:szCs w:val="24"/>
          <w:u w:val="single"/>
        </w:rPr>
        <w:t>（填写姓名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我方已完全明白招标文件的所有条款要求，兹宣布同意如下：</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1.承诺按标书和合同的规定履行责任和义务。</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(1)具有独立承担民事责任的能力；</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(2)遵守国家法律、行政法规，具有良好的信誉和商业道德；</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(3)具有履行合同的能力和良好的履行合同记录；</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(4)良好的资金、财务状况；</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(5)产品及生产所需装备符合中国政府规定的相应技术标准和环保标准；</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(6)没有违反政府采购法规、政策的记录；</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(7)没有发生重大经济纠纷和走私犯罪记录。</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3. 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4.我单位保证所供货物质量符合国家强制性规范和标准，达到招标文件规定的要求；</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5.我方理解贵方将不受你们所收到的最低报价或其它任何投标文件的约束；</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6.本投标自开标之日（投标截止之日）起60天内有效，如中标，有效期将延至合同终止日为止。</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7.我方承诺完全遵守和满足招标文件供货日期(完工日期)和所投产品(服务)的质保期(免费保修期)要求。</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8.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a)提供虚假材料谋取中标、成交的；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b)采取不正当手段诋毁、排挤其他供应商的；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c)与采购人、其它供应商或者采购代理机构恶意串通的；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d)向采购人、采购代理机构行贿或者提供其他不正当利益的；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e)在招标采购过程中与采购人进行协商谈判的；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f)拒绝有关部门监督检查或提供虚假情况的。</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供应商有前款第a)至e)项情形之一的，中标、成交无效。</w:t>
      </w:r>
    </w:p>
    <w:p>
      <w:pPr>
        <w:pStyle w:val="64"/>
        <w:spacing w:afterLines="0" w:line="288" w:lineRule="auto"/>
        <w:ind w:firstLine="480"/>
        <w:rPr>
          <w:rFonts w:ascii="仿宋" w:hAnsi="仿宋" w:eastAsia="仿宋" w:cs="仿宋"/>
          <w:color w:val="auto"/>
          <w:szCs w:val="24"/>
        </w:rPr>
      </w:pPr>
    </w:p>
    <w:p>
      <w:pPr>
        <w:pStyle w:val="64"/>
        <w:spacing w:afterLines="0" w:line="288" w:lineRule="auto"/>
        <w:ind w:firstLine="480"/>
        <w:rPr>
          <w:rFonts w:ascii="仿宋" w:hAnsi="仿宋" w:eastAsia="仿宋" w:cs="仿宋"/>
          <w:color w:val="auto"/>
          <w:szCs w:val="24"/>
        </w:rPr>
      </w:pP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法定代表人或其授权代表(签字或签章)：</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 xml:space="preserve">投标人(电子签章)：　　　　　　　　　　　　　　　　　　　　日期：     </w:t>
      </w:r>
    </w:p>
    <w:p>
      <w:pPr>
        <w:pStyle w:val="64"/>
        <w:spacing w:afterLines="0" w:line="288" w:lineRule="auto"/>
        <w:ind w:firstLine="480"/>
        <w:rPr>
          <w:rFonts w:ascii="仿宋" w:hAnsi="仿宋" w:eastAsia="仿宋" w:cs="仿宋"/>
          <w:color w:val="auto"/>
          <w:szCs w:val="24"/>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pageBreakBefore/>
        <w:spacing w:line="288" w:lineRule="auto"/>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288" w:lineRule="auto"/>
        <w:rPr>
          <w:rFonts w:ascii="仿宋" w:hAnsi="仿宋" w:eastAsia="仿宋" w:cs="仿宋"/>
          <w:color w:val="auto"/>
          <w:sz w:val="24"/>
        </w:rPr>
      </w:pPr>
    </w:p>
    <w:p>
      <w:pPr>
        <w:spacing w:line="288" w:lineRule="auto"/>
        <w:rPr>
          <w:rFonts w:ascii="仿宋" w:hAnsi="仿宋" w:eastAsia="仿宋" w:cs="仿宋"/>
          <w:color w:val="auto"/>
          <w:sz w:val="24"/>
        </w:rPr>
      </w:pPr>
      <w:r>
        <w:rPr>
          <w:rFonts w:hint="eastAsia" w:ascii="仿宋" w:hAnsi="仿宋" w:eastAsia="仿宋" w:cs="仿宋"/>
          <w:color w:val="auto"/>
          <w:sz w:val="24"/>
        </w:rPr>
        <w:t>投标人名称：</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标    项：</w:t>
      </w:r>
    </w:p>
    <w:p>
      <w:pPr>
        <w:snapToGrid w:val="0"/>
        <w:spacing w:line="288" w:lineRule="auto"/>
        <w:rPr>
          <w:rFonts w:ascii="仿宋" w:hAnsi="仿宋" w:eastAsia="仿宋" w:cs="仿宋"/>
          <w:color w:val="auto"/>
          <w:sz w:val="24"/>
          <w:u w:val="single"/>
        </w:rPr>
      </w:pPr>
      <w:r>
        <w:rPr>
          <w:rFonts w:hint="eastAsia" w:ascii="仿宋" w:hAnsi="仿宋" w:eastAsia="仿宋" w:cs="仿宋"/>
          <w:color w:val="auto"/>
          <w:sz w:val="24"/>
        </w:rPr>
        <w:t>招标编号：</w:t>
      </w:r>
    </w:p>
    <w:p>
      <w:pPr>
        <w:spacing w:line="288" w:lineRule="auto"/>
        <w:jc w:val="left"/>
        <w:rPr>
          <w:rFonts w:ascii="仿宋" w:hAnsi="仿宋" w:eastAsia="仿宋" w:cs="仿宋"/>
          <w:color w:val="auto"/>
          <w:sz w:val="24"/>
        </w:rPr>
      </w:pPr>
      <w:r>
        <w:rPr>
          <w:rFonts w:hint="eastAsia" w:ascii="仿宋" w:hAnsi="仿宋" w:eastAsia="仿宋" w:cs="仿宋"/>
          <w:color w:val="auto"/>
          <w:sz w:val="24"/>
        </w:rPr>
        <w:t xml:space="preserve">                                                            单位：元</w:t>
      </w:r>
    </w:p>
    <w:tbl>
      <w:tblPr>
        <w:tblStyle w:val="28"/>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r>
              <w:rPr>
                <w:rFonts w:hint="eastAsia" w:ascii="仿宋" w:hAnsi="仿宋" w:eastAsia="仿宋" w:cs="仿宋"/>
                <w:b/>
                <w:color w:val="auto"/>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color w:val="auto"/>
                <w:spacing w:val="20"/>
                <w:sz w:val="24"/>
              </w:rPr>
            </w:pPr>
            <w:r>
              <w:rPr>
                <w:rFonts w:hint="eastAsia" w:ascii="仿宋" w:hAnsi="仿宋" w:eastAsia="仿宋" w:cs="仿宋"/>
                <w:b/>
                <w:color w:val="auto"/>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color w:val="auto"/>
                <w:spacing w:val="20"/>
                <w:sz w:val="24"/>
              </w:rPr>
            </w:pPr>
            <w:r>
              <w:rPr>
                <w:rFonts w:hint="eastAsia" w:ascii="仿宋" w:hAnsi="仿宋" w:eastAsia="仿宋" w:cs="仿宋"/>
                <w:color w:val="auto"/>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color w:val="auto"/>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bl>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spacing w:line="288" w:lineRule="auto"/>
        <w:ind w:left="480"/>
        <w:rPr>
          <w:rFonts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在“规格型号（或具体服务）”一栏中，货物类项目填写规格型号，服务类项目填写具体服务。</w:t>
      </w:r>
      <w:r>
        <w:rPr>
          <w:rFonts w:hint="eastAsia" w:ascii="仿宋" w:hAnsi="仿宋" w:eastAsia="仿宋" w:cs="仿宋"/>
          <w:b/>
          <w:color w:val="auto"/>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color w:val="auto"/>
          <w:kern w:val="0"/>
          <w:sz w:val="24"/>
          <w:lang w:val="zh-CN"/>
        </w:rPr>
      </w:pPr>
      <w:r>
        <w:rPr>
          <w:rFonts w:hint="eastAsia" w:ascii="仿宋" w:hAnsi="仿宋" w:eastAsia="仿宋" w:cs="仿宋"/>
          <w:b/>
          <w:color w:val="auto"/>
          <w:sz w:val="24"/>
        </w:rPr>
        <w:t>6、</w:t>
      </w:r>
      <w:r>
        <w:rPr>
          <w:rFonts w:hint="eastAsia" w:ascii="仿宋" w:hAnsi="仿宋" w:eastAsia="仿宋" w:cs="仿宋"/>
          <w:color w:val="auto"/>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7.特别提示：采购代理机构将对</w:t>
      </w:r>
      <w:r>
        <w:rPr>
          <w:rFonts w:hint="eastAsia" w:ascii="仿宋" w:hAnsi="仿宋" w:eastAsia="仿宋" w:cs="仿宋"/>
          <w:b/>
          <w:color w:val="auto"/>
          <w:kern w:val="0"/>
          <w:sz w:val="24"/>
        </w:rPr>
        <w:t>项目名称和项目编号，中标供应商名称、地址和中标金额，主要中标标的的名称、规格型号、数量、单价、服务要求等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288" w:lineRule="auto"/>
        <w:ind w:right="-817" w:rightChars="-389"/>
        <w:rPr>
          <w:rFonts w:ascii="仿宋" w:hAnsi="仿宋" w:eastAsia="仿宋" w:cs="仿宋"/>
          <w:color w:val="auto"/>
          <w:sz w:val="24"/>
        </w:rPr>
      </w:pPr>
    </w:p>
    <w:p>
      <w:pPr>
        <w:spacing w:line="288" w:lineRule="auto"/>
        <w:ind w:right="-817" w:rightChars="-389"/>
        <w:rPr>
          <w:rFonts w:ascii="仿宋" w:hAnsi="仿宋" w:eastAsia="仿宋" w:cs="仿宋"/>
          <w:color w:val="auto"/>
          <w:sz w:val="24"/>
        </w:rPr>
      </w:pPr>
      <w:r>
        <w:rPr>
          <w:rFonts w:hint="eastAsia" w:ascii="仿宋" w:hAnsi="仿宋" w:eastAsia="仿宋" w:cs="仿宋"/>
          <w:color w:val="auto"/>
          <w:sz w:val="24"/>
        </w:rPr>
        <w:t>投标人名称(电子签章)：</w:t>
      </w:r>
    </w:p>
    <w:p>
      <w:pPr>
        <w:spacing w:line="288" w:lineRule="auto"/>
        <w:jc w:val="center"/>
        <w:outlineLvl w:val="0"/>
        <w:rPr>
          <w:rFonts w:ascii="仿宋" w:hAnsi="仿宋" w:eastAsia="仿宋" w:cs="仿宋"/>
          <w:color w:val="auto"/>
          <w:sz w:val="24"/>
        </w:rPr>
      </w:pPr>
    </w:p>
    <w:p>
      <w:pPr>
        <w:spacing w:line="288" w:lineRule="auto"/>
        <w:outlineLvl w:val="0"/>
        <w:rPr>
          <w:rFonts w:ascii="仿宋" w:hAnsi="仿宋" w:eastAsia="仿宋" w:cs="仿宋"/>
          <w:color w:val="auto"/>
          <w:sz w:val="24"/>
        </w:rPr>
      </w:pPr>
      <w:r>
        <w:rPr>
          <w:rFonts w:hint="eastAsia" w:ascii="仿宋" w:hAnsi="仿宋" w:eastAsia="仿宋" w:cs="仿宋"/>
          <w:color w:val="auto"/>
          <w:sz w:val="24"/>
        </w:rPr>
        <w:t xml:space="preserve">法定代表人或其授权代表（签字或盖章）：            </w:t>
      </w:r>
    </w:p>
    <w:p>
      <w:pPr>
        <w:spacing w:line="288" w:lineRule="auto"/>
        <w:outlineLvl w:val="0"/>
        <w:rPr>
          <w:rFonts w:ascii="仿宋" w:hAnsi="仿宋" w:eastAsia="仿宋" w:cs="仿宋"/>
          <w:color w:val="auto"/>
          <w:sz w:val="24"/>
        </w:rPr>
      </w:pPr>
    </w:p>
    <w:p>
      <w:pPr>
        <w:spacing w:line="288" w:lineRule="auto"/>
        <w:ind w:right="420" w:firstLine="5520" w:firstLineChars="2300"/>
        <w:jc w:val="right"/>
        <w:rPr>
          <w:rFonts w:ascii="仿宋" w:hAnsi="仿宋" w:eastAsia="仿宋" w:cs="仿宋"/>
          <w:color w:val="auto"/>
          <w:sz w:val="24"/>
        </w:rPr>
      </w:pPr>
      <w:r>
        <w:rPr>
          <w:rFonts w:hint="eastAsia" w:ascii="仿宋" w:hAnsi="仿宋" w:eastAsia="仿宋" w:cs="仿宋"/>
          <w:color w:val="auto"/>
          <w:sz w:val="24"/>
        </w:rPr>
        <w:t>日期： 年  月  日</w:t>
      </w:r>
    </w:p>
    <w:p>
      <w:pPr>
        <w:pageBreakBefore/>
        <w:rPr>
          <w:rFonts w:ascii="仿宋_GB2312" w:hAnsi="仿宋_GB2312" w:eastAsia="仿宋_GB2312" w:cs="仿宋_GB2312"/>
          <w:b/>
          <w:color w:val="auto"/>
          <w:sz w:val="32"/>
          <w:szCs w:val="32"/>
        </w:rPr>
      </w:pPr>
      <w:r>
        <w:rPr>
          <w:rFonts w:hint="eastAsia" w:ascii="仿宋_GB2312" w:eastAsia="仿宋_GB2312"/>
          <w:b/>
          <w:color w:val="auto"/>
          <w:sz w:val="32"/>
          <w:szCs w:val="32"/>
        </w:rPr>
        <w:t>3、中小企业声明函</w:t>
      </w:r>
    </w:p>
    <w:p>
      <w:pPr>
        <w:rPr>
          <w:rFonts w:ascii="仿宋_GB2312" w:eastAsia="仿宋_GB2312"/>
          <w:color w:val="auto"/>
        </w:rPr>
      </w:pPr>
    </w:p>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本公司郑重声明，根据《政府采购促进中小企业发展暂行办法》（财库[2011]181号）的规定，本公司为</w:t>
      </w:r>
      <w:r>
        <w:rPr>
          <w:rFonts w:hint="eastAsia" w:ascii="仿宋_GB2312" w:hAnsi="仿宋_GB2312" w:eastAsia="仿宋_GB2312" w:cs="仿宋_GB2312"/>
          <w:color w:val="auto"/>
          <w:sz w:val="24"/>
          <w:u w:val="single"/>
        </w:rPr>
        <w:t xml:space="preserve">      （请填写：中型、小型、微型）</w:t>
      </w:r>
      <w:r>
        <w:rPr>
          <w:rFonts w:hint="eastAsia" w:ascii="仿宋_GB2312" w:hAnsi="仿宋_GB2312" w:eastAsia="仿宋_GB2312" w:cs="仿宋_GB2312"/>
          <w:color w:val="auto"/>
          <w:sz w:val="24"/>
        </w:rPr>
        <w:t>企业。即，本公司同时满足以下条件：</w:t>
      </w:r>
    </w:p>
    <w:p>
      <w:pPr>
        <w:rPr>
          <w:rFonts w:ascii="仿宋_GB2312" w:hAnsi="仿宋_GB2312" w:eastAsia="仿宋_GB2312" w:cs="仿宋_GB2312"/>
          <w:color w:val="auto"/>
          <w:sz w:val="24"/>
        </w:rPr>
      </w:pPr>
    </w:p>
    <w:p>
      <w:pPr>
        <w:pStyle w:val="76"/>
        <w:widowControl/>
        <w:numPr>
          <w:ilvl w:val="0"/>
          <w:numId w:val="8"/>
        </w:numPr>
        <w:adjustRightInd/>
        <w:spacing w:line="240" w:lineRule="auto"/>
        <w:ind w:firstLineChars="0"/>
        <w:rPr>
          <w:rFonts w:ascii="仿宋_GB2312" w:hAnsi="仿宋_GB2312" w:eastAsia="仿宋_GB2312" w:cs="仿宋_GB2312"/>
          <w:color w:val="auto"/>
        </w:rPr>
      </w:pPr>
      <w:r>
        <w:rPr>
          <w:rFonts w:hint="eastAsia" w:ascii="仿宋_GB2312" w:hAnsi="仿宋_GB2312" w:eastAsia="仿宋_GB2312" w:cs="仿宋_GB2312"/>
          <w:color w:val="auto"/>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auto"/>
          <w:u w:val="single"/>
        </w:rPr>
        <w:t xml:space="preserve">   （请填写：中型、小型、微型）</w:t>
      </w:r>
      <w:r>
        <w:rPr>
          <w:rFonts w:hint="eastAsia" w:ascii="仿宋_GB2312" w:hAnsi="仿宋_GB2312" w:eastAsia="仿宋_GB2312" w:cs="仿宋_GB2312"/>
          <w:color w:val="auto"/>
        </w:rPr>
        <w:t>企业。</w:t>
      </w:r>
    </w:p>
    <w:p>
      <w:pPr>
        <w:pStyle w:val="76"/>
        <w:widowControl/>
        <w:numPr>
          <w:ilvl w:val="0"/>
          <w:numId w:val="8"/>
        </w:numPr>
        <w:adjustRightInd/>
        <w:spacing w:line="240" w:lineRule="auto"/>
        <w:ind w:firstLineChars="0"/>
        <w:rPr>
          <w:rFonts w:ascii="仿宋_GB2312" w:hAnsi="仿宋_GB2312" w:eastAsia="仿宋_GB2312" w:cs="仿宋_GB2312"/>
          <w:color w:val="auto"/>
        </w:rPr>
      </w:pPr>
      <w:r>
        <w:rPr>
          <w:rFonts w:hint="eastAsia" w:ascii="仿宋_GB2312" w:hAnsi="仿宋_GB2312" w:eastAsia="仿宋_GB2312" w:cs="仿宋_GB2312"/>
          <w:color w:val="auto"/>
        </w:rPr>
        <w:t>本公司参加</w:t>
      </w:r>
      <w:r>
        <w:rPr>
          <w:rFonts w:hint="eastAsia" w:ascii="仿宋_GB2312" w:hAnsi="仿宋_GB2312" w:eastAsia="仿宋_GB2312" w:cs="仿宋_GB2312"/>
          <w:color w:val="auto"/>
          <w:u w:val="single"/>
        </w:rPr>
        <w:t>绍兴市</w:t>
      </w:r>
      <w:r>
        <w:rPr>
          <w:rFonts w:hint="eastAsia" w:ascii="仿宋_GB2312" w:hAnsi="仿宋_GB2312" w:eastAsia="仿宋_GB2312" w:cs="仿宋_GB2312"/>
          <w:color w:val="auto"/>
          <w:u w:val="single"/>
          <w:lang w:eastAsia="zh-CN"/>
        </w:rPr>
        <w:t>公安局</w:t>
      </w:r>
      <w:r>
        <w:rPr>
          <w:rFonts w:hint="eastAsia" w:ascii="仿宋_GB2312" w:hAnsi="仿宋_GB2312" w:eastAsia="仿宋_GB2312" w:cs="仿宋_GB2312"/>
          <w:color w:val="auto"/>
        </w:rPr>
        <w:t>的</w:t>
      </w:r>
      <w:r>
        <w:rPr>
          <w:rFonts w:hint="eastAsia" w:ascii="仿宋_GB2312" w:hAnsi="仿宋_GB2312" w:eastAsia="仿宋_GB2312" w:cs="仿宋_GB2312"/>
          <w:color w:val="auto"/>
          <w:u w:val="single"/>
        </w:rPr>
        <w:t>**平台***模块维护、市公安局电脑网络设备维护、桌面云硬件维保项目</w:t>
      </w:r>
      <w:r>
        <w:rPr>
          <w:rFonts w:hint="eastAsia" w:ascii="仿宋_GB2312" w:hAnsi="仿宋_GB2312" w:eastAsia="仿宋_GB2312" w:cs="仿宋_GB2312"/>
          <w:color w:val="auto"/>
        </w:rPr>
        <w:t xml:space="preserve">采购活动提供本企业制造的货物，由本企业承担工程、提供服务，或者提供其他 </w:t>
      </w:r>
      <w:r>
        <w:rPr>
          <w:rFonts w:hint="eastAsia" w:ascii="仿宋_GB2312" w:hAnsi="仿宋_GB2312" w:eastAsia="仿宋_GB2312" w:cs="仿宋_GB2312"/>
          <w:color w:val="auto"/>
          <w:u w:val="single"/>
        </w:rPr>
        <w:t xml:space="preserve">        （请填写：中型、小型、微型）</w:t>
      </w:r>
      <w:r>
        <w:rPr>
          <w:rFonts w:hint="eastAsia" w:ascii="仿宋_GB2312" w:hAnsi="仿宋_GB2312" w:eastAsia="仿宋_GB2312" w:cs="仿宋_GB2312"/>
          <w:color w:val="auto"/>
        </w:rPr>
        <w:t>企业制造的货物。本条所称货物不包括使用大型企业注册商标的货物。</w:t>
      </w:r>
    </w:p>
    <w:p>
      <w:pPr>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本公司对上述声明的真实性负责。如有虚假，将依法承担相应责任。</w:t>
      </w:r>
    </w:p>
    <w:p>
      <w:pPr>
        <w:jc w:val="righ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p>
    <w:p>
      <w:pPr>
        <w:ind w:right="420" w:firstLine="5880" w:firstLineChars="2450"/>
        <w:jc w:val="right"/>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声明企业（盖章）： </w:t>
      </w:r>
    </w:p>
    <w:p>
      <w:pPr>
        <w:ind w:right="420"/>
        <w:jc w:val="right"/>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eastAsia="仿宋_GB2312"/>
          <w:color w:val="auto"/>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1、投标人提供的中小企业声明函与实际情况不符的，视为投标人提供虚假材料投标的，投标无效。</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288" w:lineRule="auto"/>
        <w:rPr>
          <w:rFonts w:ascii="仿宋" w:hAnsi="仿宋" w:eastAsia="仿宋" w:cs="仿宋"/>
          <w:b/>
          <w:color w:val="auto"/>
          <w:spacing w:val="6"/>
          <w:sz w:val="30"/>
          <w:szCs w:val="30"/>
        </w:rPr>
      </w:pP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z w:val="24"/>
          <w:u w:val="single"/>
        </w:rPr>
        <w:t>绍兴市公安局</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288" w:lineRule="auto"/>
        <w:ind w:firstLine="480" w:firstLineChars="200"/>
        <w:rPr>
          <w:rFonts w:ascii="仿宋" w:hAnsi="仿宋" w:eastAsia="仿宋" w:cs="仿宋"/>
          <w:color w:val="auto"/>
          <w:sz w:val="24"/>
        </w:rPr>
      </w:pPr>
    </w:p>
    <w:p>
      <w:pPr>
        <w:spacing w:line="288" w:lineRule="auto"/>
        <w:ind w:firstLine="480" w:firstLineChars="200"/>
        <w:rPr>
          <w:rFonts w:ascii="仿宋" w:hAnsi="仿宋" w:eastAsia="仿宋" w:cs="仿宋"/>
          <w:color w:val="auto"/>
          <w:sz w:val="24"/>
        </w:rPr>
      </w:pPr>
    </w:p>
    <w:p>
      <w:pPr>
        <w:tabs>
          <w:tab w:val="left" w:pos="4860"/>
        </w:tabs>
        <w:spacing w:line="288" w:lineRule="auto"/>
        <w:ind w:right="1560"/>
        <w:rPr>
          <w:rFonts w:ascii="仿宋" w:hAnsi="仿宋" w:eastAsia="仿宋" w:cs="仿宋"/>
          <w:color w:val="auto"/>
          <w:sz w:val="24"/>
        </w:rPr>
      </w:pPr>
      <w:r>
        <w:rPr>
          <w:rFonts w:hint="eastAsia" w:ascii="仿宋" w:hAnsi="仿宋" w:eastAsia="仿宋" w:cs="仿宋"/>
          <w:color w:val="auto"/>
          <w:sz w:val="24"/>
        </w:rPr>
        <w:t>单位名称(电子签章)：</w:t>
      </w:r>
    </w:p>
    <w:p>
      <w:pPr>
        <w:spacing w:line="288" w:lineRule="auto"/>
        <w:ind w:right="420" w:firstLine="5520" w:firstLineChars="2300"/>
        <w:jc w:val="center"/>
        <w:rPr>
          <w:rFonts w:ascii="仿宋" w:hAnsi="仿宋" w:eastAsia="仿宋" w:cs="仿宋"/>
          <w:color w:val="auto"/>
          <w:sz w:val="24"/>
        </w:rPr>
      </w:pPr>
      <w:r>
        <w:rPr>
          <w:rFonts w:hint="eastAsia" w:ascii="仿宋" w:hAnsi="仿宋" w:eastAsia="仿宋" w:cs="仿宋"/>
          <w:color w:val="auto"/>
          <w:sz w:val="24"/>
        </w:rPr>
        <w:t>日期： 年  月  日</w:t>
      </w:r>
    </w:p>
    <w:p>
      <w:pPr>
        <w:tabs>
          <w:tab w:val="left" w:pos="4860"/>
        </w:tabs>
        <w:spacing w:line="288" w:lineRule="auto"/>
        <w:ind w:right="1560" w:firstLine="480" w:firstLineChars="200"/>
        <w:jc w:val="center"/>
        <w:rPr>
          <w:rFonts w:ascii="仿宋" w:hAnsi="仿宋" w:eastAsia="仿宋" w:cs="仿宋"/>
          <w:color w:val="auto"/>
          <w:sz w:val="24"/>
        </w:rPr>
      </w:pPr>
    </w:p>
    <w:p>
      <w:pPr>
        <w:spacing w:line="288" w:lineRule="auto"/>
        <w:ind w:firstLine="480" w:firstLineChars="200"/>
        <w:rPr>
          <w:rFonts w:ascii="仿宋" w:hAnsi="仿宋" w:eastAsia="仿宋" w:cs="仿宋"/>
          <w:color w:val="auto"/>
          <w:sz w:val="24"/>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pageBreakBefore/>
        <w:spacing w:line="288"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288" w:lineRule="auto"/>
        <w:jc w:val="center"/>
        <w:outlineLvl w:val="0"/>
        <w:rPr>
          <w:rFonts w:ascii="仿宋" w:hAnsi="仿宋" w:eastAsia="仿宋" w:cs="仿宋"/>
          <w:b/>
          <w:color w:val="auto"/>
          <w:kern w:val="0"/>
          <w:sz w:val="24"/>
        </w:rPr>
      </w:pPr>
    </w:p>
    <w:p>
      <w:pPr>
        <w:spacing w:line="288"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77"/>
        <w:spacing w:line="288" w:lineRule="auto"/>
        <w:ind w:left="0" w:firstLine="0" w:firstLineChars="0"/>
        <w:rPr>
          <w:rFonts w:ascii="仿宋" w:eastAsia="仿宋" w:cs="仿宋"/>
          <w:color w:val="auto"/>
        </w:rPr>
      </w:pPr>
      <w:r>
        <w:rPr>
          <w:rFonts w:hint="eastAsia" w:ascii="仿宋" w:eastAsia="仿宋" w:cs="仿宋"/>
          <w:color w:val="auto"/>
        </w:rPr>
        <w:t>（1）法定代表人授权书 ………………………………………………………………（页码）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（2）授权代表社保证明（复印件）…………………………………………………（页码）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（3）法定代表人及其授权代表的身份证（复印件）………………………………（页码）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（4）法定代表人身份证明书…………………………………………………………（页码）</w:t>
      </w:r>
    </w:p>
    <w:p>
      <w:pPr>
        <w:spacing w:line="288" w:lineRule="auto"/>
        <w:outlineLvl w:val="0"/>
        <w:rPr>
          <w:rFonts w:ascii="仿宋" w:hAnsi="仿宋" w:eastAsia="仿宋" w:cs="仿宋"/>
          <w:color w:val="auto"/>
          <w:sz w:val="24"/>
        </w:rPr>
      </w:pPr>
      <w:r>
        <w:rPr>
          <w:rFonts w:hint="eastAsia" w:ascii="仿宋" w:hAnsi="仿宋" w:eastAsia="仿宋" w:cs="仿宋"/>
          <w:color w:val="auto"/>
          <w:sz w:val="24"/>
        </w:rPr>
        <w:t>（5）营业执照(或事业法人登记证或其他登记证明材料)复印件</w:t>
      </w:r>
      <w:r>
        <w:rPr>
          <w:rFonts w:hint="eastAsia" w:ascii="仿宋" w:hAnsi="仿宋" w:eastAsia="仿宋" w:cs="仿宋"/>
          <w:color w:val="auto"/>
        </w:rPr>
        <w:t>……………………</w:t>
      </w:r>
      <w:r>
        <w:rPr>
          <w:rFonts w:hint="eastAsia" w:ascii="仿宋" w:hAnsi="仿宋" w:eastAsia="仿宋" w:cs="仿宋"/>
          <w:color w:val="auto"/>
          <w:kern w:val="0"/>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（6）2018年度或2019年度资产负债表等财务报表资料文件(新成立的公司，提供情况说明)</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（7）具有履</w:t>
      </w:r>
      <w:r>
        <w:rPr>
          <w:rFonts w:hint="eastAsia" w:ascii="仿宋" w:hAnsi="仿宋" w:eastAsia="仿宋" w:cs="仿宋"/>
          <w:color w:val="auto"/>
          <w:kern w:val="0"/>
          <w:sz w:val="24"/>
        </w:rPr>
        <w:t>行合同所必需的设备和专业技术能力的承诺函……………</w:t>
      </w:r>
      <w:r>
        <w:rPr>
          <w:rFonts w:hint="eastAsia" w:ascii="仿宋" w:hAnsi="仿宋" w:eastAsia="仿宋" w:cs="仿宋"/>
          <w:color w:val="auto"/>
        </w:rPr>
        <w:t>………</w:t>
      </w:r>
      <w:r>
        <w:rPr>
          <w:rFonts w:hint="eastAsia" w:ascii="仿宋" w:hAnsi="仿宋" w:eastAsia="仿宋" w:cs="仿宋"/>
          <w:color w:val="auto"/>
          <w:kern w:val="0"/>
          <w:sz w:val="24"/>
        </w:rPr>
        <w:t>…（页码）</w:t>
      </w:r>
    </w:p>
    <w:p>
      <w:pPr>
        <w:pStyle w:val="77"/>
        <w:spacing w:line="288" w:lineRule="auto"/>
        <w:ind w:firstLine="0" w:firstLineChars="0"/>
        <w:rPr>
          <w:rFonts w:ascii="仿宋" w:eastAsia="仿宋" w:cs="仿宋"/>
          <w:color w:val="auto"/>
          <w:kern w:val="0"/>
        </w:rPr>
      </w:pPr>
      <w:r>
        <w:rPr>
          <w:rFonts w:hint="eastAsia" w:ascii="仿宋" w:eastAsia="仿宋" w:cs="仿宋"/>
          <w:color w:val="auto"/>
        </w:rPr>
        <w:t>（8）重大违法记录的声明</w:t>
      </w:r>
      <w:r>
        <w:rPr>
          <w:rFonts w:hint="eastAsia" w:ascii="仿宋" w:eastAsia="仿宋" w:cs="仿宋"/>
          <w:color w:val="auto"/>
          <w:kern w:val="0"/>
        </w:rPr>
        <w:t xml:space="preserve"> …</w:t>
      </w:r>
      <w:r>
        <w:rPr>
          <w:rFonts w:hint="eastAsia" w:ascii="仿宋" w:eastAsia="仿宋" w:cs="仿宋"/>
          <w:color w:val="auto"/>
        </w:rPr>
        <w:t>………………………………………………………</w:t>
      </w:r>
      <w:r>
        <w:rPr>
          <w:rFonts w:hint="eastAsia" w:ascii="仿宋" w:eastAsia="仿宋" w:cs="仿宋"/>
          <w:color w:val="auto"/>
          <w:kern w:val="0"/>
        </w:rPr>
        <w:t>（页码）</w:t>
      </w:r>
    </w:p>
    <w:p>
      <w:pPr>
        <w:pStyle w:val="77"/>
        <w:spacing w:line="288" w:lineRule="auto"/>
        <w:ind w:firstLine="0" w:firstLineChars="0"/>
        <w:rPr>
          <w:rFonts w:ascii="仿宋" w:eastAsia="仿宋" w:cs="仿宋"/>
          <w:color w:val="auto"/>
        </w:rPr>
      </w:pPr>
      <w:r>
        <w:rPr>
          <w:rFonts w:hint="eastAsia" w:ascii="仿宋" w:eastAsia="仿宋" w:cs="仿宋"/>
          <w:color w:val="auto"/>
        </w:rPr>
        <w:t>（9）符合特定资格条件（如果项目要求）的有关证明材料（复印件）…………（页码）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（10）</w:t>
      </w:r>
      <w:r>
        <w:rPr>
          <w:rFonts w:hint="eastAsia" w:ascii="仿宋" w:eastAsia="仿宋" w:cs="仿宋"/>
          <w:snapToGrid w:val="0"/>
          <w:color w:val="auto"/>
        </w:rPr>
        <w:t>非本地投标人售后服务机构证明材料</w:t>
      </w:r>
      <w:r>
        <w:rPr>
          <w:rFonts w:hint="eastAsia" w:ascii="仿宋" w:eastAsia="仿宋" w:cs="仿宋"/>
          <w:color w:val="auto"/>
        </w:rPr>
        <w:t>………………………………………（页码）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（11）所有与符合性审查有关的资信文件（复印件） ……………………………（页码）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（12）</w:t>
      </w:r>
      <w:r>
        <w:rPr>
          <w:rFonts w:hint="eastAsia" w:ascii="仿宋" w:eastAsia="仿宋" w:cs="仿宋"/>
          <w:color w:val="auto"/>
          <w:lang w:val="zh-CN"/>
        </w:rPr>
        <w:t>主要业绩证明… …………………………………………</w:t>
      </w:r>
      <w:r>
        <w:rPr>
          <w:rFonts w:hint="eastAsia" w:ascii="仿宋" w:eastAsia="仿宋" w:cs="仿宋"/>
          <w:color w:val="auto"/>
        </w:rPr>
        <w:t>…………………</w:t>
      </w:r>
      <w:r>
        <w:rPr>
          <w:rFonts w:hint="eastAsia" w:ascii="仿宋" w:eastAsia="仿宋" w:cs="仿宋"/>
          <w:color w:val="auto"/>
          <w:lang w:val="zh-CN"/>
        </w:rPr>
        <w:t>…</w:t>
      </w:r>
      <w:r>
        <w:rPr>
          <w:rFonts w:hint="eastAsia" w:ascii="仿宋" w:eastAsia="仿宋" w:cs="仿宋"/>
          <w:color w:val="auto"/>
        </w:rPr>
        <w:t>（页码）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（13）廉政承诺书 ……………………………………………………………………（页码）</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kern w:val="0"/>
          <w:sz w:val="24"/>
        </w:rPr>
        <w:t>（14）技术解决方案…………………………………………………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288" w:lineRule="auto"/>
        <w:outlineLvl w:val="0"/>
        <w:rPr>
          <w:rFonts w:ascii="仿宋" w:hAnsi="仿宋" w:eastAsia="仿宋" w:cs="仿宋"/>
          <w:color w:val="auto"/>
          <w:kern w:val="0"/>
          <w:sz w:val="24"/>
        </w:rPr>
      </w:pPr>
      <w:r>
        <w:rPr>
          <w:rFonts w:hint="eastAsia" w:ascii="仿宋" w:hAnsi="仿宋" w:eastAsia="仿宋" w:cs="仿宋"/>
          <w:color w:val="auto"/>
          <w:kern w:val="0"/>
          <w:sz w:val="24"/>
        </w:rPr>
        <w:t>（15）技术偏离说明表……………………………………………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288" w:lineRule="auto"/>
        <w:rPr>
          <w:rFonts w:ascii="仿宋" w:hAnsi="仿宋" w:eastAsia="仿宋" w:cs="仿宋"/>
          <w:b/>
          <w:bCs/>
          <w:color w:val="auto"/>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288" w:lineRule="auto"/>
        <w:rPr>
          <w:rFonts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注：以上目录是基本格式要求，各投标人可根据自身情况进一步细化。</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绍兴市公安局、耀华建设管理有限公司</w:t>
      </w:r>
      <w:r>
        <w:rPr>
          <w:rFonts w:hint="eastAsia" w:ascii="仿宋" w:hAnsi="仿宋" w:eastAsia="仿宋" w:cs="仿宋"/>
          <w:color w:val="auto"/>
          <w:sz w:val="24"/>
        </w:rPr>
        <w:t>组织的</w:t>
      </w:r>
      <w:r>
        <w:rPr>
          <w:rFonts w:hint="eastAsia" w:ascii="仿宋" w:hAnsi="仿宋" w:eastAsia="仿宋" w:cs="仿宋"/>
          <w:color w:val="auto"/>
          <w:sz w:val="24"/>
          <w:u w:val="single"/>
        </w:rPr>
        <w:t>绍兴市固废、土壤监管制度体系建设项目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投标人名称(电子签章)：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righ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ascii="仿宋" w:hAnsi="仿宋" w:eastAsia="仿宋" w:cs="仿宋"/>
          <w:color w:val="auto"/>
          <w:sz w:val="24"/>
        </w:rPr>
      </w:pPr>
    </w:p>
    <w:p>
      <w:pPr>
        <w:spacing w:line="360" w:lineRule="auto"/>
        <w:jc w:val="right"/>
        <w:rPr>
          <w:rFonts w:ascii="仿宋" w:hAnsi="仿宋" w:eastAsia="仿宋" w:cs="仿宋"/>
          <w:b/>
          <w:color w:val="auto"/>
          <w:sz w:val="30"/>
          <w:szCs w:val="30"/>
        </w:rPr>
      </w:pPr>
      <w:r>
        <w:rPr>
          <w:rFonts w:hint="eastAsia" w:ascii="仿宋" w:hAnsi="仿宋" w:eastAsia="仿宋" w:cs="仿宋"/>
          <w:color w:val="auto"/>
          <w:sz w:val="24"/>
        </w:rPr>
        <w:t>日期： 年 月 日</w:t>
      </w:r>
    </w:p>
    <w:p>
      <w:pPr>
        <w:pageBreakBefore/>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5</w:t>
      </w:r>
      <w:r>
        <w:rPr>
          <w:rFonts w:hint="eastAsia" w:ascii="仿宋" w:hAnsi="仿宋" w:eastAsia="仿宋" w:cs="仿宋"/>
          <w:b/>
          <w:color w:val="auto"/>
          <w:kern w:val="0"/>
          <w:sz w:val="30"/>
          <w:szCs w:val="30"/>
          <w:lang w:val="zh-CN"/>
        </w:rPr>
        <w:t>、</w:t>
      </w:r>
      <w:r>
        <w:rPr>
          <w:rFonts w:hint="eastAsia" w:ascii="仿宋" w:hAnsi="仿宋" w:eastAsia="仿宋" w:cs="仿宋"/>
          <w:b/>
          <w:color w:val="auto"/>
          <w:sz w:val="30"/>
          <w:szCs w:val="30"/>
        </w:rPr>
        <w:t>营业执照（或事业法人登记证或其他登记证明材料）（复印件）</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6、财务报表资料文件（2018年度或2019年度资产负债表等财务报表资料文件(新成立的公司，提供情况说明，格式自拟)）</w:t>
      </w:r>
    </w:p>
    <w:p>
      <w:pPr>
        <w:spacing w:line="360" w:lineRule="auto"/>
        <w:rPr>
          <w:rFonts w:ascii="仿宋" w:hAnsi="仿宋" w:eastAsia="仿宋" w:cs="仿宋"/>
          <w:b/>
          <w:color w:val="auto"/>
          <w:sz w:val="30"/>
          <w:szCs w:val="30"/>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rPr>
          <w:rFonts w:ascii="仿宋" w:hAnsi="仿宋" w:eastAsia="仿宋" w:cs="仿宋"/>
          <w:b/>
          <w:color w:val="auto"/>
          <w:kern w:val="0"/>
          <w:sz w:val="32"/>
          <w:szCs w:val="32"/>
        </w:rPr>
      </w:pPr>
      <w:r>
        <w:rPr>
          <w:rFonts w:hint="eastAsia" w:ascii="仿宋" w:hAnsi="仿宋" w:eastAsia="仿宋" w:cs="仿宋"/>
          <w:b/>
          <w:color w:val="auto"/>
          <w:kern w:val="0"/>
          <w:sz w:val="32"/>
          <w:szCs w:val="32"/>
        </w:rPr>
        <w:t>7、具有履行合同所必需的设备和专业技术能力的承诺函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绍兴市公安局、耀华建设管理有限公司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我方郑重承诺，我方具有履行绍兴市公安局绍兴市固废、土壤监管制度体系建设项目（招标编号:）合同所必需的设备和专业技术能力。如中标，我方将保证合同顺利履行。</w:t>
      </w: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spacing w:line="360" w:lineRule="auto"/>
        <w:jc w:val="center"/>
        <w:rPr>
          <w:rFonts w:ascii="仿宋" w:hAnsi="仿宋" w:eastAsia="仿宋" w:cs="仿宋"/>
          <w:b/>
          <w:color w:val="auto"/>
          <w:kern w:val="0"/>
          <w:sz w:val="32"/>
          <w:szCs w:val="32"/>
        </w:rPr>
      </w:pPr>
    </w:p>
    <w:p>
      <w:pPr>
        <w:spacing w:line="360" w:lineRule="auto"/>
        <w:jc w:val="center"/>
        <w:rPr>
          <w:rFonts w:ascii="仿宋" w:hAnsi="仿宋" w:eastAsia="仿宋" w:cs="仿宋"/>
          <w:b/>
          <w:color w:val="auto"/>
          <w:kern w:val="0"/>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t>8、重大违法记录的声明</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绍兴市公安局、耀华建设管理有限公司</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strike/>
          <w:color w:val="auto"/>
          <w:sz w:val="24"/>
          <w:szCs w:val="20"/>
        </w:rPr>
      </w:pP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声明参加本次政府采购活动前三年内，在</w:t>
      </w:r>
      <w:r>
        <w:rPr>
          <w:rFonts w:hint="eastAsia" w:ascii="仿宋" w:hAnsi="仿宋" w:eastAsia="仿宋" w:cs="仿宋"/>
          <w:color w:val="auto"/>
          <w:kern w:val="0"/>
          <w:sz w:val="24"/>
        </w:rPr>
        <w:t>经营活动中</w:t>
      </w:r>
      <w:r>
        <w:rPr>
          <w:rFonts w:hint="eastAsia" w:ascii="仿宋" w:hAnsi="仿宋" w:eastAsia="仿宋" w:cs="仿宋"/>
          <w:color w:val="auto"/>
          <w:sz w:val="24"/>
        </w:rPr>
        <w:t>没有重大违法记录；也</w:t>
      </w:r>
      <w:r>
        <w:rPr>
          <w:rFonts w:hint="eastAsia" w:ascii="仿宋" w:hAnsi="仿宋" w:eastAsia="仿宋" w:cs="仿宋"/>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w:t>
      </w:r>
    </w:p>
    <w:p>
      <w:pPr>
        <w:snapToGrid w:val="0"/>
        <w:spacing w:line="360" w:lineRule="auto"/>
        <w:ind w:firstLine="5160" w:firstLineChars="2150"/>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9、特定资格条件要求的资质文件（复印件）</w:t>
      </w:r>
    </w:p>
    <w:p>
      <w:pPr>
        <w:widowControl/>
        <w:spacing w:line="360" w:lineRule="auto"/>
        <w:ind w:firstLine="480" w:firstLineChars="200"/>
        <w:jc w:val="left"/>
        <w:rPr>
          <w:rFonts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（由投标人根据招标公告合格的投标人应具备的特定资格要求编制）</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10、非本地投标人售后服务机构证明材料</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（由非本地投标人根据采购需求及招标文件要求编制）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11、所有与符合性审查有关的资信文件（复印件）</w:t>
      </w:r>
    </w:p>
    <w:p>
      <w:pPr>
        <w:spacing w:line="360" w:lineRule="auto"/>
        <w:rPr>
          <w:rFonts w:ascii="仿宋" w:hAnsi="仿宋" w:eastAsia="仿宋" w:cs="仿宋"/>
          <w:b/>
          <w:bCs/>
          <w:color w:val="auto"/>
          <w:sz w:val="32"/>
          <w:szCs w:val="32"/>
        </w:rPr>
      </w:pPr>
      <w:r>
        <w:rPr>
          <w:rFonts w:hint="eastAsia" w:ascii="仿宋" w:hAnsi="仿宋" w:eastAsia="仿宋" w:cs="仿宋"/>
          <w:b/>
          <w:color w:val="auto"/>
          <w:sz w:val="24"/>
        </w:rPr>
        <w:t>（1. 提供依法缴纳税收和社会保障资金的良好记录证明，税收和社保证明打印时间不得早于投标截止时间前1个月；2.</w:t>
      </w:r>
      <w:r>
        <w:rPr>
          <w:rFonts w:hint="eastAsia" w:ascii="仿宋" w:hAnsi="仿宋" w:eastAsia="仿宋" w:cs="仿宋"/>
          <w:color w:val="auto"/>
          <w:sz w:val="24"/>
        </w:rPr>
        <w:t>其他资料由投标人根据采购需求及招标文件要求编制。</w:t>
      </w:r>
      <w:r>
        <w:rPr>
          <w:rFonts w:hint="eastAsia" w:ascii="仿宋" w:hAnsi="仿宋" w:eastAsia="仿宋" w:cs="仿宋"/>
          <w:b/>
          <w:color w:val="auto"/>
          <w:sz w:val="24"/>
        </w:rPr>
        <w:t>）</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12、</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28"/>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注：投标人可按上述的格式自行编制。</w:t>
      </w:r>
    </w:p>
    <w:p>
      <w:pPr>
        <w:autoSpaceDE w:val="0"/>
        <w:autoSpaceDN w:val="0"/>
        <w:spacing w:line="360" w:lineRule="auto"/>
        <w:ind w:firstLine="4560" w:firstLineChars="1900"/>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 xml:space="preserve">：                       </w:t>
      </w:r>
    </w:p>
    <w:p>
      <w:pPr>
        <w:autoSpaceDE w:val="0"/>
        <w:autoSpaceDN w:val="0"/>
        <w:spacing w:line="360" w:lineRule="auto"/>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 xml:space="preserve">法定代表人或其授权代表（签字）：                   </w:t>
      </w:r>
    </w:p>
    <w:p>
      <w:pPr>
        <w:snapToGrid w:val="0"/>
        <w:spacing w:line="360" w:lineRule="auto"/>
        <w:ind w:firstLine="5160" w:firstLineChars="2150"/>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spacing w:line="360" w:lineRule="auto"/>
        <w:rPr>
          <w:rFonts w:ascii="仿宋" w:hAnsi="仿宋" w:eastAsia="仿宋" w:cs="仿宋"/>
          <w:color w:val="auto"/>
          <w:kern w:val="0"/>
          <w:sz w:val="24"/>
        </w:rPr>
      </w:pPr>
    </w:p>
    <w:p>
      <w:pPr>
        <w:pStyle w:val="78"/>
        <w:ind w:firstLine="0"/>
        <w:jc w:val="both"/>
        <w:rPr>
          <w:rFonts w:ascii="仿宋" w:eastAsia="仿宋" w:cs="仿宋"/>
          <w:color w:val="auto"/>
        </w:rPr>
      </w:pPr>
    </w:p>
    <w:p>
      <w:pPr>
        <w:pStyle w:val="78"/>
        <w:ind w:firstLine="0"/>
        <w:jc w:val="both"/>
        <w:rPr>
          <w:rFonts w:ascii="仿宋" w:eastAsia="仿宋" w:cs="仿宋"/>
          <w:color w:val="auto"/>
        </w:rPr>
      </w:pPr>
    </w:p>
    <w:p>
      <w:pPr>
        <w:pStyle w:val="78"/>
        <w:pageBreakBefore/>
        <w:ind w:firstLine="0"/>
        <w:jc w:val="both"/>
        <w:rPr>
          <w:rFonts w:ascii="仿宋" w:eastAsia="仿宋" w:cs="仿宋"/>
          <w:color w:val="auto"/>
        </w:rPr>
      </w:pPr>
      <w:r>
        <w:rPr>
          <w:rFonts w:hint="eastAsia" w:ascii="仿宋" w:eastAsia="仿宋" w:cs="仿宋"/>
          <w:color w:val="auto"/>
        </w:rPr>
        <w:t>13、廉政承诺书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sz w:val="24"/>
        </w:rPr>
        <w:t>绍兴市公安局</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right="112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spacing w:line="360" w:lineRule="auto"/>
        <w:ind w:left="5040" w:hanging="5040" w:hangingChars="2100"/>
        <w:jc w:val="left"/>
        <w:rPr>
          <w:rFonts w:ascii="仿宋" w:hAnsi="仿宋" w:eastAsia="仿宋" w:cs="仿宋"/>
          <w:color w:val="auto"/>
          <w:kern w:val="0"/>
          <w:sz w:val="24"/>
          <w:lang w:val="zh-CN"/>
        </w:rPr>
      </w:pPr>
    </w:p>
    <w:p>
      <w:pPr>
        <w:spacing w:line="360" w:lineRule="auto"/>
        <w:ind w:left="5040" w:hanging="5040" w:hangingChars="21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法定代表人或其授权代表（签字）：</w:t>
      </w:r>
    </w:p>
    <w:p>
      <w:pPr>
        <w:spacing w:line="360" w:lineRule="auto"/>
        <w:ind w:left="5040" w:hanging="5040" w:hangingChars="2100"/>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2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color w:val="auto"/>
          <w:spacing w:val="6"/>
          <w:sz w:val="24"/>
        </w:rPr>
      </w:pPr>
      <w:r>
        <w:rPr>
          <w:rFonts w:hint="eastAsia" w:ascii="仿宋" w:hAnsi="仿宋" w:eastAsia="仿宋" w:cs="仿宋"/>
          <w:b/>
          <w:color w:val="auto"/>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color w:val="auto"/>
          <w:kern w:val="0"/>
          <w:sz w:val="28"/>
          <w:szCs w:val="28"/>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05pt;width:441.8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color w:val="auto"/>
          <w:kern w:val="0"/>
          <w:sz w:val="28"/>
          <w:szCs w:val="28"/>
        </w:rPr>
        <w:object>
          <v:shape id="_x0000_i1026" o:spt="75" type="#_x0000_t75" style="height:42.05pt;width:441.8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360" w:lineRule="auto"/>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法定代表人或其授权代表（签字）：</w:t>
      </w:r>
    </w:p>
    <w:p>
      <w:pPr>
        <w:spacing w:line="360" w:lineRule="auto"/>
        <w:jc w:val="right"/>
        <w:rPr>
          <w:rFonts w:ascii="仿宋" w:hAnsi="仿宋" w:eastAsia="仿宋" w:cs="仿宋"/>
          <w:b/>
          <w:bCs/>
          <w:color w:val="auto"/>
          <w:kern w:val="0"/>
          <w:sz w:val="24"/>
          <w:lang w:val="zh-CN"/>
        </w:rPr>
      </w:pPr>
      <w:r>
        <w:rPr>
          <w:rFonts w:hint="eastAsia" w:ascii="仿宋" w:hAnsi="仿宋" w:eastAsia="仿宋" w:cs="仿宋"/>
          <w:color w:val="auto"/>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15、技术偏离说明表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lang w:val="zh-CN"/>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autoSpaceDE w:val="0"/>
        <w:autoSpaceDN w:val="0"/>
        <w:spacing w:line="360" w:lineRule="auto"/>
        <w:rPr>
          <w:rFonts w:ascii="仿宋" w:hAnsi="仿宋" w:eastAsia="仿宋" w:cs="仿宋"/>
          <w:color w:val="auto"/>
          <w:kern w:val="0"/>
          <w:sz w:val="24"/>
          <w:lang w:val="zh-CN"/>
        </w:rPr>
      </w:pPr>
    </w:p>
    <w:p>
      <w:pPr>
        <w:autoSpaceDE w:val="0"/>
        <w:autoSpaceDN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法定代表人或其授权代表（签字）： </w:t>
      </w:r>
    </w:p>
    <w:p>
      <w:pPr>
        <w:spacing w:line="360" w:lineRule="auto"/>
        <w:jc w:val="right"/>
        <w:rPr>
          <w:rFonts w:ascii="仿宋" w:hAnsi="仿宋" w:eastAsia="仿宋" w:cs="仿宋"/>
          <w:b/>
          <w:color w:val="auto"/>
          <w:sz w:val="24"/>
        </w:rPr>
      </w:pPr>
      <w:r>
        <w:rPr>
          <w:rFonts w:hint="eastAsia" w:ascii="仿宋" w:hAnsi="仿宋" w:eastAsia="仿宋" w:cs="仿宋"/>
          <w:color w:val="auto"/>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16、认为需要的</w:t>
      </w:r>
      <w:r>
        <w:rPr>
          <w:rFonts w:hint="eastAsia" w:ascii="仿宋" w:hAnsi="仿宋" w:eastAsia="仿宋" w:cs="仿宋"/>
          <w:b/>
          <w:color w:val="auto"/>
          <w:kern w:val="0"/>
          <w:sz w:val="32"/>
          <w:szCs w:val="32"/>
          <w:lang w:val="zh-CN"/>
        </w:rPr>
        <w:t>其他商务技术（资信）文件或说明</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ascii="仿宋" w:hAnsi="仿宋" w:eastAsia="仿宋" w:cs="仿宋"/>
          <w:color w:val="auto"/>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autoSpaceDE w:val="0"/>
        <w:autoSpaceDN w:val="0"/>
        <w:spacing w:line="360" w:lineRule="auto"/>
        <w:rPr>
          <w:rFonts w:ascii="仿宋" w:hAnsi="仿宋" w:eastAsia="仿宋" w:cs="仿宋"/>
          <w:color w:val="auto"/>
          <w:kern w:val="0"/>
          <w:sz w:val="24"/>
          <w:lang w:val="zh-CN"/>
        </w:rPr>
      </w:pPr>
    </w:p>
    <w:p>
      <w:pPr>
        <w:autoSpaceDE w:val="0"/>
        <w:autoSpaceDN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法定代表人或其授权代表（签字）： </w:t>
      </w:r>
    </w:p>
    <w:p>
      <w:pPr>
        <w:spacing w:line="360" w:lineRule="auto"/>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jc w:val="center"/>
        <w:rPr>
          <w:rFonts w:ascii="仿宋" w:hAnsi="仿宋" w:eastAsia="仿宋" w:cs="仿宋"/>
          <w:b/>
          <w:color w:val="auto"/>
          <w:sz w:val="48"/>
          <w:szCs w:val="48"/>
        </w:rPr>
      </w:pPr>
    </w:p>
    <w:p>
      <w:pPr>
        <w:jc w:val="center"/>
        <w:rPr>
          <w:rFonts w:ascii="仿宋" w:hAnsi="仿宋" w:eastAsia="仿宋" w:cs="仿宋"/>
          <w:b/>
          <w:color w:val="auto"/>
          <w:sz w:val="48"/>
          <w:szCs w:val="48"/>
        </w:rPr>
      </w:pPr>
    </w:p>
    <w:p>
      <w:pPr>
        <w:jc w:val="center"/>
        <w:rPr>
          <w:rFonts w:ascii="仿宋" w:hAnsi="仿宋" w:eastAsia="仿宋" w:cs="仿宋"/>
          <w:b/>
          <w:color w:val="auto"/>
          <w:sz w:val="48"/>
          <w:szCs w:val="48"/>
        </w:rPr>
      </w:pPr>
    </w:p>
    <w:p>
      <w:pPr>
        <w:jc w:val="center"/>
        <w:rPr>
          <w:rFonts w:ascii="仿宋" w:hAnsi="仿宋" w:eastAsia="仿宋" w:cs="仿宋"/>
          <w:b/>
          <w:color w:val="auto"/>
          <w:sz w:val="48"/>
          <w:szCs w:val="48"/>
        </w:rPr>
      </w:pPr>
    </w:p>
    <w:p>
      <w:pPr>
        <w:jc w:val="center"/>
        <w:rPr>
          <w:rFonts w:ascii="仿宋" w:hAnsi="仿宋" w:eastAsia="仿宋" w:cs="仿宋"/>
          <w:b/>
          <w:color w:val="auto"/>
          <w:sz w:val="48"/>
          <w:szCs w:val="48"/>
        </w:rPr>
      </w:pPr>
    </w:p>
    <w:p>
      <w:pPr>
        <w:jc w:val="center"/>
        <w:rPr>
          <w:rFonts w:ascii="仿宋" w:hAnsi="仿宋" w:eastAsia="仿宋" w:cs="仿宋"/>
          <w:b/>
          <w:color w:val="auto"/>
          <w:sz w:val="48"/>
          <w:szCs w:val="48"/>
        </w:rPr>
      </w:pPr>
    </w:p>
    <w:bookmarkEnd w:id="9"/>
    <w:p>
      <w:pPr>
        <w:pStyle w:val="2"/>
        <w:ind w:firstLine="0" w:firstLineChars="0"/>
        <w:rPr>
          <w:rFonts w:ascii="仿宋" w:hAnsi="仿宋" w:eastAsia="仿宋" w:cs="仿宋"/>
          <w:b/>
          <w:color w:val="auto"/>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FangSong_GB2312">
    <w:altName w:val="仿宋"/>
    <w:panose1 w:val="02010609060101010101"/>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72.05pt;mso-position-horizontal:center;mso-position-horizontal-relative:margin;mso-wrap-style:none;z-index:251658240;mso-width-relative:page;mso-height-relative:page;" filled="f" stroked="f" coordsize="21600,21600" o:gfxdata="UEsDBAoAAAAAAIdO4kAAAAAAAAAAAAAAAAAEAAAAZHJzL1BLAwQUAAAACACHTuJAQ7eqt9IAAAAE AQAADwAAAGRycy9kb3ducmV2LnhtbE2PwU7DMBBE70j9B2srcaNO2gqqEKeHSly4URASt228jSPs dWS7afL3uFzgstJoRjNv6/3krBgpxN6zgnJVgCBuve65U/Dx/vKwAxETskbrmRTMFGHfLO5qrLS/ 8huNx9SJXMKxQgUmpaGSMraGHMaVH4izd/bBYcoydFIHvOZyZ+W6KB6lw57zgsGBDoba7+PFKXia Pj0NkQ70dR7bYPp5Z19npe6XZfEMItGU/sJww8/o0GSmk7+wjsIqyI+k33vzttsSxEnBerMB2dTy P3zzA1BLAwQUAAAACACHTuJAIqClXeEBAAC2AwAADgAAAGRycy9lMm9Eb2MueG1srVPBjtMwEL0j 8Q+W7zRJocBGTVfLroqQlgVplw9wHCexiD3W2G1Svp6x05QFboiLNZkZP79587K9nszAjgq9Blvx YpVzpqyERtuu4t+e9q/ec+aDsI0YwKqKn5Tn17uXL7ajK9UaehgahYxArC9HV/E+BFdmmZe9MsKv wClLxRbQiECf2GUNipHQzZCt8/xtNgI2DkEq7yl7Nxf5LuG3rZLhS9t6FdhQceIW0onprOOZ7bai 7FC4XsszDfEPLIzQlh69QN2JINgB9V9QRksED21YSTAZtK2WKs1A0xT5H9M89sKpNAuJ491FJv// YOXD8Ssy3VR8zZkVhlb0pKbAPsDEiny9iQKNzpfU9+ioM0xUoUWnYb27B/ndMwu3vbCdukGEsVei IYJFvJk9uzrj+AhSj5+hoZfEIUACmlo0UT3SgxE6Lep0WU5kIyl5VWzy1xvOJJWKN++uNolbJsrl skMfPiowLAYVR9p9AhfHex8iGVEuLfEtC3s9DGn/g/0tQY0xk8hHvjPzMNXTWYwamhONgTDbiexP QQ/4g7ORrFRxS17nbPhkSYjouiXAJaiXQFhJFyseOJvD2zC78+BQdz3hLlLfkFh7nQaJqs4czizJ HGm+s5Gj+55/p65fv9vuJ1BLAwQKAAAAAACHTuJAAAAAAAAAAAAAAAAABgAAAF9yZWxzL1BLAwQU AAAACACHTuJAihRmPNEAAACUAQAACwAAAF9yZWxzLy5yZWxzpZDBasMwDIbvg72D0X1xmsMYo04v o9Br6R7A2IpjGltGMtn69vMOg2X0tqN+oe8T//7wmRa1IkukbGDX9aAwO/IxBwPvl+PTCyipNnu7 UEYDNxQ4jI8P+zMutrYjmWMR1ShZDMy1lletxc2YrHRUMLfNRJxsbSMHXay72oB66Ptnzb8ZMG6Y 6uQN8MkPoC630sx/2Ck6JqGpdo6SpmmK7h5VB7Zlju7INuEbuUazHLAa8CwaB2pZ134EfV+/+6fe 00c+47rVfoeM649Xb7ocvwBQSwMEFAAAAAgAh07iQH7m5SD3AAAA4QEAABMAAABbQ29udGVudF9U eXBlc10ueG1slZFBTsMwEEX3SNzB8hYlTrtACCXpgrRLQKgcYGRPEotkbHlMaG+Pk7YbRJFY2jP/ vye73BzGQUwY2Dqq5CovpEDSzljqKvm+32UPUnAEMjA4wkoekeWmvr0p90ePLFKauJJ9jP5RKdY9 jsC580hp0rowQkzH0CkP+gM6VOuiuFfaUUSKWZw7ZF022MLnEMX2kK5PJgEHluLptDizKgneD1ZD TKZqIvODkp0JeUouO9xbz3dJQ6pfCfPkOuCce0lPE6xB8QohPsOYNJQJrIz7ooBT/nfJbDly5trW asybwE2KveF0sbrWjmvXOP3f8u2SunSr5YPqb1BLAQIUABQAAAAIAIdO4kB+5uUg9wAAAOEBAAAT AAAAAAAAAAEAIAAAAEwEAABbQ29udGVudF9UeXBlc10ueG1sUEsBAhQACgAAAAAAh07iQAAAAAAA AAAAAAAAAAYAAAAAAAAAAAAQAAAALgMAAF9yZWxzL1BLAQIUABQAAAAIAIdO4kCKFGY80QAAAJQB AAALAAAAAAAAAAEAIAAAAFIDAABfcmVscy8ucmVsc1BLAQIUAAoAAAAAAIdO4kAAAAAAAAAAAAAA AAAEAAAAAAAAAAAAEAAAAAAAAABkcnMvUEsBAhQAFAAAAAgAh07iQEO3qrfSAAAABAEAAA8AAAAA AAAAAQAgAAAAIgAAAGRycy9kb3ducmV2LnhtbFBLAQIUABQAAAAIAIdO4kAioKVd4QEAALYDAAAO AAAAAAAAAAEAIAAAACEBAABkcnMvZTJvRG9jLnhtbFBLBQYAAAAABgAGAFkBAAB0BQAAAAA= ">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24</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2"/>
        <w:rFonts w:cs="Arial"/>
        <w:sz w:val="18"/>
        <w:szCs w:val="21"/>
      </w:rPr>
    </w:pPr>
    <w:r>
      <w:rPr>
        <w:rStyle w:val="32"/>
        <w:rFonts w:cs="Arial"/>
        <w:sz w:val="18"/>
        <w:szCs w:val="21"/>
      </w:rPr>
      <w:fldChar w:fldCharType="begin"/>
    </w:r>
    <w:r>
      <w:rPr>
        <w:rStyle w:val="32"/>
        <w:rFonts w:cs="Arial"/>
        <w:sz w:val="18"/>
        <w:szCs w:val="21"/>
      </w:rPr>
      <w:instrText xml:space="preserve">PAGE  </w:instrText>
    </w:r>
    <w:r>
      <w:rPr>
        <w:rStyle w:val="32"/>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A09717F"/>
    <w:multiLevelType w:val="singleLevel"/>
    <w:tmpl w:val="4A09717F"/>
    <w:lvl w:ilvl="0" w:tentative="0">
      <w:start w:val="1"/>
      <w:numFmt w:val="decimal"/>
      <w:suff w:val="nothing"/>
      <w:lvlText w:val="（%1）"/>
      <w:lvlJc w:val="left"/>
    </w:lvl>
  </w:abstractNum>
  <w:abstractNum w:abstractNumId="3">
    <w:nsid w:val="5888EE2C"/>
    <w:multiLevelType w:val="singleLevel"/>
    <w:tmpl w:val="5888EE2C"/>
    <w:lvl w:ilvl="0" w:tentative="0">
      <w:start w:val="3"/>
      <w:numFmt w:val="chineseCounting"/>
      <w:suff w:val="space"/>
      <w:lvlText w:val="第%1部分"/>
      <w:lvlJc w:val="left"/>
      <w:rPr>
        <w:rFonts w:hint="eastAsia"/>
      </w:rPr>
    </w:lvl>
  </w:abstractNum>
  <w:abstractNum w:abstractNumId="4">
    <w:nsid w:val="5A02C129"/>
    <w:multiLevelType w:val="singleLevel"/>
    <w:tmpl w:val="5A02C129"/>
    <w:lvl w:ilvl="0" w:tentative="0">
      <w:start w:val="1"/>
      <w:numFmt w:val="decimal"/>
      <w:pStyle w:val="9"/>
      <w:lvlText w:val="%1."/>
      <w:lvlJc w:val="left"/>
      <w:pPr>
        <w:tabs>
          <w:tab w:val="left" w:pos="780"/>
        </w:tabs>
        <w:ind w:left="780" w:hanging="360"/>
      </w:pPr>
      <w:rPr>
        <w:rFonts w:cs="Times New Roman"/>
      </w:rPr>
    </w:lvl>
  </w:abstractNum>
  <w:abstractNum w:abstractNumId="5">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6">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7">
    <w:nsid w:val="5CB017FC"/>
    <w:multiLevelType w:val="multilevel"/>
    <w:tmpl w:val="5CB017FC"/>
    <w:lvl w:ilvl="0" w:tentative="0">
      <w:start w:val="1"/>
      <w:numFmt w:val="decimal"/>
      <w:pStyle w:val="4"/>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7"/>
  </w:num>
  <w:num w:numId="2">
    <w:abstractNumId w:val="4"/>
  </w:num>
  <w:num w:numId="3">
    <w:abstractNumId w:val="5"/>
  </w:num>
  <w:num w:numId="4">
    <w:abstractNumId w:val="6"/>
  </w:num>
  <w:num w:numId="5">
    <w:abstractNumId w:val="0"/>
  </w:num>
  <w:num w:numId="6">
    <w:abstractNumId w:val="2"/>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40C1"/>
    <w:rsid w:val="0002017B"/>
    <w:rsid w:val="0002428C"/>
    <w:rsid w:val="00030F1E"/>
    <w:rsid w:val="00051731"/>
    <w:rsid w:val="00055CDF"/>
    <w:rsid w:val="0006767A"/>
    <w:rsid w:val="00067735"/>
    <w:rsid w:val="0007418D"/>
    <w:rsid w:val="00080F79"/>
    <w:rsid w:val="000813EC"/>
    <w:rsid w:val="00093879"/>
    <w:rsid w:val="000C38DF"/>
    <w:rsid w:val="000D7240"/>
    <w:rsid w:val="000E78B5"/>
    <w:rsid w:val="00114135"/>
    <w:rsid w:val="0012034D"/>
    <w:rsid w:val="00123D0A"/>
    <w:rsid w:val="001311E4"/>
    <w:rsid w:val="00142376"/>
    <w:rsid w:val="0014517B"/>
    <w:rsid w:val="001559EF"/>
    <w:rsid w:val="00162A3F"/>
    <w:rsid w:val="00171C91"/>
    <w:rsid w:val="0017463C"/>
    <w:rsid w:val="0017787E"/>
    <w:rsid w:val="001814F1"/>
    <w:rsid w:val="0018495F"/>
    <w:rsid w:val="00190DB7"/>
    <w:rsid w:val="001A1325"/>
    <w:rsid w:val="001A4537"/>
    <w:rsid w:val="001A687C"/>
    <w:rsid w:val="001B3B8E"/>
    <w:rsid w:val="001D1DA3"/>
    <w:rsid w:val="001E5FDC"/>
    <w:rsid w:val="001E78A2"/>
    <w:rsid w:val="001F02A1"/>
    <w:rsid w:val="00217753"/>
    <w:rsid w:val="00220DF0"/>
    <w:rsid w:val="002322BF"/>
    <w:rsid w:val="0023264D"/>
    <w:rsid w:val="002476B8"/>
    <w:rsid w:val="00262448"/>
    <w:rsid w:val="00273B10"/>
    <w:rsid w:val="00275656"/>
    <w:rsid w:val="0028194A"/>
    <w:rsid w:val="00294D3C"/>
    <w:rsid w:val="002A2838"/>
    <w:rsid w:val="002A2E37"/>
    <w:rsid w:val="002B54E5"/>
    <w:rsid w:val="002B67ED"/>
    <w:rsid w:val="002B6E84"/>
    <w:rsid w:val="002B77DD"/>
    <w:rsid w:val="002C0AB1"/>
    <w:rsid w:val="002C21EA"/>
    <w:rsid w:val="002C404D"/>
    <w:rsid w:val="002D0D99"/>
    <w:rsid w:val="002F25A8"/>
    <w:rsid w:val="0031163B"/>
    <w:rsid w:val="00330C22"/>
    <w:rsid w:val="003403EB"/>
    <w:rsid w:val="003411E7"/>
    <w:rsid w:val="00345DE3"/>
    <w:rsid w:val="00370300"/>
    <w:rsid w:val="00387522"/>
    <w:rsid w:val="003A0CEC"/>
    <w:rsid w:val="003A2766"/>
    <w:rsid w:val="003A5C0F"/>
    <w:rsid w:val="003B2510"/>
    <w:rsid w:val="003B25FB"/>
    <w:rsid w:val="003B5CB4"/>
    <w:rsid w:val="003D237E"/>
    <w:rsid w:val="003D2443"/>
    <w:rsid w:val="003D63AC"/>
    <w:rsid w:val="003F0B46"/>
    <w:rsid w:val="003F5CF0"/>
    <w:rsid w:val="00412A3B"/>
    <w:rsid w:val="0043244B"/>
    <w:rsid w:val="00440162"/>
    <w:rsid w:val="00455DAB"/>
    <w:rsid w:val="00465752"/>
    <w:rsid w:val="00467496"/>
    <w:rsid w:val="00467DC5"/>
    <w:rsid w:val="004706A2"/>
    <w:rsid w:val="00481099"/>
    <w:rsid w:val="0048467F"/>
    <w:rsid w:val="004A0A0B"/>
    <w:rsid w:val="004B065D"/>
    <w:rsid w:val="004C0A50"/>
    <w:rsid w:val="004C27D1"/>
    <w:rsid w:val="004D6606"/>
    <w:rsid w:val="004E47C3"/>
    <w:rsid w:val="004E47E0"/>
    <w:rsid w:val="004E5EB8"/>
    <w:rsid w:val="004F2C71"/>
    <w:rsid w:val="0050684D"/>
    <w:rsid w:val="005117F3"/>
    <w:rsid w:val="005213B8"/>
    <w:rsid w:val="0052572A"/>
    <w:rsid w:val="00545306"/>
    <w:rsid w:val="00547532"/>
    <w:rsid w:val="00565304"/>
    <w:rsid w:val="00566429"/>
    <w:rsid w:val="00576B8A"/>
    <w:rsid w:val="00583589"/>
    <w:rsid w:val="00590683"/>
    <w:rsid w:val="00591CF6"/>
    <w:rsid w:val="005A4AFA"/>
    <w:rsid w:val="005A64B3"/>
    <w:rsid w:val="005C0BB4"/>
    <w:rsid w:val="005D586C"/>
    <w:rsid w:val="00602260"/>
    <w:rsid w:val="006313C5"/>
    <w:rsid w:val="00631FB0"/>
    <w:rsid w:val="00636FED"/>
    <w:rsid w:val="00637621"/>
    <w:rsid w:val="006418DD"/>
    <w:rsid w:val="006451AB"/>
    <w:rsid w:val="006543AB"/>
    <w:rsid w:val="00663D9D"/>
    <w:rsid w:val="006843A0"/>
    <w:rsid w:val="006940CC"/>
    <w:rsid w:val="006A318B"/>
    <w:rsid w:val="006A4D37"/>
    <w:rsid w:val="006B047E"/>
    <w:rsid w:val="006D2193"/>
    <w:rsid w:val="006D28F8"/>
    <w:rsid w:val="006D5981"/>
    <w:rsid w:val="006E080D"/>
    <w:rsid w:val="006F5A9E"/>
    <w:rsid w:val="00700D01"/>
    <w:rsid w:val="007030D1"/>
    <w:rsid w:val="00706826"/>
    <w:rsid w:val="00723CE8"/>
    <w:rsid w:val="007379BC"/>
    <w:rsid w:val="00741A2B"/>
    <w:rsid w:val="00762D7F"/>
    <w:rsid w:val="00766BFA"/>
    <w:rsid w:val="00775E23"/>
    <w:rsid w:val="0078125A"/>
    <w:rsid w:val="007A150E"/>
    <w:rsid w:val="007B3644"/>
    <w:rsid w:val="007C3048"/>
    <w:rsid w:val="007D0ACA"/>
    <w:rsid w:val="007D3ADA"/>
    <w:rsid w:val="007E3668"/>
    <w:rsid w:val="007E571E"/>
    <w:rsid w:val="007F3B1E"/>
    <w:rsid w:val="00801A53"/>
    <w:rsid w:val="00816F95"/>
    <w:rsid w:val="0082182E"/>
    <w:rsid w:val="00851A0E"/>
    <w:rsid w:val="00851D0E"/>
    <w:rsid w:val="00851E94"/>
    <w:rsid w:val="00861FC3"/>
    <w:rsid w:val="008702F4"/>
    <w:rsid w:val="00872AA9"/>
    <w:rsid w:val="00884208"/>
    <w:rsid w:val="0089216A"/>
    <w:rsid w:val="008A197E"/>
    <w:rsid w:val="008A7E46"/>
    <w:rsid w:val="008B631A"/>
    <w:rsid w:val="008D1D22"/>
    <w:rsid w:val="008D38D9"/>
    <w:rsid w:val="008D483E"/>
    <w:rsid w:val="008F0D46"/>
    <w:rsid w:val="008F1941"/>
    <w:rsid w:val="00923FCF"/>
    <w:rsid w:val="00937337"/>
    <w:rsid w:val="00945D15"/>
    <w:rsid w:val="00950791"/>
    <w:rsid w:val="00955273"/>
    <w:rsid w:val="00962E86"/>
    <w:rsid w:val="009660EE"/>
    <w:rsid w:val="009A4CEF"/>
    <w:rsid w:val="009C74DB"/>
    <w:rsid w:val="009C76A2"/>
    <w:rsid w:val="009D2FED"/>
    <w:rsid w:val="009E0533"/>
    <w:rsid w:val="00A10A46"/>
    <w:rsid w:val="00A1598B"/>
    <w:rsid w:val="00A16944"/>
    <w:rsid w:val="00A27EBF"/>
    <w:rsid w:val="00A30EAA"/>
    <w:rsid w:val="00A41BE4"/>
    <w:rsid w:val="00A56A1E"/>
    <w:rsid w:val="00A63825"/>
    <w:rsid w:val="00A63FBA"/>
    <w:rsid w:val="00A67091"/>
    <w:rsid w:val="00A831F9"/>
    <w:rsid w:val="00A86515"/>
    <w:rsid w:val="00A95926"/>
    <w:rsid w:val="00AA19C5"/>
    <w:rsid w:val="00AA35CD"/>
    <w:rsid w:val="00AA527A"/>
    <w:rsid w:val="00AB0950"/>
    <w:rsid w:val="00AD0587"/>
    <w:rsid w:val="00AD18FF"/>
    <w:rsid w:val="00AD270F"/>
    <w:rsid w:val="00AE1493"/>
    <w:rsid w:val="00B01CF7"/>
    <w:rsid w:val="00B1333D"/>
    <w:rsid w:val="00B22626"/>
    <w:rsid w:val="00B22BFD"/>
    <w:rsid w:val="00B2348C"/>
    <w:rsid w:val="00B251FC"/>
    <w:rsid w:val="00B41354"/>
    <w:rsid w:val="00B63DE9"/>
    <w:rsid w:val="00B71876"/>
    <w:rsid w:val="00B76EC0"/>
    <w:rsid w:val="00BA30DB"/>
    <w:rsid w:val="00C207BF"/>
    <w:rsid w:val="00C208DD"/>
    <w:rsid w:val="00C249E6"/>
    <w:rsid w:val="00C60D63"/>
    <w:rsid w:val="00C7051D"/>
    <w:rsid w:val="00C71B62"/>
    <w:rsid w:val="00C750A5"/>
    <w:rsid w:val="00C85041"/>
    <w:rsid w:val="00C90C86"/>
    <w:rsid w:val="00C94F88"/>
    <w:rsid w:val="00CA389F"/>
    <w:rsid w:val="00CA47A1"/>
    <w:rsid w:val="00CB14BF"/>
    <w:rsid w:val="00CB3AAD"/>
    <w:rsid w:val="00CB4467"/>
    <w:rsid w:val="00CC5263"/>
    <w:rsid w:val="00CD09B8"/>
    <w:rsid w:val="00D036B1"/>
    <w:rsid w:val="00D95393"/>
    <w:rsid w:val="00D9689D"/>
    <w:rsid w:val="00DA2B91"/>
    <w:rsid w:val="00DA5951"/>
    <w:rsid w:val="00DA73D0"/>
    <w:rsid w:val="00DD1F2E"/>
    <w:rsid w:val="00E02CE4"/>
    <w:rsid w:val="00E31CF1"/>
    <w:rsid w:val="00E4050A"/>
    <w:rsid w:val="00E556E6"/>
    <w:rsid w:val="00E60A3E"/>
    <w:rsid w:val="00E62AFA"/>
    <w:rsid w:val="00E710CD"/>
    <w:rsid w:val="00E76BEC"/>
    <w:rsid w:val="00E81842"/>
    <w:rsid w:val="00EA43CE"/>
    <w:rsid w:val="00EB2D90"/>
    <w:rsid w:val="00EC5325"/>
    <w:rsid w:val="00ED3842"/>
    <w:rsid w:val="00EE697C"/>
    <w:rsid w:val="00EF1039"/>
    <w:rsid w:val="00F56126"/>
    <w:rsid w:val="00F63769"/>
    <w:rsid w:val="00F854BD"/>
    <w:rsid w:val="00F962A2"/>
    <w:rsid w:val="00FA3C13"/>
    <w:rsid w:val="00FA6E82"/>
    <w:rsid w:val="00FB06C5"/>
    <w:rsid w:val="00FB28A6"/>
    <w:rsid w:val="00FB744B"/>
    <w:rsid w:val="00FC0CF4"/>
    <w:rsid w:val="00FC1A98"/>
    <w:rsid w:val="00FC3D34"/>
    <w:rsid w:val="00FD0A36"/>
    <w:rsid w:val="00FD25D7"/>
    <w:rsid w:val="00FE7019"/>
    <w:rsid w:val="00FF20E1"/>
    <w:rsid w:val="01073442"/>
    <w:rsid w:val="011779BC"/>
    <w:rsid w:val="0135256E"/>
    <w:rsid w:val="017F0419"/>
    <w:rsid w:val="0202557A"/>
    <w:rsid w:val="02455361"/>
    <w:rsid w:val="026B7D9D"/>
    <w:rsid w:val="02E03D80"/>
    <w:rsid w:val="02FF6323"/>
    <w:rsid w:val="03166C95"/>
    <w:rsid w:val="033742BA"/>
    <w:rsid w:val="0352039E"/>
    <w:rsid w:val="03907862"/>
    <w:rsid w:val="040B1721"/>
    <w:rsid w:val="0432047D"/>
    <w:rsid w:val="043915D7"/>
    <w:rsid w:val="044736CF"/>
    <w:rsid w:val="047B780F"/>
    <w:rsid w:val="04AB653B"/>
    <w:rsid w:val="04CE269C"/>
    <w:rsid w:val="052D2EBC"/>
    <w:rsid w:val="05B75E5D"/>
    <w:rsid w:val="06E4135A"/>
    <w:rsid w:val="07DA186C"/>
    <w:rsid w:val="084D65E4"/>
    <w:rsid w:val="08743236"/>
    <w:rsid w:val="08C922E5"/>
    <w:rsid w:val="08DC6D2E"/>
    <w:rsid w:val="08E27460"/>
    <w:rsid w:val="08FA3C1C"/>
    <w:rsid w:val="095440F8"/>
    <w:rsid w:val="097A3B63"/>
    <w:rsid w:val="0A0A25D7"/>
    <w:rsid w:val="0A1A0477"/>
    <w:rsid w:val="0B384983"/>
    <w:rsid w:val="0B3869A1"/>
    <w:rsid w:val="0B637A3A"/>
    <w:rsid w:val="0B9713AA"/>
    <w:rsid w:val="0BB65870"/>
    <w:rsid w:val="0BF4331C"/>
    <w:rsid w:val="0D293A54"/>
    <w:rsid w:val="0DD1638B"/>
    <w:rsid w:val="0E443C6A"/>
    <w:rsid w:val="0ED21131"/>
    <w:rsid w:val="0EE1261E"/>
    <w:rsid w:val="0F6303AF"/>
    <w:rsid w:val="104D6387"/>
    <w:rsid w:val="10C92ED0"/>
    <w:rsid w:val="10F654D7"/>
    <w:rsid w:val="11564EC4"/>
    <w:rsid w:val="11B07BD6"/>
    <w:rsid w:val="11CB3B70"/>
    <w:rsid w:val="11D91565"/>
    <w:rsid w:val="125750F6"/>
    <w:rsid w:val="127542AA"/>
    <w:rsid w:val="12F15FC0"/>
    <w:rsid w:val="12F66813"/>
    <w:rsid w:val="13AD3C35"/>
    <w:rsid w:val="14685E9F"/>
    <w:rsid w:val="149C53ED"/>
    <w:rsid w:val="14A17E3B"/>
    <w:rsid w:val="1557079B"/>
    <w:rsid w:val="15661BF2"/>
    <w:rsid w:val="169F1555"/>
    <w:rsid w:val="16C339B4"/>
    <w:rsid w:val="16F110B7"/>
    <w:rsid w:val="17465A04"/>
    <w:rsid w:val="174B4A2A"/>
    <w:rsid w:val="17E0367B"/>
    <w:rsid w:val="181C3543"/>
    <w:rsid w:val="183550AA"/>
    <w:rsid w:val="1887170A"/>
    <w:rsid w:val="18BE625E"/>
    <w:rsid w:val="18F64FE1"/>
    <w:rsid w:val="193E2714"/>
    <w:rsid w:val="197D38E8"/>
    <w:rsid w:val="198960E3"/>
    <w:rsid w:val="199F0C8D"/>
    <w:rsid w:val="19A857C8"/>
    <w:rsid w:val="19CE48C9"/>
    <w:rsid w:val="19D9355D"/>
    <w:rsid w:val="19E901E2"/>
    <w:rsid w:val="1A0C3B58"/>
    <w:rsid w:val="1A8B44E3"/>
    <w:rsid w:val="1B1C0F2A"/>
    <w:rsid w:val="1B1F3315"/>
    <w:rsid w:val="1B210D62"/>
    <w:rsid w:val="1B5003E0"/>
    <w:rsid w:val="1B632526"/>
    <w:rsid w:val="1B765B82"/>
    <w:rsid w:val="1B965EA6"/>
    <w:rsid w:val="1BE62BE0"/>
    <w:rsid w:val="1C72205E"/>
    <w:rsid w:val="1D155786"/>
    <w:rsid w:val="1DDC590A"/>
    <w:rsid w:val="1E335181"/>
    <w:rsid w:val="1EE4458C"/>
    <w:rsid w:val="1F3A2255"/>
    <w:rsid w:val="1F7362DF"/>
    <w:rsid w:val="1FB74E43"/>
    <w:rsid w:val="1FC70F79"/>
    <w:rsid w:val="1FD44083"/>
    <w:rsid w:val="1FDB4036"/>
    <w:rsid w:val="209A7B6A"/>
    <w:rsid w:val="20BE6021"/>
    <w:rsid w:val="20F22E14"/>
    <w:rsid w:val="216D4A99"/>
    <w:rsid w:val="2173797E"/>
    <w:rsid w:val="218642C5"/>
    <w:rsid w:val="218B4CE9"/>
    <w:rsid w:val="227F3AB8"/>
    <w:rsid w:val="22C65437"/>
    <w:rsid w:val="2304797C"/>
    <w:rsid w:val="231942C4"/>
    <w:rsid w:val="23BE0F28"/>
    <w:rsid w:val="23CB6CF7"/>
    <w:rsid w:val="23E17F6F"/>
    <w:rsid w:val="24097FEF"/>
    <w:rsid w:val="242F6C37"/>
    <w:rsid w:val="249D31FD"/>
    <w:rsid w:val="24CA6AC2"/>
    <w:rsid w:val="24D972C4"/>
    <w:rsid w:val="24E92B02"/>
    <w:rsid w:val="252565D6"/>
    <w:rsid w:val="253216FD"/>
    <w:rsid w:val="25691101"/>
    <w:rsid w:val="256D4AB4"/>
    <w:rsid w:val="25A13331"/>
    <w:rsid w:val="25A57D1C"/>
    <w:rsid w:val="26294A1D"/>
    <w:rsid w:val="26CC410D"/>
    <w:rsid w:val="27903546"/>
    <w:rsid w:val="27BD17FC"/>
    <w:rsid w:val="284D434A"/>
    <w:rsid w:val="285D04B4"/>
    <w:rsid w:val="28AE4F82"/>
    <w:rsid w:val="291E1DAE"/>
    <w:rsid w:val="29DA29ED"/>
    <w:rsid w:val="2A523300"/>
    <w:rsid w:val="2AFA300F"/>
    <w:rsid w:val="2B4C0158"/>
    <w:rsid w:val="2BB712A2"/>
    <w:rsid w:val="2BD668A3"/>
    <w:rsid w:val="2C446861"/>
    <w:rsid w:val="2CD53511"/>
    <w:rsid w:val="2D2A61CE"/>
    <w:rsid w:val="2D80707D"/>
    <w:rsid w:val="2DE2488D"/>
    <w:rsid w:val="2E083145"/>
    <w:rsid w:val="2E524F35"/>
    <w:rsid w:val="2ED5521A"/>
    <w:rsid w:val="2ED619F5"/>
    <w:rsid w:val="2F9F3A1B"/>
    <w:rsid w:val="30132522"/>
    <w:rsid w:val="303B0264"/>
    <w:rsid w:val="304B5E64"/>
    <w:rsid w:val="30571F2F"/>
    <w:rsid w:val="3071043D"/>
    <w:rsid w:val="30730BA2"/>
    <w:rsid w:val="30782F4C"/>
    <w:rsid w:val="3091213D"/>
    <w:rsid w:val="31AF70A8"/>
    <w:rsid w:val="31C6513D"/>
    <w:rsid w:val="32221E3A"/>
    <w:rsid w:val="32B05C3D"/>
    <w:rsid w:val="32B65903"/>
    <w:rsid w:val="32C97243"/>
    <w:rsid w:val="32D758ED"/>
    <w:rsid w:val="33012007"/>
    <w:rsid w:val="33AD15F4"/>
    <w:rsid w:val="33F65183"/>
    <w:rsid w:val="346065C9"/>
    <w:rsid w:val="34842703"/>
    <w:rsid w:val="34A065F2"/>
    <w:rsid w:val="359C1A91"/>
    <w:rsid w:val="36683A56"/>
    <w:rsid w:val="37186BCB"/>
    <w:rsid w:val="37251CAF"/>
    <w:rsid w:val="372B6D68"/>
    <w:rsid w:val="37604E39"/>
    <w:rsid w:val="378D5403"/>
    <w:rsid w:val="37C02DA1"/>
    <w:rsid w:val="37D43997"/>
    <w:rsid w:val="38042CE6"/>
    <w:rsid w:val="38285B2C"/>
    <w:rsid w:val="38387BC2"/>
    <w:rsid w:val="38A11738"/>
    <w:rsid w:val="38C715C9"/>
    <w:rsid w:val="38CF2698"/>
    <w:rsid w:val="38D4603A"/>
    <w:rsid w:val="38F76EE1"/>
    <w:rsid w:val="392E3D2B"/>
    <w:rsid w:val="3A4719E4"/>
    <w:rsid w:val="3A5F0E06"/>
    <w:rsid w:val="3AA35120"/>
    <w:rsid w:val="3B2640C3"/>
    <w:rsid w:val="3B9F7E10"/>
    <w:rsid w:val="3BA40ED7"/>
    <w:rsid w:val="3BE67851"/>
    <w:rsid w:val="3C025073"/>
    <w:rsid w:val="3C0D4D62"/>
    <w:rsid w:val="3D0E3394"/>
    <w:rsid w:val="3E253FC4"/>
    <w:rsid w:val="3E66686E"/>
    <w:rsid w:val="3E781CBE"/>
    <w:rsid w:val="3EF13B78"/>
    <w:rsid w:val="3F184BE9"/>
    <w:rsid w:val="3F96657B"/>
    <w:rsid w:val="40712EC2"/>
    <w:rsid w:val="40D9690C"/>
    <w:rsid w:val="4151305E"/>
    <w:rsid w:val="4175100A"/>
    <w:rsid w:val="41A3573D"/>
    <w:rsid w:val="41B4707C"/>
    <w:rsid w:val="422A0C37"/>
    <w:rsid w:val="425B70E5"/>
    <w:rsid w:val="43DD0189"/>
    <w:rsid w:val="43E828F9"/>
    <w:rsid w:val="445951F9"/>
    <w:rsid w:val="44A620DD"/>
    <w:rsid w:val="44E52F1C"/>
    <w:rsid w:val="454753F6"/>
    <w:rsid w:val="455C29AA"/>
    <w:rsid w:val="45A339CF"/>
    <w:rsid w:val="45BB538B"/>
    <w:rsid w:val="4616050C"/>
    <w:rsid w:val="4624734D"/>
    <w:rsid w:val="46BB019A"/>
    <w:rsid w:val="47663221"/>
    <w:rsid w:val="47F235B6"/>
    <w:rsid w:val="48BF50A6"/>
    <w:rsid w:val="48C46876"/>
    <w:rsid w:val="48E66DBF"/>
    <w:rsid w:val="49246CEA"/>
    <w:rsid w:val="4964544D"/>
    <w:rsid w:val="49E360AC"/>
    <w:rsid w:val="4A04095E"/>
    <w:rsid w:val="4A2E44F7"/>
    <w:rsid w:val="4A373AFF"/>
    <w:rsid w:val="4B3C70F3"/>
    <w:rsid w:val="4BC83044"/>
    <w:rsid w:val="4BF23C29"/>
    <w:rsid w:val="4C2A52C3"/>
    <w:rsid w:val="4C7952A3"/>
    <w:rsid w:val="4D000BB8"/>
    <w:rsid w:val="4D2500D2"/>
    <w:rsid w:val="4D2764E4"/>
    <w:rsid w:val="4D553076"/>
    <w:rsid w:val="4DC16712"/>
    <w:rsid w:val="4E083898"/>
    <w:rsid w:val="4E26397C"/>
    <w:rsid w:val="4E363927"/>
    <w:rsid w:val="4EA90E17"/>
    <w:rsid w:val="4F9153B3"/>
    <w:rsid w:val="4F9428BC"/>
    <w:rsid w:val="51940740"/>
    <w:rsid w:val="52521883"/>
    <w:rsid w:val="52C0259A"/>
    <w:rsid w:val="52FE221E"/>
    <w:rsid w:val="53933799"/>
    <w:rsid w:val="53A129B1"/>
    <w:rsid w:val="53ED7088"/>
    <w:rsid w:val="543758E4"/>
    <w:rsid w:val="545A3E03"/>
    <w:rsid w:val="54BB579F"/>
    <w:rsid w:val="550643C5"/>
    <w:rsid w:val="55902CE3"/>
    <w:rsid w:val="55A42927"/>
    <w:rsid w:val="56311879"/>
    <w:rsid w:val="56B87238"/>
    <w:rsid w:val="571E2C5F"/>
    <w:rsid w:val="57351512"/>
    <w:rsid w:val="57F303AA"/>
    <w:rsid w:val="5863246B"/>
    <w:rsid w:val="588A53A7"/>
    <w:rsid w:val="58C56ACE"/>
    <w:rsid w:val="59322E7B"/>
    <w:rsid w:val="595C082B"/>
    <w:rsid w:val="596E3097"/>
    <w:rsid w:val="59C2216C"/>
    <w:rsid w:val="59F56D5F"/>
    <w:rsid w:val="59FE758C"/>
    <w:rsid w:val="5A484FFF"/>
    <w:rsid w:val="5B14063F"/>
    <w:rsid w:val="5B301B1F"/>
    <w:rsid w:val="5BD30C20"/>
    <w:rsid w:val="5CEC747F"/>
    <w:rsid w:val="5CFD4F8F"/>
    <w:rsid w:val="5D430C6F"/>
    <w:rsid w:val="5D9A2ED9"/>
    <w:rsid w:val="5DBF1C34"/>
    <w:rsid w:val="5DC236EC"/>
    <w:rsid w:val="5DD04D85"/>
    <w:rsid w:val="5EA2001B"/>
    <w:rsid w:val="5F0266A3"/>
    <w:rsid w:val="5F232D5B"/>
    <w:rsid w:val="5F744292"/>
    <w:rsid w:val="5F952C60"/>
    <w:rsid w:val="5FD51C0C"/>
    <w:rsid w:val="606129E7"/>
    <w:rsid w:val="60662262"/>
    <w:rsid w:val="60F431B9"/>
    <w:rsid w:val="60F8796B"/>
    <w:rsid w:val="610B35BB"/>
    <w:rsid w:val="61CD1945"/>
    <w:rsid w:val="620E2B02"/>
    <w:rsid w:val="624A22BB"/>
    <w:rsid w:val="62844946"/>
    <w:rsid w:val="62B65C75"/>
    <w:rsid w:val="63053E2C"/>
    <w:rsid w:val="633D3608"/>
    <w:rsid w:val="634805B5"/>
    <w:rsid w:val="63487EAC"/>
    <w:rsid w:val="63575F25"/>
    <w:rsid w:val="637F68CB"/>
    <w:rsid w:val="6393380C"/>
    <w:rsid w:val="64013D86"/>
    <w:rsid w:val="64031C4A"/>
    <w:rsid w:val="643A6EA0"/>
    <w:rsid w:val="646D5791"/>
    <w:rsid w:val="64A17E2B"/>
    <w:rsid w:val="64A849CD"/>
    <w:rsid w:val="64CF1F8E"/>
    <w:rsid w:val="64EC5A6B"/>
    <w:rsid w:val="64EF560A"/>
    <w:rsid w:val="650D77AD"/>
    <w:rsid w:val="653666D1"/>
    <w:rsid w:val="6597576B"/>
    <w:rsid w:val="66090E80"/>
    <w:rsid w:val="6611701E"/>
    <w:rsid w:val="66E30B4F"/>
    <w:rsid w:val="67FD2A7B"/>
    <w:rsid w:val="680711F8"/>
    <w:rsid w:val="68210070"/>
    <w:rsid w:val="68BB3495"/>
    <w:rsid w:val="68DB190B"/>
    <w:rsid w:val="69166174"/>
    <w:rsid w:val="69634496"/>
    <w:rsid w:val="697C7670"/>
    <w:rsid w:val="69B03442"/>
    <w:rsid w:val="69FB5EBC"/>
    <w:rsid w:val="6A11649E"/>
    <w:rsid w:val="6A315029"/>
    <w:rsid w:val="6A7A45E1"/>
    <w:rsid w:val="6AB1009A"/>
    <w:rsid w:val="6AB728F8"/>
    <w:rsid w:val="6B8860DC"/>
    <w:rsid w:val="6BAE7000"/>
    <w:rsid w:val="6BB05959"/>
    <w:rsid w:val="6BC15672"/>
    <w:rsid w:val="6BD67C2C"/>
    <w:rsid w:val="6C5C04D5"/>
    <w:rsid w:val="6CB13F20"/>
    <w:rsid w:val="6CCA6527"/>
    <w:rsid w:val="6CF93646"/>
    <w:rsid w:val="6D1E181B"/>
    <w:rsid w:val="6D6C6444"/>
    <w:rsid w:val="6D8A1025"/>
    <w:rsid w:val="6D9B2320"/>
    <w:rsid w:val="6DC536BD"/>
    <w:rsid w:val="6DD07A33"/>
    <w:rsid w:val="6F572D08"/>
    <w:rsid w:val="6FB83CDB"/>
    <w:rsid w:val="6FD5142D"/>
    <w:rsid w:val="70853498"/>
    <w:rsid w:val="70FC7A0D"/>
    <w:rsid w:val="712F4D7E"/>
    <w:rsid w:val="71AD0A0A"/>
    <w:rsid w:val="720400C9"/>
    <w:rsid w:val="72074872"/>
    <w:rsid w:val="72BB4D4E"/>
    <w:rsid w:val="72BE4B83"/>
    <w:rsid w:val="73094A27"/>
    <w:rsid w:val="73200F6B"/>
    <w:rsid w:val="746A71CC"/>
    <w:rsid w:val="74715CA6"/>
    <w:rsid w:val="74BB1904"/>
    <w:rsid w:val="74D249BF"/>
    <w:rsid w:val="754358D4"/>
    <w:rsid w:val="75480C47"/>
    <w:rsid w:val="75FF0A2F"/>
    <w:rsid w:val="767F7FDC"/>
    <w:rsid w:val="76F66D3B"/>
    <w:rsid w:val="770563B7"/>
    <w:rsid w:val="77DE40CB"/>
    <w:rsid w:val="781135E0"/>
    <w:rsid w:val="78305FF2"/>
    <w:rsid w:val="78694157"/>
    <w:rsid w:val="78B9024B"/>
    <w:rsid w:val="792E66F3"/>
    <w:rsid w:val="796203CB"/>
    <w:rsid w:val="79B44386"/>
    <w:rsid w:val="79EE6A68"/>
    <w:rsid w:val="7A3E7618"/>
    <w:rsid w:val="7AE5282F"/>
    <w:rsid w:val="7AF956FC"/>
    <w:rsid w:val="7B970C64"/>
    <w:rsid w:val="7C003A54"/>
    <w:rsid w:val="7C373DB7"/>
    <w:rsid w:val="7C4228B4"/>
    <w:rsid w:val="7C5D47C4"/>
    <w:rsid w:val="7C6B5BDD"/>
    <w:rsid w:val="7CF851FF"/>
    <w:rsid w:val="7D842440"/>
    <w:rsid w:val="7DA94ABE"/>
    <w:rsid w:val="7E073573"/>
    <w:rsid w:val="7E3B60DE"/>
    <w:rsid w:val="7E49423D"/>
    <w:rsid w:val="7E8C3B59"/>
    <w:rsid w:val="7EDC6139"/>
    <w:rsid w:val="7EEE135D"/>
    <w:rsid w:val="7F290C8A"/>
    <w:rsid w:val="7F3C32C9"/>
    <w:rsid w:val="7F54096F"/>
    <w:rsid w:val="7F57487B"/>
    <w:rsid w:val="7FA239C6"/>
    <w:rsid w:val="7FB7288D"/>
    <w:rsid w:val="7FB73A06"/>
    <w:rsid w:val="7FC24B9F"/>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6">
    <w:name w:val="heading 3"/>
    <w:basedOn w:val="1"/>
    <w:next w:val="7"/>
    <w:link w:val="38"/>
    <w:qFormat/>
    <w:uiPriority w:val="99"/>
    <w:pPr>
      <w:keepNext/>
      <w:keepLines/>
      <w:spacing w:before="260" w:after="260" w:line="416" w:lineRule="auto"/>
      <w:outlineLvl w:val="2"/>
    </w:pPr>
    <w:rPr>
      <w:b/>
      <w:bCs/>
      <w:kern w:val="0"/>
      <w:sz w:val="32"/>
      <w:szCs w:val="32"/>
    </w:rPr>
  </w:style>
  <w:style w:type="paragraph" w:styleId="8">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99"/>
    <w:pPr>
      <w:spacing w:line="360" w:lineRule="auto"/>
      <w:ind w:firstLine="480" w:firstLineChars="200"/>
    </w:pPr>
    <w:rPr>
      <w:sz w:val="24"/>
      <w:szCs w:val="22"/>
      <w:lang w:val="zh-CN"/>
    </w:rPr>
  </w:style>
  <w:style w:type="paragraph" w:styleId="3">
    <w:name w:val="Body Text"/>
    <w:basedOn w:val="1"/>
    <w:link w:val="42"/>
    <w:qFormat/>
    <w:locked/>
    <w:uiPriority w:val="99"/>
    <w:pPr>
      <w:spacing w:line="360" w:lineRule="auto"/>
    </w:pPr>
    <w:rPr>
      <w:rFonts w:eastAsia="仿宋_GB2312"/>
      <w:sz w:val="28"/>
    </w:rPr>
  </w:style>
  <w:style w:type="paragraph" w:styleId="7">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9">
    <w:name w:val="List Number 2"/>
    <w:basedOn w:val="1"/>
    <w:qFormat/>
    <w:uiPriority w:val="99"/>
    <w:pPr>
      <w:numPr>
        <w:ilvl w:val="0"/>
        <w:numId w:val="2"/>
      </w:numPr>
    </w:pPr>
  </w:style>
  <w:style w:type="paragraph" w:styleId="10">
    <w:name w:val="List Number"/>
    <w:basedOn w:val="1"/>
    <w:qFormat/>
    <w:uiPriority w:val="99"/>
    <w:pPr>
      <w:numPr>
        <w:ilvl w:val="0"/>
        <w:numId w:val="3"/>
      </w:numPr>
    </w:pPr>
  </w:style>
  <w:style w:type="paragraph" w:styleId="11">
    <w:name w:val="Document Map"/>
    <w:basedOn w:val="1"/>
    <w:link w:val="40"/>
    <w:semiHidden/>
    <w:qFormat/>
    <w:locked/>
    <w:uiPriority w:val="99"/>
    <w:pPr>
      <w:shd w:val="clear" w:color="auto" w:fill="000080"/>
      <w:adjustRightInd/>
    </w:pPr>
    <w:rPr>
      <w:rFonts w:ascii="宋体"/>
      <w:sz w:val="18"/>
      <w:szCs w:val="18"/>
    </w:rPr>
  </w:style>
  <w:style w:type="paragraph" w:styleId="12">
    <w:name w:val="annotation text"/>
    <w:basedOn w:val="1"/>
    <w:link w:val="41"/>
    <w:qFormat/>
    <w:uiPriority w:val="99"/>
    <w:pPr>
      <w:adjustRightInd/>
      <w:jc w:val="left"/>
    </w:pPr>
    <w:rPr>
      <w:kern w:val="0"/>
      <w:sz w:val="24"/>
      <w:lang w:val="zh-CN"/>
    </w:rPr>
  </w:style>
  <w:style w:type="paragraph" w:styleId="13">
    <w:name w:val="Body Text Indent"/>
    <w:basedOn w:val="1"/>
    <w:link w:val="43"/>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4"/>
    <w:qFormat/>
    <w:uiPriority w:val="99"/>
    <w:rPr>
      <w:rFonts w:ascii="宋体" w:hAnsi="Courier New"/>
      <w:kern w:val="0"/>
      <w:szCs w:val="20"/>
    </w:rPr>
  </w:style>
  <w:style w:type="paragraph" w:styleId="16">
    <w:name w:val="Date"/>
    <w:basedOn w:val="1"/>
    <w:next w:val="1"/>
    <w:link w:val="45"/>
    <w:qFormat/>
    <w:uiPriority w:val="99"/>
    <w:pPr>
      <w:ind w:left="100" w:leftChars="2500"/>
    </w:pPr>
    <w:rPr>
      <w:rFonts w:ascii="宋体"/>
      <w:kern w:val="0"/>
      <w:szCs w:val="20"/>
      <w:lang w:val="zh-CN"/>
    </w:rPr>
  </w:style>
  <w:style w:type="paragraph" w:styleId="17">
    <w:name w:val="Body Text Indent 2"/>
    <w:basedOn w:val="1"/>
    <w:link w:val="46"/>
    <w:semiHidden/>
    <w:qFormat/>
    <w:locked/>
    <w:uiPriority w:val="99"/>
    <w:pPr>
      <w:spacing w:after="120" w:line="480" w:lineRule="auto"/>
      <w:ind w:left="420" w:leftChars="200"/>
    </w:pPr>
  </w:style>
  <w:style w:type="paragraph" w:styleId="18">
    <w:name w:val="Balloon Text"/>
    <w:basedOn w:val="1"/>
    <w:link w:val="80"/>
    <w:semiHidden/>
    <w:qFormat/>
    <w:locked/>
    <w:uiPriority w:val="99"/>
    <w:rPr>
      <w:sz w:val="18"/>
      <w:szCs w:val="18"/>
    </w:rPr>
  </w:style>
  <w:style w:type="paragraph" w:styleId="19">
    <w:name w:val="footer"/>
    <w:basedOn w:val="1"/>
    <w:link w:val="47"/>
    <w:qFormat/>
    <w:uiPriority w:val="99"/>
    <w:pPr>
      <w:tabs>
        <w:tab w:val="center" w:pos="4153"/>
        <w:tab w:val="right" w:pos="8306"/>
      </w:tabs>
      <w:snapToGrid w:val="0"/>
      <w:jc w:val="left"/>
    </w:pPr>
    <w:rPr>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9"/>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2"/>
    <w:next w:val="12"/>
    <w:link w:val="51"/>
    <w:qFormat/>
    <w:uiPriority w:val="99"/>
    <w:pPr>
      <w:widowControl/>
      <w:spacing w:afterLines="50"/>
    </w:pPr>
    <w:rPr>
      <w:b/>
      <w:bCs/>
    </w:rPr>
  </w:style>
  <w:style w:type="paragraph" w:styleId="27">
    <w:name w:val="Body Text First Indent"/>
    <w:basedOn w:val="3"/>
    <w:qFormat/>
    <w:locked/>
    <w:uiPriority w:val="0"/>
    <w:pPr>
      <w:spacing w:line="240" w:lineRule="auto"/>
      <w:ind w:firstLine="420" w:firstLineChars="100"/>
    </w:pPr>
    <w:rPr>
      <w:sz w:val="21"/>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page number"/>
    <w:basedOn w:val="30"/>
    <w:qFormat/>
    <w:uiPriority w:val="99"/>
    <w:rPr>
      <w:rFonts w:ascii="Arial" w:hAnsi="Arial" w:eastAsia="黑体" w:cs="Times New Roman"/>
      <w:snapToGrid w:val="0"/>
      <w:kern w:val="0"/>
      <w:sz w:val="21"/>
    </w:rPr>
  </w:style>
  <w:style w:type="character" w:styleId="33">
    <w:name w:val="FollowedHyperlink"/>
    <w:basedOn w:val="30"/>
    <w:qFormat/>
    <w:locked/>
    <w:uiPriority w:val="99"/>
    <w:rPr>
      <w:rFonts w:cs="Times New Roman"/>
      <w:color w:val="800080"/>
      <w:u w:val="none"/>
    </w:rPr>
  </w:style>
  <w:style w:type="character" w:styleId="34">
    <w:name w:val="Hyperlink"/>
    <w:basedOn w:val="30"/>
    <w:qFormat/>
    <w:uiPriority w:val="99"/>
    <w:rPr>
      <w:rFonts w:cs="Times New Roman"/>
      <w:color w:val="0000FF"/>
      <w:u w:val="single"/>
    </w:rPr>
  </w:style>
  <w:style w:type="character" w:styleId="35">
    <w:name w:val="annotation reference"/>
    <w:basedOn w:val="30"/>
    <w:semiHidden/>
    <w:qFormat/>
    <w:locked/>
    <w:uiPriority w:val="99"/>
    <w:rPr>
      <w:rFonts w:cs="Times New Roman"/>
      <w:sz w:val="21"/>
      <w:szCs w:val="21"/>
    </w:rPr>
  </w:style>
  <w:style w:type="character" w:customStyle="1" w:styleId="36">
    <w:name w:val="标题 1 Char"/>
    <w:basedOn w:val="30"/>
    <w:link w:val="4"/>
    <w:qFormat/>
    <w:locked/>
    <w:uiPriority w:val="99"/>
    <w:rPr>
      <w:rFonts w:eastAsia="仿宋_GB2312"/>
      <w:b/>
      <w:kern w:val="44"/>
      <w:sz w:val="44"/>
      <w:szCs w:val="20"/>
    </w:rPr>
  </w:style>
  <w:style w:type="character" w:customStyle="1" w:styleId="37">
    <w:name w:val="标题 2 Char"/>
    <w:basedOn w:val="30"/>
    <w:link w:val="5"/>
    <w:semiHidden/>
    <w:qFormat/>
    <w:locked/>
    <w:uiPriority w:val="99"/>
    <w:rPr>
      <w:rFonts w:ascii="Calibri Light" w:hAnsi="Calibri Light" w:eastAsia="宋体" w:cs="Times New Roman"/>
      <w:b/>
      <w:sz w:val="32"/>
    </w:rPr>
  </w:style>
  <w:style w:type="character" w:customStyle="1" w:styleId="38">
    <w:name w:val="标题 3 Char"/>
    <w:basedOn w:val="30"/>
    <w:link w:val="6"/>
    <w:semiHidden/>
    <w:qFormat/>
    <w:locked/>
    <w:uiPriority w:val="99"/>
    <w:rPr>
      <w:rFonts w:ascii="Times New Roman" w:hAnsi="Times New Roman" w:eastAsia="宋体" w:cs="Times New Roman"/>
      <w:b/>
      <w:sz w:val="32"/>
    </w:rPr>
  </w:style>
  <w:style w:type="character" w:customStyle="1" w:styleId="39">
    <w:name w:val="标题 4 Char"/>
    <w:basedOn w:val="30"/>
    <w:link w:val="8"/>
    <w:semiHidden/>
    <w:qFormat/>
    <w:locked/>
    <w:uiPriority w:val="99"/>
    <w:rPr>
      <w:rFonts w:ascii="Calibri Light" w:hAnsi="Calibri Light" w:eastAsia="宋体" w:cs="Times New Roman"/>
      <w:b/>
      <w:sz w:val="28"/>
    </w:rPr>
  </w:style>
  <w:style w:type="character" w:customStyle="1" w:styleId="40">
    <w:name w:val="文档结构图 Char1"/>
    <w:basedOn w:val="30"/>
    <w:link w:val="11"/>
    <w:semiHidden/>
    <w:qFormat/>
    <w:locked/>
    <w:uiPriority w:val="99"/>
    <w:rPr>
      <w:rFonts w:ascii="宋体" w:hAnsi="Times New Roman" w:cs="Times New Roman"/>
      <w:kern w:val="2"/>
      <w:sz w:val="18"/>
    </w:rPr>
  </w:style>
  <w:style w:type="character" w:customStyle="1" w:styleId="41">
    <w:name w:val="批注文字 Char"/>
    <w:basedOn w:val="30"/>
    <w:link w:val="12"/>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30"/>
    <w:link w:val="3"/>
    <w:semiHidden/>
    <w:qFormat/>
    <w:locked/>
    <w:uiPriority w:val="99"/>
    <w:rPr>
      <w:rFonts w:cs="Times New Roman"/>
      <w:sz w:val="24"/>
      <w:szCs w:val="24"/>
    </w:rPr>
  </w:style>
  <w:style w:type="character" w:customStyle="1" w:styleId="43">
    <w:name w:val="正文文本缩进 Char"/>
    <w:basedOn w:val="30"/>
    <w:link w:val="13"/>
    <w:semiHidden/>
    <w:qFormat/>
    <w:locked/>
    <w:uiPriority w:val="99"/>
    <w:rPr>
      <w:rFonts w:ascii="Times New Roman" w:hAnsi="Times New Roman" w:cs="Times New Roman"/>
      <w:sz w:val="24"/>
    </w:rPr>
  </w:style>
  <w:style w:type="character" w:customStyle="1" w:styleId="44">
    <w:name w:val="纯文本 Char"/>
    <w:basedOn w:val="30"/>
    <w:link w:val="15"/>
    <w:qFormat/>
    <w:locked/>
    <w:uiPriority w:val="99"/>
    <w:rPr>
      <w:rFonts w:ascii="宋体" w:hAnsi="Courier New" w:eastAsia="宋体" w:cs="Times New Roman"/>
      <w:snapToGrid w:val="0"/>
      <w:sz w:val="21"/>
    </w:rPr>
  </w:style>
  <w:style w:type="character" w:customStyle="1" w:styleId="45">
    <w:name w:val="日期 Char"/>
    <w:basedOn w:val="30"/>
    <w:link w:val="16"/>
    <w:qFormat/>
    <w:locked/>
    <w:uiPriority w:val="99"/>
    <w:rPr>
      <w:rFonts w:ascii="宋体" w:cs="Times New Roman"/>
      <w:sz w:val="21"/>
      <w:lang w:val="zh-CN"/>
    </w:rPr>
  </w:style>
  <w:style w:type="character" w:customStyle="1" w:styleId="46">
    <w:name w:val="正文文本缩进 2 Char"/>
    <w:basedOn w:val="30"/>
    <w:link w:val="17"/>
    <w:semiHidden/>
    <w:qFormat/>
    <w:locked/>
    <w:uiPriority w:val="99"/>
    <w:rPr>
      <w:rFonts w:cs="Times New Roman"/>
      <w:sz w:val="24"/>
      <w:szCs w:val="24"/>
    </w:rPr>
  </w:style>
  <w:style w:type="character" w:customStyle="1" w:styleId="47">
    <w:name w:val="页脚 Char"/>
    <w:basedOn w:val="30"/>
    <w:link w:val="19"/>
    <w:qFormat/>
    <w:locked/>
    <w:uiPriority w:val="99"/>
    <w:rPr>
      <w:rFonts w:ascii="Times New Roman" w:hAnsi="Times New Roman" w:eastAsia="宋体" w:cs="Times New Roman"/>
      <w:sz w:val="18"/>
    </w:rPr>
  </w:style>
  <w:style w:type="character" w:customStyle="1" w:styleId="48">
    <w:name w:val="Header Char"/>
    <w:basedOn w:val="30"/>
    <w:qFormat/>
    <w:locked/>
    <w:uiPriority w:val="99"/>
    <w:rPr>
      <w:rFonts w:ascii="Times New Roman" w:hAnsi="Times New Roman" w:eastAsia="宋体" w:cs="Times New Roman"/>
      <w:sz w:val="18"/>
    </w:rPr>
  </w:style>
  <w:style w:type="character" w:customStyle="1" w:styleId="49">
    <w:name w:val="正文文本 2 Char"/>
    <w:basedOn w:val="30"/>
    <w:link w:val="22"/>
    <w:semiHidden/>
    <w:qFormat/>
    <w:locked/>
    <w:uiPriority w:val="99"/>
    <w:rPr>
      <w:rFonts w:ascii="Times New Roman" w:hAnsi="Times New Roman" w:cs="Times New Roman"/>
      <w:sz w:val="24"/>
    </w:rPr>
  </w:style>
  <w:style w:type="character" w:customStyle="1" w:styleId="50">
    <w:name w:val="标题 Char"/>
    <w:basedOn w:val="30"/>
    <w:link w:val="25"/>
    <w:qFormat/>
    <w:locked/>
    <w:uiPriority w:val="99"/>
    <w:rPr>
      <w:rFonts w:ascii="Calibri Light" w:hAnsi="Calibri Light" w:eastAsia="宋体" w:cs="Times New Roman"/>
      <w:b/>
      <w:sz w:val="32"/>
    </w:rPr>
  </w:style>
  <w:style w:type="character" w:customStyle="1" w:styleId="51">
    <w:name w:val="批注主题 Char"/>
    <w:basedOn w:val="41"/>
    <w:link w:val="26"/>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20"/>
    <w:qFormat/>
    <w:locked/>
    <w:uiPriority w:val="99"/>
    <w:rPr>
      <w:rFonts w:ascii="Times New Roman" w:hAnsi="Times New Roman" w:eastAsia="宋体"/>
      <w:sz w:val="18"/>
    </w:rPr>
  </w:style>
  <w:style w:type="character" w:customStyle="1" w:styleId="53">
    <w:name w:val="正文缩进 Char"/>
    <w:link w:val="7"/>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6"/>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5"/>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30"/>
    <w:link w:val="18"/>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30"/>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30"/>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30"/>
    <w:qFormat/>
    <w:uiPriority w:val="0"/>
    <w:rPr>
      <w:color w:val="333333"/>
      <w:sz w:val="18"/>
      <w:szCs w:val="18"/>
    </w:rPr>
  </w:style>
  <w:style w:type="character" w:customStyle="1" w:styleId="94">
    <w:name w:val="cfdate"/>
    <w:basedOn w:val="30"/>
    <w:qFormat/>
    <w:uiPriority w:val="0"/>
    <w:rPr>
      <w:color w:val="333333"/>
      <w:sz w:val="18"/>
      <w:szCs w:val="18"/>
    </w:rPr>
  </w:style>
  <w:style w:type="character" w:customStyle="1" w:styleId="95">
    <w:name w:val="redfilefwwh"/>
    <w:basedOn w:val="30"/>
    <w:qFormat/>
    <w:uiPriority w:val="0"/>
    <w:rPr>
      <w:color w:val="BA2636"/>
      <w:sz w:val="18"/>
      <w:szCs w:val="18"/>
    </w:rPr>
  </w:style>
  <w:style w:type="character" w:customStyle="1" w:styleId="96">
    <w:name w:val="displayarti"/>
    <w:basedOn w:val="30"/>
    <w:qFormat/>
    <w:uiPriority w:val="0"/>
    <w:rPr>
      <w:color w:val="FFFFFF"/>
      <w:shd w:val="clear" w:color="auto" w:fill="A00000"/>
    </w:rPr>
  </w:style>
  <w:style w:type="character" w:customStyle="1" w:styleId="97">
    <w:name w:val="gjfg"/>
    <w:basedOn w:val="30"/>
    <w:qFormat/>
    <w:uiPriority w:val="0"/>
  </w:style>
  <w:style w:type="character" w:customStyle="1" w:styleId="98">
    <w:name w:val="redfilenumber"/>
    <w:basedOn w:val="30"/>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paragraph" w:styleId="101">
    <w:name w:val="No Spacing"/>
    <w:qFormat/>
    <w:uiPriority w:val="1"/>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emf" Type="http://schemas.openxmlformats.org/officeDocument/2006/relationships/image"/><Relationship Id="rId11" Target="embeddings/oleObject2.bin" Type="http://schemas.openxmlformats.org/officeDocument/2006/relationships/oleObject"/><Relationship Id="rId12" Target="media/image2.emf" Type="http://schemas.openxmlformats.org/officeDocument/2006/relationships/image"/><Relationship Id="rId13" Target="../customXml/item1.xml" Type="http://schemas.openxmlformats.org/officeDocument/2006/relationships/customXml"/><Relationship Id="rId14" Target="numbering.xml" Type="http://schemas.openxmlformats.org/officeDocument/2006/relationships/numbering"/><Relationship Id="rId15" Target="../customXml/item2.xml" Type="http://schemas.openxmlformats.org/officeDocument/2006/relationships/customXml"/><Relationship Id="rId16" Target="fontTable.xml" Type="http://schemas.openxmlformats.org/officeDocument/2006/relationships/fontTable"/><Relationship Id="rId2" Target="settings.xml" Type="http://schemas.openxmlformats.org/officeDocument/2006/relationships/settings"/><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华丽">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33859-C5FF-4F45-9BF6-34CCC7CEC9F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4398</Words>
  <Characters>25075</Characters>
  <Lines>208</Lines>
  <Paragraphs>58</Paragraphs>
  <TotalTime>4</TotalTime>
  <ScaleCrop>false</ScaleCrop>
  <LinksUpToDate>false</LinksUpToDate>
  <CharactersWithSpaces>29415</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2020-06-08T01:09:00Z</dcterms:created>
  <dc:creator>Ting</dc:creator>
  <cp:lastModifiedBy>Administrator</cp:lastModifiedBy>
  <cp:lastPrinted>2020-01-14T04:42:00Z</cp:lastPrinted>
  <dcterms:modified xsi:type="dcterms:W3CDTF">2020-10-15T06:40:14Z</dcterms:modified>
  <cp:revision>59</cp:revision>
  <dc:title>绍兴市公安局交通警察支队交警互联网支付及罚缴平台二期项目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