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pPr>
      <w:r>
        <w:rPr>
          <w:rFonts w:hint="eastAsia" w:ascii="隶书" w:hAnsi="Arial" w:eastAsia="隶书" w:cs="Arial"/>
          <w:b/>
          <w:sz w:val="52"/>
          <w:szCs w:val="52"/>
        </w:rPr>
        <w:t>绍兴市公安局车载动态无线视频监控系统租赁项目</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r>
        <w:rPr>
          <w:rFonts w:hint="eastAsia" w:ascii="隶书" w:eastAsia="隶书"/>
          <w:b/>
          <w:sz w:val="28"/>
          <w:szCs w:val="28"/>
        </w:rPr>
        <w:t>招标编号:YH2020-</w:t>
      </w:r>
      <w:r>
        <w:rPr>
          <w:rFonts w:hint="eastAsia" w:ascii="隶书" w:eastAsia="隶书"/>
          <w:b/>
          <w:sz w:val="28"/>
          <w:szCs w:val="28"/>
          <w:lang w:val="en-US" w:eastAsia="zh-CN"/>
        </w:rPr>
        <w:t>10025</w:t>
      </w:r>
    </w:p>
    <w:tbl>
      <w:tblPr>
        <w:tblStyle w:val="28"/>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绍兴市公安局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年十月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600" w:lineRule="exact"/>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8"/>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rPr>
                      <w:rFonts w:ascii="仿宋" w:hAnsi="仿宋" w:eastAsia="仿宋" w:cs="仿宋"/>
                      <w:kern w:val="0"/>
                      <w:sz w:val="24"/>
                    </w:rPr>
                  </w:pPr>
                  <w:r>
                    <w:rPr>
                      <w:rFonts w:hint="eastAsia" w:ascii="仿宋" w:hAnsi="仿宋" w:eastAsia="仿宋" w:cs="仿宋"/>
                      <w:kern w:val="0"/>
                      <w:sz w:val="24"/>
                    </w:rPr>
                    <w:t>绍兴市公安局车载动态无线视频监控系统租赁项目的潜在投标人应在网上报名获取（下载）招标文件，并</w:t>
                  </w:r>
                  <w:r>
                    <w:rPr>
                      <w:rFonts w:hint="eastAsia" w:ascii="仿宋" w:hAnsi="仿宋" w:eastAsia="仿宋" w:cs="仿宋"/>
                      <w:color w:val="auto"/>
                      <w:kern w:val="0"/>
                      <w:sz w:val="24"/>
                    </w:rPr>
                    <w:t>于2020年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w:t>
                  </w:r>
                  <w:r>
                    <w:rPr>
                      <w:rFonts w:hint="eastAsia" w:ascii="仿宋" w:hAnsi="仿宋" w:eastAsia="仿宋" w:cs="仿宋"/>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项目编号：YH2020-</w:t>
            </w:r>
            <w:r>
              <w:rPr>
                <w:rFonts w:hint="eastAsia" w:ascii="仿宋" w:hAnsi="仿宋" w:eastAsia="仿宋" w:cs="仿宋"/>
                <w:kern w:val="0"/>
                <w:sz w:val="24"/>
                <w:lang w:val="en-US" w:eastAsia="zh-CN"/>
              </w:rPr>
              <w:t>10025</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项目名称：绍兴市公安局车载动态无线视频监控系统租赁项目</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hint="eastAsia" w:ascii="仿宋" w:hAnsi="仿宋" w:eastAsia="仿宋" w:cs="仿宋"/>
                <w:sz w:val="24"/>
              </w:rPr>
              <w:t>773288</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最高限价（元）：</w:t>
            </w:r>
            <w:r>
              <w:rPr>
                <w:rFonts w:hint="eastAsia" w:ascii="仿宋" w:hAnsi="仿宋" w:eastAsia="仿宋" w:cs="仿宋"/>
                <w:sz w:val="24"/>
              </w:rPr>
              <w:t>773288</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标项名称:绍兴市公安局</w:t>
            </w:r>
            <w:r>
              <w:rPr>
                <w:rFonts w:hint="eastAsia" w:ascii="仿宋" w:hAnsi="仿宋" w:eastAsia="仿宋" w:cs="仿宋"/>
                <w:kern w:val="0"/>
                <w:sz w:val="24"/>
                <w:lang w:eastAsia="zh-CN"/>
              </w:rPr>
              <w:t>车载动态无线视频监控系统租赁项目</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数量:1</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 </w:t>
            </w:r>
            <w:r>
              <w:rPr>
                <w:rFonts w:hint="eastAsia" w:ascii="仿宋" w:hAnsi="仿宋" w:eastAsia="仿宋" w:cs="仿宋"/>
                <w:sz w:val="24"/>
              </w:rPr>
              <w:t>773288</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6"/>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3.本项目的特定资格要求：</w:t>
            </w:r>
            <w:r>
              <w:rPr>
                <w:rFonts w:hint="eastAsia" w:ascii="仿宋_GB2312" w:hAnsi="宋体" w:eastAsia="仿宋_GB2312" w:cs="宋体"/>
                <w:kern w:val="0"/>
                <w:sz w:val="24"/>
              </w:rPr>
              <w:t>无</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hint="eastAsia" w:ascii="仿宋" w:hAnsi="仿宋" w:eastAsia="仿宋" w:cs="仿宋"/>
                <w:kern w:val="0"/>
                <w:sz w:val="24"/>
              </w:rPr>
              <w:t>，每天上午00:00至12:00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w:t>
            </w:r>
            <w:r>
              <w:rPr>
                <w:rFonts w:hint="eastAsia" w:ascii="仿宋" w:hAnsi="仿宋" w:eastAsia="仿宋" w:cs="仿宋"/>
                <w:kern w:val="0"/>
                <w:sz w:val="24"/>
                <w:lang w:eastAsia="zh-CN"/>
              </w:rPr>
              <w:t>：</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名称：绍兴市公安局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地址：绍兴市灵芝街道凤林西路1977号</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lang w:eastAsia="zh-CN"/>
              </w:rPr>
              <w:t>陈鉴</w:t>
            </w:r>
            <w:r>
              <w:rPr>
                <w:rFonts w:hint="eastAsia" w:ascii="仿宋" w:hAnsi="仿宋" w:eastAsia="仿宋" w:cs="仿宋"/>
                <w:bCs/>
                <w:color w:val="auto"/>
                <w:sz w:val="24"/>
              </w:rPr>
              <w:t xml:space="preserve">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项目联系方式（询问）：</w:t>
            </w:r>
            <w:r>
              <w:rPr>
                <w:rFonts w:hint="eastAsia" w:ascii="仿宋" w:hAnsi="仿宋" w:eastAsia="仿宋" w:cs="仿宋"/>
                <w:bCs/>
                <w:color w:val="auto"/>
                <w:sz w:val="24"/>
              </w:rPr>
              <w:t>0575-</w:t>
            </w:r>
            <w:r>
              <w:rPr>
                <w:rFonts w:hint="eastAsia" w:ascii="仿宋" w:hAnsi="仿宋" w:eastAsia="仿宋" w:cs="仿宋"/>
                <w:bCs/>
                <w:color w:val="auto"/>
                <w:sz w:val="24"/>
                <w:lang w:val="en-US" w:eastAsia="zh-CN"/>
              </w:rPr>
              <w:t>88582382</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质疑联系人：</w:t>
            </w:r>
            <w:r>
              <w:rPr>
                <w:rFonts w:hint="eastAsia" w:ascii="仿宋" w:hAnsi="仿宋" w:eastAsia="仿宋" w:cs="仿宋"/>
                <w:color w:val="auto"/>
                <w:kern w:val="0"/>
                <w:sz w:val="24"/>
                <w:lang w:eastAsia="zh-CN"/>
              </w:rPr>
              <w:t>赵建伟</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质疑联系方式：</w:t>
            </w:r>
            <w:r>
              <w:rPr>
                <w:rFonts w:hint="eastAsia" w:ascii="仿宋" w:hAnsi="仿宋" w:eastAsia="仿宋" w:cs="仿宋"/>
                <w:bCs/>
                <w:color w:val="auto"/>
                <w:sz w:val="24"/>
                <w:lang w:val="en-US" w:eastAsia="zh-CN"/>
              </w:rPr>
              <w:t>13758580578</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项目联系人（询问）：凌静</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4"/>
                <w:rFonts w:hint="eastAsia" w:ascii="仿宋" w:hAnsi="仿宋" w:eastAsia="仿宋" w:cs="仿宋"/>
                <w:color w:val="auto"/>
                <w:sz w:val="24"/>
              </w:rPr>
              <w:t>https://help.zcygov.cn/web/site_2/2018/12-28/2573.html</w:t>
            </w:r>
            <w:r>
              <w:rPr>
                <w:rStyle w:val="34"/>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numPr>
                <w:ilvl w:val="0"/>
                <w:numId w:val="6"/>
              </w:numPr>
              <w:spacing w:line="340" w:lineRule="exact"/>
              <w:rPr>
                <w:rFonts w:ascii="仿宋" w:hAnsi="仿宋" w:eastAsia="仿宋" w:cs="仿宋"/>
                <w:sz w:val="24"/>
              </w:rPr>
            </w:pPr>
            <w:r>
              <w:rPr>
                <w:rFonts w:hint="eastAsia" w:ascii="仿宋" w:hAnsi="仿宋" w:eastAsia="仿宋" w:cs="仿宋"/>
                <w:sz w:val="24"/>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rPr>
              <w:t>4</w:t>
            </w:r>
            <w:r>
              <w:rPr>
                <w:rFonts w:hint="eastAsia" w:ascii="仿宋" w:hAnsi="仿宋" w:eastAsia="仿宋" w:cs="仿宋"/>
                <w:sz w:val="24"/>
              </w:rPr>
              <w:t>折收取。</w:t>
            </w:r>
          </w:p>
          <w:p>
            <w:pPr>
              <w:spacing w:line="340" w:lineRule="exact"/>
              <w:rPr>
                <w:rFonts w:ascii="仿宋" w:hAnsi="仿宋" w:eastAsia="仿宋" w:cs="仿宋"/>
                <w:sz w:val="24"/>
              </w:rPr>
            </w:pPr>
            <w:r>
              <w:rPr>
                <w:rFonts w:hint="eastAsia" w:ascii="仿宋" w:hAnsi="仿宋" w:eastAsia="仿宋" w:cs="仿宋"/>
                <w:sz w:val="24"/>
              </w:rPr>
              <w:t>收费标准：中标金额在100万以下部分为1.5%。</w:t>
            </w:r>
          </w:p>
          <w:p>
            <w:pPr>
              <w:spacing w:line="340" w:lineRule="exact"/>
              <w:rPr>
                <w:rFonts w:ascii="仿宋" w:hAnsi="仿宋" w:eastAsia="仿宋" w:cs="仿宋"/>
                <w:sz w:val="24"/>
              </w:rPr>
            </w:pPr>
            <w:r>
              <w:rPr>
                <w:rFonts w:hint="eastAsia" w:ascii="仿宋" w:hAnsi="仿宋" w:eastAsia="仿宋" w:cs="仿宋"/>
                <w:sz w:val="24"/>
              </w:rPr>
              <w:t>（2）本项目招标评审所产生的评审费用2100元由业主支付。</w:t>
            </w:r>
          </w:p>
          <w:p>
            <w:pPr>
              <w:spacing w:line="340" w:lineRule="exact"/>
              <w:rPr>
                <w:rFonts w:ascii="仿宋" w:hAnsi="仿宋" w:eastAsia="仿宋" w:cs="仿宋"/>
                <w:sz w:val="24"/>
              </w:rPr>
            </w:pPr>
            <w:r>
              <w:rPr>
                <w:rFonts w:hint="eastAsia" w:ascii="仿宋" w:hAnsi="仿宋" w:eastAsia="仿宋" w:cs="仿宋"/>
                <w:sz w:val="24"/>
              </w:rPr>
              <w:t>（3）代理服务费的交纳方式：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绍兴市公安局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9"/>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9"/>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9"/>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9"/>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adjustRightInd/>
        <w:spacing w:line="288" w:lineRule="auto"/>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w:t>
      </w:r>
      <w:r>
        <w:rPr>
          <w:rFonts w:hint="eastAsia" w:ascii="仿宋" w:hAnsi="仿宋" w:eastAsia="仿宋" w:cs="Arial"/>
          <w:bCs/>
          <w:color w:val="000000"/>
          <w:sz w:val="24"/>
        </w:rPr>
        <w:t>公告页面中下载</w:t>
      </w:r>
      <w:r>
        <w:rPr>
          <w:rFonts w:hint="eastAsia" w:ascii="仿宋" w:hAnsi="仿宋" w:eastAsia="仿宋" w:cs="仿宋"/>
          <w:bCs/>
          <w:sz w:val="24"/>
        </w:rPr>
        <w:t>。</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FF0000"/>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pStyle w:val="9"/>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3"/>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4" w:lineRule="auto"/>
        <w:ind w:firstLine="480" w:firstLineChars="200"/>
        <w:rPr>
          <w:rFonts w:ascii="仿宋" w:hAnsi="仿宋" w:eastAsia="仿宋" w:cs="仿宋"/>
          <w:sz w:val="24"/>
          <w:szCs w:val="24"/>
        </w:rPr>
      </w:pPr>
      <w:bookmarkStart w:id="0" w:name="_Hlt68073093"/>
      <w:bookmarkEnd w:id="0"/>
      <w:bookmarkStart w:id="1" w:name="_Hlt68403820"/>
      <w:bookmarkEnd w:id="1"/>
      <w:bookmarkStart w:id="2" w:name="_Hlt68072998"/>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（2）2018年度或2019年度资产负债表等财务报表资料文件(新成立的公司，必须提供情况说明)；</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5"/>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kern w:val="0"/>
          <w:sz w:val="24"/>
          <w:lang w:val="zh-CN"/>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 w:hAnsi="仿宋" w:eastAsia="仿宋" w:cs="仿宋"/>
          <w:kern w:val="0"/>
          <w:sz w:val="24"/>
          <w:lang w:val="zh-CN"/>
        </w:rPr>
        <w:t>（如果有）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3"/>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3"/>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5"/>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5"/>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5"/>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5"/>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9"/>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9"/>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9"/>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4" w:lineRule="auto"/>
        <w:jc w:val="center"/>
        <w:rPr>
          <w:rFonts w:ascii="仿宋" w:hAnsi="仿宋" w:eastAsia="仿宋" w:cs="仿宋"/>
          <w:b/>
          <w:sz w:val="36"/>
          <w:szCs w:val="36"/>
        </w:rPr>
      </w:pPr>
      <w:bookmarkStart w:id="3" w:name="_Toc81372953"/>
      <w:bookmarkStart w:id="4" w:name="_Toc81372776"/>
      <w:bookmarkStart w:id="5" w:name="_Toc84325929"/>
      <w:r>
        <w:rPr>
          <w:rFonts w:hint="eastAsia" w:ascii="仿宋" w:hAnsi="仿宋" w:eastAsia="仿宋" w:cs="仿宋"/>
          <w:b/>
          <w:sz w:val="36"/>
          <w:szCs w:val="36"/>
        </w:rPr>
        <w:t>五、授予合同</w:t>
      </w:r>
    </w:p>
    <w:p>
      <w:pPr>
        <w:pStyle w:val="9"/>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1.中标条件</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1.1投标文件基本符合招标文件要求；</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1.2投标人有很好的执行合同的能力；</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pStyle w:val="9"/>
        <w:numPr>
          <w:ilvl w:val="0"/>
          <w:numId w:val="0"/>
        </w:numPr>
        <w:adjustRightInd/>
        <w:spacing w:line="284" w:lineRule="auto"/>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2.中标确认</w:t>
      </w:r>
    </w:p>
    <w:p>
      <w:pPr>
        <w:adjustRightInd/>
        <w:spacing w:line="284" w:lineRule="auto"/>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3．中标通知</w:t>
      </w:r>
    </w:p>
    <w:bookmarkEnd w:id="3"/>
    <w:bookmarkEnd w:id="4"/>
    <w:bookmarkEnd w:id="5"/>
    <w:p>
      <w:pPr>
        <w:pStyle w:val="67"/>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"http://zfcg.czt.zj.gov.cn/" </w:instrText>
      </w:r>
      <w:r>
        <w:fldChar w:fldCharType="separate"/>
      </w:r>
      <w:r>
        <w:rPr>
          <w:rFonts w:hint="eastAsia" w:ascii="仿宋" w:hAnsi="仿宋" w:eastAsia="仿宋" w:cs="仿宋"/>
          <w:bCs/>
          <w:u w:val="single"/>
        </w:rPr>
        <w:t>http://zfcg.czt.zj.gov.cn</w:t>
      </w:r>
      <w:r>
        <w:rPr>
          <w:rFonts w:hint="eastAsia" w:ascii="仿宋" w:hAnsi="仿宋" w:eastAsia="仿宋" w:cs="仿宋"/>
          <w:bCs/>
          <w:u w:val="single"/>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auto"/>
          <w:szCs w:val="24"/>
        </w:rPr>
        <w:t>http://ggb.sx.gov.cn</w:t>
      </w:r>
      <w:r>
        <w:rPr>
          <w:rStyle w:val="34"/>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3.2在采购代理机构发出中标通知书前，中标供应商如有违反有关法律法规和本项目要求行为的，则取消该投标人的中标资格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4．履约保证金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4.2供应商在履行完合同约定事项后，采购人应及时退还履约保证金。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5．合同备案</w:t>
      </w:r>
    </w:p>
    <w:p>
      <w:pPr>
        <w:adjustRightInd/>
        <w:spacing w:line="284" w:lineRule="auto"/>
        <w:jc w:val="left"/>
        <w:rPr>
          <w:rFonts w:ascii="仿宋" w:hAnsi="仿宋" w:eastAsia="仿宋" w:cs="仿宋"/>
          <w:sz w:val="24"/>
        </w:rPr>
      </w:pPr>
      <w:r>
        <w:rPr>
          <w:rFonts w:hint="eastAsia" w:ascii="仿宋" w:hAnsi="仿宋" w:eastAsia="仿宋" w:cs="仿宋"/>
          <w:sz w:val="24"/>
        </w:rPr>
        <w:t>5.1中标人应当在中标通知书发出之日起</w:t>
      </w:r>
      <w:r>
        <w:rPr>
          <w:rFonts w:ascii="仿宋" w:hAnsi="仿宋" w:eastAsia="仿宋" w:cs="仿宋"/>
          <w:sz w:val="24"/>
        </w:rPr>
        <w:t>7</w:t>
      </w:r>
      <w:r>
        <w:rPr>
          <w:rFonts w:hint="eastAsia" w:ascii="仿宋" w:hAnsi="仿宋" w:eastAsia="仿宋" w:cs="仿宋"/>
          <w:sz w:val="24"/>
        </w:rPr>
        <w:t>个工作</w:t>
      </w:r>
      <w:r>
        <w:rPr>
          <w:rFonts w:ascii="仿宋" w:hAnsi="仿宋" w:eastAsia="仿宋" w:cs="仿宋"/>
          <w:sz w:val="24"/>
        </w:rPr>
        <w:t>日</w:t>
      </w:r>
      <w:r>
        <w:rPr>
          <w:rFonts w:hint="eastAsia" w:ascii="仿宋" w:hAnsi="仿宋" w:eastAsia="仿宋" w:cs="仿宋"/>
          <w:sz w:val="24"/>
        </w:rPr>
        <w:t>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5.2未领取中标通知书，采购双方自行签订的合同不予备案。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6.验收</w:t>
      </w:r>
    </w:p>
    <w:p>
      <w:pPr>
        <w:adjustRightInd/>
        <w:spacing w:line="284" w:lineRule="auto"/>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7.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15"/>
        <w:adjustRightInd/>
        <w:spacing w:line="288"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一、项目概述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随着4G业务的发展，无线视频监控在现场取证及应急指挥工作中得到广泛应用。警用执法、安全保卫、应急指挥等多种领域对移动视频监控的需求越来越迫切。车载动态取证系统拥有反应灵活的特点，通过无线实时视频将现场情况及时传回指挥中心，便于远程指挥和调度，极大地缩短反应时间，增强应急能力。</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同时，考虑到目前我市公共交通发展随着城市社会经济快速发展、群众生活水平不断提高的需求，已经形成一定规模，全市有超过1800辆公交车。公交出行的安全也越来越受到公安机关的重视，我市公安信息化提出了社会资源整合的要求，需要将公交车辆的车载视频录像进行中心备份，确保广大市民的出行安全，以实现重大事故警报与取证，方便公安办案快速方便。</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租赁规模：高清车载取证系统34套、公交车载录像数据WiFi采集系统1套。</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二、系统功能实现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2.1 4G高清车载取证系统</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视音频系统贯穿在整个动态取证系统的日常工作、应急受理、指挥调度、管理系统等各种活动中，是整个指挥系统最有效的信息获取、协调指挥的手段之一；是指挥系统与指挥人员人机交互的最主要的表现形式。其具体应具有如下基本功能：</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① 图像实时远程监看——指挥平台随时可远程调取每个前端移动取证终端的实时图像。</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② 同步录像并存档——前端移动取证终端本地同步记录处理过程的全部视音频数据，后台中心记录应急指挥等视频并可进行备份存储，以备后续的查看；录像的回放分辨率1280*720、720*576、704*576、352*288、176*144可调，设备码率及帧率均可进行调整，帧率可达到25帧/秒。</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③ 远程设备控制——控制平台得到授权后可对任意车载监控点的云台、摄像机等设备进行远程控制或修改其参数。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④ 图像抓拍及录像标记——前方车载取证设备可对违法等事件进行抓取图片及标记录像，便于后续检索查证。</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⑤ 平台分级管理——平台可进行对用户的权限划分，根据不同的职能进行分级权限控制，权限不同可查看或操作的权限也不同。</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⑥ 视频归档管理——按照视频终端名称、日期等排序归档，并可与案件信息关联。</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⑦ 浏览历史视频记录——指挥平台随时可调取每个视频终端历史视频记录。</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⑧ 实时定位——前端移动取证终端可每分钟自动或随时手动向指挥中心传送GPS定位数据，并在电子地图上显示地理位置信息。</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⑨ 轨迹回放功能——对前端移动取证终端的移动轨迹进行保存并回放，如前端移动取证终端有视音频记录，可同步播放对应历史记录。</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 xml:space="preserve"> 系统建设完成后需统一接入绍兴市公安局现有的无线车载系统平台，实现统一管理统一调度。</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无线车载取证系统拓扑结构如图所示：</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drawing>
          <wp:inline distT="0" distB="0" distL="114300" distR="114300">
            <wp:extent cx="4852670" cy="4601210"/>
            <wp:effectExtent l="0" t="0" r="5080"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4852670" cy="4601210"/>
                    </a:xfrm>
                    <a:prstGeom prst="rect">
                      <a:avLst/>
                    </a:prstGeom>
                    <a:noFill/>
                    <a:ln>
                      <a:noFill/>
                    </a:ln>
                  </pic:spPr>
                </pic:pic>
              </a:graphicData>
            </a:graphic>
          </wp:inline>
        </w:drawing>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2.2公交车场站监控系统接入</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公交车站台上视频监控通过有线网络传到绍兴市公交公司站台视频监控专用平台上再通过运营商光纤链路和视频级联网关上传至公安局社会面接入平台，最后通过社会面平台级联网关将实时数据直接推送至绍兴市公安局实战视频监控平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公安部门通过绍兴市公安局实战视频监控平台在公安内网实时查看公交车站台视频画面和回访历史录像。</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公交车场站监控系统接入网络结构图如下：</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276850" cy="7610475"/>
            <wp:effectExtent l="0" t="0" r="0" b="9525"/>
            <wp:wrapNone/>
            <wp:docPr id="3" name="图片 2" descr="新建位图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新建位图图像"/>
                    <pic:cNvPicPr>
                      <a:picLocks noChangeAspect="1"/>
                    </pic:cNvPicPr>
                  </pic:nvPicPr>
                  <pic:blipFill>
                    <a:blip r:embed="rId10"/>
                    <a:stretch>
                      <a:fillRect/>
                    </a:stretch>
                  </pic:blipFill>
                  <pic:spPr>
                    <a:xfrm>
                      <a:off x="0" y="0"/>
                      <a:ext cx="5276850" cy="7610475"/>
                    </a:xfrm>
                    <a:prstGeom prst="rect">
                      <a:avLst/>
                    </a:prstGeom>
                    <a:noFill/>
                    <a:ln>
                      <a:noFill/>
                    </a:ln>
                  </pic:spPr>
                </pic:pic>
              </a:graphicData>
            </a:graphic>
          </wp:anchor>
        </w:drawing>
      </w:r>
      <w:r>
        <w:rPr>
          <w:rFonts w:hint="eastAsia" w:ascii="仿宋" w:hAnsi="仿宋" w:eastAsia="仿宋" w:cs="仿宋"/>
          <w:color w:val="000000"/>
          <w:sz w:val="24"/>
        </w:rPr>
        <w:object>
          <v:shape id="_x0000_i1025" o:spt="75" type="#_x0000_t75" style="height:597.9pt;width:415.1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三、技术要求</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3.1 系统接入方式要求</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4G高清车载取证系统无线接入方式主要采用以4G网络进行传输，为了保障安全性，传输通道必须以VPDN方式进行传输，必须跟互联网进行隔绝。</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公交车场站监控系统接入 前端设备通过运营商VPN链路上传至公交专用站台监控平台通过级联网关和光纤专线方式连入绍兴市公安局社会面视频监控平台并通过安全设备级联到公安视频专网平台和公安内网视频监控平台。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3.2网络安全性要求</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4G高清车载取证系统</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1、数据流量通道完全与互联网隔离，保障安全性，并于其他用户数据隔离。</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需要分配专用的APN信息，将该APN信息写入通信设备（HLR）中，只有授权过的手机号码才能拨入公安局的内网，其他手机号码一律无法进行该APN的拨号。实现手机号码与用户获取的IP地址的绑定，方便公安局后台设备根据IP地址进行的权限控制反映到手机号码上，实现精确的用户级权限控制及日志记录。</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3、采用专用的GGSN进行VPDN业务（该GGSN只进行VPDN业务，不进行大众应用），实现在物理上与大众应用的隔离，确保安全。</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公交车场站监控系统接入</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1、前端设备通过运营商VPN链路上传至公交专用站台监控平台通过级联网关和光纤专线方式连入绍兴市公安局社会面视频监控平台并通过安全设备级联到公安视频专网平台和公安内网视频监控平台。；</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四、售后服务</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1、租赁期内，中标单位实行免费维护服务。定期检测，并提供检测报告。提供相应备品备件。</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2、提供1年*7*24小时服务电话；在接到用户维护通知后，2小时内响应，24小时内解决问题，如无法解决，则扣除相应租赁费用。</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3、重大或突发事件，为联动指挥中心提供现场技术服务。</w:t>
      </w:r>
    </w:p>
    <w:p>
      <w:pPr>
        <w:spacing w:line="312"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五、项目周期及付款方式</w:t>
      </w:r>
    </w:p>
    <w:p>
      <w:pPr>
        <w:spacing w:line="312"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合同签订后，乙方向甲方指定账户打入合同金额5%作为履约保证金；收到履约保证金后，甲方支付合同金额30%，项目建设完成后支付剩余合同金额。服务期满，验收合格后退还履约保证金（不计息）。合同期1年。</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六、硬件设备采购清单</w:t>
      </w:r>
    </w:p>
    <w:tbl>
      <w:tblPr>
        <w:tblStyle w:val="28"/>
        <w:tblW w:w="5000" w:type="pct"/>
        <w:tblInd w:w="0" w:type="dxa"/>
        <w:tblLayout w:type="fixed"/>
        <w:tblCellMar>
          <w:top w:w="0" w:type="dxa"/>
          <w:left w:w="108" w:type="dxa"/>
          <w:bottom w:w="0" w:type="dxa"/>
          <w:right w:w="108" w:type="dxa"/>
        </w:tblCellMar>
      </w:tblPr>
      <w:tblGrid>
        <w:gridCol w:w="526"/>
        <w:gridCol w:w="940"/>
        <w:gridCol w:w="986"/>
        <w:gridCol w:w="5066"/>
        <w:gridCol w:w="423"/>
        <w:gridCol w:w="525"/>
        <w:gridCol w:w="776"/>
      </w:tblGrid>
      <w:tr>
        <w:tblPrEx>
          <w:tblCellMar>
            <w:top w:w="0" w:type="dxa"/>
            <w:left w:w="108" w:type="dxa"/>
            <w:bottom w:w="0" w:type="dxa"/>
            <w:right w:w="108" w:type="dxa"/>
          </w:tblCellMar>
        </w:tblPrEx>
        <w:trPr>
          <w:trHeight w:val="630" w:hRule="atLeast"/>
        </w:trPr>
        <w:tc>
          <w:tcPr>
            <w:tcW w:w="284" w:type="pct"/>
            <w:tcBorders>
              <w:top w:val="single" w:color="auto" w:sz="4" w:space="0"/>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序号</w:t>
            </w:r>
          </w:p>
        </w:tc>
        <w:tc>
          <w:tcPr>
            <w:tcW w:w="508"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产品名称</w:t>
            </w:r>
          </w:p>
        </w:tc>
        <w:tc>
          <w:tcPr>
            <w:tcW w:w="533"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推荐品牌</w:t>
            </w:r>
          </w:p>
        </w:tc>
        <w:tc>
          <w:tcPr>
            <w:tcW w:w="2739"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配置、参数</w:t>
            </w:r>
          </w:p>
        </w:tc>
        <w:tc>
          <w:tcPr>
            <w:tcW w:w="229"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单位</w:t>
            </w:r>
          </w:p>
        </w:tc>
        <w:tc>
          <w:tcPr>
            <w:tcW w:w="284"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数量</w:t>
            </w:r>
          </w:p>
        </w:tc>
        <w:tc>
          <w:tcPr>
            <w:tcW w:w="420" w:type="pct"/>
            <w:tcBorders>
              <w:top w:val="single" w:color="auto" w:sz="4" w:space="0"/>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备注</w:t>
            </w:r>
          </w:p>
        </w:tc>
      </w:tr>
      <w:tr>
        <w:tblPrEx>
          <w:tblCellMar>
            <w:top w:w="0" w:type="dxa"/>
            <w:left w:w="108" w:type="dxa"/>
            <w:bottom w:w="0" w:type="dxa"/>
            <w:right w:w="108" w:type="dxa"/>
          </w:tblCellMar>
        </w:tblPrEx>
        <w:trPr>
          <w:trHeight w:val="63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车载取证系统</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海康威视、科达、大华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产品操作系统要求嵌入式系统,图像界面；</w:t>
            </w:r>
            <w:r>
              <w:rPr>
                <w:rFonts w:hint="eastAsia" w:ascii="仿宋" w:hAnsi="仿宋" w:eastAsia="仿宋" w:cs="仿宋"/>
                <w:color w:val="000000"/>
                <w:sz w:val="24"/>
              </w:rPr>
              <w:br w:type="textWrapping"/>
            </w:r>
            <w:r>
              <w:rPr>
                <w:rFonts w:hint="eastAsia" w:ascii="仿宋" w:hAnsi="仿宋" w:eastAsia="仿宋" w:cs="仿宋"/>
                <w:color w:val="000000"/>
                <w:sz w:val="24"/>
              </w:rPr>
              <w:t>取证主机可以接入键盘、控制摇杆、7寸显示屏，并集成设备状态提示灯；</w:t>
            </w:r>
            <w:r>
              <w:rPr>
                <w:rFonts w:hint="eastAsia" w:ascii="仿宋" w:hAnsi="仿宋" w:eastAsia="仿宋" w:cs="仿宋"/>
                <w:color w:val="000000"/>
                <w:sz w:val="24"/>
              </w:rPr>
              <w:br w:type="textWrapping"/>
            </w:r>
            <w:r>
              <w:rPr>
                <w:rFonts w:hint="eastAsia" w:ascii="仿宋" w:hAnsi="仿宋" w:eastAsia="仿宋" w:cs="仿宋"/>
                <w:color w:val="000000"/>
                <w:sz w:val="24"/>
              </w:rPr>
              <w:t>主机支持1路AV OUT接口、4个IPC接口（可给IPC供电）、1个USB接口、1个eSATA接口、1个RJ45 100M/1000M自适应以太网口、1个RS232接口、8路报警输入、2路报警输出接口（公安部检测报告证明）；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帧率可设为1/2/4/6/8/10/12/15/16/18/20/22/25帧可调 （公安部检测报告证明）；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▲产品需支持抽取式硬盘安装方式，最大支持4T硬盘容量 （公安部检测报告证明）；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产品需采用宽幅电源输入设计，输入电压范围:8～36V（公安部检测报告证明）；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支持VGA和AV OUT非同源输出显示，支持VGA和HDMI同源输出显示，进行预览、回放、配置等操作，HDMI分辨率支持1280*800，1920*1080,1024*768 （公安部检测报告证明）；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产品支持H.264/H.265压缩算法</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▲产品需支持断电保护，具有8秒延时断电（公安部检测报告证明）；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产品需支持触摸屏功能，可通过触摸屏对云台进行控制，并支持多点触控(公安部检测报告证明)；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需支持多个设备间的多媒体对讲、点对点对讲，点对点双向视频对讲，多人视频对讲（需公安部检测报告证明）；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具备GPS、北斗定位功能。可在录像文件中保存定位信息（公安部检测报告证明）；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视频图像传输至车载主机及本地显示延时应≤200ms（公安部检测报告证明）；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产品需可将GPS坐标与路名关联，并根据GPS信息自动叠加路名（公安部检测报告证明）；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产品可通过手控器可对云台摄像机进行方向、变倍、变焦、灯光、雨刷、一键录像、一键抓图等功能进行控制（公安部检测报告证明）；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产品需支持WEB端与设备端进行实时全双工语音对讲功能 （公安部检测报告证明）；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产品指出在温度-25℃～＋70℃范围内正常工作（公安部检测报告证明）；</w:t>
            </w:r>
            <w:r>
              <w:rPr>
                <w:rFonts w:hint="eastAsia" w:ascii="仿宋" w:hAnsi="仿宋" w:eastAsia="仿宋" w:cs="仿宋"/>
                <w:color w:val="000000"/>
                <w:sz w:val="24"/>
              </w:rPr>
              <w:br w:type="textWrapping"/>
            </w:r>
            <w:r>
              <w:rPr>
                <w:rFonts w:hint="eastAsia" w:ascii="仿宋" w:hAnsi="仿宋" w:eastAsia="仿宋" w:cs="仿宋"/>
                <w:color w:val="000000"/>
                <w:sz w:val="24"/>
              </w:rPr>
              <w:t>主机需支持4路视频输入，1路1080P网络云台接入，8路1080P网络视频输入；</w:t>
            </w:r>
            <w:r>
              <w:rPr>
                <w:rFonts w:hint="eastAsia" w:ascii="仿宋" w:hAnsi="仿宋" w:eastAsia="仿宋" w:cs="仿宋"/>
                <w:color w:val="000000"/>
                <w:sz w:val="24"/>
              </w:rPr>
              <w:br w:type="textWrapping"/>
            </w:r>
            <w:r>
              <w:rPr>
                <w:rFonts w:hint="eastAsia" w:ascii="仿宋" w:hAnsi="仿宋" w:eastAsia="仿宋" w:cs="仿宋"/>
                <w:color w:val="000000"/>
                <w:sz w:val="24"/>
              </w:rPr>
              <w:t>产品需具有无线模块，可通过3G、4G、Wifi无线接入，支持Android客户端和WEB浏览、参数配置等操作。</w:t>
            </w:r>
            <w:r>
              <w:rPr>
                <w:rFonts w:hint="eastAsia" w:ascii="仿宋" w:hAnsi="仿宋" w:eastAsia="仿宋" w:cs="仿宋"/>
                <w:color w:val="000000"/>
                <w:sz w:val="24"/>
              </w:rPr>
              <w:br w:type="textWrapping"/>
            </w:r>
            <w:r>
              <w:rPr>
                <w:rFonts w:hint="eastAsia" w:ascii="仿宋" w:hAnsi="仿宋" w:eastAsia="仿宋" w:cs="仿宋"/>
                <w:color w:val="000000"/>
                <w:sz w:val="24"/>
              </w:rPr>
              <w:t xml:space="preserve"> 产品尺寸应不大于202mm（宽）×252mm（深）×87mm（高）；</w:t>
            </w:r>
            <w:r>
              <w:rPr>
                <w:rFonts w:hint="eastAsia" w:ascii="仿宋" w:hAnsi="仿宋" w:eastAsia="仿宋" w:cs="仿宋"/>
                <w:color w:val="000000"/>
                <w:sz w:val="24"/>
              </w:rPr>
              <w:br w:type="textWrapping"/>
            </w:r>
            <w:r>
              <w:rPr>
                <w:rFonts w:hint="eastAsia" w:ascii="仿宋" w:hAnsi="仿宋" w:eastAsia="仿宋" w:cs="仿宋"/>
                <w:color w:val="000000"/>
                <w:sz w:val="24"/>
              </w:rPr>
              <w:t>产品工作湿度10％～95％；</w:t>
            </w:r>
            <w:r>
              <w:rPr>
                <w:rFonts w:hint="eastAsia" w:ascii="仿宋" w:hAnsi="仿宋" w:eastAsia="仿宋" w:cs="仿宋"/>
                <w:color w:val="000000"/>
                <w:sz w:val="24"/>
              </w:rPr>
              <w:br w:type="textWrapping"/>
            </w:r>
            <w:r>
              <w:rPr>
                <w:rFonts w:hint="eastAsia" w:ascii="仿宋" w:hAnsi="仿宋" w:eastAsia="仿宋" w:cs="仿宋"/>
                <w:color w:val="000000"/>
                <w:sz w:val="24"/>
              </w:rPr>
              <w:t>车载云台部分：</w:t>
            </w:r>
            <w:r>
              <w:rPr>
                <w:rFonts w:hint="eastAsia" w:ascii="仿宋" w:hAnsi="仿宋" w:eastAsia="仿宋" w:cs="仿宋"/>
                <w:color w:val="000000"/>
                <w:sz w:val="24"/>
              </w:rPr>
              <w:br w:type="textWrapping"/>
            </w:r>
            <w:r>
              <w:rPr>
                <w:rFonts w:hint="eastAsia" w:ascii="仿宋" w:hAnsi="仿宋" w:eastAsia="仿宋" w:cs="仿宋"/>
                <w:color w:val="000000"/>
                <w:sz w:val="24"/>
              </w:rPr>
              <w:t>云台摄像机应采用200万像素 1/3" CMOS传感器，最大分辨率可达1920*1080，图像清晰、细腻；</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产品需支持30倍光学变焦、16倍数字变焦（需提供公安部检测报告）；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产品需同时支持H.264、H.265编码，H.264编码支持Baseline/Main/High Profile视频编码格式（需提供公安部检测报告）；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▲产品需支持Line in、Mic in两种种音频输入模式，支持音频MP2L2、G.711u、G.711a、G.726、G.722编码格式（需提供公安部检测报告）；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产品需支持低照度功能，彩色：0.02 Lux ，黑白：0.002Lux（需要提供公安部检测报告）；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▲云台摄像机支持包含1路以太网口，1路BNC模拟视频接口，1路音频输入，1路音频输出，2路报警输入、2路报警输出接口，1路RS485接口，SD卡接口，串口，SIM卡接口（需要提供公安部检测报告）；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 xml:space="preserve"> 产品需支持水平分辨率≥1000TVL（需提供公安部检测报告）；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 xml:space="preserve"> 产品需支持亮度鉴别等级≥12级 （需提供公安部检测报告）；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产品需支持三码流功能，支持1080P、720P、4CIF码流并发输出（需要提供公安部检测报告）；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产品运营需支持旋转角度支持水平360°连续旋转；垂直-90°～+90°，云台定位精度：±0.1°（需提供公安部检测报告）；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产品需支持车牌识别功能，白天准确率≥85%，夜间准确率≥80% （需提供公安部检测报告）；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▲产品需支持车身颜色识别功能，可识别10种：红、黄、蓝、绿、紫、粉、棕、白、黑、银（灰），并可将识别结果叠加到抓拍图片上（需提供公安部检测报告） ；</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产品需支持车型识别功能，能够检测：客车、货车、轿车、面包车、小货车5种车型，并将识别结果叠加到抓拍图片上（需提供公安部检测报告）；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产品需支持人脸抓拍功能（需提供公安部检测报告）；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▲产品需支持WiFi功能，可提供AP热点，实现其他终端设备接入共享网络（需提供公安部检测报告）；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产品支持红外补光,红外补光照射距离120米</w:t>
            </w:r>
            <w:r>
              <w:rPr>
                <w:rFonts w:hint="eastAsia" w:ascii="仿宋" w:hAnsi="仿宋" w:eastAsia="仿宋" w:cs="仿宋"/>
                <w:color w:val="000000"/>
                <w:sz w:val="24"/>
              </w:rPr>
              <w:br w:type="textWrapping"/>
            </w:r>
            <w:r>
              <w:rPr>
                <w:rFonts w:hint="eastAsia" w:ascii="仿宋" w:hAnsi="仿宋" w:eastAsia="仿宋" w:cs="仿宋"/>
                <w:color w:val="000000"/>
                <w:sz w:val="24"/>
              </w:rPr>
              <w:t>视频监控覆盖范围可达200米；</w:t>
            </w:r>
            <w:r>
              <w:rPr>
                <w:rFonts w:hint="eastAsia" w:ascii="仿宋" w:hAnsi="仿宋" w:eastAsia="仿宋" w:cs="仿宋"/>
                <w:color w:val="000000"/>
                <w:sz w:val="24"/>
              </w:rPr>
              <w:br w:type="textWrapping"/>
            </w:r>
            <w:r>
              <w:rPr>
                <w:rFonts w:hint="eastAsia" w:ascii="仿宋" w:hAnsi="仿宋" w:eastAsia="仿宋" w:cs="仿宋"/>
                <w:color w:val="000000"/>
                <w:sz w:val="24"/>
              </w:rPr>
              <w:t>产品云台支持工作温度：-40℃～+65℃（需要提供公安部检测报告）；</w:t>
            </w:r>
            <w:r>
              <w:rPr>
                <w:rFonts w:hint="eastAsia" w:ascii="仿宋" w:hAnsi="仿宋" w:eastAsia="仿宋" w:cs="仿宋"/>
                <w:color w:val="000000"/>
                <w:sz w:val="24"/>
              </w:rPr>
              <w:br w:type="textWrapping"/>
            </w:r>
            <w:r>
              <w:rPr>
                <w:rFonts w:hint="eastAsia" w:ascii="仿宋" w:hAnsi="仿宋" w:eastAsia="仿宋" w:cs="仿宋"/>
                <w:color w:val="000000"/>
                <w:sz w:val="24"/>
              </w:rPr>
              <w:t>工作湿度：10％--95％。</w:t>
            </w:r>
            <w:r>
              <w:rPr>
                <w:rFonts w:hint="eastAsia" w:ascii="仿宋" w:hAnsi="仿宋" w:eastAsia="仿宋" w:cs="仿宋"/>
                <w:color w:val="000000"/>
                <w:sz w:val="24"/>
              </w:rPr>
              <w:br w:type="textWrapping"/>
            </w:r>
            <w:r>
              <w:rPr>
                <w:rFonts w:hint="eastAsia" w:ascii="仿宋" w:hAnsi="仿宋" w:eastAsia="仿宋" w:cs="仿宋"/>
                <w:color w:val="000000"/>
                <w:sz w:val="24"/>
              </w:rPr>
              <w:t>云台防护等级：IP66；</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23</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63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车载取证系统</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海康威视、科达、大华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产品类型：车载DVR（标配1T 机械硬盘）</w:t>
            </w:r>
            <w:r>
              <w:rPr>
                <w:rFonts w:hint="eastAsia" w:ascii="仿宋" w:hAnsi="仿宋" w:eastAsia="仿宋" w:cs="仿宋"/>
                <w:color w:val="000000"/>
                <w:sz w:val="24"/>
              </w:rPr>
              <w:br w:type="textWrapping"/>
            </w:r>
            <w:r>
              <w:rPr>
                <w:rFonts w:hint="eastAsia" w:ascii="仿宋" w:hAnsi="仿宋" w:eastAsia="仿宋" w:cs="仿宋"/>
                <w:color w:val="000000"/>
                <w:sz w:val="24"/>
              </w:rPr>
              <w:t>视频输入：4 路720P,TVI 模拟高清</w:t>
            </w:r>
            <w:r>
              <w:rPr>
                <w:rFonts w:hint="eastAsia" w:ascii="仿宋" w:hAnsi="仿宋" w:eastAsia="仿宋" w:cs="仿宋"/>
                <w:color w:val="000000"/>
                <w:sz w:val="24"/>
              </w:rPr>
              <w:br w:type="textWrapping"/>
            </w:r>
            <w:r>
              <w:rPr>
                <w:rFonts w:hint="eastAsia" w:ascii="仿宋" w:hAnsi="仿宋" w:eastAsia="仿宋" w:cs="仿宋"/>
                <w:color w:val="000000"/>
                <w:sz w:val="24"/>
              </w:rPr>
              <w:t>硬盘存储：支持2 块2.5 寸硬盘</w:t>
            </w:r>
            <w:r>
              <w:rPr>
                <w:rFonts w:hint="eastAsia" w:ascii="仿宋" w:hAnsi="仿宋" w:eastAsia="仿宋" w:cs="仿宋"/>
                <w:color w:val="000000"/>
                <w:sz w:val="24"/>
              </w:rPr>
              <w:br w:type="textWrapping"/>
            </w:r>
            <w:r>
              <w:rPr>
                <w:rFonts w:hint="eastAsia" w:ascii="仿宋" w:hAnsi="仿宋" w:eastAsia="仿宋" w:cs="仿宋"/>
                <w:color w:val="000000"/>
                <w:sz w:val="24"/>
              </w:rPr>
              <w:t>SD 卡存储：1 张SD 卡接口，硬盘坏或无硬盘时，抽帧</w:t>
            </w:r>
            <w:r>
              <w:rPr>
                <w:rFonts w:hint="eastAsia" w:ascii="仿宋" w:hAnsi="仿宋" w:eastAsia="仿宋" w:cs="仿宋"/>
                <w:color w:val="000000"/>
                <w:sz w:val="24"/>
              </w:rPr>
              <w:br w:type="textWrapping"/>
            </w:r>
            <w:r>
              <w:rPr>
                <w:rFonts w:hint="eastAsia" w:ascii="仿宋" w:hAnsi="仿宋" w:eastAsia="仿宋" w:cs="仿宋"/>
                <w:color w:val="000000"/>
                <w:sz w:val="24"/>
              </w:rPr>
              <w:t>录像；</w:t>
            </w:r>
            <w:r>
              <w:rPr>
                <w:rFonts w:hint="eastAsia" w:ascii="仿宋" w:hAnsi="仿宋" w:eastAsia="仿宋" w:cs="仿宋"/>
                <w:color w:val="000000"/>
                <w:sz w:val="24"/>
              </w:rPr>
              <w:br w:type="textWrapping"/>
            </w:r>
            <w:r>
              <w:rPr>
                <w:rFonts w:hint="eastAsia" w:ascii="仿宋" w:hAnsi="仿宋" w:eastAsia="仿宋" w:cs="仿宋"/>
                <w:color w:val="000000"/>
                <w:sz w:val="24"/>
              </w:rPr>
              <w:t>通信模块：4G；</w:t>
            </w:r>
            <w:r>
              <w:rPr>
                <w:rFonts w:hint="eastAsia" w:ascii="仿宋" w:hAnsi="仿宋" w:eastAsia="仿宋" w:cs="仿宋"/>
                <w:color w:val="000000"/>
                <w:sz w:val="24"/>
              </w:rPr>
              <w:br w:type="textWrapping"/>
            </w:r>
            <w:r>
              <w:rPr>
                <w:rFonts w:hint="eastAsia" w:ascii="仿宋" w:hAnsi="仿宋" w:eastAsia="仿宋" w:cs="仿宋"/>
                <w:color w:val="000000"/>
                <w:sz w:val="24"/>
              </w:rPr>
              <w:t>定位模块：标配GPS，“北斗模块下单走ZTA 备注”；</w:t>
            </w:r>
            <w:r>
              <w:rPr>
                <w:rFonts w:hint="eastAsia" w:ascii="仿宋" w:hAnsi="仿宋" w:eastAsia="仿宋" w:cs="仿宋"/>
                <w:color w:val="000000"/>
                <w:sz w:val="24"/>
              </w:rPr>
              <w:br w:type="textWrapping"/>
            </w:r>
            <w:r>
              <w:rPr>
                <w:rFonts w:hint="eastAsia" w:ascii="仿宋" w:hAnsi="仿宋" w:eastAsia="仿宋" w:cs="仿宋"/>
                <w:color w:val="000000"/>
                <w:sz w:val="24"/>
              </w:rPr>
              <w:t>电源输入：DC+8V～+36V</w:t>
            </w:r>
            <w:r>
              <w:rPr>
                <w:rFonts w:hint="eastAsia" w:ascii="仿宋" w:hAnsi="仿宋" w:eastAsia="仿宋" w:cs="仿宋"/>
                <w:color w:val="000000"/>
                <w:sz w:val="24"/>
              </w:rPr>
              <w:br w:type="textWrapping"/>
            </w:r>
            <w:r>
              <w:rPr>
                <w:rFonts w:hint="eastAsia" w:ascii="仿宋" w:hAnsi="仿宋" w:eastAsia="仿宋" w:cs="仿宋"/>
                <w:color w:val="000000"/>
                <w:sz w:val="24"/>
              </w:rPr>
              <w:t>整机尺寸：236mm（宽）×73mm（高）×210mm（深）</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11</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315"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3</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网络摄像机</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海康威视、科达、大华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200万1/2.7”CMOS ICR日夜型半球型防腐蚀网络摄像机;</w:t>
            </w:r>
            <w:r>
              <w:rPr>
                <w:rFonts w:hint="eastAsia" w:ascii="仿宋" w:hAnsi="仿宋" w:eastAsia="仿宋" w:cs="仿宋"/>
                <w:color w:val="000000"/>
                <w:sz w:val="24"/>
              </w:rPr>
              <w:br w:type="textWrapping"/>
            </w:r>
            <w:r>
              <w:rPr>
                <w:rFonts w:hint="eastAsia" w:ascii="仿宋" w:hAnsi="仿宋" w:eastAsia="仿宋" w:cs="仿宋"/>
                <w:color w:val="000000"/>
                <w:sz w:val="24"/>
              </w:rPr>
              <w:t>最小照度 0.01Lux @(F1.2,AGC ON) ,0 Lux with IR；0.028 Lux @(F2.0,AGC ON), 0 Lux with IR;</w:t>
            </w:r>
            <w:r>
              <w:rPr>
                <w:rFonts w:hint="eastAsia" w:ascii="仿宋" w:hAnsi="仿宋" w:eastAsia="仿宋" w:cs="仿宋"/>
                <w:color w:val="000000"/>
                <w:sz w:val="24"/>
              </w:rPr>
              <w:br w:type="textWrapping"/>
            </w:r>
            <w:r>
              <w:rPr>
                <w:rFonts w:hint="eastAsia" w:ascii="仿宋" w:hAnsi="仿宋" w:eastAsia="仿宋" w:cs="仿宋"/>
                <w:color w:val="000000"/>
                <w:sz w:val="24"/>
              </w:rPr>
              <w:t>快门 1秒至1/100,000秒;</w:t>
            </w:r>
            <w:r>
              <w:rPr>
                <w:rFonts w:hint="eastAsia" w:ascii="仿宋" w:hAnsi="仿宋" w:eastAsia="仿宋" w:cs="仿宋"/>
                <w:color w:val="000000"/>
                <w:sz w:val="24"/>
              </w:rPr>
              <w:br w:type="textWrapping"/>
            </w:r>
            <w:r>
              <w:rPr>
                <w:rFonts w:hint="eastAsia" w:ascii="仿宋" w:hAnsi="仿宋" w:eastAsia="仿宋" w:cs="仿宋"/>
                <w:color w:val="000000"/>
                <w:sz w:val="24"/>
              </w:rPr>
              <w:t>镜头 4mm, 水平视场角:91°；</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调整角度 水平：-30°~30°,垂直：0°~75°,旋转：:0°~360°;</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宽动态范围 120dB;</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材质：不锈钢316L外壳;</w:t>
            </w:r>
            <w:r>
              <w:rPr>
                <w:rFonts w:hint="eastAsia" w:ascii="仿宋" w:hAnsi="仿宋" w:eastAsia="仿宋" w:cs="仿宋"/>
                <w:color w:val="000000"/>
                <w:sz w:val="24"/>
              </w:rPr>
              <w:br w:type="textWrapping"/>
            </w:r>
            <w:r>
              <w:rPr>
                <w:rFonts w:hint="eastAsia" w:ascii="仿宋" w:hAnsi="仿宋" w:eastAsia="仿宋" w:cs="仿宋"/>
                <w:color w:val="000000"/>
                <w:sz w:val="24"/>
              </w:rPr>
              <w:t>WF2、C5-M防腐蚀标准，有效避免酸性、中性盐雾腐蚀;</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符合 GB/T19845-2005，机械振动 船舶设备和机械部件的振动;</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视频压缩标准 H.265 / H.264 / MJPEG;H.265编码类型 Main Profile;最大图像尺寸 1920 × 1080;</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帧率 50Hz: 25fps (1920 × 1080,1280 × 960,1280 × 720);60Hz: 30fps (1920 × 1080,1280 × 960,1280 × 720);第三码流分辨率与帧率 独立于主码流设置，最高支持：50Hz: 25fps(1920 × 1080)；60Hz: 30fps(1920 × 1080);</w:t>
            </w:r>
            <w:r>
              <w:rPr>
                <w:rFonts w:hint="eastAsia" w:ascii="仿宋" w:hAnsi="仿宋" w:eastAsia="仿宋" w:cs="仿宋"/>
                <w:color w:val="000000"/>
                <w:sz w:val="24"/>
              </w:rPr>
              <w:br w:type="textWrapping"/>
            </w:r>
            <w:r>
              <w:rPr>
                <w:rFonts w:hint="eastAsia" w:ascii="仿宋" w:hAnsi="仿宋" w:eastAsia="仿宋" w:cs="仿宋"/>
                <w:color w:val="000000"/>
                <w:sz w:val="24"/>
              </w:rPr>
              <w:t>ROI支持三码流分别设置4个固定区域、全画面动态人脸跟踪；</w:t>
            </w:r>
            <w:r>
              <w:rPr>
                <w:rFonts w:hint="eastAsia" w:ascii="仿宋" w:hAnsi="仿宋" w:eastAsia="仿宋" w:cs="仿宋"/>
                <w:color w:val="000000"/>
                <w:sz w:val="24"/>
              </w:rPr>
              <w:br w:type="textWrapping"/>
            </w:r>
            <w:r>
              <w:rPr>
                <w:rFonts w:hint="eastAsia" w:ascii="仿宋" w:hAnsi="仿宋" w:eastAsia="仿宋" w:cs="仿宋"/>
                <w:color w:val="000000"/>
                <w:sz w:val="24"/>
              </w:rPr>
              <w:t>存储功能 支持Micro SD(即TF卡)/Micro SDHC/Micro SDXC卡(128G)断网本地存储,NAS(NFS,SMB/CIFS均支持);</w:t>
            </w:r>
            <w:r>
              <w:rPr>
                <w:rFonts w:hint="eastAsia" w:ascii="仿宋" w:hAnsi="仿宋" w:eastAsia="仿宋" w:cs="仿宋"/>
                <w:color w:val="000000"/>
                <w:sz w:val="24"/>
              </w:rPr>
              <w:br w:type="textWrapping"/>
            </w:r>
            <w:r>
              <w:rPr>
                <w:rFonts w:hint="eastAsia" w:ascii="仿宋" w:hAnsi="仿宋" w:eastAsia="仿宋" w:cs="仿宋"/>
                <w:color w:val="000000"/>
                <w:sz w:val="24"/>
              </w:rPr>
              <w:t>智能报警 场景变更侦测,虚焦侦测,人员聚集侦测、人脸侦测、快速移动侦测、停车侦测、物品遗留、拿取侦测、越界侦测，区域入侵侦测，进入/离开区域侦测，徘徊侦测;</w:t>
            </w:r>
            <w:r>
              <w:rPr>
                <w:rFonts w:hint="eastAsia" w:ascii="仿宋" w:hAnsi="仿宋" w:eastAsia="仿宋" w:cs="仿宋"/>
                <w:color w:val="000000"/>
                <w:sz w:val="24"/>
              </w:rPr>
              <w:br w:type="textWrapping"/>
            </w:r>
            <w:r>
              <w:rPr>
                <w:rFonts w:hint="eastAsia" w:ascii="仿宋" w:hAnsi="仿宋" w:eastAsia="仿宋" w:cs="仿宋"/>
                <w:color w:val="000000"/>
                <w:sz w:val="24"/>
              </w:rPr>
              <w:t>工作温度和湿度 -30℃~60℃,湿度小于95%(无凝结);</w:t>
            </w:r>
            <w:r>
              <w:rPr>
                <w:rFonts w:hint="eastAsia" w:ascii="仿宋" w:hAnsi="仿宋" w:eastAsia="仿宋" w:cs="仿宋"/>
                <w:color w:val="000000"/>
                <w:sz w:val="24"/>
              </w:rPr>
              <w:br w:type="textWrapping"/>
            </w:r>
            <w:r>
              <w:rPr>
                <w:rFonts w:hint="eastAsia" w:ascii="仿宋" w:hAnsi="仿宋" w:eastAsia="仿宋" w:cs="仿宋"/>
                <w:color w:val="000000"/>
                <w:sz w:val="24"/>
              </w:rPr>
              <w:t>电源供应 DC12V±25% / PoE(802.3af)；</w:t>
            </w:r>
            <w:r>
              <w:rPr>
                <w:rFonts w:hint="eastAsia" w:ascii="仿宋" w:hAnsi="仿宋" w:eastAsia="仿宋" w:cs="仿宋"/>
                <w:color w:val="000000"/>
                <w:sz w:val="24"/>
              </w:rPr>
              <w:br w:type="textWrapping"/>
            </w:r>
            <w:r>
              <w:rPr>
                <w:rFonts w:hint="eastAsia" w:ascii="仿宋" w:hAnsi="仿宋" w:eastAsia="仿宋" w:cs="仿宋"/>
                <w:color w:val="000000"/>
                <w:sz w:val="24"/>
              </w:rPr>
              <w:t>功耗 5W MAX;</w:t>
            </w:r>
            <w:r>
              <w:rPr>
                <w:rFonts w:hint="eastAsia" w:ascii="仿宋" w:hAnsi="仿宋" w:eastAsia="仿宋" w:cs="仿宋"/>
                <w:color w:val="000000"/>
                <w:sz w:val="24"/>
              </w:rPr>
              <w:br w:type="textWrapping"/>
            </w:r>
            <w:r>
              <w:rPr>
                <w:rFonts w:hint="eastAsia" w:ascii="仿宋" w:hAnsi="仿宋" w:eastAsia="仿宋" w:cs="仿宋"/>
                <w:color w:val="000000"/>
                <w:sz w:val="24"/>
              </w:rPr>
              <w:t>红外照射距离 10米;</w:t>
            </w:r>
            <w:r>
              <w:rPr>
                <w:rFonts w:hint="eastAsia" w:ascii="仿宋" w:hAnsi="仿宋" w:eastAsia="仿宋" w:cs="仿宋"/>
                <w:color w:val="000000"/>
                <w:sz w:val="24"/>
              </w:rPr>
              <w:br w:type="textWrapping"/>
            </w:r>
            <w:r>
              <w:rPr>
                <w:rFonts w:hint="eastAsia" w:ascii="仿宋" w:hAnsi="仿宋" w:eastAsia="仿宋" w:cs="仿宋"/>
                <w:color w:val="000000"/>
                <w:sz w:val="24"/>
              </w:rPr>
              <w:t>防护等级 IP67;</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11</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126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网络摄像机连接线</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海康威视、科达、大华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车载6芯IPC航空头延长线,12M-6A转12M-6B,4m,黑</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条</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12</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63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5</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无线上网卡</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运营商</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每月每卡不少于30GB本地流量,vpdn共享流量池</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张</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70</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w:t>
            </w:r>
          </w:p>
        </w:tc>
      </w:tr>
      <w:tr>
        <w:tblPrEx>
          <w:tblCellMar>
            <w:top w:w="0" w:type="dxa"/>
            <w:left w:w="108" w:type="dxa"/>
            <w:bottom w:w="0" w:type="dxa"/>
            <w:right w:w="108" w:type="dxa"/>
          </w:tblCellMar>
        </w:tblPrEx>
        <w:trPr>
          <w:trHeight w:val="126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6</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4G平台服务器</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海康威视、华为、大华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4114(10核2.2GHz)×1/32G DDR4/1TB 7.2K  SATA×2/SAS_HBA/1GbE×2/550W(1+1)/2U/16DIMM</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126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7</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4G平台服务器</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海康威视、华为、大华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4114(10核2.2GHz)×1/32G DDR4*2/1TB 7.2K  SATA×2/SAS_HBA/1GbE×2/550W(1+1)/2U/16DIMM</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126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8</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公交对接网管服务器</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海康威视、华为、大华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4114(10核2.2GHz)×1/32G DDR4/1TB 7.2K  SATA×2/SAS_HBA/1GbE×</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2/550W(1+1)/2U/16DIMM</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126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9</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平台对接服务器</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海康威视、华为、大华</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 xml:space="preserve">4114(10核2.2GHz)×1/32G </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DDR4*2/1TB 7.2K  SATA×</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2/SAS_HBA/1GbE×</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2/550W(1+1)/2U/16DIMM</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台</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2</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一年质保</w:t>
            </w:r>
          </w:p>
        </w:tc>
      </w:tr>
      <w:tr>
        <w:tblPrEx>
          <w:tblCellMar>
            <w:top w:w="0" w:type="dxa"/>
            <w:left w:w="108" w:type="dxa"/>
            <w:bottom w:w="0" w:type="dxa"/>
            <w:right w:w="108" w:type="dxa"/>
          </w:tblCellMar>
        </w:tblPrEx>
        <w:trPr>
          <w:trHeight w:val="630" w:hRule="atLeast"/>
        </w:trPr>
        <w:tc>
          <w:tcPr>
            <w:tcW w:w="284" w:type="pct"/>
            <w:tcBorders>
              <w:top w:val="nil"/>
              <w:left w:val="single" w:color="auto" w:sz="4" w:space="0"/>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10</w:t>
            </w:r>
          </w:p>
        </w:tc>
        <w:tc>
          <w:tcPr>
            <w:tcW w:w="508"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线路租赁</w:t>
            </w:r>
          </w:p>
        </w:tc>
        <w:tc>
          <w:tcPr>
            <w:tcW w:w="533"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运营商</w:t>
            </w:r>
          </w:p>
        </w:tc>
        <w:tc>
          <w:tcPr>
            <w:tcW w:w="273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至公交公司、市公安局新大楼等地点7条链路</w:t>
            </w:r>
          </w:p>
        </w:tc>
        <w:tc>
          <w:tcPr>
            <w:tcW w:w="229"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条</w:t>
            </w:r>
          </w:p>
        </w:tc>
        <w:tc>
          <w:tcPr>
            <w:tcW w:w="284"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7</w:t>
            </w:r>
          </w:p>
        </w:tc>
        <w:tc>
          <w:tcPr>
            <w:tcW w:w="420" w:type="pct"/>
            <w:tcBorders>
              <w:top w:val="nil"/>
              <w:left w:val="nil"/>
              <w:bottom w:val="single" w:color="auto" w:sz="4" w:space="0"/>
              <w:right w:val="single" w:color="auto" w:sz="4" w:space="0"/>
            </w:tcBorders>
            <w:noWrap/>
            <w:vAlign w:val="center"/>
          </w:tcPr>
          <w:p>
            <w:pPr>
              <w:spacing w:line="312" w:lineRule="auto"/>
              <w:jc w:val="left"/>
              <w:rPr>
                <w:rFonts w:ascii="仿宋" w:hAnsi="仿宋" w:eastAsia="仿宋" w:cs="仿宋"/>
                <w:color w:val="000000"/>
                <w:sz w:val="24"/>
              </w:rPr>
            </w:pPr>
            <w:r>
              <w:rPr>
                <w:rFonts w:hint="eastAsia" w:ascii="仿宋" w:hAnsi="仿宋" w:eastAsia="仿宋" w:cs="仿宋"/>
                <w:color w:val="000000"/>
                <w:sz w:val="24"/>
              </w:rPr>
              <w:t>1年租赁</w:t>
            </w:r>
          </w:p>
        </w:tc>
      </w:tr>
    </w:tbl>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七、其它</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1.乙方保证合同中所供应的产品（服务）是符合国家技术规范和本项目招标文件要求的合格产品（服务）。如发生所供产品（服务）与合同不符，甲方有权调整（中止）购买服务和维保租赁服务，由此产生的一切责任和后果由乙方承担。</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乙方提供的产品，如需经国家有关部门登记、备案、审批或许可的，乙方应当保证所提供的产品已完成上述手续。乙方违反本条规定而导致甲方被第三人追究法律责任或导致甲方不能正常运作系统，甲方有权调整（中止）购买服务和维保租赁服务，由此产生的一切责任和后果由乙方承担。</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3.合同履行期间，如出现产品使用明显不符实际使用需求，且乙方无法提供可行解决方案的，甲方有权调整（中止）购买服务和维保租赁服务，由此产生的一切责任和后果由乙方承担。</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4.合同调整（中止）后，合同款项结算按照争议和仲裁相关条款执行；待争议解决后，可签订补充协议或正式终止合同。在项目实施前，乙方项目参与人员必须签订保密协议，保证项目建设人员做到保守机密和**秘密，安全可靠。</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5.合同履行期间，乙方除应保证产品正常使用功能外，还应保证建设内容规定的功能免费升级，并提供清除产品运行隐患、完善和优化局部功能。其中通用、成熟类产品，还需提供其他地方同等的产品升级类服务条款。</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6.乙方应提供本项目产品足够的技术支撑，如使用外购产品，还须提供原厂商足够的技术力量支撑服务。</w:t>
      </w:r>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7.在建设和维保过程中，乙方派驻工作人员发生的相关劳务纠纷、人身安全和伤残等方面的纠纷，由乙方负责。</w:t>
      </w:r>
    </w:p>
    <w:p>
      <w:pPr>
        <w:spacing w:line="312"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本项目要求中标人引入第三方监理单位协助采购单位进行项目管理,监理单位参与项目的全过程监理。同时监理单位委托第三方检测机构组织对项目进行验收检测,并提交具有法律效力的第三方检测报告,可作为采购人项目验收的依据之一。监理单位需具同类项目监理案例,具备较强的本地化服务能力。监理及第三方检测费用包含在本次预算内,投标人报价应考虑该部分费用。本项目的监理单位在征得采购单位同意后签署三方协议。</w:t>
      </w: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p>
    <w:p>
      <w:pPr>
        <w:pStyle w:val="15"/>
        <w:spacing w:line="288" w:lineRule="auto"/>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1.合同</w:t>
      </w:r>
      <w:bookmarkStart w:id="6" w:name="OLE_LINK1"/>
      <w:r>
        <w:rPr>
          <w:rFonts w:hint="eastAsia" w:ascii="仿宋" w:hAnsi="仿宋" w:eastAsia="仿宋" w:cs="仿宋"/>
          <w:b/>
          <w:color w:val="000000"/>
          <w:sz w:val="24"/>
        </w:rPr>
        <w:t>范围</w:t>
      </w:r>
      <w:bookmarkEnd w:id="6"/>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合同范围应与中标通知书、招标文件及被招标人接受的技术商务规范偏离表相一致。合同范围和双方的职责在“招标文件”明确。</w:t>
      </w:r>
    </w:p>
    <w:p>
      <w:pPr>
        <w:pStyle w:val="68"/>
        <w:spacing w:after="156" w:line="312" w:lineRule="auto"/>
        <w:rPr>
          <w:rFonts w:ascii="仿宋" w:hAnsi="仿宋" w:eastAsia="仿宋" w:cs="仿宋"/>
          <w:b/>
          <w:color w:val="000000"/>
          <w:sz w:val="24"/>
          <w:szCs w:val="24"/>
        </w:rPr>
      </w:pPr>
      <w:r>
        <w:rPr>
          <w:rFonts w:hint="eastAsia" w:ascii="仿宋" w:hAnsi="仿宋" w:eastAsia="仿宋" w:cs="仿宋"/>
          <w:b/>
          <w:color w:val="000000"/>
          <w:sz w:val="24"/>
          <w:szCs w:val="24"/>
        </w:rPr>
        <w:t>2.合同的签订</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2.1中标人须在中标通知书发出7个工作日内按招标文件和中标供应商投标文件的约定，凭中标通知书和采购人在约定的时间、地点，由法定代表人或授权委托人与采购人签订书面合同。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2.1.1交货地点：用户指定地点。</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2.1.2到货期：按标项内具体要求执行。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2.2交货方式：中标人负责运至现场安装调试，在整个设备安装调试验收合格前的所有设备材料的运输、保管、保险均由中标人负责。</w:t>
      </w:r>
    </w:p>
    <w:p>
      <w:pPr>
        <w:snapToGrid w:val="0"/>
        <w:spacing w:line="312" w:lineRule="auto"/>
        <w:jc w:val="left"/>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tabs>
          <w:tab w:val="left" w:pos="7950"/>
        </w:tabs>
        <w:spacing w:line="312" w:lineRule="auto"/>
        <w:jc w:val="left"/>
        <w:rPr>
          <w:rFonts w:ascii="仿宋" w:hAnsi="仿宋" w:eastAsia="仿宋" w:cs="仿宋"/>
          <w:b/>
          <w:color w:val="000000"/>
          <w:sz w:val="24"/>
        </w:rPr>
      </w:pPr>
      <w:r>
        <w:rPr>
          <w:rFonts w:hint="eastAsia" w:ascii="仿宋" w:hAnsi="仿宋" w:eastAsia="仿宋" w:cs="仿宋"/>
          <w:b/>
          <w:color w:val="000000"/>
          <w:sz w:val="24"/>
        </w:rPr>
        <w:t>4.合同修改</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4.1双方的任何一方对合同内容提出修改，均应以书面形式通知对方，并达成由双方签署的合同修改书，须报政府采购管理部门批准。</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4.2除非招标人对产品的品牌、型号规格和涉及价格因素的技术参数提出修改，中标人不得对合同价格提出修改要求。</w:t>
      </w:r>
    </w:p>
    <w:p>
      <w:pPr>
        <w:tabs>
          <w:tab w:val="left" w:pos="7950"/>
        </w:tabs>
        <w:spacing w:line="312" w:lineRule="auto"/>
        <w:jc w:val="left"/>
        <w:rPr>
          <w:rFonts w:ascii="仿宋" w:hAnsi="仿宋" w:eastAsia="仿宋" w:cs="仿宋"/>
          <w:b/>
          <w:color w:val="000000"/>
          <w:sz w:val="24"/>
        </w:rPr>
      </w:pPr>
      <w:r>
        <w:rPr>
          <w:rFonts w:hint="eastAsia" w:ascii="仿宋" w:hAnsi="仿宋" w:eastAsia="仿宋" w:cs="仿宋"/>
          <w:b/>
          <w:color w:val="000000"/>
          <w:sz w:val="24"/>
        </w:rPr>
        <w:t>5. 质量标准和验收</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5.1中标人提供的产品及服务必须是经合法途径取得的。</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5.2中标人应按现行的国家或行业技术及验收标准和招标文件的规定提供工程、货物或服务，因中标人提供的工程、货物或服务达不到约定的质量标准，中标人承担违约责任。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5.3验收由使用单位按规定组织相关人员进行。</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（1）甲方对乙方提交的货物依据招标文件上的技术规则要求和国家有关质量标准进行现场初步验收，外观、说明书符合招标文件技术要求的，给予签收。初步验收不合格的不予签收。</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（2）乙方交货前应对产品作出全面检查，并列出清单，作为甲方收货验收依据，检验的结果应随货物交甲方。</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（3）乙方应在货物发运前对其进行满足运输距离、防潮、防震、防锈和防破损装卸等要求包装，以保证货物安全运达甲方指定地点。</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（4）使用说明书、质量检验证明书、随附配件和工具以及清单一并附于货物内。</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（5）货物在交付甲方前发生的风险均由乙方负责。</w:t>
      </w:r>
    </w:p>
    <w:p>
      <w:pPr>
        <w:spacing w:line="312" w:lineRule="auto"/>
        <w:ind w:hanging="2"/>
        <w:jc w:val="left"/>
        <w:rPr>
          <w:rFonts w:ascii="仿宋" w:hAnsi="仿宋" w:eastAsia="仿宋" w:cs="仿宋"/>
          <w:b/>
          <w:color w:val="000000"/>
          <w:sz w:val="24"/>
        </w:rPr>
      </w:pPr>
      <w:r>
        <w:rPr>
          <w:rFonts w:hint="eastAsia" w:ascii="仿宋" w:hAnsi="仿宋" w:eastAsia="仿宋" w:cs="仿宋"/>
          <w:b/>
          <w:color w:val="000000"/>
          <w:sz w:val="24"/>
        </w:rPr>
        <w:t>6.违约责任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6.1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6.2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6.3招标人在规定时间无正当理由拒签合同者，以招标违约处理，并赔偿中标人由此造成的直接经济损失。</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6.4双方对工程、货物或服务的质量有争议的，由双方同意的专业检测机构鉴定，所需费及因此造成的损失由责任方承担，双方均有责任的，双方根据其责任分别承担。</w:t>
      </w:r>
    </w:p>
    <w:p>
      <w:pPr>
        <w:spacing w:line="312" w:lineRule="auto"/>
        <w:ind w:hanging="2"/>
        <w:jc w:val="left"/>
        <w:rPr>
          <w:rFonts w:ascii="仿宋" w:hAnsi="仿宋" w:eastAsia="仿宋" w:cs="仿宋"/>
          <w:b/>
          <w:color w:val="000000"/>
          <w:sz w:val="24"/>
        </w:rPr>
      </w:pPr>
      <w:r>
        <w:rPr>
          <w:rFonts w:hint="eastAsia" w:ascii="仿宋" w:hAnsi="仿宋" w:eastAsia="仿宋" w:cs="仿宋"/>
          <w:b/>
          <w:color w:val="000000"/>
          <w:sz w:val="24"/>
        </w:rPr>
        <w:t>7.质量保证及售后服务</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7.1乙方应按招标文件规定的货物性能、技术要求、质量标准向甲方提供未经使用的全新产品。</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7.2乙方提供的货物在质保期内因货物本身的质量问题发生故障，乙方应负责免费更换。对达不到技术要求者，根据实际情况，经双方协商，可按以下办法处理：</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（1）更换：由乙方承担所发生的全部费用。</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（2）贬值处理：由甲乙双方合议定价。</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（3）退货处理：乙方应退还甲方支付的合同款。同时应承担该货物的直接费用（运输、保险、检验、贷款利息及银行手续费等）。</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7.3如在使用过程中出现问题，乙方在接到甲方通知后应8小时响应，并在24小时内到达甲方现场。</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7.4 中标方需提供产品使用培训和日常维护培训和技术支持。</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8.不可抗力</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8.1如果双方中任何一方由于战争、严重火灾、水灾、台风和地震以及其它经双方同意属于不可抗力的事故，致使合同履行受阻时，履行合同的期限应予延长，延长的期限应相当于事故所影响的时间。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9.解决合同纠纷的方式</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9.1凡有关本合同或与本合同中发生的争端，双方应通过友好协商，妥善解决。如通过协商仍不能解决时，可向当地的仲裁机构申请仲裁或人民法院起诉。</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9.2仲裁和诉讼费用除仲裁机构和人民法院另有裁决外，由败诉方承担。</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9.3在仲裁和诉讼期间，除正在进行裁定的部分外，本合同其他部分应继续执行。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9.4合同应在双方签字盖章，采购人收到中标人提供的履约保证金后开始生效。</w:t>
      </w:r>
    </w:p>
    <w:p>
      <w:pPr>
        <w:spacing w:line="312" w:lineRule="auto"/>
        <w:jc w:val="left"/>
        <w:rPr>
          <w:rFonts w:ascii="仿宋" w:hAnsi="仿宋" w:eastAsia="仿宋" w:cs="仿宋"/>
          <w:sz w:val="24"/>
        </w:rPr>
      </w:pPr>
      <w:r>
        <w:rPr>
          <w:rFonts w:hint="eastAsia" w:ascii="仿宋" w:hAnsi="仿宋" w:eastAsia="仿宋" w:cs="仿宋"/>
          <w:color w:val="000000"/>
          <w:sz w:val="24"/>
        </w:rPr>
        <w:t>（注：在正式签约时，根据上述精神应拟就更为详尽的合同书）</w:t>
      </w:r>
    </w:p>
    <w:p>
      <w:pPr>
        <w:spacing w:line="288" w:lineRule="auto"/>
        <w:rPr>
          <w:rFonts w:ascii="仿宋" w:hAnsi="仿宋" w:eastAsia="仿宋" w:cs="仿宋"/>
          <w:sz w:val="24"/>
        </w:rPr>
      </w:pPr>
    </w:p>
    <w:p>
      <w:pPr>
        <w:pStyle w:val="7"/>
        <w:numPr>
          <w:ilvl w:val="0"/>
          <w:numId w:val="0"/>
        </w:numPr>
        <w:tabs>
          <w:tab w:val="clear" w:pos="780"/>
        </w:tabs>
        <w:spacing w:line="288" w:lineRule="auto"/>
        <w:rPr>
          <w:rFonts w:ascii="仿宋" w:hAnsi="仿宋" w:eastAsia="仿宋" w:cs="仿宋"/>
          <w:kern w:val="0"/>
          <w:sz w:val="24"/>
          <w:szCs w:val="20"/>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1" w:lineRule="auto"/>
        <w:jc w:val="left"/>
        <w:rPr>
          <w:rFonts w:ascii="仿宋" w:hAnsi="仿宋" w:eastAsia="仿宋" w:cs="仿宋"/>
          <w:b/>
          <w:sz w:val="24"/>
        </w:rPr>
      </w:pPr>
      <w:r>
        <w:rPr>
          <w:rFonts w:hint="eastAsia" w:ascii="仿宋" w:hAnsi="仿宋" w:eastAsia="仿宋" w:cs="仿宋"/>
          <w:b/>
          <w:sz w:val="24"/>
        </w:rPr>
        <w:t>1.评标方法：</w:t>
      </w:r>
    </w:p>
    <w:p>
      <w:pPr>
        <w:spacing w:line="281"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1"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1"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281" w:lineRule="auto"/>
        <w:rPr>
          <w:rFonts w:ascii="仿宋" w:hAnsi="仿宋" w:eastAsia="仿宋" w:cs="仿宋"/>
          <w:b/>
          <w:bCs/>
          <w:i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（70分）</w:t>
      </w:r>
    </w:p>
    <w:tbl>
      <w:tblPr>
        <w:tblStyle w:val="28"/>
        <w:tblW w:w="9232" w:type="dxa"/>
        <w:tblInd w:w="108" w:type="dxa"/>
        <w:tblLayout w:type="autofit"/>
        <w:tblCellMar>
          <w:top w:w="0" w:type="dxa"/>
          <w:left w:w="108" w:type="dxa"/>
          <w:bottom w:w="0" w:type="dxa"/>
          <w:right w:w="108" w:type="dxa"/>
        </w:tblCellMar>
      </w:tblPr>
      <w:tblGrid>
        <w:gridCol w:w="709"/>
        <w:gridCol w:w="1276"/>
        <w:gridCol w:w="7247"/>
      </w:tblGrid>
      <w:tr>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序号</w:t>
            </w:r>
          </w:p>
        </w:tc>
        <w:tc>
          <w:tcPr>
            <w:tcW w:w="1276"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评分项目</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评标内容</w:t>
            </w:r>
          </w:p>
        </w:tc>
      </w:tr>
      <w:tr>
        <w:tblPrEx>
          <w:tblCellMar>
            <w:top w:w="0" w:type="dxa"/>
            <w:left w:w="108" w:type="dxa"/>
            <w:bottom w:w="0" w:type="dxa"/>
            <w:right w:w="108" w:type="dxa"/>
          </w:tblCellMar>
        </w:tblPrEx>
        <w:trPr>
          <w:trHeight w:val="2506" w:hRule="atLeast"/>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1</w:t>
            </w:r>
          </w:p>
        </w:tc>
        <w:tc>
          <w:tcPr>
            <w:tcW w:w="1276"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bookmarkStart w:id="8" w:name="_GoBack"/>
            <w:r>
              <w:rPr>
                <w:rFonts w:hint="eastAsia" w:ascii="仿宋" w:hAnsi="仿宋" w:eastAsia="仿宋" w:cs="仿宋"/>
                <w:sz w:val="24"/>
              </w:rPr>
              <w:t>技术方案</w:t>
            </w:r>
            <w:bookmarkEnd w:id="8"/>
            <w:r>
              <w:rPr>
                <w:rFonts w:hint="eastAsia" w:ascii="仿宋" w:hAnsi="仿宋" w:eastAsia="仿宋" w:cs="仿宋"/>
                <w:sz w:val="24"/>
              </w:rPr>
              <w:t>（8分）</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color w:val="auto"/>
                <w:sz w:val="24"/>
              </w:rPr>
            </w:pPr>
            <w:r>
              <w:rPr>
                <w:rFonts w:hint="eastAsia" w:ascii="仿宋" w:hAnsi="仿宋" w:eastAsia="仿宋" w:cs="仿宋"/>
                <w:color w:val="auto"/>
                <w:sz w:val="24"/>
              </w:rPr>
              <w:t>系统架构组成、功能及性能符合项目设计需求，方案设计先进、合理、经济，主要参考以下几个方面:</w:t>
            </w:r>
            <w:r>
              <w:rPr>
                <w:rFonts w:hint="eastAsia" w:ascii="仿宋" w:hAnsi="仿宋" w:eastAsia="仿宋" w:cs="仿宋"/>
                <w:color w:val="auto"/>
                <w:sz w:val="24"/>
              </w:rPr>
              <w:br w:type="textWrapping"/>
            </w:r>
            <w:r>
              <w:rPr>
                <w:rFonts w:hint="eastAsia" w:ascii="仿宋" w:hAnsi="仿宋" w:eastAsia="仿宋" w:cs="仿宋"/>
                <w:color w:val="auto"/>
                <w:sz w:val="24"/>
              </w:rPr>
              <w:t>(1)技术方案描述详尽合理，技术较为先进，性能稳定的，得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分；技术方案描述略有欠缺,合理，技术基本满足，性能基本稳定的，得2分；技术方案描述有较大欠缺，设备选型不合理，技术未能满足，性能不够稳定的，得1分；未提供上述相关方案等的，得0分。</w:t>
            </w:r>
          </w:p>
          <w:p>
            <w:pPr>
              <w:spacing w:line="281" w:lineRule="auto"/>
              <w:jc w:val="left"/>
              <w:rPr>
                <w:rFonts w:ascii="仿宋" w:hAnsi="仿宋" w:eastAsia="仿宋" w:cs="仿宋"/>
                <w:color w:val="auto"/>
                <w:sz w:val="24"/>
              </w:rPr>
            </w:pPr>
            <w:r>
              <w:rPr>
                <w:rFonts w:hint="eastAsia" w:ascii="仿宋" w:hAnsi="仿宋" w:eastAsia="仿宋" w:cs="仿宋"/>
                <w:color w:val="auto"/>
                <w:sz w:val="24"/>
              </w:rPr>
              <w:t>(2)数据采集后，根据投标人提供的与绍兴市公安局车载平台无缝对接方案进行综合评分，方案描述详尽合理，技术较为先进，性能稳定的，得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分；方案描述略有欠缺,合理，技术基本满足，性能基本稳定的，得2分；方案描述有较大欠缺，设备选型不合理，技术未能满足，性能不够稳定的，得1分；未提供上述相关方案等的，得0分。</w:t>
            </w:r>
          </w:p>
        </w:tc>
      </w:tr>
      <w:tr>
        <w:tblPrEx>
          <w:tblCellMar>
            <w:top w:w="0" w:type="dxa"/>
            <w:left w:w="108" w:type="dxa"/>
            <w:bottom w:w="0" w:type="dxa"/>
            <w:right w:w="108" w:type="dxa"/>
          </w:tblCellMar>
        </w:tblPrEx>
        <w:trPr>
          <w:trHeight w:val="165" w:hRule="atLeast"/>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2</w:t>
            </w:r>
          </w:p>
        </w:tc>
        <w:tc>
          <w:tcPr>
            <w:tcW w:w="1276" w:type="dxa"/>
            <w:tcBorders>
              <w:top w:val="nil"/>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产品技术要求（22分）</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color w:val="auto"/>
                <w:sz w:val="24"/>
              </w:rPr>
            </w:pPr>
            <w:r>
              <w:rPr>
                <w:rFonts w:hint="eastAsia" w:ascii="仿宋" w:hAnsi="仿宋" w:eastAsia="仿宋" w:cs="仿宋"/>
                <w:color w:val="auto"/>
                <w:sz w:val="24"/>
              </w:rPr>
              <w:t>基本技术参数配置及性能、功能要求等： 完全满足标文技术参数配置要求得基本分22分。技术指标含“▲”出现负偏离每一项扣2分,其他项每项扣1分,扣完为止。（技术参数要求提供检测报告的，需提供检测报告复印件，无不得分）</w:t>
            </w:r>
          </w:p>
        </w:tc>
      </w:tr>
      <w:tr>
        <w:tblPrEx>
          <w:tblCellMar>
            <w:top w:w="0" w:type="dxa"/>
            <w:left w:w="108" w:type="dxa"/>
            <w:bottom w:w="0" w:type="dxa"/>
            <w:right w:w="108" w:type="dxa"/>
          </w:tblCellMar>
        </w:tblPrEx>
        <w:trPr>
          <w:trHeight w:val="510" w:hRule="atLeast"/>
        </w:trPr>
        <w:tc>
          <w:tcPr>
            <w:tcW w:w="709" w:type="dxa"/>
            <w:vMerge w:val="restart"/>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3</w:t>
            </w:r>
          </w:p>
        </w:tc>
        <w:tc>
          <w:tcPr>
            <w:tcW w:w="1276" w:type="dxa"/>
            <w:vMerge w:val="restart"/>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产品厂商资质（6分）</w:t>
            </w:r>
          </w:p>
        </w:tc>
        <w:tc>
          <w:tcPr>
            <w:tcW w:w="7247" w:type="dxa"/>
            <w:tcBorders>
              <w:top w:val="nil"/>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color w:val="auto"/>
                <w:sz w:val="24"/>
              </w:rPr>
            </w:pPr>
            <w:r>
              <w:rPr>
                <w:rFonts w:hint="eastAsia" w:ascii="仿宋" w:hAnsi="仿宋" w:eastAsia="仿宋" w:cs="仿宋"/>
                <w:color w:val="auto"/>
                <w:sz w:val="24"/>
              </w:rPr>
              <w:t>1）产品厂家获得中国安防十大核心技术品牌，得2分，无不得分；提供相关证明文件或承诺中标后合同签订前提供厂商授权；</w:t>
            </w:r>
          </w:p>
        </w:tc>
      </w:tr>
      <w:tr>
        <w:tblPrEx>
          <w:tblCellMar>
            <w:top w:w="0" w:type="dxa"/>
            <w:left w:w="108" w:type="dxa"/>
            <w:bottom w:w="0" w:type="dxa"/>
            <w:right w:w="108" w:type="dxa"/>
          </w:tblCellMar>
        </w:tblPrEx>
        <w:trPr>
          <w:trHeight w:val="285" w:hRule="atLeast"/>
        </w:trPr>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spacing w:line="281" w:lineRule="auto"/>
              <w:jc w:val="left"/>
              <w:rPr>
                <w:rFonts w:ascii="仿宋" w:hAnsi="仿宋" w:eastAsia="仿宋" w:cs="仿宋"/>
                <w:sz w:val="24"/>
              </w:rPr>
            </w:pPr>
          </w:p>
        </w:tc>
        <w:tc>
          <w:tcPr>
            <w:tcW w:w="1276" w:type="dxa"/>
            <w:vMerge w:val="continue"/>
            <w:tcBorders>
              <w:top w:val="nil"/>
              <w:left w:val="single" w:color="auto" w:sz="4" w:space="0"/>
              <w:bottom w:val="single" w:color="auto" w:sz="4" w:space="0"/>
              <w:right w:val="single" w:color="auto" w:sz="4" w:space="0"/>
            </w:tcBorders>
            <w:shd w:val="clear" w:color="auto" w:fill="auto"/>
            <w:noWrap/>
            <w:vAlign w:val="center"/>
          </w:tcPr>
          <w:p>
            <w:pPr>
              <w:spacing w:line="281" w:lineRule="auto"/>
              <w:jc w:val="left"/>
              <w:rPr>
                <w:rFonts w:ascii="仿宋" w:hAnsi="仿宋" w:eastAsia="仿宋" w:cs="仿宋"/>
                <w:sz w:val="24"/>
              </w:rPr>
            </w:pPr>
          </w:p>
        </w:tc>
        <w:tc>
          <w:tcPr>
            <w:tcW w:w="7247" w:type="dxa"/>
            <w:tcBorders>
              <w:top w:val="nil"/>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color w:val="auto"/>
                <w:sz w:val="24"/>
              </w:rPr>
            </w:pPr>
            <w:r>
              <w:rPr>
                <w:rFonts w:hint="eastAsia" w:ascii="仿宋" w:hAnsi="仿宋" w:eastAsia="仿宋" w:cs="仿宋"/>
                <w:color w:val="auto"/>
                <w:sz w:val="24"/>
              </w:rPr>
              <w:t>2）产品厂家获得省级知名商号，得2分，无不得分；提供相关证明文件或承诺中标后合同签订前提供厂商授权；</w:t>
            </w:r>
          </w:p>
        </w:tc>
      </w:tr>
      <w:tr>
        <w:tblPrEx>
          <w:tblCellMar>
            <w:top w:w="0" w:type="dxa"/>
            <w:left w:w="108" w:type="dxa"/>
            <w:bottom w:w="0" w:type="dxa"/>
            <w:right w:w="108" w:type="dxa"/>
          </w:tblCellMar>
        </w:tblPrEx>
        <w:trPr>
          <w:trHeight w:val="274" w:hRule="atLeast"/>
        </w:trPr>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spacing w:line="281" w:lineRule="auto"/>
              <w:jc w:val="left"/>
              <w:rPr>
                <w:rFonts w:ascii="仿宋" w:hAnsi="仿宋" w:eastAsia="仿宋" w:cs="仿宋"/>
                <w:sz w:val="24"/>
              </w:rPr>
            </w:pPr>
          </w:p>
        </w:tc>
        <w:tc>
          <w:tcPr>
            <w:tcW w:w="1276" w:type="dxa"/>
            <w:vMerge w:val="continue"/>
            <w:tcBorders>
              <w:top w:val="nil"/>
              <w:left w:val="single" w:color="auto" w:sz="4" w:space="0"/>
              <w:bottom w:val="single" w:color="auto" w:sz="4" w:space="0"/>
              <w:right w:val="single" w:color="auto" w:sz="4" w:space="0"/>
            </w:tcBorders>
            <w:shd w:val="clear" w:color="auto" w:fill="auto"/>
            <w:noWrap/>
            <w:vAlign w:val="center"/>
          </w:tcPr>
          <w:p>
            <w:pPr>
              <w:spacing w:line="281" w:lineRule="auto"/>
              <w:jc w:val="left"/>
              <w:rPr>
                <w:rFonts w:ascii="仿宋" w:hAnsi="仿宋" w:eastAsia="仿宋" w:cs="仿宋"/>
                <w:sz w:val="24"/>
              </w:rPr>
            </w:pPr>
          </w:p>
        </w:tc>
        <w:tc>
          <w:tcPr>
            <w:tcW w:w="7247" w:type="dxa"/>
            <w:tcBorders>
              <w:top w:val="nil"/>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color w:val="auto"/>
                <w:sz w:val="24"/>
              </w:rPr>
            </w:pPr>
            <w:r>
              <w:rPr>
                <w:rFonts w:hint="eastAsia" w:ascii="仿宋" w:hAnsi="仿宋" w:eastAsia="仿宋" w:cs="仿宋"/>
                <w:color w:val="auto"/>
                <w:sz w:val="24"/>
              </w:rPr>
              <w:t>3）产品厂家获得国家技术发明奖，得2分，无不得分；提供相关证明文件或承诺中标后合同签订前提供厂商授权；</w:t>
            </w:r>
          </w:p>
        </w:tc>
      </w:tr>
      <w:tr>
        <w:tblPrEx>
          <w:tblCellMar>
            <w:top w:w="0" w:type="dxa"/>
            <w:left w:w="108" w:type="dxa"/>
            <w:bottom w:w="0" w:type="dxa"/>
            <w:right w:w="108" w:type="dxa"/>
          </w:tblCellMar>
        </w:tblPrEx>
        <w:trPr>
          <w:trHeight w:val="5284" w:hRule="atLeast"/>
        </w:trPr>
        <w:tc>
          <w:tcPr>
            <w:tcW w:w="709" w:type="dxa"/>
            <w:tcBorders>
              <w:top w:val="nil"/>
              <w:left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4</w:t>
            </w:r>
          </w:p>
        </w:tc>
        <w:tc>
          <w:tcPr>
            <w:tcW w:w="1276" w:type="dxa"/>
            <w:tcBorders>
              <w:top w:val="nil"/>
              <w:left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投标人能力、业绩（24分）</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1）质量管理体系认证证书ISO9001</w:t>
            </w:r>
          </w:p>
          <w:p>
            <w:pPr>
              <w:spacing w:line="281" w:lineRule="auto"/>
              <w:jc w:val="left"/>
              <w:rPr>
                <w:rFonts w:ascii="仿宋" w:hAnsi="仿宋" w:eastAsia="仿宋" w:cs="仿宋"/>
                <w:sz w:val="24"/>
              </w:rPr>
            </w:pPr>
            <w:r>
              <w:rPr>
                <w:rFonts w:hint="eastAsia" w:ascii="仿宋" w:hAnsi="仿宋" w:eastAsia="仿宋" w:cs="仿宋"/>
                <w:sz w:val="24"/>
              </w:rPr>
              <w:t>2）AAA级重合同守信用企业（重合同守信用企业认证）</w:t>
            </w:r>
          </w:p>
          <w:p>
            <w:pPr>
              <w:spacing w:line="281" w:lineRule="auto"/>
              <w:jc w:val="left"/>
              <w:rPr>
                <w:rFonts w:ascii="仿宋" w:hAnsi="仿宋" w:eastAsia="仿宋" w:cs="仿宋"/>
                <w:sz w:val="24"/>
              </w:rPr>
            </w:pPr>
            <w:r>
              <w:rPr>
                <w:rFonts w:hint="eastAsia" w:ascii="仿宋" w:hAnsi="仿宋" w:eastAsia="仿宋" w:cs="仿宋"/>
                <w:sz w:val="24"/>
              </w:rPr>
              <w:t>3）虚拟拨号专用网（无线VPDN）系统证书</w:t>
            </w:r>
          </w:p>
          <w:p>
            <w:pPr>
              <w:spacing w:line="281" w:lineRule="auto"/>
              <w:jc w:val="left"/>
              <w:rPr>
                <w:rFonts w:hint="eastAsia" w:ascii="仿宋" w:hAnsi="仿宋" w:eastAsia="仿宋" w:cs="仿宋"/>
                <w:sz w:val="24"/>
              </w:rPr>
            </w:pPr>
            <w:r>
              <w:rPr>
                <w:rFonts w:hint="eastAsia" w:ascii="仿宋" w:hAnsi="仿宋" w:eastAsia="仿宋" w:cs="仿宋"/>
                <w:sz w:val="24"/>
              </w:rPr>
              <w:t>每项证书得2分，注：若为分公司投标，以上企业资质认证，认证主体是分公司上级公司或总部，认为该投标单位具备该资质认证，该资质评分得满分，投标时须提供证书复印件，否则不得分。</w:t>
            </w:r>
          </w:p>
          <w:p>
            <w:pPr>
              <w:spacing w:line="281" w:lineRule="auto"/>
              <w:jc w:val="left"/>
              <w:rPr>
                <w:rFonts w:ascii="仿宋" w:hAnsi="仿宋" w:eastAsia="仿宋" w:cs="仿宋"/>
                <w:sz w:val="24"/>
              </w:rPr>
            </w:pPr>
            <w:r>
              <w:rPr>
                <w:rFonts w:hint="eastAsia" w:ascii="仿宋" w:hAnsi="仿宋" w:eastAsia="仿宋" w:cs="仿宋"/>
                <w:sz w:val="24"/>
              </w:rPr>
              <w:t>4）投标人项目组负责人同时具有高级信息系统项目工程师和项目管理专业人士资格认证证书的得3分；项目组其他成员具有其中一种证书的得1分，具有两种证书的得2分；没有不得分，本项最高得3分；投标文件中提供上述证书及持证人单位所在地社保部门出具的最近6个月社保证明扫描件并加盖单位公章）</w:t>
            </w:r>
          </w:p>
          <w:p>
            <w:pPr>
              <w:spacing w:line="281" w:lineRule="auto"/>
              <w:jc w:val="left"/>
              <w:rPr>
                <w:rFonts w:ascii="仿宋" w:hAnsi="仿宋" w:eastAsia="仿宋" w:cs="仿宋"/>
                <w:sz w:val="24"/>
              </w:rPr>
            </w:pPr>
            <w:r>
              <w:rPr>
                <w:rFonts w:hint="eastAsia" w:ascii="仿宋" w:hAnsi="仿宋" w:eastAsia="仿宋" w:cs="仿宋"/>
                <w:sz w:val="24"/>
              </w:rPr>
              <w:t>5）根据投标人自2017年1月1日以来（以合同签订时间为准）有同类成功实施案例，每个得3分；最多得15分；提供业绩合同扫描件。</w:t>
            </w:r>
          </w:p>
        </w:tc>
      </w:tr>
      <w:tr>
        <w:tblPrEx>
          <w:tblCellMar>
            <w:top w:w="0" w:type="dxa"/>
            <w:left w:w="108" w:type="dxa"/>
            <w:bottom w:w="0" w:type="dxa"/>
            <w:right w:w="108" w:type="dxa"/>
          </w:tblCellMar>
        </w:tblPrEx>
        <w:trPr>
          <w:trHeight w:val="285" w:hRule="atLeast"/>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5</w:t>
            </w:r>
          </w:p>
        </w:tc>
        <w:tc>
          <w:tcPr>
            <w:tcW w:w="1276" w:type="dxa"/>
            <w:tcBorders>
              <w:top w:val="nil"/>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施工组织（5分）</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施工计划组织描述详尽合理科学，得5分；施工计划组织描述略有欠缺,合理，得3分；施工计划组织描述有较大欠缺，不合理，得1分；未提供的得0分。</w:t>
            </w:r>
          </w:p>
        </w:tc>
      </w:tr>
      <w:tr>
        <w:tblPrEx>
          <w:tblCellMar>
            <w:top w:w="0" w:type="dxa"/>
            <w:left w:w="108" w:type="dxa"/>
            <w:bottom w:w="0" w:type="dxa"/>
            <w:right w:w="108" w:type="dxa"/>
          </w:tblCellMar>
        </w:tblPrEx>
        <w:trPr>
          <w:trHeight w:val="1355" w:hRule="atLeast"/>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6</w:t>
            </w:r>
          </w:p>
        </w:tc>
        <w:tc>
          <w:tcPr>
            <w:tcW w:w="1276" w:type="dxa"/>
            <w:tcBorders>
              <w:top w:val="nil"/>
              <w:left w:val="single" w:color="auto" w:sz="4" w:space="0"/>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服务履约能力（5分）</w:t>
            </w:r>
          </w:p>
        </w:tc>
        <w:tc>
          <w:tcPr>
            <w:tcW w:w="7247" w:type="dxa"/>
            <w:tcBorders>
              <w:top w:val="single" w:color="auto" w:sz="4" w:space="0"/>
              <w:left w:val="nil"/>
              <w:bottom w:val="single" w:color="auto" w:sz="4" w:space="0"/>
              <w:right w:val="single" w:color="auto" w:sz="4" w:space="0"/>
            </w:tcBorders>
            <w:shd w:val="clear" w:color="000000" w:fill="FFFFFF"/>
            <w:noWrap/>
            <w:vAlign w:val="center"/>
          </w:tcPr>
          <w:p>
            <w:pPr>
              <w:spacing w:line="281" w:lineRule="auto"/>
              <w:jc w:val="left"/>
              <w:rPr>
                <w:rFonts w:ascii="仿宋" w:hAnsi="仿宋" w:eastAsia="仿宋" w:cs="仿宋"/>
                <w:sz w:val="24"/>
              </w:rPr>
            </w:pPr>
            <w:r>
              <w:rPr>
                <w:rFonts w:hint="eastAsia" w:ascii="仿宋" w:hAnsi="仿宋" w:eastAsia="仿宋" w:cs="仿宋"/>
                <w:sz w:val="24"/>
              </w:rPr>
              <w:t>提供本项目的服务方案，服务方案详尽，可行性强，对突发事件有应对措施，且组织机构健全、协调能力强，人员配置到位，有详细服务方案，包括应急预案，方案合理、可行,得5分；服务方案略有欠缺，得3分，服务方案较大欠缺，方案不合理，得1分；未提供的得0分。</w:t>
            </w:r>
          </w:p>
        </w:tc>
      </w:tr>
    </w:tbl>
    <w:p>
      <w:pPr>
        <w:spacing w:line="281"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ascii="仿宋" w:hAnsi="仿宋" w:eastAsia="仿宋" w:cs="仿宋"/>
          <w:b/>
          <w:bCs/>
          <w:iCs/>
          <w:sz w:val="24"/>
        </w:rPr>
      </w:pPr>
      <w:r>
        <w:rPr>
          <w:rFonts w:hint="eastAsia" w:ascii="仿宋" w:hAnsi="仿宋" w:eastAsia="仿宋" w:cs="仿宋"/>
          <w:b/>
          <w:sz w:val="24"/>
        </w:rPr>
        <w:t>2、所有的证书及检测报告必须在有效期内，不在有效期内的不得分。</w:t>
      </w:r>
    </w:p>
    <w:p>
      <w:pPr>
        <w:spacing w:line="281" w:lineRule="auto"/>
        <w:rPr>
          <w:rFonts w:ascii="仿宋" w:hAnsi="仿宋" w:eastAsia="仿宋" w:cs="仿宋"/>
          <w:b/>
          <w:bCs/>
          <w:iCs/>
          <w:sz w:val="24"/>
        </w:rPr>
      </w:pPr>
      <w:r>
        <w:rPr>
          <w:rFonts w:hint="eastAsia" w:ascii="仿宋" w:hAnsi="仿宋" w:eastAsia="仿宋" w:cs="仿宋"/>
          <w:b/>
          <w:bCs/>
          <w:iCs/>
          <w:sz w:val="24"/>
        </w:rPr>
        <w:t>2.2价格分（30分）</w:t>
      </w:r>
    </w:p>
    <w:p>
      <w:pPr>
        <w:spacing w:line="281"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1"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1"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1" w:lineRule="auto"/>
        <w:rPr>
          <w:rFonts w:ascii="仿宋" w:hAnsi="仿宋" w:eastAsia="仿宋" w:cs="仿宋"/>
          <w:iCs/>
          <w:sz w:val="24"/>
        </w:rPr>
      </w:pPr>
      <w:r>
        <w:rPr>
          <w:rFonts w:hint="eastAsia" w:ascii="仿宋" w:hAnsi="仿宋" w:eastAsia="仿宋" w:cs="仿宋"/>
          <w:iCs/>
          <w:sz w:val="24"/>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7"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_GB2312" w:eastAsia="仿宋_GB2312" w:cs="仿宋_GB2312"/>
          <w:sz w:val="24"/>
        </w:rPr>
        <w:t>,</w:t>
      </w:r>
      <w:r>
        <w:rPr>
          <w:rFonts w:hint="eastAsia" w:ascii="仿宋_GB2312" w:eastAsia="仿宋_GB2312" w:cs="仿宋_GB2312"/>
          <w:sz w:val="24"/>
          <w:lang w:val="zh-CN"/>
        </w:rPr>
        <w:t>制作加密电子投标文件时做好关联点设置</w:t>
      </w:r>
      <w:r>
        <w:rPr>
          <w:rFonts w:ascii="仿宋_GB2312" w:eastAsia="仿宋_GB2312" w:cs="仿宋_GB2312"/>
          <w:sz w:val="24"/>
          <w:lang w:val="zh-CN"/>
        </w:rPr>
        <w:t>。</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rPr>
      </w:pPr>
      <w:r>
        <w:rPr>
          <w:rFonts w:hint="eastAsia" w:ascii="仿宋" w:hAnsi="仿宋" w:eastAsia="仿宋" w:cs="仿宋"/>
          <w:b/>
          <w:sz w:val="30"/>
          <w:szCs w:val="30"/>
        </w:rPr>
        <w:t>1、投标响应函（格式）</w:t>
      </w:r>
    </w:p>
    <w:p>
      <w:pPr>
        <w:pStyle w:val="66"/>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绍兴市公安局、耀华建设管理有限公司</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6"/>
        <w:spacing w:afterLines="0" w:line="288" w:lineRule="auto"/>
        <w:ind w:firstLine="480"/>
        <w:rPr>
          <w:rFonts w:ascii="仿宋" w:hAnsi="仿宋" w:eastAsia="仿宋" w:cs="仿宋"/>
          <w:szCs w:val="24"/>
        </w:rPr>
      </w:pP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6"/>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78"/>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78"/>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lang w:eastAsia="zh-CN"/>
        </w:rPr>
        <w:t>绍兴市公安局</w:t>
      </w:r>
      <w:r>
        <w:rPr>
          <w:rFonts w:hint="eastAsia" w:ascii="仿宋_GB2312" w:hAnsi="仿宋_GB2312" w:eastAsia="仿宋_GB2312" w:cs="仿宋_GB2312"/>
        </w:rPr>
        <w:t>的</w:t>
      </w:r>
      <w:r>
        <w:rPr>
          <w:rFonts w:hint="eastAsia" w:ascii="仿宋_GB2312" w:hAnsi="仿宋_GB2312" w:eastAsia="仿宋_GB2312" w:cs="仿宋_GB2312"/>
          <w:u w:val="single"/>
          <w:lang w:eastAsia="zh-CN"/>
        </w:rPr>
        <w:t>车载动态无线视频监控系统租赁项目</w:t>
      </w:r>
      <w:r>
        <w:rPr>
          <w:rFonts w:hint="eastAsia" w:ascii="仿宋_GB2312" w:hAnsi="仿宋_GB2312" w:eastAsia="仿宋_GB2312" w:cs="仿宋_GB2312"/>
        </w:rPr>
        <w:t xml:space="preserve">采购活动提供本企业制造的货物，由本企业承担工程、提供服务，或者提供其他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jc w:val="right"/>
        <w:rPr>
          <w:rFonts w:ascii="仿宋_GB2312" w:hAnsi="仿宋_GB2312" w:eastAsia="仿宋_GB2312" w:cs="仿宋_GB2312"/>
          <w:sz w:val="24"/>
        </w:rPr>
      </w:pPr>
      <w:r>
        <w:rPr>
          <w:rFonts w:hint="eastAsia" w:ascii="仿宋_GB2312" w:hAnsi="仿宋_GB2312" w:eastAsia="仿宋_GB2312" w:cs="仿宋_GB2312"/>
          <w:sz w:val="24"/>
        </w:rPr>
        <w:t xml:space="preserve">声明企业（盖章）： </w:t>
      </w: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rPr>
        <w:t>绍兴市公安局</w:t>
      </w:r>
      <w:r>
        <w:rPr>
          <w:rFonts w:hint="eastAsia" w:ascii="仿宋" w:hAnsi="仿宋" w:eastAsia="仿宋" w:cs="仿宋"/>
          <w:sz w:val="24"/>
        </w:rPr>
        <w:t>的</w:t>
      </w:r>
      <w:r>
        <w:rPr>
          <w:rFonts w:hint="eastAsia" w:ascii="仿宋" w:hAnsi="仿宋" w:eastAsia="仿宋" w:cs="仿宋"/>
          <w:sz w:val="24"/>
          <w:u w:val="single"/>
          <w:lang w:eastAsia="zh-CN"/>
        </w:rPr>
        <w:t>车载动态无线视频监控系统租赁项目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9"/>
        <w:spacing w:line="288" w:lineRule="auto"/>
        <w:ind w:left="0" w:firstLine="0" w:firstLineChars="0"/>
        <w:rPr>
          <w:rFonts w:ascii="仿宋" w:eastAsia="仿宋" w:cs="仿宋"/>
        </w:rPr>
      </w:pPr>
      <w:r>
        <w:rPr>
          <w:rFonts w:hint="eastAsia" w:ascii="仿宋" w:eastAsia="仿宋" w:cs="仿宋"/>
        </w:rPr>
        <w:t>（1）法定代表人授权书 ………………………………………………………………（页码）</w:t>
      </w:r>
    </w:p>
    <w:p>
      <w:pPr>
        <w:pStyle w:val="79"/>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9"/>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9"/>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（6）2018年度或2019年度资产负债表等财务报表资料文件(新成立的公司，提供情况说明)……………………………………………………………………………………</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sz w:val="24"/>
        </w:rPr>
        <w:t>…………………</w:t>
      </w:r>
      <w:r>
        <w:rPr>
          <w:rFonts w:hint="eastAsia" w:ascii="仿宋" w:hAnsi="仿宋" w:eastAsia="仿宋" w:cs="仿宋"/>
          <w:kern w:val="0"/>
          <w:sz w:val="24"/>
        </w:rPr>
        <w:t>（页码）</w:t>
      </w:r>
    </w:p>
    <w:p>
      <w:pPr>
        <w:pStyle w:val="79"/>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9"/>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9"/>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9"/>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9"/>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9"/>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绍兴市公安局、耀华建设管理有限公司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车载动态无线视频监控系统租赁项目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6、财务报表资料文件（2018年度或2019年度资产负债表等财务报表资料文件(新成立的公司，提供情况说明，格式自拟)）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绍兴市公安局、耀华建设管理有限公司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我方郑重承诺，我方具有履行绍兴市公安局</w:t>
      </w:r>
      <w:r>
        <w:rPr>
          <w:rFonts w:hint="eastAsia" w:ascii="仿宋" w:hAnsi="仿宋" w:eastAsia="仿宋" w:cs="仿宋"/>
          <w:sz w:val="24"/>
          <w:lang w:eastAsia="zh-CN"/>
        </w:rPr>
        <w:t>车载动态无线视频监控系统租赁项目</w:t>
      </w:r>
      <w:r>
        <w:rPr>
          <w:rFonts w:hint="eastAsia" w:ascii="仿宋" w:hAnsi="仿宋" w:eastAsia="仿宋" w:cs="仿宋"/>
          <w:sz w:val="24"/>
        </w:rPr>
        <w:t>（招标编号:）合同所必需的设备和专业技术能力。如中标，我方将保证合同顺利履行。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绍兴市公安局、耀华建设管理有限公司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8"/>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注：投标人可按上述的格式自行编制，须随表提交相应的合同复印件和中标通知书复印件加盖单位公章，并注明页码。</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0"/>
        <w:ind w:firstLine="0"/>
        <w:jc w:val="both"/>
        <w:rPr>
          <w:rFonts w:ascii="仿宋" w:eastAsia="仿宋" w:cs="仿宋"/>
        </w:rPr>
      </w:pPr>
    </w:p>
    <w:p>
      <w:pPr>
        <w:pStyle w:val="80"/>
        <w:ind w:firstLine="0"/>
        <w:jc w:val="both"/>
        <w:rPr>
          <w:rFonts w:ascii="仿宋" w:eastAsia="仿宋" w:cs="仿宋"/>
        </w:rPr>
      </w:pPr>
    </w:p>
    <w:p>
      <w:pPr>
        <w:pStyle w:val="80"/>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绍兴市公安局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1.95pt;width:441.4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r>
        <w:rPr>
          <w:rFonts w:ascii="仿宋_GB2312" w:hAnsi="仿宋_GB2312" w:eastAsia="仿宋_GB2312" w:cs="仿宋_GB2312"/>
          <w:b/>
          <w:kern w:val="0"/>
          <w:sz w:val="28"/>
          <w:szCs w:val="28"/>
        </w:rPr>
        <w:object>
          <v:shape id="_x0000_i1027" o:spt="75" type="#_x0000_t75" style="height:41.95pt;width:442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7"/>
    <w:p>
      <w:pPr>
        <w:pStyle w:val="36"/>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2049" o:spt="202" type="#_x0000_t202" style="position:absolute;left:0pt;margin-top:0pt;height:11.65pt;width:31.55pt;mso-position-horizontal:center;mso-position-horizontal-relative:margin;mso-wrap-style:none;z-index:251658240;mso-width-relative:page;mso-height-relative:page;" filled="f" stroked="f" coordsize="21600,21600" o:gfxdata="UEsDBAoAAAAAAIdO4kAAAAAAAAAAAAAAAAAEAAAAZHJzL1BLAwQUAAAACACHTuJAGUOo8tEAAAAD AQAADwAAAGRycy9kb3ducmV2LnhtbE2PwWrDMBBE74X8g9hAb43sGNLgWs4h0EtvTUuht421sUyl lZEUx/77qr20l4Vhhpm3zWF2VkwU4uBZQbkpQBB3Xg/cK3h/e37Yg4gJWaP1TAoWinBoV3cN1trf +JWmU+pFLuFYowKT0lhLGTtDDuPGj8TZu/jgMGUZeqkD3nK5s3JbFDvpcOC8YHCko6Hu63R1Ch7n D09jpCN9XqYumGHZ25dFqft1WTyBSDSnvzD84Gd0aDPT2V9ZR2EV5EfS783eripBnBVsqwpk28j/ 7O03UEsDBBQAAAAIAIdO4kDc1ix25gEAAMQDAAAOAAAAZHJzL2Uyb0RvYy54bWytU8GO0zAQvSPx D5bvNGm1hSVqulp2VYS0sEi7fIDjOIlF7LHGbpPy9YydpCxwQ1yssT3z/N6b8e5mND07KfQabMnX q5wzZSXU2rYl//Z8eHPNmQ/C1qIHq0p+Vp7f7F+/2g2uUBvooK8VMgKxvhhcybsQXJFlXnbKCL8C pyxdNoBGBNpim9UoBkI3fbbJ87fZAFg7BKm8p9P76ZLvE37TKBkem8arwPqSE7eQVkxrFddsvxNF i8J1Ws40xD+wMEJbevQCdS+CYEfUf0EZLRE8NGElwWTQNFqqpIHUrPM/1Dx1wqmkhczx7mKT/3+w 8svpKzJdl3zDmRWGWvSsxsA+wMjW+WYbDRqcLyjvyVFmGOmGGp3EevcA8rtnFu46YVt1iwhDp0RN BNexMntROuH4CFINn6Gml8QxQAIaGzTRPfKDETo16nxpTmQj6fCKun295UzS1frq3ftt4paJYil2 6MNHBYbFoORIvU/g4vTgQyQjiiUlvmXhoPs+9b+3vx1Q4nSi0gDN1VFKZD/pCGM1ztZUUJ9JFMI0 XPQZKOgAf3A20GCV3NLkc9Z/smRLnMElwCWolkBYSYUlD5xN4V2YZvXoULcd4S7G35J1B51kRWIT h9lwGpWkdh7rOIsv9ynr1+fb/wRQSwMECgAAAAAAh07iQAAAAAAAAAAAAAAAAAYAAABfcmVscy9Q SwMEFAAAAAgAh07iQIoUZjzRAAAAlAEAAAsAAABfcmVscy8ucmVsc6WQwWrDMAyG74O9g9F9cZrD GKNOL6PQa+kewNiKYxpbRjLZ+vbzDoNl9LajfqHvE//+8JkWtSJLpGxg1/WgMDvyMQcD75fj0wso qTZ7u1BGAzcUOIyPD/szLra2I5ljEdUoWQzMtZZXrcXNmKx0VDC3zUScbG0jB12su9qAeuj7Z82/ GTBumOrkDfDJD6Aut9LMf9gpOiahqXaOkqZpiu4eVQe2ZY7uyDbhG7lGsxywGvAsGgdqWdd+BH1f v/un3tNHPuO61X6HjOuPV2+6HL8AUEsDBBQAAAAIAIdO4kB+5uUg9wAAAOEBAAATAAAAW0NvbnRl bnRfVHlwZXNdLnhtbJWRQU7DMBBF90jcwfIWJU67QAgl6YK0S0CoHGBkTxKLZGx5TGhvj5O2G0SR WNoz/78nu9wcxkFMGNg6quQqL6RA0s5Y6ir5vt9lD1JwBDIwOMJKHpHlpr69KfdHjyxSmriSfYz+ USnWPY7AufNIadK6MEJMx9ApD/oDOlTrorhX2lFEilmcO2RdNtjC5xDF9pCuTyYBB5bi6bQ4syoJ 3g9WQ0ymaiLzg5KdCXlKLjvcW893SUOqXwnz5DrgnHtJTxOsQfEKIT7DmDSUCayM+6KAU/53yWw5 cuba1mrMm8BNir3hdLG61o5r1zj93/Ltkrp0q+WD6m9QSwECFAAUAAAACACHTuJAfublIPcAAADh AQAAEwAAAAAAAAABACAAAABQBAAAW0NvbnRlbnRfVHlwZXNdLnhtbFBLAQIUAAoAAAAAAIdO4kAA AAAAAAAAAAAAAAAGAAAAAAAAAAAAEAAAADIDAABfcmVscy9QSwECFAAUAAAACACHTuJAihRmPNEA AACUAQAACwAAAAAAAAABACAAAABWAwAAX3JlbHMvLnJlbHNQSwECFAAKAAAAAACHTuJAAAAAAAAA AAAAAAAABAAAAAAAAAAAABAAAAAAAAAAZHJzL1BLAQIUABQAAAAIAIdO4kAZQ6jy0QAAAAMBAAAP AAAAAAAAAAEAIAAAACIAAABkcnMvZG93bnJldi54bWxQSwECFAAUAAAACACHTuJA3NYsduYBAADE AwAADgAAAAAAAAABACAAAAAgAQAAZHJzL2Uyb0RvYy54bWxQSwUGAAAAAAYABgBZAQAAeAUAAAAA ">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3</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2"/>
        <w:rFonts w:cs="Arial"/>
        <w:sz w:val="18"/>
        <w:szCs w:val="21"/>
      </w:rPr>
    </w:pPr>
    <w:r>
      <w:rPr>
        <w:rStyle w:val="32"/>
        <w:rFonts w:cs="Arial"/>
        <w:sz w:val="18"/>
        <w:szCs w:val="21"/>
      </w:rPr>
      <w:fldChar w:fldCharType="begin"/>
    </w:r>
    <w:r>
      <w:rPr>
        <w:rStyle w:val="32"/>
        <w:rFonts w:cs="Arial"/>
        <w:sz w:val="18"/>
        <w:szCs w:val="21"/>
      </w:rPr>
      <w:instrText xml:space="preserve">PAGE  </w:instrText>
    </w:r>
    <w:r>
      <w:rPr>
        <w:rStyle w:val="32"/>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18A238"/>
    <w:multiLevelType w:val="singleLevel"/>
    <w:tmpl w:val="FA18A238"/>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92"/>
      <w:lvlText w:val="%1."/>
      <w:lvlJc w:val="left"/>
      <w:pPr>
        <w:tabs>
          <w:tab w:val="left" w:pos="1200"/>
        </w:tabs>
        <w:ind w:left="1200" w:leftChars="400" w:hanging="360" w:hangingChars="200"/>
      </w:pPr>
    </w:lvl>
  </w:abstractNum>
  <w:abstractNum w:abstractNumId="2">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9"/>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CF0"/>
    <w:rsid w:val="00030F1E"/>
    <w:rsid w:val="00051731"/>
    <w:rsid w:val="00055CDF"/>
    <w:rsid w:val="00063F14"/>
    <w:rsid w:val="0006767A"/>
    <w:rsid w:val="00067735"/>
    <w:rsid w:val="00080F79"/>
    <w:rsid w:val="000813EC"/>
    <w:rsid w:val="00093879"/>
    <w:rsid w:val="000C38DF"/>
    <w:rsid w:val="000D7240"/>
    <w:rsid w:val="001055A8"/>
    <w:rsid w:val="00114135"/>
    <w:rsid w:val="0012034D"/>
    <w:rsid w:val="001311E4"/>
    <w:rsid w:val="00142376"/>
    <w:rsid w:val="0014517B"/>
    <w:rsid w:val="001559EF"/>
    <w:rsid w:val="001660FF"/>
    <w:rsid w:val="00171C91"/>
    <w:rsid w:val="0017463C"/>
    <w:rsid w:val="001814F1"/>
    <w:rsid w:val="0018495F"/>
    <w:rsid w:val="001A09BD"/>
    <w:rsid w:val="001A1325"/>
    <w:rsid w:val="001A687C"/>
    <w:rsid w:val="001B3B8E"/>
    <w:rsid w:val="001D1DA3"/>
    <w:rsid w:val="001E5FDC"/>
    <w:rsid w:val="001E78A2"/>
    <w:rsid w:val="001F02A1"/>
    <w:rsid w:val="00217753"/>
    <w:rsid w:val="00220DF0"/>
    <w:rsid w:val="00230A81"/>
    <w:rsid w:val="002322BF"/>
    <w:rsid w:val="0023264D"/>
    <w:rsid w:val="002476B8"/>
    <w:rsid w:val="00254D2E"/>
    <w:rsid w:val="00262448"/>
    <w:rsid w:val="002663EE"/>
    <w:rsid w:val="00273B10"/>
    <w:rsid w:val="00274496"/>
    <w:rsid w:val="00275656"/>
    <w:rsid w:val="00280DD1"/>
    <w:rsid w:val="00284A80"/>
    <w:rsid w:val="00294D3C"/>
    <w:rsid w:val="002A2838"/>
    <w:rsid w:val="002A2E37"/>
    <w:rsid w:val="002B54E5"/>
    <w:rsid w:val="002B67ED"/>
    <w:rsid w:val="002B6E84"/>
    <w:rsid w:val="002B77DD"/>
    <w:rsid w:val="002C0AB1"/>
    <w:rsid w:val="002D4700"/>
    <w:rsid w:val="002E1F80"/>
    <w:rsid w:val="002E39C0"/>
    <w:rsid w:val="002F25A8"/>
    <w:rsid w:val="00306956"/>
    <w:rsid w:val="0031163B"/>
    <w:rsid w:val="00313A98"/>
    <w:rsid w:val="00330C22"/>
    <w:rsid w:val="00336E1D"/>
    <w:rsid w:val="003403EB"/>
    <w:rsid w:val="003411E7"/>
    <w:rsid w:val="00345DE3"/>
    <w:rsid w:val="00346F1E"/>
    <w:rsid w:val="00387522"/>
    <w:rsid w:val="00387B1C"/>
    <w:rsid w:val="003A2463"/>
    <w:rsid w:val="003A2766"/>
    <w:rsid w:val="003A5C0F"/>
    <w:rsid w:val="003B2510"/>
    <w:rsid w:val="003B25FB"/>
    <w:rsid w:val="003B5CB4"/>
    <w:rsid w:val="003D237E"/>
    <w:rsid w:val="003D2443"/>
    <w:rsid w:val="003F0B46"/>
    <w:rsid w:val="003F5CF0"/>
    <w:rsid w:val="00412A3B"/>
    <w:rsid w:val="004272FF"/>
    <w:rsid w:val="0043244B"/>
    <w:rsid w:val="00440162"/>
    <w:rsid w:val="00455DAB"/>
    <w:rsid w:val="00465752"/>
    <w:rsid w:val="00467496"/>
    <w:rsid w:val="00467DC5"/>
    <w:rsid w:val="004706A2"/>
    <w:rsid w:val="00481099"/>
    <w:rsid w:val="0048467F"/>
    <w:rsid w:val="004A066B"/>
    <w:rsid w:val="004A0E48"/>
    <w:rsid w:val="004A6517"/>
    <w:rsid w:val="004B065D"/>
    <w:rsid w:val="004C0A50"/>
    <w:rsid w:val="004C27D1"/>
    <w:rsid w:val="004C5FD8"/>
    <w:rsid w:val="004D6606"/>
    <w:rsid w:val="004E47C3"/>
    <w:rsid w:val="004E4E9C"/>
    <w:rsid w:val="004F2C71"/>
    <w:rsid w:val="004F5416"/>
    <w:rsid w:val="0050684D"/>
    <w:rsid w:val="005117F3"/>
    <w:rsid w:val="00516A59"/>
    <w:rsid w:val="005213B8"/>
    <w:rsid w:val="0052572A"/>
    <w:rsid w:val="00533E94"/>
    <w:rsid w:val="00545306"/>
    <w:rsid w:val="00547532"/>
    <w:rsid w:val="00566429"/>
    <w:rsid w:val="00575993"/>
    <w:rsid w:val="00583589"/>
    <w:rsid w:val="00590683"/>
    <w:rsid w:val="005A2D46"/>
    <w:rsid w:val="005A4AFA"/>
    <w:rsid w:val="005A64B3"/>
    <w:rsid w:val="005B45D8"/>
    <w:rsid w:val="005C0BB4"/>
    <w:rsid w:val="005D78E5"/>
    <w:rsid w:val="005E47A6"/>
    <w:rsid w:val="00602260"/>
    <w:rsid w:val="006250EE"/>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1566D"/>
    <w:rsid w:val="00723CE8"/>
    <w:rsid w:val="007347CA"/>
    <w:rsid w:val="00741A2B"/>
    <w:rsid w:val="00744C06"/>
    <w:rsid w:val="00755712"/>
    <w:rsid w:val="00762D7F"/>
    <w:rsid w:val="00766BFA"/>
    <w:rsid w:val="0078125A"/>
    <w:rsid w:val="007A150E"/>
    <w:rsid w:val="007A22A3"/>
    <w:rsid w:val="007B3644"/>
    <w:rsid w:val="007C3048"/>
    <w:rsid w:val="007C7CA3"/>
    <w:rsid w:val="007D3ADA"/>
    <w:rsid w:val="007E3668"/>
    <w:rsid w:val="007E571E"/>
    <w:rsid w:val="007F3B1E"/>
    <w:rsid w:val="007F676E"/>
    <w:rsid w:val="00800880"/>
    <w:rsid w:val="00801A53"/>
    <w:rsid w:val="008158DD"/>
    <w:rsid w:val="00815F70"/>
    <w:rsid w:val="00816730"/>
    <w:rsid w:val="0082182E"/>
    <w:rsid w:val="0083267A"/>
    <w:rsid w:val="008371B9"/>
    <w:rsid w:val="00851A0E"/>
    <w:rsid w:val="00851D0E"/>
    <w:rsid w:val="00851E94"/>
    <w:rsid w:val="008702F4"/>
    <w:rsid w:val="00872AA9"/>
    <w:rsid w:val="00884208"/>
    <w:rsid w:val="0089216A"/>
    <w:rsid w:val="00892C6B"/>
    <w:rsid w:val="008A197E"/>
    <w:rsid w:val="008A7E46"/>
    <w:rsid w:val="008B3A13"/>
    <w:rsid w:val="008D0B60"/>
    <w:rsid w:val="008D1D22"/>
    <w:rsid w:val="008D38D9"/>
    <w:rsid w:val="008F4A32"/>
    <w:rsid w:val="00923FCF"/>
    <w:rsid w:val="00937337"/>
    <w:rsid w:val="00945D15"/>
    <w:rsid w:val="00950791"/>
    <w:rsid w:val="00955273"/>
    <w:rsid w:val="00962E86"/>
    <w:rsid w:val="009660EE"/>
    <w:rsid w:val="00975ECC"/>
    <w:rsid w:val="009A4CEF"/>
    <w:rsid w:val="009C76A2"/>
    <w:rsid w:val="009D2FED"/>
    <w:rsid w:val="009D6E2E"/>
    <w:rsid w:val="009E0533"/>
    <w:rsid w:val="009F1EB3"/>
    <w:rsid w:val="009F4AB2"/>
    <w:rsid w:val="00A1598B"/>
    <w:rsid w:val="00A16944"/>
    <w:rsid w:val="00A274A0"/>
    <w:rsid w:val="00A27EBF"/>
    <w:rsid w:val="00A30EAA"/>
    <w:rsid w:val="00A41BE4"/>
    <w:rsid w:val="00A468BA"/>
    <w:rsid w:val="00A56A1E"/>
    <w:rsid w:val="00A63825"/>
    <w:rsid w:val="00A63FBA"/>
    <w:rsid w:val="00A67091"/>
    <w:rsid w:val="00A76112"/>
    <w:rsid w:val="00A831F9"/>
    <w:rsid w:val="00A86515"/>
    <w:rsid w:val="00A92E6E"/>
    <w:rsid w:val="00A93369"/>
    <w:rsid w:val="00A95926"/>
    <w:rsid w:val="00A97711"/>
    <w:rsid w:val="00AA527A"/>
    <w:rsid w:val="00AD02E7"/>
    <w:rsid w:val="00AD0587"/>
    <w:rsid w:val="00AD18FF"/>
    <w:rsid w:val="00AD270F"/>
    <w:rsid w:val="00AE1493"/>
    <w:rsid w:val="00AE4A39"/>
    <w:rsid w:val="00AF75FD"/>
    <w:rsid w:val="00B01CF7"/>
    <w:rsid w:val="00B1333D"/>
    <w:rsid w:val="00B22626"/>
    <w:rsid w:val="00B251FC"/>
    <w:rsid w:val="00B34963"/>
    <w:rsid w:val="00B63DE9"/>
    <w:rsid w:val="00B71876"/>
    <w:rsid w:val="00B76EC0"/>
    <w:rsid w:val="00BA30DB"/>
    <w:rsid w:val="00C207BF"/>
    <w:rsid w:val="00C249E6"/>
    <w:rsid w:val="00C60D63"/>
    <w:rsid w:val="00C7051D"/>
    <w:rsid w:val="00C750A5"/>
    <w:rsid w:val="00C85041"/>
    <w:rsid w:val="00C90C86"/>
    <w:rsid w:val="00C94F88"/>
    <w:rsid w:val="00C96A36"/>
    <w:rsid w:val="00CA375D"/>
    <w:rsid w:val="00CB14BF"/>
    <w:rsid w:val="00CB3AAD"/>
    <w:rsid w:val="00CB4467"/>
    <w:rsid w:val="00CB5752"/>
    <w:rsid w:val="00CB62BE"/>
    <w:rsid w:val="00CC505C"/>
    <w:rsid w:val="00CC5263"/>
    <w:rsid w:val="00CF7CD7"/>
    <w:rsid w:val="00D036B1"/>
    <w:rsid w:val="00D116A2"/>
    <w:rsid w:val="00D30BE3"/>
    <w:rsid w:val="00D65939"/>
    <w:rsid w:val="00D75FC8"/>
    <w:rsid w:val="00D95393"/>
    <w:rsid w:val="00D9689D"/>
    <w:rsid w:val="00DA2B91"/>
    <w:rsid w:val="00DA5951"/>
    <w:rsid w:val="00DA73D0"/>
    <w:rsid w:val="00DB5DBA"/>
    <w:rsid w:val="00DD1F2E"/>
    <w:rsid w:val="00DE3243"/>
    <w:rsid w:val="00E02CE4"/>
    <w:rsid w:val="00E05B74"/>
    <w:rsid w:val="00E13813"/>
    <w:rsid w:val="00E4050A"/>
    <w:rsid w:val="00E60A3E"/>
    <w:rsid w:val="00E62AFA"/>
    <w:rsid w:val="00E710CD"/>
    <w:rsid w:val="00E76BEC"/>
    <w:rsid w:val="00E81842"/>
    <w:rsid w:val="00EA43CE"/>
    <w:rsid w:val="00EB2D90"/>
    <w:rsid w:val="00EB542F"/>
    <w:rsid w:val="00EC3085"/>
    <w:rsid w:val="00EC3857"/>
    <w:rsid w:val="00ED3842"/>
    <w:rsid w:val="00EE7013"/>
    <w:rsid w:val="00EF043D"/>
    <w:rsid w:val="00F2325C"/>
    <w:rsid w:val="00F26D1D"/>
    <w:rsid w:val="00F56126"/>
    <w:rsid w:val="00F63769"/>
    <w:rsid w:val="00F64381"/>
    <w:rsid w:val="00F854BD"/>
    <w:rsid w:val="00F8625A"/>
    <w:rsid w:val="00F962A2"/>
    <w:rsid w:val="00FA3C13"/>
    <w:rsid w:val="00FA6E82"/>
    <w:rsid w:val="00FB06C5"/>
    <w:rsid w:val="00FB2890"/>
    <w:rsid w:val="00FB28A6"/>
    <w:rsid w:val="00FB512C"/>
    <w:rsid w:val="00FB744B"/>
    <w:rsid w:val="00FC0CF4"/>
    <w:rsid w:val="00FC1A98"/>
    <w:rsid w:val="00FC3D34"/>
    <w:rsid w:val="00FC6422"/>
    <w:rsid w:val="00FD25D7"/>
    <w:rsid w:val="00FE7019"/>
    <w:rsid w:val="00FF0DDB"/>
    <w:rsid w:val="00FF20E1"/>
    <w:rsid w:val="01073442"/>
    <w:rsid w:val="0135256E"/>
    <w:rsid w:val="017F0419"/>
    <w:rsid w:val="0202557A"/>
    <w:rsid w:val="021943BC"/>
    <w:rsid w:val="02455361"/>
    <w:rsid w:val="026B7D9D"/>
    <w:rsid w:val="02E03D80"/>
    <w:rsid w:val="02FF6323"/>
    <w:rsid w:val="03166C95"/>
    <w:rsid w:val="033742BA"/>
    <w:rsid w:val="0352039E"/>
    <w:rsid w:val="039769D6"/>
    <w:rsid w:val="0432047D"/>
    <w:rsid w:val="044736CF"/>
    <w:rsid w:val="04AB653B"/>
    <w:rsid w:val="04CE269C"/>
    <w:rsid w:val="051B6B97"/>
    <w:rsid w:val="052D2EBC"/>
    <w:rsid w:val="05B2082E"/>
    <w:rsid w:val="05B75E5D"/>
    <w:rsid w:val="060870C2"/>
    <w:rsid w:val="06E4135A"/>
    <w:rsid w:val="073127D1"/>
    <w:rsid w:val="07DA186C"/>
    <w:rsid w:val="08C922E5"/>
    <w:rsid w:val="08DC6D2E"/>
    <w:rsid w:val="08E27460"/>
    <w:rsid w:val="08FA3C1C"/>
    <w:rsid w:val="092D2631"/>
    <w:rsid w:val="097A3B63"/>
    <w:rsid w:val="0A0A25D7"/>
    <w:rsid w:val="0B3869A1"/>
    <w:rsid w:val="0B637A3A"/>
    <w:rsid w:val="0B9713AA"/>
    <w:rsid w:val="0BF273FD"/>
    <w:rsid w:val="0BF4331C"/>
    <w:rsid w:val="0D785F46"/>
    <w:rsid w:val="0DC13115"/>
    <w:rsid w:val="0DD1638B"/>
    <w:rsid w:val="0E8567D9"/>
    <w:rsid w:val="0E9C67E4"/>
    <w:rsid w:val="0ED21131"/>
    <w:rsid w:val="0EE1261E"/>
    <w:rsid w:val="0F0776FB"/>
    <w:rsid w:val="104D6387"/>
    <w:rsid w:val="10A61DA4"/>
    <w:rsid w:val="10C92ED0"/>
    <w:rsid w:val="10F654D7"/>
    <w:rsid w:val="10FF59E9"/>
    <w:rsid w:val="1132577D"/>
    <w:rsid w:val="11564EC4"/>
    <w:rsid w:val="11B07BD6"/>
    <w:rsid w:val="11D14A71"/>
    <w:rsid w:val="11D664F4"/>
    <w:rsid w:val="11D91565"/>
    <w:rsid w:val="125750F6"/>
    <w:rsid w:val="126F4682"/>
    <w:rsid w:val="127542AA"/>
    <w:rsid w:val="12C50F49"/>
    <w:rsid w:val="12F15FC0"/>
    <w:rsid w:val="13AD3C35"/>
    <w:rsid w:val="1437484A"/>
    <w:rsid w:val="14685E9F"/>
    <w:rsid w:val="149C53ED"/>
    <w:rsid w:val="14A17E3B"/>
    <w:rsid w:val="15005974"/>
    <w:rsid w:val="151F5548"/>
    <w:rsid w:val="1557079B"/>
    <w:rsid w:val="15661BF2"/>
    <w:rsid w:val="169F1555"/>
    <w:rsid w:val="16C339B4"/>
    <w:rsid w:val="1726330F"/>
    <w:rsid w:val="176C6F4D"/>
    <w:rsid w:val="17E0367B"/>
    <w:rsid w:val="181C3543"/>
    <w:rsid w:val="181F4CEE"/>
    <w:rsid w:val="183550AA"/>
    <w:rsid w:val="1887170A"/>
    <w:rsid w:val="18BE625E"/>
    <w:rsid w:val="18F64FE1"/>
    <w:rsid w:val="192C691D"/>
    <w:rsid w:val="193E2714"/>
    <w:rsid w:val="197D38E8"/>
    <w:rsid w:val="198960E3"/>
    <w:rsid w:val="199F0C8D"/>
    <w:rsid w:val="19A857C8"/>
    <w:rsid w:val="19AC4E80"/>
    <w:rsid w:val="19CE48C9"/>
    <w:rsid w:val="19D9355D"/>
    <w:rsid w:val="1A0561E6"/>
    <w:rsid w:val="1A0C3B58"/>
    <w:rsid w:val="1A8B44E3"/>
    <w:rsid w:val="1AB932E0"/>
    <w:rsid w:val="1B1C0F2A"/>
    <w:rsid w:val="1B1F3315"/>
    <w:rsid w:val="1B5003E0"/>
    <w:rsid w:val="1B632526"/>
    <w:rsid w:val="1B765B82"/>
    <w:rsid w:val="1B965EA6"/>
    <w:rsid w:val="1BE62BE0"/>
    <w:rsid w:val="1C2F0AD9"/>
    <w:rsid w:val="1D155786"/>
    <w:rsid w:val="1D5D2AA4"/>
    <w:rsid w:val="1DD45AFC"/>
    <w:rsid w:val="1DDC590A"/>
    <w:rsid w:val="1E335181"/>
    <w:rsid w:val="1E3F599E"/>
    <w:rsid w:val="1EE4458C"/>
    <w:rsid w:val="1F3A2255"/>
    <w:rsid w:val="1F7362DF"/>
    <w:rsid w:val="1F821340"/>
    <w:rsid w:val="1FB74E43"/>
    <w:rsid w:val="1FC70F79"/>
    <w:rsid w:val="1FD44083"/>
    <w:rsid w:val="1FDB4036"/>
    <w:rsid w:val="209A7B6A"/>
    <w:rsid w:val="20A9561D"/>
    <w:rsid w:val="20BE6021"/>
    <w:rsid w:val="21697BCF"/>
    <w:rsid w:val="216D4A99"/>
    <w:rsid w:val="218642C5"/>
    <w:rsid w:val="218B4CE9"/>
    <w:rsid w:val="219D5386"/>
    <w:rsid w:val="21EB34DB"/>
    <w:rsid w:val="22727487"/>
    <w:rsid w:val="22A9157E"/>
    <w:rsid w:val="22C65437"/>
    <w:rsid w:val="2304797C"/>
    <w:rsid w:val="231942C4"/>
    <w:rsid w:val="23BE0F28"/>
    <w:rsid w:val="23CB6CF7"/>
    <w:rsid w:val="23CD595C"/>
    <w:rsid w:val="23E17F6F"/>
    <w:rsid w:val="24097FEF"/>
    <w:rsid w:val="241A6CE7"/>
    <w:rsid w:val="242F6C37"/>
    <w:rsid w:val="24CA6AC2"/>
    <w:rsid w:val="24D972C4"/>
    <w:rsid w:val="24E92B02"/>
    <w:rsid w:val="24EB2B99"/>
    <w:rsid w:val="252565D6"/>
    <w:rsid w:val="253216FD"/>
    <w:rsid w:val="256D4AB4"/>
    <w:rsid w:val="25A13331"/>
    <w:rsid w:val="25A57D1C"/>
    <w:rsid w:val="25D96272"/>
    <w:rsid w:val="26294A1D"/>
    <w:rsid w:val="26881F5A"/>
    <w:rsid w:val="26CC410D"/>
    <w:rsid w:val="27903546"/>
    <w:rsid w:val="280B58EA"/>
    <w:rsid w:val="284D434A"/>
    <w:rsid w:val="28727528"/>
    <w:rsid w:val="289202B5"/>
    <w:rsid w:val="291E1DAE"/>
    <w:rsid w:val="29DA29ED"/>
    <w:rsid w:val="2A523300"/>
    <w:rsid w:val="2AB23807"/>
    <w:rsid w:val="2AFA300F"/>
    <w:rsid w:val="2BB712A2"/>
    <w:rsid w:val="2BD668A3"/>
    <w:rsid w:val="2BDD5FC5"/>
    <w:rsid w:val="2C446861"/>
    <w:rsid w:val="2CD53511"/>
    <w:rsid w:val="2D2A61CE"/>
    <w:rsid w:val="2D80707D"/>
    <w:rsid w:val="2DE2488D"/>
    <w:rsid w:val="2E083145"/>
    <w:rsid w:val="2E120695"/>
    <w:rsid w:val="2ED5521A"/>
    <w:rsid w:val="2ED619F5"/>
    <w:rsid w:val="2F9F3A1B"/>
    <w:rsid w:val="2FC778BA"/>
    <w:rsid w:val="300E309E"/>
    <w:rsid w:val="30317F30"/>
    <w:rsid w:val="303B0264"/>
    <w:rsid w:val="304B5E64"/>
    <w:rsid w:val="305D472F"/>
    <w:rsid w:val="30730BA2"/>
    <w:rsid w:val="30782F4C"/>
    <w:rsid w:val="3091213D"/>
    <w:rsid w:val="30B5410C"/>
    <w:rsid w:val="30C9139F"/>
    <w:rsid w:val="30CC5664"/>
    <w:rsid w:val="31A44863"/>
    <w:rsid w:val="31AF70A8"/>
    <w:rsid w:val="31C6513D"/>
    <w:rsid w:val="32221E3A"/>
    <w:rsid w:val="32B05C3D"/>
    <w:rsid w:val="32B65903"/>
    <w:rsid w:val="32C97243"/>
    <w:rsid w:val="32D758ED"/>
    <w:rsid w:val="33012007"/>
    <w:rsid w:val="33AD15F4"/>
    <w:rsid w:val="33F65183"/>
    <w:rsid w:val="34842703"/>
    <w:rsid w:val="34A065F2"/>
    <w:rsid w:val="359C1A91"/>
    <w:rsid w:val="37186BCB"/>
    <w:rsid w:val="37604E39"/>
    <w:rsid w:val="37892729"/>
    <w:rsid w:val="378D5403"/>
    <w:rsid w:val="37B9146D"/>
    <w:rsid w:val="37C02DA1"/>
    <w:rsid w:val="37D43997"/>
    <w:rsid w:val="38042CE6"/>
    <w:rsid w:val="38285B2C"/>
    <w:rsid w:val="38387BC2"/>
    <w:rsid w:val="38A11738"/>
    <w:rsid w:val="38CF2698"/>
    <w:rsid w:val="38D4603A"/>
    <w:rsid w:val="38F45F0B"/>
    <w:rsid w:val="38F76EE1"/>
    <w:rsid w:val="392E3D2B"/>
    <w:rsid w:val="398D342C"/>
    <w:rsid w:val="3A4719E4"/>
    <w:rsid w:val="3A5F0E06"/>
    <w:rsid w:val="3B671059"/>
    <w:rsid w:val="3B9F7E10"/>
    <w:rsid w:val="3BA40ED7"/>
    <w:rsid w:val="3BE67851"/>
    <w:rsid w:val="3C025073"/>
    <w:rsid w:val="3C0D4D62"/>
    <w:rsid w:val="3C383A60"/>
    <w:rsid w:val="3D0E3394"/>
    <w:rsid w:val="3D2A3AF6"/>
    <w:rsid w:val="3E253FC4"/>
    <w:rsid w:val="3E66686E"/>
    <w:rsid w:val="3E781CBE"/>
    <w:rsid w:val="3EF13B78"/>
    <w:rsid w:val="3F0F39CE"/>
    <w:rsid w:val="3F184BE9"/>
    <w:rsid w:val="3F96657B"/>
    <w:rsid w:val="40712EC2"/>
    <w:rsid w:val="409C2167"/>
    <w:rsid w:val="40D9690C"/>
    <w:rsid w:val="40DA5F94"/>
    <w:rsid w:val="40E54BE8"/>
    <w:rsid w:val="4175100A"/>
    <w:rsid w:val="41A3573D"/>
    <w:rsid w:val="41B4707C"/>
    <w:rsid w:val="41F123EE"/>
    <w:rsid w:val="422A0C37"/>
    <w:rsid w:val="425B70E5"/>
    <w:rsid w:val="43DD0189"/>
    <w:rsid w:val="43E828F9"/>
    <w:rsid w:val="447D365A"/>
    <w:rsid w:val="44A620DD"/>
    <w:rsid w:val="44E52F1C"/>
    <w:rsid w:val="454753F6"/>
    <w:rsid w:val="458B246E"/>
    <w:rsid w:val="45A339CF"/>
    <w:rsid w:val="45BB538B"/>
    <w:rsid w:val="4616050C"/>
    <w:rsid w:val="4624734D"/>
    <w:rsid w:val="47663221"/>
    <w:rsid w:val="47747657"/>
    <w:rsid w:val="47D816EC"/>
    <w:rsid w:val="48BF50A6"/>
    <w:rsid w:val="48C46876"/>
    <w:rsid w:val="48E66DBF"/>
    <w:rsid w:val="49246CEA"/>
    <w:rsid w:val="4953763C"/>
    <w:rsid w:val="4964544D"/>
    <w:rsid w:val="49C70F72"/>
    <w:rsid w:val="49E360AC"/>
    <w:rsid w:val="4A04095E"/>
    <w:rsid w:val="4A2E44F7"/>
    <w:rsid w:val="4A373AFF"/>
    <w:rsid w:val="4AF0380B"/>
    <w:rsid w:val="4B3C70F3"/>
    <w:rsid w:val="4BF23C29"/>
    <w:rsid w:val="4D000BB8"/>
    <w:rsid w:val="4D210B99"/>
    <w:rsid w:val="4D2764E4"/>
    <w:rsid w:val="4D4F306D"/>
    <w:rsid w:val="4D553076"/>
    <w:rsid w:val="4DC16712"/>
    <w:rsid w:val="4E083898"/>
    <w:rsid w:val="4E26397C"/>
    <w:rsid w:val="4E363927"/>
    <w:rsid w:val="4EA639CF"/>
    <w:rsid w:val="4EA90E17"/>
    <w:rsid w:val="4F2E5DD1"/>
    <w:rsid w:val="4F9153B3"/>
    <w:rsid w:val="50583025"/>
    <w:rsid w:val="51F86E77"/>
    <w:rsid w:val="5237566A"/>
    <w:rsid w:val="52521883"/>
    <w:rsid w:val="52C0259A"/>
    <w:rsid w:val="52FE221E"/>
    <w:rsid w:val="53ED7088"/>
    <w:rsid w:val="541D2A3E"/>
    <w:rsid w:val="551A70BA"/>
    <w:rsid w:val="55902CE3"/>
    <w:rsid w:val="55A42927"/>
    <w:rsid w:val="55B02F17"/>
    <w:rsid w:val="55E573DE"/>
    <w:rsid w:val="55E658E6"/>
    <w:rsid w:val="56311879"/>
    <w:rsid w:val="56B87238"/>
    <w:rsid w:val="56D10212"/>
    <w:rsid w:val="571E2C5F"/>
    <w:rsid w:val="57351512"/>
    <w:rsid w:val="579A5ACB"/>
    <w:rsid w:val="57A66209"/>
    <w:rsid w:val="57F303AA"/>
    <w:rsid w:val="5863246B"/>
    <w:rsid w:val="58787371"/>
    <w:rsid w:val="588A53A7"/>
    <w:rsid w:val="59194A2D"/>
    <w:rsid w:val="595C082B"/>
    <w:rsid w:val="596E3097"/>
    <w:rsid w:val="59F56D5F"/>
    <w:rsid w:val="59FE758C"/>
    <w:rsid w:val="5B14063F"/>
    <w:rsid w:val="5B301B1F"/>
    <w:rsid w:val="5BC63127"/>
    <w:rsid w:val="5CEC747F"/>
    <w:rsid w:val="5D355342"/>
    <w:rsid w:val="5D680D09"/>
    <w:rsid w:val="5D9A2ED9"/>
    <w:rsid w:val="5DC236EC"/>
    <w:rsid w:val="5EA2001B"/>
    <w:rsid w:val="5F0266A3"/>
    <w:rsid w:val="5F1836D7"/>
    <w:rsid w:val="5F2146DE"/>
    <w:rsid w:val="5F232D5B"/>
    <w:rsid w:val="5F6D4B74"/>
    <w:rsid w:val="5F744292"/>
    <w:rsid w:val="5F952C60"/>
    <w:rsid w:val="5FD51C0C"/>
    <w:rsid w:val="606129E7"/>
    <w:rsid w:val="60662262"/>
    <w:rsid w:val="60B719D0"/>
    <w:rsid w:val="610B35BB"/>
    <w:rsid w:val="61CD1945"/>
    <w:rsid w:val="620E2B02"/>
    <w:rsid w:val="622135D0"/>
    <w:rsid w:val="622574EE"/>
    <w:rsid w:val="624A22BB"/>
    <w:rsid w:val="62B65C75"/>
    <w:rsid w:val="633D3608"/>
    <w:rsid w:val="63487EAC"/>
    <w:rsid w:val="63575F25"/>
    <w:rsid w:val="637F68CB"/>
    <w:rsid w:val="64013D86"/>
    <w:rsid w:val="64031C4A"/>
    <w:rsid w:val="643A6EA0"/>
    <w:rsid w:val="6463157A"/>
    <w:rsid w:val="646D246D"/>
    <w:rsid w:val="64781C37"/>
    <w:rsid w:val="64A17E2B"/>
    <w:rsid w:val="64A849CD"/>
    <w:rsid w:val="64CF1F8E"/>
    <w:rsid w:val="64EC5A6B"/>
    <w:rsid w:val="650D77AD"/>
    <w:rsid w:val="653666D1"/>
    <w:rsid w:val="6597576B"/>
    <w:rsid w:val="66090E80"/>
    <w:rsid w:val="6611701E"/>
    <w:rsid w:val="66E82209"/>
    <w:rsid w:val="67B30311"/>
    <w:rsid w:val="67FD2A7B"/>
    <w:rsid w:val="680705F0"/>
    <w:rsid w:val="68210070"/>
    <w:rsid w:val="683164CC"/>
    <w:rsid w:val="68BB3495"/>
    <w:rsid w:val="68DB190B"/>
    <w:rsid w:val="69634496"/>
    <w:rsid w:val="69826C78"/>
    <w:rsid w:val="6A315029"/>
    <w:rsid w:val="6AB1009A"/>
    <w:rsid w:val="6B8860DC"/>
    <w:rsid w:val="6BAE7000"/>
    <w:rsid w:val="6BB05959"/>
    <w:rsid w:val="6BD67C2C"/>
    <w:rsid w:val="6C5C04D5"/>
    <w:rsid w:val="6CB13F20"/>
    <w:rsid w:val="6CCA6527"/>
    <w:rsid w:val="6D1E181B"/>
    <w:rsid w:val="6D9B2320"/>
    <w:rsid w:val="6E1E7470"/>
    <w:rsid w:val="6E6617A6"/>
    <w:rsid w:val="6EA942E9"/>
    <w:rsid w:val="6F572D08"/>
    <w:rsid w:val="6FB83CDB"/>
    <w:rsid w:val="6FD5142D"/>
    <w:rsid w:val="70462173"/>
    <w:rsid w:val="70853498"/>
    <w:rsid w:val="70FC7A0D"/>
    <w:rsid w:val="712F4D7E"/>
    <w:rsid w:val="71586B6E"/>
    <w:rsid w:val="720400C9"/>
    <w:rsid w:val="72074872"/>
    <w:rsid w:val="72BB4D4E"/>
    <w:rsid w:val="72BE4B83"/>
    <w:rsid w:val="73094A27"/>
    <w:rsid w:val="73200F6B"/>
    <w:rsid w:val="735C2DC4"/>
    <w:rsid w:val="746A71CC"/>
    <w:rsid w:val="74715CA6"/>
    <w:rsid w:val="74BB1904"/>
    <w:rsid w:val="74D249BF"/>
    <w:rsid w:val="754358D4"/>
    <w:rsid w:val="75FF0A2F"/>
    <w:rsid w:val="767F7FDC"/>
    <w:rsid w:val="76944A1D"/>
    <w:rsid w:val="76DC57A8"/>
    <w:rsid w:val="76F66D3B"/>
    <w:rsid w:val="770563B7"/>
    <w:rsid w:val="77DE40CB"/>
    <w:rsid w:val="77F23F79"/>
    <w:rsid w:val="781135E0"/>
    <w:rsid w:val="78305FF2"/>
    <w:rsid w:val="78694157"/>
    <w:rsid w:val="78B427D1"/>
    <w:rsid w:val="792E66F3"/>
    <w:rsid w:val="796203CB"/>
    <w:rsid w:val="79B44386"/>
    <w:rsid w:val="79EE6A68"/>
    <w:rsid w:val="7A3E7618"/>
    <w:rsid w:val="7AE5282F"/>
    <w:rsid w:val="7AF956FC"/>
    <w:rsid w:val="7BD8404F"/>
    <w:rsid w:val="7C003A54"/>
    <w:rsid w:val="7C0C4D38"/>
    <w:rsid w:val="7C373DB7"/>
    <w:rsid w:val="7C4228B4"/>
    <w:rsid w:val="7C5D47C4"/>
    <w:rsid w:val="7C6B5BDD"/>
    <w:rsid w:val="7C85091F"/>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qFormat="1" w:uiPriority="99" w:semiHidden="0"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38"/>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5"/>
    <w:link w:val="39"/>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0"/>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54"/>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next w:val="8"/>
    <w:qFormat/>
    <w:uiPriority w:val="99"/>
    <w:pPr>
      <w:numPr>
        <w:ilvl w:val="0"/>
        <w:numId w:val="2"/>
      </w:numPr>
    </w:pPr>
  </w:style>
  <w:style w:type="paragraph" w:styleId="8">
    <w:name w:val="Body Text"/>
    <w:basedOn w:val="1"/>
    <w:link w:val="43"/>
    <w:qFormat/>
    <w:locked/>
    <w:uiPriority w:val="99"/>
    <w:pPr>
      <w:spacing w:line="360" w:lineRule="auto"/>
    </w:pPr>
    <w:rPr>
      <w:rFonts w:eastAsia="仿宋_GB2312"/>
      <w:sz w:val="28"/>
    </w:rPr>
  </w:style>
  <w:style w:type="paragraph" w:styleId="9">
    <w:name w:val="List Number"/>
    <w:basedOn w:val="1"/>
    <w:qFormat/>
    <w:uiPriority w:val="99"/>
    <w:pPr>
      <w:numPr>
        <w:ilvl w:val="0"/>
        <w:numId w:val="3"/>
      </w:numPr>
    </w:pPr>
  </w:style>
  <w:style w:type="paragraph" w:styleId="10">
    <w:name w:val="Document Map"/>
    <w:basedOn w:val="1"/>
    <w:link w:val="41"/>
    <w:semiHidden/>
    <w:qFormat/>
    <w:locked/>
    <w:uiPriority w:val="99"/>
    <w:pPr>
      <w:shd w:val="clear" w:color="auto" w:fill="000080"/>
      <w:adjustRightInd/>
    </w:pPr>
    <w:rPr>
      <w:rFonts w:ascii="宋体"/>
      <w:sz w:val="18"/>
      <w:szCs w:val="18"/>
    </w:rPr>
  </w:style>
  <w:style w:type="paragraph" w:styleId="11">
    <w:name w:val="annotation text"/>
    <w:basedOn w:val="1"/>
    <w:link w:val="42"/>
    <w:qFormat/>
    <w:uiPriority w:val="99"/>
    <w:pPr>
      <w:adjustRightInd/>
      <w:jc w:val="left"/>
    </w:pPr>
    <w:rPr>
      <w:kern w:val="0"/>
      <w:sz w:val="24"/>
      <w:lang w:val="zh-CN"/>
    </w:rPr>
  </w:style>
  <w:style w:type="paragraph" w:styleId="12">
    <w:name w:val="Body Text Indent"/>
    <w:basedOn w:val="1"/>
    <w:link w:val="44"/>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Block Text"/>
    <w:basedOn w:val="1"/>
    <w:unhideWhenUsed/>
    <w:qFormat/>
    <w:locked/>
    <w:uiPriority w:val="99"/>
    <w:pPr>
      <w:spacing w:after="120"/>
      <w:ind w:left="1440" w:leftChars="700" w:right="1440" w:rightChars="700"/>
    </w:pPr>
  </w:style>
  <w:style w:type="paragraph" w:styleId="15">
    <w:name w:val="Plain Text"/>
    <w:basedOn w:val="1"/>
    <w:next w:val="5"/>
    <w:link w:val="45"/>
    <w:qFormat/>
    <w:uiPriority w:val="99"/>
    <w:rPr>
      <w:rFonts w:ascii="宋体" w:hAnsi="Courier New"/>
      <w:kern w:val="0"/>
      <w:szCs w:val="20"/>
    </w:rPr>
  </w:style>
  <w:style w:type="paragraph" w:styleId="16">
    <w:name w:val="Date"/>
    <w:basedOn w:val="1"/>
    <w:next w:val="1"/>
    <w:link w:val="46"/>
    <w:qFormat/>
    <w:uiPriority w:val="99"/>
    <w:pPr>
      <w:ind w:left="100" w:leftChars="2500"/>
    </w:pPr>
    <w:rPr>
      <w:rFonts w:ascii="宋体"/>
      <w:kern w:val="0"/>
      <w:szCs w:val="20"/>
      <w:lang w:val="zh-CN"/>
    </w:rPr>
  </w:style>
  <w:style w:type="paragraph" w:styleId="17">
    <w:name w:val="Body Text Indent 2"/>
    <w:basedOn w:val="1"/>
    <w:link w:val="47"/>
    <w:semiHidden/>
    <w:qFormat/>
    <w:locked/>
    <w:uiPriority w:val="99"/>
    <w:pPr>
      <w:spacing w:after="120" w:line="480" w:lineRule="auto"/>
      <w:ind w:left="420" w:leftChars="200"/>
    </w:pPr>
  </w:style>
  <w:style w:type="paragraph" w:styleId="18">
    <w:name w:val="Balloon Text"/>
    <w:basedOn w:val="1"/>
    <w:link w:val="82"/>
    <w:semiHidden/>
    <w:qFormat/>
    <w:locked/>
    <w:uiPriority w:val="99"/>
    <w:rPr>
      <w:sz w:val="18"/>
      <w:szCs w:val="18"/>
    </w:rPr>
  </w:style>
  <w:style w:type="paragraph" w:styleId="19">
    <w:name w:val="footer"/>
    <w:basedOn w:val="1"/>
    <w:link w:val="48"/>
    <w:qFormat/>
    <w:uiPriority w:val="99"/>
    <w:pPr>
      <w:tabs>
        <w:tab w:val="center" w:pos="4153"/>
        <w:tab w:val="right" w:pos="8306"/>
      </w:tabs>
      <w:snapToGrid w:val="0"/>
      <w:jc w:val="left"/>
    </w:pPr>
    <w:rPr>
      <w:kern w:val="0"/>
      <w:sz w:val="18"/>
      <w:szCs w:val="18"/>
    </w:rPr>
  </w:style>
  <w:style w:type="paragraph" w:styleId="20">
    <w:name w:val="header"/>
    <w:basedOn w:val="1"/>
    <w:link w:val="53"/>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50"/>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1"/>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1"/>
    <w:next w:val="11"/>
    <w:link w:val="52"/>
    <w:qFormat/>
    <w:uiPriority w:val="99"/>
    <w:pPr>
      <w:widowControl/>
      <w:spacing w:afterLines="50"/>
    </w:pPr>
    <w:rPr>
      <w:b/>
      <w:bCs/>
    </w:rPr>
  </w:style>
  <w:style w:type="paragraph" w:styleId="27">
    <w:name w:val="Body Text First Indent"/>
    <w:basedOn w:val="8"/>
    <w:qFormat/>
    <w:locked/>
    <w:uiPriority w:val="0"/>
    <w:pPr>
      <w:adjustRightInd/>
      <w:spacing w:after="120" w:line="240" w:lineRule="auto"/>
      <w:ind w:firstLine="420" w:firstLineChars="100"/>
    </w:pPr>
    <w:rPr>
      <w:sz w:val="21"/>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99"/>
    <w:rPr>
      <w:rFonts w:ascii="Arial" w:hAnsi="Arial" w:eastAsia="黑体" w:cs="Times New Roman"/>
      <w:snapToGrid w:val="0"/>
      <w:kern w:val="0"/>
      <w:sz w:val="21"/>
    </w:rPr>
  </w:style>
  <w:style w:type="character" w:styleId="33">
    <w:name w:val="FollowedHyperlink"/>
    <w:basedOn w:val="30"/>
    <w:qFormat/>
    <w:locked/>
    <w:uiPriority w:val="99"/>
    <w:rPr>
      <w:rFonts w:cs="Times New Roman"/>
      <w:color w:val="800080"/>
      <w:u w:val="none"/>
    </w:rPr>
  </w:style>
  <w:style w:type="character" w:styleId="34">
    <w:name w:val="Hyperlink"/>
    <w:basedOn w:val="30"/>
    <w:qFormat/>
    <w:uiPriority w:val="99"/>
    <w:rPr>
      <w:rFonts w:cs="Times New Roman"/>
      <w:color w:val="0000FF"/>
      <w:u w:val="single"/>
    </w:rPr>
  </w:style>
  <w:style w:type="character" w:styleId="35">
    <w:name w:val="annotation reference"/>
    <w:basedOn w:val="30"/>
    <w:semiHidden/>
    <w:qFormat/>
    <w:locked/>
    <w:uiPriority w:val="99"/>
    <w:rPr>
      <w:rFonts w:cs="Times New Roman"/>
      <w:sz w:val="21"/>
      <w:szCs w:val="21"/>
    </w:rPr>
  </w:style>
  <w:style w:type="paragraph" w:customStyle="1" w:styleId="36">
    <w:name w:val="首行缩进"/>
    <w:basedOn w:val="1"/>
    <w:next w:val="8"/>
    <w:qFormat/>
    <w:uiPriority w:val="99"/>
    <w:pPr>
      <w:spacing w:line="360" w:lineRule="auto"/>
      <w:ind w:firstLine="480" w:firstLineChars="200"/>
    </w:pPr>
    <w:rPr>
      <w:sz w:val="24"/>
      <w:szCs w:val="22"/>
      <w:lang w:val="zh-CN"/>
    </w:rPr>
  </w:style>
  <w:style w:type="character" w:customStyle="1" w:styleId="37">
    <w:name w:val="标题 1 Char"/>
    <w:basedOn w:val="30"/>
    <w:link w:val="2"/>
    <w:qFormat/>
    <w:locked/>
    <w:uiPriority w:val="99"/>
    <w:rPr>
      <w:rFonts w:eastAsia="仿宋_GB2312"/>
      <w:b/>
      <w:kern w:val="44"/>
      <w:sz w:val="44"/>
      <w:szCs w:val="20"/>
    </w:rPr>
  </w:style>
  <w:style w:type="character" w:customStyle="1" w:styleId="38">
    <w:name w:val="标题 2 Char"/>
    <w:basedOn w:val="30"/>
    <w:link w:val="3"/>
    <w:semiHidden/>
    <w:qFormat/>
    <w:locked/>
    <w:uiPriority w:val="99"/>
    <w:rPr>
      <w:rFonts w:ascii="Calibri Light" w:hAnsi="Calibri Light" w:eastAsia="宋体" w:cs="Times New Roman"/>
      <w:b/>
      <w:sz w:val="32"/>
    </w:rPr>
  </w:style>
  <w:style w:type="character" w:customStyle="1" w:styleId="39">
    <w:name w:val="标题 3 Char"/>
    <w:basedOn w:val="30"/>
    <w:link w:val="4"/>
    <w:semiHidden/>
    <w:qFormat/>
    <w:locked/>
    <w:uiPriority w:val="99"/>
    <w:rPr>
      <w:rFonts w:ascii="Times New Roman" w:hAnsi="Times New Roman" w:eastAsia="宋体" w:cs="Times New Roman"/>
      <w:b/>
      <w:sz w:val="32"/>
    </w:rPr>
  </w:style>
  <w:style w:type="character" w:customStyle="1" w:styleId="40">
    <w:name w:val="标题 4 Char"/>
    <w:basedOn w:val="30"/>
    <w:link w:val="6"/>
    <w:semiHidden/>
    <w:qFormat/>
    <w:locked/>
    <w:uiPriority w:val="99"/>
    <w:rPr>
      <w:rFonts w:ascii="Calibri Light" w:hAnsi="Calibri Light" w:eastAsia="宋体" w:cs="Times New Roman"/>
      <w:b/>
      <w:sz w:val="28"/>
    </w:rPr>
  </w:style>
  <w:style w:type="character" w:customStyle="1" w:styleId="41">
    <w:name w:val="文档结构图 Char1"/>
    <w:basedOn w:val="30"/>
    <w:link w:val="10"/>
    <w:semiHidden/>
    <w:qFormat/>
    <w:locked/>
    <w:uiPriority w:val="99"/>
    <w:rPr>
      <w:rFonts w:ascii="宋体" w:hAnsi="Times New Roman" w:cs="Times New Roman"/>
      <w:kern w:val="2"/>
      <w:sz w:val="18"/>
    </w:rPr>
  </w:style>
  <w:style w:type="character" w:customStyle="1" w:styleId="42">
    <w:name w:val="批注文字 Char"/>
    <w:basedOn w:val="30"/>
    <w:link w:val="11"/>
    <w:qFormat/>
    <w:locked/>
    <w:uiPriority w:val="99"/>
    <w:rPr>
      <w:rFonts w:ascii="Times New Roman" w:hAnsi="Times New Roman" w:eastAsia="宋体" w:cs="Times New Roman"/>
      <w:kern w:val="0"/>
      <w:sz w:val="24"/>
      <w:lang w:val="zh-CN" w:eastAsia="zh-CN"/>
    </w:rPr>
  </w:style>
  <w:style w:type="character" w:customStyle="1" w:styleId="43">
    <w:name w:val="正文文本 Char"/>
    <w:basedOn w:val="30"/>
    <w:link w:val="8"/>
    <w:semiHidden/>
    <w:qFormat/>
    <w:locked/>
    <w:uiPriority w:val="99"/>
    <w:rPr>
      <w:rFonts w:cs="Times New Roman"/>
      <w:sz w:val="24"/>
      <w:szCs w:val="24"/>
    </w:rPr>
  </w:style>
  <w:style w:type="character" w:customStyle="1" w:styleId="44">
    <w:name w:val="正文文本缩进 Char"/>
    <w:basedOn w:val="30"/>
    <w:link w:val="12"/>
    <w:semiHidden/>
    <w:qFormat/>
    <w:locked/>
    <w:uiPriority w:val="99"/>
    <w:rPr>
      <w:rFonts w:ascii="Times New Roman" w:hAnsi="Times New Roman" w:cs="Times New Roman"/>
      <w:sz w:val="24"/>
    </w:rPr>
  </w:style>
  <w:style w:type="character" w:customStyle="1" w:styleId="45">
    <w:name w:val="纯文本 Char"/>
    <w:basedOn w:val="30"/>
    <w:link w:val="15"/>
    <w:qFormat/>
    <w:locked/>
    <w:uiPriority w:val="99"/>
    <w:rPr>
      <w:rFonts w:ascii="宋体" w:hAnsi="Courier New" w:eastAsia="宋体" w:cs="Times New Roman"/>
      <w:snapToGrid w:val="0"/>
      <w:sz w:val="21"/>
    </w:rPr>
  </w:style>
  <w:style w:type="character" w:customStyle="1" w:styleId="46">
    <w:name w:val="日期 Char"/>
    <w:basedOn w:val="30"/>
    <w:link w:val="16"/>
    <w:qFormat/>
    <w:locked/>
    <w:uiPriority w:val="99"/>
    <w:rPr>
      <w:rFonts w:ascii="宋体" w:cs="Times New Roman"/>
      <w:sz w:val="21"/>
      <w:lang w:val="zh-CN"/>
    </w:rPr>
  </w:style>
  <w:style w:type="character" w:customStyle="1" w:styleId="47">
    <w:name w:val="正文文本缩进 2 Char"/>
    <w:basedOn w:val="30"/>
    <w:link w:val="17"/>
    <w:semiHidden/>
    <w:qFormat/>
    <w:locked/>
    <w:uiPriority w:val="99"/>
    <w:rPr>
      <w:rFonts w:cs="Times New Roman"/>
      <w:sz w:val="24"/>
      <w:szCs w:val="24"/>
    </w:rPr>
  </w:style>
  <w:style w:type="character" w:customStyle="1" w:styleId="48">
    <w:name w:val="页脚 Char"/>
    <w:basedOn w:val="30"/>
    <w:link w:val="19"/>
    <w:qFormat/>
    <w:locked/>
    <w:uiPriority w:val="99"/>
    <w:rPr>
      <w:rFonts w:ascii="Times New Roman" w:hAnsi="Times New Roman" w:eastAsia="宋体" w:cs="Times New Roman"/>
      <w:sz w:val="18"/>
    </w:rPr>
  </w:style>
  <w:style w:type="character" w:customStyle="1" w:styleId="49">
    <w:name w:val="Header Char"/>
    <w:basedOn w:val="30"/>
    <w:qFormat/>
    <w:locked/>
    <w:uiPriority w:val="99"/>
    <w:rPr>
      <w:rFonts w:ascii="Times New Roman" w:hAnsi="Times New Roman" w:eastAsia="宋体" w:cs="Times New Roman"/>
      <w:sz w:val="18"/>
    </w:rPr>
  </w:style>
  <w:style w:type="character" w:customStyle="1" w:styleId="50">
    <w:name w:val="正文文本 2 Char"/>
    <w:basedOn w:val="30"/>
    <w:link w:val="22"/>
    <w:semiHidden/>
    <w:qFormat/>
    <w:locked/>
    <w:uiPriority w:val="99"/>
    <w:rPr>
      <w:rFonts w:ascii="Times New Roman" w:hAnsi="Times New Roman" w:cs="Times New Roman"/>
      <w:sz w:val="24"/>
    </w:rPr>
  </w:style>
  <w:style w:type="character" w:customStyle="1" w:styleId="51">
    <w:name w:val="标题 Char"/>
    <w:basedOn w:val="30"/>
    <w:link w:val="25"/>
    <w:qFormat/>
    <w:locked/>
    <w:uiPriority w:val="99"/>
    <w:rPr>
      <w:rFonts w:ascii="Calibri Light" w:hAnsi="Calibri Light" w:eastAsia="宋体" w:cs="Times New Roman"/>
      <w:b/>
      <w:sz w:val="32"/>
    </w:rPr>
  </w:style>
  <w:style w:type="character" w:customStyle="1" w:styleId="52">
    <w:name w:val="批注主题 Char"/>
    <w:basedOn w:val="42"/>
    <w:link w:val="26"/>
    <w:semiHidden/>
    <w:qFormat/>
    <w:locked/>
    <w:uiPriority w:val="99"/>
    <w:rPr>
      <w:rFonts w:ascii="Times New Roman" w:hAnsi="Times New Roman" w:eastAsia="宋体" w:cs="Times New Roman"/>
      <w:b/>
      <w:kern w:val="0"/>
      <w:sz w:val="24"/>
      <w:lang w:val="zh-CN" w:eastAsia="zh-CN"/>
    </w:rPr>
  </w:style>
  <w:style w:type="character" w:customStyle="1" w:styleId="53">
    <w:name w:val="页眉 Char"/>
    <w:link w:val="20"/>
    <w:qFormat/>
    <w:locked/>
    <w:uiPriority w:val="99"/>
    <w:rPr>
      <w:rFonts w:ascii="Times New Roman" w:hAnsi="Times New Roman" w:eastAsia="宋体"/>
      <w:sz w:val="18"/>
    </w:rPr>
  </w:style>
  <w:style w:type="character" w:customStyle="1" w:styleId="54">
    <w:name w:val="正文缩进 Char"/>
    <w:link w:val="5"/>
    <w:qFormat/>
    <w:locked/>
    <w:uiPriority w:val="99"/>
    <w:rPr>
      <w:rFonts w:ascii="宋体" w:eastAsia="宋体"/>
      <w:snapToGrid w:val="0"/>
      <w:color w:val="000000"/>
      <w:kern w:val="28"/>
      <w:sz w:val="28"/>
    </w:rPr>
  </w:style>
  <w:style w:type="character" w:customStyle="1" w:styleId="55">
    <w:name w:val="日期 Char1"/>
    <w:semiHidden/>
    <w:qFormat/>
    <w:uiPriority w:val="99"/>
    <w:rPr>
      <w:rFonts w:ascii="Times New Roman" w:hAnsi="Times New Roman" w:eastAsia="宋体"/>
      <w:sz w:val="24"/>
    </w:rPr>
  </w:style>
  <w:style w:type="character" w:customStyle="1" w:styleId="56">
    <w:name w:val="纯文本 Char1"/>
    <w:semiHidden/>
    <w:qFormat/>
    <w:uiPriority w:val="99"/>
    <w:rPr>
      <w:rFonts w:ascii="宋体" w:hAnsi="Courier New" w:eastAsia="宋体"/>
      <w:sz w:val="21"/>
    </w:rPr>
  </w:style>
  <w:style w:type="paragraph" w:customStyle="1" w:styleId="5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
    <w:name w:val="列出段落1"/>
    <w:basedOn w:val="1"/>
    <w:next w:val="59"/>
    <w:qFormat/>
    <w:uiPriority w:val="99"/>
    <w:pPr>
      <w:spacing w:line="360" w:lineRule="auto"/>
      <w:ind w:firstLine="200" w:firstLineChars="200"/>
    </w:pPr>
    <w:rPr>
      <w:rFonts w:eastAsia="楷体_GB2312" w:cs="Lucida Sans"/>
      <w:sz w:val="24"/>
    </w:rPr>
  </w:style>
  <w:style w:type="paragraph" w:customStyle="1" w:styleId="59">
    <w:name w:val="正文文字 7"/>
    <w:basedOn w:val="1"/>
    <w:next w:val="1"/>
    <w:qFormat/>
    <w:uiPriority w:val="0"/>
    <w:pPr>
      <w:ind w:left="240"/>
    </w:pPr>
    <w:rPr>
      <w:sz w:val="20"/>
    </w:rPr>
  </w:style>
  <w:style w:type="paragraph" w:customStyle="1" w:styleId="60">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1">
    <w:name w:val="标题3def"/>
    <w:basedOn w:val="4"/>
    <w:next w:val="1"/>
    <w:qFormat/>
    <w:uiPriority w:val="99"/>
    <w:pPr>
      <w:snapToGrid w:val="0"/>
      <w:spacing w:before="80" w:after="160" w:line="400" w:lineRule="exact"/>
    </w:pPr>
    <w:rPr>
      <w:rFonts w:ascii="??_GB2312" w:hAnsi="宋体" w:eastAsia="Times New Roman"/>
      <w:bCs w:val="0"/>
      <w:sz w:val="24"/>
      <w:szCs w:val="20"/>
    </w:rPr>
  </w:style>
  <w:style w:type="paragraph" w:customStyle="1" w:styleId="6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3">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4">
    <w:name w:val="Char Char Char Char1"/>
    <w:basedOn w:val="1"/>
    <w:qFormat/>
    <w:uiPriority w:val="99"/>
    <w:pPr>
      <w:adjustRightInd/>
    </w:pPr>
    <w:rPr>
      <w:rFonts w:ascii="Tahoma" w:hAnsi="Tahoma"/>
      <w:sz w:val="24"/>
      <w:szCs w:val="20"/>
    </w:rPr>
  </w:style>
  <w:style w:type="paragraph" w:customStyle="1" w:styleId="65">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6">
    <w:name w:val="正文段"/>
    <w:basedOn w:val="1"/>
    <w:link w:val="72"/>
    <w:qFormat/>
    <w:uiPriority w:val="99"/>
    <w:pPr>
      <w:widowControl/>
      <w:snapToGrid w:val="0"/>
      <w:spacing w:afterLines="50"/>
      <w:ind w:firstLine="200" w:firstLineChars="200"/>
    </w:pPr>
    <w:rPr>
      <w:kern w:val="0"/>
      <w:sz w:val="24"/>
      <w:szCs w:val="20"/>
    </w:rPr>
  </w:style>
  <w:style w:type="paragraph" w:customStyle="1" w:styleId="67">
    <w:name w:val="正文2"/>
    <w:basedOn w:val="1"/>
    <w:link w:val="71"/>
    <w:qFormat/>
    <w:uiPriority w:val="99"/>
    <w:pPr>
      <w:spacing w:before="156" w:line="360" w:lineRule="auto"/>
      <w:ind w:firstLine="510" w:firstLineChars="200"/>
    </w:pPr>
    <w:rPr>
      <w:sz w:val="24"/>
      <w:szCs w:val="20"/>
    </w:rPr>
  </w:style>
  <w:style w:type="paragraph" w:customStyle="1" w:styleId="68">
    <w:name w:val="表正文"/>
    <w:basedOn w:val="1"/>
    <w:next w:val="15"/>
    <w:qFormat/>
    <w:uiPriority w:val="99"/>
    <w:rPr>
      <w:rFonts w:ascii="宋体" w:hAnsi="Courier New"/>
      <w:szCs w:val="20"/>
    </w:rPr>
  </w:style>
  <w:style w:type="character" w:customStyle="1" w:styleId="69">
    <w:name w:val="文档结构图 Char"/>
    <w:semiHidden/>
    <w:qFormat/>
    <w:uiPriority w:val="99"/>
    <w:rPr>
      <w:kern w:val="2"/>
      <w:sz w:val="24"/>
      <w:shd w:val="clear" w:color="auto" w:fill="000080"/>
    </w:rPr>
  </w:style>
  <w:style w:type="character" w:customStyle="1" w:styleId="70">
    <w:name w:val="日期 Char2"/>
    <w:qFormat/>
    <w:uiPriority w:val="99"/>
    <w:rPr>
      <w:rFonts w:ascii="楷体_GB2312" w:eastAsia="楷体_GB2312"/>
      <w:b/>
      <w:kern w:val="2"/>
      <w:sz w:val="28"/>
      <w:lang w:val="en-US" w:eastAsia="zh-CN"/>
    </w:rPr>
  </w:style>
  <w:style w:type="character" w:customStyle="1" w:styleId="71">
    <w:name w:val="正文2 Char"/>
    <w:link w:val="67"/>
    <w:qFormat/>
    <w:locked/>
    <w:uiPriority w:val="99"/>
    <w:rPr>
      <w:rFonts w:ascii="Times New Roman" w:hAnsi="Times New Roman"/>
      <w:kern w:val="2"/>
      <w:sz w:val="24"/>
    </w:rPr>
  </w:style>
  <w:style w:type="character" w:customStyle="1" w:styleId="72">
    <w:name w:val="正文段 Char"/>
    <w:link w:val="66"/>
    <w:qFormat/>
    <w:locked/>
    <w:uiPriority w:val="99"/>
    <w:rPr>
      <w:rFonts w:ascii="Times New Roman" w:hAnsi="Times New Roman"/>
      <w:sz w:val="24"/>
    </w:rPr>
  </w:style>
  <w:style w:type="paragraph" w:styleId="73">
    <w:name w:val="List Paragraph"/>
    <w:basedOn w:val="1"/>
    <w:next w:val="8"/>
    <w:qFormat/>
    <w:uiPriority w:val="99"/>
    <w:pPr>
      <w:ind w:left="720"/>
      <w:contextualSpacing/>
    </w:pPr>
  </w:style>
  <w:style w:type="paragraph" w:customStyle="1" w:styleId="74">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5">
    <w:name w:val="px_10"/>
    <w:qFormat/>
    <w:uiPriority w:val="99"/>
    <w:rPr>
      <w:lang w:val="zh-TW" w:eastAsia="zh-TW"/>
    </w:rPr>
  </w:style>
  <w:style w:type="paragraph" w:customStyle="1" w:styleId="76">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7">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8">
    <w:name w:val="列出段落11"/>
    <w:basedOn w:val="1"/>
    <w:qFormat/>
    <w:uiPriority w:val="99"/>
    <w:pPr>
      <w:spacing w:line="360" w:lineRule="auto"/>
      <w:ind w:firstLine="200" w:firstLineChars="200"/>
    </w:pPr>
    <w:rPr>
      <w:rFonts w:eastAsia="楷体_GB2312" w:cs="Lucida Sans"/>
      <w:sz w:val="24"/>
    </w:rPr>
  </w:style>
  <w:style w:type="paragraph" w:customStyle="1" w:styleId="79">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1">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2">
    <w:name w:val="批注框文本 Char"/>
    <w:basedOn w:val="30"/>
    <w:link w:val="18"/>
    <w:semiHidden/>
    <w:qFormat/>
    <w:locked/>
    <w:uiPriority w:val="99"/>
    <w:rPr>
      <w:rFonts w:cs="Times New Roman"/>
      <w:sz w:val="2"/>
    </w:rPr>
  </w:style>
  <w:style w:type="paragraph" w:customStyle="1" w:styleId="83">
    <w:name w:val="列出段落5"/>
    <w:basedOn w:val="1"/>
    <w:qFormat/>
    <w:uiPriority w:val="34"/>
    <w:pPr>
      <w:ind w:firstLine="420" w:firstLineChars="200"/>
    </w:pPr>
    <w:rPr>
      <w:rFonts w:ascii="Calibri" w:hAnsi="Calibri"/>
      <w:sz w:val="24"/>
    </w:rPr>
  </w:style>
  <w:style w:type="paragraph" w:customStyle="1" w:styleId="84">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5">
    <w:name w:val="unnamed11"/>
    <w:basedOn w:val="30"/>
    <w:qFormat/>
    <w:uiPriority w:val="0"/>
    <w:rPr>
      <w:rFonts w:hint="eastAsia" w:ascii="宋体" w:hAnsi="宋体" w:eastAsia="宋体"/>
      <w:sz w:val="21"/>
      <w:szCs w:val="21"/>
    </w:rPr>
  </w:style>
  <w:style w:type="paragraph" w:customStyle="1" w:styleId="86">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7">
    <w:name w:val="font11"/>
    <w:basedOn w:val="30"/>
    <w:qFormat/>
    <w:uiPriority w:val="0"/>
    <w:rPr>
      <w:rFonts w:hint="default" w:ascii="微软雅黑" w:hAnsi="微软雅黑" w:eastAsia="微软雅黑" w:cs="微软雅黑"/>
      <w:color w:val="000000"/>
      <w:sz w:val="20"/>
      <w:szCs w:val="20"/>
      <w:u w:val="none"/>
    </w:rPr>
  </w:style>
  <w:style w:type="paragraph" w:customStyle="1" w:styleId="88">
    <w:name w:val="样式 首行缩进:  0.74 厘米"/>
    <w:basedOn w:val="1"/>
    <w:qFormat/>
    <w:uiPriority w:val="0"/>
    <w:pPr>
      <w:ind w:firstLine="420"/>
    </w:pPr>
    <w:rPr>
      <w:rFonts w:ascii="Arial" w:hAnsi="Arial" w:eastAsia="仿宋_GB2312" w:cs="Arial"/>
      <w:bCs/>
      <w:sz w:val="28"/>
      <w:szCs w:val="28"/>
    </w:rPr>
  </w:style>
  <w:style w:type="paragraph" w:customStyle="1" w:styleId="89">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0">
    <w:name w:val="_Style 1"/>
    <w:basedOn w:val="1"/>
    <w:qFormat/>
    <w:uiPriority w:val="99"/>
    <w:pPr>
      <w:ind w:firstLine="420" w:firstLineChars="200"/>
    </w:pPr>
  </w:style>
  <w:style w:type="paragraph" w:customStyle="1" w:styleId="91">
    <w:name w:val="_Style 2"/>
    <w:basedOn w:val="1"/>
    <w:qFormat/>
    <w:uiPriority w:val="99"/>
    <w:pPr>
      <w:ind w:firstLine="420" w:firstLineChars="200"/>
    </w:pPr>
  </w:style>
  <w:style w:type="paragraph" w:customStyle="1" w:styleId="92">
    <w:name w:val="（1）"/>
    <w:basedOn w:val="1"/>
    <w:qFormat/>
    <w:uiPriority w:val="0"/>
    <w:pPr>
      <w:numPr>
        <w:ilvl w:val="0"/>
        <w:numId w:val="5"/>
      </w:numPr>
      <w:tabs>
        <w:tab w:val="left" w:pos="961"/>
      </w:tabs>
      <w:spacing w:line="360" w:lineRule="auto"/>
    </w:pPr>
    <w:rPr>
      <w:sz w:val="24"/>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CM18"/>
    <w:basedOn w:val="93"/>
    <w:next w:val="93"/>
    <w:qFormat/>
    <w:uiPriority w:val="99"/>
    <w:rPr>
      <w:rFonts w:ascii="ST Xihei" w:hAnsi="Calibri" w:eastAsia="ST Xihei"/>
      <w:color w:val="auto"/>
    </w:rPr>
  </w:style>
  <w:style w:type="character" w:customStyle="1" w:styleId="95">
    <w:name w:val="qxdate"/>
    <w:basedOn w:val="30"/>
    <w:qFormat/>
    <w:uiPriority w:val="0"/>
    <w:rPr>
      <w:color w:val="333333"/>
      <w:sz w:val="18"/>
      <w:szCs w:val="18"/>
    </w:rPr>
  </w:style>
  <w:style w:type="character" w:customStyle="1" w:styleId="96">
    <w:name w:val="cfdate"/>
    <w:basedOn w:val="30"/>
    <w:qFormat/>
    <w:uiPriority w:val="0"/>
    <w:rPr>
      <w:color w:val="333333"/>
      <w:sz w:val="18"/>
      <w:szCs w:val="18"/>
    </w:rPr>
  </w:style>
  <w:style w:type="character" w:customStyle="1" w:styleId="97">
    <w:name w:val="redfilefwwh"/>
    <w:basedOn w:val="30"/>
    <w:qFormat/>
    <w:uiPriority w:val="0"/>
    <w:rPr>
      <w:color w:val="BA2636"/>
      <w:sz w:val="18"/>
      <w:szCs w:val="18"/>
    </w:rPr>
  </w:style>
  <w:style w:type="character" w:customStyle="1" w:styleId="98">
    <w:name w:val="displayarti"/>
    <w:basedOn w:val="30"/>
    <w:qFormat/>
    <w:uiPriority w:val="0"/>
    <w:rPr>
      <w:color w:val="FFFFFF"/>
      <w:shd w:val="clear" w:color="auto" w:fill="A00000"/>
    </w:rPr>
  </w:style>
  <w:style w:type="character" w:customStyle="1" w:styleId="99">
    <w:name w:val="gjfg"/>
    <w:basedOn w:val="30"/>
    <w:qFormat/>
    <w:uiPriority w:val="0"/>
  </w:style>
  <w:style w:type="character" w:customStyle="1" w:styleId="100">
    <w:name w:val="redfilenumber"/>
    <w:basedOn w:val="30"/>
    <w:qFormat/>
    <w:uiPriority w:val="0"/>
    <w:rPr>
      <w:color w:val="BA2636"/>
      <w:sz w:val="18"/>
      <w:szCs w:val="18"/>
    </w:rPr>
  </w:style>
  <w:style w:type="character" w:customStyle="1" w:styleId="101">
    <w:name w:val="15"/>
    <w:qFormat/>
    <w:uiPriority w:val="0"/>
    <w:rPr>
      <w:rFonts w:hint="eastAsia" w:ascii="宋体" w:hAnsi="宋体" w:eastAsia="宋体" w:cs="宋体"/>
      <w:color w:val="000000"/>
      <w:sz w:val="24"/>
      <w:szCs w:val="24"/>
    </w:rPr>
  </w:style>
  <w:style w:type="paragraph" w:customStyle="1" w:styleId="10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3">
    <w:name w:val="列出段落3"/>
    <w:basedOn w:val="1"/>
    <w:unhideWhenUsed/>
    <w:qFormat/>
    <w:uiPriority w:val="99"/>
    <w:pPr>
      <w:ind w:firstLine="420" w:firstLineChars="200"/>
    </w:pPr>
  </w:style>
  <w:style w:type="paragraph" w:customStyle="1" w:styleId="104">
    <w:name w:val="正文缩进2"/>
    <w:basedOn w:val="1"/>
    <w:qFormat/>
    <w:uiPriority w:val="0"/>
    <w:pPr>
      <w:spacing w:line="360" w:lineRule="auto"/>
      <w:ind w:firstLine="200" w:firstLineChars="200"/>
    </w:pPr>
    <w:rPr>
      <w:rFonts w:ascii="Calibri" w:hAnsi="Calibri" w:eastAsia="仿宋"/>
      <w:sz w:val="28"/>
      <w:szCs w:val="22"/>
    </w:rPr>
  </w:style>
  <w:style w:type="paragraph" w:customStyle="1" w:styleId="105">
    <w:name w:val="[Normal]"/>
    <w:qFormat/>
    <w:uiPriority w:val="0"/>
    <w:rPr>
      <w:rFonts w:ascii="宋体" w:hAnsi="宋体" w:eastAsia="宋体" w:cs="Times New Roman"/>
      <w:sz w:val="24"/>
      <w:szCs w:val="22"/>
      <w:lang w:val="zh-CN" w:eastAsia="zh-CN" w:bidi="ar-SA"/>
    </w:rPr>
  </w:style>
  <w:style w:type="table" w:customStyle="1" w:styleId="106">
    <w:name w:val="网格型1"/>
    <w:basedOn w:val="28"/>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7">
    <w:name w:val="标准正文"/>
    <w:basedOn w:val="1"/>
    <w:qFormat/>
    <w:uiPriority w:val="0"/>
    <w:pPr>
      <w:spacing w:afterLines="50"/>
      <w:ind w:firstLine="200" w:firstLineChars="200"/>
    </w:pPr>
    <w:rPr>
      <w:sz w:val="24"/>
      <w:szCs w:val="21"/>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png" Type="http://schemas.openxmlformats.org/officeDocument/2006/relationships/image"/><Relationship Id="rId11" Target="embeddings/oleObject1.bin" Type="http://schemas.openxmlformats.org/officeDocument/2006/relationships/oleObject"/><Relationship Id="rId12" Target="media/image3.emf" Type="http://schemas.openxmlformats.org/officeDocument/2006/relationships/image"/><Relationship Id="rId13" Target="embeddings/oleObject2.bin" Type="http://schemas.openxmlformats.org/officeDocument/2006/relationships/oleObject"/><Relationship Id="rId14" Target="media/image4.emf" Type="http://schemas.openxmlformats.org/officeDocument/2006/relationships/image"/><Relationship Id="rId15" Target="embeddings/oleObject3.bin" Type="http://schemas.openxmlformats.org/officeDocument/2006/relationships/oleObject"/><Relationship Id="rId16" Target="media/image5.emf" Type="http://schemas.openxmlformats.org/officeDocument/2006/relationships/image"/><Relationship Id="rId17" Target="../customXml/item1.xml" Type="http://schemas.openxmlformats.org/officeDocument/2006/relationships/customXml"/><Relationship Id="rId18" Target="numbering.xml" Type="http://schemas.openxmlformats.org/officeDocument/2006/relationships/numbering"/><Relationship Id="rId19" Target="../customXml/item2.xml" Type="http://schemas.openxmlformats.org/officeDocument/2006/relationships/customXml"/><Relationship Id="rId2" Target="settings.xml" Type="http://schemas.openxmlformats.org/officeDocument/2006/relationships/settings"/><Relationship Id="rId20" Target="fontTable.xml" Type="http://schemas.openxmlformats.org/officeDocument/2006/relationships/fontTabl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D40257-4A92-4D87-8C71-B2E779D3802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53</Pages>
  <Words>5307</Words>
  <Characters>30250</Characters>
  <Lines>252</Lines>
  <Paragraphs>70</Paragraphs>
  <TotalTime>2</TotalTime>
  <ScaleCrop>false</ScaleCrop>
  <LinksUpToDate>false</LinksUpToDate>
  <CharactersWithSpaces>35487</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2020-09-08T00:51:00Z</dcterms:created>
  <dc:creator>Ting</dc:creator>
  <cp:lastModifiedBy>疯趣味</cp:lastModifiedBy>
  <cp:lastPrinted>2020-01-14T04:42:00Z</cp:lastPrinted>
  <dcterms:modified xsi:type="dcterms:W3CDTF">2020-10-21T04:23:23Z</dcterms:modified>
  <cp:revision>19</cp:revision>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