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61" w:firstLineChars="50"/>
        <w:jc w:val="center"/>
        <w:outlineLvl w:val="0"/>
      </w:pPr>
      <w:r>
        <w:rPr>
          <w:rFonts w:hint="eastAsia" w:ascii="隶书" w:hAnsi="Arial" w:eastAsia="隶书" w:cs="Arial"/>
          <w:b/>
          <w:sz w:val="52"/>
          <w:szCs w:val="52"/>
          <w:lang w:eastAsia="zh-CN"/>
        </w:rPr>
        <w:t>绍兴市公安局特战队4G传输卡、110及巡特警巡逻车4G监控租赁项目</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公</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开</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招</w:t>
      </w:r>
    </w:p>
    <w:p>
      <w:pPr>
        <w:spacing w:line="312" w:lineRule="auto"/>
        <w:jc w:val="center"/>
        <w:outlineLvl w:val="0"/>
        <w:rPr>
          <w:rFonts w:ascii="隶书" w:hAnsi="Arial" w:eastAsia="隶书" w:cs="Arial"/>
          <w:b/>
          <w:sz w:val="52"/>
          <w:szCs w:val="52"/>
        </w:rPr>
      </w:pPr>
      <w:r>
        <w:rPr>
          <w:rFonts w:hint="eastAsia" w:ascii="隶书" w:hAnsi="Arial" w:eastAsia="隶书" w:cs="Arial"/>
          <w:b/>
          <w:sz w:val="52"/>
          <w:szCs w:val="52"/>
        </w:rPr>
        <w:t>标</w:t>
      </w:r>
    </w:p>
    <w:p>
      <w:pPr>
        <w:spacing w:line="312" w:lineRule="auto"/>
        <w:jc w:val="center"/>
        <w:outlineLvl w:val="0"/>
        <w:rPr>
          <w:rFonts w:ascii="隶书" w:eastAsia="隶书"/>
          <w:b/>
          <w:sz w:val="52"/>
          <w:szCs w:val="52"/>
        </w:rPr>
      </w:pPr>
      <w:r>
        <w:rPr>
          <w:rFonts w:hint="eastAsia" w:ascii="隶书" w:eastAsia="隶书"/>
          <w:b/>
          <w:sz w:val="52"/>
          <w:szCs w:val="52"/>
        </w:rPr>
        <w:t>文</w:t>
      </w:r>
    </w:p>
    <w:p>
      <w:pPr>
        <w:spacing w:line="312" w:lineRule="auto"/>
        <w:jc w:val="center"/>
        <w:outlineLvl w:val="0"/>
        <w:rPr>
          <w:rFonts w:ascii="隶书" w:eastAsia="隶书"/>
          <w:b/>
          <w:sz w:val="28"/>
          <w:szCs w:val="28"/>
        </w:rPr>
      </w:pPr>
      <w:r>
        <w:rPr>
          <w:rFonts w:hint="eastAsia" w:ascii="隶书" w:eastAsia="隶书"/>
          <w:b/>
          <w:sz w:val="52"/>
          <w:szCs w:val="52"/>
        </w:rPr>
        <w:t>件</w:t>
      </w:r>
    </w:p>
    <w:p>
      <w:pPr>
        <w:spacing w:line="312" w:lineRule="auto"/>
        <w:jc w:val="center"/>
        <w:rPr>
          <w:rFonts w:ascii="隶书" w:eastAsia="隶书"/>
          <w:b/>
          <w:sz w:val="28"/>
          <w:szCs w:val="28"/>
        </w:rPr>
      </w:pPr>
    </w:p>
    <w:p>
      <w:pPr>
        <w:spacing w:line="312" w:lineRule="auto"/>
        <w:jc w:val="center"/>
        <w:rPr>
          <w:rFonts w:hint="default" w:ascii="隶书" w:eastAsia="隶书"/>
          <w:b/>
          <w:sz w:val="28"/>
          <w:szCs w:val="28"/>
          <w:lang w:val="en-US" w:eastAsia="zh-CN"/>
        </w:rPr>
      </w:pPr>
      <w:r>
        <w:rPr>
          <w:rFonts w:hint="eastAsia" w:ascii="隶书" w:eastAsia="隶书"/>
          <w:b/>
          <w:sz w:val="28"/>
          <w:szCs w:val="28"/>
        </w:rPr>
        <w:t>招标编号</w:t>
      </w:r>
      <w:r>
        <w:rPr>
          <w:rFonts w:ascii="隶书" w:eastAsia="隶书"/>
          <w:b/>
          <w:sz w:val="28"/>
          <w:szCs w:val="28"/>
        </w:rPr>
        <w:t>:</w:t>
      </w:r>
      <w:r>
        <w:rPr>
          <w:rFonts w:hint="eastAsia" w:ascii="隶书" w:hAnsi="仿宋" w:eastAsia="隶书"/>
          <w:b/>
          <w:sz w:val="28"/>
          <w:szCs w:val="28"/>
        </w:rPr>
        <w:t>YH2019-</w:t>
      </w:r>
      <w:r>
        <w:rPr>
          <w:rFonts w:hint="eastAsia" w:ascii="隶书" w:hAnsi="仿宋" w:eastAsia="隶书"/>
          <w:b/>
          <w:sz w:val="28"/>
          <w:szCs w:val="28"/>
          <w:lang w:val="en-US" w:eastAsia="zh-CN"/>
        </w:rPr>
        <w:t>09020</w:t>
      </w:r>
    </w:p>
    <w:tbl>
      <w:tblPr>
        <w:tblStyle w:val="23"/>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hint="eastAsia" w:ascii="隶书" w:hAnsi="宋体" w:eastAsia="隶书"/>
                <w:sz w:val="28"/>
                <w:szCs w:val="28"/>
                <w:lang w:eastAsia="zh-CN"/>
              </w:rPr>
            </w:pPr>
            <w:r>
              <w:rPr>
                <w:rFonts w:hint="eastAsia" w:ascii="隶书" w:hAnsi="宋体" w:eastAsia="隶书"/>
                <w:sz w:val="28"/>
                <w:szCs w:val="28"/>
                <w:lang w:eastAsia="zh-CN"/>
              </w:rPr>
              <w:t>绍兴市公安局</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w:t>
            </w:r>
            <w:r>
              <w:rPr>
                <w:rFonts w:hint="eastAsia" w:ascii="隶书" w:eastAsia="隶书"/>
                <w:b/>
                <w:sz w:val="28"/>
                <w:szCs w:val="28"/>
                <w:lang w:eastAsia="zh-CN"/>
              </w:rPr>
              <w:t>九</w:t>
            </w:r>
            <w:r>
              <w:rPr>
                <w:rFonts w:hint="eastAsia" w:ascii="隶书" w:eastAsia="隶书"/>
                <w:b/>
                <w:sz w:val="28"/>
                <w:szCs w:val="28"/>
              </w:rPr>
              <w:t>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rPr>
          <w:rFonts w:ascii="仿宋" w:hAnsi="仿宋" w:eastAsia="仿宋" w:cs="仿宋"/>
          <w:b/>
          <w:sz w:val="44"/>
          <w:szCs w:val="44"/>
        </w:rPr>
      </w:pPr>
    </w:p>
    <w:p>
      <w:pPr>
        <w:pStyle w:val="31"/>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rPr>
          <w:rFonts w:hint="eastAsia" w:ascii="仿宋" w:hAnsi="仿宋" w:eastAsia="仿宋" w:cs="仿宋"/>
          <w:b/>
          <w:sz w:val="44"/>
          <w:szCs w:val="44"/>
        </w:rPr>
      </w:pPr>
      <w:r>
        <w:rPr>
          <w:rFonts w:hint="eastAsia" w:ascii="仿宋" w:hAnsi="仿宋" w:eastAsia="仿宋" w:cs="仿宋"/>
          <w:b/>
          <w:sz w:val="44"/>
          <w:szCs w:val="44"/>
        </w:rPr>
        <w:br w:type="page"/>
      </w: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w:t>
      </w:r>
      <w:r>
        <w:rPr>
          <w:rFonts w:ascii="仿宋" w:hAnsi="仿宋" w:eastAsia="仿宋" w:cs="仿宋"/>
          <w:b/>
          <w:sz w:val="36"/>
          <w:szCs w:val="36"/>
        </w:rPr>
        <w:t xml:space="preserve"> </w:t>
      </w:r>
      <w:r>
        <w:rPr>
          <w:rFonts w:hint="eastAsia" w:ascii="仿宋" w:hAnsi="仿宋" w:eastAsia="仿宋" w:cs="仿宋"/>
          <w:b/>
          <w:sz w:val="36"/>
          <w:szCs w:val="36"/>
        </w:rPr>
        <w:t>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w:t>
      </w:r>
      <w:r>
        <w:rPr>
          <w:rFonts w:ascii="仿宋" w:hAnsi="仿宋" w:eastAsia="仿宋" w:cs="仿宋"/>
          <w:b/>
          <w:sz w:val="36"/>
          <w:szCs w:val="36"/>
        </w:rPr>
        <w:t xml:space="preserve"> </w:t>
      </w:r>
      <w:r>
        <w:rPr>
          <w:rFonts w:hint="eastAsia" w:ascii="仿宋" w:hAnsi="仿宋" w:eastAsia="仿宋" w:cs="仿宋"/>
          <w:b/>
          <w:sz w:val="36"/>
          <w:szCs w:val="36"/>
        </w:rPr>
        <w:t>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w:t>
      </w:r>
      <w:r>
        <w:rPr>
          <w:rFonts w:ascii="仿宋" w:hAnsi="仿宋" w:eastAsia="仿宋" w:cs="仿宋"/>
          <w:b/>
          <w:sz w:val="36"/>
          <w:szCs w:val="36"/>
        </w:rPr>
        <w:t xml:space="preserve"> </w:t>
      </w:r>
      <w:r>
        <w:rPr>
          <w:rFonts w:hint="eastAsia" w:ascii="仿宋" w:hAnsi="仿宋" w:eastAsia="仿宋" w:cs="仿宋"/>
          <w:b/>
          <w:sz w:val="36"/>
          <w:szCs w:val="36"/>
        </w:rPr>
        <w:t>投标文件及其附件格式</w:t>
      </w:r>
    </w:p>
    <w:p>
      <w:pPr>
        <w:snapToGrid w:val="0"/>
        <w:spacing w:line="480" w:lineRule="auto"/>
        <w:jc w:val="left"/>
        <w:rPr>
          <w:rFonts w:ascii="??_GB2312" w:hAnsi="宋体" w:eastAsia="Times New Roman"/>
          <w:sz w:val="36"/>
          <w:szCs w:val="36"/>
        </w:rPr>
      </w:pPr>
    </w:p>
    <w:p>
      <w:pPr>
        <w:snapToGrid w:val="0"/>
        <w:spacing w:line="600" w:lineRule="exact"/>
        <w:jc w:val="both"/>
        <w:rPr>
          <w:rFonts w:hint="eastAsia" w:ascii="仿宋" w:hAnsi="仿宋" w:eastAsia="仿宋" w:cs="仿宋"/>
          <w:b/>
          <w:sz w:val="36"/>
          <w:szCs w:val="36"/>
        </w:rPr>
      </w:pPr>
    </w:p>
    <w:p>
      <w:pPr>
        <w:pStyle w:val="31"/>
        <w:rPr>
          <w:rFonts w:hint="eastAsia" w:ascii="仿宋" w:hAnsi="仿宋" w:eastAsia="仿宋" w:cs="仿宋"/>
          <w:b/>
          <w:sz w:val="36"/>
          <w:szCs w:val="36"/>
        </w:rPr>
      </w:pPr>
    </w:p>
    <w:p>
      <w:pPr>
        <w:pStyle w:val="31"/>
        <w:rPr>
          <w:rFonts w:hint="eastAsia" w:ascii="仿宋" w:hAnsi="仿宋" w:eastAsia="仿宋" w:cs="仿宋"/>
          <w:b/>
          <w:sz w:val="36"/>
          <w:szCs w:val="36"/>
        </w:rPr>
      </w:pPr>
      <w:r>
        <w:rPr>
          <w:rFonts w:hint="eastAsia" w:ascii="仿宋" w:hAnsi="仿宋" w:eastAsia="仿宋" w:cs="仿宋"/>
          <w:b/>
          <w:sz w:val="36"/>
          <w:szCs w:val="36"/>
        </w:rPr>
        <w:br w:type="textWrapping"/>
      </w:r>
    </w:p>
    <w:p>
      <w:pPr>
        <w:pStyle w:val="31"/>
        <w:rPr>
          <w:rFonts w:hint="eastAsia" w:ascii="仿宋" w:hAnsi="仿宋" w:eastAsia="仿宋" w:cs="仿宋"/>
          <w:b/>
          <w:sz w:val="36"/>
          <w:szCs w:val="36"/>
        </w:rPr>
      </w:pPr>
    </w:p>
    <w:p>
      <w:pPr>
        <w:rPr>
          <w:rFonts w:hint="eastAsia" w:ascii="仿宋" w:hAnsi="仿宋" w:eastAsia="仿宋" w:cs="仿宋"/>
          <w:b/>
          <w:sz w:val="36"/>
          <w:szCs w:val="36"/>
        </w:rPr>
      </w:pPr>
      <w:r>
        <w:rPr>
          <w:rFonts w:hint="eastAsia" w:ascii="仿宋" w:hAnsi="仿宋" w:eastAsia="仿宋" w:cs="仿宋"/>
          <w:b/>
          <w:sz w:val="36"/>
          <w:szCs w:val="36"/>
        </w:rPr>
        <w:br w:type="page"/>
      </w: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w:t>
      </w:r>
      <w:r>
        <w:rPr>
          <w:rFonts w:ascii="仿宋" w:hAnsi="仿宋" w:eastAsia="仿宋" w:cs="仿宋"/>
          <w:b/>
          <w:sz w:val="36"/>
          <w:szCs w:val="36"/>
        </w:rPr>
        <w:t xml:space="preserve"> </w:t>
      </w:r>
      <w:r>
        <w:rPr>
          <w:rFonts w:hint="eastAsia" w:ascii="仿宋" w:hAnsi="仿宋" w:eastAsia="仿宋" w:cs="仿宋"/>
          <w:b/>
          <w:sz w:val="36"/>
          <w:szCs w:val="36"/>
        </w:rPr>
        <w:t>招标公告</w:t>
      </w:r>
    </w:p>
    <w:p>
      <w:pPr>
        <w:pStyle w:val="60"/>
        <w:spacing w:after="120" w:line="440" w:lineRule="exact"/>
        <w:ind w:firstLine="480"/>
        <w:rPr>
          <w:rFonts w:hint="eastAsia"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lang w:eastAsia="zh-CN"/>
        </w:rPr>
        <w:t>绍兴市公安局</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一、招标编号：</w:t>
      </w:r>
      <w:r>
        <w:rPr>
          <w:rFonts w:hint="eastAsia" w:ascii="仿宋" w:hAnsi="仿宋" w:eastAsia="仿宋" w:cs="仿宋"/>
          <w:sz w:val="24"/>
        </w:rPr>
        <w:t>YH2019-</w:t>
      </w:r>
      <w:r>
        <w:rPr>
          <w:rFonts w:hint="eastAsia" w:ascii="仿宋" w:hAnsi="仿宋" w:eastAsia="仿宋" w:cs="仿宋"/>
          <w:sz w:val="24"/>
          <w:lang w:val="en-US" w:eastAsia="zh-CN"/>
        </w:rPr>
        <w:t>09020</w:t>
      </w:r>
      <w:r>
        <w:rPr>
          <w:rFonts w:hint="eastAsia" w:ascii="仿宋" w:hAnsi="仿宋" w:eastAsia="仿宋" w:cs="仿宋"/>
          <w:b/>
          <w:bCs/>
          <w:sz w:val="24"/>
        </w:rPr>
        <w:t xml:space="preserve">          </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二、采购组织类型及方式：分散采购委托代理-公开招标</w:t>
      </w:r>
    </w:p>
    <w:p>
      <w:pPr>
        <w:spacing w:line="288" w:lineRule="auto"/>
        <w:ind w:firstLine="482" w:firstLineChars="200"/>
        <w:rPr>
          <w:rFonts w:hint="eastAsia" w:ascii="仿宋" w:hAnsi="仿宋" w:eastAsia="仿宋" w:cs="仿宋"/>
          <w:b/>
          <w:bCs/>
          <w:sz w:val="24"/>
        </w:rPr>
      </w:pPr>
      <w:r>
        <w:rPr>
          <w:rFonts w:hint="eastAsia" w:ascii="仿宋" w:hAnsi="仿宋" w:eastAsia="仿宋" w:cs="仿宋"/>
          <w:b/>
          <w:bCs/>
          <w:sz w:val="24"/>
        </w:rPr>
        <w:t>三、招标项目名称及数量（详见招标文件）</w:t>
      </w:r>
    </w:p>
    <w:tbl>
      <w:tblPr>
        <w:tblStyle w:val="23"/>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hint="eastAsia"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hint="eastAsia" w:ascii="仿宋" w:hAnsi="仿宋" w:eastAsia="仿宋" w:cs="仿宋"/>
                <w:b/>
                <w:sz w:val="24"/>
              </w:rPr>
            </w:pPr>
            <w:r>
              <w:rPr>
                <w:rFonts w:hint="eastAsia" w:ascii="仿宋" w:hAnsi="仿宋" w:eastAsia="仿宋" w:cs="仿宋"/>
                <w:b/>
                <w:sz w:val="24"/>
              </w:rPr>
              <w:t>标段名称及数量</w:t>
            </w:r>
          </w:p>
          <w:p>
            <w:pPr>
              <w:jc w:val="center"/>
              <w:rPr>
                <w:rFonts w:hint="eastAsia"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hint="eastAsia"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eastAsia" w:ascii="仿宋" w:hAnsi="仿宋" w:eastAsia="仿宋" w:cs="仿宋"/>
                <w:sz w:val="24"/>
              </w:rPr>
            </w:pPr>
            <w:r>
              <w:rPr>
                <w:rFonts w:hint="eastAsia" w:ascii="仿宋" w:hAnsi="仿宋" w:eastAsia="仿宋" w:cs="仿宋"/>
                <w:sz w:val="24"/>
              </w:rPr>
              <w:t>01</w:t>
            </w:r>
          </w:p>
        </w:tc>
        <w:tc>
          <w:tcPr>
            <w:tcW w:w="4015" w:type="dxa"/>
            <w:vAlign w:val="center"/>
          </w:tcPr>
          <w:p>
            <w:pPr>
              <w:jc w:val="center"/>
              <w:rPr>
                <w:rFonts w:hint="eastAsia" w:ascii="仿宋" w:hAnsi="仿宋" w:eastAsia="仿宋" w:cs="仿宋"/>
                <w:sz w:val="24"/>
                <w:lang w:eastAsia="zh-CN"/>
              </w:rPr>
            </w:pPr>
            <w:r>
              <w:rPr>
                <w:rFonts w:hint="eastAsia" w:ascii="仿宋" w:hAnsi="仿宋" w:eastAsia="仿宋" w:cs="仿宋"/>
                <w:sz w:val="24"/>
              </w:rPr>
              <w:t>特战队4G传输卡租费</w:t>
            </w:r>
          </w:p>
        </w:tc>
        <w:tc>
          <w:tcPr>
            <w:tcW w:w="2325"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rPr>
              <w:t>￥27000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02</w:t>
            </w:r>
          </w:p>
        </w:tc>
        <w:tc>
          <w:tcPr>
            <w:tcW w:w="4015" w:type="dxa"/>
            <w:vAlign w:val="center"/>
          </w:tcPr>
          <w:p>
            <w:pPr>
              <w:jc w:val="center"/>
              <w:rPr>
                <w:rFonts w:hint="eastAsia" w:ascii="仿宋" w:hAnsi="仿宋" w:eastAsia="仿宋" w:cs="仿宋"/>
                <w:sz w:val="24"/>
                <w:lang w:eastAsia="zh-CN"/>
              </w:rPr>
            </w:pPr>
            <w:r>
              <w:rPr>
                <w:rFonts w:hint="eastAsia" w:ascii="仿宋" w:hAnsi="仿宋" w:eastAsia="仿宋" w:cs="仿宋"/>
                <w:sz w:val="24"/>
              </w:rPr>
              <w:t>110及巡特警巡逻车4G监控租赁（原袍江）</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￥27000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03</w:t>
            </w:r>
          </w:p>
        </w:tc>
        <w:tc>
          <w:tcPr>
            <w:tcW w:w="4015" w:type="dxa"/>
            <w:vAlign w:val="center"/>
          </w:tcPr>
          <w:p>
            <w:pPr>
              <w:jc w:val="center"/>
              <w:rPr>
                <w:rFonts w:hint="eastAsia" w:ascii="仿宋" w:hAnsi="仿宋" w:eastAsia="仿宋" w:cs="仿宋"/>
                <w:sz w:val="24"/>
                <w:lang w:eastAsia="zh-CN"/>
              </w:rPr>
            </w:pPr>
            <w:r>
              <w:rPr>
                <w:rFonts w:hint="eastAsia" w:ascii="仿宋" w:hAnsi="仿宋" w:eastAsia="仿宋" w:cs="仿宋"/>
                <w:sz w:val="24"/>
                <w:lang w:val="zh-CN"/>
              </w:rPr>
              <w:t>110及巡特警巡逻车4G监控租赁（原高新）</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￥41000</w:t>
            </w:r>
          </w:p>
        </w:tc>
        <w:tc>
          <w:tcPr>
            <w:tcW w:w="2325" w:type="dxa"/>
            <w:vAlign w:val="center"/>
          </w:tcPr>
          <w:p>
            <w:pPr>
              <w:jc w:val="center"/>
              <w:rPr>
                <w:rFonts w:hint="eastAsia" w:ascii="仿宋" w:hAnsi="仿宋" w:eastAsia="仿宋" w:cs="仿宋"/>
                <w:sz w:val="24"/>
              </w:rPr>
            </w:pPr>
            <w:r>
              <w:rPr>
                <w:rFonts w:hint="eastAsia" w:ascii="仿宋" w:hAnsi="仿宋" w:eastAsia="仿宋" w:cs="仿宋"/>
                <w:sz w:val="24"/>
              </w:rPr>
              <w:t>￥0</w:t>
            </w:r>
          </w:p>
        </w:tc>
      </w:tr>
    </w:tbl>
    <w:p>
      <w:pPr>
        <w:keepNext w:val="0"/>
        <w:keepLines w:val="0"/>
        <w:pageBreakBefore w:val="0"/>
        <w:kinsoku/>
        <w:wordWrap/>
        <w:overflowPunct/>
        <w:topLinePunct w:val="0"/>
        <w:autoSpaceDE/>
        <w:autoSpaceDN/>
        <w:bidi w:val="0"/>
        <w:adjustRightInd/>
        <w:spacing w:line="336" w:lineRule="auto"/>
        <w:textAlignment w:val="auto"/>
        <w:rPr>
          <w:rFonts w:hint="eastAsia" w:ascii="仿宋" w:hAnsi="仿宋" w:eastAsia="仿宋" w:cs="仿宋"/>
          <w:b/>
          <w:sz w:val="24"/>
          <w:szCs w:val="24"/>
          <w:lang w:eastAsia="zh-CN"/>
        </w:rPr>
      </w:pPr>
      <w:r>
        <w:rPr>
          <w:rFonts w:hint="eastAsia" w:ascii="仿宋" w:hAnsi="仿宋" w:eastAsia="仿宋" w:cs="仿宋"/>
          <w:b/>
          <w:bCs/>
          <w:sz w:val="24"/>
        </w:rPr>
        <w:t>注：本项目分</w:t>
      </w:r>
      <w:r>
        <w:rPr>
          <w:rFonts w:hint="eastAsia" w:ascii="仿宋" w:hAnsi="仿宋" w:eastAsia="仿宋" w:cs="仿宋"/>
          <w:b/>
          <w:bCs/>
          <w:sz w:val="24"/>
          <w:lang w:val="en-US" w:eastAsia="zh-CN"/>
        </w:rPr>
        <w:t>3</w:t>
      </w:r>
      <w:r>
        <w:rPr>
          <w:rFonts w:hint="eastAsia" w:ascii="仿宋" w:hAnsi="仿宋" w:eastAsia="仿宋" w:cs="仿宋"/>
          <w:b/>
          <w:bCs/>
          <w:sz w:val="24"/>
        </w:rPr>
        <w:t>个标段,供应商可以同时报名参加</w:t>
      </w:r>
      <w:r>
        <w:rPr>
          <w:rFonts w:hint="eastAsia" w:ascii="仿宋" w:hAnsi="仿宋" w:eastAsia="仿宋" w:cs="仿宋"/>
          <w:b/>
          <w:bCs/>
          <w:sz w:val="24"/>
          <w:lang w:val="en-US" w:eastAsia="zh-CN"/>
        </w:rPr>
        <w:t>3</w:t>
      </w:r>
      <w:bookmarkStart w:id="6" w:name="_GoBack"/>
      <w:bookmarkEnd w:id="6"/>
      <w:r>
        <w:rPr>
          <w:rFonts w:hint="eastAsia" w:ascii="仿宋" w:hAnsi="仿宋" w:eastAsia="仿宋" w:cs="仿宋"/>
          <w:b/>
          <w:bCs/>
          <w:sz w:val="24"/>
        </w:rPr>
        <w:t>个标段投标，也允许同时中标。</w:t>
      </w:r>
    </w:p>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rPr>
        <w:t>四、采购人的采购需求：</w:t>
      </w:r>
      <w:r>
        <w:rPr>
          <w:rFonts w:hint="eastAsia" w:ascii="仿宋" w:hAnsi="仿宋" w:eastAsia="仿宋" w:cs="仿宋"/>
          <w:sz w:val="24"/>
        </w:rPr>
        <w:t>详见招标文件</w:t>
      </w:r>
    </w:p>
    <w:p>
      <w:pPr>
        <w:spacing w:line="440" w:lineRule="exact"/>
        <w:ind w:firstLine="482" w:firstLineChars="200"/>
        <w:rPr>
          <w:rFonts w:hint="eastAsia" w:ascii="仿宋" w:hAnsi="仿宋" w:eastAsia="仿宋" w:cs="仿宋"/>
          <w:sz w:val="24"/>
        </w:rPr>
      </w:pPr>
      <w:r>
        <w:rPr>
          <w:rFonts w:hint="eastAsia" w:ascii="仿宋" w:hAnsi="仿宋" w:eastAsia="仿宋" w:cs="仿宋"/>
          <w:b/>
          <w:sz w:val="24"/>
        </w:rPr>
        <w:t>五、</w:t>
      </w:r>
      <w:r>
        <w:rPr>
          <w:rFonts w:hint="eastAsia" w:ascii="仿宋" w:hAnsi="仿宋" w:eastAsia="仿宋" w:cs="仿宋"/>
          <w:b/>
          <w:bCs/>
          <w:sz w:val="24"/>
        </w:rPr>
        <w:t>供应商的资格要求</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hint="eastAsia"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六、资格审查方式：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七、报名：</w:t>
      </w:r>
    </w:p>
    <w:p>
      <w:pPr>
        <w:spacing w:line="440" w:lineRule="exact"/>
        <w:ind w:firstLine="540" w:firstLineChars="225"/>
        <w:rPr>
          <w:rFonts w:hint="eastAsia"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11</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19</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3.招标文件售价：每份</w:t>
      </w:r>
      <w:r>
        <w:rPr>
          <w:rFonts w:hint="eastAsia" w:ascii="仿宋" w:hAnsi="仿宋" w:eastAsia="仿宋" w:cs="仿宋"/>
          <w:bCs/>
          <w:sz w:val="24"/>
          <w:lang w:val="en-US" w:eastAsia="zh-CN"/>
        </w:rPr>
        <w:t>2</w:t>
      </w:r>
      <w:r>
        <w:rPr>
          <w:rFonts w:hint="eastAsia" w:ascii="仿宋" w:hAnsi="仿宋" w:eastAsia="仿宋" w:cs="仿宋"/>
          <w:bCs/>
          <w:sz w:val="24"/>
        </w:rPr>
        <w:t>00元，售后不退。</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八、投标截止时间及地点：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14:00</w:t>
      </w:r>
      <w:r>
        <w:rPr>
          <w:rFonts w:hint="eastAsia" w:ascii="仿宋" w:hAnsi="仿宋" w:eastAsia="仿宋" w:cs="仿宋"/>
          <w:bCs/>
          <w:sz w:val="24"/>
          <w:u w:val="single"/>
        </w:rPr>
        <w:t xml:space="preserve">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九、开标时间及地点：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9</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14:00</w:t>
      </w:r>
      <w:r>
        <w:rPr>
          <w:rFonts w:hint="eastAsia" w:ascii="仿宋" w:hAnsi="仿宋" w:eastAsia="仿宋" w:cs="仿宋"/>
          <w:bCs/>
          <w:sz w:val="24"/>
          <w:u w:val="single"/>
        </w:rPr>
        <w:t xml:space="preserve"> </w:t>
      </w:r>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十、投标保证金：无</w:t>
      </w:r>
      <w:r>
        <w:rPr>
          <w:rFonts w:hint="eastAsia" w:ascii="仿宋" w:hAnsi="仿宋" w:eastAsia="仿宋" w:cs="仿宋"/>
          <w:bCs/>
          <w:sz w:val="24"/>
        </w:rPr>
        <w:t>。</w:t>
      </w:r>
    </w:p>
    <w:p>
      <w:pPr>
        <w:spacing w:line="440" w:lineRule="exact"/>
        <w:ind w:firstLine="482" w:firstLineChars="200"/>
        <w:rPr>
          <w:rFonts w:hint="eastAsia" w:ascii="仿宋" w:hAnsi="仿宋" w:eastAsia="仿宋" w:cs="仿宋"/>
          <w:bCs/>
          <w:sz w:val="24"/>
        </w:rPr>
      </w:pPr>
      <w:r>
        <w:rPr>
          <w:rFonts w:hint="eastAsia" w:ascii="仿宋" w:hAnsi="仿宋" w:eastAsia="仿宋" w:cs="仿宋"/>
          <w:b/>
          <w:bCs/>
          <w:sz w:val="24"/>
        </w:rPr>
        <w:t>十一、招标公告发布：</w:t>
      </w:r>
      <w:r>
        <w:rPr>
          <w:rFonts w:hint="eastAsia" w:ascii="仿宋" w:hAnsi="仿宋" w:eastAsia="仿宋" w:cs="仿宋"/>
        </w:rPr>
        <w:fldChar w:fldCharType="begin"/>
      </w:r>
      <w:r>
        <w:rPr>
          <w:rFonts w:hint="eastAsia" w:ascii="仿宋" w:hAnsi="仿宋" w:eastAsia="仿宋" w:cs="仿宋"/>
        </w:rPr>
        <w:instrText xml:space="preserve"> HYPERLINK "http://www.zjzfcg.gov.cn/" </w:instrText>
      </w:r>
      <w:r>
        <w:rPr>
          <w:rFonts w:hint="eastAsia" w:ascii="仿宋" w:hAnsi="仿宋" w:eastAsia="仿宋" w:cs="仿宋"/>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r>
        <w:rPr>
          <w:rFonts w:hint="eastAsia" w:ascii="仿宋" w:hAnsi="仿宋" w:eastAsia="仿宋" w:cs="仿宋"/>
          <w:bCs/>
          <w:sz w:val="24"/>
        </w:rPr>
        <w:t>和http://ggb.sx.gov.cn</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十二、公告有效期：</w:t>
      </w:r>
      <w:r>
        <w:rPr>
          <w:rFonts w:hint="eastAsia" w:ascii="仿宋" w:hAnsi="仿宋" w:eastAsia="仿宋" w:cs="仿宋"/>
          <w:sz w:val="24"/>
        </w:rPr>
        <w:t>本公告发布之日起五个工作日</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十三、质疑和投诉：</w:t>
      </w:r>
    </w:p>
    <w:p>
      <w:pPr>
        <w:spacing w:line="440" w:lineRule="exact"/>
        <w:ind w:firstLine="480" w:firstLineChars="200"/>
        <w:rPr>
          <w:rFonts w:hint="eastAsia" w:ascii="仿宋" w:hAnsi="仿宋" w:eastAsia="仿宋" w:cs="仿宋"/>
          <w:b/>
          <w:bCs/>
          <w:sz w:val="24"/>
        </w:rPr>
      </w:pPr>
      <w:r>
        <w:rPr>
          <w:rFonts w:hint="eastAsia" w:ascii="仿宋" w:hAnsi="仿宋" w:eastAsia="仿宋" w:cs="仿宋"/>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w:t>
      </w:r>
      <w:r>
        <w:rPr>
          <w:rFonts w:hint="eastAsia" w:ascii="仿宋" w:hAnsi="仿宋" w:eastAsia="仿宋" w:cs="仿宋"/>
          <w:sz w:val="24"/>
          <w:lang w:eastAsia="zh-CN"/>
        </w:rPr>
        <w:t>陈芳芳</w:t>
      </w:r>
      <w:r>
        <w:rPr>
          <w:rFonts w:hint="eastAsia" w:ascii="仿宋" w:hAnsi="仿宋" w:eastAsia="仿宋" w:cs="仿宋"/>
          <w:sz w:val="24"/>
        </w:rPr>
        <w:t>；联系电话：0575-88776697。投诉受理地点：绍兴市财政局政府采购监管处（绍兴市凤林西路151号1402室）；联系人：应春兴；联系电话：0575-85209806。</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十四、联系方式：</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 xml:space="preserve">耀华建设管理有限公司                        </w:t>
      </w:r>
      <w:r>
        <w:rPr>
          <w:rFonts w:hint="eastAsia" w:ascii="仿宋" w:hAnsi="仿宋" w:eastAsia="仿宋" w:cs="仿宋"/>
          <w:bCs/>
          <w:sz w:val="24"/>
          <w:lang w:eastAsia="zh-CN"/>
        </w:rPr>
        <w:t>陈芳芳</w:t>
      </w:r>
      <w:r>
        <w:rPr>
          <w:rFonts w:hint="eastAsia" w:ascii="仿宋" w:hAnsi="仿宋" w:eastAsia="仿宋" w:cs="仿宋"/>
          <w:bCs/>
          <w:sz w:val="24"/>
          <w:lang w:val="en-US" w:eastAsia="zh-CN"/>
        </w:rPr>
        <w:t xml:space="preserve"> </w:t>
      </w:r>
      <w:r>
        <w:rPr>
          <w:rFonts w:hint="eastAsia" w:ascii="仿宋" w:hAnsi="仿宋" w:eastAsia="仿宋" w:cs="仿宋"/>
          <w:bCs/>
          <w:sz w:val="24"/>
        </w:rPr>
        <w:t xml:space="preserve"> 0575-88776697</w:t>
      </w:r>
    </w:p>
    <w:p>
      <w:pPr>
        <w:spacing w:line="440" w:lineRule="exact"/>
        <w:ind w:firstLine="480" w:firstLineChars="200"/>
        <w:outlineLvl w:val="0"/>
        <w:rPr>
          <w:rFonts w:hint="eastAsia" w:ascii="仿宋" w:hAnsi="仿宋" w:eastAsia="仿宋" w:cs="仿宋"/>
          <w:sz w:val="24"/>
          <w:lang w:val="en-US" w:eastAsia="zh-CN"/>
        </w:rPr>
      </w:pPr>
      <w:r>
        <w:rPr>
          <w:rFonts w:hint="eastAsia" w:ascii="仿宋" w:hAnsi="仿宋" w:eastAsia="仿宋" w:cs="仿宋"/>
          <w:sz w:val="24"/>
          <w:lang w:eastAsia="zh-CN"/>
        </w:rPr>
        <w:t>绍兴市公安局</w:t>
      </w:r>
      <w:r>
        <w:rPr>
          <w:rFonts w:hint="eastAsia" w:ascii="仿宋" w:hAnsi="仿宋" w:eastAsia="仿宋" w:cs="仿宋"/>
          <w:sz w:val="24"/>
        </w:rPr>
        <w:t xml:space="preserve">                            </w:t>
      </w:r>
      <w:r>
        <w:rPr>
          <w:rFonts w:hint="eastAsia" w:ascii="仿宋" w:hAnsi="仿宋" w:eastAsia="仿宋" w:cs="仿宋"/>
          <w:sz w:val="24"/>
          <w:lang w:val="en-US" w:eastAsia="zh-CN"/>
        </w:rPr>
        <w:t xml:space="preserve">    斯钜军 13867578819</w:t>
      </w:r>
    </w:p>
    <w:p>
      <w:pPr>
        <w:spacing w:line="440" w:lineRule="exact"/>
        <w:ind w:firstLine="482" w:firstLineChars="200"/>
        <w:rPr>
          <w:rFonts w:hint="eastAsia" w:ascii="仿宋" w:hAnsi="仿宋" w:eastAsia="仿宋" w:cs="仿宋"/>
          <w:b/>
          <w:bCs/>
          <w:sz w:val="24"/>
        </w:rPr>
      </w:pPr>
      <w:r>
        <w:rPr>
          <w:rFonts w:hint="eastAsia" w:ascii="仿宋" w:hAnsi="仿宋" w:eastAsia="仿宋" w:cs="仿宋"/>
          <w:b/>
          <w:bCs/>
          <w:sz w:val="24"/>
        </w:rPr>
        <w:t>十五、供应商注册：</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rPr>
          <w:rFonts w:hint="eastAsia" w:ascii="仿宋" w:hAnsi="仿宋" w:eastAsia="仿宋" w:cs="仿宋"/>
          <w:bCs/>
          <w:sz w:val="24"/>
        </w:rPr>
      </w:pPr>
    </w:p>
    <w:p>
      <w:pPr>
        <w:spacing w:line="440" w:lineRule="exact"/>
        <w:ind w:firstLine="540" w:firstLineChars="225"/>
        <w:jc w:val="right"/>
        <w:rPr>
          <w:rFonts w:hint="eastAsia" w:ascii="仿宋" w:hAnsi="仿宋" w:eastAsia="仿宋" w:cs="仿宋"/>
          <w:bCs/>
          <w:sz w:val="24"/>
          <w:lang w:eastAsia="zh-CN"/>
        </w:rPr>
      </w:pPr>
      <w:r>
        <w:rPr>
          <w:rFonts w:hint="eastAsia" w:ascii="仿宋" w:hAnsi="仿宋" w:eastAsia="仿宋" w:cs="仿宋"/>
          <w:bCs/>
          <w:sz w:val="24"/>
        </w:rPr>
        <w:t>　</w:t>
      </w:r>
      <w:r>
        <w:rPr>
          <w:rFonts w:hint="eastAsia" w:ascii="仿宋" w:hAnsi="仿宋" w:eastAsia="仿宋" w:cs="仿宋"/>
          <w:bCs/>
          <w:sz w:val="24"/>
          <w:lang w:eastAsia="zh-CN"/>
        </w:rPr>
        <w:t>绍兴市公安局</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hint="eastAsia" w:ascii="仿宋" w:hAnsi="仿宋" w:eastAsia="仿宋" w:cs="仿宋"/>
          <w:bCs/>
          <w:sz w:val="24"/>
        </w:rPr>
      </w:pPr>
      <w:r>
        <w:rPr>
          <w:rFonts w:hint="eastAsia" w:ascii="仿宋" w:hAnsi="仿宋" w:eastAsia="仿宋" w:cs="仿宋"/>
          <w:bCs/>
          <w:sz w:val="24"/>
        </w:rPr>
        <w:t>　　　　　　　    2019年</w:t>
      </w:r>
      <w:r>
        <w:rPr>
          <w:rFonts w:hint="eastAsia" w:ascii="仿宋" w:hAnsi="仿宋" w:eastAsia="仿宋" w:cs="仿宋"/>
          <w:bCs/>
          <w:sz w:val="24"/>
          <w:lang w:val="en-US" w:eastAsia="zh-CN"/>
        </w:rPr>
        <w:t>9</w:t>
      </w:r>
      <w:r>
        <w:rPr>
          <w:rFonts w:hint="eastAsia" w:ascii="仿宋" w:hAnsi="仿宋" w:eastAsia="仿宋" w:cs="仿宋"/>
          <w:bCs/>
          <w:sz w:val="24"/>
        </w:rPr>
        <w:t>月</w:t>
      </w:r>
    </w:p>
    <w:p>
      <w:pPr>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w:t>
      </w:r>
      <w:r>
        <w:rPr>
          <w:rFonts w:ascii="仿宋" w:hAnsi="仿宋" w:eastAsia="仿宋" w:cs="仿宋"/>
          <w:b/>
          <w:sz w:val="36"/>
          <w:szCs w:val="36"/>
        </w:rPr>
        <w:t xml:space="preserve"> </w:t>
      </w:r>
      <w:r>
        <w:rPr>
          <w:rFonts w:hint="eastAsia" w:ascii="仿宋" w:hAnsi="仿宋" w:eastAsia="仿宋" w:cs="仿宋"/>
          <w:b/>
          <w:sz w:val="36"/>
          <w:szCs w:val="36"/>
        </w:rPr>
        <w:t>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897"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序号</w:t>
            </w:r>
          </w:p>
        </w:tc>
        <w:tc>
          <w:tcPr>
            <w:tcW w:w="8643" w:type="dxa"/>
            <w:vAlign w:val="center"/>
          </w:tcPr>
          <w:p>
            <w:pPr>
              <w:spacing w:before="120" w:beforeLines="50" w:after="72"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897" w:type="dxa"/>
            <w:vAlign w:val="center"/>
          </w:tcPr>
          <w:p>
            <w:pPr>
              <w:spacing w:line="340" w:lineRule="exact"/>
              <w:jc w:val="center"/>
              <w:rPr>
                <w:rFonts w:ascii="仿宋" w:hAnsi="仿宋" w:eastAsia="仿宋" w:cs="仿宋"/>
                <w:sz w:val="24"/>
              </w:rPr>
            </w:pPr>
            <w:r>
              <w:rPr>
                <w:rFonts w:hint="eastAsia" w:ascii="仿宋_GB2312" w:hAnsi="宋体" w:eastAsia="仿宋_GB2312"/>
                <w:sz w:val="24"/>
              </w:rPr>
              <w:t>1</w:t>
            </w:r>
          </w:p>
        </w:tc>
        <w:tc>
          <w:tcPr>
            <w:tcW w:w="8643"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1</w:t>
            </w:r>
            <w:r>
              <w:rPr>
                <w:rFonts w:hint="eastAsia" w:ascii="仿宋_GB2312" w:hAnsi="仿宋_GB2312" w:eastAsia="仿宋_GB2312" w:cs="仿宋_GB2312"/>
                <w:b/>
                <w:sz w:val="24"/>
              </w:rPr>
              <w:t>）相关证明文件：</w:t>
            </w:r>
            <w:r>
              <w:rPr>
                <w:rFonts w:hint="eastAsia" w:ascii="仿宋_GB2312" w:hAnsi="仿宋_GB2312" w:eastAsia="仿宋_GB2312" w:cs="仿宋_GB2312"/>
                <w:sz w:val="24"/>
              </w:rPr>
              <w:t>营业执照</w:t>
            </w:r>
            <w:r>
              <w:rPr>
                <w:rFonts w:ascii="仿宋_GB2312" w:hAnsi="仿宋_GB2312" w:eastAsia="仿宋_GB2312" w:cs="仿宋_GB2312"/>
                <w:sz w:val="24"/>
              </w:rPr>
              <w:t>(</w:t>
            </w:r>
            <w:r>
              <w:rPr>
                <w:rFonts w:hint="eastAsia" w:ascii="仿宋_GB2312" w:hAnsi="仿宋_GB2312" w:eastAsia="仿宋_GB2312" w:cs="仿宋_GB2312"/>
                <w:sz w:val="24"/>
              </w:rPr>
              <w:t>或事业法人登记证或其他工商等登记证明材料</w:t>
            </w:r>
            <w:r>
              <w:rPr>
                <w:rFonts w:ascii="仿宋_GB2312" w:hAnsi="仿宋_GB2312" w:eastAsia="仿宋_GB2312" w:cs="仿宋_GB2312"/>
                <w:sz w:val="24"/>
              </w:rPr>
              <w:t>)</w:t>
            </w:r>
            <w:r>
              <w:rPr>
                <w:rFonts w:hint="eastAsia" w:ascii="仿宋_GB2312" w:hAnsi="仿宋_GB2312" w:eastAsia="仿宋_GB2312" w:cs="仿宋_GB2312"/>
                <w:sz w:val="24"/>
              </w:rPr>
              <w:t>复印件、</w:t>
            </w:r>
            <w:r>
              <w:rPr>
                <w:rFonts w:ascii="仿宋_GB2312" w:hAnsi="仿宋_GB2312" w:eastAsia="仿宋_GB2312" w:cs="仿宋_GB2312"/>
                <w:sz w:val="24"/>
              </w:rPr>
              <w:t>2018</w:t>
            </w:r>
            <w:r>
              <w:rPr>
                <w:rFonts w:hint="eastAsia" w:ascii="仿宋_GB2312" w:hAnsi="仿宋_GB2312" w:eastAsia="仿宋_GB2312" w:cs="仿宋_GB2312"/>
                <w:sz w:val="24"/>
              </w:rPr>
              <w:t>年度资产负债表等财务报表资料文件</w:t>
            </w:r>
            <w:r>
              <w:rPr>
                <w:rFonts w:ascii="仿宋_GB2312" w:hAnsi="仿宋_GB2312" w:eastAsia="仿宋_GB2312" w:cs="仿宋_GB2312"/>
                <w:sz w:val="24"/>
              </w:rPr>
              <w:t>(</w:t>
            </w:r>
            <w:r>
              <w:rPr>
                <w:rFonts w:hint="eastAsia" w:ascii="仿宋_GB2312" w:hAnsi="仿宋_GB2312" w:eastAsia="仿宋_GB2312" w:cs="仿宋_GB2312"/>
                <w:sz w:val="24"/>
              </w:rPr>
              <w:t>新成立的公司提供情况说明</w:t>
            </w:r>
            <w:r>
              <w:rPr>
                <w:rFonts w:ascii="仿宋_GB2312" w:hAnsi="仿宋_GB2312" w:eastAsia="仿宋_GB2312" w:cs="仿宋_GB2312"/>
                <w:sz w:val="24"/>
              </w:rPr>
              <w:t>)</w:t>
            </w:r>
            <w:r>
              <w:rPr>
                <w:rFonts w:hint="eastAsia" w:ascii="仿宋_GB2312" w:hAnsi="仿宋_GB2312" w:eastAsia="仿宋_GB2312" w:cs="仿宋_GB2312"/>
                <w:sz w:val="24"/>
              </w:rPr>
              <w:t>、参加政府采购活动前三年内，在经营活动中没有重大违法记录的声明（详见格式范例）。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w:t>
            </w:r>
            <w:r>
              <w:rPr>
                <w:rFonts w:ascii="仿宋_GB2312" w:hAnsi="仿宋_GB2312" w:eastAsia="仿宋_GB2312" w:cs="仿宋_GB2312"/>
                <w:b/>
                <w:sz w:val="24"/>
              </w:rPr>
              <w:t>2</w:t>
            </w:r>
            <w:r>
              <w:rPr>
                <w:rFonts w:hint="eastAsia" w:ascii="仿宋_GB2312" w:hAnsi="仿宋_GB2312" w:eastAsia="仿宋_GB2312" w:cs="仿宋_GB2312"/>
                <w:b/>
                <w:sz w:val="24"/>
              </w:rPr>
              <w:t>）符合性审查要求的资信证明文件（如果有）：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w:t>
            </w:r>
            <w:r>
              <w:rPr>
                <w:rFonts w:ascii="仿宋_GB2312" w:hAnsi="仿宋_GB2312" w:eastAsia="仿宋_GB2312" w:cs="仿宋_GB2312"/>
                <w:b/>
                <w:sz w:val="24"/>
              </w:rPr>
              <w:t>3</w:t>
            </w:r>
            <w:r>
              <w:rPr>
                <w:rFonts w:hint="eastAsia" w:ascii="仿宋_GB2312" w:hAnsi="仿宋_GB2312" w:eastAsia="仿宋_GB2312" w:cs="仿宋_GB2312"/>
                <w:b/>
                <w:sz w:val="24"/>
              </w:rPr>
              <w:t>）特许资格、资信证明文件（如果有）：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2</w:t>
            </w:r>
          </w:p>
        </w:tc>
        <w:tc>
          <w:tcPr>
            <w:tcW w:w="8643" w:type="dxa"/>
            <w:vAlign w:val="center"/>
          </w:tcPr>
          <w:p>
            <w:pPr>
              <w:spacing w:line="440" w:lineRule="exact"/>
              <w:rPr>
                <w:rFonts w:ascii="仿宋" w:hAnsi="仿宋" w:eastAsia="仿宋" w:cs="仿宋"/>
                <w:b/>
                <w:sz w:val="24"/>
              </w:rPr>
            </w:pPr>
            <w:r>
              <w:rPr>
                <w:rFonts w:hint="eastAsia" w:ascii="仿宋" w:hAnsi="仿宋" w:eastAsia="仿宋" w:cs="仿宋"/>
                <w:b/>
                <w:sz w:val="24"/>
              </w:rPr>
              <w:t>投标有效期：</w:t>
            </w:r>
            <w:r>
              <w:rPr>
                <w:rFonts w:hint="eastAsia" w:ascii="仿宋" w:hAnsi="仿宋" w:eastAsia="仿宋" w:cs="仿宋"/>
                <w:bCs/>
                <w:sz w:val="24"/>
              </w:rPr>
              <w:t>投标有效期为从提交投标文件的截止之日起90天。</w:t>
            </w:r>
          </w:p>
          <w:p>
            <w:pPr>
              <w:spacing w:line="440" w:lineRule="exact"/>
              <w:rPr>
                <w:rFonts w:ascii="仿宋_GB2312" w:hAnsi="仿宋_GB2312" w:eastAsia="仿宋_GB2312" w:cs="仿宋_GB2312"/>
                <w:sz w:val="24"/>
              </w:rPr>
            </w:pPr>
            <w:r>
              <w:rPr>
                <w:rFonts w:hint="eastAsia" w:ascii="仿宋" w:hAnsi="仿宋" w:eastAsia="仿宋" w:cs="仿宋"/>
                <w:b/>
                <w:sz w:val="24"/>
              </w:rPr>
              <w:t>▲投标人的投标文件中承诺的投标有效期少于招标文件中载明的投标有效期的，投标无效。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97" w:type="dxa"/>
            <w:vAlign w:val="center"/>
          </w:tcPr>
          <w:p>
            <w:pPr>
              <w:spacing w:line="340" w:lineRule="exact"/>
              <w:jc w:val="center"/>
              <w:rPr>
                <w:rFonts w:ascii="仿宋_GB2312" w:hAnsi="宋体" w:eastAsia="仿宋_GB2312"/>
                <w:sz w:val="24"/>
              </w:rPr>
            </w:pPr>
            <w:r>
              <w:rPr>
                <w:rFonts w:hint="eastAsia" w:ascii="仿宋_GB2312" w:hAnsi="宋体" w:eastAsia="仿宋_GB2312"/>
                <w:sz w:val="24"/>
              </w:rPr>
              <w:t>3</w:t>
            </w:r>
          </w:p>
        </w:tc>
        <w:tc>
          <w:tcPr>
            <w:tcW w:w="8643" w:type="dxa"/>
            <w:vAlign w:val="center"/>
          </w:tcPr>
          <w:p>
            <w:pPr>
              <w:snapToGrid w:val="0"/>
              <w:spacing w:line="440" w:lineRule="exact"/>
              <w:rPr>
                <w:rFonts w:ascii="仿宋_GB2312" w:hAnsi="仿宋_GB2312" w:eastAsia="仿宋_GB2312" w:cs="仿宋_GB2312"/>
                <w:bCs/>
                <w:sz w:val="24"/>
              </w:rPr>
            </w:pPr>
            <w:r>
              <w:rPr>
                <w:rFonts w:hint="eastAsia" w:ascii="仿宋_GB2312" w:hAnsi="仿宋_GB2312" w:eastAsia="仿宋_GB2312" w:cs="仿宋_GB2312"/>
                <w:b/>
                <w:sz w:val="24"/>
              </w:rPr>
              <w:t>分包或转包：</w:t>
            </w:r>
            <w:r>
              <w:rPr>
                <w:rFonts w:hint="eastAsia" w:ascii="仿宋_GB2312" w:hAnsi="仿宋_GB2312" w:eastAsia="仿宋_GB2312" w:cs="仿宋_GB2312"/>
                <w:bCs/>
                <w:sz w:val="24"/>
              </w:rPr>
              <w:t>（1）采购人不同意分包。</w:t>
            </w:r>
          </w:p>
          <w:p>
            <w:pPr>
              <w:snapToGrid w:val="0"/>
              <w:spacing w:line="440" w:lineRule="exact"/>
              <w:ind w:firstLine="1440" w:firstLineChars="600"/>
              <w:rPr>
                <w:rFonts w:ascii="仿宋_GB2312" w:hAnsi="仿宋_GB2312" w:eastAsia="仿宋_GB2312" w:cs="仿宋_GB2312"/>
                <w:sz w:val="24"/>
              </w:rPr>
            </w:pPr>
            <w:r>
              <w:rPr>
                <w:rFonts w:hint="eastAsia" w:ascii="仿宋_GB2312" w:hAnsi="仿宋_GB2312" w:eastAsia="仿宋_GB2312" w:cs="仿宋_GB2312"/>
                <w:bCs/>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autoSpaceDE w:val="0"/>
              <w:autoSpaceDN w:val="0"/>
              <w:spacing w:line="340" w:lineRule="exact"/>
              <w:textAlignment w:val="bottom"/>
              <w:rPr>
                <w:rFonts w:ascii="仿宋" w:hAnsi="仿宋" w:eastAsia="仿宋" w:cs="仿宋"/>
                <w:sz w:val="24"/>
              </w:rPr>
            </w:pPr>
            <w:r>
              <w:rPr>
                <w:rFonts w:hint="eastAsia" w:ascii="仿宋_GB2312" w:hAnsi="宋体" w:eastAsia="仿宋_GB2312"/>
                <w:b/>
                <w:bCs/>
                <w:sz w:val="24"/>
              </w:rPr>
              <w:t>商务文件资料、技术文件资料必须单独封装。</w:t>
            </w:r>
          </w:p>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643"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开标前答疑会或现场考察：</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样品提供：</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现场演示(讲解)：</w:t>
            </w:r>
            <w:r>
              <w:rPr>
                <w:rFonts w:hint="eastAsia" w:ascii="仿宋" w:hAnsi="仿宋" w:eastAsia="仿宋" w:cs="仿宋"/>
                <w:bCs/>
                <w:sz w:val="24"/>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643" w:type="dxa"/>
            <w:vAlign w:val="center"/>
          </w:tcPr>
          <w:p>
            <w:pPr>
              <w:autoSpaceDE w:val="0"/>
              <w:autoSpaceDN w:val="0"/>
              <w:spacing w:line="420" w:lineRule="exact"/>
              <w:jc w:val="left"/>
              <w:rPr>
                <w:rFonts w:ascii="仿宋" w:hAnsi="仿宋" w:eastAsia="仿宋" w:cs="仿宋"/>
                <w:b/>
                <w:sz w:val="24"/>
              </w:rPr>
            </w:pPr>
            <w:r>
              <w:rPr>
                <w:rFonts w:hint="eastAsia" w:ascii="仿宋" w:hAnsi="仿宋" w:eastAsia="仿宋" w:cs="仿宋"/>
                <w:b/>
                <w:sz w:val="24"/>
              </w:rPr>
              <w:t>进口产品：</w:t>
            </w:r>
            <w:r>
              <w:rPr>
                <w:rFonts w:hint="eastAsia" w:ascii="仿宋" w:hAnsi="仿宋" w:eastAsia="仿宋" w:cs="仿宋"/>
                <w:bCs/>
                <w:sz w:val="24"/>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643"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ascii="仿宋" w:hAnsi="仿宋" w:eastAsia="仿宋" w:cs="仿宋"/>
                <w:b/>
                <w:sz w:val="24"/>
              </w:rPr>
              <w:t>1.</w:t>
            </w:r>
            <w:r>
              <w:rPr>
                <w:rFonts w:hint="eastAsia" w:ascii="仿宋" w:hAnsi="仿宋" w:eastAsia="仿宋" w:cs="仿宋"/>
                <w:b/>
                <w:sz w:val="24"/>
              </w:rPr>
              <w:t>信用信息查询渠道及截止时间：</w:t>
            </w:r>
            <w:r>
              <w:rPr>
                <w:rFonts w:hint="eastAsia" w:ascii="仿宋" w:hAnsi="仿宋" w:eastAsia="仿宋" w:cs="仿宋"/>
                <w:sz w:val="24"/>
              </w:rPr>
              <w:t>项目评审组织人员将通过“信用中国”网站</w:t>
            </w:r>
            <w:r>
              <w:rPr>
                <w:rFonts w:ascii="仿宋" w:hAnsi="仿宋" w:eastAsia="仿宋" w:cs="仿宋"/>
                <w:sz w:val="24"/>
              </w:rPr>
              <w:t>(www.creditchina.gov.cn)</w:t>
            </w:r>
            <w:r>
              <w:rPr>
                <w:rFonts w:hint="eastAsia" w:ascii="仿宋" w:hAnsi="仿宋" w:eastAsia="仿宋" w:cs="仿宋"/>
                <w:sz w:val="24"/>
              </w:rPr>
              <w:t>、中国政府采购网</w:t>
            </w:r>
            <w:r>
              <w:rPr>
                <w:rFonts w:ascii="仿宋" w:hAnsi="仿宋" w:eastAsia="仿宋" w:cs="仿宋"/>
                <w:sz w:val="24"/>
              </w:rPr>
              <w:t>(www.ccgp.gov.cn)</w:t>
            </w:r>
            <w:r>
              <w:rPr>
                <w:rFonts w:hint="eastAsia" w:ascii="仿宋" w:hAnsi="仿宋" w:eastAsia="仿宋" w:cs="仿宋"/>
                <w:sz w:val="24"/>
              </w:rPr>
              <w:t>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ascii="仿宋" w:hAnsi="仿宋" w:eastAsia="仿宋" w:cs="仿宋"/>
                <w:b/>
                <w:sz w:val="24"/>
              </w:rPr>
              <w:t>2.</w:t>
            </w:r>
            <w:r>
              <w:rPr>
                <w:rFonts w:hint="eastAsia" w:ascii="仿宋" w:hAnsi="仿宋" w:eastAsia="仿宋" w:cs="仿宋"/>
                <w:b/>
                <w:sz w:val="24"/>
              </w:rPr>
              <w:t>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ascii="仿宋" w:hAnsi="仿宋" w:eastAsia="仿宋" w:cs="仿宋"/>
                <w:b/>
                <w:sz w:val="24"/>
              </w:rPr>
              <w:t>3.</w:t>
            </w:r>
            <w:r>
              <w:rPr>
                <w:rFonts w:hint="eastAsia" w:ascii="仿宋" w:hAnsi="仿宋" w:eastAsia="仿宋" w:cs="仿宋"/>
                <w:b/>
                <w:sz w:val="24"/>
              </w:rPr>
              <w:t>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643" w:type="dxa"/>
            <w:vAlign w:val="center"/>
          </w:tcPr>
          <w:p>
            <w:pPr>
              <w:spacing w:line="340" w:lineRule="exact"/>
              <w:rPr>
                <w:rFonts w:ascii="仿宋" w:hAnsi="仿宋" w:eastAsia="仿宋" w:cs="仿宋"/>
                <w:b/>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97" w:type="dxa"/>
            <w:vAlign w:val="center"/>
          </w:tcPr>
          <w:p>
            <w:pPr>
              <w:spacing w:line="340" w:lineRule="exact"/>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1</w:t>
            </w:r>
          </w:p>
        </w:tc>
        <w:tc>
          <w:tcPr>
            <w:tcW w:w="8643"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hint="eastAsia" w:ascii="仿宋" w:hAnsi="仿宋" w:eastAsia="仿宋" w:cs="仿宋"/>
                <w:sz w:val="24"/>
              </w:rPr>
            </w:pPr>
            <w:r>
              <w:rPr>
                <w:rFonts w:hint="eastAsia" w:ascii="仿宋" w:hAnsi="仿宋" w:eastAsia="仿宋" w:cs="仿宋"/>
                <w:sz w:val="24"/>
              </w:rPr>
              <w:t>（1）收费标准：以中标通知中确定的中标总金额作为服务费的计算基数，收费标准参照《国家计委关于印发&lt;招标代理服务费管理暂行办法&gt;的通知》（计价格[2002]1980号）。</w:t>
            </w:r>
          </w:p>
          <w:p>
            <w:pPr>
              <w:rPr>
                <w:rFonts w:hint="eastAsia" w:ascii="仿宋" w:hAnsi="仿宋" w:eastAsia="仿宋" w:cs="仿宋"/>
                <w:sz w:val="24"/>
                <w:lang w:val="en-US" w:eastAsia="zh-CN"/>
              </w:rPr>
            </w:pPr>
            <w:r>
              <w:rPr>
                <w:rFonts w:hint="eastAsia" w:ascii="仿宋" w:hAnsi="仿宋" w:eastAsia="仿宋" w:cs="仿宋"/>
                <w:sz w:val="24"/>
              </w:rPr>
              <w:t>收费标准：</w:t>
            </w:r>
            <w:r>
              <w:rPr>
                <w:rFonts w:hint="eastAsia" w:ascii="仿宋" w:hAnsi="仿宋" w:eastAsia="仿宋" w:cs="仿宋"/>
                <w:sz w:val="24"/>
                <w:lang w:eastAsia="zh-CN"/>
              </w:rPr>
              <w:t>每个标段</w:t>
            </w:r>
            <w:r>
              <w:rPr>
                <w:rFonts w:hint="eastAsia" w:ascii="仿宋" w:hAnsi="仿宋" w:eastAsia="仿宋" w:cs="仿宋"/>
                <w:sz w:val="24"/>
              </w:rPr>
              <w:t>中标金额在100万以下部分为1.5%，服务费不足5000元的，中标人须向招标代理机构交纳5000元。</w:t>
            </w:r>
          </w:p>
          <w:p>
            <w:pPr>
              <w:rPr>
                <w:rFonts w:hint="eastAsia" w:ascii="仿宋" w:hAnsi="仿宋" w:eastAsia="仿宋" w:cs="仿宋"/>
                <w:sz w:val="24"/>
              </w:rPr>
            </w:pPr>
            <w:r>
              <w:rPr>
                <w:rFonts w:hint="eastAsia" w:ascii="仿宋" w:hAnsi="仿宋" w:eastAsia="仿宋" w:cs="仿宋"/>
                <w:sz w:val="24"/>
              </w:rPr>
              <w:t>（2）本次招标评审所产生的评审费用由中标单位</w:t>
            </w:r>
            <w:r>
              <w:rPr>
                <w:rFonts w:hint="eastAsia" w:ascii="仿宋" w:hAnsi="仿宋" w:eastAsia="仿宋" w:cs="仿宋"/>
                <w:sz w:val="24"/>
                <w:lang w:eastAsia="zh-CN"/>
              </w:rPr>
              <w:t>平均支付</w:t>
            </w:r>
            <w:r>
              <w:rPr>
                <w:rFonts w:hint="eastAsia" w:ascii="仿宋" w:hAnsi="仿宋" w:eastAsia="仿宋" w:cs="仿宋"/>
                <w:sz w:val="24"/>
              </w:rPr>
              <w:t>（备注：评审费不提供发票，只提供评委签收单据）。</w:t>
            </w:r>
          </w:p>
          <w:p>
            <w:pPr>
              <w:rPr>
                <w:rFonts w:ascii="仿宋" w:hAnsi="仿宋" w:eastAsia="仿宋" w:cs="仿宋"/>
                <w:sz w:val="24"/>
              </w:rPr>
            </w:pPr>
            <w:r>
              <w:rPr>
                <w:rFonts w:hint="eastAsia" w:ascii="仿宋" w:hAnsi="仿宋" w:eastAsia="仿宋" w:cs="仿宋"/>
                <w:sz w:val="24"/>
              </w:rPr>
              <w:t>中标服务费的交纳方式：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97"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643" w:type="dxa"/>
            <w:vAlign w:val="center"/>
          </w:tcPr>
          <w:p>
            <w:pPr>
              <w:spacing w:line="340" w:lineRule="exact"/>
              <w:rPr>
                <w:rFonts w:ascii="仿宋" w:hAnsi="仿宋" w:eastAsia="仿宋" w:cs="仿宋"/>
                <w:sz w:val="24"/>
              </w:rPr>
            </w:pPr>
            <w:r>
              <w:rPr>
                <w:rFonts w:hint="eastAsia" w:ascii="仿宋" w:hAnsi="仿宋" w:eastAsia="仿宋" w:cs="仿宋"/>
                <w:b/>
                <w:sz w:val="24"/>
              </w:rPr>
              <w:t>注：中标人放弃中标资格或因质疑、投诉被取消中标资格或不能履行合同的，本项目重新组织采购。</w:t>
            </w:r>
          </w:p>
        </w:tc>
      </w:tr>
    </w:tbl>
    <w:p>
      <w:pPr>
        <w:ind w:left="238"/>
        <w:jc w:val="center"/>
        <w:rPr>
          <w:rFonts w:ascii="仿宋" w:hAnsi="仿宋" w:eastAsia="仿宋" w:cs="仿宋"/>
          <w:sz w:val="24"/>
        </w:rPr>
      </w:pPr>
    </w:p>
    <w:p>
      <w:pPr>
        <w:pStyle w:val="20"/>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20"/>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snapToGrid w:val="0"/>
        <w:spacing w:line="288" w:lineRule="auto"/>
        <w:jc w:val="center"/>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 项目说明</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1.1本招标文件适用于该项目的招标、投标、开标、资格审查及信用信息查询、评标、定标、合同、验收等行为（法律、法规另有规定的，从其规定）。</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1.2投标人一旦参与本次招标活动，即被视为接受了本招标文件的所有内容，如有任何异议，均应在法定时间内提出。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1.4本招标文件所称公章是指单位法定名称章或者冠以法定名称的投标业务专用章。</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定义</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2.1政府采购当事人及监管部门：</w:t>
      </w:r>
      <w:r>
        <w:rPr>
          <w:rFonts w:hint="eastAsia" w:ascii="仿宋" w:hAnsi="仿宋" w:eastAsia="仿宋" w:cs="仿宋"/>
          <w:sz w:val="24"/>
          <w:lang w:eastAsia="zh-CN"/>
        </w:rPr>
        <w:t>绍兴市公安局</w:t>
      </w:r>
      <w:r>
        <w:rPr>
          <w:rFonts w:hint="eastAsia" w:ascii="仿宋" w:hAnsi="仿宋" w:eastAsia="仿宋" w:cs="仿宋"/>
          <w:color w:val="000000" w:themeColor="text1"/>
          <w:sz w:val="24"/>
          <w14:textFill>
            <w14:solidFill>
              <w14:schemeClr w14:val="tx1"/>
            </w14:solidFill>
          </w14:textFill>
        </w:rPr>
        <w:t>为本项目的采购人（合同中的甲方），耀华建设管理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2.3“产品”系指供方按招标文件规定，经合法途径取得的，须向采购人提供的一切产品、保险、税金、安装、施工、调试、备品备件、工具、手册及其它有关技术资料和材料。</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2.4“服务”系指招标文件规定投标人须承担的安装、调试、技术协助、校准、培训、技术指导以及其他类似的义务。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2.5“项目”系指投标人按招标文件规定向采购人提供的产品和服务。</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2.6“授权代表”系指法定代表人的被授权委托人。</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2.7“★”系指实质性指标要求条款，“▲” 系指主要性能指标条款。</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采购项目需要落实的政府采购政策</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 节能环保要求</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88" w:lineRule="auto"/>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3.2.2</w:t>
      </w:r>
      <w:r>
        <w:rPr>
          <w:rFonts w:hint="eastAsia" w:ascii="仿宋" w:hAnsi="仿宋" w:eastAsia="仿宋" w:cs="仿宋"/>
          <w:b/>
          <w:color w:val="000000" w:themeColor="text1"/>
          <w:sz w:val="24"/>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采购人拟采购的产品属于政府强制采购的节能产品品目清单范围的，投标人未按招标文件要求提供国家确定的认证机构出具的、处于有效期之内的节能产品认证证书，投标无效。</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w:t>
      </w:r>
      <w:r>
        <w:rPr>
          <w:rFonts w:hint="eastAsia" w:ascii="仿宋" w:hAnsi="仿宋" w:eastAsia="仿宋" w:cs="仿宋"/>
          <w:bCs/>
          <w:color w:val="000000" w:themeColor="text1"/>
          <w:sz w:val="24"/>
          <w14:textFill>
            <w14:solidFill>
              <w14:schemeClr w14:val="tx1"/>
            </w14:solidFill>
          </w14:textFill>
        </w:rPr>
        <w:t>小型、微型</w:t>
      </w:r>
      <w:r>
        <w:rPr>
          <w:rFonts w:hint="eastAsia" w:ascii="仿宋" w:hAnsi="仿宋" w:eastAsia="仿宋" w:cs="仿宋"/>
          <w:color w:val="000000" w:themeColor="text1"/>
          <w:sz w:val="24"/>
          <w14:textFill>
            <w14:solidFill>
              <w14:schemeClr w14:val="tx1"/>
            </w14:solidFill>
          </w14:textFill>
        </w:rPr>
        <w:t>企业价格扣除。</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w:t>
      </w:r>
      <w:r>
        <w:rPr>
          <w:rFonts w:hint="eastAsia" w:ascii="仿宋" w:hAnsi="仿宋" w:eastAsia="仿宋" w:cs="仿宋"/>
          <w:bCs/>
          <w:color w:val="000000" w:themeColor="text1"/>
          <w:sz w:val="24"/>
          <w14:textFill>
            <w14:solidFill>
              <w14:schemeClr w14:val="tx1"/>
            </w14:solidFill>
          </w14:textFill>
        </w:rPr>
        <w:t>小型、微型企业应当同时符合以下条件：</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（1）符合中小企业划分标准；</w:t>
      </w:r>
    </w:p>
    <w:p>
      <w:pPr>
        <w:spacing w:line="288" w:lineRule="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r>
        <w:rPr>
          <w:rFonts w:hint="eastAsia" w:ascii="仿宋" w:hAnsi="仿宋" w:eastAsia="仿宋" w:cs="仿宋"/>
          <w:b/>
          <w:bCs/>
          <w:color w:val="000000" w:themeColor="text1"/>
          <w:sz w:val="24"/>
          <w14:textFill>
            <w14:solidFill>
              <w14:schemeClr w14:val="tx1"/>
            </w14:solidFill>
          </w14:textFill>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3.3.2小型、微型企业应按照招标文件格式要求提供《中小企业声明函》。</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3.3.3对于非专门面向此类企业的项目，对小型和微型企业产品的投标价格给予6 %的扣除，用扣除后的价格参与评审。</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联合体各方均为小型、微型企业的，联合体视同为小型、微型企业。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3.3.5符合《关于促进残疾人就业政府采购政策的通知》（财库〔2017〕141号）规定的条件并提供《残疾人福利性单位声明函》（附件1）的残疾人福利性单位视同小型、微型企业；</w:t>
      </w:r>
    </w:p>
    <w:p>
      <w:pPr>
        <w:spacing w:line="288"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jc w:val="left"/>
        <w:rPr>
          <w:rFonts w:ascii="仿宋" w:hAnsi="仿宋" w:eastAsia="仿宋" w:cs="仿宋"/>
          <w:b/>
          <w:sz w:val="24"/>
        </w:rPr>
      </w:pPr>
    </w:p>
    <w:p>
      <w:pPr>
        <w:snapToGrid w:val="0"/>
        <w:spacing w:line="288" w:lineRule="auto"/>
        <w:jc w:val="center"/>
        <w:rPr>
          <w:rFonts w:ascii="仿宋" w:hAnsi="仿宋" w:eastAsia="仿宋" w:cs="仿宋"/>
          <w:b/>
          <w:sz w:val="24"/>
        </w:rPr>
      </w:pPr>
      <w:r>
        <w:rPr>
          <w:rFonts w:hint="eastAsia" w:ascii="仿宋" w:hAnsi="仿宋" w:eastAsia="仿宋" w:cs="仿宋"/>
          <w:b/>
          <w:sz w:val="36"/>
          <w:szCs w:val="36"/>
        </w:rPr>
        <w:t>二、招标文件</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1．招标方式</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本次招标采用</w:t>
      </w:r>
      <w:r>
        <w:rPr>
          <w:rFonts w:hint="eastAsia" w:ascii="仿宋" w:hAnsi="仿宋" w:eastAsia="仿宋" w:cs="仿宋"/>
          <w:b/>
          <w:color w:val="000000" w:themeColor="text1"/>
          <w:kern w:val="0"/>
          <w:sz w:val="24"/>
          <w14:textFill>
            <w14:solidFill>
              <w14:schemeClr w14:val="tx1"/>
            </w14:solidFill>
          </w14:textFill>
        </w:rPr>
        <w:t>公开招标</w:t>
      </w:r>
      <w:r>
        <w:rPr>
          <w:rFonts w:hint="eastAsia" w:ascii="仿宋" w:hAnsi="仿宋" w:eastAsia="仿宋" w:cs="仿宋"/>
          <w:color w:val="000000" w:themeColor="text1"/>
          <w:sz w:val="24"/>
          <w14:textFill>
            <w14:solidFill>
              <w14:schemeClr w14:val="tx1"/>
            </w14:solidFill>
          </w14:textFill>
        </w:rPr>
        <w:t>方式进行。</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如某一标项投标人或实质性响应招标文件的投标人不足三家时，由采购人重新组织招标或按有关规定实施。</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本次招标设定限价，即招标公告中公布的各标项预算金额或最高限价（各标项之间的预算金额不能互相调整）。</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投标委托</w:t>
      </w:r>
    </w:p>
    <w:p>
      <w:pPr>
        <w:pStyle w:val="12"/>
        <w:snapToGrid w:val="0"/>
        <w:spacing w:after="0" w:line="288" w:lineRule="auto"/>
        <w:ind w:left="0" w:leftChars="0" w:firstLine="480" w:firstLineChars="200"/>
        <w:jc w:val="left"/>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 投标费用</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4. 招标文件的修改</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4.1 </w:t>
      </w:r>
      <w:r>
        <w:rPr>
          <w:rFonts w:hint="eastAsia" w:ascii="仿宋" w:hAnsi="仿宋" w:eastAsia="仿宋" w:cs="仿宋"/>
          <w:bCs/>
          <w:color w:val="000000" w:themeColor="text1"/>
          <w:sz w:val="24"/>
          <w14:textFill>
            <w14:solidFill>
              <w14:schemeClr w14:val="tx1"/>
            </w14:solidFill>
          </w14:textFill>
        </w:rPr>
        <w:t>招标文件包括本招标文件及所有按6.2所述的招标答疑记录和6.3发出的补充通知</w:t>
      </w:r>
      <w:r>
        <w:rPr>
          <w:rFonts w:hint="eastAsia" w:ascii="仿宋" w:hAnsi="仿宋" w:eastAsia="仿宋" w:cs="仿宋"/>
          <w:color w:val="000000" w:themeColor="text1"/>
          <w:sz w:val="24"/>
          <w14:textFill>
            <w14:solidFill>
              <w14:schemeClr w14:val="tx1"/>
            </w14:solidFill>
          </w14:textFill>
        </w:rPr>
        <w:t>组成。</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4.2招标文件的澄清 </w:t>
      </w:r>
    </w:p>
    <w:p>
      <w:pPr>
        <w:pStyle w:val="8"/>
        <w:numPr>
          <w:ilvl w:val="0"/>
          <w:numId w:val="0"/>
        </w:num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4.3招标文件的修改</w:t>
      </w:r>
    </w:p>
    <w:p>
      <w:pPr>
        <w:pStyle w:val="8"/>
        <w:numPr>
          <w:ilvl w:val="0"/>
          <w:numId w:val="0"/>
        </w:num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5.参考品牌</w:t>
      </w:r>
    </w:p>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三、投标文件</w:t>
      </w:r>
    </w:p>
    <w:p>
      <w:pPr>
        <w:numPr>
          <w:ilvl w:val="0"/>
          <w:numId w:val="5"/>
        </w:numPr>
        <w:snapToGrid w:val="0"/>
        <w:spacing w:line="288" w:lineRule="auto"/>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288" w:lineRule="auto"/>
        <w:jc w:val="left"/>
        <w:rPr>
          <w:rFonts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snapToGrid w:val="0"/>
        <w:spacing w:line="288" w:lineRule="auto"/>
        <w:jc w:val="left"/>
        <w:rPr>
          <w:rFonts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snapToGrid w:val="0"/>
        <w:spacing w:line="288" w:lineRule="auto"/>
        <w:jc w:val="left"/>
        <w:rPr>
          <w:rFonts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snapToGrid w:val="0"/>
        <w:spacing w:line="288" w:lineRule="auto"/>
        <w:jc w:val="left"/>
        <w:rPr>
          <w:rFonts w:ascii="仿宋" w:hAnsi="仿宋" w:eastAsia="仿宋" w:cs="仿宋"/>
          <w:sz w:val="24"/>
        </w:rPr>
      </w:pPr>
      <w:r>
        <w:rPr>
          <w:rFonts w:hint="eastAsia" w:ascii="仿宋" w:hAnsi="仿宋" w:eastAsia="仿宋" w:cs="仿宋"/>
          <w:sz w:val="24"/>
        </w:rPr>
        <w:t>1.4不按招标文件的要求提供的投标文件可能导致被拒绝。</w:t>
      </w:r>
    </w:p>
    <w:p>
      <w:pPr>
        <w:snapToGrid w:val="0"/>
        <w:spacing w:line="288" w:lineRule="auto"/>
        <w:jc w:val="left"/>
        <w:rPr>
          <w:rFonts w:ascii="仿宋" w:hAnsi="仿宋" w:eastAsia="仿宋" w:cs="仿宋"/>
          <w:b/>
          <w:sz w:val="24"/>
        </w:rPr>
      </w:pPr>
      <w:r>
        <w:rPr>
          <w:rFonts w:hint="eastAsia" w:ascii="仿宋" w:hAnsi="仿宋" w:eastAsia="仿宋" w:cs="仿宋"/>
          <w:b/>
          <w:sz w:val="24"/>
        </w:rPr>
        <w:t>2. 投标文件的组成</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投标文件由“商务文件资料”、“技术文件资料”两部分组成：</w:t>
      </w:r>
    </w:p>
    <w:p>
      <w:pPr>
        <w:spacing w:line="288" w:lineRule="auto"/>
        <w:jc w:val="left"/>
        <w:rPr>
          <w:rFonts w:ascii="仿宋" w:hAnsi="仿宋" w:eastAsia="仿宋" w:cs="仿宋"/>
          <w:sz w:val="24"/>
        </w:rPr>
      </w:pPr>
      <w:r>
        <w:rPr>
          <w:rFonts w:hint="eastAsia" w:ascii="仿宋" w:hAnsi="仿宋" w:eastAsia="仿宋" w:cs="仿宋"/>
          <w:sz w:val="24"/>
        </w:rPr>
        <w:t>2.1 “商务文件资料”应至少包含以下内容（正本用原件）：</w:t>
      </w:r>
    </w:p>
    <w:p>
      <w:pPr>
        <w:spacing w:line="288" w:lineRule="auto"/>
        <w:jc w:val="left"/>
        <w:rPr>
          <w:rFonts w:ascii="仿宋" w:hAnsi="仿宋" w:eastAsia="仿宋" w:cs="仿宋"/>
          <w:sz w:val="24"/>
        </w:rPr>
      </w:pPr>
      <w:r>
        <w:rPr>
          <w:rFonts w:hint="eastAsia" w:ascii="仿宋" w:hAnsi="仿宋" w:eastAsia="仿宋" w:cs="仿宋"/>
          <w:sz w:val="24"/>
        </w:rPr>
        <w:t>2.1.1投标函（格式见第六部分附件）；</w:t>
      </w:r>
    </w:p>
    <w:p>
      <w:pPr>
        <w:spacing w:line="288" w:lineRule="auto"/>
        <w:jc w:val="left"/>
        <w:rPr>
          <w:rFonts w:ascii="仿宋" w:hAnsi="仿宋" w:eastAsia="仿宋" w:cs="仿宋"/>
          <w:sz w:val="24"/>
        </w:rPr>
      </w:pPr>
      <w:r>
        <w:rPr>
          <w:rFonts w:hint="eastAsia" w:ascii="仿宋" w:hAnsi="仿宋" w:eastAsia="仿宋" w:cs="仿宋"/>
          <w:sz w:val="24"/>
        </w:rPr>
        <w:t>2.1.2开标一览表（格式见第六部分附件）；</w:t>
      </w:r>
    </w:p>
    <w:p>
      <w:pPr>
        <w:spacing w:line="288" w:lineRule="auto"/>
        <w:jc w:val="left"/>
        <w:rPr>
          <w:rFonts w:ascii="仿宋" w:hAnsi="仿宋" w:eastAsia="仿宋" w:cs="仿宋"/>
          <w:sz w:val="24"/>
        </w:rPr>
      </w:pPr>
      <w:r>
        <w:rPr>
          <w:rFonts w:hint="eastAsia" w:ascii="仿宋" w:hAnsi="仿宋" w:eastAsia="仿宋" w:cs="仿宋"/>
          <w:sz w:val="24"/>
        </w:rPr>
        <w:t>2.1.3小微企业声明函及证明资料（如有，格式见第六部分附件）；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2.1.4残疾人福利性单位声明函（如有，格式见第六部分附件）。</w:t>
      </w:r>
    </w:p>
    <w:p>
      <w:pPr>
        <w:spacing w:line="288" w:lineRule="auto"/>
        <w:jc w:val="left"/>
        <w:rPr>
          <w:rFonts w:ascii="仿宋" w:hAnsi="仿宋" w:eastAsia="仿宋" w:cs="仿宋"/>
          <w:sz w:val="24"/>
        </w:rPr>
      </w:pPr>
      <w:r>
        <w:rPr>
          <w:rFonts w:hint="eastAsia" w:ascii="仿宋" w:hAnsi="仿宋" w:eastAsia="仿宋" w:cs="仿宋"/>
          <w:sz w:val="24"/>
        </w:rPr>
        <w:t>2.1.5投标人需要说明的其他文件和说明（格式自拟）。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288" w:lineRule="auto"/>
        <w:jc w:val="left"/>
        <w:rPr>
          <w:rFonts w:ascii="仿宋" w:hAnsi="仿宋" w:eastAsia="仿宋" w:cs="仿宋"/>
          <w:sz w:val="24"/>
        </w:rPr>
      </w:pPr>
      <w:r>
        <w:rPr>
          <w:rFonts w:hint="eastAsia" w:ascii="仿宋" w:hAnsi="仿宋" w:eastAsia="仿宋" w:cs="仿宋"/>
          <w:sz w:val="24"/>
        </w:rPr>
        <w:t>2.2 “技术文件资料”至少应包括以下内容（正本用原件）：</w:t>
      </w:r>
    </w:p>
    <w:p>
      <w:pPr>
        <w:spacing w:line="288" w:lineRule="auto"/>
        <w:jc w:val="left"/>
        <w:rPr>
          <w:rFonts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spacing w:line="288" w:lineRule="auto"/>
        <w:jc w:val="left"/>
        <w:rPr>
          <w:rFonts w:ascii="仿宋" w:hAnsi="仿宋" w:eastAsia="仿宋" w:cs="仿宋"/>
          <w:sz w:val="24"/>
        </w:rPr>
      </w:pPr>
      <w:r>
        <w:rPr>
          <w:rFonts w:hint="eastAsia" w:ascii="仿宋" w:hAnsi="仿宋" w:eastAsia="仿宋" w:cs="仿宋"/>
          <w:sz w:val="24"/>
        </w:rPr>
        <w:t>2.2.2授权代表社保证明（格式见第六部分附件）；</w:t>
      </w:r>
    </w:p>
    <w:p>
      <w:pPr>
        <w:spacing w:line="288" w:lineRule="auto"/>
        <w:jc w:val="left"/>
        <w:rPr>
          <w:rFonts w:ascii="仿宋" w:hAnsi="仿宋" w:eastAsia="仿宋" w:cs="仿宋"/>
          <w:sz w:val="24"/>
        </w:rPr>
      </w:pPr>
      <w:r>
        <w:rPr>
          <w:rFonts w:hint="eastAsia" w:ascii="仿宋" w:hAnsi="仿宋" w:eastAsia="仿宋" w:cs="仿宋"/>
          <w:sz w:val="24"/>
        </w:rPr>
        <w:t>2.2.3法定代表人身份证明书（格式见第六部分附件）；</w:t>
      </w:r>
    </w:p>
    <w:p>
      <w:pPr>
        <w:spacing w:line="288" w:lineRule="auto"/>
        <w:jc w:val="left"/>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spacing w:line="288" w:lineRule="auto"/>
        <w:jc w:val="left"/>
        <w:rPr>
          <w:rFonts w:ascii="仿宋" w:hAnsi="仿宋" w:eastAsia="仿宋" w:cs="仿宋"/>
          <w:sz w:val="24"/>
        </w:rPr>
      </w:pPr>
      <w:bookmarkStart w:id="0" w:name="_Hlt68072998"/>
      <w:bookmarkEnd w:id="0"/>
      <w:bookmarkStart w:id="1" w:name="_Hlt68073093"/>
      <w:bookmarkEnd w:id="1"/>
      <w:bookmarkStart w:id="2" w:name="_Hlt68403820"/>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288" w:lineRule="auto"/>
        <w:jc w:val="left"/>
        <w:rPr>
          <w:rFonts w:ascii="仿宋" w:hAnsi="仿宋" w:eastAsia="仿宋" w:cs="仿宋"/>
          <w:sz w:val="24"/>
        </w:rPr>
      </w:pPr>
      <w:r>
        <w:rPr>
          <w:rFonts w:hint="eastAsia" w:ascii="仿宋" w:hAnsi="仿宋" w:eastAsia="仿宋" w:cs="仿宋"/>
          <w:sz w:val="24"/>
        </w:rPr>
        <w:t>（2）2018年度资产负债表等财务报表资料文件(新成立的公司提供情况证明)；</w:t>
      </w:r>
    </w:p>
    <w:p>
      <w:pPr>
        <w:spacing w:line="288" w:lineRule="auto"/>
        <w:jc w:val="left"/>
        <w:rPr>
          <w:rFonts w:ascii="仿宋" w:hAnsi="仿宋" w:eastAsia="仿宋" w:cs="仿宋"/>
          <w:sz w:val="24"/>
        </w:rPr>
      </w:pPr>
      <w:r>
        <w:rPr>
          <w:rFonts w:hint="eastAsia" w:ascii="仿宋" w:hAnsi="仿宋" w:eastAsia="仿宋" w:cs="仿宋"/>
          <w:sz w:val="24"/>
        </w:rPr>
        <w:t>（3）具有履行合同所必需的设备和专业技术能力的承诺函；</w:t>
      </w:r>
    </w:p>
    <w:p>
      <w:pPr>
        <w:spacing w:line="288" w:lineRule="auto"/>
        <w:jc w:val="left"/>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spacing w:line="288" w:lineRule="auto"/>
        <w:jc w:val="left"/>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4"/>
        <w:snapToGrid w:val="0"/>
        <w:spacing w:line="288" w:lineRule="auto"/>
        <w:rPr>
          <w:rFonts w:ascii="仿宋" w:hAnsi="仿宋" w:eastAsia="仿宋" w:cs="仿宋"/>
          <w:sz w:val="24"/>
          <w:lang w:val="zh-CN"/>
        </w:rPr>
      </w:pPr>
      <w:r>
        <w:rPr>
          <w:rFonts w:hint="eastAsia" w:ascii="仿宋" w:hAnsi="仿宋" w:eastAsia="仿宋" w:cs="仿宋"/>
          <w:sz w:val="24"/>
        </w:rPr>
        <w:t>2.2.5</w:t>
      </w:r>
      <w:r>
        <w:rPr>
          <w:rFonts w:hint="eastAsia" w:ascii="仿宋" w:hAnsi="仿宋" w:eastAsia="仿宋" w:cs="仿宋"/>
          <w:sz w:val="24"/>
          <w:lang w:val="zh-CN"/>
        </w:rPr>
        <w:t>投标人应提供针对项目的完整技术解决方案：</w:t>
      </w:r>
    </w:p>
    <w:p>
      <w:pPr>
        <w:snapToGrid w:val="0"/>
        <w:spacing w:line="288" w:lineRule="auto"/>
        <w:ind w:firstLine="480" w:firstLineChars="200"/>
        <w:rPr>
          <w:rFonts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spacing w:line="288" w:lineRule="auto"/>
        <w:ind w:firstLine="482" w:firstLineChars="200"/>
        <w:jc w:val="left"/>
        <w:rPr>
          <w:rFonts w:ascii="仿宋" w:hAnsi="仿宋" w:eastAsia="仿宋" w:cs="仿宋"/>
          <w:sz w:val="24"/>
        </w:rPr>
      </w:pPr>
      <w:r>
        <w:rPr>
          <w:rFonts w:hint="eastAsia" w:ascii="仿宋" w:hAnsi="仿宋" w:eastAsia="仿宋" w:cs="仿宋"/>
          <w:b/>
          <w:sz w:val="24"/>
        </w:rPr>
        <w:t>如果本项目涉及硬件设备采购，还需提供相关设备完整配置方案（设备名称、品牌、规格型号、数量、主要技术参数等）</w:t>
      </w:r>
      <w:r>
        <w:rPr>
          <w:rFonts w:hint="eastAsia" w:ascii="仿宋" w:hAnsi="仿宋" w:eastAsia="仿宋" w:cs="仿宋"/>
          <w:sz w:val="24"/>
        </w:rPr>
        <w:t>，</w:t>
      </w:r>
      <w:r>
        <w:rPr>
          <w:rFonts w:hint="eastAsia" w:ascii="仿宋" w:hAnsi="仿宋" w:eastAsia="仿宋" w:cs="仿宋"/>
          <w:b/>
          <w:sz w:val="24"/>
        </w:rPr>
        <w:t>提供主要投标产品的技术参数证明材料（如原厂技术说明、官网截图、产品彩页等），</w:t>
      </w:r>
      <w:r>
        <w:rPr>
          <w:rFonts w:hint="eastAsia" w:ascii="仿宋" w:hAnsi="仿宋" w:eastAsia="仿宋" w:cs="仿宋"/>
          <w:sz w:val="24"/>
        </w:rPr>
        <w:t>明确表示该项指标所涉及的软硬件是标准配置还是选择配置</w:t>
      </w:r>
      <w:r>
        <w:rPr>
          <w:rFonts w:hint="eastAsia" w:ascii="仿宋" w:hAnsi="仿宋" w:eastAsia="仿宋" w:cs="仿宋"/>
          <w:b/>
          <w:sz w:val="24"/>
        </w:rPr>
        <w:t>（所有技术指标表述均应采用中文，如当前公布的技术指标只有英文表述的，必须由投标人作出中文注释，否则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spacing w:line="288" w:lineRule="auto"/>
        <w:jc w:val="left"/>
        <w:rPr>
          <w:rFonts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spacing w:line="288" w:lineRule="auto"/>
        <w:jc w:val="left"/>
        <w:rPr>
          <w:rFonts w:ascii="仿宋" w:hAnsi="仿宋" w:eastAsia="仿宋" w:cs="仿宋"/>
          <w:sz w:val="24"/>
        </w:rPr>
      </w:pPr>
      <w:r>
        <w:rPr>
          <w:rFonts w:hint="eastAsia" w:ascii="仿宋" w:hAnsi="仿宋" w:eastAsia="仿宋" w:cs="仿宋"/>
          <w:sz w:val="24"/>
        </w:rPr>
        <w:t>2.2.7技术服务、售后服务的内容和措施、技术培训，距招标人最近的服务网点的详细介绍，包括资质资格、技术力量、工作业绩、服务内容及承诺；</w:t>
      </w:r>
    </w:p>
    <w:p>
      <w:pPr>
        <w:spacing w:line="288" w:lineRule="auto"/>
        <w:jc w:val="left"/>
        <w:rPr>
          <w:rFonts w:ascii="仿宋" w:hAnsi="仿宋" w:eastAsia="仿宋" w:cs="仿宋"/>
          <w:sz w:val="24"/>
        </w:rPr>
      </w:pPr>
      <w:r>
        <w:rPr>
          <w:rFonts w:hint="eastAsia" w:ascii="仿宋" w:hAnsi="仿宋" w:eastAsia="仿宋" w:cs="仿宋"/>
          <w:sz w:val="24"/>
        </w:rPr>
        <w:t>2.2.8优惠条件：投标人承诺给予招标人的各种优惠条件，包括设备价格、运输、保险、安装调试、付款条件、技术服务、售后服务等方面的优惠；当优惠条件涉及“报价单”中的各项费用时，必须与投标价格相统一；（如有）</w:t>
      </w:r>
    </w:p>
    <w:p>
      <w:pPr>
        <w:spacing w:line="288" w:lineRule="auto"/>
        <w:jc w:val="left"/>
        <w:rPr>
          <w:rFonts w:ascii="仿宋" w:hAnsi="仿宋" w:eastAsia="仿宋" w:cs="仿宋"/>
          <w:sz w:val="24"/>
        </w:rPr>
      </w:pPr>
      <w:r>
        <w:rPr>
          <w:rFonts w:hint="eastAsia" w:ascii="仿宋" w:hAnsi="仿宋" w:eastAsia="仿宋" w:cs="仿宋"/>
          <w:sz w:val="24"/>
        </w:rPr>
        <w:t>2.2.9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pacing w:line="288" w:lineRule="auto"/>
        <w:jc w:val="left"/>
        <w:rPr>
          <w:rFonts w:ascii="仿宋" w:hAnsi="仿宋" w:eastAsia="仿宋" w:cs="仿宋"/>
          <w:sz w:val="24"/>
        </w:rPr>
      </w:pPr>
      <w:r>
        <w:rPr>
          <w:rFonts w:hint="eastAsia" w:ascii="仿宋" w:hAnsi="仿宋" w:eastAsia="仿宋" w:cs="仿宋"/>
          <w:sz w:val="24"/>
        </w:rPr>
        <w:t>2.2.10投标人情况介绍；</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2.2.11投标承诺书（格式见第六部分附件）；</w:t>
      </w:r>
    </w:p>
    <w:p>
      <w:pPr>
        <w:snapToGrid w:val="0"/>
        <w:spacing w:line="288" w:lineRule="auto"/>
        <w:jc w:val="left"/>
        <w:rPr>
          <w:rFonts w:ascii="仿宋" w:hAnsi="仿宋" w:eastAsia="仿宋" w:cs="仿宋"/>
          <w:sz w:val="24"/>
        </w:rPr>
      </w:pPr>
      <w:r>
        <w:rPr>
          <w:rFonts w:hint="eastAsia" w:ascii="仿宋" w:hAnsi="仿宋" w:eastAsia="仿宋" w:cs="仿宋"/>
          <w:sz w:val="24"/>
        </w:rPr>
        <w:t>2.2.12</w:t>
      </w:r>
      <w:r>
        <w:rPr>
          <w:rFonts w:hint="eastAsia" w:ascii="仿宋" w:hAnsi="仿宋" w:eastAsia="仿宋" w:cs="仿宋"/>
          <w:sz w:val="24"/>
          <w:u w:val="wave"/>
        </w:rPr>
        <w:t>未尽事宜请各投标单位按相对应标项相关要求制作(重要)</w:t>
      </w:r>
      <w:r>
        <w:rPr>
          <w:rFonts w:hint="eastAsia" w:ascii="仿宋" w:hAnsi="仿宋" w:eastAsia="仿宋" w:cs="仿宋"/>
          <w:sz w:val="24"/>
        </w:rPr>
        <w:t>；</w:t>
      </w:r>
    </w:p>
    <w:p>
      <w:pPr>
        <w:widowControl/>
        <w:snapToGrid w:val="0"/>
        <w:spacing w:line="288" w:lineRule="auto"/>
        <w:jc w:val="left"/>
        <w:rPr>
          <w:rFonts w:ascii="仿宋" w:hAnsi="仿宋" w:eastAsia="仿宋" w:cs="仿宋"/>
          <w:sz w:val="24"/>
        </w:rPr>
      </w:pPr>
      <w:r>
        <w:rPr>
          <w:rFonts w:hint="eastAsia" w:ascii="仿宋" w:hAnsi="仿宋" w:eastAsia="仿宋" w:cs="仿宋"/>
          <w:sz w:val="24"/>
        </w:rPr>
        <w:t>2.2.13投标人需要说明的其他文件和说明（格式自拟）。</w:t>
      </w:r>
    </w:p>
    <w:p>
      <w:pPr>
        <w:spacing w:line="288" w:lineRule="auto"/>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288" w:lineRule="auto"/>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288" w:lineRule="auto"/>
        <w:jc w:val="left"/>
        <w:rPr>
          <w:rFonts w:ascii="仿宋" w:hAnsi="仿宋" w:eastAsia="仿宋" w:cs="仿宋"/>
          <w:b/>
          <w:sz w:val="24"/>
        </w:rPr>
      </w:pPr>
      <w:r>
        <w:rPr>
          <w:rFonts w:hint="eastAsia" w:ascii="仿宋" w:hAnsi="仿宋" w:eastAsia="仿宋" w:cs="仿宋"/>
          <w:b/>
          <w:sz w:val="24"/>
        </w:rPr>
        <w:t>注：复印件应加盖投标人公章</w:t>
      </w:r>
    </w:p>
    <w:p>
      <w:pPr>
        <w:spacing w:line="288" w:lineRule="auto"/>
        <w:jc w:val="left"/>
        <w:rPr>
          <w:rFonts w:ascii="仿宋" w:hAnsi="仿宋" w:eastAsia="仿宋" w:cs="仿宋"/>
          <w:b/>
          <w:sz w:val="24"/>
        </w:rPr>
      </w:pPr>
      <w:r>
        <w:rPr>
          <w:rFonts w:hint="eastAsia" w:ascii="仿宋" w:hAnsi="仿宋" w:eastAsia="仿宋" w:cs="仿宋"/>
          <w:b/>
          <w:sz w:val="24"/>
        </w:rPr>
        <w:t>3. 投标报价</w:t>
      </w:r>
    </w:p>
    <w:p>
      <w:pPr>
        <w:pStyle w:val="14"/>
        <w:spacing w:line="288" w:lineRule="auto"/>
        <w:jc w:val="left"/>
        <w:rPr>
          <w:rFonts w:ascii="仿宋" w:hAnsi="仿宋" w:eastAsia="仿宋" w:cs="仿宋"/>
          <w:sz w:val="24"/>
        </w:rPr>
      </w:pPr>
      <w:r>
        <w:rPr>
          <w:rFonts w:hint="eastAsia" w:ascii="仿宋" w:hAnsi="仿宋" w:eastAsia="仿宋" w:cs="仿宋"/>
          <w:sz w:val="24"/>
        </w:rPr>
        <w:t>3.1投标人应按招标文件中《开标一览表》等附表要求填写。</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spacing w:line="288" w:lineRule="auto"/>
        <w:jc w:val="left"/>
        <w:rPr>
          <w:rFonts w:ascii="仿宋" w:hAnsi="仿宋" w:eastAsia="仿宋" w:cs="仿宋"/>
          <w:sz w:val="24"/>
          <w:szCs w:val="24"/>
        </w:rPr>
      </w:pPr>
      <w:r>
        <w:rPr>
          <w:rFonts w:hint="eastAsia" w:ascii="仿宋" w:hAnsi="仿宋" w:eastAsia="仿宋" w:cs="仿宋"/>
          <w:sz w:val="24"/>
          <w:szCs w:val="24"/>
        </w:rPr>
        <w:t>3.3招标文件未列明，而投标人认为必需的费用也需列入报价。</w:t>
      </w:r>
    </w:p>
    <w:p>
      <w:pPr>
        <w:tabs>
          <w:tab w:val="left" w:pos="525"/>
        </w:tabs>
        <w:spacing w:line="288" w:lineRule="auto"/>
        <w:jc w:val="left"/>
        <w:rPr>
          <w:rFonts w:ascii="仿宋" w:hAnsi="仿宋" w:eastAsia="仿宋" w:cs="仿宋"/>
          <w:sz w:val="24"/>
        </w:rPr>
      </w:pPr>
      <w:r>
        <w:rPr>
          <w:rFonts w:hint="eastAsia" w:ascii="仿宋" w:hAnsi="仿宋" w:eastAsia="仿宋" w:cs="仿宋"/>
          <w:b/>
          <w:i/>
          <w:sz w:val="24"/>
        </w:rPr>
        <w:t>3.5投标报价只允许有一个报价，有选择的报价将不予接受（除指定外）。</w:t>
      </w:r>
    </w:p>
    <w:p>
      <w:pPr>
        <w:pStyle w:val="8"/>
        <w:numPr>
          <w:ilvl w:val="0"/>
          <w:numId w:val="0"/>
        </w:numPr>
        <w:tabs>
          <w:tab w:val="clear" w:pos="360"/>
        </w:tabs>
        <w:spacing w:line="288" w:lineRule="auto"/>
        <w:rPr>
          <w:rFonts w:ascii="仿宋" w:hAnsi="仿宋" w:eastAsia="仿宋" w:cs="仿宋"/>
          <w:b/>
          <w:sz w:val="24"/>
        </w:rPr>
      </w:pPr>
      <w:r>
        <w:rPr>
          <w:rFonts w:hint="eastAsia" w:ascii="仿宋" w:hAnsi="仿宋" w:eastAsia="仿宋" w:cs="仿宋"/>
          <w:b/>
          <w:sz w:val="24"/>
        </w:rPr>
        <w:t>4.投标文件的有效期</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4.1自投标截止日起45天投标书应保持有效。如采购人认为必要，可延长至总计最长不超过60天。有效期短于这个规定期限的投标将被拒绝。</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4.2在特殊情况下，招标人可与投标人协商延长投标书的有效期，这种要求和答复均以书面形式进行。</w:t>
      </w:r>
    </w:p>
    <w:p>
      <w:pPr>
        <w:pStyle w:val="8"/>
        <w:numPr>
          <w:ilvl w:val="0"/>
          <w:numId w:val="0"/>
        </w:numPr>
        <w:tabs>
          <w:tab w:val="left" w:pos="454"/>
        </w:tabs>
        <w:adjustRightInd/>
        <w:spacing w:line="288" w:lineRule="auto"/>
        <w:rPr>
          <w:rFonts w:ascii="仿宋" w:hAnsi="仿宋" w:eastAsia="仿宋" w:cs="仿宋"/>
          <w:sz w:val="24"/>
        </w:rPr>
      </w:pPr>
      <w:r>
        <w:rPr>
          <w:rFonts w:hint="eastAsia" w:ascii="仿宋" w:hAnsi="仿宋" w:eastAsia="仿宋" w:cs="仿宋"/>
          <w:sz w:val="24"/>
        </w:rPr>
        <w:t>4.3投标人可拒绝接受延期要求，同意延长有效期的投标人不能修改投标文件。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5.投标文件的份数和规定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5.1投标文件的正本需打印或用不褪色的墨水填写，不允许行间插字，并注明“正本”字样，投标文件正本除本招标须知中规定的可提供复印件外均须提供原件。副本为正本的复印件。</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5.2投标文件由“技术文件资料”和“商务文件资料”两部分文件组成，应按统一格式填写，装订成册。并在封面处明确注明“技术文件资料”或“商务文件资料”。</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5.3投标文件一式五份，其中正本一份，副本四份。</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5.4投标文件须由投标人在规定位置盖章并由法定代表人或其授权代表签署，投标人应写全称。</w:t>
      </w:r>
    </w:p>
    <w:p>
      <w:pPr>
        <w:pStyle w:val="14"/>
        <w:adjustRightInd/>
        <w:spacing w:line="288" w:lineRule="auto"/>
        <w:jc w:val="left"/>
        <w:rPr>
          <w:rFonts w:ascii="仿宋" w:hAnsi="仿宋" w:eastAsia="仿宋" w:cs="仿宋"/>
          <w:sz w:val="24"/>
          <w:szCs w:val="24"/>
        </w:rPr>
      </w:pPr>
      <w:r>
        <w:rPr>
          <w:rFonts w:hint="eastAsia" w:ascii="仿宋" w:hAnsi="仿宋" w:eastAsia="仿宋" w:cs="仿宋"/>
          <w:sz w:val="24"/>
          <w:szCs w:val="24"/>
        </w:rPr>
        <w:t>5.5投标文件不得涂改，若有修改错漏处，须加盖单位公章或者法定代表人或其授权代表签字或盖章。</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5.6投标文件因字迹潦草或表达不清所引起的后果由投标人负责。</w:t>
      </w:r>
    </w:p>
    <w:p>
      <w:pPr>
        <w:adjustRightInd/>
        <w:spacing w:line="288" w:lineRule="auto"/>
        <w:jc w:val="left"/>
        <w:rPr>
          <w:rFonts w:ascii="仿宋" w:hAnsi="仿宋" w:eastAsia="仿宋" w:cs="仿宋"/>
          <w:sz w:val="24"/>
        </w:rPr>
      </w:pPr>
      <w:r>
        <w:rPr>
          <w:rFonts w:hint="eastAsia" w:ascii="仿宋" w:hAnsi="仿宋" w:eastAsia="仿宋" w:cs="仿宋"/>
          <w:sz w:val="24"/>
        </w:rPr>
        <w:t>5.7投标人应认真阅读招标文件中所有的内容。如果投标人编制的投标文件实质上不响应招标文件的要求，其投标文件将被招标人拒绝。</w:t>
      </w:r>
    </w:p>
    <w:p>
      <w:pPr>
        <w:adjustRightInd/>
        <w:spacing w:line="288" w:lineRule="auto"/>
        <w:jc w:val="left"/>
        <w:rPr>
          <w:rFonts w:ascii="仿宋" w:hAnsi="仿宋" w:eastAsia="仿宋" w:cs="仿宋"/>
          <w:sz w:val="24"/>
        </w:rPr>
      </w:pPr>
      <w:r>
        <w:rPr>
          <w:rFonts w:hint="eastAsia" w:ascii="仿宋" w:hAnsi="仿宋" w:eastAsia="仿宋" w:cs="仿宋"/>
          <w:sz w:val="24"/>
        </w:rPr>
        <w:t>5.8投标文件建议采用A4幅面，按顺序统一编目编码装订成册。提倡双面打印。</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 投标文件的密封、盖章和签署</w:t>
      </w:r>
    </w:p>
    <w:p>
      <w:pPr>
        <w:pStyle w:val="14"/>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288" w:lineRule="auto"/>
        <w:rPr>
          <w:rFonts w:ascii="仿宋" w:hAnsi="仿宋" w:eastAsia="仿宋" w:cs="仿宋"/>
          <w:b/>
          <w:kern w:val="0"/>
          <w:sz w:val="24"/>
        </w:rPr>
      </w:pPr>
      <w:r>
        <w:rPr>
          <w:rFonts w:hint="eastAsia" w:ascii="仿宋" w:hAnsi="仿宋" w:eastAsia="仿宋" w:cs="仿宋"/>
          <w:b/>
          <w:sz w:val="24"/>
        </w:rPr>
        <w:t>7．</w:t>
      </w:r>
      <w:r>
        <w:rPr>
          <w:rFonts w:hint="eastAsia" w:ascii="仿宋" w:hAnsi="仿宋" w:eastAsia="仿宋" w:cs="仿宋"/>
          <w:b/>
          <w:kern w:val="0"/>
          <w:sz w:val="24"/>
        </w:rPr>
        <w:t>投标文件的补充和修改</w:t>
      </w:r>
    </w:p>
    <w:p>
      <w:pPr>
        <w:widowControl/>
        <w:adjustRightInd/>
        <w:snapToGrid w:val="0"/>
        <w:spacing w:line="288" w:lineRule="auto"/>
        <w:ind w:firstLine="480" w:firstLineChars="200"/>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pStyle w:val="31"/>
        <w:spacing w:line="288" w:lineRule="auto"/>
        <w:rPr>
          <w:rFonts w:ascii="仿宋" w:hAnsi="仿宋" w:eastAsia="仿宋" w:cs="仿宋"/>
        </w:rPr>
      </w:pPr>
    </w:p>
    <w:p>
      <w:pPr>
        <w:adjustRightInd/>
        <w:spacing w:line="288" w:lineRule="auto"/>
        <w:jc w:val="center"/>
        <w:rPr>
          <w:rFonts w:ascii="仿宋" w:hAnsi="仿宋" w:eastAsia="仿宋" w:cs="仿宋"/>
          <w:b/>
          <w:sz w:val="32"/>
          <w:szCs w:val="32"/>
        </w:rPr>
      </w:pPr>
      <w:r>
        <w:rPr>
          <w:rFonts w:hint="eastAsia" w:ascii="仿宋" w:hAnsi="仿宋" w:eastAsia="仿宋" w:cs="仿宋"/>
          <w:b/>
          <w:sz w:val="32"/>
          <w:szCs w:val="32"/>
        </w:rPr>
        <w:t>四、开标和评标</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288"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360" w:lineRule="auto"/>
        <w:jc w:val="left"/>
        <w:rPr>
          <w:rFonts w:ascii="仿宋" w:hAnsi="仿宋" w:eastAsia="仿宋"/>
          <w:b/>
          <w:bCs/>
          <w:sz w:val="24"/>
          <w:szCs w:val="24"/>
        </w:rPr>
      </w:pPr>
      <w:r>
        <w:rPr>
          <w:rFonts w:ascii="仿宋" w:hAnsi="仿宋" w:eastAsia="仿宋" w:cs="仿宋"/>
          <w:b/>
          <w:bCs/>
          <w:sz w:val="24"/>
          <w:szCs w:val="24"/>
        </w:rPr>
        <w:t>4</w:t>
      </w:r>
      <w:r>
        <w:rPr>
          <w:rFonts w:hint="eastAsia" w:ascii="仿宋" w:hAnsi="仿宋" w:eastAsia="仿宋" w:cs="仿宋"/>
          <w:b/>
          <w:bCs/>
          <w:sz w:val="24"/>
          <w:szCs w:val="24"/>
        </w:rPr>
        <w:t>．开标大会程序</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4.4 评标委员会对技术标进行符合性评审。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4.5 由唱读人当众宣读通过技术标符合性评审的投标人名称，启封投标文件（商务标），宣读投标价格和投标文件的其他内容。未宣读的投标报价和招标文件未允许提供的备选投标方案等实质性内容，评标时不予承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4.6 唱读结束后，参加开标会的法定代表人或其授权代表应对唱读的内容和记录结果进行校核和签字确认。</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4.7 评标委员会对商务标进行符合性评审。</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4.8 评标委员会根据投标报价从低到高确定中标候选人。</w:t>
      </w:r>
    </w:p>
    <w:p>
      <w:pPr>
        <w:adjustRightInd/>
        <w:snapToGrid w:val="0"/>
        <w:spacing w:line="288" w:lineRule="auto"/>
        <w:jc w:val="left"/>
        <w:rPr>
          <w:rFonts w:hint="eastAsia" w:ascii="仿宋" w:hAnsi="仿宋" w:eastAsia="仿宋" w:cs="仿宋"/>
          <w:sz w:val="24"/>
        </w:rPr>
      </w:pPr>
      <w:r>
        <w:rPr>
          <w:rFonts w:hint="eastAsia" w:ascii="仿宋" w:hAnsi="仿宋" w:eastAsia="仿宋" w:cs="仿宋"/>
          <w:sz w:val="24"/>
        </w:rPr>
        <w:t>4.9 主持人向投标单位公布评标结果。</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5．评标</w:t>
      </w:r>
    </w:p>
    <w:p>
      <w:pPr>
        <w:adjustRightInd/>
        <w:spacing w:line="288"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288"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adjustRightInd/>
        <w:spacing w:line="288"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288"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288"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288"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288"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288"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288" w:lineRule="auto"/>
        <w:jc w:val="left"/>
        <w:rPr>
          <w:rFonts w:ascii="仿宋" w:hAnsi="仿宋" w:eastAsia="仿宋" w:cs="仿宋"/>
          <w:sz w:val="24"/>
        </w:rPr>
      </w:pPr>
      <w:r>
        <w:rPr>
          <w:rFonts w:hint="eastAsia" w:ascii="仿宋" w:hAnsi="仿宋" w:eastAsia="仿宋" w:cs="仿宋"/>
          <w:sz w:val="24"/>
        </w:rPr>
        <w:t>6.2符合性审查</w:t>
      </w:r>
    </w:p>
    <w:p>
      <w:pPr>
        <w:adjustRightInd/>
        <w:spacing w:line="288"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288"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288"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p>
    <w:p>
      <w:pPr>
        <w:adjustRightInd/>
        <w:spacing w:line="288"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288"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288"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288"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288"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288" w:lineRule="auto"/>
        <w:jc w:val="left"/>
        <w:rPr>
          <w:rFonts w:hint="eastAsia" w:ascii="仿宋" w:hAnsi="仿宋" w:eastAsia="仿宋" w:cs="仿宋"/>
          <w:b/>
          <w:sz w:val="24"/>
        </w:rPr>
      </w:pPr>
      <w:r>
        <w:rPr>
          <w:rFonts w:hint="eastAsia" w:ascii="仿宋" w:hAnsi="仿宋" w:eastAsia="仿宋" w:cs="仿宋"/>
          <w:b/>
          <w:sz w:val="24"/>
        </w:rPr>
        <w:t>8.投标文件的评审、比较和否决</w:t>
      </w:r>
    </w:p>
    <w:p>
      <w:pPr>
        <w:adjustRightInd/>
        <w:spacing w:line="288" w:lineRule="auto"/>
        <w:jc w:val="left"/>
        <w:rPr>
          <w:rFonts w:hint="eastAsia"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288" w:lineRule="auto"/>
        <w:jc w:val="left"/>
        <w:rPr>
          <w:rFonts w:hint="eastAsia"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288" w:lineRule="auto"/>
        <w:jc w:val="left"/>
        <w:rPr>
          <w:rFonts w:hint="eastAsia"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288" w:lineRule="auto"/>
        <w:jc w:val="left"/>
        <w:rPr>
          <w:rFonts w:hint="eastAsia" w:ascii="仿宋" w:hAnsi="仿宋" w:eastAsia="仿宋" w:cs="仿宋"/>
          <w:sz w:val="24"/>
        </w:rPr>
      </w:pPr>
      <w:r>
        <w:rPr>
          <w:rFonts w:hint="eastAsia" w:ascii="仿宋" w:hAnsi="仿宋" w:eastAsia="仿宋" w:cs="仿宋"/>
          <w:sz w:val="24"/>
        </w:rPr>
        <w:t>8.5评标委员会依据招标文件规定的评标标准和方法，对投标文件进行评审和比较，提供书面评标报告，并按报价从低到高推荐中标候选供应商。</w:t>
      </w:r>
    </w:p>
    <w:p>
      <w:pPr>
        <w:pStyle w:val="14"/>
        <w:adjustRightInd/>
        <w:snapToGrid w:val="0"/>
        <w:spacing w:line="288"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288" w:lineRule="auto"/>
        <w:ind w:firstLine="480" w:firstLineChars="200"/>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10．无效投标的情形</w:t>
      </w:r>
    </w:p>
    <w:p>
      <w:pPr>
        <w:tabs>
          <w:tab w:val="left" w:pos="4085"/>
        </w:tabs>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投标文件有下列情形之一的作无效投标处理：</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10.1未按照招标文件规定要求密封封装、签署、盖章、装订、份数不足的；</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10.2单位负责人为同一人或者存在直接控股、管理关系的不同供应商参加同一合同项下的政府采购活动的（均无效）；</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10.3为采购项目提供整体设计、规范编制或者项目管理、监理、检测等服务的供应商再参加该采购项目的其他采购活动的； </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10.4投标人不具备招标文件中规定的资格要求的（投标人未提供有效的资格证明文件的，视为投标人不具备招标文件中规定的资格要求）；</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10.5授权代表</w:t>
      </w:r>
      <w:r>
        <w:rPr>
          <w:rFonts w:hint="eastAsia" w:ascii="仿宋" w:hAnsi="仿宋" w:eastAsia="仿宋" w:cs="仿宋"/>
          <w:b/>
          <w:color w:val="000000" w:themeColor="text1"/>
          <w:kern w:val="0"/>
          <w:sz w:val="24"/>
          <w14:textFill>
            <w14:solidFill>
              <w14:schemeClr w14:val="tx1"/>
            </w14:solidFill>
          </w14:textFill>
        </w:rPr>
        <w:t>无《法定代表人授权委托书》或</w:t>
      </w:r>
      <w:r>
        <w:rPr>
          <w:rFonts w:hint="eastAsia" w:ascii="仿宋" w:hAnsi="仿宋" w:eastAsia="仿宋" w:cs="仿宋"/>
          <w:b/>
          <w:color w:val="000000" w:themeColor="text1"/>
          <w:sz w:val="24"/>
          <w14:textFill>
            <w14:solidFill>
              <w14:schemeClr w14:val="tx1"/>
            </w14:solidFill>
          </w14:textFill>
        </w:rPr>
        <w:t>未能出具身份证明的</w:t>
      </w:r>
      <w:r>
        <w:rPr>
          <w:rFonts w:hint="eastAsia" w:ascii="仿宋" w:hAnsi="仿宋" w:eastAsia="仿宋" w:cs="仿宋"/>
          <w:b/>
          <w:color w:val="000000" w:themeColor="text1"/>
          <w:kern w:val="0"/>
          <w:sz w:val="24"/>
          <w14:textFill>
            <w14:solidFill>
              <w14:schemeClr w14:val="tx1"/>
            </w14:solidFill>
          </w14:textFill>
        </w:rPr>
        <w:t>；</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10.7授权代表非投标单位正式职工的（以社保证明为准，如授权代表为离退休返聘人员的，需提供退休证明及单位聘用证明），法定代表人参加开标会及个体工商户除外；</w:t>
      </w:r>
    </w:p>
    <w:p>
      <w:pPr>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10.8参加开标会的个体工商户提供的身份证明与营业执照不一致的；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10.9投标文件中的投标函未加盖投标人的企业公章或填写不全的；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10.10</w:t>
      </w:r>
      <w:r>
        <w:rPr>
          <w:rFonts w:hint="eastAsia" w:ascii="仿宋" w:hAnsi="仿宋" w:eastAsia="仿宋" w:cs="仿宋"/>
          <w:b/>
          <w:color w:val="000000" w:themeColor="text1"/>
          <w:sz w:val="24"/>
          <w14:textFill>
            <w14:solidFill>
              <w14:schemeClr w14:val="tx1"/>
            </w14:solidFill>
          </w14:textFill>
        </w:rPr>
        <w:t>投标人递交两份或两份以上内容不同的投标书，且未声明哪一份有效的；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10.11</w:t>
      </w:r>
      <w:r>
        <w:rPr>
          <w:rFonts w:hint="eastAsia" w:ascii="仿宋" w:hAnsi="仿宋" w:eastAsia="仿宋" w:cs="仿宋"/>
          <w:b/>
          <w:color w:val="000000" w:themeColor="text1"/>
          <w:sz w:val="24"/>
          <w14:textFill>
            <w14:solidFill>
              <w14:schemeClr w14:val="tx1"/>
            </w14:solidFill>
          </w14:textFill>
        </w:rPr>
        <w:t>报价一经涂改，未在涂改处加盖投标单位公章或者未经法定代表人或其授权代表签字或盖章的；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10.12</w:t>
      </w:r>
      <w:r>
        <w:rPr>
          <w:rFonts w:hint="eastAsia" w:ascii="仿宋" w:hAnsi="仿宋" w:eastAsia="仿宋" w:cs="仿宋"/>
          <w:b/>
          <w:color w:val="000000" w:themeColor="text1"/>
          <w:sz w:val="24"/>
          <w14:textFill>
            <w14:solidFill>
              <w14:schemeClr w14:val="tx1"/>
            </w14:solidFill>
          </w14:textFill>
        </w:rPr>
        <w:t>因未按招标文件规定的格式填写，或对招标服务或技术或产品等要求未详细应答或应答内容不全、有缺失的,经评标委员会认定为无法评审的；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10.13出现同一标的物或本次招标产品(服务)内的主要产品(重要组成部分)出现技术、商务描述不一致或前后描述不一致，经评标委员会认定后为无法评审的；</w:t>
      </w:r>
    </w:p>
    <w:p>
      <w:pPr>
        <w:pStyle w:val="14"/>
        <w:snapToGrid w:val="0"/>
        <w:spacing w:line="288" w:lineRule="auto"/>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10.14投标详细配置清单响应表不真实填写或弄虚作假的；</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10.15</w:t>
      </w:r>
      <w:r>
        <w:rPr>
          <w:rFonts w:hint="eastAsia" w:ascii="仿宋" w:hAnsi="仿宋" w:eastAsia="仿宋" w:cs="仿宋"/>
          <w:b/>
          <w:color w:val="000000" w:themeColor="text1"/>
          <w:kern w:val="0"/>
          <w:sz w:val="24"/>
          <w14:textFill>
            <w14:solidFill>
              <w14:schemeClr w14:val="tx1"/>
            </w14:solidFill>
          </w14:textFill>
        </w:rPr>
        <w:t>投标文件含有采购人不能接受的附加条件；</w:t>
      </w:r>
    </w:p>
    <w:p>
      <w:pPr>
        <w:tabs>
          <w:tab w:val="left" w:pos="3870"/>
          <w:tab w:val="left" w:pos="4085"/>
        </w:tabs>
        <w:snapToGrid w:val="0"/>
        <w:spacing w:line="288" w:lineRule="auto"/>
        <w:jc w:val="lef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kern w:val="0"/>
          <w:sz w:val="24"/>
          <w14:textFill>
            <w14:solidFill>
              <w14:schemeClr w14:val="tx1"/>
            </w14:solidFill>
          </w14:textFill>
        </w:rPr>
        <w:t>10.16</w:t>
      </w:r>
      <w:r>
        <w:rPr>
          <w:rFonts w:hint="eastAsia" w:ascii="仿宋" w:hAnsi="仿宋" w:eastAsia="仿宋" w:cs="仿宋"/>
          <w:b/>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10.17报价超过招标文件中规定的预算金额或最高限价的；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10.18投标文件“技术文件资料”部分中出现《开标一览表》或《投标报价明细表》相关内容的；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10.19采购人拟采购的产品属于政府强制采购的节能产品品目清单范围的，投标人未按招标文件要求提供国家确定的认证机构出具的、处于有效期之内的节能产品认证证书的；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10.20《投标（开标）一览表》填写不完整或字迹不能辨认或有漏项的；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10.21投标人对根据修正原则修正后的报价不确认的；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10.22投标人提供虚假材料投标的（包括但不限于以下情节）；</w:t>
      </w:r>
    </w:p>
    <w:p>
      <w:pPr>
        <w:tabs>
          <w:tab w:val="left" w:pos="3870"/>
          <w:tab w:val="left" w:pos="4085"/>
        </w:tabs>
        <w:snapToGrid w:val="0"/>
        <w:spacing w:line="288" w:lineRule="auto"/>
        <w:ind w:firstLine="470" w:firstLineChars="19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10.22.1使用伪造、变造的许可证件；</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10.22.2提供虚假的财务状况或者业绩；</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10.22.3提供虚假的项目负责人或者主要技术人员简历、劳动关系证明；</w:t>
      </w:r>
    </w:p>
    <w:p>
      <w:pPr>
        <w:tabs>
          <w:tab w:val="left" w:pos="3870"/>
          <w:tab w:val="left" w:pos="4085"/>
        </w:tabs>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10.22.4提供虚假的信用状况；</w:t>
      </w:r>
    </w:p>
    <w:p>
      <w:pPr>
        <w:tabs>
          <w:tab w:val="left" w:pos="3870"/>
          <w:tab w:val="left" w:pos="4085"/>
        </w:tabs>
        <w:snapToGrid w:val="0"/>
        <w:spacing w:line="288" w:lineRule="auto"/>
        <w:ind w:firstLine="48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10.22.5其他弄虚作假的行为。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10.23有下列情形之一的，视为投标人串通投标，其投标无效：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10.23.1不同投标人的投标文件由同一单位或者个人编制；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10.23.2不同投标人委托同一单位或者个人办理投标事宜；</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10.23.3不同投标人的投标文件载明的项目管理成员或者联系人员为同一人；</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10.23.4不同投标人的投标文件异常一致或者投标报价呈规律性差异；</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10.23.5不同投标人的投标文件相互混装；</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10.24有下列情形之一的，属于恶意串通，，其投标无效：</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10.24.1供应商直接或者间接从采购人或者采购机构处获得其他供应商的相关情况并修改其投标文件或者响应文件；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10.24.2供应商按照采购人或者采购机构的授意撤换、修改投标文件或者响应文件；</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10.24.3供应商之间协商报价、技术方案等投标文件或者响应文件的实质性内容；</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10.24.4属于同一集团、协会、商会等组织成员的供应商按照该组织要求协同参加政府采购活动；</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10.24.5供应商之间事先约定由某一特定供应商中标、成交；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10.24.6供应商之间商定部分供应商放弃参加政府采购活动或者放弃中标、成交；</w:t>
      </w:r>
    </w:p>
    <w:p>
      <w:pPr>
        <w:tabs>
          <w:tab w:val="left" w:pos="3870"/>
          <w:tab w:val="left" w:pos="4085"/>
        </w:tabs>
        <w:snapToGrid w:val="0"/>
        <w:spacing w:line="288" w:lineRule="auto"/>
        <w:ind w:firstLine="422" w:firstLineChars="176"/>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10.24.7供应商与采购人或者采购机构之间、供应商相互之间，为谋求特定供应商中标、成交或者排斥其他供应商的其他串通行为。</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10.25评标委员会认定有重大偏差或实质性不响应招标文件要求的；</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10.26其他违反法律、法规的情形。</w:t>
      </w:r>
    </w:p>
    <w:p>
      <w:pPr>
        <w:tabs>
          <w:tab w:val="left" w:pos="3870"/>
          <w:tab w:val="left" w:pos="4085"/>
        </w:tabs>
        <w:snapToGrid w:val="0"/>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11. 评标过程保密</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288"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adjustRightInd/>
        <w:snapToGrid w:val="0"/>
        <w:spacing w:line="288" w:lineRule="auto"/>
        <w:rPr>
          <w:rFonts w:ascii="仿宋" w:hAnsi="仿宋" w:eastAsia="仿宋" w:cs="仿宋"/>
          <w:kern w:val="0"/>
          <w:sz w:val="24"/>
        </w:rPr>
      </w:pPr>
    </w:p>
    <w:p>
      <w:pPr>
        <w:adjustRightInd/>
        <w:snapToGrid w:val="0"/>
        <w:spacing w:line="288" w:lineRule="auto"/>
        <w:jc w:val="center"/>
        <w:rPr>
          <w:rFonts w:ascii="仿宋" w:hAnsi="仿宋" w:eastAsia="仿宋" w:cs="仿宋"/>
          <w:b/>
          <w:sz w:val="36"/>
          <w:szCs w:val="36"/>
        </w:rPr>
      </w:pPr>
      <w:r>
        <w:rPr>
          <w:rFonts w:hint="eastAsia" w:ascii="仿宋" w:hAnsi="仿宋" w:eastAsia="仿宋" w:cs="仿宋"/>
          <w:b/>
          <w:sz w:val="36"/>
          <w:szCs w:val="36"/>
        </w:rPr>
        <w:t>五、授予合同</w:t>
      </w:r>
    </w:p>
    <w:p>
      <w:pPr>
        <w:pStyle w:val="8"/>
        <w:numPr>
          <w:ilvl w:val="0"/>
          <w:numId w:val="0"/>
        </w:numPr>
        <w:tabs>
          <w:tab w:val="left" w:pos="454"/>
        </w:tabs>
        <w:adjustRightInd/>
        <w:spacing w:line="288" w:lineRule="auto"/>
        <w:rPr>
          <w:rFonts w:ascii="仿宋" w:hAnsi="仿宋" w:eastAsia="仿宋" w:cs="仿宋"/>
          <w:b/>
          <w:color w:val="auto"/>
          <w:sz w:val="24"/>
        </w:rPr>
      </w:pPr>
      <w:r>
        <w:rPr>
          <w:rFonts w:hint="eastAsia" w:ascii="仿宋" w:hAnsi="仿宋" w:eastAsia="仿宋" w:cs="仿宋"/>
          <w:b/>
          <w:color w:val="auto"/>
          <w:sz w:val="24"/>
        </w:rPr>
        <w:t>1.中标条件</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1.1投标文件基本符合招标文件要求；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1.2投标人有很好的执行合同的能力；</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1.3实施方案最合理并对招标人最为有利，最大限度满足招标文件的要求；</w:t>
      </w:r>
    </w:p>
    <w:p>
      <w:pPr>
        <w:pStyle w:val="8"/>
        <w:numPr>
          <w:ilvl w:val="0"/>
          <w:numId w:val="0"/>
        </w:numPr>
        <w:tabs>
          <w:tab w:val="left" w:pos="454"/>
        </w:tabs>
        <w:adjustRightInd/>
        <w:spacing w:line="288" w:lineRule="auto"/>
        <w:rPr>
          <w:rFonts w:ascii="仿宋" w:hAnsi="仿宋" w:eastAsia="仿宋" w:cs="仿宋"/>
          <w:color w:val="auto"/>
          <w:sz w:val="24"/>
        </w:rPr>
      </w:pPr>
      <w:r>
        <w:rPr>
          <w:rFonts w:hint="eastAsia" w:ascii="仿宋" w:hAnsi="仿宋" w:eastAsia="仿宋" w:cs="仿宋"/>
          <w:color w:val="auto"/>
          <w:sz w:val="24"/>
        </w:rPr>
        <w:t>1.4投标人能够提供质量技术、商务经济占综合优势的系统及服务。</w:t>
      </w:r>
    </w:p>
    <w:p>
      <w:pPr>
        <w:adjustRightInd/>
        <w:spacing w:line="288" w:lineRule="auto"/>
        <w:jc w:val="left"/>
        <w:rPr>
          <w:rFonts w:ascii="仿宋" w:hAnsi="仿宋" w:eastAsia="仿宋" w:cs="仿宋"/>
          <w:b/>
          <w:sz w:val="24"/>
        </w:rPr>
      </w:pPr>
      <w:r>
        <w:rPr>
          <w:rFonts w:hint="eastAsia" w:ascii="仿宋" w:hAnsi="仿宋" w:eastAsia="仿宋" w:cs="仿宋"/>
          <w:b/>
          <w:sz w:val="24"/>
        </w:rPr>
        <w:t>2．中标通知</w:t>
      </w:r>
    </w:p>
    <w:p>
      <w:pPr>
        <w:pStyle w:val="61"/>
        <w:tabs>
          <w:tab w:val="left" w:pos="0"/>
        </w:tabs>
        <w:adjustRightInd/>
        <w:spacing w:before="0" w:line="288" w:lineRule="auto"/>
        <w:ind w:firstLine="0" w:firstLineChars="0"/>
        <w:rPr>
          <w:rFonts w:ascii="仿宋" w:hAnsi="仿宋" w:eastAsia="仿宋" w:cs="仿宋"/>
          <w:szCs w:val="24"/>
        </w:rPr>
      </w:pPr>
      <w:r>
        <w:rPr>
          <w:rFonts w:hint="eastAsia" w:ascii="仿宋" w:hAnsi="仿宋" w:eastAsia="仿宋" w:cs="仿宋"/>
          <w:szCs w:val="24"/>
        </w:rPr>
        <w:t>2.1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ascii="仿宋" w:hAnsi="仿宋" w:eastAsia="仿宋" w:cs="仿宋"/>
          <w:kern w:val="0"/>
          <w:szCs w:val="24"/>
        </w:rPr>
        <w:t>。</w:t>
      </w:r>
    </w:p>
    <w:p>
      <w:pPr>
        <w:tabs>
          <w:tab w:val="left" w:pos="0"/>
        </w:tabs>
        <w:adjustRightInd/>
        <w:spacing w:line="288" w:lineRule="auto"/>
        <w:rPr>
          <w:rFonts w:ascii="仿宋" w:hAnsi="仿宋" w:eastAsia="仿宋" w:cs="仿宋"/>
          <w:kern w:val="0"/>
          <w:sz w:val="24"/>
          <w:lang w:val="zh-CN"/>
        </w:rPr>
      </w:pPr>
      <w:r>
        <w:rPr>
          <w:rFonts w:hint="eastAsia" w:ascii="仿宋" w:hAnsi="仿宋" w:eastAsia="仿宋" w:cs="仿宋"/>
          <w:sz w:val="24"/>
        </w:rPr>
        <w:t>2.2在采购代理机构发出中标通知书前，中标供应商有违反有关法律法规和本项目要求行为的，则取消该投标人的中标资格</w:t>
      </w:r>
      <w:r>
        <w:rPr>
          <w:rFonts w:hint="eastAsia" w:ascii="仿宋" w:hAnsi="仿宋" w:eastAsia="仿宋" w:cs="仿宋"/>
          <w:kern w:val="0"/>
          <w:sz w:val="24"/>
          <w:lang w:val="zh-CN"/>
        </w:rPr>
        <w:t>。</w:t>
      </w:r>
    </w:p>
    <w:p>
      <w:pPr>
        <w:adjustRightInd/>
        <w:spacing w:line="288" w:lineRule="auto"/>
        <w:jc w:val="left"/>
        <w:rPr>
          <w:rFonts w:ascii="仿宋" w:hAnsi="仿宋" w:eastAsia="仿宋" w:cs="仿宋"/>
          <w:sz w:val="24"/>
        </w:rPr>
      </w:pPr>
      <w:r>
        <w:rPr>
          <w:rFonts w:hint="eastAsia" w:ascii="仿宋" w:hAnsi="仿宋" w:eastAsia="仿宋" w:cs="仿宋"/>
          <w:sz w:val="24"/>
        </w:rPr>
        <w:t>2.3采购代理机构对中标结果不作任何说明和解释，也不回答任何提问。</w:t>
      </w:r>
    </w:p>
    <w:p>
      <w:pPr>
        <w:adjustRightInd/>
        <w:spacing w:line="288" w:lineRule="auto"/>
        <w:jc w:val="left"/>
        <w:rPr>
          <w:rFonts w:ascii="仿宋" w:hAnsi="仿宋" w:eastAsia="仿宋" w:cs="仿宋"/>
          <w:b/>
          <w:sz w:val="24"/>
        </w:rPr>
      </w:pPr>
      <w:r>
        <w:rPr>
          <w:rFonts w:hint="eastAsia" w:ascii="仿宋" w:hAnsi="仿宋" w:eastAsia="仿宋" w:cs="仿宋"/>
          <w:b/>
          <w:sz w:val="24"/>
        </w:rPr>
        <w:t>3．履约保证金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3.2供应商在履行完合同约定事项后，采购人应及时退还履约保证金。</w:t>
      </w:r>
    </w:p>
    <w:p>
      <w:pPr>
        <w:tabs>
          <w:tab w:val="left" w:pos="0"/>
        </w:tabs>
        <w:adjustRightInd/>
        <w:spacing w:line="288" w:lineRule="auto"/>
        <w:rPr>
          <w:rFonts w:ascii="仿宋" w:hAnsi="仿宋" w:eastAsia="仿宋" w:cs="仿宋"/>
          <w:sz w:val="24"/>
        </w:rPr>
      </w:pPr>
      <w:r>
        <w:rPr>
          <w:rFonts w:hint="eastAsia" w:ascii="仿宋" w:hAnsi="仿宋" w:eastAsia="仿宋" w:cs="仿宋"/>
          <w:sz w:val="24"/>
        </w:rPr>
        <w:t>3.3供应商以银行、保险公司出具保函形式提交履约保证金的，采购人不得拒收。</w:t>
      </w:r>
    </w:p>
    <w:p>
      <w:pPr>
        <w:adjustRightInd/>
        <w:spacing w:line="288" w:lineRule="auto"/>
        <w:jc w:val="left"/>
        <w:rPr>
          <w:rFonts w:ascii="仿宋" w:hAnsi="仿宋" w:eastAsia="仿宋" w:cs="仿宋"/>
          <w:b/>
          <w:sz w:val="24"/>
        </w:rPr>
      </w:pPr>
      <w:r>
        <w:rPr>
          <w:rFonts w:hint="eastAsia" w:ascii="仿宋" w:hAnsi="仿宋" w:eastAsia="仿宋" w:cs="仿宋"/>
          <w:b/>
          <w:sz w:val="24"/>
        </w:rPr>
        <w:t>4．合同备案</w:t>
      </w:r>
    </w:p>
    <w:p>
      <w:pPr>
        <w:adjustRightInd/>
        <w:spacing w:line="288" w:lineRule="auto"/>
        <w:jc w:val="left"/>
        <w:rPr>
          <w:rFonts w:ascii="仿宋" w:hAnsi="仿宋" w:eastAsia="仿宋" w:cs="仿宋"/>
          <w:sz w:val="24"/>
        </w:rPr>
      </w:pPr>
      <w:r>
        <w:rPr>
          <w:rFonts w:hint="eastAsia" w:ascii="仿宋" w:hAnsi="仿宋" w:eastAsia="仿宋" w:cs="仿宋"/>
          <w:sz w:val="24"/>
        </w:rPr>
        <w:t>4.1中标人应当在中标通知书发出之日起30天内与采购人签订合同，自采购合同签订之日起</w:t>
      </w:r>
      <w:r>
        <w:rPr>
          <w:rFonts w:hint="eastAsia" w:ascii="仿宋" w:hAnsi="仿宋" w:eastAsia="仿宋" w:cs="仿宋"/>
          <w:b/>
          <w:sz w:val="24"/>
        </w:rPr>
        <w:t>五个工作日内</w:t>
      </w:r>
      <w:r>
        <w:rPr>
          <w:rFonts w:hint="eastAsia" w:ascii="仿宋" w:hAnsi="仿宋" w:eastAsia="仿宋" w:cs="仿宋"/>
          <w:sz w:val="24"/>
        </w:rPr>
        <w:t>，将</w:t>
      </w:r>
      <w:r>
        <w:rPr>
          <w:rFonts w:hint="eastAsia" w:ascii="仿宋" w:hAnsi="仿宋" w:eastAsia="仿宋" w:cs="仿宋"/>
          <w:b/>
          <w:sz w:val="24"/>
        </w:rPr>
        <w:t>采购合同复印件</w:t>
      </w:r>
      <w:r>
        <w:rPr>
          <w:rFonts w:hint="eastAsia" w:ascii="仿宋" w:hAnsi="仿宋" w:eastAsia="仿宋" w:cs="仿宋"/>
          <w:sz w:val="24"/>
        </w:rPr>
        <w:t>拿到耀华建设管理有限公司备案。</w:t>
      </w:r>
    </w:p>
    <w:p>
      <w:pPr>
        <w:adjustRightInd/>
        <w:spacing w:line="288" w:lineRule="auto"/>
        <w:jc w:val="left"/>
        <w:rPr>
          <w:rFonts w:ascii="仿宋" w:hAnsi="仿宋" w:eastAsia="仿宋" w:cs="仿宋"/>
          <w:sz w:val="24"/>
        </w:rPr>
      </w:pPr>
      <w:r>
        <w:rPr>
          <w:rFonts w:hint="eastAsia" w:ascii="仿宋" w:hAnsi="仿宋" w:eastAsia="仿宋" w:cs="仿宋"/>
          <w:sz w:val="24"/>
        </w:rPr>
        <w:t>4.2未领取中标通知书，采购双方自行签订的合同不予备案。</w:t>
      </w:r>
    </w:p>
    <w:p>
      <w:pPr>
        <w:adjustRightInd/>
        <w:spacing w:line="288" w:lineRule="auto"/>
        <w:jc w:val="left"/>
        <w:rPr>
          <w:rFonts w:ascii="仿宋" w:hAnsi="仿宋" w:eastAsia="仿宋" w:cs="仿宋"/>
          <w:b/>
          <w:sz w:val="24"/>
        </w:rPr>
      </w:pPr>
      <w:r>
        <w:rPr>
          <w:rFonts w:hint="eastAsia" w:ascii="仿宋" w:hAnsi="仿宋" w:eastAsia="仿宋" w:cs="仿宋"/>
          <w:b/>
          <w:sz w:val="24"/>
        </w:rPr>
        <w:t>5.验收</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5.2采购人可以邀请参加本项目的其他投标人或者第三方机构参与验收。参与验收的投标人或者第三方机构的意见作为验收书的参考资料一并存档。</w:t>
      </w:r>
    </w:p>
    <w:p>
      <w:pPr>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5.3 采购人负责加强对中标人的履约管理，并按照采购合同约定，及时向中标人支付采购资金。对于中标人违反采购合同约定的行为，采购人应当及时处理，依法追究其违约责任。</w:t>
      </w:r>
    </w:p>
    <w:p>
      <w:pPr>
        <w:spacing w:line="288" w:lineRule="auto"/>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 售后服务考核</w:t>
      </w:r>
    </w:p>
    <w:p>
      <w:pPr>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代理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napToGrid w:val="0"/>
        <w:spacing w:line="288" w:lineRule="auto"/>
        <w:jc w:val="center"/>
        <w:outlineLvl w:val="0"/>
        <w:rPr>
          <w:rFonts w:hint="eastAsia" w:ascii="仿宋" w:hAnsi="仿宋" w:eastAsia="仿宋" w:cs="仿宋"/>
          <w:b/>
          <w:color w:val="000000" w:themeColor="text1"/>
          <w:sz w:val="36"/>
          <w:szCs w:val="36"/>
          <w14:textFill>
            <w14:solidFill>
              <w14:schemeClr w14:val="tx1"/>
            </w14:solidFill>
          </w14:textFill>
        </w:rPr>
      </w:pPr>
    </w:p>
    <w:p>
      <w:pPr>
        <w:snapToGrid w:val="0"/>
        <w:spacing w:line="288" w:lineRule="auto"/>
        <w:jc w:val="center"/>
        <w:outlineLvl w:val="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六、质疑与投诉</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1.供应商询问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供应商对政府采购活动事项有疑问的，可以向采购机构提出询问，采购机构将对供应商依法提出的询问作出答复，但答复的内容不得涉及商业秘密。</w:t>
      </w:r>
    </w:p>
    <w:p>
      <w:pPr>
        <w:autoSpaceDE w:val="0"/>
        <w:autoSpaceDN w:val="0"/>
        <w:spacing w:line="288" w:lineRule="auto"/>
        <w:ind w:firstLine="472" w:firstLineChars="196"/>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kern w:val="0"/>
          <w:sz w:val="24"/>
          <w:lang w:val="zh-CN"/>
          <w14:textFill>
            <w14:solidFill>
              <w14:schemeClr w14:val="tx1"/>
            </w14:solidFill>
          </w14:textFill>
        </w:rPr>
        <w:t>2.供应商质疑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2.1供应商认为采购文件、采购过程和成交结果使自己的权益受到损害的，可以在知道或者应知其权益受到损害之日起七个工作日内，以书面形式向采购机构提出质疑，否则，采购机构不予受理：</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（2）对采购过程提出质疑的，质疑期限为各采购程序环节结束之日起计算。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（3）对采购结果提出质疑的，质疑期限自采购结果公告（包括公示、预公告、结果变更公告等）期限届满之日起计算。</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（4）供应商应在法定质疑期内一次性提出针对同一采购程序环节的质疑。</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3.供应商提交提出质疑应当提交质疑书和必要的证明材料，质疑书需一式三份，质疑书至少应包括下列主要内容：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（1）质疑人的名称、地址、邮政编码、联系人、联系电话，以及被质疑人名称及联系方式；</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（2）被质疑采购项目名称、编号及采购内容；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（3）具体、明确的质疑事项和与质疑事项相关的请求</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（4）事实依据；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（5）必要的法律依据；</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（6）认为自己合法权益受到损害或可能受到损害的相关证据材料；</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（7）提出质疑的日期。</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 质疑书应当署名。质疑人为自然人的，应当由本人签字并附有效身份证明；质疑人为法人或其他组织的，应当由法定代表人或主要负责人签字（或盖章）并加盖单位公章。</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 质疑人因故不能自行办理质疑事项的，可以委托代理人办理质疑事宜，但应当向被质疑人提交授权委托书，并载明委托代理的具体权限和事项。</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（10）质疑人提供的相关材料中有外文资料的，应当将与质疑相关的外文资料完整、客观、真实地翻译为中文，并注明翻译人员姓名、工作单位、联系方式等信息。</w:t>
      </w:r>
    </w:p>
    <w:p>
      <w:pPr>
        <w:pStyle w:val="14"/>
        <w:spacing w:line="288" w:lineRule="auto"/>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4.采购机构应当在收到供应商的书面质疑后七个工作日内作出答复，并以书面形式通知质疑供应商和其他与质疑处理结果有利害关系的政府采购当事人，但答复的内容不得涉及商业秘密。</w:t>
      </w:r>
    </w:p>
    <w:p>
      <w:pPr>
        <w:adjustRightInd/>
        <w:spacing w:line="288" w:lineRule="auto"/>
        <w:jc w:val="left"/>
        <w:rPr>
          <w:rFonts w:ascii="仿宋" w:hAnsi="仿宋" w:eastAsia="仿宋" w:cs="仿宋"/>
          <w:sz w:val="24"/>
        </w:rPr>
      </w:pPr>
      <w:r>
        <w:rPr>
          <w:rFonts w:hint="eastAsia" w:ascii="仿宋" w:hAnsi="仿宋" w:eastAsia="仿宋" w:cs="仿宋"/>
          <w:color w:val="000000" w:themeColor="text1"/>
          <w:sz w:val="24"/>
          <w14:textFill>
            <w14:solidFill>
              <w14:schemeClr w14:val="tx1"/>
            </w14:solidFill>
          </w14:textFill>
        </w:rPr>
        <w:t>5.询问或者质疑事项可能影响采购结果的，采购人应当暂停签订合同，已经签订合同的，应当中止履行合同。</w:t>
      </w:r>
    </w:p>
    <w:p>
      <w:pPr>
        <w:pStyle w:val="14"/>
        <w:adjustRightInd/>
        <w:spacing w:line="336" w:lineRule="auto"/>
        <w:rPr>
          <w:rFonts w:ascii="仿宋_GB2312" w:hAnsi="宋体" w:eastAsia="仿宋_GB2312"/>
          <w:b/>
          <w:sz w:val="36"/>
          <w:szCs w:val="36"/>
        </w:rPr>
      </w:pPr>
    </w:p>
    <w:p>
      <w:pPr>
        <w:pStyle w:val="14"/>
        <w:adjustRightInd/>
        <w:spacing w:line="288" w:lineRule="auto"/>
        <w:jc w:val="both"/>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hint="eastAsia" w:ascii="仿宋_GB2312" w:hAnsi="宋体" w:eastAsia="仿宋_GB2312"/>
          <w:b/>
          <w:sz w:val="36"/>
          <w:szCs w:val="36"/>
        </w:rPr>
      </w:pPr>
    </w:p>
    <w:p>
      <w:pPr>
        <w:pStyle w:val="14"/>
        <w:adjustRightInd/>
        <w:spacing w:line="288" w:lineRule="auto"/>
        <w:jc w:val="center"/>
        <w:rPr>
          <w:rFonts w:ascii="仿宋_GB2312" w:hAnsi="宋体" w:eastAsia="仿宋_GB2312"/>
          <w:b/>
          <w:sz w:val="36"/>
          <w:szCs w:val="36"/>
        </w:rPr>
      </w:pPr>
      <w:r>
        <w:rPr>
          <w:rFonts w:hint="eastAsia" w:ascii="仿宋_GB2312" w:hAnsi="宋体" w:eastAsia="仿宋_GB2312"/>
          <w:b/>
          <w:sz w:val="36"/>
          <w:szCs w:val="36"/>
        </w:rPr>
        <w:t>第三部分</w:t>
      </w:r>
      <w:r>
        <w:rPr>
          <w:rFonts w:ascii="仿宋_GB2312" w:hAnsi="宋体" w:eastAsia="仿宋_GB2312"/>
          <w:b/>
          <w:sz w:val="36"/>
          <w:szCs w:val="36"/>
        </w:rPr>
        <w:t xml:space="preserve"> </w:t>
      </w:r>
      <w:r>
        <w:rPr>
          <w:rFonts w:hint="eastAsia" w:ascii="仿宋_GB2312" w:hAnsi="宋体" w:eastAsia="仿宋_GB2312"/>
          <w:b/>
          <w:sz w:val="36"/>
          <w:szCs w:val="36"/>
        </w:rPr>
        <w:t>项目技术规范和服务要求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1.设备（材料）要求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1.1投标人投标提供的设备必须是厂商原装的、全新的，型号、性能及指标符合国家及招标文件提出的有关技术、质量、安全标准。</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1.2所有设备在开箱检验时必须完好，无破损，配置与装箱单相符。数量、质量及性能不低于本需求书中提出的要求。</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1.3设备外观清洁，标记编号以及盘面显示等字体清晰，明确。铭牌、使用指示、警告指示应以中文或英文及易懂的通用符号来表示；应准确无误地表明设备之型号、规格、制造厂及生产或出厂日期。</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1.4对于影响设备正常工作的必要组成部分，无论在技术规范中指出与否，投标人都应提供并在投标文件中明确列出。</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1.5所有货物提供出厂合格证等质量证明文件，国外生产的必须有合法的进货渠道证明，如海关报关单、原产地证明、商检证明等。</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2.数量调整</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招标人保留在签约时调整部分方案及定购设备数量和服务的权力，投标人应对系统方案中设备和服务明细报价，施工设计变更后发生的数量增减，按谈判单价不变的前提下进行调整，双方不得拒绝。</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3.安装及调试、验收</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中标人应派经招标人认可的有经验和能力、具有相应资质的技术人员，负责系统设备安装工作，在设备安装期间应充分了解设备安装进度要求，保证施工质量，解决施工中出现的技术问题。</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3.1中标人负责设备的安装、调试。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3.2调试所需专用工具设施物料由中标人自备、自费运到现场，完工后自费搬走。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3.3调试：按国家有关验收规范（国家无验收规范的按双方合同规定的要求进行）进行，分阶段进行调试。</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3.4设备的拆箱、通电、调试等各项工作由中标人负责，但必须在招标人指定人员的参与下进行。在实际实施前必须先经招标人同意方可进行。调试的原始记录须经各方签字后作为验收的文件之一。</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3.5安装完成后，进行调试、验收(包括负责通过有关部门组织的验收)。验收由招标人与中标人及相关专业监督人员依国家有关验收标准、合同、设计图纸及有关附件要求进行。</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4.技术培训</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4.1中标人须对招标人的技术人员维修培训。投标人须在投标文件中提供详细的培训计划，包括培训内容、培训时间、培训费用等。</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4.2中标人提供的负责培训的人员应具备同类工程五年以上的工程经验。</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4.3技术培训费用应包含在投标总价中。    </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4.4技术培训至少应包括下列内容：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4.4.1原理、构成和功能的描述。</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4.4.2常见故障的处理或排除。</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4.4.3各系统部件（设备）的检查、调整和维护。</w:t>
      </w:r>
    </w:p>
    <w:p>
      <w:pPr>
        <w:pStyle w:val="13"/>
        <w:numPr>
          <w:ilvl w:val="0"/>
          <w:numId w:val="0"/>
        </w:numPr>
        <w:tabs>
          <w:tab w:val="left" w:pos="482"/>
          <w:tab w:val="clear" w:pos="1200"/>
        </w:tabs>
        <w:spacing w:after="156" w:line="240" w:lineRule="auto"/>
        <w:rPr>
          <w:rFonts w:hint="eastAsia" w:ascii="仿宋" w:hAnsi="仿宋" w:eastAsia="仿宋" w:cs="仿宋"/>
          <w:b/>
          <w:bCs/>
          <w:color w:val="auto"/>
          <w:kern w:val="2"/>
          <w:sz w:val="24"/>
          <w:szCs w:val="24"/>
        </w:rPr>
      </w:pPr>
      <w:r>
        <w:rPr>
          <w:rFonts w:hint="eastAsia" w:ascii="仿宋" w:hAnsi="仿宋" w:eastAsia="仿宋" w:cs="仿宋"/>
          <w:b/>
          <w:bCs/>
          <w:color w:val="auto"/>
          <w:kern w:val="2"/>
          <w:sz w:val="24"/>
          <w:szCs w:val="24"/>
        </w:rPr>
        <w:t>5.采购项目设备名称及数量：</w:t>
      </w:r>
      <w:bookmarkStart w:id="3" w:name="objid765"/>
      <w:bookmarkEnd w:id="3"/>
    </w:p>
    <w:p>
      <w:pPr>
        <w:pStyle w:val="13"/>
        <w:numPr>
          <w:ilvl w:val="0"/>
          <w:numId w:val="0"/>
        </w:numPr>
        <w:tabs>
          <w:tab w:val="left" w:pos="482"/>
          <w:tab w:val="clear" w:pos="1200"/>
        </w:tabs>
        <w:spacing w:after="156" w:line="240" w:lineRule="auto"/>
        <w:ind w:left="142"/>
        <w:rPr>
          <w:rFonts w:hint="eastAsia" w:ascii="仿宋" w:hAnsi="仿宋" w:eastAsia="仿宋" w:cs="仿宋"/>
          <w:color w:val="auto"/>
          <w:sz w:val="28"/>
          <w:szCs w:val="28"/>
        </w:rPr>
      </w:pPr>
      <w:r>
        <w:rPr>
          <w:rFonts w:hint="eastAsia" w:ascii="仿宋" w:hAnsi="仿宋" w:eastAsia="仿宋" w:cs="仿宋"/>
          <w:b/>
          <w:color w:val="auto"/>
          <w:sz w:val="28"/>
          <w:szCs w:val="28"/>
          <w:bdr w:val="single" w:color="auto" w:sz="4" w:space="0"/>
        </w:rPr>
        <w:t>01标</w:t>
      </w:r>
      <w:r>
        <w:rPr>
          <w:rFonts w:hint="eastAsia" w:ascii="仿宋" w:hAnsi="仿宋" w:eastAsia="仿宋" w:cs="仿宋"/>
          <w:b/>
          <w:color w:val="auto"/>
          <w:sz w:val="28"/>
          <w:szCs w:val="28"/>
        </w:rPr>
        <w:t>特战队4G传输卡租赁项目</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1）项目概况：</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因绍兴市公安局越城区分局特警支队特战队下派人员和车辆到我局共9辆特战车图像传输流量到期，为不影响日常**工作，需对9辆特战车4G图像传输进行流量采购。 </w:t>
      </w:r>
    </w:p>
    <w:p>
      <w:pPr>
        <w:spacing w:line="240" w:lineRule="auto"/>
        <w:rPr>
          <w:rFonts w:hint="eastAsia" w:ascii="仿宋" w:hAnsi="仿宋" w:eastAsia="仿宋" w:cs="仿宋"/>
          <w:b/>
          <w:bCs/>
          <w:sz w:val="24"/>
          <w:szCs w:val="24"/>
        </w:rPr>
      </w:pPr>
      <w:r>
        <w:rPr>
          <w:rFonts w:hint="eastAsia" w:ascii="仿宋" w:hAnsi="仿宋" w:eastAsia="仿宋" w:cs="仿宋"/>
          <w:b/>
          <w:bCs/>
          <w:sz w:val="24"/>
          <w:szCs w:val="24"/>
        </w:rPr>
        <w:t>2）服务要求、服务范围：</w:t>
      </w:r>
    </w:p>
    <w:p>
      <w:pPr>
        <w:spacing w:line="240" w:lineRule="auto"/>
        <w:rPr>
          <w:rFonts w:hint="eastAsia" w:ascii="仿宋" w:hAnsi="仿宋" w:eastAsia="仿宋" w:cs="仿宋"/>
          <w:sz w:val="24"/>
          <w:szCs w:val="24"/>
        </w:rPr>
      </w:pPr>
      <w:r>
        <w:rPr>
          <w:rFonts w:hint="eastAsia" w:ascii="仿宋" w:hAnsi="仿宋" w:eastAsia="仿宋" w:cs="仿宋"/>
          <w:sz w:val="24"/>
          <w:szCs w:val="24"/>
        </w:rPr>
        <w:t>①本次采购的服务为特战车4G流量，拟采购9张，每张卡要求每个月至少15个G的流量；</w:t>
      </w:r>
    </w:p>
    <w:p>
      <w:pPr>
        <w:spacing w:line="240" w:lineRule="auto"/>
        <w:rPr>
          <w:rFonts w:hint="eastAsia" w:ascii="仿宋" w:hAnsi="仿宋" w:eastAsia="仿宋" w:cs="仿宋"/>
          <w:sz w:val="24"/>
          <w:szCs w:val="24"/>
        </w:rPr>
      </w:pPr>
      <w:r>
        <w:rPr>
          <w:rFonts w:hint="eastAsia" w:ascii="仿宋" w:hAnsi="仿宋" w:eastAsia="仿宋" w:cs="仿宋"/>
          <w:sz w:val="24"/>
          <w:szCs w:val="24"/>
        </w:rPr>
        <w:t>②为节省流量，本次采购的流量需建流量池（流量可共享使用）,并与我局原有流量池共用；</w:t>
      </w:r>
    </w:p>
    <w:p>
      <w:pPr>
        <w:spacing w:line="240" w:lineRule="auto"/>
        <w:rPr>
          <w:rFonts w:hint="eastAsia" w:ascii="仿宋" w:hAnsi="仿宋" w:eastAsia="仿宋" w:cs="仿宋"/>
          <w:sz w:val="24"/>
          <w:szCs w:val="24"/>
        </w:rPr>
      </w:pPr>
      <w:r>
        <w:rPr>
          <w:rFonts w:hint="eastAsia" w:ascii="仿宋" w:hAnsi="仿宋" w:eastAsia="仿宋" w:cs="仿宋"/>
          <w:sz w:val="24"/>
          <w:szCs w:val="24"/>
        </w:rPr>
        <w:t>③本次采购的流量卡需为全国流量；</w:t>
      </w:r>
    </w:p>
    <w:p>
      <w:pPr>
        <w:spacing w:line="240" w:lineRule="auto"/>
        <w:rPr>
          <w:rFonts w:hint="eastAsia" w:ascii="仿宋" w:hAnsi="仿宋" w:eastAsia="仿宋" w:cs="仿宋"/>
          <w:sz w:val="24"/>
          <w:szCs w:val="24"/>
        </w:rPr>
      </w:pPr>
      <w:r>
        <w:rPr>
          <w:rFonts w:hint="eastAsia" w:ascii="仿宋" w:hAnsi="仿宋" w:eastAsia="仿宋" w:cs="仿宋"/>
          <w:sz w:val="24"/>
          <w:szCs w:val="24"/>
        </w:rPr>
        <w:t>④本次采购的服务的最终数量以采购人执法单兵使用的实际情况为准，最终合同以单张流量卡的报价*实际流量卡的张数签订。如有增补，按实际月份计算价格。(总数不超过656张)</w:t>
      </w:r>
    </w:p>
    <w:p>
      <w:pPr>
        <w:spacing w:line="240" w:lineRule="auto"/>
        <w:rPr>
          <w:rFonts w:hint="eastAsia" w:ascii="仿宋" w:hAnsi="仿宋" w:eastAsia="仿宋" w:cs="仿宋"/>
          <w:sz w:val="24"/>
          <w:szCs w:val="24"/>
        </w:rPr>
      </w:pPr>
      <w:r>
        <w:rPr>
          <w:rFonts w:hint="eastAsia" w:ascii="仿宋" w:hAnsi="仿宋" w:eastAsia="仿宋" w:cs="仿宋"/>
          <w:sz w:val="24"/>
          <w:szCs w:val="24"/>
        </w:rPr>
        <w:t>⑥基于公安业务的特殊性，中标方所提供的SIM卡需符合公安业务的安全标准。要求运营商通过VPDN专网接入市公安局现有的内部网络。</w:t>
      </w:r>
    </w:p>
    <w:p>
      <w:pPr>
        <w:spacing w:line="240" w:lineRule="auto"/>
        <w:rPr>
          <w:rFonts w:hint="eastAsia" w:ascii="仿宋" w:hAnsi="仿宋" w:eastAsia="仿宋" w:cs="仿宋"/>
          <w:sz w:val="24"/>
          <w:szCs w:val="24"/>
        </w:rPr>
      </w:pPr>
      <w:r>
        <w:rPr>
          <w:rFonts w:hint="eastAsia" w:ascii="仿宋" w:hAnsi="仿宋" w:eastAsia="仿宋" w:cs="仿宋"/>
          <w:sz w:val="24"/>
          <w:szCs w:val="24"/>
        </w:rPr>
        <w:t>⑦中标运营商的4G网络需基本覆盖绍兴全区，在偏远山区如无法接入4G网络，需平滑的接入3G网络，实现无线图像传输。</w:t>
      </w:r>
    </w:p>
    <w:p>
      <w:pPr>
        <w:spacing w:line="240" w:lineRule="auto"/>
        <w:rPr>
          <w:rFonts w:hint="eastAsia" w:ascii="仿宋" w:hAnsi="仿宋" w:eastAsia="仿宋" w:cs="仿宋"/>
          <w:sz w:val="24"/>
          <w:szCs w:val="24"/>
        </w:rPr>
      </w:pPr>
      <w:r>
        <w:rPr>
          <w:rFonts w:hint="eastAsia" w:ascii="仿宋" w:hAnsi="仿宋" w:eastAsia="仿宋" w:cs="仿宋"/>
          <w:b/>
          <w:bCs/>
          <w:sz w:val="24"/>
          <w:szCs w:val="24"/>
        </w:rPr>
        <w:t>3）合同期：1年；</w:t>
      </w:r>
    </w:p>
    <w:p>
      <w:pPr>
        <w:spacing w:line="240" w:lineRule="auto"/>
        <w:rPr>
          <w:rFonts w:hint="eastAsia" w:ascii="仿宋" w:hAnsi="仿宋" w:eastAsia="仿宋" w:cs="仿宋"/>
          <w:sz w:val="24"/>
          <w:szCs w:val="24"/>
        </w:rPr>
      </w:pPr>
      <w:r>
        <w:rPr>
          <w:rFonts w:hint="eastAsia" w:ascii="仿宋" w:hAnsi="仿宋" w:eastAsia="仿宋" w:cs="仿宋"/>
          <w:sz w:val="24"/>
          <w:szCs w:val="24"/>
        </w:rPr>
        <w:t xml:space="preserve"> </w:t>
      </w:r>
    </w:p>
    <w:p>
      <w:pPr>
        <w:pStyle w:val="13"/>
        <w:numPr>
          <w:ilvl w:val="0"/>
          <w:numId w:val="0"/>
        </w:numPr>
        <w:tabs>
          <w:tab w:val="left" w:pos="482"/>
          <w:tab w:val="clear" w:pos="1200"/>
        </w:tabs>
        <w:spacing w:after="156" w:line="240" w:lineRule="auto"/>
        <w:ind w:left="142"/>
        <w:rPr>
          <w:rFonts w:hint="eastAsia" w:ascii="仿宋" w:hAnsi="仿宋" w:eastAsia="仿宋" w:cs="仿宋"/>
          <w:color w:val="auto"/>
          <w:sz w:val="28"/>
          <w:szCs w:val="28"/>
        </w:rPr>
      </w:pPr>
      <w:r>
        <w:rPr>
          <w:rFonts w:hint="eastAsia" w:ascii="仿宋" w:hAnsi="仿宋" w:eastAsia="仿宋" w:cs="仿宋"/>
          <w:b/>
          <w:color w:val="auto"/>
          <w:sz w:val="28"/>
          <w:szCs w:val="28"/>
          <w:bdr w:val="single" w:color="auto" w:sz="4" w:space="0"/>
        </w:rPr>
        <w:t>02标</w:t>
      </w:r>
      <w:r>
        <w:rPr>
          <w:rFonts w:hint="eastAsia" w:ascii="仿宋" w:hAnsi="仿宋" w:eastAsia="仿宋" w:cs="仿宋"/>
          <w:b/>
          <w:color w:val="auto"/>
          <w:sz w:val="28"/>
          <w:szCs w:val="28"/>
        </w:rPr>
        <w:t>110及巡特警巡逻车4G监控租赁（原袍江）</w:t>
      </w:r>
    </w:p>
    <w:p>
      <w:pPr>
        <w:tabs>
          <w:tab w:val="left" w:pos="3870"/>
          <w:tab w:val="left" w:pos="4085"/>
        </w:tabs>
        <w:autoSpaceDE w:val="0"/>
        <w:autoSpaceDN w:val="0"/>
        <w:adjustRightInd w:val="0"/>
        <w:spacing w:line="240" w:lineRule="auto"/>
        <w:ind w:left="180"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1．项目概述</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随着4G业务的发展，无线视频监控在现场取证及应急指挥工作中得到广泛应用。警用执法、安全保卫、应急指挥等多种领域对移动视频监控的需求越来越迫切。车载动态取证系统拥有反应灵活的特点，通过无线实时视频将现场情况及时传回指挥中心，便于远程指挥和调度，极大地缩短反应时间，增强应急能力。</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原三年租期的《绍兴市公安局越城分局4G车载动态无线视频监控系统租赁项目合同》已到期履行完毕。需要继续采购租赁服务。</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并对高清车载取证系统进行升级，以保持**装备先进稳定，保证业务正常运作。高清车载取证系统通过逐年更换的方式进行更新升级，第一年和第二年每年升级改造4套高清车载取证系统，第三年改造3套高清车载取证系统。</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具体需求、预算及拟采购单位：</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一、租赁规模：高清车载取证系统设备维护及流量租赁。</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二、预算价格：以租赁形式，租期一年，每年租费不高于27000元，公安无线车载取证系统（含流量）报价。</w:t>
      </w:r>
    </w:p>
    <w:p>
      <w:pPr>
        <w:spacing w:line="24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2．系统功能实现</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2.1 4G高清车载取证系统</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视音频系统贯穿在整个动态取证系统的日常工作、应急受理、指挥调度、管理系统等各种活动中，是整个指挥系统最有效的信息获取、协调指挥的手段之一；是指挥系统与指挥人员人机交互的最主要的表现形式。其具体应具有如下基本功能</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① 图像实时远程监看——指挥平台随时可远程调取每个前端移动取证终端的实时图像。</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② 同步录像并存档——前端移动取证终端本地同步记录处理过程的全部视音频数据，后台中心记录应急指挥等视频并可进行备份存储，以备后续的查看；录像的回放分辨率1280*720、720*576、704*576、352*288、176*144可调，设备码率及帧率均可进行调整，帧率可达到25帧/秒。</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③ 远程设备控制——控制平台得到授权后可对任意车载监控点的云台、摄像机等设备进行远程控制或修改其参数。</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④ 图像抓拍及录像标记——前方车载取证设备可对违法等事件进行抓取图片及标记录像，便于后续检索查证。</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⑤ 平台分级管理——平台可进行对用户的权限划分，根据不同的职能进行分级权限控制，权限不同可查看或操作的权限也不同。</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⑥ 视频归档管理——按照视频终端名称、日期等排序归档，并可与案件信息关联。</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⑦ 浏览历史视频记录——指挥平台随时可调取每个视频终端历史视频记录。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⑧ 实时定位——前端移动取证终端可每分钟自动或随时手动向指挥中心传送GPS定位数据，并在电子地图上显示地理位置信息。</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⑨ 轨迹回放功能——对前端移动取证终端的移动轨迹进行保存并回放，如前端移动取证终端有视音频记录，可同步播放对应历史记录。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 系统建设完成后需统一接入绍兴市公安局越城分局现有的无线车载系统平台，实现统一管理统一调度。</w:t>
      </w:r>
    </w:p>
    <w:p>
      <w:pPr>
        <w:spacing w:line="240" w:lineRule="auto"/>
        <w:ind w:firstLine="480" w:firstLineChars="200"/>
        <w:rPr>
          <w:rFonts w:hint="eastAsia" w:ascii="仿宋" w:hAnsi="仿宋" w:eastAsia="仿宋" w:cs="仿宋"/>
          <w:bCs/>
          <w:sz w:val="24"/>
          <w:szCs w:val="24"/>
          <w:highlight w:val="yellow"/>
        </w:rPr>
      </w:pPr>
      <w:r>
        <w:rPr>
          <w:rFonts w:hint="eastAsia" w:ascii="仿宋" w:hAnsi="仿宋" w:eastAsia="仿宋" w:cs="仿宋"/>
          <w:bCs/>
          <w:sz w:val="24"/>
          <w:szCs w:val="24"/>
        </w:rPr>
        <w:t>4G无线车载取证系统拓扑结构如图所示：</w:t>
      </w:r>
    </w:p>
    <w:p>
      <w:pPr>
        <w:spacing w:line="240" w:lineRule="auto"/>
        <w:rPr>
          <w:rFonts w:hint="eastAsia" w:ascii="仿宋" w:hAnsi="仿宋" w:eastAsia="仿宋" w:cs="仿宋"/>
          <w:b/>
          <w:sz w:val="24"/>
          <w:szCs w:val="24"/>
          <w:highlight w:val="yellow"/>
        </w:rPr>
      </w:pP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4852670" cy="4601210"/>
            <wp:effectExtent l="0" t="0" r="8890"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852670" cy="4601210"/>
                    </a:xfrm>
                    <a:prstGeom prst="rect">
                      <a:avLst/>
                    </a:prstGeom>
                    <a:noFill/>
                    <a:ln>
                      <a:noFill/>
                    </a:ln>
                  </pic:spPr>
                </pic:pic>
              </a:graphicData>
            </a:graphic>
          </wp:inline>
        </w:drawing>
      </w:r>
    </w:p>
    <w:p>
      <w:pPr>
        <w:spacing w:line="240" w:lineRule="auto"/>
        <w:rPr>
          <w:rFonts w:hint="eastAsia" w:ascii="仿宋" w:hAnsi="仿宋" w:eastAsia="仿宋" w:cs="仿宋"/>
          <w:b/>
          <w:sz w:val="24"/>
          <w:szCs w:val="24"/>
          <w:highlight w:val="yellow"/>
        </w:rPr>
      </w:pP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3．技术要求</w:t>
      </w: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3.1 系统接入方式要求</w:t>
      </w:r>
    </w:p>
    <w:p>
      <w:pPr>
        <w:numPr>
          <w:ilvl w:val="0"/>
          <w:numId w:val="6"/>
        </w:numPr>
        <w:spacing w:line="240" w:lineRule="auto"/>
        <w:ind w:left="0" w:firstLine="459"/>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
          <w:sz w:val="24"/>
          <w:szCs w:val="24"/>
        </w:rPr>
        <w:t>4G高清车载取证系统</w:t>
      </w:r>
      <w:r>
        <w:rPr>
          <w:rFonts w:hint="eastAsia" w:ascii="仿宋" w:hAnsi="仿宋" w:eastAsia="仿宋" w:cs="仿宋"/>
          <w:bCs/>
          <w:sz w:val="24"/>
          <w:szCs w:val="24"/>
        </w:rPr>
        <w:t xml:space="preserve"> 系统无线接入方式主要采用以4G网络进行传输，为了保障安全性，传输通道必须以VPDN方式进行传输，必须跟互联网进行隔绝。</w:t>
      </w: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3.2网络安全性要求</w:t>
      </w:r>
    </w:p>
    <w:p>
      <w:pPr>
        <w:numPr>
          <w:ilvl w:val="0"/>
          <w:numId w:val="6"/>
        </w:numPr>
        <w:spacing w:line="240" w:lineRule="auto"/>
        <w:rPr>
          <w:rFonts w:hint="eastAsia" w:ascii="仿宋" w:hAnsi="仿宋" w:eastAsia="仿宋" w:cs="仿宋"/>
          <w:b/>
          <w:sz w:val="24"/>
          <w:szCs w:val="24"/>
        </w:rPr>
      </w:pPr>
      <w:r>
        <w:rPr>
          <w:rFonts w:hint="eastAsia" w:ascii="仿宋" w:hAnsi="仿宋" w:eastAsia="仿宋" w:cs="仿宋"/>
          <w:bCs/>
          <w:sz w:val="24"/>
          <w:szCs w:val="24"/>
        </w:rPr>
        <w:t></w:t>
      </w:r>
      <w:r>
        <w:rPr>
          <w:rFonts w:hint="eastAsia" w:ascii="仿宋" w:hAnsi="仿宋" w:eastAsia="仿宋" w:cs="仿宋"/>
          <w:b/>
          <w:sz w:val="24"/>
          <w:szCs w:val="24"/>
        </w:rPr>
        <w:t>4G高清车载取证系统</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1、数据流量通道完全与互联网隔离，保障安全性，并于其他用户数据隔离。</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需要分配专用的APN信息，将该APN信息写入通信设备（HLR）中，只有授权过的手机号码才能拨入公安局的内网，其他手机号码一律无法进行该APN的拨号。实现手机号码与用户获取的IP地址的绑定，方便公安局后台设备根据IP地址进行的权限控制反映到手机号码上，实现精确的用户级权限控制及日志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3、采用专用的GGSN进行VPDN业务（该GGSN只进行VPDN业务，不进行大众应用），实现在物理上与大众应用的隔离，确保安全。</w:t>
      </w:r>
    </w:p>
    <w:p>
      <w:pPr>
        <w:spacing w:line="240" w:lineRule="auto"/>
        <w:ind w:firstLine="470" w:firstLineChars="195"/>
        <w:rPr>
          <w:rFonts w:hint="eastAsia" w:ascii="仿宋" w:hAnsi="仿宋" w:eastAsia="仿宋" w:cs="仿宋"/>
          <w:b/>
          <w:sz w:val="24"/>
          <w:szCs w:val="24"/>
        </w:rPr>
      </w:pPr>
      <w:r>
        <w:rPr>
          <w:rFonts w:hint="eastAsia" w:ascii="仿宋" w:hAnsi="仿宋" w:eastAsia="仿宋" w:cs="仿宋"/>
          <w:b/>
          <w:sz w:val="24"/>
          <w:szCs w:val="24"/>
        </w:rPr>
        <w:t>4  售后服务</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1、租赁期内，中标单位实行免费维护服务。定期检测，并提供检测报告。提供相应备品备件。</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2、提供1年*7*24小时服务电话；在接到用户维护通知后，2小时内响应，24小时内解决问题，如无法解决，则扣除相应租赁费用。</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3、重大或突发事件，为联动指挥中心提供现场技术服务。</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4、租赁清单</w:t>
      </w:r>
    </w:p>
    <w:tbl>
      <w:tblPr>
        <w:tblStyle w:val="23"/>
        <w:tblW w:w="8765" w:type="dxa"/>
        <w:tblInd w:w="0" w:type="dxa"/>
        <w:tblLayout w:type="fixed"/>
        <w:tblCellMar>
          <w:top w:w="0" w:type="dxa"/>
          <w:left w:w="108" w:type="dxa"/>
          <w:bottom w:w="0" w:type="dxa"/>
          <w:right w:w="108" w:type="dxa"/>
        </w:tblCellMar>
      </w:tblPr>
      <w:tblGrid>
        <w:gridCol w:w="638"/>
        <w:gridCol w:w="2316"/>
        <w:gridCol w:w="846"/>
        <w:gridCol w:w="638"/>
        <w:gridCol w:w="3051"/>
        <w:gridCol w:w="638"/>
        <w:gridCol w:w="638"/>
      </w:tblGrid>
      <w:tr>
        <w:tblPrEx>
          <w:tblLayout w:type="fixed"/>
          <w:tblCellMar>
            <w:top w:w="0" w:type="dxa"/>
            <w:left w:w="108" w:type="dxa"/>
            <w:bottom w:w="0" w:type="dxa"/>
            <w:right w:w="108" w:type="dxa"/>
          </w:tblCellMar>
        </w:tblPrEx>
        <w:trPr>
          <w:trHeight w:val="300" w:hRule="atLeast"/>
        </w:trPr>
        <w:tc>
          <w:tcPr>
            <w:tcW w:w="638" w:type="dxa"/>
            <w:tcBorders>
              <w:top w:val="single" w:color="auto" w:sz="8" w:space="0"/>
              <w:left w:val="single" w:color="auto" w:sz="8" w:space="0"/>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2316"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名  称</w:t>
            </w:r>
          </w:p>
        </w:tc>
        <w:tc>
          <w:tcPr>
            <w:tcW w:w="846"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品牌</w:t>
            </w:r>
          </w:p>
        </w:tc>
        <w:tc>
          <w:tcPr>
            <w:tcW w:w="638"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型号</w:t>
            </w:r>
          </w:p>
        </w:tc>
        <w:tc>
          <w:tcPr>
            <w:tcW w:w="3051"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型号及基本描述</w:t>
            </w:r>
          </w:p>
        </w:tc>
        <w:tc>
          <w:tcPr>
            <w:tcW w:w="638"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638"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Layout w:type="fixed"/>
          <w:tblCellMar>
            <w:top w:w="0" w:type="dxa"/>
            <w:left w:w="108" w:type="dxa"/>
            <w:bottom w:w="0" w:type="dxa"/>
            <w:right w:w="108" w:type="dxa"/>
          </w:tblCellMar>
        </w:tblPrEx>
        <w:trPr>
          <w:trHeight w:val="300" w:hRule="atLeast"/>
        </w:trPr>
        <w:tc>
          <w:tcPr>
            <w:tcW w:w="8765" w:type="dxa"/>
            <w:gridSpan w:val="7"/>
            <w:tcBorders>
              <w:top w:val="single" w:color="auto" w:sz="8" w:space="0"/>
              <w:left w:val="single" w:color="auto" w:sz="8" w:space="0"/>
              <w:bottom w:val="single" w:color="auto" w:sz="8" w:space="0"/>
              <w:right w:val="single" w:color="000000" w:sz="8" w:space="0"/>
            </w:tcBorders>
            <w:shd w:val="clear" w:color="000000" w:fill="BDD6EE"/>
            <w:noWrap w:val="0"/>
            <w:vAlign w:val="center"/>
          </w:tcPr>
          <w:p>
            <w:pPr>
              <w:widowControl/>
              <w:spacing w:line="24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公安无线车载取证系统</w:t>
            </w:r>
          </w:p>
        </w:tc>
      </w:tr>
      <w:tr>
        <w:tblPrEx>
          <w:tblLayout w:type="fixed"/>
          <w:tblCellMar>
            <w:top w:w="0" w:type="dxa"/>
            <w:left w:w="108" w:type="dxa"/>
            <w:bottom w:w="0" w:type="dxa"/>
            <w:right w:w="108" w:type="dxa"/>
          </w:tblCellMar>
        </w:tblPrEx>
        <w:trPr>
          <w:trHeight w:val="585" w:hRule="atLeast"/>
        </w:trPr>
        <w:tc>
          <w:tcPr>
            <w:tcW w:w="638"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w:t>
            </w:r>
          </w:p>
        </w:tc>
        <w:tc>
          <w:tcPr>
            <w:tcW w:w="23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支架（利旧）</w:t>
            </w:r>
          </w:p>
        </w:tc>
        <w:tc>
          <w:tcPr>
            <w:tcW w:w="84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051"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根据车型量身定制</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0</w:t>
            </w:r>
          </w:p>
        </w:tc>
      </w:tr>
      <w:tr>
        <w:tblPrEx>
          <w:tblLayout w:type="fixed"/>
          <w:tblCellMar>
            <w:top w:w="0" w:type="dxa"/>
            <w:left w:w="108" w:type="dxa"/>
            <w:bottom w:w="0" w:type="dxa"/>
            <w:right w:w="108" w:type="dxa"/>
          </w:tblCellMar>
        </w:tblPrEx>
        <w:trPr>
          <w:trHeight w:val="870" w:hRule="atLeast"/>
        </w:trPr>
        <w:tc>
          <w:tcPr>
            <w:tcW w:w="638"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w:t>
            </w:r>
          </w:p>
        </w:tc>
        <w:tc>
          <w:tcPr>
            <w:tcW w:w="23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原有取证系统续租服务</w:t>
            </w:r>
          </w:p>
        </w:tc>
        <w:tc>
          <w:tcPr>
            <w:tcW w:w="84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051"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1年上门服务</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r>
      <w:tr>
        <w:tblPrEx>
          <w:tblLayout w:type="fixed"/>
          <w:tblCellMar>
            <w:top w:w="0" w:type="dxa"/>
            <w:left w:w="108" w:type="dxa"/>
            <w:bottom w:w="0" w:type="dxa"/>
            <w:right w:w="108" w:type="dxa"/>
          </w:tblCellMar>
        </w:tblPrEx>
        <w:trPr>
          <w:trHeight w:val="585" w:hRule="atLeast"/>
        </w:trPr>
        <w:tc>
          <w:tcPr>
            <w:tcW w:w="638"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p>
        </w:tc>
        <w:tc>
          <w:tcPr>
            <w:tcW w:w="23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4G无线上网卡</w:t>
            </w:r>
          </w:p>
        </w:tc>
        <w:tc>
          <w:tcPr>
            <w:tcW w:w="84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运营商</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051"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每月每卡不少于15GB本地流量</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38"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r>
    </w:tbl>
    <w:p>
      <w:pPr>
        <w:spacing w:line="240" w:lineRule="auto"/>
        <w:jc w:val="left"/>
        <w:rPr>
          <w:rFonts w:hint="eastAsia" w:ascii="仿宋" w:hAnsi="仿宋" w:eastAsia="仿宋" w:cs="仿宋"/>
          <w:b/>
          <w:bCs/>
          <w:sz w:val="24"/>
          <w:szCs w:val="24"/>
        </w:rPr>
      </w:pPr>
    </w:p>
    <w:p>
      <w:pPr>
        <w:spacing w:line="240" w:lineRule="auto"/>
        <w:jc w:val="left"/>
        <w:rPr>
          <w:rFonts w:hint="eastAsia" w:ascii="仿宋" w:hAnsi="仿宋" w:eastAsia="仿宋" w:cs="仿宋"/>
          <w:b/>
          <w:bCs/>
          <w:sz w:val="24"/>
          <w:szCs w:val="24"/>
        </w:rPr>
      </w:pPr>
    </w:p>
    <w:p>
      <w:pPr>
        <w:spacing w:line="240" w:lineRule="auto"/>
        <w:jc w:val="left"/>
        <w:rPr>
          <w:rFonts w:hint="eastAsia" w:ascii="仿宋" w:hAnsi="仿宋" w:eastAsia="仿宋" w:cs="仿宋"/>
          <w:b/>
          <w:bCs/>
          <w:sz w:val="24"/>
          <w:szCs w:val="24"/>
        </w:rPr>
      </w:pPr>
    </w:p>
    <w:p>
      <w:pPr>
        <w:spacing w:line="240" w:lineRule="auto"/>
        <w:rPr>
          <w:rFonts w:hint="eastAsia" w:ascii="仿宋" w:hAnsi="仿宋" w:eastAsia="仿宋" w:cs="仿宋"/>
          <w:sz w:val="24"/>
          <w:szCs w:val="24"/>
        </w:rPr>
      </w:pPr>
    </w:p>
    <w:p>
      <w:pPr>
        <w:spacing w:line="240" w:lineRule="auto"/>
        <w:rPr>
          <w:rFonts w:hint="eastAsia" w:ascii="仿宋" w:hAnsi="仿宋" w:eastAsia="仿宋" w:cs="仿宋"/>
          <w:sz w:val="24"/>
          <w:szCs w:val="24"/>
        </w:rPr>
      </w:pPr>
      <w:r>
        <w:rPr>
          <w:rFonts w:hint="eastAsia" w:ascii="仿宋" w:hAnsi="仿宋" w:eastAsia="仿宋" w:cs="仿宋"/>
          <w:sz w:val="24"/>
          <w:szCs w:val="24"/>
        </w:rPr>
        <w:br w:type="page"/>
      </w:r>
    </w:p>
    <w:p>
      <w:pPr>
        <w:pStyle w:val="13"/>
        <w:numPr>
          <w:ilvl w:val="0"/>
          <w:numId w:val="0"/>
        </w:numPr>
        <w:tabs>
          <w:tab w:val="left" w:pos="482"/>
          <w:tab w:val="clear" w:pos="1200"/>
        </w:tabs>
        <w:spacing w:after="156" w:line="240" w:lineRule="auto"/>
        <w:ind w:left="142"/>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bdr w:val="single" w:color="auto" w:sz="4" w:space="0"/>
        </w:rPr>
        <w:t>03标</w:t>
      </w:r>
      <w:r>
        <w:rPr>
          <w:rFonts w:hint="eastAsia" w:ascii="仿宋" w:hAnsi="仿宋" w:eastAsia="仿宋" w:cs="仿宋"/>
          <w:b/>
          <w:bCs w:val="0"/>
          <w:color w:val="auto"/>
          <w:sz w:val="28"/>
          <w:szCs w:val="28"/>
        </w:rPr>
        <w:t>110及巡特警巡逻车4G监控租赁（原高新）</w:t>
      </w:r>
    </w:p>
    <w:p>
      <w:pPr>
        <w:tabs>
          <w:tab w:val="left" w:pos="3870"/>
          <w:tab w:val="left" w:pos="4085"/>
        </w:tabs>
        <w:autoSpaceDE w:val="0"/>
        <w:autoSpaceDN w:val="0"/>
        <w:adjustRightInd w:val="0"/>
        <w:spacing w:line="240" w:lineRule="auto"/>
        <w:ind w:left="180" w:firstLine="482" w:firstLineChars="200"/>
        <w:jc w:val="left"/>
        <w:rPr>
          <w:rFonts w:hint="eastAsia" w:ascii="仿宋" w:hAnsi="仿宋" w:eastAsia="仿宋" w:cs="仿宋"/>
          <w:b/>
          <w:bCs/>
          <w:sz w:val="24"/>
          <w:szCs w:val="24"/>
        </w:rPr>
      </w:pPr>
      <w:r>
        <w:rPr>
          <w:rFonts w:hint="eastAsia" w:ascii="仿宋" w:hAnsi="仿宋" w:eastAsia="仿宋" w:cs="仿宋"/>
          <w:b/>
          <w:bCs/>
          <w:sz w:val="24"/>
          <w:szCs w:val="24"/>
        </w:rPr>
        <w:t>1．项目概述</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随着4G业务的发展，无线视频监控在现场取证及应急指挥工作中得到广泛应用。警用执法、安全保卫、应急指挥等多种领域对移动视频监控的需求越来越迫切。车载动态取证系统拥有反应灵活的特点，通过无线实时视频将现场情况及时传回指挥中心，便于远程指挥和调度，极大地缩短反应时间，增强应急能力。</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原三年租期的《绍兴市公安局越城分局4G车载动态无线视频监控系统租赁项目合同》已到期履行完毕。需要继续采购租赁服务。</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并对高清车载取证系统进行升级，以保持**装备先进稳定，保证业务正常运作。高清车载取证系统通过逐年更换的方式进行更新升级，第一年和第二年每年升级改造4套高清车载取证系统，第三年改造3套高清车载取证系统。</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具体需求、预算及拟采购单位：</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一、租赁规模：高清车载取证系统设备维护及流量租赁。</w:t>
      </w:r>
    </w:p>
    <w:p>
      <w:pPr>
        <w:tabs>
          <w:tab w:val="left" w:pos="3870"/>
          <w:tab w:val="left" w:pos="4085"/>
        </w:tabs>
        <w:autoSpaceDE w:val="0"/>
        <w:autoSpaceDN w:val="0"/>
        <w:adjustRightInd w:val="0"/>
        <w:spacing w:line="240" w:lineRule="auto"/>
        <w:ind w:left="180" w:firstLine="480" w:firstLineChars="200"/>
        <w:jc w:val="left"/>
        <w:rPr>
          <w:rFonts w:hint="eastAsia" w:ascii="仿宋" w:hAnsi="仿宋" w:eastAsia="仿宋" w:cs="仿宋"/>
          <w:sz w:val="24"/>
          <w:szCs w:val="24"/>
        </w:rPr>
      </w:pPr>
      <w:r>
        <w:rPr>
          <w:rFonts w:hint="eastAsia" w:ascii="仿宋" w:hAnsi="仿宋" w:eastAsia="仿宋" w:cs="仿宋"/>
          <w:sz w:val="24"/>
          <w:szCs w:val="24"/>
        </w:rPr>
        <w:t>二、预算价格：以租赁形式，租期一年，每年租费不高于27000元，公安无线车载取证系统（含流量）报价。</w:t>
      </w:r>
    </w:p>
    <w:p>
      <w:pPr>
        <w:spacing w:line="24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2．系统功能实现</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2.1 4G高清车载取证系统</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视音频系统贯穿在整个动态取证系统的日常工作、应急受理、指挥调度、管理系统等各种活动中，是整个指挥系统最有效的信息获取、协调指挥的手段之一；是指挥系统与指挥人员人机交互的最主要的表现形式。其具体应具有如下基本功能</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① 图像实时远程监看——指挥平台随时可远程调取每个前端移动取证终端的实时图像。</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② 同步录像并存档——前端移动取证终端本地同步记录处理过程的全部视音频数据，后台中心记录应急指挥等视频并可进行备份存储，以备后续的查看；录像的回放分辨率1280*720、720*576、704*576、352*288、176*144可调，设备码率及帧率均可进行调整，帧率可达到25帧/秒。</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③ 远程设备控制——控制平台得到授权后可对任意车载监控点的云台、摄像机等设备进行远程控制或修改其参数。</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④ 图像抓拍及录像标记——前方车载取证设备可对违法等事件进行抓取图片及标记录像，便于后续检索查证。</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⑤ 平台分级管理——平台可进行对用户的权限划分，根据不同的职能进行分级权限控制，权限不同可查看或操作的权限也不同。</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⑥ 视频归档管理——按照视频终端名称、日期等排序归档，并可与案件信息关联。</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⑦ 浏览历史视频记录——指挥平台随时可调取每个视频终端历史视频记录。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⑧ 实时定位——前端移动取证终端可每分钟自动或随时手动向指挥中心传送GPS定位数据，并在电子地图上显示地理位置信息。</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⑨ 轨迹回放功能——对前端移动取证终端的移动轨迹进行保存并回放，如前端移动取证终端有视音频记录，可同步播放对应历史记录。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 系统建设完成后需统一接入绍兴市公安局越城分局现有的无线车载系统平台，实现统一管理统一调度。</w:t>
      </w:r>
    </w:p>
    <w:p>
      <w:pPr>
        <w:spacing w:line="240" w:lineRule="auto"/>
        <w:ind w:firstLine="480" w:firstLineChars="200"/>
        <w:rPr>
          <w:rFonts w:hint="eastAsia" w:ascii="仿宋" w:hAnsi="仿宋" w:eastAsia="仿宋" w:cs="仿宋"/>
          <w:bCs/>
          <w:sz w:val="24"/>
          <w:szCs w:val="24"/>
          <w:highlight w:val="yellow"/>
        </w:rPr>
      </w:pPr>
      <w:r>
        <w:rPr>
          <w:rFonts w:hint="eastAsia" w:ascii="仿宋" w:hAnsi="仿宋" w:eastAsia="仿宋" w:cs="仿宋"/>
          <w:bCs/>
          <w:sz w:val="24"/>
          <w:szCs w:val="24"/>
        </w:rPr>
        <w:t>4G无线车载取证系统拓扑结构如图所示：</w:t>
      </w:r>
    </w:p>
    <w:p>
      <w:pPr>
        <w:spacing w:line="240" w:lineRule="auto"/>
        <w:rPr>
          <w:rFonts w:hint="eastAsia" w:ascii="仿宋" w:hAnsi="仿宋" w:eastAsia="仿宋" w:cs="仿宋"/>
          <w:b/>
          <w:sz w:val="24"/>
          <w:szCs w:val="24"/>
          <w:highlight w:val="yellow"/>
        </w:rPr>
      </w:pP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4852670" cy="4601210"/>
            <wp:effectExtent l="0" t="0" r="8890" b="127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852670" cy="4601210"/>
                    </a:xfrm>
                    <a:prstGeom prst="rect">
                      <a:avLst/>
                    </a:prstGeom>
                    <a:noFill/>
                    <a:ln>
                      <a:noFill/>
                    </a:ln>
                  </pic:spPr>
                </pic:pic>
              </a:graphicData>
            </a:graphic>
          </wp:inline>
        </w:drawing>
      </w:r>
    </w:p>
    <w:p>
      <w:pPr>
        <w:spacing w:line="240" w:lineRule="auto"/>
        <w:rPr>
          <w:rFonts w:hint="eastAsia" w:ascii="仿宋" w:hAnsi="仿宋" w:eastAsia="仿宋" w:cs="仿宋"/>
          <w:b/>
          <w:sz w:val="24"/>
          <w:szCs w:val="24"/>
          <w:highlight w:val="yellow"/>
        </w:rPr>
      </w:pP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3．技术要求</w:t>
      </w: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3.1 系统接入方式要求</w:t>
      </w:r>
    </w:p>
    <w:p>
      <w:pPr>
        <w:numPr>
          <w:ilvl w:val="0"/>
          <w:numId w:val="6"/>
        </w:numPr>
        <w:spacing w:line="240" w:lineRule="auto"/>
        <w:ind w:left="0" w:firstLine="459"/>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
          <w:sz w:val="24"/>
          <w:szCs w:val="24"/>
        </w:rPr>
        <w:t>4G高清车载取证系统</w:t>
      </w:r>
      <w:r>
        <w:rPr>
          <w:rFonts w:hint="eastAsia" w:ascii="仿宋" w:hAnsi="仿宋" w:eastAsia="仿宋" w:cs="仿宋"/>
          <w:bCs/>
          <w:sz w:val="24"/>
          <w:szCs w:val="24"/>
        </w:rPr>
        <w:t xml:space="preserve"> 系统无线接入方式主要采用以4G网络进行传输，为了保障安全性，传输通道必须以VPDN方式进行传输，必须跟互联网进行隔绝。</w:t>
      </w:r>
    </w:p>
    <w:p>
      <w:pPr>
        <w:spacing w:line="240" w:lineRule="auto"/>
        <w:ind w:firstLine="482" w:firstLineChars="200"/>
        <w:rPr>
          <w:rFonts w:hint="eastAsia" w:ascii="仿宋" w:hAnsi="仿宋" w:eastAsia="仿宋" w:cs="仿宋"/>
          <w:bCs/>
          <w:sz w:val="24"/>
          <w:szCs w:val="24"/>
        </w:rPr>
      </w:pPr>
      <w:r>
        <w:rPr>
          <w:rFonts w:hint="eastAsia" w:ascii="仿宋" w:hAnsi="仿宋" w:eastAsia="仿宋" w:cs="仿宋"/>
          <w:b/>
          <w:sz w:val="24"/>
          <w:szCs w:val="24"/>
        </w:rPr>
        <w:t>3.2网络安全性要求</w:t>
      </w:r>
    </w:p>
    <w:p>
      <w:pPr>
        <w:numPr>
          <w:ilvl w:val="0"/>
          <w:numId w:val="6"/>
        </w:numPr>
        <w:spacing w:line="240" w:lineRule="auto"/>
        <w:rPr>
          <w:rFonts w:hint="eastAsia" w:ascii="仿宋" w:hAnsi="仿宋" w:eastAsia="仿宋" w:cs="仿宋"/>
          <w:b/>
          <w:sz w:val="24"/>
          <w:szCs w:val="24"/>
        </w:rPr>
      </w:pPr>
      <w:r>
        <w:rPr>
          <w:rFonts w:hint="eastAsia" w:ascii="仿宋" w:hAnsi="仿宋" w:eastAsia="仿宋" w:cs="仿宋"/>
          <w:bCs/>
          <w:sz w:val="24"/>
          <w:szCs w:val="24"/>
        </w:rPr>
        <w:t></w:t>
      </w:r>
      <w:r>
        <w:rPr>
          <w:rFonts w:hint="eastAsia" w:ascii="仿宋" w:hAnsi="仿宋" w:eastAsia="仿宋" w:cs="仿宋"/>
          <w:b/>
          <w:sz w:val="24"/>
          <w:szCs w:val="24"/>
        </w:rPr>
        <w:t>4G高清车载取证系统</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1、数据流量通道完全与互联网隔离，保障安全性，并于其他用户数据隔离。</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需要分配专用的APN信息，将该APN信息写入通信设备（HLR）中，只有授权过的手机号码才能拨入公安局的内网，其他手机号码一律无法进行该APN的拨号。实现手机号码与用户获取的IP地址的绑定，方便公安局后台设备根据IP地址进行的权限控制反映到手机号码上，实现精确的用户级权限控制及日志记录。</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3、采用专用的GGSN进行VPDN业务（该GGSN只进行VPDN业务，不进行大众应用），实现在物理上与大众应用的隔离，确保安全。</w:t>
      </w:r>
    </w:p>
    <w:p>
      <w:pPr>
        <w:spacing w:line="240" w:lineRule="auto"/>
        <w:ind w:firstLine="470" w:firstLineChars="195"/>
        <w:rPr>
          <w:rFonts w:hint="eastAsia" w:ascii="仿宋" w:hAnsi="仿宋" w:eastAsia="仿宋" w:cs="仿宋"/>
          <w:b/>
          <w:sz w:val="24"/>
          <w:szCs w:val="24"/>
        </w:rPr>
      </w:pPr>
      <w:r>
        <w:rPr>
          <w:rFonts w:hint="eastAsia" w:ascii="仿宋" w:hAnsi="仿宋" w:eastAsia="仿宋" w:cs="仿宋"/>
          <w:b/>
          <w:sz w:val="24"/>
          <w:szCs w:val="24"/>
        </w:rPr>
        <w:t>4  售后服务</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1、租赁期内，中标单位实行免费维护服务。定期检测，并提供检测报告。提供相应备品备件。</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2、提供1年*7*24小时服务电话；在接到用户维护通知后，2小时内响应，24小时内解决问题，如无法解决，则扣除相应租赁费用。</w:t>
      </w:r>
    </w:p>
    <w:p>
      <w:pPr>
        <w:spacing w:line="24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3、重大或突发事件，为联动指挥中心提供现场技术服务。</w:t>
      </w:r>
    </w:p>
    <w:p>
      <w:pPr>
        <w:spacing w:line="240" w:lineRule="auto"/>
        <w:jc w:val="left"/>
        <w:rPr>
          <w:rFonts w:hint="eastAsia" w:ascii="仿宋" w:hAnsi="仿宋" w:eastAsia="仿宋" w:cs="仿宋"/>
          <w:b/>
          <w:bCs/>
          <w:sz w:val="24"/>
          <w:szCs w:val="24"/>
        </w:rPr>
      </w:pPr>
      <w:r>
        <w:rPr>
          <w:rFonts w:hint="eastAsia" w:ascii="仿宋" w:hAnsi="仿宋" w:eastAsia="仿宋" w:cs="仿宋"/>
          <w:sz w:val="24"/>
          <w:szCs w:val="24"/>
        </w:rPr>
        <w:t>4、租赁清单</w:t>
      </w:r>
    </w:p>
    <w:tbl>
      <w:tblPr>
        <w:tblStyle w:val="23"/>
        <w:tblW w:w="8850" w:type="dxa"/>
        <w:tblInd w:w="108" w:type="dxa"/>
        <w:tblLayout w:type="fixed"/>
        <w:tblCellMar>
          <w:top w:w="0" w:type="dxa"/>
          <w:left w:w="108" w:type="dxa"/>
          <w:bottom w:w="0" w:type="dxa"/>
          <w:right w:w="108" w:type="dxa"/>
        </w:tblCellMar>
      </w:tblPr>
      <w:tblGrid>
        <w:gridCol w:w="507"/>
        <w:gridCol w:w="1272"/>
        <w:gridCol w:w="665"/>
        <w:gridCol w:w="1476"/>
        <w:gridCol w:w="3916"/>
        <w:gridCol w:w="507"/>
        <w:gridCol w:w="507"/>
      </w:tblGrid>
      <w:tr>
        <w:tblPrEx>
          <w:tblLayout w:type="fixed"/>
          <w:tblCellMar>
            <w:top w:w="0" w:type="dxa"/>
            <w:left w:w="108" w:type="dxa"/>
            <w:bottom w:w="0" w:type="dxa"/>
            <w:right w:w="108" w:type="dxa"/>
          </w:tblCellMar>
        </w:tblPrEx>
        <w:trPr>
          <w:trHeight w:val="300" w:hRule="atLeast"/>
        </w:trPr>
        <w:tc>
          <w:tcPr>
            <w:tcW w:w="507" w:type="dxa"/>
            <w:tcBorders>
              <w:top w:val="single" w:color="auto" w:sz="8" w:space="0"/>
              <w:left w:val="single" w:color="auto" w:sz="8" w:space="0"/>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272"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名  称</w:t>
            </w:r>
          </w:p>
        </w:tc>
        <w:tc>
          <w:tcPr>
            <w:tcW w:w="665"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品牌</w:t>
            </w:r>
          </w:p>
        </w:tc>
        <w:tc>
          <w:tcPr>
            <w:tcW w:w="1476"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型号</w:t>
            </w:r>
          </w:p>
        </w:tc>
        <w:tc>
          <w:tcPr>
            <w:tcW w:w="3916"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型号及基本描述</w:t>
            </w:r>
          </w:p>
        </w:tc>
        <w:tc>
          <w:tcPr>
            <w:tcW w:w="507"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单位</w:t>
            </w:r>
          </w:p>
        </w:tc>
        <w:tc>
          <w:tcPr>
            <w:tcW w:w="507" w:type="dxa"/>
            <w:tcBorders>
              <w:top w:val="single" w:color="auto" w:sz="8" w:space="0"/>
              <w:left w:val="nil"/>
              <w:bottom w:val="single" w:color="auto" w:sz="8" w:space="0"/>
              <w:right w:val="single" w:color="auto" w:sz="8" w:space="0"/>
            </w:tcBorders>
            <w:shd w:val="clear" w:color="000000" w:fill="AEAAAA"/>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数量</w:t>
            </w:r>
          </w:p>
        </w:tc>
      </w:tr>
      <w:tr>
        <w:tblPrEx>
          <w:tblLayout w:type="fixed"/>
          <w:tblCellMar>
            <w:top w:w="0" w:type="dxa"/>
            <w:left w:w="108" w:type="dxa"/>
            <w:bottom w:w="0" w:type="dxa"/>
            <w:right w:w="108" w:type="dxa"/>
          </w:tblCellMar>
        </w:tblPrEx>
        <w:trPr>
          <w:trHeight w:val="300" w:hRule="atLeast"/>
        </w:trPr>
        <w:tc>
          <w:tcPr>
            <w:tcW w:w="8850" w:type="dxa"/>
            <w:gridSpan w:val="7"/>
            <w:tcBorders>
              <w:top w:val="single" w:color="auto" w:sz="8" w:space="0"/>
              <w:left w:val="single" w:color="auto" w:sz="8" w:space="0"/>
              <w:bottom w:val="single" w:color="auto" w:sz="8" w:space="0"/>
              <w:right w:val="single" w:color="000000" w:sz="8" w:space="0"/>
            </w:tcBorders>
            <w:shd w:val="clear" w:color="000000" w:fill="BDD6EE"/>
            <w:noWrap w:val="0"/>
            <w:vAlign w:val="center"/>
          </w:tcPr>
          <w:p>
            <w:pPr>
              <w:widowControl/>
              <w:spacing w:line="24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公安无线车载取证系统</w:t>
            </w:r>
          </w:p>
        </w:tc>
      </w:tr>
      <w:tr>
        <w:tblPrEx>
          <w:tblLayout w:type="fixed"/>
          <w:tblCellMar>
            <w:top w:w="0" w:type="dxa"/>
            <w:left w:w="108" w:type="dxa"/>
            <w:bottom w:w="0" w:type="dxa"/>
            <w:right w:w="108" w:type="dxa"/>
          </w:tblCellMar>
        </w:tblPrEx>
        <w:trPr>
          <w:trHeight w:val="285" w:hRule="atLeast"/>
        </w:trPr>
        <w:tc>
          <w:tcPr>
            <w:tcW w:w="50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w:t>
            </w:r>
          </w:p>
        </w:tc>
        <w:tc>
          <w:tcPr>
            <w:tcW w:w="1272"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取证系统</w:t>
            </w:r>
          </w:p>
        </w:tc>
        <w:tc>
          <w:tcPr>
            <w:tcW w:w="665"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海康威视</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DS-MI9605-GF</w:t>
            </w: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产品类型：车载取证(主机、云台、手控器、显示屏)</w:t>
            </w:r>
          </w:p>
        </w:tc>
        <w:tc>
          <w:tcPr>
            <w:tcW w:w="50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50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Layout w:type="fixed"/>
          <w:tblCellMar>
            <w:top w:w="0" w:type="dxa"/>
            <w:left w:w="108" w:type="dxa"/>
            <w:bottom w:w="0" w:type="dxa"/>
            <w:right w:w="108" w:type="dxa"/>
          </w:tblCellMar>
        </w:tblPrEx>
        <w:trPr>
          <w:trHeight w:val="570"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视频通道：1路H.265高清1080P云台+4路H.265网络1080P IPC(6芯航空头对接)；</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存储容量：标配1T硬盘(最大支持2块2.5寸硬盘)；</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通信模块：联通4G；</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定位模块：标配GPS&amp;北斗；</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WIFI模块：需要下单走ZTA备注；</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电源输入：DC+8V～+36V；</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云台参数：1080P分辨率，30倍光学变焦，IP66防护等级；</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nil"/>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显示屏：标配7寸LED显示屏，分辨率1024X600 RGB，支持触摸屏操作； </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00" w:hRule="atLeast"/>
        </w:trPr>
        <w:tc>
          <w:tcPr>
            <w:tcW w:w="50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b/>
                <w:bCs/>
                <w:color w:val="000000"/>
                <w:kern w:val="0"/>
                <w:sz w:val="24"/>
                <w:szCs w:val="24"/>
              </w:rPr>
            </w:pPr>
          </w:p>
        </w:tc>
        <w:tc>
          <w:tcPr>
            <w:tcW w:w="1272"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665"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p>
        </w:tc>
        <w:tc>
          <w:tcPr>
            <w:tcW w:w="39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主机尺寸：205mm(宽)×102.3mm(高)×256mm(深)</w:t>
            </w: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c>
          <w:tcPr>
            <w:tcW w:w="507" w:type="dxa"/>
            <w:vMerge w:val="continue"/>
            <w:tcBorders>
              <w:top w:val="nil"/>
              <w:left w:val="single" w:color="auto" w:sz="8" w:space="0"/>
              <w:bottom w:val="single" w:color="000000" w:sz="8" w:space="0"/>
              <w:right w:val="single" w:color="auto" w:sz="8" w:space="0"/>
            </w:tcBorders>
            <w:noWrap w:val="0"/>
            <w:vAlign w:val="center"/>
          </w:tcPr>
          <w:p>
            <w:pPr>
              <w:widowControl/>
              <w:spacing w:line="240" w:lineRule="auto"/>
              <w:jc w:val="left"/>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585" w:hRule="atLeast"/>
        </w:trPr>
        <w:tc>
          <w:tcPr>
            <w:tcW w:w="507"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w:t>
            </w:r>
          </w:p>
        </w:tc>
        <w:tc>
          <w:tcPr>
            <w:tcW w:w="1272"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支架（利旧）</w:t>
            </w:r>
          </w:p>
        </w:tc>
        <w:tc>
          <w:tcPr>
            <w:tcW w:w="665"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147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9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根据车型量身定制</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0</w:t>
            </w:r>
          </w:p>
        </w:tc>
      </w:tr>
      <w:tr>
        <w:tblPrEx>
          <w:tblLayout w:type="fixed"/>
          <w:tblCellMar>
            <w:top w:w="0" w:type="dxa"/>
            <w:left w:w="108" w:type="dxa"/>
            <w:bottom w:w="0" w:type="dxa"/>
            <w:right w:w="108" w:type="dxa"/>
          </w:tblCellMar>
        </w:tblPrEx>
        <w:trPr>
          <w:trHeight w:val="870" w:hRule="atLeast"/>
        </w:trPr>
        <w:tc>
          <w:tcPr>
            <w:tcW w:w="507"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p>
        </w:tc>
        <w:tc>
          <w:tcPr>
            <w:tcW w:w="1272"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原有取证系统续租服务</w:t>
            </w:r>
          </w:p>
        </w:tc>
        <w:tc>
          <w:tcPr>
            <w:tcW w:w="665"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147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9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1年上门服务</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Layout w:type="fixed"/>
          <w:tblCellMar>
            <w:top w:w="0" w:type="dxa"/>
            <w:left w:w="108" w:type="dxa"/>
            <w:bottom w:w="0" w:type="dxa"/>
            <w:right w:w="108" w:type="dxa"/>
          </w:tblCellMar>
        </w:tblPrEx>
        <w:trPr>
          <w:trHeight w:val="585" w:hRule="atLeast"/>
        </w:trPr>
        <w:tc>
          <w:tcPr>
            <w:tcW w:w="507" w:type="dxa"/>
            <w:tcBorders>
              <w:top w:val="nil"/>
              <w:left w:val="single" w:color="auto" w:sz="8" w:space="0"/>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w:t>
            </w:r>
          </w:p>
        </w:tc>
        <w:tc>
          <w:tcPr>
            <w:tcW w:w="1272"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4G无线上网卡</w:t>
            </w:r>
          </w:p>
        </w:tc>
        <w:tc>
          <w:tcPr>
            <w:tcW w:w="665"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运营商</w:t>
            </w:r>
          </w:p>
        </w:tc>
        <w:tc>
          <w:tcPr>
            <w:tcW w:w="147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定制</w:t>
            </w:r>
          </w:p>
        </w:tc>
        <w:tc>
          <w:tcPr>
            <w:tcW w:w="3916"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每月每卡不少于15GB本地流量</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507" w:type="dxa"/>
            <w:tcBorders>
              <w:top w:val="nil"/>
              <w:left w:val="nil"/>
              <w:bottom w:val="single" w:color="auto" w:sz="8" w:space="0"/>
              <w:right w:val="single" w:color="auto" w:sz="8" w:space="0"/>
            </w:tcBorders>
            <w:shd w:val="clear" w:color="auto" w:fill="auto"/>
            <w:noWrap w:val="0"/>
            <w:vAlign w:val="center"/>
          </w:tcPr>
          <w:p>
            <w:pPr>
              <w:widowControl/>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r>
    </w:tbl>
    <w:p>
      <w:pPr>
        <w:spacing w:line="240" w:lineRule="auto"/>
        <w:jc w:val="left"/>
        <w:rPr>
          <w:rFonts w:hint="eastAsia" w:ascii="仿宋" w:hAnsi="仿宋" w:eastAsia="仿宋" w:cs="仿宋"/>
          <w:b/>
          <w:bCs/>
          <w:sz w:val="24"/>
          <w:szCs w:val="24"/>
        </w:rPr>
      </w:pP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6.其它相关要求：</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6.1  交货时间、地点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 xml:space="preserve">6.1.1 交货时间： </w:t>
      </w:r>
      <w:r>
        <w:rPr>
          <w:rFonts w:hint="eastAsia" w:ascii="仿宋" w:hAnsi="仿宋" w:eastAsia="仿宋" w:cs="仿宋"/>
          <w:color w:val="FF0000"/>
          <w:sz w:val="24"/>
          <w:szCs w:val="24"/>
          <w:highlight w:val="yellow"/>
        </w:rPr>
        <w:t>2019年9月30日前完成安装、调试、验收并交付使用。</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6.1.2  交货地点</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交货地点：绍兴市公安局越城分局</w:t>
      </w:r>
    </w:p>
    <w:p>
      <w:pPr>
        <w:spacing w:line="240" w:lineRule="auto"/>
        <w:jc w:val="left"/>
        <w:rPr>
          <w:rFonts w:hint="eastAsia" w:ascii="仿宋" w:hAnsi="仿宋" w:eastAsia="仿宋" w:cs="仿宋"/>
          <w:b/>
          <w:bCs/>
          <w:sz w:val="24"/>
          <w:szCs w:val="24"/>
        </w:rPr>
      </w:pPr>
      <w:r>
        <w:rPr>
          <w:rFonts w:hint="eastAsia" w:ascii="仿宋" w:hAnsi="仿宋" w:eastAsia="仿宋" w:cs="仿宋"/>
          <w:b/>
          <w:bCs/>
          <w:sz w:val="24"/>
          <w:szCs w:val="24"/>
        </w:rPr>
        <w:t>6.2  付款方式</w:t>
      </w:r>
    </w:p>
    <w:p>
      <w:pPr>
        <w:spacing w:line="240" w:lineRule="auto"/>
        <w:jc w:val="left"/>
        <w:rPr>
          <w:rFonts w:hint="eastAsia" w:ascii="仿宋" w:hAnsi="仿宋" w:eastAsia="仿宋" w:cs="仿宋"/>
          <w:sz w:val="24"/>
          <w:szCs w:val="24"/>
        </w:rPr>
      </w:pPr>
      <w:r>
        <w:rPr>
          <w:rFonts w:hint="eastAsia" w:ascii="仿宋" w:hAnsi="仿宋" w:eastAsia="仿宋" w:cs="仿宋"/>
          <w:sz w:val="24"/>
          <w:szCs w:val="24"/>
        </w:rPr>
        <w:t>合同签订后，乙方向甲方指定账户打入合同金额5%作为履约保证金；收到履约保证金后，甲方在30个工作日内支付合同金额100%。服务期满，验收合格后退还履约保证金（不计息）。</w:t>
      </w:r>
    </w:p>
    <w:p>
      <w:pPr>
        <w:spacing w:line="240" w:lineRule="auto"/>
        <w:jc w:val="left"/>
        <w:rPr>
          <w:rFonts w:hint="eastAsia" w:ascii="仿宋" w:hAnsi="仿宋" w:eastAsia="仿宋" w:cs="仿宋"/>
          <w:color w:val="000000"/>
          <w:sz w:val="24"/>
          <w:szCs w:val="24"/>
        </w:rPr>
      </w:pPr>
      <w:r>
        <w:rPr>
          <w:rFonts w:hint="eastAsia" w:ascii="仿宋" w:hAnsi="仿宋" w:eastAsia="仿宋" w:cs="仿宋"/>
          <w:sz w:val="24"/>
          <w:szCs w:val="24"/>
        </w:rPr>
        <w:t>本次招标合同有效期1年，从合同签订之日起算。</w:t>
      </w:r>
      <w:r>
        <w:rPr>
          <w:rFonts w:hint="eastAsia" w:ascii="仿宋" w:hAnsi="仿宋" w:eastAsia="仿宋" w:cs="仿宋"/>
          <w:color w:val="000000"/>
          <w:sz w:val="24"/>
          <w:szCs w:val="24"/>
        </w:rPr>
        <w:t xml:space="preserve"> </w:t>
      </w:r>
    </w:p>
    <w:p>
      <w:pPr>
        <w:pStyle w:val="14"/>
        <w:spacing w:line="800" w:lineRule="exact"/>
        <w:jc w:val="both"/>
        <w:rPr>
          <w:rFonts w:hint="eastAsia" w:ascii="仿宋" w:hAnsi="仿宋" w:eastAsia="仿宋" w:cs="仿宋"/>
          <w:b/>
          <w:sz w:val="36"/>
          <w:szCs w:val="36"/>
        </w:rPr>
      </w:pP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w:t>
      </w:r>
      <w:r>
        <w:rPr>
          <w:rFonts w:ascii="仿宋" w:hAnsi="仿宋" w:eastAsia="仿宋" w:cs="仿宋"/>
          <w:b/>
          <w:sz w:val="36"/>
          <w:szCs w:val="36"/>
        </w:rPr>
        <w:t xml:space="preserve"> </w:t>
      </w:r>
      <w:r>
        <w:rPr>
          <w:rFonts w:hint="eastAsia" w:ascii="仿宋" w:hAnsi="仿宋" w:eastAsia="仿宋" w:cs="仿宋"/>
          <w:b/>
          <w:sz w:val="36"/>
          <w:szCs w:val="36"/>
        </w:rPr>
        <w:t>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4" w:name="OLE_LINK1"/>
      <w:r>
        <w:rPr>
          <w:rFonts w:hint="eastAsia" w:ascii="仿宋" w:hAnsi="仿宋" w:eastAsia="仿宋" w:cs="仿宋"/>
          <w:b/>
          <w:bCs/>
          <w:sz w:val="24"/>
        </w:rPr>
        <w:t>范围</w:t>
      </w:r>
      <w:bookmarkEnd w:id="4"/>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62"/>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lang w:eastAsia="zh-CN"/>
        </w:rPr>
        <w:t>实施</w:t>
      </w:r>
      <w:r>
        <w:rPr>
          <w:rFonts w:hint="eastAsia" w:ascii="仿宋" w:hAnsi="仿宋" w:eastAsia="仿宋" w:cs="仿宋"/>
          <w:sz w:val="24"/>
        </w:rPr>
        <w:t>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lang w:eastAsia="zh-CN"/>
        </w:rPr>
        <w:t>完工</w:t>
      </w:r>
      <w:r>
        <w:rPr>
          <w:rFonts w:hint="eastAsia" w:ascii="仿宋" w:hAnsi="仿宋" w:eastAsia="仿宋" w:cs="仿宋"/>
          <w:sz w:val="24"/>
        </w:rPr>
        <w:t>期：按标项内具体要求执行。</w:t>
      </w:r>
    </w:p>
    <w:p>
      <w:pPr>
        <w:pStyle w:val="7"/>
        <w:numPr>
          <w:ilvl w:val="0"/>
          <w:numId w:val="0"/>
        </w:numPr>
        <w:tabs>
          <w:tab w:val="clear" w:pos="780"/>
        </w:tabs>
        <w:spacing w:line="440" w:lineRule="exact"/>
        <w:rPr>
          <w:rFonts w:ascii="仿宋" w:hAnsi="仿宋" w:eastAsia="仿宋"/>
          <w:color w:val="000000"/>
          <w:sz w:val="24"/>
        </w:rPr>
      </w:pPr>
      <w:r>
        <w:rPr>
          <w:rFonts w:ascii="仿宋" w:hAnsi="仿宋" w:eastAsia="仿宋" w:cs="仿宋"/>
          <w:b/>
          <w:bCs/>
          <w:color w:val="000000"/>
          <w:sz w:val="24"/>
        </w:rPr>
        <w:t>3.</w:t>
      </w:r>
      <w:r>
        <w:rPr>
          <w:rFonts w:hint="eastAsia" w:ascii="仿宋" w:hAnsi="仿宋" w:eastAsia="仿宋" w:cs="仿宋"/>
          <w:b/>
          <w:bCs/>
          <w:color w:val="000000"/>
          <w:sz w:val="24"/>
        </w:rPr>
        <w:t>付款方式：</w:t>
      </w:r>
      <w:r>
        <w:rPr>
          <w:rFonts w:hint="eastAsia" w:ascii="仿宋" w:hAnsi="仿宋" w:eastAsia="仿宋" w:cs="仿宋"/>
          <w:color w:val="000000"/>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6.1中标人保证本合同中所供应的产品（服务）是符合国家技术规范和本项目招标文件要求的合格产品（服务）。如发生所供产品（服务）与合同不符，采购人有权调整（中止）维保租赁服务，由此产生的一切责任和后果由中标人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6.2. 中标人提供的产品，中标人保证所提供的产品已完成经国家有关部门登记、备案、审批或许可。中标人违反本条规定而导致采购人被第三人追究法律责任或导致采购人不能正常运作系统，采购人有权调整（中止）维保租赁服务，由此产生的一切责任和后果由中标人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6.3.合同履行期间，如出现产品使用明显不符实际使用需求，且中标人无法提供可行解决方案的，采购人有权调整（中止）维保租赁服务，由此产生的一切责任和后果由乙方承担。</w:t>
      </w:r>
    </w:p>
    <w:p>
      <w:pPr>
        <w:spacing w:line="440" w:lineRule="exact"/>
        <w:ind w:hanging="2"/>
        <w:jc w:val="left"/>
        <w:rPr>
          <w:rFonts w:hint="eastAsia" w:ascii="仿宋" w:hAnsi="仿宋" w:eastAsia="仿宋" w:cs="仿宋"/>
          <w:color w:val="auto"/>
          <w:sz w:val="24"/>
        </w:rPr>
      </w:pPr>
      <w:r>
        <w:rPr>
          <w:rFonts w:hint="eastAsia" w:ascii="仿宋" w:hAnsi="仿宋" w:eastAsia="仿宋" w:cs="仿宋"/>
          <w:color w:val="auto"/>
          <w:sz w:val="24"/>
        </w:rPr>
        <w:t>6.4.合同调整（中止）后，合同款项结算按照争议和仲裁相关条款执行；待争议解决后，可签订补充协议或正式终止合同。</w:t>
      </w:r>
    </w:p>
    <w:p>
      <w:pPr>
        <w:pStyle w:val="7"/>
        <w:numPr>
          <w:ilvl w:val="0"/>
          <w:numId w:val="0"/>
        </w:numPr>
        <w:tabs>
          <w:tab w:val="left" w:pos="1560"/>
          <w:tab w:val="clear" w:pos="780"/>
        </w:tabs>
        <w:spacing w:line="440" w:lineRule="exact"/>
        <w:ind w:left="-2" w:leftChars="-1"/>
        <w:rPr>
          <w:rFonts w:ascii="仿宋" w:hAnsi="仿宋" w:eastAsia="仿宋"/>
          <w:b/>
          <w:bCs/>
          <w:color w:val="auto"/>
          <w:sz w:val="24"/>
        </w:rPr>
      </w:pPr>
      <w:r>
        <w:rPr>
          <w:rFonts w:ascii="仿宋" w:hAnsi="仿宋" w:eastAsia="仿宋" w:cs="仿宋"/>
          <w:b/>
          <w:bCs/>
          <w:color w:val="auto"/>
          <w:sz w:val="24"/>
        </w:rPr>
        <w:t>7</w:t>
      </w:r>
      <w:r>
        <w:rPr>
          <w:rFonts w:hint="eastAsia" w:ascii="仿宋" w:hAnsi="仿宋" w:eastAsia="仿宋" w:cs="仿宋"/>
          <w:b/>
          <w:bCs/>
          <w:color w:val="auto"/>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7"/>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72" w:beforeLines="30" w:line="360" w:lineRule="auto"/>
        <w:rPr>
          <w:rFonts w:ascii="仿宋" w:hAnsi="仿宋" w:eastAsia="仿宋" w:cs="仿宋"/>
          <w:b/>
          <w:sz w:val="36"/>
          <w:szCs w:val="36"/>
        </w:rPr>
        <w:sectPr>
          <w:footerReference r:id="rId3" w:type="default"/>
          <w:pgSz w:w="11907" w:h="16840"/>
          <w:pgMar w:top="1418" w:right="1304" w:bottom="1418" w:left="1304" w:header="794" w:footer="794" w:gutter="0"/>
          <w:pgNumType w:fmt="numberInDash"/>
          <w:cols w:space="720" w:num="1"/>
          <w:docGrid w:linePitch="285" w:charSpace="0"/>
        </w:sectPr>
      </w:pPr>
    </w:p>
    <w:p>
      <w:pPr>
        <w:spacing w:line="360" w:lineRule="auto"/>
        <w:jc w:val="center"/>
        <w:outlineLvl w:val="0"/>
        <w:rPr>
          <w:rFonts w:ascii="仿宋" w:hAnsi="仿宋" w:eastAsia="仿宋"/>
          <w:b/>
          <w:bCs/>
          <w:sz w:val="36"/>
          <w:szCs w:val="36"/>
        </w:rPr>
      </w:pPr>
      <w:r>
        <w:rPr>
          <w:rFonts w:hint="eastAsia" w:ascii="仿宋" w:hAnsi="仿宋" w:eastAsia="仿宋" w:cs="仿宋"/>
          <w:b/>
          <w:bCs/>
          <w:sz w:val="36"/>
          <w:szCs w:val="36"/>
        </w:rPr>
        <w:t>第五部分</w:t>
      </w:r>
      <w:r>
        <w:rPr>
          <w:rFonts w:ascii="仿宋" w:hAnsi="仿宋" w:eastAsia="仿宋" w:cs="仿宋"/>
          <w:b/>
          <w:bCs/>
          <w:sz w:val="36"/>
          <w:szCs w:val="36"/>
        </w:rPr>
        <w:t xml:space="preserve"> </w:t>
      </w:r>
      <w:r>
        <w:rPr>
          <w:rFonts w:hint="eastAsia" w:ascii="仿宋" w:hAnsi="仿宋" w:eastAsia="仿宋" w:cs="仿宋"/>
          <w:b/>
          <w:bCs/>
          <w:sz w:val="36"/>
          <w:szCs w:val="36"/>
        </w:rPr>
        <w:t>评标办法及评分标准</w:t>
      </w:r>
    </w:p>
    <w:p>
      <w:pPr>
        <w:pStyle w:val="14"/>
        <w:spacing w:line="360" w:lineRule="auto"/>
        <w:jc w:val="left"/>
        <w:rPr>
          <w:rFonts w:ascii="仿宋" w:hAnsi="仿宋" w:eastAsia="仿宋" w:cs="Times New Roman"/>
          <w:sz w:val="24"/>
          <w:szCs w:val="24"/>
        </w:rPr>
      </w:pPr>
      <w:r>
        <w:rPr>
          <w:rFonts w:ascii="仿宋_GB2312" w:hAnsi="宋体" w:eastAsia="仿宋_GB2312" w:cs="仿宋_GB2312"/>
          <w:b/>
          <w:bCs/>
          <w:sz w:val="24"/>
          <w:szCs w:val="24"/>
        </w:rPr>
        <w:t>1</w:t>
      </w:r>
      <w:r>
        <w:rPr>
          <w:rFonts w:hint="eastAsia" w:ascii="仿宋_GB2312" w:hAnsi="宋体" w:eastAsia="仿宋_GB2312" w:cs="仿宋_GB2312"/>
          <w:b/>
          <w:bCs/>
          <w:sz w:val="24"/>
          <w:szCs w:val="24"/>
        </w:rPr>
        <w:t>、</w:t>
      </w:r>
      <w:r>
        <w:rPr>
          <w:rFonts w:hint="eastAsia" w:ascii="仿宋" w:hAnsi="仿宋" w:eastAsia="仿宋" w:cs="仿宋"/>
          <w:b/>
          <w:bCs/>
          <w:sz w:val="24"/>
          <w:szCs w:val="24"/>
        </w:rPr>
        <w:t>评标方法：</w:t>
      </w:r>
      <w:r>
        <w:rPr>
          <w:rFonts w:hint="eastAsia" w:ascii="仿宋" w:hAnsi="仿宋" w:eastAsia="仿宋" w:cs="仿宋"/>
          <w:sz w:val="24"/>
          <w:szCs w:val="24"/>
        </w:rPr>
        <w:t>采用最低评标价法，即在最大限度满足招标文件实质性要求前提下，由评标委员会对各投标人资格、报价、服务承诺等各方面进行符合性评审。符合性评审完，对所有有效报价从低到高顺序确定报价最低者为中标单位。最低者有效最低报价出现相同的，抽签决定中标</w:t>
      </w:r>
      <w:r>
        <w:rPr>
          <w:rFonts w:hint="eastAsia" w:ascii="Times New Roman" w:hAnsi="Times New Roman" w:eastAsia="仿宋" w:cs="仿宋"/>
          <w:sz w:val="24"/>
          <w:szCs w:val="24"/>
        </w:rPr>
        <w:t>单位</w:t>
      </w:r>
      <w:r>
        <w:rPr>
          <w:rFonts w:hint="eastAsia" w:ascii="仿宋" w:hAnsi="仿宋" w:eastAsia="仿宋" w:cs="仿宋"/>
          <w:sz w:val="24"/>
          <w:szCs w:val="24"/>
        </w:rPr>
        <w:t>。</w:t>
      </w:r>
    </w:p>
    <w:p>
      <w:pPr>
        <w:snapToGrid w:val="0"/>
        <w:spacing w:line="360" w:lineRule="auto"/>
        <w:jc w:val="center"/>
        <w:rPr>
          <w:rFonts w:ascii="仿宋_GB2312" w:hAnsi="仿宋_GB2312" w:eastAsia="仿宋_GB2312" w:cs="仿宋_GB2312"/>
          <w:b/>
          <w:sz w:val="36"/>
          <w:szCs w:val="20"/>
        </w:rPr>
      </w:pPr>
      <w:r>
        <w:rPr>
          <w:rFonts w:ascii="仿宋_GB2312" w:hAnsi="仿宋_GB2312" w:eastAsia="仿宋_GB2312" w:cs="仿宋_GB2312"/>
          <w:b/>
          <w:sz w:val="36"/>
          <w:szCs w:val="20"/>
        </w:rPr>
        <w:br w:type="page"/>
      </w:r>
      <w:r>
        <w:rPr>
          <w:rFonts w:hint="eastAsia" w:ascii="仿宋_GB2312" w:hAnsi="仿宋_GB2312" w:eastAsia="仿宋_GB2312" w:cs="仿宋_GB2312"/>
          <w:b/>
          <w:sz w:val="36"/>
          <w:szCs w:val="20"/>
        </w:rPr>
        <w:t>第六部分</w:t>
      </w:r>
      <w:r>
        <w:rPr>
          <w:rFonts w:ascii="仿宋_GB2312" w:hAnsi="仿宋_GB2312" w:eastAsia="仿宋_GB2312" w:cs="仿宋_GB2312"/>
          <w:b/>
          <w:sz w:val="36"/>
          <w:szCs w:val="20"/>
        </w:rPr>
        <w:t xml:space="preserve">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1</w:t>
      </w:r>
      <w:r>
        <w:rPr>
          <w:rFonts w:hint="eastAsia" w:ascii="仿宋_GB2312" w:hAnsi="仿宋_GB2312" w:eastAsia="仿宋_GB2312" w:cs="仿宋_GB2312"/>
          <w:kern w:val="0"/>
          <w:sz w:val="24"/>
        </w:rPr>
        <w:t>）投标响应函………………………………………………………………（页码）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ascii="仿宋_GB2312" w:hAnsi="仿宋_GB2312" w:eastAsia="仿宋_GB2312" w:cs="仿宋_GB2312"/>
          <w:kern w:val="0"/>
          <w:sz w:val="24"/>
        </w:rPr>
        <w:t>2</w:t>
      </w:r>
      <w:r>
        <w:rPr>
          <w:rFonts w:hint="eastAsia" w:ascii="仿宋_GB2312" w:hAnsi="仿宋_GB2312" w:eastAsia="仿宋_GB2312" w:cs="仿宋_GB2312"/>
          <w:kern w:val="0"/>
          <w:sz w:val="24"/>
        </w:rPr>
        <w:t>）投标（开标）一览表……………………………………………………（页码）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3</w:t>
      </w:r>
      <w:r>
        <w:rPr>
          <w:rFonts w:hint="eastAsia" w:hAnsi="仿宋_GB2312" w:cs="仿宋_GB2312"/>
          <w:lang w:val="zh-CN"/>
        </w:rPr>
        <w:t>）中小企业声明函（如有）</w:t>
      </w:r>
      <w:r>
        <w:rPr>
          <w:rFonts w:hint="eastAsia" w:hAnsi="仿宋_GB2312" w:cs="仿宋_GB2312"/>
          <w:kern w:val="0"/>
        </w:rPr>
        <w:t>………………………………………………</w:t>
      </w:r>
      <w:r>
        <w:rPr>
          <w:rFonts w:hint="eastAsia" w:hAnsi="仿宋_GB2312" w:cs="仿宋_GB2312"/>
          <w:lang w:val="zh-CN"/>
        </w:rPr>
        <w:t>（页码）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4</w:t>
      </w:r>
      <w:r>
        <w:rPr>
          <w:rFonts w:hint="eastAsia" w:hAnsi="仿宋_GB2312" w:cs="仿宋_GB2312"/>
          <w:lang w:val="zh-CN"/>
        </w:rPr>
        <w:t>）残疾人福利性单位声明函（如有）……………………………………（页码）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：投标函（格式）</w:t>
      </w:r>
    </w:p>
    <w:p>
      <w:pPr>
        <w:pStyle w:val="60"/>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ascii="仿宋_GB2312" w:hAnsi="宋体" w:eastAsia="仿宋_GB2312"/>
          <w:szCs w:val="24"/>
          <w:u w:val="single"/>
        </w:rPr>
        <w:t xml:space="preserve">                    </w:t>
      </w:r>
      <w:r>
        <w:rPr>
          <w:rFonts w:hint="eastAsia" w:ascii="仿宋_GB2312" w:hAnsi="宋体" w:eastAsia="仿宋_GB2312"/>
          <w:szCs w:val="24"/>
          <w:u w:val="single"/>
        </w:rPr>
        <w:t>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根据招标文件的规定，承诺按标书和合同的规定执行责任和义务。</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我方承诺已经具备《中华人民共和国政府采购法》中规定的参加政府采购活动的供应商应当具备的条件：</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(1)</w:t>
      </w:r>
      <w:r>
        <w:rPr>
          <w:rFonts w:hint="eastAsia" w:ascii="仿宋_GB2312" w:hAnsi="宋体" w:eastAsia="仿宋_GB2312"/>
          <w:szCs w:val="24"/>
        </w:rPr>
        <w:t>具有独立承担民事责任的能力；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(2)</w:t>
      </w:r>
      <w:r>
        <w:rPr>
          <w:rFonts w:hint="eastAsia" w:ascii="仿宋_GB2312" w:hAnsi="宋体" w:eastAsia="仿宋_GB2312"/>
          <w:szCs w:val="24"/>
        </w:rPr>
        <w:t>遵守国家法律、行政法规，具有良好的信誉和商业道德；</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具有履行合同的能力和良好的履行合同记录；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良好的资金、财务状况；</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产品及生产所需装备符合中国政府规定的相应技术标准和环保标准；</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没有违反政府采购法规、政策的记录；</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没有发生重大经济纠纷和走私犯罪记录。我方已详细审核全部招标文件，包括修改文件（如果有的话）及有关附件，我方完全知道必须放弃提出含糊不清或误解而对招标文件提出质疑的权力。</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3.</w:t>
      </w:r>
      <w:r>
        <w:rPr>
          <w:rFonts w:hint="eastAsia" w:ascii="仿宋_GB2312" w:hAnsi="宋体" w:eastAsia="仿宋_GB2312"/>
          <w:szCs w:val="24"/>
        </w:rPr>
        <w:t>我方中标后拟在中标后将工作分包，分包承担主体是</w:t>
      </w:r>
      <w:r>
        <w:rPr>
          <w:rFonts w:hint="eastAsia" w:ascii="仿宋_GB2312" w:hAnsi="宋体" w:eastAsia="仿宋_GB2312"/>
          <w:szCs w:val="24"/>
          <w:u w:val="single"/>
        </w:rPr>
        <w:t xml:space="preserve">       </w:t>
      </w:r>
      <w:r>
        <w:rPr>
          <w:rFonts w:hint="eastAsia" w:ascii="仿宋_GB2312" w:hAnsi="宋体" w:eastAsia="仿宋_GB2312"/>
          <w:szCs w:val="24"/>
        </w:rPr>
        <w:t>，我方承诺分包承担主体具备相应资质条件，且不再次分包。（不再将工作进行分包或本项目不允许分包的，下划线处填写“</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4.</w:t>
      </w:r>
      <w:r>
        <w:rPr>
          <w:rFonts w:hint="eastAsia" w:ascii="仿宋_GB2312" w:hAnsi="宋体" w:eastAsia="仿宋_GB2312"/>
          <w:szCs w:val="24"/>
        </w:rPr>
        <w:t>同意向耀华建设管理有限公司提供可能另外要求的与投标有关的任何数据或资料；</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5.</w:t>
      </w:r>
      <w:r>
        <w:rPr>
          <w:rFonts w:hint="eastAsia" w:ascii="仿宋_GB2312" w:hAnsi="宋体" w:eastAsia="仿宋_GB2312"/>
          <w:szCs w:val="24"/>
        </w:rPr>
        <w:t>我单位保证所供货物质量符合国家强制性规范和标准，达到招标文件规定的要求；</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6.</w:t>
      </w:r>
      <w:r>
        <w:rPr>
          <w:rFonts w:hint="eastAsia" w:ascii="仿宋_GB2312" w:hAnsi="宋体" w:eastAsia="仿宋_GB2312"/>
          <w:szCs w:val="24"/>
        </w:rPr>
        <w:t>我方理解贵方将不受你们所收到的最低报价或其它任何投标文件的约束；</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7.</w:t>
      </w:r>
      <w:r>
        <w:rPr>
          <w:rFonts w:hint="eastAsia" w:ascii="仿宋_GB2312" w:hAnsi="宋体" w:eastAsia="仿宋_GB2312"/>
          <w:szCs w:val="24"/>
        </w:rPr>
        <w:t>本投标自开标之日（投标截止之日）起</w:t>
      </w:r>
      <w:r>
        <w:rPr>
          <w:rFonts w:ascii="仿宋_GB2312" w:hAnsi="宋体" w:eastAsia="仿宋_GB2312"/>
          <w:szCs w:val="24"/>
        </w:rPr>
        <w:t>60</w:t>
      </w:r>
      <w:r>
        <w:rPr>
          <w:rFonts w:hint="eastAsia" w:ascii="仿宋_GB2312" w:hAnsi="宋体" w:eastAsia="仿宋_GB2312"/>
          <w:szCs w:val="24"/>
        </w:rPr>
        <w:t>天内有效，如中标，有效期将延至合同终止日为止。</w:t>
      </w:r>
    </w:p>
    <w:p>
      <w:pPr>
        <w:pStyle w:val="60"/>
        <w:spacing w:afterLines="0" w:line="440" w:lineRule="exact"/>
        <w:ind w:firstLine="480"/>
        <w:rPr>
          <w:rFonts w:ascii="仿宋_GB2312" w:hAnsi="宋体" w:eastAsia="仿宋_GB2312"/>
          <w:szCs w:val="24"/>
        </w:rPr>
      </w:pPr>
      <w:r>
        <w:rPr>
          <w:rFonts w:ascii="仿宋_GB2312" w:hAnsi="宋体" w:eastAsia="仿宋_GB2312"/>
          <w:szCs w:val="24"/>
        </w:rPr>
        <w:t>8.</w:t>
      </w:r>
      <w:r>
        <w:rPr>
          <w:rFonts w:hint="eastAsia" w:ascii="仿宋_GB2312" w:hAnsi="宋体" w:eastAsia="仿宋_GB2312"/>
          <w:szCs w:val="24"/>
        </w:rPr>
        <w:t>我方承诺完全遵守和满足招标文件供货日期</w:t>
      </w:r>
      <w:r>
        <w:rPr>
          <w:rFonts w:ascii="仿宋_GB2312" w:hAnsi="宋体" w:eastAsia="仿宋_GB2312"/>
          <w:szCs w:val="24"/>
        </w:rPr>
        <w:t>(</w:t>
      </w:r>
      <w:r>
        <w:rPr>
          <w:rFonts w:hint="eastAsia" w:ascii="仿宋_GB2312" w:hAnsi="宋体" w:eastAsia="仿宋_GB2312"/>
          <w:szCs w:val="24"/>
        </w:rPr>
        <w:t>完工日期</w:t>
      </w:r>
      <w:r>
        <w:rPr>
          <w:rFonts w:ascii="仿宋_GB2312" w:hAnsi="宋体" w:eastAsia="仿宋_GB2312"/>
          <w:szCs w:val="24"/>
        </w:rPr>
        <w:t>)</w:t>
      </w:r>
      <w:r>
        <w:rPr>
          <w:rFonts w:hint="eastAsia" w:ascii="仿宋_GB2312" w:hAnsi="宋体" w:eastAsia="仿宋_GB2312"/>
          <w:szCs w:val="24"/>
        </w:rPr>
        <w:t>和所投产品</w:t>
      </w:r>
      <w:r>
        <w:rPr>
          <w:rFonts w:ascii="仿宋_GB2312" w:hAnsi="宋体" w:eastAsia="仿宋_GB2312"/>
          <w:szCs w:val="24"/>
        </w:rPr>
        <w:t>(</w:t>
      </w:r>
      <w:r>
        <w:rPr>
          <w:rFonts w:hint="eastAsia" w:ascii="仿宋_GB2312" w:hAnsi="宋体" w:eastAsia="仿宋_GB2312"/>
          <w:szCs w:val="24"/>
        </w:rPr>
        <w:t>服务</w:t>
      </w:r>
      <w:r>
        <w:rPr>
          <w:rFonts w:ascii="仿宋_GB2312" w:hAnsi="宋体" w:eastAsia="仿宋_GB2312"/>
          <w:szCs w:val="24"/>
        </w:rPr>
        <w:t>)</w:t>
      </w:r>
      <w:r>
        <w:rPr>
          <w:rFonts w:hint="eastAsia" w:ascii="仿宋_GB2312" w:hAnsi="宋体" w:eastAsia="仿宋_GB2312"/>
          <w:szCs w:val="24"/>
        </w:rPr>
        <w:t>的质保期</w:t>
      </w:r>
      <w:r>
        <w:rPr>
          <w:rFonts w:ascii="仿宋_GB2312" w:hAnsi="宋体" w:eastAsia="仿宋_GB2312"/>
          <w:szCs w:val="24"/>
        </w:rPr>
        <w:t>(</w:t>
      </w:r>
      <w:r>
        <w:rPr>
          <w:rFonts w:hint="eastAsia" w:ascii="仿宋_GB2312" w:hAnsi="宋体" w:eastAsia="仿宋_GB2312"/>
          <w:szCs w:val="24"/>
        </w:rPr>
        <w:t>免费保修期</w:t>
      </w:r>
      <w:r>
        <w:rPr>
          <w:rFonts w:ascii="仿宋_GB2312" w:hAnsi="宋体" w:eastAsia="仿宋_GB2312"/>
          <w:szCs w:val="24"/>
        </w:rPr>
        <w:t>)</w:t>
      </w:r>
      <w:r>
        <w:rPr>
          <w:rFonts w:hint="eastAsia" w:ascii="仿宋_GB2312" w:hAnsi="宋体" w:eastAsia="仿宋_GB2312"/>
          <w:szCs w:val="24"/>
        </w:rPr>
        <w:t>要求。</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我方将严格遵守《中华人民共和国政府采购法》第七十七条规定，供应商有下列情形之一的，处以采购金额</w:t>
      </w:r>
      <w:r>
        <w:rPr>
          <w:rFonts w:ascii="仿宋_GB2312" w:hAnsi="仿宋_GB2312" w:eastAsia="仿宋_GB2312" w:cs="仿宋_GB2312"/>
          <w:sz w:val="24"/>
        </w:rPr>
        <w:t>5</w:t>
      </w:r>
      <w:r>
        <w:rPr>
          <w:rFonts w:hint="eastAsia" w:ascii="仿宋_GB2312" w:hAnsi="仿宋_GB2312" w:eastAsia="仿宋_GB2312" w:cs="仿宋_GB2312"/>
          <w:sz w:val="24"/>
        </w:rPr>
        <w:t>‰以上</w:t>
      </w:r>
      <w:r>
        <w:rPr>
          <w:rFonts w:ascii="仿宋_GB2312" w:hAnsi="仿宋_GB2312" w:eastAsia="仿宋_GB2312" w:cs="仿宋_GB2312"/>
          <w:sz w:val="24"/>
        </w:rPr>
        <w:t>10</w:t>
      </w:r>
      <w:r>
        <w:rPr>
          <w:rFonts w:hint="eastAsia" w:ascii="仿宋_GB2312" w:hAnsi="仿宋_GB2312" w:eastAsia="仿宋_GB2312" w:cs="仿宋_GB2312"/>
          <w:sz w:val="24"/>
        </w:rPr>
        <w:t>‰以下的罚款，列入不良行为记录名单，在一至三年内禁止参加政府采购活动；有违法所得的，并处没收违法所得；情节严重的，由工商行政管理机关吊销营业执照；构成犯罪的，依法追究刑事责任：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a)</w:t>
      </w:r>
      <w:r>
        <w:rPr>
          <w:rFonts w:hint="eastAsia" w:ascii="仿宋_GB2312" w:hAnsi="仿宋_GB2312" w:eastAsia="仿宋_GB2312" w:cs="仿宋_GB2312"/>
          <w:sz w:val="24"/>
        </w:rPr>
        <w:t>提供虚假材料谋取中标、成交的；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b)</w:t>
      </w:r>
      <w:r>
        <w:rPr>
          <w:rFonts w:hint="eastAsia" w:ascii="仿宋_GB2312" w:hAnsi="仿宋_GB2312" w:eastAsia="仿宋_GB2312" w:cs="仿宋_GB2312"/>
          <w:sz w:val="24"/>
        </w:rPr>
        <w:t>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c)</w:t>
      </w:r>
      <w:r>
        <w:rPr>
          <w:rFonts w:hint="eastAsia" w:ascii="仿宋_GB2312" w:hAnsi="仿宋_GB2312" w:eastAsia="仿宋_GB2312" w:cs="仿宋_GB2312"/>
          <w:sz w:val="24"/>
        </w:rPr>
        <w:t>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d)</w:t>
      </w:r>
      <w:r>
        <w:rPr>
          <w:rFonts w:hint="eastAsia" w:ascii="仿宋_GB2312" w:hAnsi="仿宋_GB2312" w:eastAsia="仿宋_GB2312" w:cs="仿宋_GB2312"/>
          <w:sz w:val="24"/>
        </w:rPr>
        <w:t>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e)</w:t>
      </w:r>
      <w:r>
        <w:rPr>
          <w:rFonts w:hint="eastAsia" w:ascii="仿宋_GB2312" w:hAnsi="仿宋_GB2312" w:eastAsia="仿宋_GB2312" w:cs="仿宋_GB2312"/>
          <w:sz w:val="24"/>
        </w:rPr>
        <w:t>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f)</w:t>
      </w:r>
      <w:r>
        <w:rPr>
          <w:rFonts w:hint="eastAsia" w:ascii="仿宋_GB2312" w:hAnsi="仿宋_GB2312" w:eastAsia="仿宋_GB2312" w:cs="仿宋_GB2312"/>
          <w:sz w:val="24"/>
        </w:rPr>
        <w:t>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w:t>
      </w:r>
      <w:r>
        <w:rPr>
          <w:rFonts w:ascii="仿宋_GB2312" w:hAnsi="仿宋_GB2312" w:eastAsia="仿宋_GB2312" w:cs="仿宋_GB2312"/>
          <w:sz w:val="24"/>
        </w:rPr>
        <w:t>a)</w:t>
      </w:r>
      <w:r>
        <w:rPr>
          <w:rFonts w:hint="eastAsia" w:ascii="仿宋_GB2312" w:hAnsi="仿宋_GB2312" w:eastAsia="仿宋_GB2312" w:cs="仿宋_GB2312"/>
          <w:sz w:val="24"/>
        </w:rPr>
        <w:t>至</w:t>
      </w:r>
      <w:r>
        <w:rPr>
          <w:rFonts w:ascii="仿宋_GB2312" w:hAnsi="仿宋_GB2312" w:eastAsia="仿宋_GB2312" w:cs="仿宋_GB2312"/>
          <w:sz w:val="24"/>
        </w:rPr>
        <w:t>e)</w:t>
      </w:r>
      <w:r>
        <w:rPr>
          <w:rFonts w:hint="eastAsia" w:ascii="仿宋_GB2312" w:hAnsi="仿宋_GB2312" w:eastAsia="仿宋_GB2312" w:cs="仿宋_GB2312"/>
          <w:sz w:val="24"/>
        </w:rPr>
        <w:t>项情形之一的，中标、成交无效。</w:t>
      </w: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电话：</w:t>
      </w:r>
      <w:r>
        <w:rPr>
          <w:rFonts w:ascii="仿宋_GB2312" w:hAnsi="宋体" w:eastAsia="仿宋_GB2312"/>
          <w:szCs w:val="24"/>
        </w:rPr>
        <w:t xml:space="preserve">                              </w:t>
      </w:r>
      <w:r>
        <w:rPr>
          <w:rFonts w:hint="eastAsia" w:ascii="仿宋_GB2312" w:hAnsi="宋体" w:eastAsia="仿宋_GB2312"/>
          <w:szCs w:val="24"/>
        </w:rPr>
        <w:t>传真：</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开户银行：</w:t>
      </w:r>
      <w:r>
        <w:rPr>
          <w:rFonts w:ascii="仿宋_GB2312" w:hAnsi="宋体" w:eastAsia="仿宋_GB2312"/>
          <w:szCs w:val="24"/>
        </w:rPr>
        <w:t xml:space="preserve">                          </w:t>
      </w:r>
      <w:r>
        <w:rPr>
          <w:rFonts w:hint="eastAsia" w:ascii="仿宋_GB2312" w:hAnsi="宋体" w:eastAsia="仿宋_GB2312"/>
          <w:szCs w:val="24"/>
        </w:rPr>
        <w:t>帐号：</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w:t>
      </w:r>
      <w:r>
        <w:rPr>
          <w:rFonts w:ascii="仿宋_GB2312" w:hAnsi="宋体" w:eastAsia="仿宋_GB2312"/>
          <w:szCs w:val="24"/>
        </w:rPr>
        <w:t>(</w:t>
      </w:r>
      <w:r>
        <w:rPr>
          <w:rFonts w:hint="eastAsia" w:ascii="仿宋_GB2312" w:hAnsi="宋体" w:eastAsia="仿宋_GB2312"/>
          <w:szCs w:val="24"/>
        </w:rPr>
        <w:t>签字或签章</w:t>
      </w:r>
      <w:r>
        <w:rPr>
          <w:rFonts w:ascii="仿宋_GB2312" w:hAnsi="宋体" w:eastAsia="仿宋_GB2312"/>
          <w:szCs w:val="24"/>
        </w:rPr>
        <w:t>)</w:t>
      </w:r>
      <w:r>
        <w:rPr>
          <w:rFonts w:hint="eastAsia" w:ascii="仿宋_GB2312" w:hAnsi="宋体" w:eastAsia="仿宋_GB2312"/>
          <w:szCs w:val="24"/>
        </w:rPr>
        <w:t>：</w:t>
      </w:r>
    </w:p>
    <w:p>
      <w:pPr>
        <w:pStyle w:val="60"/>
        <w:spacing w:afterLines="0" w:line="440" w:lineRule="exact"/>
        <w:ind w:firstLine="480"/>
        <w:rPr>
          <w:rFonts w:ascii="仿宋_GB2312" w:hAnsi="宋体" w:eastAsia="仿宋_GB2312"/>
          <w:szCs w:val="24"/>
        </w:rPr>
      </w:pPr>
      <w:r>
        <w:rPr>
          <w:rFonts w:hint="eastAsia" w:ascii="仿宋_GB2312" w:hAnsi="宋体" w:eastAsia="仿宋_GB2312"/>
          <w:szCs w:val="24"/>
        </w:rPr>
        <w:t>投标人</w:t>
      </w:r>
      <w:r>
        <w:rPr>
          <w:rFonts w:ascii="仿宋_GB2312" w:hAnsi="宋体" w:eastAsia="仿宋_GB2312"/>
          <w:szCs w:val="24"/>
        </w:rPr>
        <w:t>(</w:t>
      </w:r>
      <w:r>
        <w:rPr>
          <w:rFonts w:hint="eastAsia" w:ascii="仿宋_GB2312" w:hAnsi="宋体" w:eastAsia="仿宋_GB2312"/>
          <w:szCs w:val="24"/>
        </w:rPr>
        <w:t>盖章</w:t>
      </w:r>
      <w:r>
        <w:rPr>
          <w:rFonts w:ascii="仿宋_GB2312" w:hAnsi="宋体" w:eastAsia="仿宋_GB2312"/>
          <w:szCs w:val="24"/>
        </w:rPr>
        <w:t>)</w:t>
      </w:r>
      <w:r>
        <w:rPr>
          <w:rFonts w:hint="eastAsia" w:ascii="仿宋_GB2312" w:hAnsi="宋体" w:eastAsia="仿宋_GB2312"/>
          <w:szCs w:val="24"/>
        </w:rPr>
        <w:t>：　　　　　　　　　　　　　　　　　　　　</w:t>
      </w:r>
    </w:p>
    <w:p>
      <w:pPr>
        <w:pStyle w:val="60"/>
        <w:spacing w:afterLines="0" w:line="440" w:lineRule="exact"/>
        <w:ind w:firstLine="480"/>
        <w:jc w:val="right"/>
        <w:rPr>
          <w:rFonts w:ascii="仿宋_GB2312" w:hAnsi="宋体" w:eastAsia="仿宋_GB2312"/>
          <w:color w:val="000000"/>
        </w:rPr>
      </w:pPr>
    </w:p>
    <w:p>
      <w:pPr>
        <w:pStyle w:val="60"/>
        <w:spacing w:afterLines="0" w:line="440" w:lineRule="exact"/>
        <w:ind w:firstLine="480"/>
        <w:jc w:val="right"/>
        <w:rPr>
          <w:rFonts w:ascii="仿宋_GB2312" w:hAnsi="宋体" w:eastAsia="仿宋_GB2312"/>
          <w:szCs w:val="24"/>
        </w:rPr>
      </w:pPr>
      <w:r>
        <w:rPr>
          <w:rFonts w:hint="eastAsia" w:ascii="仿宋_GB2312" w:hAnsi="宋体" w:eastAsia="仿宋_GB2312"/>
          <w:color w:val="000000"/>
        </w:rPr>
        <w:t>日期： 年 月 日</w:t>
      </w: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pStyle w:val="60"/>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bCs/>
          <w:sz w:val="30"/>
          <w:szCs w:val="30"/>
        </w:rPr>
      </w:pPr>
      <w:r>
        <w:rPr>
          <w:rFonts w:ascii="仿宋_GB2312" w:hAnsi="宋体" w:eastAsia="仿宋_GB2312" w:cs="仿宋_GB2312"/>
          <w:b/>
          <w:bCs/>
          <w:sz w:val="30"/>
          <w:szCs w:val="30"/>
        </w:rPr>
        <w:t>2</w:t>
      </w:r>
      <w:r>
        <w:rPr>
          <w:rFonts w:hint="eastAsia" w:ascii="仿宋_GB2312" w:hAnsi="宋体" w:eastAsia="仿宋_GB2312" w:cs="仿宋_GB2312"/>
          <w:b/>
          <w:bCs/>
          <w:sz w:val="30"/>
          <w:szCs w:val="30"/>
        </w:rPr>
        <w:t>：开标一览表（格式）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ascii="仿宋_GB2312" w:hAnsi="宋体" w:eastAsia="仿宋_GB2312"/>
          <w:sz w:val="24"/>
        </w:rPr>
      </w:pPr>
      <w:r>
        <w:rPr>
          <w:rFonts w:hint="eastAsia" w:ascii="仿宋_GB2312" w:hAnsi="宋体" w:eastAsia="仿宋_GB2312"/>
          <w:sz w:val="24"/>
        </w:rPr>
        <w:t>单位：元</w:t>
      </w:r>
    </w:p>
    <w:tbl>
      <w:tblPr>
        <w:tblStyle w:val="23"/>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Borders>
              <w:top w:val="double" w:color="auto" w:sz="4" w:space="0"/>
            </w:tcBorders>
            <w:noWrap/>
            <w:vAlign w:val="center"/>
          </w:tcPr>
          <w:p>
            <w:pPr>
              <w:tabs>
                <w:tab w:val="left" w:pos="540"/>
              </w:tabs>
              <w:snapToGrid w:val="0"/>
              <w:jc w:val="center"/>
              <w:rPr>
                <w:rFonts w:ascii="仿宋" w:hAnsi="仿宋" w:eastAsia="仿宋" w:cs="仿宋"/>
                <w:spacing w:val="20"/>
                <w:sz w:val="24"/>
              </w:rPr>
            </w:pPr>
            <w:r>
              <w:rPr>
                <w:rFonts w:hint="eastAsia" w:ascii="仿宋" w:hAnsi="仿宋" w:eastAsia="仿宋" w:cs="仿宋"/>
                <w:spacing w:val="20"/>
                <w:sz w:val="24"/>
              </w:rPr>
              <w:t>序号</w:t>
            </w:r>
          </w:p>
        </w:tc>
        <w:tc>
          <w:tcPr>
            <w:tcW w:w="1080" w:type="dxa"/>
            <w:tcBorders>
              <w:top w:val="double" w:color="auto" w:sz="4" w:space="0"/>
              <w:right w:val="single" w:color="auto" w:sz="4" w:space="0"/>
            </w:tcBorders>
            <w:noWrap/>
            <w:vAlign w:val="center"/>
          </w:tcPr>
          <w:p>
            <w:pPr>
              <w:snapToGrid w:val="0"/>
              <w:ind w:left="-107" w:leftChars="-51" w:right="-107" w:rightChars="-51" w:firstLine="2"/>
              <w:jc w:val="center"/>
              <w:rPr>
                <w:rFonts w:ascii="仿宋" w:hAnsi="仿宋" w:eastAsia="仿宋" w:cs="仿宋"/>
                <w:spacing w:val="20"/>
                <w:sz w:val="24"/>
              </w:rPr>
            </w:pPr>
            <w:r>
              <w:rPr>
                <w:rFonts w:hint="eastAsia" w:ascii="仿宋" w:hAnsi="仿宋" w:eastAsia="仿宋" w:cs="仿宋"/>
                <w:spacing w:val="20"/>
                <w:sz w:val="24"/>
              </w:rPr>
              <w:t>设备名称</w:t>
            </w:r>
          </w:p>
        </w:tc>
        <w:tc>
          <w:tcPr>
            <w:tcW w:w="1261" w:type="dxa"/>
            <w:tcBorders>
              <w:top w:val="double" w:color="auto" w:sz="4" w:space="0"/>
              <w:left w:val="sing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货物的制造商或服务的提供商</w:t>
            </w:r>
          </w:p>
        </w:tc>
        <w:tc>
          <w:tcPr>
            <w:tcW w:w="90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品牌（如有）</w:t>
            </w:r>
          </w:p>
        </w:tc>
        <w:tc>
          <w:tcPr>
            <w:tcW w:w="720" w:type="dxa"/>
            <w:tcBorders>
              <w:top w:val="double" w:color="auto" w:sz="4" w:space="0"/>
            </w:tcBorders>
            <w:noWrap/>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数量</w:t>
            </w:r>
          </w:p>
        </w:tc>
        <w:tc>
          <w:tcPr>
            <w:tcW w:w="1440" w:type="dxa"/>
            <w:tcBorders>
              <w:top w:val="doub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型号和规格</w:t>
            </w:r>
            <w:r>
              <w:rPr>
                <w:rFonts w:hint="eastAsia" w:ascii="仿宋" w:hAnsi="仿宋" w:eastAsia="仿宋" w:cs="仿宋"/>
                <w:b/>
                <w:sz w:val="24"/>
              </w:rPr>
              <w:t>（或具体服务）</w:t>
            </w:r>
          </w:p>
        </w:tc>
        <w:tc>
          <w:tcPr>
            <w:tcW w:w="540" w:type="dxa"/>
            <w:tcBorders>
              <w:top w:val="double" w:color="auto" w:sz="4" w:space="0"/>
              <w:righ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单价</w:t>
            </w:r>
          </w:p>
        </w:tc>
        <w:tc>
          <w:tcPr>
            <w:tcW w:w="540" w:type="dxa"/>
            <w:tcBorders>
              <w:top w:val="double" w:color="auto" w:sz="4" w:space="0"/>
              <w:left w:val="single" w:color="auto" w:sz="4" w:space="0"/>
            </w:tcBorders>
            <w:noWrap/>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总价</w:t>
            </w:r>
          </w:p>
        </w:tc>
        <w:tc>
          <w:tcPr>
            <w:tcW w:w="720" w:type="dxa"/>
            <w:tcBorders>
              <w:top w:val="double" w:color="auto" w:sz="4" w:space="0"/>
            </w:tcBorders>
            <w:noWrap/>
            <w:vAlign w:val="center"/>
          </w:tcPr>
          <w:p>
            <w:pPr>
              <w:snapToGrid w:val="0"/>
              <w:ind w:left="30" w:leftChars="-51" w:right="-107" w:rightChars="-51" w:hanging="137" w:hangingChars="49"/>
              <w:jc w:val="center"/>
              <w:rPr>
                <w:rFonts w:ascii="仿宋" w:hAnsi="仿宋" w:eastAsia="仿宋" w:cs="仿宋"/>
                <w:spacing w:val="20"/>
                <w:sz w:val="24"/>
              </w:rPr>
            </w:pPr>
            <w:r>
              <w:rPr>
                <w:rFonts w:hint="eastAsia" w:ascii="仿宋" w:hAnsi="仿宋" w:eastAsia="仿宋" w:cs="仿宋"/>
                <w:spacing w:val="20"/>
                <w:sz w:val="24"/>
              </w:rPr>
              <w:t>交货期</w:t>
            </w:r>
          </w:p>
        </w:tc>
        <w:tc>
          <w:tcPr>
            <w:tcW w:w="1078" w:type="dxa"/>
            <w:tcBorders>
              <w:top w:val="double" w:color="auto" w:sz="4" w:space="0"/>
            </w:tcBorders>
            <w:noWrap/>
            <w:vAlign w:val="center"/>
          </w:tcPr>
          <w:p>
            <w:pPr>
              <w:tabs>
                <w:tab w:val="left" w:pos="1224"/>
              </w:tabs>
              <w:snapToGrid w:val="0"/>
              <w:ind w:right="-107" w:rightChars="-51"/>
              <w:jc w:val="center"/>
              <w:rPr>
                <w:rFonts w:ascii="仿宋" w:hAnsi="仿宋" w:eastAsia="仿宋" w:cs="仿宋"/>
                <w:spacing w:val="20"/>
                <w:sz w:val="24"/>
              </w:rPr>
            </w:pPr>
            <w:r>
              <w:rPr>
                <w:rFonts w:hint="eastAsia" w:ascii="仿宋" w:hAnsi="仿宋" w:eastAsia="仿宋" w:cs="仿宋"/>
                <w:spacing w:val="20"/>
                <w:sz w:val="24"/>
              </w:rPr>
              <w:t>质保期</w:t>
            </w:r>
            <w:r>
              <w:rPr>
                <w:rFonts w:ascii="仿宋" w:hAnsi="仿宋" w:eastAsia="仿宋" w:cs="仿宋"/>
                <w:spacing w:val="20"/>
                <w:sz w:val="24"/>
              </w:rPr>
              <w:t>/</w:t>
            </w:r>
            <w:r>
              <w:rPr>
                <w:rFonts w:hint="eastAsia" w:ascii="仿宋" w:hAnsi="仿宋" w:eastAsia="仿宋" w:cs="仿宋"/>
                <w:spacing w:val="20"/>
                <w:sz w:val="24"/>
              </w:rPr>
              <w:t>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440" w:type="dxa"/>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noWrap/>
          </w:tcPr>
          <w:p>
            <w:pPr>
              <w:snapToGrid w:val="0"/>
              <w:ind w:right="172" w:rightChars="82" w:firstLine="565" w:firstLineChars="202"/>
              <w:rPr>
                <w:rFonts w:ascii="仿宋" w:hAnsi="仿宋" w:eastAsia="仿宋" w:cs="仿宋"/>
                <w:spacing w:val="20"/>
                <w:sz w:val="24"/>
              </w:rPr>
            </w:pPr>
          </w:p>
        </w:tc>
        <w:tc>
          <w:tcPr>
            <w:tcW w:w="108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900" w:type="dxa"/>
            <w:noWrap/>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noWrap/>
            <w:vAlign w:val="center"/>
          </w:tcPr>
          <w:p>
            <w:pPr>
              <w:snapToGrid w:val="0"/>
              <w:ind w:right="172" w:rightChars="82" w:firstLine="565" w:firstLineChars="202"/>
              <w:rPr>
                <w:rFonts w:ascii="仿宋" w:hAnsi="仿宋" w:eastAsia="仿宋" w:cs="仿宋"/>
                <w:spacing w:val="20"/>
                <w:sz w:val="24"/>
              </w:rPr>
            </w:pPr>
          </w:p>
        </w:tc>
        <w:tc>
          <w:tcPr>
            <w:tcW w:w="720" w:type="dxa"/>
            <w:noWrap/>
            <w:vAlign w:val="center"/>
          </w:tcPr>
          <w:p>
            <w:pPr>
              <w:snapToGrid w:val="0"/>
              <w:ind w:right="172" w:rightChars="82" w:firstLine="565" w:firstLineChars="202"/>
              <w:rPr>
                <w:rFonts w:ascii="仿宋" w:hAnsi="仿宋" w:eastAsia="仿宋" w:cs="仿宋"/>
                <w:spacing w:val="20"/>
                <w:sz w:val="24"/>
              </w:rPr>
            </w:pPr>
          </w:p>
        </w:tc>
        <w:tc>
          <w:tcPr>
            <w:tcW w:w="1078" w:type="dxa"/>
            <w:noWrap/>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noWrap/>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投标总价</w:t>
            </w:r>
          </w:p>
        </w:tc>
        <w:tc>
          <w:tcPr>
            <w:tcW w:w="7199" w:type="dxa"/>
            <w:gridSpan w:val="8"/>
            <w:tcBorders>
              <w:left w:val="single" w:color="auto" w:sz="4" w:space="0"/>
              <w:bottom w:val="sing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bottom w:val="double" w:color="auto" w:sz="4" w:space="0"/>
              <w:right w:val="single" w:color="auto" w:sz="4" w:space="0"/>
            </w:tcBorders>
            <w:noWrap/>
            <w:vAlign w:val="center"/>
          </w:tcPr>
          <w:p>
            <w:pPr>
              <w:snapToGrid w:val="0"/>
              <w:ind w:right="172" w:rightChars="82" w:firstLine="565" w:firstLineChars="202"/>
              <w:jc w:val="center"/>
              <w:rPr>
                <w:rFonts w:ascii="仿宋" w:hAnsi="仿宋" w:eastAsia="仿宋" w:cs="仿宋"/>
                <w:spacing w:val="20"/>
                <w:sz w:val="24"/>
              </w:rPr>
            </w:pPr>
          </w:p>
        </w:tc>
        <w:tc>
          <w:tcPr>
            <w:tcW w:w="7199" w:type="dxa"/>
            <w:gridSpan w:val="8"/>
            <w:tcBorders>
              <w:top w:val="single" w:color="auto" w:sz="4" w:space="0"/>
              <w:left w:val="single" w:color="auto" w:sz="4" w:space="0"/>
              <w:bottom w:val="double" w:color="auto" w:sz="4" w:space="0"/>
            </w:tcBorders>
            <w:noWrap/>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napToGrid w:val="0"/>
        <w:spacing w:line="288"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 1.报价一经涂改，应在涂改处加盖单位公章或者由法定代表人或其授权代表签字或盖章，否则其投标作无效投标处理。</w:t>
      </w:r>
    </w:p>
    <w:p>
      <w:pPr>
        <w:snapToGrid w:val="0"/>
        <w:spacing w:line="288" w:lineRule="auto"/>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2.招标人不接受某一标项中有2个(含)以上的报价或方案，若投标人在此表中有2个（含）以上的报价或方案，其投标作无效投标处理。</w:t>
      </w:r>
    </w:p>
    <w:p>
      <w:pPr>
        <w:spacing w:line="288" w:lineRule="auto"/>
        <w:ind w:left="-2" w:leftChars="-1" w:firstLine="480" w:firstLineChars="20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3.投标人需按本表格式填写，如无对应内容，则填写：“无或/”。</w:t>
      </w:r>
    </w:p>
    <w:p>
      <w:pPr>
        <w:snapToGrid w:val="0"/>
        <w:spacing w:line="288" w:lineRule="auto"/>
        <w:ind w:left="480"/>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4.有关本项目实施所涉及的一切费用均计入报价。</w:t>
      </w:r>
    </w:p>
    <w:p>
      <w:pPr>
        <w:snapToGrid w:val="0"/>
        <w:spacing w:line="288" w:lineRule="auto"/>
        <w:ind w:firstLine="480" w:firstLineChars="200"/>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5.以上表格要求细分项目及报价，</w:t>
      </w:r>
      <w:r>
        <w:rPr>
          <w:rFonts w:hint="eastAsia" w:ascii="仿宋" w:hAnsi="仿宋" w:eastAsia="仿宋" w:cs="仿宋"/>
          <w:b/>
          <w:color w:val="000000" w:themeColor="text1"/>
          <w:kern w:val="0"/>
          <w:sz w:val="24"/>
          <w14:textFill>
            <w14:solidFill>
              <w14:schemeClr w14:val="tx1"/>
            </w14:solidFill>
          </w14:textFill>
        </w:rPr>
        <w:t>在“规格型号（或具体服务）”一栏中，货物类项目填写规格型号，服务类项目填写具体服务。</w:t>
      </w:r>
      <w:r>
        <w:rPr>
          <w:rFonts w:hint="eastAsia" w:ascii="仿宋" w:hAnsi="仿宋" w:eastAsia="仿宋" w:cs="仿宋"/>
          <w:b/>
          <w:color w:val="000000" w:themeColor="text1"/>
          <w:sz w:val="24"/>
          <w14:textFill>
            <w14:solidFill>
              <w14:schemeClr w14:val="tx1"/>
            </w14:solidFill>
          </w14:textFill>
        </w:rPr>
        <w:t>服务包含但不仅限于：服务方案、次数或人数、服务年限等，产品包含但不仅限于:名称、品牌、型号、生产厂商、数量、质保期等。</w:t>
      </w:r>
    </w:p>
    <w:p>
      <w:pPr>
        <w:snapToGrid w:val="0"/>
        <w:spacing w:line="288" w:lineRule="auto"/>
        <w:ind w:firstLine="482" w:firstLineChars="200"/>
        <w:jc w:val="left"/>
        <w:rPr>
          <w:rFonts w:ascii="仿宋" w:hAnsi="仿宋" w:eastAsia="仿宋" w:cs="仿宋"/>
          <w:b/>
          <w:color w:val="000000" w:themeColor="text1"/>
          <w:kern w:val="0"/>
          <w:sz w:val="24"/>
          <w:lang w:val="zh-CN"/>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6</w:t>
      </w:r>
      <w:r>
        <w:rPr>
          <w:rFonts w:hint="eastAsia" w:ascii="仿宋" w:hAnsi="仿宋" w:eastAsia="仿宋" w:cs="仿宋"/>
          <w:b/>
          <w:color w:val="000000" w:themeColor="text1"/>
          <w:kern w:val="0"/>
          <w:sz w:val="24"/>
          <w:lang w:val="zh-CN"/>
          <w14:textFill>
            <w14:solidFill>
              <w14:schemeClr w14:val="tx1"/>
            </w14:solidFill>
          </w14:textFill>
        </w:rPr>
        <w:t>.特别提示：采购代理机构将对</w:t>
      </w:r>
      <w:r>
        <w:rPr>
          <w:rFonts w:hint="eastAsia" w:ascii="仿宋" w:hAnsi="仿宋" w:eastAsia="仿宋" w:cs="仿宋"/>
          <w:b/>
          <w:color w:val="000000" w:themeColor="text1"/>
          <w:kern w:val="0"/>
          <w:sz w:val="24"/>
          <w14:textFill>
            <w14:solidFill>
              <w14:schemeClr w14:val="tx1"/>
            </w14:solidFill>
          </w14:textFill>
        </w:rPr>
        <w:t>项目名称和项目编号，中标供应商名称、地址和中标金额，主要中标标的的名称、规格型号、数量、单价、服务要求等</w:t>
      </w:r>
      <w:r>
        <w:rPr>
          <w:rFonts w:hint="eastAsia" w:ascii="仿宋" w:hAnsi="仿宋" w:eastAsia="仿宋" w:cs="仿宋"/>
          <w:b/>
          <w:color w:val="000000" w:themeColor="text1"/>
          <w:kern w:val="0"/>
          <w:sz w:val="24"/>
          <w:lang w:val="zh-CN"/>
          <w14:textFill>
            <w14:solidFill>
              <w14:schemeClr w14:val="tx1"/>
            </w14:solidFill>
          </w14:textFill>
        </w:rPr>
        <w:t>予以公示。请把上述涉及的内容完整填写在开标一览表中。</w:t>
      </w:r>
    </w:p>
    <w:p>
      <w:pPr>
        <w:snapToGrid w:val="0"/>
        <w:spacing w:line="288" w:lineRule="auto"/>
        <w:ind w:firstLine="482" w:firstLineChars="200"/>
        <w:jc w:val="left"/>
        <w:rPr>
          <w:rFonts w:hint="default" w:ascii="仿宋" w:hAnsi="仿宋" w:eastAsia="仿宋" w:cs="仿宋"/>
          <w:b/>
          <w:bCs w:val="0"/>
          <w:color w:val="auto"/>
          <w:kern w:val="0"/>
          <w:sz w:val="24"/>
          <w:highlight w:val="yellow"/>
          <w:lang w:val="en-US" w:eastAsia="zh-CN"/>
        </w:rPr>
      </w:pPr>
      <w:r>
        <w:rPr>
          <w:rFonts w:hint="eastAsia" w:ascii="仿宋" w:hAnsi="仿宋" w:eastAsia="仿宋" w:cs="仿宋"/>
          <w:b/>
          <w:bCs w:val="0"/>
          <w:color w:val="auto"/>
          <w:kern w:val="0"/>
          <w:sz w:val="24"/>
          <w:highlight w:val="yellow"/>
          <w:lang w:val="en-US" w:eastAsia="zh-CN"/>
        </w:rPr>
        <w:t>7.</w:t>
      </w:r>
      <w:r>
        <w:rPr>
          <w:rFonts w:ascii="宋体" w:hAnsi="宋体" w:eastAsia="宋体" w:cs="宋体"/>
          <w:b/>
          <w:bCs w:val="0"/>
          <w:color w:val="auto"/>
          <w:sz w:val="24"/>
          <w:szCs w:val="24"/>
          <w:highlight w:val="yellow"/>
        </w:rPr>
        <w:t>备注：以上报价为最终报价，评标过程中不再考虑相关优惠、扣除等因素。</w:t>
      </w:r>
    </w:p>
    <w:p>
      <w:pPr>
        <w:snapToGrid w:val="0"/>
        <w:spacing w:line="360" w:lineRule="auto"/>
        <w:ind w:firstLine="480" w:firstLineChars="200"/>
        <w:jc w:val="left"/>
        <w:rPr>
          <w:rFonts w:ascii="仿宋_GB2312" w:hAnsi="宋体" w:eastAsia="仿宋_GB2312"/>
          <w:kern w:val="0"/>
          <w:sz w:val="24"/>
          <w:lang w:val="zh-CN"/>
        </w:rPr>
      </w:pP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法定代表人或其授权委托人（签字或盖章）：</w:t>
      </w:r>
      <w:r>
        <w:rPr>
          <w:rFonts w:ascii="仿宋" w:hAnsi="仿宋" w:eastAsia="仿宋" w:cs="仿宋"/>
          <w:sz w:val="24"/>
        </w:rPr>
        <w:t xml:space="preserve">            </w:t>
      </w:r>
    </w:p>
    <w:p>
      <w:pPr>
        <w:spacing w:line="360" w:lineRule="auto"/>
        <w:rPr>
          <w:rFonts w:ascii="仿宋" w:hAnsi="仿宋" w:eastAsia="仿宋" w:cs="仿宋"/>
          <w:sz w:val="24"/>
        </w:rPr>
      </w:pPr>
    </w:p>
    <w:p>
      <w:pPr>
        <w:spacing w:line="360" w:lineRule="auto"/>
        <w:jc w:val="right"/>
        <w:rPr>
          <w:rFonts w:ascii="仿宋" w:hAnsi="仿宋" w:eastAsia="仿宋" w:cs="仿宋"/>
          <w:b/>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pageBreakBefore/>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3、中小企业声明函</w:t>
      </w:r>
    </w:p>
    <w:p>
      <w:pPr>
        <w:rPr>
          <w:rFonts w:ascii="仿宋" w:hAnsi="仿宋" w:eastAsia="仿宋" w:cs="仿宋"/>
          <w:color w:val="000000" w:themeColor="text1"/>
          <w14:textFill>
            <w14:solidFill>
              <w14:schemeClr w14:val="tx1"/>
            </w14:solidFill>
          </w14:textFill>
        </w:rPr>
      </w:pP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本公司郑重声明，根据《政府采购促进中小企业发展暂行办法》（财库[2011]181号）的规定，本公司为</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（请填写：中型、小型、微型）企业。即，本公司同时满足以下条件：</w:t>
      </w:r>
    </w:p>
    <w:p>
      <w:pPr>
        <w:rPr>
          <w:rFonts w:ascii="仿宋" w:hAnsi="仿宋" w:eastAsia="仿宋" w:cs="仿宋"/>
          <w:color w:val="000000" w:themeColor="text1"/>
          <w:sz w:val="24"/>
          <w14:textFill>
            <w14:solidFill>
              <w14:schemeClr w14:val="tx1"/>
            </w14:solidFill>
          </w14:textFill>
        </w:rPr>
      </w:pPr>
    </w:p>
    <w:p>
      <w:pPr>
        <w:pStyle w:val="72"/>
        <w:widowControl/>
        <w:numPr>
          <w:ilvl w:val="0"/>
          <w:numId w:val="7"/>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w:t>
      </w:r>
    </w:p>
    <w:p>
      <w:pPr>
        <w:pStyle w:val="72"/>
        <w:widowControl/>
        <w:numPr>
          <w:ilvl w:val="0"/>
          <w:numId w:val="7"/>
        </w:numPr>
        <w:adjustRightInd/>
        <w:spacing w:line="240" w:lineRule="auto"/>
        <w:ind w:firstLineChars="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本公司参加</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单位的</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 xml:space="preserve">项目采购活动提供本企业制造的货物，由本企业承担工程、提供服务，或者提供其他 </w:t>
      </w:r>
      <w:r>
        <w:rPr>
          <w:rFonts w:hint="eastAsia" w:ascii="仿宋" w:hAnsi="仿宋" w:eastAsia="仿宋" w:cs="仿宋"/>
          <w:color w:val="000000" w:themeColor="text1"/>
          <w:u w:val="single"/>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（请填写：中型、小型、微型）企业制造的货物。本条所称货物不包括使用大型企业注册商标的货物。</w:t>
      </w:r>
    </w:p>
    <w:p>
      <w:pPr>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本公司对上述声明的真实性负责。如有虚假，将依法承担相应责任。</w:t>
      </w:r>
    </w:p>
    <w:p>
      <w:pPr>
        <w:jc w:val="right"/>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firstLine="5880" w:firstLineChars="2450"/>
        <w:rPr>
          <w:rFonts w:ascii="仿宋" w:hAnsi="仿宋" w:eastAsia="仿宋" w:cs="仿宋"/>
          <w:color w:val="000000" w:themeColor="text1"/>
          <w:sz w:val="24"/>
          <w14:textFill>
            <w14:solidFill>
              <w14:schemeClr w14:val="tx1"/>
            </w14:solidFill>
          </w14:textFill>
        </w:rPr>
      </w:pPr>
    </w:p>
    <w:p>
      <w:pPr>
        <w:ind w:right="42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企业名称（盖章）： </w:t>
      </w:r>
    </w:p>
    <w:p>
      <w:pPr>
        <w:ind w:right="420" w:firstLine="5520" w:firstLineChars="23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日期：  年  月 </w:t>
      </w:r>
      <w:r>
        <w:rPr>
          <w:rFonts w:hint="eastAsia" w:ascii="仿宋" w:hAnsi="仿宋" w:eastAsia="仿宋" w:cs="仿宋"/>
          <w:color w:val="000000" w:themeColor="text1"/>
          <w14:textFill>
            <w14:solidFill>
              <w14:schemeClr w14:val="tx1"/>
            </w14:solidFill>
          </w14:textFill>
        </w:rPr>
        <w:t xml:space="preserve"> 日</w:t>
      </w:r>
    </w:p>
    <w:p>
      <w:pP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1、投标人提供的中小企业声明函与实际情况不符的，视为投标人提供虚假材料投标的，投标无效。</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 w:hAnsi="仿宋" w:eastAsia="仿宋" w:cs="仿宋"/>
          <w:b/>
          <w:color w:val="000000" w:themeColor="text1"/>
          <w:sz w:val="24"/>
          <w14:textFill>
            <w14:solidFill>
              <w14:schemeClr w14:val="tx1"/>
            </w14:solidFill>
          </w14:textFill>
        </w:rPr>
        <w:t>必须提供</w:t>
      </w:r>
      <w:r>
        <w:rPr>
          <w:rFonts w:hint="eastAsia" w:ascii="仿宋" w:hAnsi="仿宋" w:eastAsia="仿宋" w:cs="仿宋"/>
          <w:color w:val="000000" w:themeColor="text1"/>
          <w:sz w:val="24"/>
          <w14:textFill>
            <w14:solidFill>
              <w14:schemeClr w14:val="tx1"/>
            </w14:solidFill>
          </w14:textFill>
        </w:rPr>
        <w:t>经审计的企业财务报表（包含且不仅限于营业收入、资产总额等数据）和企业所有从业人员最近月度的社保缴纳凭证等相关证明以便核查。</w:t>
      </w:r>
    </w:p>
    <w:p>
      <w:pP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 w:hAnsi="仿宋" w:eastAsia="仿宋" w:cs="仿宋"/>
          <w:color w:val="000000" w:themeColor="text1"/>
          <w:sz w:val="24"/>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ind w:firstLine="420" w:firstLineChars="200"/>
        <w:rPr>
          <w:rFonts w:ascii="仿宋" w:hAnsi="仿宋" w:eastAsia="仿宋" w:cs="仿宋"/>
          <w:color w:val="000000" w:themeColor="text1"/>
          <w14:textFill>
            <w14:solidFill>
              <w14:schemeClr w14:val="tx1"/>
            </w14:solidFill>
          </w14:textFill>
        </w:rPr>
      </w:pPr>
    </w:p>
    <w:p>
      <w:pPr>
        <w:pageBreakBefore/>
        <w:spacing w:line="588" w:lineRule="exact"/>
        <w:rPr>
          <w:rFonts w:ascii="仿宋" w:hAnsi="仿宋" w:eastAsia="仿宋" w:cs="仿宋"/>
          <w:b/>
          <w:color w:val="000000" w:themeColor="text1"/>
          <w:spacing w:val="6"/>
          <w:sz w:val="32"/>
          <w:szCs w:val="32"/>
          <w14:textFill>
            <w14:solidFill>
              <w14:schemeClr w14:val="tx1"/>
            </w14:solidFill>
          </w14:textFill>
        </w:rPr>
      </w:pPr>
      <w:r>
        <w:rPr>
          <w:rFonts w:hint="eastAsia" w:ascii="仿宋" w:hAnsi="仿宋" w:eastAsia="仿宋" w:cs="仿宋"/>
          <w:b/>
          <w:color w:val="000000" w:themeColor="text1"/>
          <w:spacing w:val="6"/>
          <w:sz w:val="32"/>
          <w:szCs w:val="32"/>
          <w14:textFill>
            <w14:solidFill>
              <w14:schemeClr w14:val="tx1"/>
            </w14:solidFill>
          </w14:textFill>
        </w:rPr>
        <w:t>4、残疾人福利性单位声明函</w:t>
      </w:r>
    </w:p>
    <w:p>
      <w:pPr>
        <w:spacing w:line="588" w:lineRule="exact"/>
        <w:rPr>
          <w:rFonts w:ascii="仿宋" w:hAnsi="仿宋" w:eastAsia="仿宋" w:cs="仿宋"/>
          <w:b/>
          <w:color w:val="000000" w:themeColor="text1"/>
          <w:spacing w:val="6"/>
          <w:sz w:val="30"/>
          <w:szCs w:val="30"/>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本单位对上述声明的真实性负责。如有虚假，将依法承担相应责任。</w:t>
      </w: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spacing w:line="588" w:lineRule="exact"/>
        <w:ind w:firstLine="480" w:firstLineChars="200"/>
        <w:rPr>
          <w:rFonts w:ascii="仿宋" w:hAnsi="仿宋" w:eastAsia="仿宋" w:cs="仿宋"/>
          <w:color w:val="000000" w:themeColor="text1"/>
          <w:sz w:val="24"/>
          <w14:textFill>
            <w14:solidFill>
              <w14:schemeClr w14:val="tx1"/>
            </w14:solidFill>
          </w14:textFill>
        </w:rPr>
      </w:pPr>
    </w:p>
    <w:p>
      <w:pPr>
        <w:tabs>
          <w:tab w:val="left" w:pos="4860"/>
        </w:tabs>
        <w:spacing w:line="588" w:lineRule="exact"/>
        <w:ind w:right="156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单位名称（盖章）：</w:t>
      </w:r>
    </w:p>
    <w:p>
      <w:pPr>
        <w:tabs>
          <w:tab w:val="left" w:pos="4860"/>
        </w:tabs>
        <w:spacing w:line="588" w:lineRule="exact"/>
        <w:ind w:right="1560" w:firstLine="480" w:firstLineChars="20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日  期：</w:t>
      </w:r>
    </w:p>
    <w:p>
      <w:pPr>
        <w:ind w:firstLine="480" w:firstLineChars="200"/>
        <w:rPr>
          <w:rFonts w:ascii="宋体" w:hAnsi="宋体" w:cs="宋体"/>
          <w:color w:val="000000" w:themeColor="text1"/>
          <w:sz w:val="24"/>
          <w14:textFill>
            <w14:solidFill>
              <w14:schemeClr w14:val="tx1"/>
            </w14:solidFill>
          </w14:textFill>
        </w:rPr>
      </w:pPr>
    </w:p>
    <w:p>
      <w:pPr>
        <w:ind w:firstLine="420" w:firstLineChars="200"/>
        <w:rPr>
          <w:rFonts w:ascii="宋体" w:hAnsi="宋体" w:cs="宋体"/>
          <w:color w:val="000000" w:themeColor="text1"/>
          <w14:textFill>
            <w14:solidFill>
              <w14:schemeClr w14:val="tx1"/>
            </w14:solidFill>
          </w14:textFill>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w:t>
      </w:r>
      <w:r>
        <w:rPr>
          <w:rFonts w:hint="eastAsia" w:hAnsi="仿宋_GB2312" w:cs="仿宋_GB2312"/>
        </w:rPr>
        <w:t>）法定代表人授权书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2</w:t>
      </w:r>
      <w:r>
        <w:rPr>
          <w:rFonts w:hint="eastAsia" w:hAnsi="仿宋_GB2312" w:cs="仿宋_GB2312"/>
        </w:rPr>
        <w:t>）授权代表社保证明（复印件）…………………………………………（页码）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3</w:t>
      </w:r>
      <w:r>
        <w:rPr>
          <w:rFonts w:hint="eastAsia" w:hAnsi="仿宋_GB2312" w:cs="仿宋_GB2312"/>
        </w:rPr>
        <w:t>）法定代表人及其授权代表的身份证（复印件）………………………（页码）（</w:t>
      </w:r>
      <w:r>
        <w:rPr>
          <w:rFonts w:hAnsi="仿宋_GB2312" w:cs="仿宋_GB2312"/>
        </w:rPr>
        <w:t>4</w:t>
      </w:r>
      <w:r>
        <w:rPr>
          <w:rFonts w:hint="eastAsia" w:hAnsi="仿宋_GB2312" w:cs="仿宋_GB2312"/>
        </w:rPr>
        <w:t>）法定代表人身份证明书…………………………………………………（页码）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5</w:t>
      </w:r>
      <w:r>
        <w:rPr>
          <w:rFonts w:hint="eastAsia" w:hAnsi="仿宋_GB2312" w:cs="仿宋_GB2312"/>
        </w:rPr>
        <w:t>）营业执照</w:t>
      </w:r>
      <w:r>
        <w:rPr>
          <w:rFonts w:hAnsi="仿宋_GB2312" w:cs="仿宋_GB2312"/>
        </w:rPr>
        <w:t>(</w:t>
      </w:r>
      <w:r>
        <w:rPr>
          <w:rFonts w:hint="eastAsia" w:hAnsi="仿宋_GB2312" w:cs="仿宋_GB2312"/>
        </w:rPr>
        <w:t>或事业法人登记证或其他登记证明材料</w:t>
      </w:r>
      <w:r>
        <w:rPr>
          <w:rFonts w:hAnsi="仿宋_GB2312" w:cs="仿宋_GB2312"/>
        </w:rPr>
        <w:t>)</w:t>
      </w:r>
      <w:r>
        <w:rPr>
          <w:rFonts w:hint="eastAsia" w:hAnsi="仿宋_GB2312" w:cs="仿宋_GB2312"/>
        </w:rPr>
        <w:t>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6</w:t>
      </w:r>
      <w:r>
        <w:rPr>
          <w:rFonts w:hint="eastAsia" w:hAnsi="仿宋_GB2312" w:cs="仿宋_GB2312"/>
        </w:rPr>
        <w:t>）</w:t>
      </w:r>
      <w:r>
        <w:rPr>
          <w:rFonts w:hAnsi="仿宋_GB2312" w:cs="仿宋_GB2312"/>
        </w:rPr>
        <w:t>2018</w:t>
      </w:r>
      <w:r>
        <w:rPr>
          <w:rFonts w:hint="eastAsia" w:hAnsi="仿宋_GB2312" w:cs="仿宋_GB2312"/>
        </w:rPr>
        <w:t>年资产负债表等财务报表资料文件</w:t>
      </w:r>
      <w:r>
        <w:rPr>
          <w:rFonts w:hAnsi="仿宋_GB2312" w:cs="仿宋_GB2312"/>
        </w:rPr>
        <w:t>(</w:t>
      </w:r>
      <w:r>
        <w:rPr>
          <w:rFonts w:hint="eastAsia" w:hAnsi="仿宋_GB2312" w:cs="仿宋_GB2312"/>
        </w:rPr>
        <w:t>新成立的公司，提供情况说明</w:t>
      </w:r>
      <w:r>
        <w:rPr>
          <w:rFonts w:hAnsi="仿宋_GB2312" w:cs="仿宋_GB2312"/>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7</w:t>
      </w:r>
      <w:r>
        <w:rPr>
          <w:rFonts w:hint="eastAsia" w:hAnsi="仿宋_GB2312" w:cs="仿宋_GB2312"/>
        </w:rPr>
        <w:t>）具有履行合同所必需的设备和专业技术能力的承诺函………………（页码）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8</w:t>
      </w:r>
      <w:r>
        <w:rPr>
          <w:rFonts w:hint="eastAsia" w:hAnsi="仿宋_GB2312" w:cs="仿宋_GB2312"/>
        </w:rPr>
        <w:t>）重大违法记录的声明</w:t>
      </w:r>
      <w:r>
        <w:rPr>
          <w:rFonts w:hAnsi="仿宋_GB2312" w:cs="仿宋_GB2312"/>
        </w:rPr>
        <w:t xml:space="preserve"> </w:t>
      </w:r>
      <w:r>
        <w:rPr>
          <w:rFonts w:hint="eastAsia" w:hAnsi="仿宋_GB2312" w:cs="仿宋_GB2312"/>
        </w:rPr>
        <w:t>……………………………………………………（页码）（</w:t>
      </w:r>
      <w:r>
        <w:rPr>
          <w:rFonts w:hAnsi="仿宋_GB2312" w:cs="仿宋_GB2312"/>
        </w:rPr>
        <w:t>9</w:t>
      </w:r>
      <w:r>
        <w:rPr>
          <w:rFonts w:hint="eastAsia" w:hAnsi="仿宋_GB2312" w:cs="仿宋_GB2312"/>
        </w:rPr>
        <w:t>）符合特定资格条件（如果项目要求）的有关证明材料（复印件）…（页码）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10</w:t>
      </w:r>
      <w:r>
        <w:rPr>
          <w:rFonts w:hint="eastAsia" w:hAnsi="仿宋_GB2312" w:cs="仿宋_GB2312"/>
        </w:rPr>
        <w:t>）所有与符合性审查有关的资信文件（复印件）</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11</w:t>
      </w:r>
      <w:r>
        <w:rPr>
          <w:rFonts w:hint="eastAsia" w:hAnsi="仿宋_GB2312" w:cs="仿宋_GB2312"/>
        </w:rPr>
        <w:t>）</w:t>
      </w:r>
      <w:r>
        <w:rPr>
          <w:rFonts w:hint="eastAsia" w:hAnsi="仿宋_GB2312" w:cs="仿宋_GB2312"/>
          <w:lang w:val="zh-CN"/>
        </w:rPr>
        <w:t>主要业绩证明…</w:t>
      </w:r>
      <w:r>
        <w:rPr>
          <w:rFonts w:hAnsi="仿宋_GB2312" w:cs="仿宋_GB2312"/>
          <w:lang w:val="zh-CN"/>
        </w:rPr>
        <w:t xml:space="preserve"> </w:t>
      </w:r>
      <w:r>
        <w:rPr>
          <w:rFonts w:hint="eastAsia" w:hAnsi="仿宋_GB2312" w:cs="仿宋_GB2312"/>
          <w:lang w:val="zh-CN"/>
        </w:rPr>
        <w:t>………………………………………………</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12</w:t>
      </w:r>
      <w:r>
        <w:rPr>
          <w:rFonts w:hint="eastAsia" w:hAnsi="仿宋_GB2312" w:cs="仿宋_GB2312"/>
        </w:rPr>
        <w:t>）廉政承诺书</w:t>
      </w:r>
      <w:r>
        <w:rPr>
          <w:rFonts w:hAnsi="仿宋_GB2312" w:cs="仿宋_GB2312"/>
        </w:rPr>
        <w:t xml:space="preserve"> </w:t>
      </w:r>
      <w:r>
        <w:rPr>
          <w:rFonts w:hint="eastAsia" w:hAnsi="仿宋_GB2312" w:cs="仿宋_GB2312"/>
        </w:rPr>
        <w:t>……………………………………………………………（页码）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13</w:t>
      </w:r>
      <w:r>
        <w:rPr>
          <w:rFonts w:hint="eastAsia" w:hAnsi="仿宋_GB2312" w:cs="仿宋_GB2312"/>
        </w:rPr>
        <w:t>）技术解决方案…………………………………………………………（页码）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14</w:t>
      </w:r>
      <w:r>
        <w:rPr>
          <w:rFonts w:hint="eastAsia" w:hAnsi="仿宋_GB2312" w:cs="仿宋_GB2312"/>
        </w:rPr>
        <w:t>）技术偏离说明表………………………………………………………（页码）</w:t>
      </w:r>
    </w:p>
    <w:p>
      <w:pPr>
        <w:pStyle w:val="73"/>
        <w:spacing w:line="360" w:lineRule="auto"/>
        <w:ind w:left="0" w:firstLine="0" w:firstLineChars="0"/>
        <w:rPr>
          <w:rFonts w:hAnsi="仿宋_GB2312" w:cs="仿宋_GB2312"/>
        </w:rPr>
      </w:pPr>
      <w:r>
        <w:rPr>
          <w:rFonts w:hint="eastAsia" w:hAnsi="仿宋_GB2312" w:cs="仿宋_GB2312"/>
        </w:rPr>
        <w:t>（</w:t>
      </w:r>
      <w:r>
        <w:rPr>
          <w:rFonts w:hAnsi="仿宋_GB2312" w:cs="仿宋_GB2312"/>
        </w:rPr>
        <w:t>15</w:t>
      </w:r>
      <w:r>
        <w:rPr>
          <w:rFonts w:hint="eastAsia" w:hAnsi="仿宋_GB2312" w:cs="仿宋_GB2312"/>
        </w:rPr>
        <w:t>）投标承诺书……………………………………………………………（页码）</w:t>
      </w:r>
    </w:p>
    <w:p>
      <w:pPr>
        <w:pStyle w:val="73"/>
        <w:spacing w:line="360" w:lineRule="auto"/>
        <w:ind w:left="0" w:firstLine="0" w:firstLineChars="0"/>
        <w:rPr>
          <w:rFonts w:hAnsi="仿宋_GB2312" w:cs="仿宋_GB2312"/>
          <w:lang w:val="zh-CN"/>
        </w:rPr>
      </w:pPr>
      <w:r>
        <w:rPr>
          <w:rFonts w:hint="eastAsia" w:hAnsi="仿宋_GB2312" w:cs="仿宋_GB2312"/>
          <w:lang w:val="zh-CN"/>
        </w:rPr>
        <w:t>（</w:t>
      </w:r>
      <w:r>
        <w:rPr>
          <w:rFonts w:hAnsi="仿宋_GB2312" w:cs="仿宋_GB2312"/>
          <w:lang w:val="zh-CN"/>
        </w:rPr>
        <w:t>1</w:t>
      </w:r>
      <w:r>
        <w:rPr>
          <w:rFonts w:hAnsi="仿宋_GB2312" w:cs="仿宋_GB2312"/>
        </w:rPr>
        <w:t>6</w:t>
      </w:r>
      <w:r>
        <w:rPr>
          <w:rFonts w:hint="eastAsia" w:hAnsi="仿宋_GB2312" w:cs="仿宋_GB2312"/>
          <w:lang w:val="zh-CN"/>
        </w:rPr>
        <w:t>）认为需要的其他技术文件或说明………………………………………（页码）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、法定代表人授权委托书（格式）</w:t>
      </w:r>
      <w:r>
        <w:rPr>
          <w:rFonts w:ascii="仿宋_GB2312" w:hAnsi="宋体" w:eastAsia="仿宋_GB2312"/>
          <w:b/>
          <w:sz w:val="30"/>
          <w:szCs w:val="30"/>
        </w:rPr>
        <w:t xml:space="preserve">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w:t>
      </w:r>
      <w:r>
        <w:rPr>
          <w:rFonts w:ascii="仿宋_GB2312" w:hAnsi="宋体" w:eastAsia="仿宋_GB2312"/>
          <w:sz w:val="24"/>
        </w:rPr>
        <w:t>(</w:t>
      </w:r>
      <w:r>
        <w:rPr>
          <w:rFonts w:hint="eastAsia" w:ascii="仿宋_GB2312" w:hAnsi="宋体" w:eastAsia="仿宋_GB2312"/>
          <w:sz w:val="24"/>
        </w:rPr>
        <w:t>姓名</w:t>
      </w:r>
      <w:r>
        <w:rPr>
          <w:rFonts w:ascii="仿宋_GB2312" w:hAnsi="宋体" w:eastAsia="仿宋_GB2312"/>
          <w:sz w:val="24"/>
        </w:rPr>
        <w:t>)</w:t>
      </w:r>
      <w:r>
        <w:rPr>
          <w:rFonts w:hint="eastAsia" w:ascii="仿宋_GB2312" w:hAnsi="宋体" w:eastAsia="仿宋_GB2312"/>
          <w:sz w:val="24"/>
        </w:rPr>
        <w:t>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rPr>
        <w:t xml:space="preserve">               </w:t>
      </w:r>
      <w:r>
        <w:rPr>
          <w:rFonts w:hint="eastAsia" w:ascii="仿宋_GB2312" w:hAnsi="宋体" w:eastAsia="仿宋_GB2312"/>
          <w:sz w:val="24"/>
        </w:rPr>
        <w:t>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rPr>
        <w:t xml:space="preserve">               </w:t>
      </w:r>
      <w:r>
        <w:rPr>
          <w:rFonts w:hint="eastAsia" w:ascii="仿宋_GB2312" w:hAnsi="宋体" w:eastAsia="仿宋_GB2312"/>
          <w:sz w:val="24"/>
        </w:rPr>
        <w:t>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w:t>
      </w:r>
      <w:r>
        <w:rPr>
          <w:rFonts w:ascii="仿宋_GB2312" w:hAnsi="宋体" w:eastAsia="仿宋_GB2312"/>
          <w:kern w:val="0"/>
          <w:sz w:val="24"/>
        </w:rPr>
        <w:t xml:space="preserve">                  </w:t>
      </w:r>
      <w:r>
        <w:rPr>
          <w:rFonts w:hint="eastAsia" w:ascii="仿宋_GB2312" w:hAnsi="宋体" w:eastAsia="仿宋_GB2312"/>
          <w:kern w:val="0"/>
          <w:sz w:val="24"/>
        </w:rPr>
        <w:t>联系电话：</w:t>
      </w:r>
      <w:r>
        <w:rPr>
          <w:rFonts w:ascii="仿宋_GB2312" w:hAnsi="宋体" w:eastAsia="仿宋_GB2312"/>
          <w:kern w:val="0"/>
          <w:sz w:val="24"/>
        </w:rPr>
        <w:t xml:space="preserve">           </w:t>
      </w:r>
      <w:r>
        <w:rPr>
          <w:rFonts w:hint="eastAsia" w:ascii="仿宋_GB2312" w:hAnsi="宋体" w:eastAsia="仿宋_GB2312"/>
          <w:kern w:val="0"/>
          <w:sz w:val="24"/>
        </w:rPr>
        <w:t>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w:t>
      </w: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_GB2312" w:hAnsi="宋体" w:eastAsia="仿宋_GB2312"/>
          <w:b/>
          <w:sz w:val="24"/>
        </w:rPr>
        <w:t>未提供上述证明的投标做无效投标处理。</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、法定代表人身份证明书</w:t>
      </w:r>
      <w:r>
        <w:rPr>
          <w:rFonts w:ascii="仿宋_GB2312" w:hAnsi="宋体" w:eastAsia="仿宋_GB2312"/>
          <w:b/>
          <w:sz w:val="30"/>
          <w:szCs w:val="30"/>
        </w:rPr>
        <w:t>(</w:t>
      </w:r>
      <w:r>
        <w:rPr>
          <w:rFonts w:hint="eastAsia" w:ascii="仿宋_GB2312" w:hAnsi="宋体" w:eastAsia="仿宋_GB2312"/>
          <w:b/>
          <w:sz w:val="30"/>
          <w:szCs w:val="30"/>
        </w:rPr>
        <w:t>格式</w:t>
      </w:r>
      <w:r>
        <w:rPr>
          <w:rFonts w:ascii="仿宋_GB2312" w:hAnsi="宋体" w:eastAsia="仿宋_GB2312"/>
          <w:b/>
          <w:sz w:val="30"/>
          <w:szCs w:val="30"/>
        </w:rPr>
        <w:t>)</w:t>
      </w:r>
    </w:p>
    <w:p>
      <w:pPr>
        <w:spacing w:line="440" w:lineRule="exact"/>
        <w:rPr>
          <w:rFonts w:ascii="仿宋_GB2312" w:hAnsi="宋体" w:eastAsia="仿宋_GB2312"/>
          <w:sz w:val="24"/>
        </w:rPr>
      </w:pPr>
      <w:r>
        <w:rPr>
          <w:rFonts w:hint="eastAsia" w:ascii="仿宋_GB2312" w:hAnsi="宋体" w:eastAsia="仿宋_GB2312"/>
          <w:sz w:val="24"/>
        </w:rPr>
        <w:t>投</w:t>
      </w:r>
      <w:r>
        <w:rPr>
          <w:rFonts w:ascii="仿宋_GB2312" w:hAnsi="宋体" w:eastAsia="仿宋_GB2312"/>
          <w:sz w:val="24"/>
        </w:rPr>
        <w:t xml:space="preserve"> </w:t>
      </w:r>
      <w:r>
        <w:rPr>
          <w:rFonts w:hint="eastAsia" w:ascii="仿宋_GB2312" w:hAnsi="宋体" w:eastAsia="仿宋_GB2312"/>
          <w:sz w:val="24"/>
        </w:rPr>
        <w:t>标</w:t>
      </w:r>
      <w:r>
        <w:rPr>
          <w:rFonts w:ascii="仿宋_GB2312" w:hAnsi="宋体" w:eastAsia="仿宋_GB2312"/>
          <w:sz w:val="24"/>
        </w:rPr>
        <w:t xml:space="preserve"> </w:t>
      </w:r>
      <w:r>
        <w:rPr>
          <w:rFonts w:hint="eastAsia" w:ascii="仿宋_GB2312" w:hAnsi="宋体" w:eastAsia="仿宋_GB2312"/>
          <w:sz w:val="24"/>
        </w:rPr>
        <w:t>人：</w:t>
      </w:r>
    </w:p>
    <w:p>
      <w:pPr>
        <w:spacing w:line="440" w:lineRule="exact"/>
        <w:rPr>
          <w:rFonts w:ascii="仿宋_GB2312" w:hAnsi="宋体" w:eastAsia="仿宋_GB2312"/>
          <w:sz w:val="24"/>
        </w:rPr>
      </w:pPr>
      <w:r>
        <w:rPr>
          <w:rFonts w:hint="eastAsia" w:ascii="仿宋_GB2312" w:hAnsi="宋体" w:eastAsia="仿宋_GB2312"/>
          <w:sz w:val="24"/>
        </w:rPr>
        <w:t>地</w:t>
      </w:r>
      <w:r>
        <w:rPr>
          <w:rFonts w:ascii="仿宋_GB2312" w:hAnsi="宋体" w:eastAsia="仿宋_GB2312"/>
          <w:sz w:val="24"/>
        </w:rPr>
        <w:t xml:space="preserve">    </w:t>
      </w:r>
      <w:r>
        <w:rPr>
          <w:rFonts w:hint="eastAsia" w:ascii="仿宋_GB2312" w:hAnsi="宋体" w:eastAsia="仿宋_GB2312"/>
          <w:sz w:val="24"/>
        </w:rPr>
        <w:t>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w:t>
      </w:r>
      <w:r>
        <w:rPr>
          <w:rFonts w:ascii="仿宋_GB2312" w:hAnsi="宋体" w:eastAsia="仿宋_GB2312"/>
          <w:sz w:val="24"/>
        </w:rPr>
        <w:t xml:space="preserve">                             </w:t>
      </w:r>
      <w:r>
        <w:rPr>
          <w:rFonts w:hint="eastAsia" w:ascii="仿宋_GB2312" w:hAnsi="宋体" w:eastAsia="仿宋_GB2312"/>
          <w:sz w:val="24"/>
        </w:rPr>
        <w:t>（盖章）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rPr>
          <w:rFonts w:ascii="仿宋_GB2312" w:hAnsi="仿宋_GB2312" w:eastAsia="仿宋_GB2312" w:cs="仿宋_GB2312"/>
          <w:b/>
          <w:sz w:val="30"/>
          <w:szCs w:val="30"/>
        </w:rPr>
      </w:pPr>
      <w:r>
        <w:rPr>
          <w:rFonts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、财务报表资料文件（</w:t>
      </w:r>
      <w:r>
        <w:rPr>
          <w:rFonts w:ascii="仿宋_GB2312" w:hAnsi="仿宋_GB2312" w:eastAsia="仿宋_GB2312" w:cs="仿宋_GB2312"/>
          <w:b/>
          <w:sz w:val="30"/>
          <w:szCs w:val="30"/>
        </w:rPr>
        <w:t>2018</w:t>
      </w:r>
      <w:r>
        <w:rPr>
          <w:rFonts w:hint="eastAsia" w:ascii="仿宋_GB2312" w:hAnsi="仿宋_GB2312" w:eastAsia="仿宋_GB2312" w:cs="仿宋_GB2312"/>
          <w:b/>
          <w:sz w:val="30"/>
          <w:szCs w:val="30"/>
        </w:rPr>
        <w:t>年资产负债表等财务报表资料文件</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新成立的公司，提供情况说明，格式自拟</w:t>
      </w:r>
      <w:r>
        <w:rPr>
          <w:rFonts w:ascii="仿宋_GB2312" w:hAnsi="仿宋_GB2312" w:eastAsia="仿宋_GB2312" w:cs="仿宋_GB2312"/>
          <w:b/>
          <w:sz w:val="30"/>
          <w:szCs w:val="30"/>
        </w:rPr>
        <w:t>)</w:t>
      </w:r>
      <w:r>
        <w:rPr>
          <w:rFonts w:hint="eastAsia" w:ascii="仿宋_GB2312" w:hAnsi="仿宋_GB2312" w:eastAsia="仿宋_GB2312" w:cs="仿宋_GB2312"/>
          <w:b/>
          <w:sz w:val="30"/>
          <w:szCs w:val="30"/>
        </w:rPr>
        <w:t>）</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kern w:val="0"/>
          <w:sz w:val="32"/>
          <w:szCs w:val="32"/>
        </w:rPr>
        <w:t>8</w:t>
      </w:r>
      <w:r>
        <w:rPr>
          <w:rFonts w:hint="eastAsia" w:ascii="仿宋_GB2312" w:hAnsi="仿宋_GB2312" w:eastAsia="仿宋_GB2312" w:cs="仿宋_GB2312"/>
          <w:b/>
          <w:kern w:val="0"/>
          <w:sz w:val="32"/>
          <w:szCs w:val="32"/>
        </w:rPr>
        <w:t>、重大违法记录的声明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t>
      </w:r>
      <w:r>
        <w:rPr>
          <w:rFonts w:ascii="仿宋_GB2312" w:hAnsi="仿宋_GB2312" w:eastAsia="仿宋_GB2312" w:cs="仿宋_GB2312"/>
          <w:sz w:val="24"/>
          <w:szCs w:val="20"/>
        </w:rPr>
        <w:t>www.creditchina.gov.cn</w:t>
      </w:r>
      <w:r>
        <w:rPr>
          <w:rFonts w:hint="eastAsia" w:ascii="仿宋_GB2312" w:hAnsi="仿宋_GB2312" w:eastAsia="仿宋_GB2312" w:cs="仿宋_GB2312"/>
          <w:sz w:val="24"/>
          <w:szCs w:val="20"/>
        </w:rPr>
        <w:t>）、中国政府采购网（</w:t>
      </w:r>
      <w:r>
        <w:rPr>
          <w:rFonts w:ascii="仿宋_GB2312" w:hAnsi="仿宋_GB2312" w:eastAsia="仿宋_GB2312" w:cs="仿宋_GB2312"/>
          <w:sz w:val="24"/>
          <w:szCs w:val="20"/>
        </w:rPr>
        <w:t>www.ccgp.gov.cn</w:t>
      </w:r>
      <w:r>
        <w:rPr>
          <w:rFonts w:hint="eastAsia" w:ascii="仿宋_GB2312" w:hAnsi="仿宋_GB2312" w:eastAsia="仿宋_GB2312" w:cs="仿宋_GB2312"/>
          <w:sz w:val="24"/>
          <w:szCs w:val="20"/>
        </w:rPr>
        <w:t>）查询，未被列入失信被执行人、重大税收违法案件当事人名单、政府采购严重违法失信行为记录名单。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公章</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签字</w:t>
      </w:r>
      <w:r>
        <w:rPr>
          <w:rFonts w:ascii="仿宋_GB2312" w:hAnsi="仿宋_GB2312" w:eastAsia="仿宋_GB2312" w:cs="仿宋_GB2312"/>
          <w:kern w:val="0"/>
          <w:sz w:val="24"/>
          <w:lang w:val="zh-CN"/>
        </w:rPr>
        <w:t>)</w:t>
      </w:r>
      <w:r>
        <w:rPr>
          <w:rFonts w:hint="eastAsia" w:ascii="仿宋_GB2312" w:hAnsi="仿宋_GB2312" w:eastAsia="仿宋_GB2312" w:cs="仿宋_GB2312"/>
          <w:kern w:val="0"/>
          <w:sz w:val="24"/>
          <w:lang w:val="zh-CN"/>
        </w:rPr>
        <w:t>：</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w:t>
      </w:r>
      <w:r>
        <w:rPr>
          <w:rFonts w:ascii="仿宋_GB2312" w:hAnsi="仿宋_GB2312" w:eastAsia="仿宋_GB2312" w:cs="仿宋_GB2312"/>
          <w:b/>
          <w:sz w:val="24"/>
        </w:rPr>
        <w:t xml:space="preserve"> :</w:t>
      </w:r>
      <w:r>
        <w:rPr>
          <w:rFonts w:hint="eastAsia" w:ascii="仿宋_GB2312" w:hAnsi="仿宋_GB2312" w:eastAsia="仿宋_GB2312" w:cs="仿宋_GB2312"/>
          <w:b/>
          <w:sz w:val="24"/>
        </w:rPr>
        <w:t>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r>
        <w:rPr>
          <w:rFonts w:ascii="仿宋_GB2312" w:hAnsi="仿宋_GB2312" w:eastAsia="仿宋_GB2312" w:cs="仿宋_GB2312"/>
          <w:kern w:val="0"/>
          <w:sz w:val="24"/>
        </w:rPr>
        <w:t xml:space="preserve">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r>
        <w:rPr>
          <w:rFonts w:ascii="仿宋_GB2312" w:hAnsi="仿宋_GB2312" w:eastAsia="仿宋_GB2312" w:cs="仿宋_GB2312"/>
          <w:kern w:val="0"/>
          <w:sz w:val="24"/>
        </w:rPr>
        <w:t xml:space="preserve">                   </w:t>
      </w:r>
    </w:p>
    <w:p>
      <w:pPr>
        <w:spacing w:line="360" w:lineRule="auto"/>
        <w:jc w:val="right"/>
        <w:rPr>
          <w:rFonts w:hAnsi="仿宋_GB2312" w:cs="仿宋_GB2312"/>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pStyle w:val="74"/>
        <w:ind w:firstLine="0"/>
        <w:jc w:val="both"/>
        <w:rPr>
          <w:rFonts w:hAnsi="仿宋_GB2312" w:cs="仿宋_GB2312"/>
        </w:rPr>
      </w:pPr>
      <w:r>
        <w:rPr>
          <w:rFonts w:hAnsi="仿宋_GB2312" w:cs="仿宋_GB2312"/>
        </w:rPr>
        <w:t>12</w:t>
      </w:r>
      <w:r>
        <w:rPr>
          <w:rFonts w:hint="eastAsia" w:hAnsi="仿宋_GB2312" w:cs="仿宋_GB2312"/>
        </w:rPr>
        <w:t>、廉政承诺书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lang w:eastAsia="zh-CN"/>
        </w:rPr>
        <w:t>绍兴市公安局</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五、不为项目有关人员个人装修住房、婚丧嫁娶、配偶子女工作安排等提供好处；</w:t>
      </w:r>
      <w:r>
        <w:rPr>
          <w:rFonts w:ascii="仿宋_GB2312" w:hAnsi="仿宋_GB2312" w:eastAsia="仿宋_GB2312" w:cs="仿宋_GB2312"/>
          <w:kern w:val="0"/>
          <w:sz w:val="24"/>
          <w:lang w:val="zh-CN"/>
        </w:rPr>
        <w:t xml:space="preserve">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六、严格遵守政府采购法、合同法等法律，诚实守信，合法经营，坚决抵制各种违法违纪行为。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13</w:t>
      </w:r>
      <w:r>
        <w:rPr>
          <w:rFonts w:hint="eastAsia" w:ascii="仿宋_GB2312" w:hAnsi="仿宋_GB2312" w:eastAsia="仿宋_GB2312" w:cs="仿宋_GB2312"/>
          <w:b/>
          <w:bCs/>
          <w:sz w:val="32"/>
          <w:szCs w:val="32"/>
        </w:rPr>
        <w:t>、技术解决方案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noWrap/>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1</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2</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3</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4</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noWrap/>
            <w:vAlign w:val="center"/>
          </w:tcPr>
          <w:p>
            <w:pPr>
              <w:spacing w:line="360" w:lineRule="auto"/>
              <w:jc w:val="center"/>
              <w:rPr>
                <w:rFonts w:ascii="仿宋_GB2312" w:hAnsi="仿宋_GB2312" w:eastAsia="仿宋_GB2312" w:cs="仿宋_GB2312"/>
                <w:sz w:val="24"/>
              </w:rPr>
            </w:pPr>
            <w:r>
              <w:rPr>
                <w:rFonts w:ascii="仿宋_GB2312" w:hAnsi="仿宋_GB2312" w:eastAsia="仿宋_GB2312" w:cs="仿宋_GB2312"/>
                <w:sz w:val="24"/>
              </w:rPr>
              <w:t>5</w:t>
            </w:r>
          </w:p>
        </w:tc>
        <w:tc>
          <w:tcPr>
            <w:tcW w:w="1531" w:type="dxa"/>
            <w:noWrap/>
            <w:vAlign w:val="center"/>
          </w:tcPr>
          <w:p>
            <w:pPr>
              <w:snapToGrid w:val="0"/>
              <w:spacing w:line="360" w:lineRule="auto"/>
              <w:jc w:val="center"/>
              <w:rPr>
                <w:rFonts w:ascii="仿宋_GB2312" w:hAnsi="仿宋_GB2312" w:eastAsia="仿宋_GB2312" w:cs="仿宋_GB2312"/>
                <w:sz w:val="24"/>
              </w:rPr>
            </w:pPr>
          </w:p>
        </w:tc>
        <w:tc>
          <w:tcPr>
            <w:tcW w:w="2160" w:type="dxa"/>
            <w:noWrap/>
            <w:vAlign w:val="center"/>
          </w:tcPr>
          <w:p>
            <w:pPr>
              <w:snapToGrid w:val="0"/>
              <w:spacing w:line="360" w:lineRule="auto"/>
              <w:jc w:val="center"/>
              <w:rPr>
                <w:rFonts w:ascii="仿宋_GB2312" w:hAnsi="仿宋_GB2312" w:eastAsia="仿宋_GB2312" w:cs="仿宋_GB2312"/>
                <w:sz w:val="24"/>
              </w:rPr>
            </w:pPr>
          </w:p>
        </w:tc>
        <w:tc>
          <w:tcPr>
            <w:tcW w:w="2340" w:type="dxa"/>
            <w:noWrap/>
            <w:vAlign w:val="center"/>
          </w:tcPr>
          <w:p>
            <w:pPr>
              <w:spacing w:line="360" w:lineRule="auto"/>
              <w:jc w:val="center"/>
              <w:rPr>
                <w:rFonts w:ascii="仿宋_GB2312" w:hAnsi="仿宋_GB2312" w:eastAsia="仿宋_GB2312" w:cs="仿宋_GB2312"/>
                <w:sz w:val="24"/>
              </w:rPr>
            </w:pPr>
          </w:p>
        </w:tc>
        <w:tc>
          <w:tcPr>
            <w:tcW w:w="1080" w:type="dxa"/>
            <w:noWrap/>
            <w:vAlign w:val="center"/>
          </w:tcPr>
          <w:p>
            <w:pPr>
              <w:spacing w:line="360" w:lineRule="auto"/>
              <w:jc w:val="center"/>
              <w:rPr>
                <w:rFonts w:ascii="仿宋_GB2312" w:hAnsi="仿宋_GB2312" w:eastAsia="仿宋_GB2312" w:cs="仿宋_GB2312"/>
                <w:sz w:val="24"/>
              </w:rPr>
            </w:pPr>
          </w:p>
        </w:tc>
        <w:tc>
          <w:tcPr>
            <w:tcW w:w="1332" w:type="dxa"/>
            <w:noWrap/>
            <w:vAlign w:val="center"/>
          </w:tcPr>
          <w:p>
            <w:pPr>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kern w:val="0"/>
          <w:sz w:val="28"/>
          <w:szCs w:val="28"/>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ascii="仿宋_GB2312" w:hAnsi="仿宋_GB2312" w:eastAsia="仿宋_GB2312" w:cs="仿宋_GB2312"/>
          <w:kern w:val="0"/>
          <w:sz w:val="24"/>
        </w:rPr>
      </w:pPr>
    </w:p>
    <w:p>
      <w:pPr>
        <w:spacing w:line="360" w:lineRule="auto"/>
        <w:jc w:val="right"/>
        <w:rPr>
          <w:rFonts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ascii="仿宋_GB2312" w:hAnsi="仿宋_GB2312" w:eastAsia="仿宋_GB2312" w:cs="仿宋_GB2312"/>
          <w:b/>
          <w:bCs/>
          <w:sz w:val="32"/>
          <w:szCs w:val="32"/>
        </w:rPr>
        <w:t>14</w:t>
      </w:r>
      <w:r>
        <w:rPr>
          <w:rFonts w:hint="eastAsia" w:ascii="仿宋_GB2312" w:hAnsi="仿宋_GB2312" w:eastAsia="仿宋_GB2312" w:cs="仿宋_GB2312"/>
          <w:b/>
          <w:bCs/>
          <w:sz w:val="32"/>
          <w:szCs w:val="32"/>
        </w:rPr>
        <w:t>、技术偏离说明表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15</w:t>
      </w:r>
      <w:r>
        <w:rPr>
          <w:rFonts w:hint="eastAsia" w:ascii="仿宋_GB2312" w:hAnsi="仿宋_GB2312" w:eastAsia="仿宋_GB2312" w:cs="仿宋_GB2312"/>
          <w:b/>
          <w:bCs/>
          <w:sz w:val="32"/>
          <w:szCs w:val="32"/>
        </w:rPr>
        <w:t>、投标承诺书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31"/>
      </w:pPr>
    </w:p>
    <w:p>
      <w:pPr>
        <w:rPr>
          <w:rFonts w:ascii="仿宋_GB2312" w:hAnsi="宋体" w:eastAsia="仿宋_GB2312"/>
          <w:color w:val="000000"/>
          <w:sz w:val="24"/>
        </w:rPr>
      </w:pPr>
    </w:p>
    <w:p>
      <w:pPr>
        <w:jc w:val="right"/>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
      <w:pPr>
        <w:tabs>
          <w:tab w:val="left" w:pos="570"/>
        </w:tabs>
        <w:snapToGrid w:val="0"/>
        <w:spacing w:line="720" w:lineRule="exact"/>
        <w:rPr>
          <w:rFonts w:ascii="宋体"/>
          <w:b/>
          <w:sz w:val="24"/>
        </w:rPr>
      </w:pPr>
    </w:p>
    <w:p>
      <w:pPr>
        <w:pStyle w:val="31"/>
        <w:ind w:firstLine="482"/>
        <w:rPr>
          <w:rFonts w:ascii="宋体"/>
          <w:b/>
        </w:rPr>
      </w:pPr>
    </w:p>
    <w:p>
      <w:pPr>
        <w:spacing w:line="360" w:lineRule="auto"/>
        <w:rPr>
          <w:rFonts w:ascii="仿宋_GB2312" w:hAnsi="仿宋_GB2312" w:eastAsia="仿宋_GB2312" w:cs="仿宋_GB2312"/>
          <w:b/>
          <w:bCs/>
          <w:sz w:val="32"/>
          <w:szCs w:val="32"/>
        </w:rPr>
      </w:pPr>
      <w:bookmarkStart w:id="5" w:name="_Toc465665161"/>
    </w:p>
    <w:p>
      <w:pPr>
        <w:spacing w:line="360" w:lineRule="auto"/>
        <w:rPr>
          <w:rFonts w:ascii="仿宋_GB2312" w:hAnsi="仿宋_GB2312" w:eastAsia="仿宋_GB2312" w:cs="仿宋_GB2312"/>
          <w:b/>
          <w:kern w:val="0"/>
          <w:sz w:val="32"/>
          <w:szCs w:val="32"/>
          <w:lang w:val="zh-CN"/>
        </w:rPr>
      </w:pPr>
      <w:r>
        <w:rPr>
          <w:rFonts w:ascii="仿宋_GB2312" w:hAnsi="仿宋_GB2312" w:eastAsia="仿宋_GB2312" w:cs="仿宋_GB2312"/>
          <w:b/>
          <w:bCs/>
          <w:sz w:val="32"/>
          <w:szCs w:val="32"/>
        </w:rPr>
        <w:t>16</w:t>
      </w:r>
      <w:r>
        <w:rPr>
          <w:rFonts w:hint="eastAsia" w:ascii="仿宋_GB2312" w:hAnsi="仿宋_GB2312" w:eastAsia="仿宋_GB2312" w:cs="仿宋_GB2312"/>
          <w:b/>
          <w:bCs/>
          <w:sz w:val="32"/>
          <w:szCs w:val="32"/>
        </w:rPr>
        <w:t>、认为需要的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r>
        <w:rPr>
          <w:rFonts w:ascii="仿宋_GB2312" w:hAnsi="仿宋_GB2312" w:eastAsia="仿宋_GB2312" w:cs="仿宋_GB2312"/>
          <w:kern w:val="0"/>
          <w:sz w:val="24"/>
          <w:lang w:val="zh-CN"/>
        </w:rPr>
        <w:t xml:space="preserve">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w:t>
      </w:r>
      <w:r>
        <w:rPr>
          <w:rFonts w:ascii="仿宋_GB2312" w:hAnsi="仿宋_GB2312" w:eastAsia="仿宋_GB2312" w:cs="仿宋_GB2312"/>
          <w:kern w:val="0"/>
          <w:sz w:val="24"/>
          <w:lang w:val="zh-CN"/>
        </w:rPr>
        <w:t xml:space="preserve">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bookmarkEnd w:id="5"/>
    <w:p>
      <w:pPr>
        <w:pStyle w:val="31"/>
        <w:ind w:firstLine="0" w:firstLineChars="0"/>
        <w:rPr>
          <w:rFonts w:ascii="宋体"/>
          <w:b/>
        </w:rPr>
      </w:pPr>
    </w:p>
    <w:sectPr>
      <w:headerReference r:id="rId5" w:type="first"/>
      <w:footerReference r:id="rId8" w:type="first"/>
      <w:headerReference r:id="rId4"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57835" cy="14795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36.05pt;mso-position-horizontal:center;mso-position-horizontal-relative:margin;mso-wrap-style:none;z-index:251658240;mso-width-relative:page;mso-height-relative:page;" filled="f" stroked="f" coordsize="21600,21600" o:gfxdata="UEsDBAoAAAAAAIdO4kAAAAAAAAAAAAAAAAAEAAAAZHJzL1BLAwQUAAAACACHTuJAIGcakNEAAAAD AQAADwAAAGRycy9kb3ducmV2LnhtbE2PwWrDMBBE74X8g9hAb41sB5rgWs4h0EtvTUuht421sUyl lZEUx/77qr20l4Vhhpm3zWF2VkwU4uBZQbkpQBB3Xg/cK3h/e37Yg4gJWaP1TAoWinBoV3cN1trf +JWmU+pFLuFYowKT0lhLGTtDDuPGj8TZu/jgMGUZeqkD3nK5s7IqikfpcOC8YHCko6Hu63R1Cnbz h6cx0pE+L1MXzLDs7cui1P26LJ5AJJrTXxh+8DM6tJnp7K+so7AK8iPp92ZvV5Ugzgqq7RZk28j/ 7O03UEsDBBQAAAAIAIdO4kAOrmwp4gEAALYDAAAOAAAAZHJzL2Uyb0RvYy54bWytU8Fu2zAMvQ/Y Pwi6L46zZu2MOEXXIsOArhvQ7gNkWbaFWaJAKbGzrx8lx1nX3oZdBJqknh4fnzfXo+nZQaHXYEue L5acKSuh1rYt+Y+n3bsrznwQthY9WFXyo/L8evv2zWZwhVpBB32tkBGI9cXgSt6F4Ios87JTRvgF OGWp2AAaEegT26xGMRC66bPVcvkhGwBrhyCV95S9m4p8m/CbRsnwrWm8CqwvOXEL6cR0VvHMthtR tChcp+WJhvgHFkZoS4+eoe5EEGyP+hWU0RLBQxMWEkwGTaOlSjPQNPnyxTSPnXAqzULieHeWyf8/ WPlw+I5M1yVfcWaFoRU9qTGwTzCyfLlaR4EG5wvqe3TUGUaq0KLTsN7dg/zpmYXbTthW3SDC0ClR E8E83syeXZ1wfASphq9Q00tiHyABjQ2aqB7pwQidFnU8LyeykZS8WF9evV9zJqmUX1x+XCdumSjm yw59+KzAsBiUHGn3CVwc7n2IZEQxt8S3LOx036f99/avBDXGTCIf+U7Mw1iNJzEqqI80BsJkJ7I/ BR3gL84GslLJLXmds/6LJSGi6+YA56CaA2ElXSx54GwKb8Pkzr1D3XaEO0t9Q2LtdBokqjpxOLEk c6T5TkaO7nv+nbr+/G7b31BLAwQKAAAAAACHTuJAAAAAAAAAAAAAAAAABgAAAF9yZWxzL1BLAwQU AAAACACHTuJAihRmPNEAAACUAQAACwAAAF9yZWxzLy5yZWxzpZDBasMwDIbvg72D0X1xmsMYo04v o9Br6R7A2IpjGltGMtn69vMOg2X0tqN+oe8T//7wmRa1IkukbGDX9aAwO/IxBwPvl+PTCyipNnu7 UEYDNxQ4jI8P+zMutrYjmWMR1ShZDMy1lletxc2YrHRUMLfNRJxsbSMHXay72oB66Ptnzb8ZMG6Y 6uQN8MkPoC630sx/2Ck6JqGpdo6SpmmK7h5VB7Zlju7INuEbuUazHLAa8CwaB2pZ134EfV+/+6fe 00c+47rVfoeM649Xb7ocvwBQSwMEFAAAAAgAh07iQH7m5SD3AAAA4QEAABMAAABbQ29udGVudF9U eXBlc10ueG1slZFBTsMwEEX3SNzB8hYlTrtACCXpgrRLQKgcYGRPEotkbHlMaG+Pk7YbRJFY2jP/ vye73BzGQUwY2Dqq5CovpEDSzljqKvm+32UPUnAEMjA4wkoekeWmvr0p90ePLFKauJJ9jP5RKdY9 jsC580hp0rowQkzH0CkP+gM6VOuiuFfaUUSKWZw7ZF022MLnEMX2kK5PJgEHluLptDizKgneD1ZD TKZqIvODkp0JeUouO9xbz3dJQ6pfCfPkOuCce0lPE6xB8QohPsOYNJQJrIz7ooBT/nfJbDly5trW asybwE2KveF0sbrWjmvXOP3f8u2SunSr5YPqb1BLAQIUABQAAAAIAIdO4kB+5uUg9wAAAOEBAAAT AAAAAAAAAAEAIAAAAEwEAABbQ29udGVudF9UeXBlc10ueG1sUEsBAhQACgAAAAAAh07iQAAAAAAA AAAAAAAAAAYAAAAAAAAAAAAQAAAALgMAAF9yZWxzL1BLAQIUABQAAAAIAIdO4kCKFGY80QAAAJQB AAALAAAAAAAAAAEAIAAAAFIDAABfcmVscy8ucmVsc1BLAQIUAAoAAAAAAIdO4kAAAAAAAAAAAAAA AAAEAAAAAAAAAAAAEAAAAAAAAABkcnMvUEsBAhQAFAAAAAgAh07iQCBnGpDRAAAAAwEAAA8AAAAA AAAAAQAgAAAAIgAAAGRycy9kb3ducmV2LnhtbFBLAQIUABQAAAAIAIdO4kAOrmwp4gEAALYDAAAO AAAAAAAAAAEAIAAAACABAABkcnMvZTJvRG9jLnhtbFBLBQYAAAAABgAGAFkBAAB0BQAAAAA= ">
              <v:fill on="f" focussize="0,0"/>
              <v:stroke on="f"/>
              <v:imagedata o:title=""/>
              <o:lock v:ext="edit" aspectratio="f"/>
              <v:textbox inset="0mm,0mm,0mm,0mm" style="mso-fit-shape-to-text:t;">
                <w:txbxContent>
                  <w:p>
                    <w:pPr>
                      <w:pStyle w:val="18"/>
                    </w:pPr>
                    <w:r>
                      <w:rPr>
                        <w:rFonts w:hint="eastAsia"/>
                      </w:rPr>
                      <w:t>第</w:t>
                    </w:r>
                    <w:r>
                      <w:t xml:space="preserve"> </w:t>
                    </w:r>
                    <w:r>
                      <w:fldChar w:fldCharType="begin"/>
                    </w:r>
                    <w:r>
                      <w:instrText xml:space="preserve"> PAGE  \* MERGEFORMAT </w:instrText>
                    </w:r>
                    <w:r>
                      <w:fldChar w:fldCharType="separate"/>
                    </w:r>
                    <w:r>
                      <w:t>35</w:t>
                    </w:r>
                    <w:r>
                      <w:fldChar w:fldCharType="end"/>
                    </w:r>
                    <w:r>
                      <w:t xml:space="preserve"> </w:t>
                    </w:r>
                    <w:r>
                      <w:rPr>
                        <w:rFonts w:hint="eastAsia"/>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7"/>
        <w:rFonts w:cs="Arial"/>
        <w:sz w:val="18"/>
        <w:szCs w:val="21"/>
      </w:rPr>
    </w:pPr>
    <w:r>
      <w:rPr>
        <w:rStyle w:val="27"/>
        <w:rFonts w:cs="Arial"/>
        <w:sz w:val="18"/>
        <w:szCs w:val="21"/>
      </w:rPr>
      <w:fldChar w:fldCharType="begin"/>
    </w:r>
    <w:r>
      <w:rPr>
        <w:rStyle w:val="27"/>
        <w:rFonts w:cs="Arial"/>
        <w:sz w:val="18"/>
        <w:szCs w:val="21"/>
      </w:rPr>
      <w:instrText xml:space="preserve">PAGE  </w:instrText>
    </w:r>
    <w:r>
      <w:rPr>
        <w:rStyle w:val="27"/>
        <w:rFonts w:cs="Arial"/>
        <w:sz w:val="18"/>
        <w:szCs w:val="21"/>
      </w:rPr>
      <w:fldChar w:fldCharType="end"/>
    </w:r>
  </w:p>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47A80CF"/>
    <w:multiLevelType w:val="singleLevel"/>
    <w:tmpl w:val="547A80CF"/>
    <w:lvl w:ilvl="0" w:tentative="0">
      <w:start w:val="1"/>
      <w:numFmt w:val="bullet"/>
      <w:lvlText w:val=""/>
      <w:lvlJc w:val="left"/>
      <w:pPr>
        <w:ind w:left="420" w:hanging="420"/>
      </w:pPr>
      <w:rPr>
        <w:rFonts w:hint="default" w:ascii="Wingdings" w:hAnsi="Wingdings"/>
      </w:rPr>
    </w:lvl>
  </w:abstractNum>
  <w:abstractNum w:abstractNumId="2">
    <w:nsid w:val="5A02C129"/>
    <w:multiLevelType w:val="singleLevel"/>
    <w:tmpl w:val="5A02C129"/>
    <w:lvl w:ilvl="0" w:tentative="0">
      <w:start w:val="1"/>
      <w:numFmt w:val="decimal"/>
      <w:pStyle w:val="7"/>
      <w:lvlText w:val="%1."/>
      <w:lvlJc w:val="left"/>
      <w:pPr>
        <w:tabs>
          <w:tab w:val="left" w:pos="780"/>
        </w:tabs>
        <w:ind w:left="780" w:hanging="360"/>
      </w:pPr>
      <w:rPr>
        <w:rFonts w:cs="Times New Roman"/>
      </w:rPr>
    </w:lvl>
  </w:abstractNum>
  <w:abstractNum w:abstractNumId="3">
    <w:nsid w:val="5A02C13F"/>
    <w:multiLevelType w:val="singleLevel"/>
    <w:tmpl w:val="5A02C13F"/>
    <w:lvl w:ilvl="0" w:tentative="0">
      <w:start w:val="1"/>
      <w:numFmt w:val="decimal"/>
      <w:pStyle w:val="8"/>
      <w:lvlText w:val="%1."/>
      <w:lvlJc w:val="left"/>
      <w:pPr>
        <w:tabs>
          <w:tab w:val="left" w:pos="360"/>
        </w:tabs>
        <w:ind w:left="360" w:hanging="360"/>
      </w:pPr>
      <w:rPr>
        <w:rFonts w:cs="Times New Roman"/>
      </w:rPr>
    </w:lvl>
  </w:abstractNum>
  <w:abstractNum w:abstractNumId="4">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5">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F"/>
    <w:rsid w:val="0002017B"/>
    <w:rsid w:val="0002428C"/>
    <w:rsid w:val="00030F1E"/>
    <w:rsid w:val="00051731"/>
    <w:rsid w:val="00055CDF"/>
    <w:rsid w:val="0006767A"/>
    <w:rsid w:val="00067735"/>
    <w:rsid w:val="00080F79"/>
    <w:rsid w:val="000813EC"/>
    <w:rsid w:val="00093879"/>
    <w:rsid w:val="000C38DF"/>
    <w:rsid w:val="000D7240"/>
    <w:rsid w:val="00114135"/>
    <w:rsid w:val="0012034D"/>
    <w:rsid w:val="001311E4"/>
    <w:rsid w:val="00142376"/>
    <w:rsid w:val="0014517B"/>
    <w:rsid w:val="001559EF"/>
    <w:rsid w:val="00171C91"/>
    <w:rsid w:val="0017463C"/>
    <w:rsid w:val="001814F1"/>
    <w:rsid w:val="0018495F"/>
    <w:rsid w:val="001A1325"/>
    <w:rsid w:val="001A687C"/>
    <w:rsid w:val="001B3B8E"/>
    <w:rsid w:val="001D1DA3"/>
    <w:rsid w:val="001E5FDC"/>
    <w:rsid w:val="001E78A2"/>
    <w:rsid w:val="001F02A1"/>
    <w:rsid w:val="00217753"/>
    <w:rsid w:val="00220DF0"/>
    <w:rsid w:val="002322BF"/>
    <w:rsid w:val="0023264D"/>
    <w:rsid w:val="002476B8"/>
    <w:rsid w:val="00262448"/>
    <w:rsid w:val="00273B10"/>
    <w:rsid w:val="00275656"/>
    <w:rsid w:val="00294D3C"/>
    <w:rsid w:val="002A2E37"/>
    <w:rsid w:val="002B54E5"/>
    <w:rsid w:val="002B77DD"/>
    <w:rsid w:val="002C0AB1"/>
    <w:rsid w:val="002F25A8"/>
    <w:rsid w:val="00330C22"/>
    <w:rsid w:val="003403EB"/>
    <w:rsid w:val="003411E7"/>
    <w:rsid w:val="00345DE3"/>
    <w:rsid w:val="003A2766"/>
    <w:rsid w:val="003A5C0F"/>
    <w:rsid w:val="003B2510"/>
    <w:rsid w:val="003B25FB"/>
    <w:rsid w:val="003B5CB4"/>
    <w:rsid w:val="003D237E"/>
    <w:rsid w:val="003D2443"/>
    <w:rsid w:val="003F0B46"/>
    <w:rsid w:val="00412A3B"/>
    <w:rsid w:val="0043244B"/>
    <w:rsid w:val="00440162"/>
    <w:rsid w:val="00455DAB"/>
    <w:rsid w:val="00465752"/>
    <w:rsid w:val="00467496"/>
    <w:rsid w:val="00467DC5"/>
    <w:rsid w:val="004706A2"/>
    <w:rsid w:val="00481099"/>
    <w:rsid w:val="0048467F"/>
    <w:rsid w:val="004B065D"/>
    <w:rsid w:val="004C0A50"/>
    <w:rsid w:val="004C27D1"/>
    <w:rsid w:val="004D6606"/>
    <w:rsid w:val="004E47C3"/>
    <w:rsid w:val="004F2C71"/>
    <w:rsid w:val="0050684D"/>
    <w:rsid w:val="005117F3"/>
    <w:rsid w:val="005213B8"/>
    <w:rsid w:val="0052572A"/>
    <w:rsid w:val="00545306"/>
    <w:rsid w:val="00547532"/>
    <w:rsid w:val="00566429"/>
    <w:rsid w:val="00583589"/>
    <w:rsid w:val="00590683"/>
    <w:rsid w:val="005A4AFA"/>
    <w:rsid w:val="005A64B3"/>
    <w:rsid w:val="005C0BB4"/>
    <w:rsid w:val="00602260"/>
    <w:rsid w:val="00637621"/>
    <w:rsid w:val="006418DD"/>
    <w:rsid w:val="006451AB"/>
    <w:rsid w:val="006543AB"/>
    <w:rsid w:val="00663D9D"/>
    <w:rsid w:val="006843A0"/>
    <w:rsid w:val="006940CC"/>
    <w:rsid w:val="006A4D37"/>
    <w:rsid w:val="006B047E"/>
    <w:rsid w:val="006D2193"/>
    <w:rsid w:val="006F5A9E"/>
    <w:rsid w:val="007030D1"/>
    <w:rsid w:val="00706826"/>
    <w:rsid w:val="00723CE8"/>
    <w:rsid w:val="00741A2B"/>
    <w:rsid w:val="00762D7F"/>
    <w:rsid w:val="00766BFA"/>
    <w:rsid w:val="0078125A"/>
    <w:rsid w:val="007B3644"/>
    <w:rsid w:val="007C3048"/>
    <w:rsid w:val="007D3ADA"/>
    <w:rsid w:val="007E3668"/>
    <w:rsid w:val="007E571E"/>
    <w:rsid w:val="007F3B1E"/>
    <w:rsid w:val="00801A53"/>
    <w:rsid w:val="0082182E"/>
    <w:rsid w:val="00851A0E"/>
    <w:rsid w:val="00851D0E"/>
    <w:rsid w:val="00851E94"/>
    <w:rsid w:val="008702F4"/>
    <w:rsid w:val="00872AA9"/>
    <w:rsid w:val="00884208"/>
    <w:rsid w:val="0089216A"/>
    <w:rsid w:val="008A197E"/>
    <w:rsid w:val="008D1D22"/>
    <w:rsid w:val="008D38D9"/>
    <w:rsid w:val="00923FCF"/>
    <w:rsid w:val="00937337"/>
    <w:rsid w:val="00945D15"/>
    <w:rsid w:val="00950791"/>
    <w:rsid w:val="00955273"/>
    <w:rsid w:val="00962E86"/>
    <w:rsid w:val="009660EE"/>
    <w:rsid w:val="009A4CEF"/>
    <w:rsid w:val="009C76A2"/>
    <w:rsid w:val="009D2FED"/>
    <w:rsid w:val="009E0533"/>
    <w:rsid w:val="00A1598B"/>
    <w:rsid w:val="00A16944"/>
    <w:rsid w:val="00A27EBF"/>
    <w:rsid w:val="00A30EAA"/>
    <w:rsid w:val="00A41BE4"/>
    <w:rsid w:val="00A56A1E"/>
    <w:rsid w:val="00A63825"/>
    <w:rsid w:val="00A63FBA"/>
    <w:rsid w:val="00A67091"/>
    <w:rsid w:val="00A831F9"/>
    <w:rsid w:val="00A86515"/>
    <w:rsid w:val="00A95926"/>
    <w:rsid w:val="00AA527A"/>
    <w:rsid w:val="00AD0587"/>
    <w:rsid w:val="00AD18FF"/>
    <w:rsid w:val="00AD270F"/>
    <w:rsid w:val="00B22626"/>
    <w:rsid w:val="00B251FC"/>
    <w:rsid w:val="00B63DE9"/>
    <w:rsid w:val="00B76EC0"/>
    <w:rsid w:val="00C207BF"/>
    <w:rsid w:val="00C249E6"/>
    <w:rsid w:val="00C60D63"/>
    <w:rsid w:val="00C7051D"/>
    <w:rsid w:val="00C750A5"/>
    <w:rsid w:val="00C85041"/>
    <w:rsid w:val="00C90C86"/>
    <w:rsid w:val="00CB14BF"/>
    <w:rsid w:val="00CB3AAD"/>
    <w:rsid w:val="00CC5263"/>
    <w:rsid w:val="00D95393"/>
    <w:rsid w:val="00D9689D"/>
    <w:rsid w:val="00DA2B91"/>
    <w:rsid w:val="00DA5951"/>
    <w:rsid w:val="00DD1F2E"/>
    <w:rsid w:val="00E02CE4"/>
    <w:rsid w:val="00E4050A"/>
    <w:rsid w:val="00E60A3E"/>
    <w:rsid w:val="00E62AFA"/>
    <w:rsid w:val="00E710CD"/>
    <w:rsid w:val="00E76BEC"/>
    <w:rsid w:val="00E81842"/>
    <w:rsid w:val="00EB2D90"/>
    <w:rsid w:val="00F56126"/>
    <w:rsid w:val="00F63769"/>
    <w:rsid w:val="00F854BD"/>
    <w:rsid w:val="00F962A2"/>
    <w:rsid w:val="00FA3C13"/>
    <w:rsid w:val="00FA6E82"/>
    <w:rsid w:val="00FB06C5"/>
    <w:rsid w:val="00FB28A6"/>
    <w:rsid w:val="00FB744B"/>
    <w:rsid w:val="00FC0CF4"/>
    <w:rsid w:val="00FC1A98"/>
    <w:rsid w:val="00FD25D7"/>
    <w:rsid w:val="00FE7019"/>
    <w:rsid w:val="00FF20E1"/>
    <w:rsid w:val="01073442"/>
    <w:rsid w:val="0135256E"/>
    <w:rsid w:val="017F0419"/>
    <w:rsid w:val="02455361"/>
    <w:rsid w:val="02E03D80"/>
    <w:rsid w:val="02FF6323"/>
    <w:rsid w:val="03166C95"/>
    <w:rsid w:val="033742BA"/>
    <w:rsid w:val="0432047D"/>
    <w:rsid w:val="052D2EBC"/>
    <w:rsid w:val="06E4135A"/>
    <w:rsid w:val="074511A7"/>
    <w:rsid w:val="07DA186C"/>
    <w:rsid w:val="0839516C"/>
    <w:rsid w:val="08DC6D2E"/>
    <w:rsid w:val="08E27460"/>
    <w:rsid w:val="08FA3C1C"/>
    <w:rsid w:val="097A3B63"/>
    <w:rsid w:val="0B637A3A"/>
    <w:rsid w:val="0B9713AA"/>
    <w:rsid w:val="0C1C5327"/>
    <w:rsid w:val="0DD1638B"/>
    <w:rsid w:val="0ED21131"/>
    <w:rsid w:val="10F654D7"/>
    <w:rsid w:val="11564EC4"/>
    <w:rsid w:val="11D91565"/>
    <w:rsid w:val="125750F6"/>
    <w:rsid w:val="127542AA"/>
    <w:rsid w:val="12F15FC0"/>
    <w:rsid w:val="13AD3C35"/>
    <w:rsid w:val="14093DD8"/>
    <w:rsid w:val="14685E9F"/>
    <w:rsid w:val="149C53ED"/>
    <w:rsid w:val="1555342B"/>
    <w:rsid w:val="1557079B"/>
    <w:rsid w:val="15661BF2"/>
    <w:rsid w:val="16860E5E"/>
    <w:rsid w:val="169F1555"/>
    <w:rsid w:val="16C339B4"/>
    <w:rsid w:val="181C3543"/>
    <w:rsid w:val="183550AA"/>
    <w:rsid w:val="1887170A"/>
    <w:rsid w:val="198960E3"/>
    <w:rsid w:val="19A857C8"/>
    <w:rsid w:val="19CE48C9"/>
    <w:rsid w:val="19D9355D"/>
    <w:rsid w:val="1A0C3B58"/>
    <w:rsid w:val="1A8B44E3"/>
    <w:rsid w:val="1B1C0F2A"/>
    <w:rsid w:val="1B1F3315"/>
    <w:rsid w:val="1B451CEF"/>
    <w:rsid w:val="1B5003E0"/>
    <w:rsid w:val="1B765B82"/>
    <w:rsid w:val="1B965EA6"/>
    <w:rsid w:val="1BE62BE0"/>
    <w:rsid w:val="1D155786"/>
    <w:rsid w:val="1D2A3257"/>
    <w:rsid w:val="1DDC590A"/>
    <w:rsid w:val="1EE4458C"/>
    <w:rsid w:val="1F3A2255"/>
    <w:rsid w:val="1FB473F5"/>
    <w:rsid w:val="1FB74E43"/>
    <w:rsid w:val="1FC70F79"/>
    <w:rsid w:val="1FD44083"/>
    <w:rsid w:val="1FDB4036"/>
    <w:rsid w:val="20BE6021"/>
    <w:rsid w:val="22C65437"/>
    <w:rsid w:val="2304797C"/>
    <w:rsid w:val="23BE0F28"/>
    <w:rsid w:val="24097FEF"/>
    <w:rsid w:val="242F6C37"/>
    <w:rsid w:val="24E92B02"/>
    <w:rsid w:val="253216FD"/>
    <w:rsid w:val="256D4AB4"/>
    <w:rsid w:val="25A57D1C"/>
    <w:rsid w:val="26294A1D"/>
    <w:rsid w:val="27903546"/>
    <w:rsid w:val="291E1DAE"/>
    <w:rsid w:val="2968418D"/>
    <w:rsid w:val="29DA29ED"/>
    <w:rsid w:val="2A523300"/>
    <w:rsid w:val="2AFA300F"/>
    <w:rsid w:val="2C446861"/>
    <w:rsid w:val="2D2A61CE"/>
    <w:rsid w:val="2D80707D"/>
    <w:rsid w:val="2DE2488D"/>
    <w:rsid w:val="2ED619F5"/>
    <w:rsid w:val="2F9F3A1B"/>
    <w:rsid w:val="30730BA2"/>
    <w:rsid w:val="30782F4C"/>
    <w:rsid w:val="32B65903"/>
    <w:rsid w:val="32C97243"/>
    <w:rsid w:val="32D758ED"/>
    <w:rsid w:val="33012007"/>
    <w:rsid w:val="33AD15F4"/>
    <w:rsid w:val="34563430"/>
    <w:rsid w:val="34A065F2"/>
    <w:rsid w:val="378D5403"/>
    <w:rsid w:val="37C02DA1"/>
    <w:rsid w:val="38285B2C"/>
    <w:rsid w:val="38A11738"/>
    <w:rsid w:val="38CF2698"/>
    <w:rsid w:val="38D4603A"/>
    <w:rsid w:val="38F76EE1"/>
    <w:rsid w:val="392E3D2B"/>
    <w:rsid w:val="3A4719E4"/>
    <w:rsid w:val="3B9F7E10"/>
    <w:rsid w:val="3BA40ED7"/>
    <w:rsid w:val="3C025073"/>
    <w:rsid w:val="3C0D4D62"/>
    <w:rsid w:val="3D0E3394"/>
    <w:rsid w:val="3E253FC4"/>
    <w:rsid w:val="3E66686E"/>
    <w:rsid w:val="3E781CBE"/>
    <w:rsid w:val="3EF13B78"/>
    <w:rsid w:val="3F184BE9"/>
    <w:rsid w:val="3F96657B"/>
    <w:rsid w:val="40060FDA"/>
    <w:rsid w:val="40712EC2"/>
    <w:rsid w:val="40D9690C"/>
    <w:rsid w:val="41A3573D"/>
    <w:rsid w:val="422A0C37"/>
    <w:rsid w:val="425B70E5"/>
    <w:rsid w:val="43DD0189"/>
    <w:rsid w:val="43E828F9"/>
    <w:rsid w:val="44A620DD"/>
    <w:rsid w:val="4616050C"/>
    <w:rsid w:val="4624734D"/>
    <w:rsid w:val="47663221"/>
    <w:rsid w:val="485B7239"/>
    <w:rsid w:val="48C46876"/>
    <w:rsid w:val="49A738EA"/>
    <w:rsid w:val="49E360AC"/>
    <w:rsid w:val="4A04095E"/>
    <w:rsid w:val="4A2E44F7"/>
    <w:rsid w:val="4A5A1788"/>
    <w:rsid w:val="4A9E5074"/>
    <w:rsid w:val="4BF23C29"/>
    <w:rsid w:val="4C075C89"/>
    <w:rsid w:val="4CD657F8"/>
    <w:rsid w:val="4D2764E4"/>
    <w:rsid w:val="4DA5050B"/>
    <w:rsid w:val="4E083898"/>
    <w:rsid w:val="4E26397C"/>
    <w:rsid w:val="4E363927"/>
    <w:rsid w:val="4EA90E17"/>
    <w:rsid w:val="52521883"/>
    <w:rsid w:val="53ED7088"/>
    <w:rsid w:val="55902CE3"/>
    <w:rsid w:val="56311879"/>
    <w:rsid w:val="57351512"/>
    <w:rsid w:val="57FB5239"/>
    <w:rsid w:val="5856412A"/>
    <w:rsid w:val="5863246B"/>
    <w:rsid w:val="588A53A7"/>
    <w:rsid w:val="596E3097"/>
    <w:rsid w:val="59BC054F"/>
    <w:rsid w:val="59FE758C"/>
    <w:rsid w:val="5B301B1F"/>
    <w:rsid w:val="5C4F346D"/>
    <w:rsid w:val="5CEC747F"/>
    <w:rsid w:val="5E876144"/>
    <w:rsid w:val="5F0266A3"/>
    <w:rsid w:val="5F232D5B"/>
    <w:rsid w:val="5F496234"/>
    <w:rsid w:val="5F744292"/>
    <w:rsid w:val="5F952C60"/>
    <w:rsid w:val="5FD51C0C"/>
    <w:rsid w:val="606129E7"/>
    <w:rsid w:val="60662262"/>
    <w:rsid w:val="610B35BB"/>
    <w:rsid w:val="61CD1945"/>
    <w:rsid w:val="620E2B02"/>
    <w:rsid w:val="623E3703"/>
    <w:rsid w:val="62B65C75"/>
    <w:rsid w:val="63487EAC"/>
    <w:rsid w:val="63575F25"/>
    <w:rsid w:val="637F68CB"/>
    <w:rsid w:val="64013D86"/>
    <w:rsid w:val="64031C4A"/>
    <w:rsid w:val="643A6EA0"/>
    <w:rsid w:val="64EC5A6B"/>
    <w:rsid w:val="650D77AD"/>
    <w:rsid w:val="653666D1"/>
    <w:rsid w:val="66090E80"/>
    <w:rsid w:val="6611701E"/>
    <w:rsid w:val="67FD2A7B"/>
    <w:rsid w:val="68BB3495"/>
    <w:rsid w:val="68DB190B"/>
    <w:rsid w:val="69634496"/>
    <w:rsid w:val="6A220135"/>
    <w:rsid w:val="6AB1009A"/>
    <w:rsid w:val="6B8860DC"/>
    <w:rsid w:val="6BAE7000"/>
    <w:rsid w:val="6BB05959"/>
    <w:rsid w:val="6C5C04D5"/>
    <w:rsid w:val="6FB83CDB"/>
    <w:rsid w:val="6FD5142D"/>
    <w:rsid w:val="70853498"/>
    <w:rsid w:val="72074872"/>
    <w:rsid w:val="72BB4D4E"/>
    <w:rsid w:val="72BE4B83"/>
    <w:rsid w:val="73094A27"/>
    <w:rsid w:val="73200F6B"/>
    <w:rsid w:val="742A0A7E"/>
    <w:rsid w:val="74D249BF"/>
    <w:rsid w:val="754358D4"/>
    <w:rsid w:val="767F7FDC"/>
    <w:rsid w:val="77DC7D9B"/>
    <w:rsid w:val="77DE40CB"/>
    <w:rsid w:val="78305FF2"/>
    <w:rsid w:val="792E66F3"/>
    <w:rsid w:val="796203CB"/>
    <w:rsid w:val="79B44386"/>
    <w:rsid w:val="79EE6A68"/>
    <w:rsid w:val="7A3E7618"/>
    <w:rsid w:val="7AE5282F"/>
    <w:rsid w:val="7AF956FC"/>
    <w:rsid w:val="7B4C7D54"/>
    <w:rsid w:val="7C003A54"/>
    <w:rsid w:val="7C5D47C4"/>
    <w:rsid w:val="7C6B5BDD"/>
    <w:rsid w:val="7D842440"/>
    <w:rsid w:val="7DA94ABE"/>
    <w:rsid w:val="7E073573"/>
    <w:rsid w:val="7E3B60DE"/>
    <w:rsid w:val="7E5D43A5"/>
    <w:rsid w:val="7EDC6139"/>
    <w:rsid w:val="7EEE135D"/>
    <w:rsid w:val="7F290C8A"/>
    <w:rsid w:val="7FA239C6"/>
    <w:rsid w:val="7FB7288D"/>
    <w:rsid w:val="7FB73A06"/>
    <w:rsid w:val="7FC24B9F"/>
    <w:rsid w:val="7FDA4D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locked/>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3"/>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5"/>
    <w:link w:val="34"/>
    <w:qFormat/>
    <w:uiPriority w:val="99"/>
    <w:pPr>
      <w:keepNext/>
      <w:keepLines/>
      <w:spacing w:before="260" w:after="260" w:line="416" w:lineRule="auto"/>
      <w:outlineLvl w:val="2"/>
    </w:pPr>
    <w:rPr>
      <w:b/>
      <w:bCs/>
      <w:kern w:val="0"/>
      <w:sz w:val="32"/>
      <w:szCs w:val="32"/>
    </w:rPr>
  </w:style>
  <w:style w:type="paragraph" w:styleId="6">
    <w:name w:val="heading 4"/>
    <w:basedOn w:val="1"/>
    <w:next w:val="1"/>
    <w:link w:val="35"/>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49"/>
    <w:qFormat/>
    <w:uiPriority w:val="99"/>
    <w:pPr>
      <w:widowControl/>
      <w:snapToGrid w:val="0"/>
      <w:spacing w:line="480" w:lineRule="exact"/>
      <w:ind w:firstLine="567"/>
    </w:pPr>
    <w:rPr>
      <w:rFonts w:ascii="宋体"/>
      <w:snapToGrid w:val="0"/>
      <w:color w:val="000000"/>
      <w:kern w:val="28"/>
      <w:sz w:val="28"/>
      <w:szCs w:val="20"/>
    </w:rPr>
  </w:style>
  <w:style w:type="paragraph" w:styleId="7">
    <w:name w:val="List Number 2"/>
    <w:basedOn w:val="1"/>
    <w:qFormat/>
    <w:uiPriority w:val="99"/>
    <w:pPr>
      <w:numPr>
        <w:ilvl w:val="0"/>
        <w:numId w:val="2"/>
      </w:numPr>
    </w:pPr>
  </w:style>
  <w:style w:type="paragraph" w:styleId="8">
    <w:name w:val="List Number"/>
    <w:basedOn w:val="1"/>
    <w:qFormat/>
    <w:uiPriority w:val="99"/>
    <w:pPr>
      <w:numPr>
        <w:ilvl w:val="0"/>
        <w:numId w:val="3"/>
      </w:numPr>
    </w:pPr>
  </w:style>
  <w:style w:type="paragraph" w:styleId="9">
    <w:name w:val="Document Map"/>
    <w:basedOn w:val="1"/>
    <w:link w:val="36"/>
    <w:semiHidden/>
    <w:qFormat/>
    <w:locked/>
    <w:uiPriority w:val="99"/>
    <w:pPr>
      <w:shd w:val="clear" w:color="auto" w:fill="000080"/>
      <w:adjustRightInd/>
    </w:pPr>
    <w:rPr>
      <w:rFonts w:ascii="宋体"/>
      <w:sz w:val="18"/>
      <w:szCs w:val="18"/>
    </w:rPr>
  </w:style>
  <w:style w:type="paragraph" w:styleId="10">
    <w:name w:val="annotation text"/>
    <w:basedOn w:val="1"/>
    <w:link w:val="37"/>
    <w:qFormat/>
    <w:uiPriority w:val="99"/>
    <w:pPr>
      <w:adjustRightInd/>
      <w:jc w:val="left"/>
    </w:pPr>
    <w:rPr>
      <w:kern w:val="0"/>
      <w:sz w:val="24"/>
      <w:lang w:val="zh-CN"/>
    </w:rPr>
  </w:style>
  <w:style w:type="paragraph" w:styleId="11">
    <w:name w:val="Body Text"/>
    <w:basedOn w:val="1"/>
    <w:link w:val="38"/>
    <w:qFormat/>
    <w:locked/>
    <w:uiPriority w:val="99"/>
    <w:pPr>
      <w:spacing w:line="360" w:lineRule="auto"/>
    </w:pPr>
    <w:rPr>
      <w:rFonts w:eastAsia="仿宋_GB2312"/>
      <w:sz w:val="28"/>
    </w:rPr>
  </w:style>
  <w:style w:type="paragraph" w:styleId="12">
    <w:name w:val="Body Text Indent"/>
    <w:basedOn w:val="1"/>
    <w:link w:val="39"/>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40"/>
    <w:qFormat/>
    <w:uiPriority w:val="99"/>
    <w:rPr>
      <w:rFonts w:ascii="宋体" w:hAnsi="Courier New"/>
      <w:kern w:val="0"/>
      <w:szCs w:val="20"/>
    </w:rPr>
  </w:style>
  <w:style w:type="paragraph" w:styleId="15">
    <w:name w:val="Date"/>
    <w:basedOn w:val="1"/>
    <w:next w:val="1"/>
    <w:link w:val="41"/>
    <w:qFormat/>
    <w:uiPriority w:val="99"/>
    <w:pPr>
      <w:ind w:left="100" w:leftChars="2500"/>
    </w:pPr>
    <w:rPr>
      <w:rFonts w:ascii="宋体"/>
      <w:kern w:val="0"/>
      <w:szCs w:val="20"/>
      <w:lang w:val="zh-CN"/>
    </w:rPr>
  </w:style>
  <w:style w:type="paragraph" w:styleId="16">
    <w:name w:val="Body Text Indent 2"/>
    <w:basedOn w:val="1"/>
    <w:link w:val="42"/>
    <w:semiHidden/>
    <w:qFormat/>
    <w:locked/>
    <w:uiPriority w:val="99"/>
    <w:pPr>
      <w:spacing w:after="120" w:line="480" w:lineRule="auto"/>
      <w:ind w:left="420" w:leftChars="200"/>
    </w:pPr>
  </w:style>
  <w:style w:type="paragraph" w:styleId="17">
    <w:name w:val="Balloon Text"/>
    <w:basedOn w:val="1"/>
    <w:link w:val="76"/>
    <w:semiHidden/>
    <w:qFormat/>
    <w:locked/>
    <w:uiPriority w:val="99"/>
    <w:rPr>
      <w:sz w:val="18"/>
      <w:szCs w:val="18"/>
    </w:rPr>
  </w:style>
  <w:style w:type="paragraph" w:styleId="18">
    <w:name w:val="footer"/>
    <w:basedOn w:val="1"/>
    <w:link w:val="43"/>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2"/>
    <w:basedOn w:val="1"/>
    <w:link w:val="45"/>
    <w:qFormat/>
    <w:uiPriority w:val="99"/>
    <w:pPr>
      <w:widowControl/>
      <w:spacing w:afterLines="50" w:line="216" w:lineRule="auto"/>
      <w:jc w:val="center"/>
    </w:pPr>
    <w:rPr>
      <w:kern w:val="0"/>
      <w:sz w:val="24"/>
    </w:rPr>
  </w:style>
  <w:style w:type="paragraph" w:styleId="21">
    <w:name w:val="Title"/>
    <w:basedOn w:val="1"/>
    <w:next w:val="1"/>
    <w:link w:val="46"/>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47"/>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99"/>
    <w:rPr>
      <w:rFonts w:ascii="Arial" w:hAnsi="Arial" w:eastAsia="黑体" w:cs="Times New Roman"/>
      <w:snapToGrid w:val="0"/>
      <w:kern w:val="0"/>
      <w:sz w:val="21"/>
    </w:rPr>
  </w:style>
  <w:style w:type="character" w:styleId="28">
    <w:name w:val="FollowedHyperlink"/>
    <w:basedOn w:val="25"/>
    <w:qFormat/>
    <w:locked/>
    <w:uiPriority w:val="99"/>
    <w:rPr>
      <w:rFonts w:cs="Times New Roman"/>
      <w:color w:val="800080"/>
      <w:u w:val="none"/>
    </w:rPr>
  </w:style>
  <w:style w:type="character" w:styleId="29">
    <w:name w:val="Hyperlink"/>
    <w:basedOn w:val="25"/>
    <w:qFormat/>
    <w:uiPriority w:val="99"/>
    <w:rPr>
      <w:rFonts w:cs="Times New Roman"/>
      <w:color w:val="0000FF"/>
      <w:u w:val="single"/>
    </w:rPr>
  </w:style>
  <w:style w:type="character" w:styleId="30">
    <w:name w:val="annotation reference"/>
    <w:basedOn w:val="25"/>
    <w:semiHidden/>
    <w:qFormat/>
    <w:locked/>
    <w:uiPriority w:val="99"/>
    <w:rPr>
      <w:rFonts w:cs="Times New Roman"/>
      <w:sz w:val="21"/>
      <w:szCs w:val="21"/>
    </w:rPr>
  </w:style>
  <w:style w:type="paragraph" w:customStyle="1" w:styleId="31">
    <w:name w:val="首行缩进"/>
    <w:basedOn w:val="1"/>
    <w:qFormat/>
    <w:uiPriority w:val="99"/>
    <w:pPr>
      <w:spacing w:line="360" w:lineRule="auto"/>
      <w:ind w:firstLine="480" w:firstLineChars="200"/>
    </w:pPr>
    <w:rPr>
      <w:sz w:val="24"/>
      <w:szCs w:val="22"/>
      <w:lang w:val="zh-CN"/>
    </w:rPr>
  </w:style>
  <w:style w:type="character" w:customStyle="1" w:styleId="32">
    <w:name w:val="标题 1 Char"/>
    <w:basedOn w:val="25"/>
    <w:link w:val="2"/>
    <w:qFormat/>
    <w:locked/>
    <w:uiPriority w:val="99"/>
    <w:rPr>
      <w:rFonts w:eastAsia="仿宋_GB2312"/>
      <w:b/>
      <w:kern w:val="44"/>
      <w:sz w:val="44"/>
      <w:szCs w:val="20"/>
    </w:rPr>
  </w:style>
  <w:style w:type="character" w:customStyle="1" w:styleId="33">
    <w:name w:val="标题 2 Char"/>
    <w:basedOn w:val="25"/>
    <w:link w:val="3"/>
    <w:semiHidden/>
    <w:qFormat/>
    <w:locked/>
    <w:uiPriority w:val="99"/>
    <w:rPr>
      <w:rFonts w:ascii="Calibri Light" w:hAnsi="Calibri Light" w:eastAsia="宋体" w:cs="Times New Roman"/>
      <w:b/>
      <w:sz w:val="32"/>
    </w:rPr>
  </w:style>
  <w:style w:type="character" w:customStyle="1" w:styleId="34">
    <w:name w:val="标题 3 Char"/>
    <w:basedOn w:val="25"/>
    <w:link w:val="4"/>
    <w:semiHidden/>
    <w:qFormat/>
    <w:locked/>
    <w:uiPriority w:val="99"/>
    <w:rPr>
      <w:rFonts w:ascii="Times New Roman" w:hAnsi="Times New Roman" w:eastAsia="宋体" w:cs="Times New Roman"/>
      <w:b/>
      <w:sz w:val="32"/>
    </w:rPr>
  </w:style>
  <w:style w:type="character" w:customStyle="1" w:styleId="35">
    <w:name w:val="标题 4 Char"/>
    <w:basedOn w:val="25"/>
    <w:link w:val="6"/>
    <w:semiHidden/>
    <w:qFormat/>
    <w:locked/>
    <w:uiPriority w:val="99"/>
    <w:rPr>
      <w:rFonts w:ascii="Calibri Light" w:hAnsi="Calibri Light" w:eastAsia="宋体" w:cs="Times New Roman"/>
      <w:b/>
      <w:sz w:val="28"/>
    </w:rPr>
  </w:style>
  <w:style w:type="character" w:customStyle="1" w:styleId="36">
    <w:name w:val="文档结构图 Char1"/>
    <w:basedOn w:val="25"/>
    <w:link w:val="9"/>
    <w:semiHidden/>
    <w:qFormat/>
    <w:locked/>
    <w:uiPriority w:val="99"/>
    <w:rPr>
      <w:rFonts w:ascii="宋体" w:hAnsi="Times New Roman" w:cs="Times New Roman"/>
      <w:kern w:val="2"/>
      <w:sz w:val="18"/>
    </w:rPr>
  </w:style>
  <w:style w:type="character" w:customStyle="1" w:styleId="37">
    <w:name w:val="批注文字 Char"/>
    <w:basedOn w:val="25"/>
    <w:link w:val="10"/>
    <w:qFormat/>
    <w:locked/>
    <w:uiPriority w:val="99"/>
    <w:rPr>
      <w:rFonts w:ascii="Times New Roman" w:hAnsi="Times New Roman" w:eastAsia="宋体" w:cs="Times New Roman"/>
      <w:kern w:val="0"/>
      <w:sz w:val="24"/>
      <w:lang w:val="zh-CN" w:eastAsia="zh-CN"/>
    </w:rPr>
  </w:style>
  <w:style w:type="character" w:customStyle="1" w:styleId="38">
    <w:name w:val="正文文本 Char"/>
    <w:basedOn w:val="25"/>
    <w:link w:val="11"/>
    <w:semiHidden/>
    <w:qFormat/>
    <w:locked/>
    <w:uiPriority w:val="99"/>
    <w:rPr>
      <w:rFonts w:cs="Times New Roman"/>
      <w:sz w:val="24"/>
      <w:szCs w:val="24"/>
    </w:rPr>
  </w:style>
  <w:style w:type="character" w:customStyle="1" w:styleId="39">
    <w:name w:val="正文文本缩进 Char"/>
    <w:basedOn w:val="25"/>
    <w:link w:val="12"/>
    <w:semiHidden/>
    <w:qFormat/>
    <w:locked/>
    <w:uiPriority w:val="99"/>
    <w:rPr>
      <w:rFonts w:ascii="Times New Roman" w:hAnsi="Times New Roman" w:cs="Times New Roman"/>
      <w:sz w:val="24"/>
    </w:rPr>
  </w:style>
  <w:style w:type="character" w:customStyle="1" w:styleId="40">
    <w:name w:val="纯文本 Char"/>
    <w:basedOn w:val="25"/>
    <w:link w:val="14"/>
    <w:qFormat/>
    <w:locked/>
    <w:uiPriority w:val="99"/>
    <w:rPr>
      <w:rFonts w:ascii="宋体" w:hAnsi="Courier New" w:eastAsia="宋体" w:cs="Times New Roman"/>
      <w:snapToGrid w:val="0"/>
      <w:sz w:val="21"/>
    </w:rPr>
  </w:style>
  <w:style w:type="character" w:customStyle="1" w:styleId="41">
    <w:name w:val="日期 Char"/>
    <w:basedOn w:val="25"/>
    <w:link w:val="15"/>
    <w:qFormat/>
    <w:locked/>
    <w:uiPriority w:val="99"/>
    <w:rPr>
      <w:rFonts w:ascii="宋体" w:cs="Times New Roman"/>
      <w:sz w:val="21"/>
      <w:lang w:val="zh-CN"/>
    </w:rPr>
  </w:style>
  <w:style w:type="character" w:customStyle="1" w:styleId="42">
    <w:name w:val="正文文本缩进 2 Char"/>
    <w:basedOn w:val="25"/>
    <w:link w:val="16"/>
    <w:semiHidden/>
    <w:qFormat/>
    <w:locked/>
    <w:uiPriority w:val="99"/>
    <w:rPr>
      <w:rFonts w:cs="Times New Roman"/>
      <w:sz w:val="24"/>
      <w:szCs w:val="24"/>
    </w:rPr>
  </w:style>
  <w:style w:type="character" w:customStyle="1" w:styleId="43">
    <w:name w:val="页脚 Char"/>
    <w:basedOn w:val="25"/>
    <w:link w:val="18"/>
    <w:qFormat/>
    <w:locked/>
    <w:uiPriority w:val="99"/>
    <w:rPr>
      <w:rFonts w:ascii="Times New Roman" w:hAnsi="Times New Roman" w:eastAsia="宋体" w:cs="Times New Roman"/>
      <w:sz w:val="18"/>
    </w:rPr>
  </w:style>
  <w:style w:type="character" w:customStyle="1" w:styleId="44">
    <w:name w:val="Header Char"/>
    <w:basedOn w:val="25"/>
    <w:qFormat/>
    <w:locked/>
    <w:uiPriority w:val="99"/>
    <w:rPr>
      <w:rFonts w:ascii="Times New Roman" w:hAnsi="Times New Roman" w:eastAsia="宋体" w:cs="Times New Roman"/>
      <w:sz w:val="18"/>
    </w:rPr>
  </w:style>
  <w:style w:type="character" w:customStyle="1" w:styleId="45">
    <w:name w:val="正文文本 2 Char"/>
    <w:basedOn w:val="25"/>
    <w:link w:val="20"/>
    <w:semiHidden/>
    <w:qFormat/>
    <w:locked/>
    <w:uiPriority w:val="99"/>
    <w:rPr>
      <w:rFonts w:ascii="Times New Roman" w:hAnsi="Times New Roman" w:cs="Times New Roman"/>
      <w:sz w:val="24"/>
    </w:rPr>
  </w:style>
  <w:style w:type="character" w:customStyle="1" w:styleId="46">
    <w:name w:val="标题 Char"/>
    <w:basedOn w:val="25"/>
    <w:link w:val="21"/>
    <w:qFormat/>
    <w:locked/>
    <w:uiPriority w:val="99"/>
    <w:rPr>
      <w:rFonts w:ascii="Calibri Light" w:hAnsi="Calibri Light" w:eastAsia="宋体" w:cs="Times New Roman"/>
      <w:b/>
      <w:sz w:val="32"/>
    </w:rPr>
  </w:style>
  <w:style w:type="character" w:customStyle="1" w:styleId="47">
    <w:name w:val="批注主题 Char"/>
    <w:basedOn w:val="37"/>
    <w:link w:val="22"/>
    <w:semiHidden/>
    <w:qFormat/>
    <w:locked/>
    <w:uiPriority w:val="99"/>
    <w:rPr>
      <w:rFonts w:ascii="Times New Roman" w:hAnsi="Times New Roman" w:eastAsia="宋体" w:cs="Times New Roman"/>
      <w:b/>
      <w:kern w:val="0"/>
      <w:sz w:val="24"/>
      <w:lang w:val="zh-CN" w:eastAsia="zh-CN"/>
    </w:rPr>
  </w:style>
  <w:style w:type="character" w:customStyle="1" w:styleId="48">
    <w:name w:val="页眉 Char"/>
    <w:link w:val="19"/>
    <w:qFormat/>
    <w:locked/>
    <w:uiPriority w:val="99"/>
    <w:rPr>
      <w:rFonts w:ascii="Times New Roman" w:hAnsi="Times New Roman" w:eastAsia="宋体"/>
      <w:sz w:val="18"/>
    </w:rPr>
  </w:style>
  <w:style w:type="character" w:customStyle="1" w:styleId="49">
    <w:name w:val="正文缩进 Char"/>
    <w:link w:val="5"/>
    <w:qFormat/>
    <w:locked/>
    <w:uiPriority w:val="99"/>
    <w:rPr>
      <w:rFonts w:ascii="宋体" w:eastAsia="宋体"/>
      <w:snapToGrid w:val="0"/>
      <w:color w:val="000000"/>
      <w:kern w:val="28"/>
      <w:sz w:val="28"/>
    </w:rPr>
  </w:style>
  <w:style w:type="character" w:customStyle="1" w:styleId="50">
    <w:name w:val="日期 Char1"/>
    <w:semiHidden/>
    <w:qFormat/>
    <w:uiPriority w:val="99"/>
    <w:rPr>
      <w:rFonts w:ascii="Times New Roman" w:hAnsi="Times New Roman" w:eastAsia="宋体"/>
      <w:sz w:val="24"/>
    </w:rPr>
  </w:style>
  <w:style w:type="character" w:customStyle="1" w:styleId="51">
    <w:name w:val="纯文本 Char1"/>
    <w:semiHidden/>
    <w:qFormat/>
    <w:uiPriority w:val="99"/>
    <w:rPr>
      <w:rFonts w:ascii="宋体" w:hAnsi="Courier New" w:eastAsia="宋体"/>
      <w:sz w:val="21"/>
    </w:rPr>
  </w:style>
  <w:style w:type="paragraph" w:customStyle="1" w:styleId="5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3">
    <w:name w:val="列出段落1"/>
    <w:basedOn w:val="1"/>
    <w:qFormat/>
    <w:uiPriority w:val="99"/>
    <w:pPr>
      <w:spacing w:line="360" w:lineRule="auto"/>
      <w:ind w:firstLine="200" w:firstLineChars="200"/>
    </w:pPr>
    <w:rPr>
      <w:rFonts w:eastAsia="楷体_GB2312" w:cs="Lucida Sans"/>
      <w:sz w:val="24"/>
    </w:rPr>
  </w:style>
  <w:style w:type="paragraph" w:customStyle="1" w:styleId="54">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5">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7">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8">
    <w:name w:val="Char Char Char Char1"/>
    <w:basedOn w:val="1"/>
    <w:qFormat/>
    <w:uiPriority w:val="99"/>
    <w:pPr>
      <w:adjustRightInd/>
    </w:pPr>
    <w:rPr>
      <w:rFonts w:ascii="Tahoma" w:hAnsi="Tahoma"/>
      <w:sz w:val="24"/>
      <w:szCs w:val="20"/>
    </w:rPr>
  </w:style>
  <w:style w:type="paragraph" w:customStyle="1" w:styleId="59">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60">
    <w:name w:val="正文段"/>
    <w:basedOn w:val="1"/>
    <w:link w:val="66"/>
    <w:qFormat/>
    <w:uiPriority w:val="99"/>
    <w:pPr>
      <w:widowControl/>
      <w:snapToGrid w:val="0"/>
      <w:spacing w:afterLines="50"/>
      <w:ind w:firstLine="200" w:firstLineChars="200"/>
    </w:pPr>
    <w:rPr>
      <w:kern w:val="0"/>
      <w:sz w:val="24"/>
      <w:szCs w:val="20"/>
    </w:rPr>
  </w:style>
  <w:style w:type="paragraph" w:customStyle="1" w:styleId="61">
    <w:name w:val="正文2"/>
    <w:basedOn w:val="1"/>
    <w:link w:val="65"/>
    <w:qFormat/>
    <w:uiPriority w:val="99"/>
    <w:pPr>
      <w:spacing w:before="156" w:line="360" w:lineRule="auto"/>
      <w:ind w:firstLine="510" w:firstLineChars="200"/>
    </w:pPr>
    <w:rPr>
      <w:sz w:val="24"/>
      <w:szCs w:val="20"/>
    </w:rPr>
  </w:style>
  <w:style w:type="paragraph" w:customStyle="1" w:styleId="62">
    <w:name w:val="表正文"/>
    <w:basedOn w:val="1"/>
    <w:next w:val="14"/>
    <w:qFormat/>
    <w:uiPriority w:val="99"/>
    <w:rPr>
      <w:rFonts w:ascii="宋体" w:hAnsi="Courier New"/>
      <w:szCs w:val="20"/>
    </w:rPr>
  </w:style>
  <w:style w:type="character" w:customStyle="1" w:styleId="63">
    <w:name w:val="文档结构图 Char"/>
    <w:semiHidden/>
    <w:qFormat/>
    <w:uiPriority w:val="99"/>
    <w:rPr>
      <w:kern w:val="2"/>
      <w:sz w:val="24"/>
      <w:shd w:val="clear" w:color="auto" w:fill="000080"/>
    </w:rPr>
  </w:style>
  <w:style w:type="character" w:customStyle="1" w:styleId="64">
    <w:name w:val="日期 Char2"/>
    <w:qFormat/>
    <w:uiPriority w:val="99"/>
    <w:rPr>
      <w:rFonts w:ascii="楷体_GB2312" w:eastAsia="楷体_GB2312"/>
      <w:b/>
      <w:kern w:val="2"/>
      <w:sz w:val="28"/>
      <w:lang w:val="en-US" w:eastAsia="zh-CN"/>
    </w:rPr>
  </w:style>
  <w:style w:type="character" w:customStyle="1" w:styleId="65">
    <w:name w:val="正文2 Char"/>
    <w:link w:val="61"/>
    <w:qFormat/>
    <w:locked/>
    <w:uiPriority w:val="99"/>
    <w:rPr>
      <w:rFonts w:ascii="Times New Roman" w:hAnsi="Times New Roman"/>
      <w:kern w:val="2"/>
      <w:sz w:val="24"/>
    </w:rPr>
  </w:style>
  <w:style w:type="character" w:customStyle="1" w:styleId="66">
    <w:name w:val="正文段 Char"/>
    <w:link w:val="60"/>
    <w:qFormat/>
    <w:locked/>
    <w:uiPriority w:val="99"/>
    <w:rPr>
      <w:rFonts w:ascii="Times New Roman" w:hAnsi="Times New Roman"/>
      <w:sz w:val="24"/>
    </w:rPr>
  </w:style>
  <w:style w:type="paragraph" w:styleId="67">
    <w:name w:val="List Paragraph"/>
    <w:basedOn w:val="1"/>
    <w:qFormat/>
    <w:uiPriority w:val="99"/>
    <w:pPr>
      <w:ind w:left="720"/>
      <w:contextualSpacing/>
    </w:pPr>
  </w:style>
  <w:style w:type="paragraph" w:customStyle="1" w:styleId="68">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9">
    <w:name w:val="px_10"/>
    <w:qFormat/>
    <w:uiPriority w:val="99"/>
    <w:rPr>
      <w:lang w:val="zh-TW" w:eastAsia="zh-TW"/>
    </w:rPr>
  </w:style>
  <w:style w:type="paragraph" w:customStyle="1" w:styleId="7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1">
    <w:name w:val="reader-word-layer reader-word-s1-8"/>
    <w:basedOn w:val="1"/>
    <w:qFormat/>
    <w:uiPriority w:val="99"/>
    <w:pPr>
      <w:widowControl/>
      <w:spacing w:before="100" w:beforeAutospacing="1" w:after="100" w:afterAutospacing="1"/>
      <w:jc w:val="left"/>
    </w:pPr>
    <w:rPr>
      <w:rFonts w:ascii="宋体" w:hAnsi="宋体" w:cs="宋体"/>
      <w:kern w:val="0"/>
      <w:sz w:val="24"/>
    </w:rPr>
  </w:style>
  <w:style w:type="paragraph" w:customStyle="1" w:styleId="72">
    <w:name w:val="列出段落11"/>
    <w:basedOn w:val="1"/>
    <w:qFormat/>
    <w:uiPriority w:val="99"/>
    <w:pPr>
      <w:spacing w:line="360" w:lineRule="auto"/>
      <w:ind w:firstLine="200" w:firstLineChars="200"/>
    </w:pPr>
    <w:rPr>
      <w:rFonts w:eastAsia="楷体_GB2312" w:cs="Lucida Sans"/>
      <w:sz w:val="24"/>
    </w:rPr>
  </w:style>
  <w:style w:type="paragraph" w:customStyle="1" w:styleId="7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74">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75">
    <w:name w:val="正文 New New New New"/>
    <w:qFormat/>
    <w:uiPriority w:val="99"/>
    <w:pPr>
      <w:widowControl w:val="0"/>
      <w:jc w:val="both"/>
    </w:pPr>
    <w:rPr>
      <w:rFonts w:ascii="Calibri" w:hAnsi="Calibri" w:eastAsia="宋体" w:cs="Times New Roman"/>
      <w:sz w:val="21"/>
      <w:szCs w:val="24"/>
      <w:lang w:val="en-US" w:eastAsia="zh-CN" w:bidi="ar-SA"/>
    </w:rPr>
  </w:style>
  <w:style w:type="character" w:customStyle="1" w:styleId="76">
    <w:name w:val="批注框文本 Char"/>
    <w:basedOn w:val="25"/>
    <w:link w:val="17"/>
    <w:semiHidden/>
    <w:qFormat/>
    <w:locked/>
    <w:uiPriority w:val="99"/>
    <w:rPr>
      <w:rFonts w:cs="Times New Roman"/>
      <w:sz w:val="2"/>
    </w:rPr>
  </w:style>
  <w:style w:type="paragraph" w:customStyle="1" w:styleId="77">
    <w:name w:val="列出段落5"/>
    <w:basedOn w:val="1"/>
    <w:qFormat/>
    <w:uiPriority w:val="34"/>
    <w:pPr>
      <w:ind w:firstLine="420" w:firstLineChars="200"/>
    </w:pPr>
    <w:rPr>
      <w:rFonts w:ascii="Calibri" w:hAnsi="Calibri"/>
      <w:sz w:val="24"/>
    </w:rPr>
  </w:style>
  <w:style w:type="paragraph" w:customStyle="1" w:styleId="78">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character" w:customStyle="1" w:styleId="79">
    <w:name w:val="unnamed11"/>
    <w:basedOn w:val="25"/>
    <w:qFormat/>
    <w:uiPriority w:val="0"/>
    <w:rPr>
      <w:rFonts w:hint="eastAsia" w:ascii="宋体" w:hAnsi="宋体" w:eastAsia="宋体"/>
      <w:sz w:val="21"/>
      <w:szCs w:val="21"/>
    </w:rPr>
  </w:style>
  <w:style w:type="paragraph" w:customStyle="1" w:styleId="80">
    <w:name w:val="样式2 Char Char Char"/>
    <w:basedOn w:val="1"/>
    <w:qFormat/>
    <w:uiPriority w:val="0"/>
    <w:pPr>
      <w:widowControl/>
      <w:spacing w:line="360" w:lineRule="auto"/>
      <w:ind w:firstLine="480" w:firstLineChars="200"/>
      <w:jc w:val="left"/>
    </w:pPr>
    <w:rPr>
      <w:rFonts w:ascii="宋体" w:hAnsi="宋体"/>
      <w:bCs/>
      <w:kern w:val="0"/>
      <w:sz w:val="24"/>
      <w:lang w:eastAsia="en-US"/>
    </w:rPr>
  </w:style>
  <w:style w:type="character" w:customStyle="1" w:styleId="81">
    <w:name w:val="font11"/>
    <w:basedOn w:val="25"/>
    <w:qFormat/>
    <w:uiPriority w:val="0"/>
    <w:rPr>
      <w:rFonts w:hint="default" w:ascii="微软雅黑" w:hAnsi="微软雅黑" w:eastAsia="微软雅黑" w:cs="微软雅黑"/>
      <w:color w:val="000000"/>
      <w:sz w:val="20"/>
      <w:szCs w:val="20"/>
      <w:u w:val="none"/>
    </w:rPr>
  </w:style>
  <w:style w:type="paragraph" w:customStyle="1" w:styleId="82">
    <w:name w:val="样式 列表编号 + 段后: 0.5 行"/>
    <w:basedOn w:val="8"/>
    <w:qFormat/>
    <w:uiPriority w:val="0"/>
    <w:pPr>
      <w:numPr>
        <w:ilvl w:val="0"/>
        <w:numId w:val="0"/>
      </w:numPr>
      <w:tabs>
        <w:tab w:val="left" w:pos="454"/>
        <w:tab w:val="left" w:pos="840"/>
        <w:tab w:val="clear" w:pos="360"/>
      </w:tabs>
      <w:spacing w:afterLines="0"/>
      <w:ind w:left="425" w:hanging="425"/>
    </w:pPr>
    <w:rPr>
      <w:rFonts w:cs="宋体"/>
    </w:rPr>
  </w:style>
  <w:style w:type="paragraph" w:customStyle="1" w:styleId="83">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pn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header1.xml" Type="http://schemas.openxmlformats.org/officeDocument/2006/relationships/header"/><Relationship Id="rId5" Target="header2.xml" Type="http://schemas.openxmlformats.org/officeDocument/2006/relationships/head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54</Pages>
  <Words>5617</Words>
  <Characters>32018</Characters>
  <Lines>266</Lines>
  <Paragraphs>75</Paragraphs>
  <TotalTime>0</TotalTime>
  <ScaleCrop>false</ScaleCrop>
  <LinksUpToDate>false</LinksUpToDate>
  <CharactersWithSpaces>37560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2019-08-19T11:14:00Z</dcterms:created>
  <dc:creator>Ting</dc:creator>
  <cp:lastModifiedBy>世间安得双全法</cp:lastModifiedBy>
  <cp:lastPrinted>2018-05-18T01:29:00Z</cp:lastPrinted>
  <dcterms:modified xsi:type="dcterms:W3CDTF">2019-09-11T04:26:48Z</dcterms:modified>
  <cp:revision>2</cp:revision>
  <dc:title>绍兴市公安局交通警察支队交警互联网支付及罚缴平台二期项目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