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61" w:firstLineChars="50"/>
        <w:jc w:val="center"/>
        <w:outlineLvl w:val="0"/>
      </w:pPr>
      <w:r>
        <w:rPr>
          <w:rFonts w:hint="eastAsia" w:ascii="隶书" w:hAnsi="Arial" w:eastAsia="隶书" w:cs="Arial"/>
          <w:b/>
          <w:sz w:val="52"/>
          <w:szCs w:val="52"/>
          <w:lang w:eastAsia="zh-CN"/>
        </w:rPr>
        <w:t>绍兴市公安局执法单兵应急4G图像传输租赁费项目</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公</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开</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招</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标</w:t>
      </w:r>
    </w:p>
    <w:p>
      <w:pPr>
        <w:spacing w:line="312" w:lineRule="auto"/>
        <w:jc w:val="center"/>
        <w:outlineLvl w:val="0"/>
        <w:rPr>
          <w:rFonts w:ascii="隶书" w:eastAsia="隶书"/>
          <w:b/>
          <w:sz w:val="52"/>
          <w:szCs w:val="52"/>
        </w:rPr>
      </w:pPr>
      <w:r>
        <w:rPr>
          <w:rFonts w:hint="eastAsia" w:ascii="隶书" w:eastAsia="隶书"/>
          <w:b/>
          <w:sz w:val="52"/>
          <w:szCs w:val="52"/>
        </w:rPr>
        <w:t>文</w:t>
      </w:r>
    </w:p>
    <w:p>
      <w:pPr>
        <w:spacing w:line="312" w:lineRule="auto"/>
        <w:jc w:val="center"/>
        <w:outlineLvl w:val="0"/>
        <w:rPr>
          <w:rFonts w:ascii="隶书" w:eastAsia="隶书"/>
          <w:b/>
          <w:sz w:val="28"/>
          <w:szCs w:val="28"/>
        </w:rPr>
      </w:pPr>
      <w:r>
        <w:rPr>
          <w:rFonts w:hint="eastAsia" w:ascii="隶书" w:eastAsia="隶书"/>
          <w:b/>
          <w:sz w:val="52"/>
          <w:szCs w:val="52"/>
        </w:rPr>
        <w:t>件</w:t>
      </w:r>
    </w:p>
    <w:p>
      <w:pPr>
        <w:spacing w:line="312" w:lineRule="auto"/>
        <w:jc w:val="center"/>
        <w:rPr>
          <w:rFonts w:ascii="隶书" w:eastAsia="隶书"/>
          <w:b/>
          <w:sz w:val="28"/>
          <w:szCs w:val="28"/>
        </w:rPr>
      </w:pPr>
    </w:p>
    <w:p>
      <w:pPr>
        <w:spacing w:line="312" w:lineRule="auto"/>
        <w:jc w:val="center"/>
        <w:rPr>
          <w:rFonts w:hint="default" w:ascii="隶书" w:eastAsia="隶书"/>
          <w:b/>
          <w:sz w:val="28"/>
          <w:szCs w:val="28"/>
          <w:lang w:val="en-US" w:eastAsia="zh-CN"/>
        </w:rPr>
      </w:pPr>
      <w:r>
        <w:rPr>
          <w:rFonts w:hint="eastAsia" w:ascii="隶书" w:eastAsia="隶书"/>
          <w:b/>
          <w:sz w:val="28"/>
          <w:szCs w:val="28"/>
        </w:rPr>
        <w:t>招标编号</w:t>
      </w:r>
      <w:r>
        <w:rPr>
          <w:rFonts w:ascii="隶书" w:eastAsia="隶书"/>
          <w:b/>
          <w:sz w:val="28"/>
          <w:szCs w:val="28"/>
        </w:rPr>
        <w:t>:</w:t>
      </w:r>
      <w:r>
        <w:rPr>
          <w:rFonts w:hint="eastAsia" w:ascii="隶书" w:hAnsi="仿宋" w:eastAsia="隶书"/>
          <w:b/>
          <w:sz w:val="28"/>
          <w:szCs w:val="28"/>
        </w:rPr>
        <w:t>YH2019-</w:t>
      </w:r>
      <w:r>
        <w:rPr>
          <w:rFonts w:hint="eastAsia" w:ascii="隶书" w:hAnsi="仿宋" w:eastAsia="隶书"/>
          <w:b/>
          <w:sz w:val="28"/>
          <w:szCs w:val="28"/>
          <w:lang w:val="en-US" w:eastAsia="zh-CN"/>
        </w:rPr>
        <w:t>09022</w:t>
      </w:r>
    </w:p>
    <w:tbl>
      <w:tblPr>
        <w:tblStyle w:val="23"/>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12" w:lineRule="auto"/>
              <w:outlineLvl w:val="0"/>
              <w:rPr>
                <w:rFonts w:hint="eastAsia" w:ascii="隶书" w:hAnsi="宋体" w:eastAsia="隶书"/>
                <w:sz w:val="28"/>
                <w:szCs w:val="28"/>
                <w:lang w:eastAsia="zh-CN"/>
              </w:rPr>
            </w:pPr>
            <w:r>
              <w:rPr>
                <w:rFonts w:hint="eastAsia" w:ascii="隶书" w:hAnsi="宋体" w:eastAsia="隶书"/>
                <w:sz w:val="28"/>
                <w:szCs w:val="28"/>
                <w:lang w:eastAsia="zh-CN"/>
              </w:rPr>
              <w:t>绍兴市公安局</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312" w:lineRule="auto"/>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一九年</w:t>
            </w:r>
            <w:r>
              <w:rPr>
                <w:rFonts w:hint="eastAsia" w:ascii="隶书" w:eastAsia="隶书"/>
                <w:b/>
                <w:sz w:val="28"/>
                <w:szCs w:val="28"/>
                <w:lang w:eastAsia="zh-CN"/>
              </w:rPr>
              <w:t>九</w:t>
            </w:r>
            <w:r>
              <w:rPr>
                <w:rFonts w:hint="eastAsia" w:ascii="隶书" w:eastAsia="隶书"/>
                <w:b/>
                <w:sz w:val="28"/>
                <w:szCs w:val="28"/>
              </w:rPr>
              <w:t>月</w:t>
            </w:r>
          </w:p>
        </w:tc>
      </w:tr>
    </w:tbl>
    <w:p>
      <w:pPr>
        <w:spacing w:line="360" w:lineRule="auto"/>
        <w:rPr>
          <w:rFonts w:ascii="仿宋" w:hAnsi="仿宋" w:eastAsia="仿宋" w:cs="仿宋"/>
          <w:b/>
          <w:sz w:val="44"/>
          <w:szCs w:val="44"/>
        </w:rPr>
      </w:pPr>
    </w:p>
    <w:p>
      <w:pPr>
        <w:rPr>
          <w:rFonts w:ascii="仿宋" w:hAnsi="仿宋" w:eastAsia="仿宋" w:cs="仿宋"/>
          <w:b/>
          <w:sz w:val="44"/>
          <w:szCs w:val="44"/>
        </w:rPr>
      </w:pPr>
    </w:p>
    <w:p>
      <w:pPr>
        <w:rPr>
          <w:rFonts w:ascii="仿宋" w:hAnsi="仿宋" w:eastAsia="仿宋" w:cs="仿宋"/>
          <w:b/>
          <w:sz w:val="44"/>
          <w:szCs w:val="44"/>
        </w:rPr>
      </w:pPr>
    </w:p>
    <w:p>
      <w:pPr>
        <w:pStyle w:val="31"/>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rPr>
          <w:rFonts w:hint="eastAsia" w:ascii="仿宋" w:hAnsi="仿宋" w:eastAsia="仿宋" w:cs="仿宋"/>
          <w:b/>
          <w:sz w:val="44"/>
          <w:szCs w:val="44"/>
        </w:rPr>
      </w:pPr>
      <w:r>
        <w:rPr>
          <w:rFonts w:hint="eastAsia" w:ascii="仿宋" w:hAnsi="仿宋" w:eastAsia="仿宋" w:cs="仿宋"/>
          <w:b/>
          <w:sz w:val="44"/>
          <w:szCs w:val="44"/>
        </w:rPr>
        <w:br w:type="page"/>
      </w: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w:t>
      </w:r>
      <w:r>
        <w:rPr>
          <w:rFonts w:ascii="仿宋" w:hAnsi="仿宋" w:eastAsia="仿宋" w:cs="仿宋"/>
          <w:b/>
          <w:sz w:val="36"/>
          <w:szCs w:val="36"/>
        </w:rPr>
        <w:t xml:space="preserve"> </w:t>
      </w:r>
      <w:r>
        <w:rPr>
          <w:rFonts w:hint="eastAsia" w:ascii="仿宋" w:hAnsi="仿宋" w:eastAsia="仿宋" w:cs="仿宋"/>
          <w:b/>
          <w:sz w:val="36"/>
          <w:szCs w:val="36"/>
        </w:rPr>
        <w:t>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w:t>
      </w:r>
      <w:r>
        <w:rPr>
          <w:rFonts w:ascii="仿宋" w:hAnsi="仿宋" w:eastAsia="仿宋" w:cs="仿宋"/>
          <w:b/>
          <w:sz w:val="36"/>
          <w:szCs w:val="36"/>
        </w:rPr>
        <w:t xml:space="preserve"> </w:t>
      </w:r>
      <w:r>
        <w:rPr>
          <w:rFonts w:hint="eastAsia" w:ascii="仿宋" w:hAnsi="仿宋" w:eastAsia="仿宋" w:cs="仿宋"/>
          <w:b/>
          <w:sz w:val="36"/>
          <w:szCs w:val="36"/>
        </w:rPr>
        <w:t>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w:t>
      </w:r>
      <w:r>
        <w:rPr>
          <w:rFonts w:ascii="仿宋" w:hAnsi="仿宋" w:eastAsia="仿宋" w:cs="仿宋"/>
          <w:b/>
          <w:sz w:val="36"/>
          <w:szCs w:val="36"/>
        </w:rPr>
        <w:t xml:space="preserve"> </w:t>
      </w:r>
      <w:r>
        <w:rPr>
          <w:rFonts w:hint="eastAsia" w:ascii="仿宋" w:hAnsi="仿宋" w:eastAsia="仿宋" w:cs="仿宋"/>
          <w:b/>
          <w:sz w:val="36"/>
          <w:szCs w:val="36"/>
        </w:rPr>
        <w:t>投标文件及其附件格式</w:t>
      </w:r>
    </w:p>
    <w:p>
      <w:pPr>
        <w:snapToGrid w:val="0"/>
        <w:spacing w:line="480" w:lineRule="auto"/>
        <w:jc w:val="left"/>
        <w:rPr>
          <w:rFonts w:ascii="??_GB2312" w:hAnsi="宋体" w:eastAsia="Times New Roman"/>
          <w:sz w:val="36"/>
          <w:szCs w:val="36"/>
        </w:rPr>
      </w:pPr>
    </w:p>
    <w:p>
      <w:pPr>
        <w:snapToGrid w:val="0"/>
        <w:spacing w:line="600" w:lineRule="exact"/>
        <w:jc w:val="both"/>
        <w:rPr>
          <w:rFonts w:hint="eastAsia" w:ascii="仿宋" w:hAnsi="仿宋" w:eastAsia="仿宋" w:cs="仿宋"/>
          <w:b/>
          <w:sz w:val="36"/>
          <w:szCs w:val="36"/>
        </w:rPr>
      </w:pPr>
    </w:p>
    <w:p>
      <w:pPr>
        <w:pStyle w:val="31"/>
        <w:rPr>
          <w:rFonts w:hint="eastAsia" w:ascii="仿宋" w:hAnsi="仿宋" w:eastAsia="仿宋" w:cs="仿宋"/>
          <w:b/>
          <w:sz w:val="36"/>
          <w:szCs w:val="36"/>
        </w:rPr>
      </w:pPr>
    </w:p>
    <w:p>
      <w:pPr>
        <w:pStyle w:val="31"/>
        <w:rPr>
          <w:rFonts w:hint="eastAsia" w:ascii="仿宋" w:hAnsi="仿宋" w:eastAsia="仿宋" w:cs="仿宋"/>
          <w:b/>
          <w:sz w:val="36"/>
          <w:szCs w:val="36"/>
        </w:rPr>
      </w:pPr>
      <w:r>
        <w:rPr>
          <w:rFonts w:hint="eastAsia" w:ascii="仿宋" w:hAnsi="仿宋" w:eastAsia="仿宋" w:cs="仿宋"/>
          <w:b/>
          <w:sz w:val="36"/>
          <w:szCs w:val="36"/>
        </w:rPr>
        <w:br w:type="textWrapping"/>
      </w:r>
    </w:p>
    <w:p>
      <w:pPr>
        <w:pStyle w:val="31"/>
        <w:rPr>
          <w:rFonts w:hint="eastAsia" w:ascii="仿宋" w:hAnsi="仿宋" w:eastAsia="仿宋" w:cs="仿宋"/>
          <w:b/>
          <w:sz w:val="36"/>
          <w:szCs w:val="36"/>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pStyle w:val="60"/>
        <w:spacing w:after="120" w:line="440" w:lineRule="exact"/>
        <w:ind w:firstLine="480"/>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绍兴市公安局</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一、招标编号：</w:t>
      </w:r>
      <w:r>
        <w:rPr>
          <w:rFonts w:hint="eastAsia" w:ascii="仿宋" w:hAnsi="仿宋" w:eastAsia="仿宋" w:cs="仿宋"/>
          <w:sz w:val="24"/>
        </w:rPr>
        <w:t>YH2019-</w:t>
      </w:r>
      <w:r>
        <w:rPr>
          <w:rFonts w:hint="eastAsia" w:ascii="仿宋" w:hAnsi="仿宋" w:eastAsia="仿宋" w:cs="仿宋"/>
          <w:sz w:val="24"/>
          <w:lang w:val="en-US" w:eastAsia="zh-CN"/>
        </w:rPr>
        <w:t>09022</w:t>
      </w:r>
      <w:r>
        <w:rPr>
          <w:rFonts w:hint="eastAsia" w:ascii="仿宋" w:hAnsi="仿宋" w:eastAsia="仿宋" w:cs="仿宋"/>
          <w:b/>
          <w:bCs/>
          <w:sz w:val="24"/>
        </w:rPr>
        <w:t xml:space="preserve">          </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二、采购组织类型及方式：分散采购委托代理-公开招标</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三、招标项目名称及数量（详见招标文件）</w:t>
      </w:r>
    </w:p>
    <w:tbl>
      <w:tblPr>
        <w:tblStyle w:val="23"/>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1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92" w:type="dxa"/>
            <w:vAlign w:val="center"/>
          </w:tcPr>
          <w:p>
            <w:pPr>
              <w:jc w:val="center"/>
              <w:rPr>
                <w:rFonts w:hint="eastAsia" w:ascii="仿宋" w:hAnsi="仿宋" w:eastAsia="仿宋" w:cs="仿宋"/>
                <w:b/>
                <w:sz w:val="24"/>
              </w:rPr>
            </w:pPr>
            <w:r>
              <w:rPr>
                <w:rFonts w:hint="eastAsia" w:ascii="仿宋" w:hAnsi="仿宋" w:eastAsia="仿宋" w:cs="仿宋"/>
                <w:b/>
                <w:sz w:val="24"/>
              </w:rPr>
              <w:t>标项</w:t>
            </w:r>
          </w:p>
        </w:tc>
        <w:tc>
          <w:tcPr>
            <w:tcW w:w="4015" w:type="dxa"/>
            <w:vAlign w:val="center"/>
          </w:tcPr>
          <w:p>
            <w:pPr>
              <w:jc w:val="center"/>
              <w:rPr>
                <w:rFonts w:hint="eastAsia" w:ascii="仿宋" w:hAnsi="仿宋" w:eastAsia="仿宋" w:cs="仿宋"/>
                <w:b/>
                <w:sz w:val="24"/>
              </w:rPr>
            </w:pPr>
            <w:r>
              <w:rPr>
                <w:rFonts w:hint="eastAsia" w:ascii="仿宋" w:hAnsi="仿宋" w:eastAsia="仿宋" w:cs="仿宋"/>
                <w:b/>
                <w:sz w:val="24"/>
              </w:rPr>
              <w:t>标段名称及数量</w:t>
            </w:r>
          </w:p>
          <w:p>
            <w:pPr>
              <w:jc w:val="center"/>
              <w:rPr>
                <w:rFonts w:hint="eastAsia" w:ascii="仿宋" w:hAnsi="仿宋" w:eastAsia="仿宋" w:cs="仿宋"/>
                <w:b/>
                <w:sz w:val="24"/>
              </w:rPr>
            </w:pPr>
            <w:r>
              <w:rPr>
                <w:rFonts w:hint="eastAsia" w:ascii="仿宋" w:hAnsi="仿宋" w:eastAsia="仿宋" w:cs="仿宋"/>
                <w:b/>
                <w:bCs/>
                <w:sz w:val="24"/>
              </w:rPr>
              <w:t>（详见招标文件）</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hint="eastAsia" w:ascii="仿宋" w:hAnsi="仿宋" w:eastAsia="仿宋" w:cs="仿宋"/>
                <w:sz w:val="24"/>
              </w:rPr>
            </w:pPr>
            <w:r>
              <w:rPr>
                <w:rFonts w:hint="eastAsia" w:ascii="仿宋" w:hAnsi="仿宋" w:eastAsia="仿宋" w:cs="仿宋"/>
                <w:sz w:val="24"/>
              </w:rPr>
              <w:t>01</w:t>
            </w:r>
          </w:p>
        </w:tc>
        <w:tc>
          <w:tcPr>
            <w:tcW w:w="4015" w:type="dxa"/>
            <w:vAlign w:val="center"/>
          </w:tcPr>
          <w:p>
            <w:pPr>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执法单兵应急4G图像传输租赁费项目</w:t>
            </w:r>
          </w:p>
        </w:tc>
        <w:tc>
          <w:tcPr>
            <w:tcW w:w="2325" w:type="dxa"/>
            <w:vAlign w:val="center"/>
          </w:tcPr>
          <w:p>
            <w:pPr>
              <w:jc w:val="center"/>
              <w:rPr>
                <w:rFonts w:hint="default" w:ascii="仿宋" w:hAnsi="仿宋" w:eastAsia="仿宋" w:cs="仿宋"/>
                <w:sz w:val="24"/>
                <w:lang w:val="en-US" w:eastAsia="zh-CN"/>
              </w:rPr>
            </w:pPr>
            <w:r>
              <w:rPr>
                <w:rFonts w:hint="eastAsia" w:ascii="仿宋" w:hAnsi="仿宋" w:eastAsia="仿宋" w:cs="仿宋"/>
                <w:color w:val="auto"/>
                <w:sz w:val="24"/>
              </w:rPr>
              <w:t>￥9</w:t>
            </w:r>
            <w:r>
              <w:rPr>
                <w:rFonts w:hint="eastAsia" w:ascii="仿宋" w:hAnsi="仿宋" w:eastAsia="仿宋" w:cs="仿宋"/>
                <w:color w:val="auto"/>
                <w:sz w:val="24"/>
                <w:lang w:val="en-US" w:eastAsia="zh-CN"/>
              </w:rPr>
              <w:t>0</w:t>
            </w:r>
            <w:r>
              <w:rPr>
                <w:rFonts w:hint="eastAsia" w:ascii="仿宋" w:hAnsi="仿宋" w:eastAsia="仿宋" w:cs="仿宋"/>
                <w:color w:val="auto"/>
                <w:sz w:val="24"/>
              </w:rPr>
              <w:t>000</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￥0</w:t>
            </w:r>
          </w:p>
        </w:tc>
      </w:tr>
    </w:tbl>
    <w:p>
      <w:pPr>
        <w:spacing w:line="440" w:lineRule="exact"/>
        <w:ind w:firstLine="482" w:firstLineChars="200"/>
        <w:rPr>
          <w:rFonts w:hint="eastAsia" w:ascii="仿宋" w:hAnsi="仿宋" w:eastAsia="仿宋" w:cs="仿宋"/>
          <w:b/>
          <w:sz w:val="24"/>
        </w:rPr>
      </w:pPr>
      <w:r>
        <w:rPr>
          <w:rFonts w:hint="eastAsia" w:ascii="仿宋" w:hAnsi="仿宋" w:eastAsia="仿宋" w:cs="仿宋"/>
          <w:b/>
          <w:bCs/>
          <w:sz w:val="24"/>
        </w:rPr>
        <w:t>四、采购人的采购需求：</w:t>
      </w:r>
      <w:r>
        <w:rPr>
          <w:rFonts w:hint="eastAsia" w:ascii="仿宋" w:hAnsi="仿宋" w:eastAsia="仿宋" w:cs="仿宋"/>
          <w:sz w:val="24"/>
        </w:rPr>
        <w:t>详见招标文件</w:t>
      </w:r>
    </w:p>
    <w:p>
      <w:pPr>
        <w:spacing w:line="440" w:lineRule="exact"/>
        <w:ind w:firstLine="482" w:firstLineChars="200"/>
        <w:rPr>
          <w:rFonts w:hint="eastAsia" w:ascii="仿宋" w:hAnsi="仿宋" w:eastAsia="仿宋" w:cs="仿宋"/>
          <w:sz w:val="24"/>
        </w:rPr>
      </w:pPr>
      <w:r>
        <w:rPr>
          <w:rFonts w:hint="eastAsia" w:ascii="仿宋" w:hAnsi="仿宋" w:eastAsia="仿宋" w:cs="仿宋"/>
          <w:b/>
          <w:sz w:val="24"/>
        </w:rPr>
        <w:t>五、</w:t>
      </w:r>
      <w:r>
        <w:rPr>
          <w:rFonts w:hint="eastAsia" w:ascii="仿宋" w:hAnsi="仿宋" w:eastAsia="仿宋" w:cs="仿宋"/>
          <w:b/>
          <w:bCs/>
          <w:sz w:val="24"/>
        </w:rPr>
        <w:t>供应商的资格要求</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2.本次招标不接受联合体投标。</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六、资格审查方式：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七、报名：</w:t>
      </w:r>
    </w:p>
    <w:p>
      <w:pPr>
        <w:spacing w:line="440" w:lineRule="exact"/>
        <w:ind w:firstLine="540" w:firstLineChars="225"/>
        <w:rPr>
          <w:rFonts w:hint="eastAsia"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11</w:t>
      </w:r>
      <w:r>
        <w:rPr>
          <w:rFonts w:hint="eastAsia" w:ascii="仿宋" w:hAnsi="仿宋" w:eastAsia="仿宋" w:cs="仿宋"/>
          <w:bCs/>
          <w:sz w:val="24"/>
          <w:u w:val="single"/>
        </w:rPr>
        <w:t xml:space="preserve"> </w:t>
      </w:r>
      <w:r>
        <w:rPr>
          <w:rFonts w:hint="eastAsia" w:ascii="仿宋" w:hAnsi="仿宋" w:eastAsia="仿宋" w:cs="仿宋"/>
          <w:bCs/>
          <w:sz w:val="24"/>
        </w:rPr>
        <w:t>日至</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19</w:t>
      </w:r>
      <w:r>
        <w:rPr>
          <w:rFonts w:hint="eastAsia" w:ascii="仿宋" w:hAnsi="仿宋" w:eastAsia="仿宋" w:cs="仿宋"/>
          <w:bCs/>
          <w:sz w:val="24"/>
          <w:u w:val="single"/>
        </w:rPr>
        <w:t xml:space="preserve">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2.需同时在网上报名。网上报名网站为浙江政府采购云平台，网址http://www.zcygov.cn/。</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3.招标文件售价：每份</w:t>
      </w:r>
      <w:r>
        <w:rPr>
          <w:rFonts w:hint="eastAsia" w:ascii="仿宋" w:hAnsi="仿宋" w:eastAsia="仿宋" w:cs="仿宋"/>
          <w:bCs/>
          <w:sz w:val="24"/>
          <w:lang w:val="en-US" w:eastAsia="zh-CN"/>
        </w:rPr>
        <w:t>2</w:t>
      </w:r>
      <w:r>
        <w:rPr>
          <w:rFonts w:hint="eastAsia" w:ascii="仿宋" w:hAnsi="仿宋" w:eastAsia="仿宋" w:cs="仿宋"/>
          <w:bCs/>
          <w:sz w:val="24"/>
        </w:rPr>
        <w:t>00元，售后不退。</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八、投标截止时间及地点：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10:30</w:t>
      </w:r>
      <w:r>
        <w:rPr>
          <w:rFonts w:hint="eastAsia" w:ascii="仿宋" w:hAnsi="仿宋" w:eastAsia="仿宋" w:cs="仿宋"/>
          <w:bCs/>
          <w:sz w:val="24"/>
          <w:u w:val="single"/>
        </w:rPr>
        <w:t xml:space="preserve"> </w:t>
      </w:r>
      <w:r>
        <w:rPr>
          <w:rFonts w:hint="eastAsia" w:ascii="仿宋" w:hAnsi="仿宋" w:eastAsia="仿宋" w:cs="仿宋"/>
          <w:bCs/>
          <w:sz w:val="24"/>
        </w:rPr>
        <w:t>时整以前将投标文件密封送交到耀华建设管理有限公司绍兴迪荡分公司（绍兴市越城区阳明北路80号滨江大厦C楼3楼9/10号）会议室，逾期送达作无效投标处理。</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九、开标时间及地点：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bookmarkStart w:id="6" w:name="_GoBack"/>
      <w:bookmarkEnd w:id="6"/>
      <w:r>
        <w:rPr>
          <w:rFonts w:hint="eastAsia" w:ascii="仿宋" w:hAnsi="仿宋" w:eastAsia="仿宋" w:cs="仿宋"/>
          <w:bCs/>
          <w:sz w:val="24"/>
          <w:u w:val="single"/>
          <w:lang w:val="en-US" w:eastAsia="zh-CN"/>
        </w:rPr>
        <w:t>10</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10:30</w:t>
      </w:r>
      <w:r>
        <w:rPr>
          <w:rFonts w:hint="eastAsia" w:ascii="仿宋" w:hAnsi="仿宋" w:eastAsia="仿宋" w:cs="仿宋"/>
          <w:bCs/>
          <w:sz w:val="24"/>
          <w:u w:val="single"/>
        </w:rPr>
        <w:t xml:space="preserve"> </w:t>
      </w:r>
      <w:r>
        <w:rPr>
          <w:rFonts w:hint="eastAsia" w:ascii="仿宋" w:hAnsi="仿宋" w:eastAsia="仿宋" w:cs="仿宋"/>
          <w:bCs/>
          <w:sz w:val="24"/>
        </w:rPr>
        <w:t>时整在耀华建设管理有限公司绍兴迪荡分公司（绍兴市越城区阳明北路80号滨江大厦C楼3楼9/10号）会议室开标，法定代表人或其授权代表必须出席开标会议。</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十、投标保证金：无</w:t>
      </w:r>
      <w:r>
        <w:rPr>
          <w:rFonts w:hint="eastAsia" w:ascii="仿宋" w:hAnsi="仿宋" w:eastAsia="仿宋" w:cs="仿宋"/>
          <w:bCs/>
          <w:sz w:val="24"/>
        </w:rPr>
        <w:t>。</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十一、招标公告发布：</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十二、公告有效期：</w:t>
      </w:r>
      <w:r>
        <w:rPr>
          <w:rFonts w:hint="eastAsia" w:ascii="仿宋" w:hAnsi="仿宋" w:eastAsia="仿宋" w:cs="仿宋"/>
          <w:sz w:val="24"/>
        </w:rPr>
        <w:t>本公告发布之日起五个工作日</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十三、质疑和投诉：</w:t>
      </w:r>
    </w:p>
    <w:p>
      <w:pPr>
        <w:spacing w:line="440" w:lineRule="exact"/>
        <w:ind w:firstLine="480" w:firstLineChars="200"/>
        <w:rPr>
          <w:rFonts w:hint="eastAsia" w:ascii="仿宋" w:hAnsi="仿宋" w:eastAsia="仿宋" w:cs="仿宋"/>
          <w:b/>
          <w:bCs/>
          <w:sz w:val="24"/>
        </w:rPr>
      </w:pPr>
      <w:r>
        <w:rPr>
          <w:rFonts w:hint="eastAsia" w:ascii="仿宋" w:hAnsi="仿宋" w:eastAsia="仿宋" w:cs="仿宋"/>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w:t>
      </w:r>
      <w:r>
        <w:rPr>
          <w:rFonts w:hint="eastAsia" w:ascii="仿宋" w:hAnsi="仿宋" w:eastAsia="仿宋" w:cs="仿宋"/>
          <w:sz w:val="24"/>
          <w:lang w:eastAsia="zh-CN"/>
        </w:rPr>
        <w:t>陈芳芳</w:t>
      </w:r>
      <w:r>
        <w:rPr>
          <w:rFonts w:hint="eastAsia" w:ascii="仿宋" w:hAnsi="仿宋" w:eastAsia="仿宋" w:cs="仿宋"/>
          <w:sz w:val="24"/>
        </w:rPr>
        <w:t>；联系电话：0575-88776697。投诉受理地点：绍兴市财政局政府采购监管处（绍兴市凤林西路151号1402室）；联系人：应春兴；联系电话：0575-85209806。</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十四、联系方式：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耀华建设管理有限公司                        </w:t>
      </w:r>
      <w:r>
        <w:rPr>
          <w:rFonts w:hint="eastAsia" w:ascii="仿宋" w:hAnsi="仿宋" w:eastAsia="仿宋" w:cs="仿宋"/>
          <w:bCs/>
          <w:sz w:val="24"/>
          <w:lang w:eastAsia="zh-CN"/>
        </w:rPr>
        <w:t>陈芳芳</w:t>
      </w:r>
      <w:r>
        <w:rPr>
          <w:rFonts w:hint="eastAsia" w:ascii="仿宋" w:hAnsi="仿宋" w:eastAsia="仿宋" w:cs="仿宋"/>
          <w:bCs/>
          <w:sz w:val="24"/>
        </w:rPr>
        <w:t xml:space="preserve"> 0575-88776697</w:t>
      </w:r>
    </w:p>
    <w:p>
      <w:pPr>
        <w:spacing w:line="440" w:lineRule="exact"/>
        <w:ind w:firstLine="480" w:firstLineChars="200"/>
        <w:outlineLvl w:val="0"/>
        <w:rPr>
          <w:rFonts w:hint="eastAsia" w:ascii="仿宋" w:hAnsi="仿宋" w:eastAsia="仿宋" w:cs="仿宋"/>
          <w:sz w:val="24"/>
          <w:lang w:val="en-US" w:eastAsia="zh-CN"/>
        </w:rPr>
      </w:pPr>
      <w:r>
        <w:rPr>
          <w:rFonts w:hint="eastAsia" w:ascii="仿宋" w:hAnsi="仿宋" w:eastAsia="仿宋" w:cs="仿宋"/>
          <w:sz w:val="24"/>
          <w:lang w:eastAsia="zh-CN"/>
        </w:rPr>
        <w:t>绍兴市公安局</w:t>
      </w:r>
      <w:r>
        <w:rPr>
          <w:rFonts w:hint="eastAsia" w:ascii="仿宋" w:hAnsi="仿宋" w:eastAsia="仿宋" w:cs="仿宋"/>
          <w:sz w:val="24"/>
        </w:rPr>
        <w:t xml:space="preserve">                            </w:t>
      </w:r>
      <w:r>
        <w:rPr>
          <w:rFonts w:hint="eastAsia" w:ascii="仿宋" w:hAnsi="仿宋" w:eastAsia="仿宋" w:cs="仿宋"/>
          <w:sz w:val="24"/>
          <w:lang w:val="en-US" w:eastAsia="zh-CN"/>
        </w:rPr>
        <w:t xml:space="preserve">    斯钜军 13867578819</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十五、供应商注册：</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rPr>
          <w:rFonts w:hint="eastAsia" w:ascii="仿宋" w:hAnsi="仿宋" w:eastAsia="仿宋" w:cs="仿宋"/>
          <w:bCs/>
          <w:sz w:val="24"/>
        </w:rPr>
      </w:pPr>
    </w:p>
    <w:p>
      <w:pPr>
        <w:spacing w:line="440" w:lineRule="exact"/>
        <w:ind w:firstLine="540" w:firstLineChars="225"/>
        <w:rPr>
          <w:rFonts w:hint="eastAsia" w:ascii="仿宋" w:hAnsi="仿宋" w:eastAsia="仿宋" w:cs="仿宋"/>
          <w:bCs/>
          <w:sz w:val="24"/>
        </w:rPr>
      </w:pPr>
    </w:p>
    <w:p>
      <w:pPr>
        <w:spacing w:line="440" w:lineRule="exact"/>
        <w:ind w:firstLine="540" w:firstLineChars="225"/>
        <w:jc w:val="right"/>
        <w:rPr>
          <w:rFonts w:hint="eastAsia" w:ascii="仿宋" w:hAnsi="仿宋" w:eastAsia="仿宋" w:cs="仿宋"/>
          <w:bCs/>
          <w:sz w:val="24"/>
          <w:lang w:eastAsia="zh-CN"/>
        </w:rPr>
      </w:pPr>
      <w:r>
        <w:rPr>
          <w:rFonts w:hint="eastAsia" w:ascii="仿宋" w:hAnsi="仿宋" w:eastAsia="仿宋" w:cs="仿宋"/>
          <w:bCs/>
          <w:sz w:val="24"/>
        </w:rPr>
        <w:t>　</w:t>
      </w:r>
      <w:r>
        <w:rPr>
          <w:rFonts w:hint="eastAsia" w:ascii="仿宋" w:hAnsi="仿宋" w:eastAsia="仿宋" w:cs="仿宋"/>
          <w:bCs/>
          <w:sz w:val="24"/>
          <w:lang w:eastAsia="zh-CN"/>
        </w:rPr>
        <w:t>绍兴市公安局</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　　　　　　　    2019年</w:t>
      </w:r>
      <w:r>
        <w:rPr>
          <w:rFonts w:hint="eastAsia" w:ascii="仿宋" w:hAnsi="仿宋" w:eastAsia="仿宋" w:cs="仿宋"/>
          <w:bCs/>
          <w:sz w:val="24"/>
          <w:lang w:val="en-US" w:eastAsia="zh-CN"/>
        </w:rPr>
        <w:t>9</w:t>
      </w:r>
      <w:r>
        <w:rPr>
          <w:rFonts w:hint="eastAsia" w:ascii="仿宋" w:hAnsi="仿宋" w:eastAsia="仿宋" w:cs="仿宋"/>
          <w:bCs/>
          <w:sz w:val="24"/>
        </w:rPr>
        <w:t>月</w:t>
      </w:r>
    </w:p>
    <w:p>
      <w:pPr>
        <w:spacing w:line="440" w:lineRule="exact"/>
        <w:ind w:firstLine="540" w:firstLineChars="225"/>
        <w:rPr>
          <w:rFonts w:ascii="??_GB2312" w:hAnsi="新宋体" w:cs="Arial"/>
          <w:sz w:val="24"/>
        </w:rPr>
      </w:pPr>
    </w:p>
    <w:p>
      <w:pPr>
        <w:spacing w:line="440" w:lineRule="exact"/>
        <w:ind w:right="-78" w:rightChars="-37"/>
        <w:rPr>
          <w:rFonts w:ascii="??_GB2312" w:eastAsia="Times New Roman"/>
          <w:sz w:val="24"/>
        </w:rPr>
      </w:pPr>
    </w:p>
    <w:p>
      <w:pPr>
        <w:ind w:left="238"/>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897" w:type="dxa"/>
            <w:vAlign w:val="center"/>
          </w:tcPr>
          <w:p>
            <w:pPr>
              <w:spacing w:before="120" w:beforeLines="50" w:after="72" w:afterLines="30" w:line="300" w:lineRule="exact"/>
              <w:jc w:val="center"/>
              <w:rPr>
                <w:rFonts w:ascii="仿宋" w:hAnsi="仿宋" w:eastAsia="仿宋" w:cs="仿宋"/>
                <w:sz w:val="24"/>
              </w:rPr>
            </w:pPr>
            <w:r>
              <w:rPr>
                <w:rFonts w:hint="eastAsia" w:ascii="仿宋" w:hAnsi="仿宋" w:eastAsia="仿宋" w:cs="仿宋"/>
                <w:sz w:val="24"/>
              </w:rPr>
              <w:t>序号</w:t>
            </w:r>
          </w:p>
        </w:tc>
        <w:tc>
          <w:tcPr>
            <w:tcW w:w="8643" w:type="dxa"/>
            <w:vAlign w:val="center"/>
          </w:tcPr>
          <w:p>
            <w:pPr>
              <w:spacing w:before="120" w:beforeLines="50" w:after="72"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897" w:type="dxa"/>
            <w:vAlign w:val="center"/>
          </w:tcPr>
          <w:p>
            <w:pPr>
              <w:spacing w:line="340" w:lineRule="exact"/>
              <w:jc w:val="center"/>
              <w:rPr>
                <w:rFonts w:ascii="仿宋" w:hAnsi="仿宋" w:eastAsia="仿宋" w:cs="仿宋"/>
                <w:sz w:val="24"/>
              </w:rPr>
            </w:pPr>
            <w:r>
              <w:rPr>
                <w:rFonts w:hint="eastAsia" w:ascii="仿宋_GB2312" w:hAnsi="宋体" w:eastAsia="仿宋_GB2312"/>
                <w:sz w:val="24"/>
              </w:rPr>
              <w:t>1</w:t>
            </w:r>
          </w:p>
        </w:tc>
        <w:tc>
          <w:tcPr>
            <w:tcW w:w="8643" w:type="dxa"/>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1</w:t>
            </w:r>
            <w:r>
              <w:rPr>
                <w:rFonts w:hint="eastAsia" w:ascii="仿宋_GB2312" w:hAnsi="仿宋_GB2312" w:eastAsia="仿宋_GB2312" w:cs="仿宋_GB2312"/>
                <w:b/>
                <w:sz w:val="24"/>
              </w:rPr>
              <w:t>）相关证明文件：</w:t>
            </w:r>
            <w:r>
              <w:rPr>
                <w:rFonts w:hint="eastAsia" w:ascii="仿宋_GB2312" w:hAnsi="仿宋_GB2312" w:eastAsia="仿宋_GB2312" w:cs="仿宋_GB2312"/>
                <w:sz w:val="24"/>
              </w:rPr>
              <w:t>营业执照</w:t>
            </w:r>
            <w:r>
              <w:rPr>
                <w:rFonts w:ascii="仿宋_GB2312" w:hAnsi="仿宋_GB2312" w:eastAsia="仿宋_GB2312" w:cs="仿宋_GB2312"/>
                <w:sz w:val="24"/>
              </w:rPr>
              <w:t>(</w:t>
            </w:r>
            <w:r>
              <w:rPr>
                <w:rFonts w:hint="eastAsia" w:ascii="仿宋_GB2312" w:hAnsi="仿宋_GB2312" w:eastAsia="仿宋_GB2312" w:cs="仿宋_GB2312"/>
                <w:sz w:val="24"/>
              </w:rPr>
              <w:t>或事业法人登记证或其他工商等登记证明材料</w:t>
            </w:r>
            <w:r>
              <w:rPr>
                <w:rFonts w:ascii="仿宋_GB2312" w:hAnsi="仿宋_GB2312" w:eastAsia="仿宋_GB2312" w:cs="仿宋_GB2312"/>
                <w:sz w:val="24"/>
              </w:rPr>
              <w:t>)</w:t>
            </w:r>
            <w:r>
              <w:rPr>
                <w:rFonts w:hint="eastAsia" w:ascii="仿宋_GB2312" w:hAnsi="仿宋_GB2312" w:eastAsia="仿宋_GB2312" w:cs="仿宋_GB2312"/>
                <w:sz w:val="24"/>
              </w:rPr>
              <w:t>复印件、</w:t>
            </w:r>
            <w:r>
              <w:rPr>
                <w:rFonts w:ascii="仿宋_GB2312" w:hAnsi="仿宋_GB2312" w:eastAsia="仿宋_GB2312" w:cs="仿宋_GB2312"/>
                <w:sz w:val="24"/>
              </w:rPr>
              <w:t>2018</w:t>
            </w:r>
            <w:r>
              <w:rPr>
                <w:rFonts w:hint="eastAsia" w:ascii="仿宋_GB2312" w:hAnsi="仿宋_GB2312" w:eastAsia="仿宋_GB2312" w:cs="仿宋_GB2312"/>
                <w:sz w:val="24"/>
              </w:rPr>
              <w:t>年度资产负债表等财务报表资料文件</w:t>
            </w:r>
            <w:r>
              <w:rPr>
                <w:rFonts w:ascii="仿宋_GB2312" w:hAnsi="仿宋_GB2312" w:eastAsia="仿宋_GB2312" w:cs="仿宋_GB2312"/>
                <w:sz w:val="24"/>
              </w:rPr>
              <w:t>(</w:t>
            </w:r>
            <w:r>
              <w:rPr>
                <w:rFonts w:hint="eastAsia" w:ascii="仿宋_GB2312" w:hAnsi="仿宋_GB2312" w:eastAsia="仿宋_GB2312" w:cs="仿宋_GB2312"/>
                <w:sz w:val="24"/>
              </w:rPr>
              <w:t>新成立的公司提供情况说明</w:t>
            </w:r>
            <w:r>
              <w:rPr>
                <w:rFonts w:ascii="仿宋_GB2312" w:hAnsi="仿宋_GB2312" w:eastAsia="仿宋_GB2312" w:cs="仿宋_GB2312"/>
                <w:sz w:val="24"/>
              </w:rPr>
              <w:t>)</w:t>
            </w:r>
            <w:r>
              <w:rPr>
                <w:rFonts w:hint="eastAsia" w:ascii="仿宋_GB2312" w:hAnsi="仿宋_GB2312" w:eastAsia="仿宋_GB2312" w:cs="仿宋_GB2312"/>
                <w:sz w:val="24"/>
              </w:rPr>
              <w:t>、参加政府采购活动前三年内，在经营活动中没有重大违法记录的声明（详见格式范例）。</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2</w:t>
            </w:r>
            <w:r>
              <w:rPr>
                <w:rFonts w:hint="eastAsia" w:ascii="仿宋_GB2312" w:hAnsi="仿宋_GB2312" w:eastAsia="仿宋_GB2312" w:cs="仿宋_GB2312"/>
                <w:b/>
                <w:sz w:val="24"/>
              </w:rPr>
              <w:t>）符合性审查要求的资信证明文件（如果有）：</w:t>
            </w:r>
          </w:p>
          <w:p>
            <w:pPr>
              <w:snapToGrid w:val="0"/>
              <w:spacing w:line="440" w:lineRule="exact"/>
              <w:rPr>
                <w:rFonts w:ascii="仿宋_GB2312" w:hAnsi="仿宋_GB2312" w:eastAsia="仿宋_GB2312" w:cs="仿宋_GB2312"/>
                <w:sz w:val="24"/>
                <w:u w:val="single"/>
              </w:rPr>
            </w:pPr>
            <w:r>
              <w:rPr>
                <w:rFonts w:hint="eastAsia" w:ascii="仿宋_GB2312" w:hAnsi="仿宋_GB2312" w:eastAsia="仿宋_GB2312" w:cs="仿宋_GB2312"/>
                <w:b/>
                <w:sz w:val="24"/>
              </w:rPr>
              <w:t>（</w:t>
            </w:r>
            <w:r>
              <w:rPr>
                <w:rFonts w:ascii="仿宋_GB2312" w:hAnsi="仿宋_GB2312" w:eastAsia="仿宋_GB2312" w:cs="仿宋_GB2312"/>
                <w:b/>
                <w:sz w:val="24"/>
              </w:rPr>
              <w:t>3</w:t>
            </w:r>
            <w:r>
              <w:rPr>
                <w:rFonts w:hint="eastAsia" w:ascii="仿宋_GB2312" w:hAnsi="仿宋_GB2312" w:eastAsia="仿宋_GB2312" w:cs="仿宋_GB2312"/>
                <w:b/>
                <w:sz w:val="24"/>
              </w:rPr>
              <w:t>）特许资格、资信证明文件（如果有）：</w:t>
            </w:r>
          </w:p>
          <w:p>
            <w:pPr>
              <w:spacing w:line="440" w:lineRule="exact"/>
              <w:ind w:firstLine="480" w:firstLineChars="200"/>
              <w:rPr>
                <w:rFonts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97"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2</w:t>
            </w:r>
          </w:p>
        </w:tc>
        <w:tc>
          <w:tcPr>
            <w:tcW w:w="8643" w:type="dxa"/>
            <w:vAlign w:val="center"/>
          </w:tcPr>
          <w:p>
            <w:pPr>
              <w:spacing w:line="440" w:lineRule="exact"/>
              <w:rPr>
                <w:rFonts w:ascii="仿宋" w:hAnsi="仿宋" w:eastAsia="仿宋" w:cs="仿宋"/>
                <w:b/>
                <w:sz w:val="24"/>
              </w:rPr>
            </w:pPr>
            <w:r>
              <w:rPr>
                <w:rFonts w:hint="eastAsia" w:ascii="仿宋" w:hAnsi="仿宋" w:eastAsia="仿宋" w:cs="仿宋"/>
                <w:b/>
                <w:sz w:val="24"/>
              </w:rPr>
              <w:t>投标有效期：</w:t>
            </w:r>
            <w:r>
              <w:rPr>
                <w:rFonts w:hint="eastAsia" w:ascii="仿宋" w:hAnsi="仿宋" w:eastAsia="仿宋" w:cs="仿宋"/>
                <w:bCs/>
                <w:sz w:val="24"/>
              </w:rPr>
              <w:t>投标有效期为从提交投标文件的截止之日起90天。</w:t>
            </w:r>
          </w:p>
          <w:p>
            <w:pPr>
              <w:spacing w:line="440" w:lineRule="exact"/>
              <w:rPr>
                <w:rFonts w:ascii="仿宋_GB2312" w:hAnsi="仿宋_GB2312" w:eastAsia="仿宋_GB2312" w:cs="仿宋_GB2312"/>
                <w:sz w:val="24"/>
              </w:rPr>
            </w:pPr>
            <w:r>
              <w:rPr>
                <w:rFonts w:hint="eastAsia" w:ascii="仿宋" w:hAnsi="仿宋" w:eastAsia="仿宋" w:cs="仿宋"/>
                <w:b/>
                <w:sz w:val="24"/>
              </w:rPr>
              <w:t>▲投标人的投标文件中承诺的投标有效期少于招标文件中载明的投标有效期的，投标无效。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97"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3</w:t>
            </w:r>
          </w:p>
        </w:tc>
        <w:tc>
          <w:tcPr>
            <w:tcW w:w="8643" w:type="dxa"/>
            <w:vAlign w:val="center"/>
          </w:tcPr>
          <w:p>
            <w:pPr>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
                <w:sz w:val="24"/>
              </w:rPr>
              <w:t>分包或转包：</w:t>
            </w:r>
            <w:r>
              <w:rPr>
                <w:rFonts w:hint="eastAsia" w:ascii="仿宋_GB2312" w:hAnsi="仿宋_GB2312" w:eastAsia="仿宋_GB2312" w:cs="仿宋_GB2312"/>
                <w:bCs/>
                <w:sz w:val="24"/>
              </w:rPr>
              <w:t>（1）采购人不同意分包。</w:t>
            </w:r>
          </w:p>
          <w:p>
            <w:pPr>
              <w:snapToGrid w:val="0"/>
              <w:spacing w:line="440" w:lineRule="exact"/>
              <w:ind w:firstLine="1440" w:firstLineChars="600"/>
              <w:rPr>
                <w:rFonts w:ascii="仿宋_GB2312" w:hAnsi="仿宋_GB2312" w:eastAsia="仿宋_GB2312" w:cs="仿宋_GB2312"/>
                <w:sz w:val="24"/>
              </w:rPr>
            </w:pPr>
            <w:r>
              <w:rPr>
                <w:rFonts w:hint="eastAsia" w:ascii="仿宋_GB2312" w:hAnsi="仿宋_GB2312" w:eastAsia="仿宋_GB2312" w:cs="仿宋_GB2312"/>
                <w:bCs/>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643"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p>
            <w:pPr>
              <w:autoSpaceDE w:val="0"/>
              <w:autoSpaceDN w:val="0"/>
              <w:spacing w:line="340" w:lineRule="exact"/>
              <w:textAlignment w:val="bottom"/>
              <w:rPr>
                <w:rFonts w:ascii="仿宋" w:hAnsi="仿宋" w:eastAsia="仿宋" w:cs="仿宋"/>
                <w:sz w:val="24"/>
              </w:rPr>
            </w:pPr>
            <w:r>
              <w:rPr>
                <w:rFonts w:hint="eastAsia" w:ascii="仿宋_GB2312" w:hAnsi="宋体" w:eastAsia="仿宋_GB2312"/>
                <w:b/>
                <w:bCs/>
                <w:sz w:val="24"/>
              </w:rPr>
              <w:t>商务文件资料、技术文件资料必须单独封装。</w:t>
            </w:r>
          </w:p>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643"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开标前答疑会或现场考察：</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样品提供：</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现场演示(讲解)：</w:t>
            </w:r>
            <w:r>
              <w:rPr>
                <w:rFonts w:hint="eastAsia" w:ascii="仿宋" w:hAnsi="仿宋" w:eastAsia="仿宋" w:cs="仿宋"/>
                <w:bCs/>
                <w:sz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进口产品：</w:t>
            </w:r>
            <w:r>
              <w:rPr>
                <w:rFonts w:hint="eastAsia" w:ascii="仿宋" w:hAnsi="仿宋" w:eastAsia="仿宋" w:cs="仿宋"/>
                <w:bCs/>
                <w:sz w:val="24"/>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643" w:type="dxa"/>
            <w:vAlign w:val="center"/>
          </w:tcPr>
          <w:p>
            <w:pPr>
              <w:snapToGrid w:val="0"/>
              <w:rPr>
                <w:rFonts w:ascii="仿宋" w:hAnsi="仿宋" w:eastAsia="仿宋" w:cs="仿宋"/>
                <w:b/>
                <w:sz w:val="24"/>
              </w:rPr>
            </w:pPr>
            <w:r>
              <w:rPr>
                <w:rFonts w:hint="eastAsia" w:ascii="仿宋" w:hAnsi="仿宋" w:eastAsia="仿宋" w:cs="仿宋"/>
                <w:b/>
                <w:sz w:val="24"/>
              </w:rPr>
              <w:t>投标人信用信息事项</w:t>
            </w:r>
          </w:p>
          <w:p>
            <w:pPr>
              <w:snapToGrid w:val="0"/>
              <w:rPr>
                <w:rFonts w:ascii="仿宋" w:hAnsi="仿宋" w:eastAsia="仿宋" w:cs="仿宋"/>
                <w:sz w:val="24"/>
              </w:rPr>
            </w:pPr>
            <w:r>
              <w:rPr>
                <w:rFonts w:ascii="仿宋" w:hAnsi="仿宋" w:eastAsia="仿宋" w:cs="仿宋"/>
                <w:b/>
                <w:sz w:val="24"/>
              </w:rPr>
              <w:t>1.</w:t>
            </w:r>
            <w:r>
              <w:rPr>
                <w:rFonts w:hint="eastAsia" w:ascii="仿宋" w:hAnsi="仿宋" w:eastAsia="仿宋" w:cs="仿宋"/>
                <w:b/>
                <w:sz w:val="24"/>
              </w:rPr>
              <w:t>信用信息查询渠道及截止时间：</w:t>
            </w:r>
            <w:r>
              <w:rPr>
                <w:rFonts w:hint="eastAsia" w:ascii="仿宋" w:hAnsi="仿宋" w:eastAsia="仿宋" w:cs="仿宋"/>
                <w:sz w:val="24"/>
              </w:rPr>
              <w:t>项目评审组织人员将通过“信用中国”网站</w:t>
            </w:r>
            <w:r>
              <w:rPr>
                <w:rFonts w:ascii="仿宋" w:hAnsi="仿宋" w:eastAsia="仿宋" w:cs="仿宋"/>
                <w:sz w:val="24"/>
              </w:rPr>
              <w:t>(www.creditchina.gov.cn)</w:t>
            </w:r>
            <w:r>
              <w:rPr>
                <w:rFonts w:hint="eastAsia" w:ascii="仿宋" w:hAnsi="仿宋" w:eastAsia="仿宋" w:cs="仿宋"/>
                <w:sz w:val="24"/>
              </w:rPr>
              <w:t>、中国政府采购网</w:t>
            </w:r>
            <w:r>
              <w:rPr>
                <w:rFonts w:ascii="仿宋" w:hAnsi="仿宋" w:eastAsia="仿宋" w:cs="仿宋"/>
                <w:sz w:val="24"/>
              </w:rPr>
              <w:t>(www.ccgp.gov.cn)</w:t>
            </w:r>
            <w:r>
              <w:rPr>
                <w:rFonts w:hint="eastAsia" w:ascii="仿宋" w:hAnsi="仿宋" w:eastAsia="仿宋" w:cs="仿宋"/>
                <w:sz w:val="24"/>
              </w:rPr>
              <w:t>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rPr>
                <w:rFonts w:ascii="仿宋" w:hAnsi="仿宋" w:eastAsia="仿宋" w:cs="仿宋"/>
                <w:sz w:val="24"/>
              </w:rPr>
            </w:pPr>
            <w:r>
              <w:rPr>
                <w:rFonts w:ascii="仿宋" w:hAnsi="仿宋" w:eastAsia="仿宋" w:cs="仿宋"/>
                <w:b/>
                <w:sz w:val="24"/>
              </w:rPr>
              <w:t>2.</w:t>
            </w:r>
            <w:r>
              <w:rPr>
                <w:rFonts w:hint="eastAsia" w:ascii="仿宋" w:hAnsi="仿宋" w:eastAsia="仿宋" w:cs="仿宋"/>
                <w:b/>
                <w:sz w:val="24"/>
              </w:rPr>
              <w:t>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340" w:lineRule="exact"/>
              <w:rPr>
                <w:rFonts w:ascii="仿宋" w:hAnsi="仿宋" w:eastAsia="仿宋" w:cs="仿宋"/>
                <w:sz w:val="24"/>
              </w:rPr>
            </w:pPr>
            <w:r>
              <w:rPr>
                <w:rFonts w:ascii="仿宋" w:hAnsi="仿宋" w:eastAsia="仿宋" w:cs="仿宋"/>
                <w:b/>
                <w:sz w:val="24"/>
              </w:rPr>
              <w:t>3.</w:t>
            </w: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10</w:t>
            </w:r>
          </w:p>
        </w:tc>
        <w:tc>
          <w:tcPr>
            <w:tcW w:w="8643" w:type="dxa"/>
            <w:vAlign w:val="center"/>
          </w:tcPr>
          <w:p>
            <w:pPr>
              <w:spacing w:line="340" w:lineRule="exact"/>
              <w:rPr>
                <w:rFonts w:ascii="仿宋" w:hAnsi="仿宋" w:eastAsia="仿宋" w:cs="仿宋"/>
                <w:b/>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97" w:type="dxa"/>
            <w:vAlign w:val="center"/>
          </w:tcPr>
          <w:p>
            <w:pPr>
              <w:spacing w:line="340" w:lineRule="exact"/>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1</w:t>
            </w:r>
          </w:p>
        </w:tc>
        <w:tc>
          <w:tcPr>
            <w:tcW w:w="8643" w:type="dxa"/>
            <w:vAlign w:val="center"/>
          </w:tcPr>
          <w:p>
            <w:pPr>
              <w:rPr>
                <w:rFonts w:ascii="仿宋" w:hAnsi="仿宋" w:eastAsia="仿宋" w:cs="仿宋"/>
                <w:sz w:val="24"/>
              </w:rPr>
            </w:pPr>
            <w:r>
              <w:rPr>
                <w:rFonts w:hint="eastAsia" w:ascii="仿宋" w:hAnsi="仿宋" w:eastAsia="仿宋" w:cs="仿宋"/>
                <w:sz w:val="24"/>
              </w:rPr>
              <w:t>其他：中标服务费</w:t>
            </w:r>
          </w:p>
          <w:p>
            <w:pPr>
              <w:rPr>
                <w:rFonts w:hint="eastAsia" w:ascii="仿宋" w:hAnsi="仿宋" w:eastAsia="仿宋" w:cs="仿宋"/>
                <w:sz w:val="24"/>
              </w:rPr>
            </w:pPr>
            <w:r>
              <w:rPr>
                <w:rFonts w:hint="eastAsia" w:ascii="仿宋" w:hAnsi="仿宋" w:eastAsia="仿宋" w:cs="仿宋"/>
                <w:sz w:val="24"/>
              </w:rPr>
              <w:t>（1）收费标准：以中标通知中确定的中标总金额作为服务费的计算基数，收费标准参照《国家计委关于印发&lt;招标代理服务费管理暂行办法&gt;的通知》（计价格[2002]1980号）。</w:t>
            </w:r>
          </w:p>
          <w:p>
            <w:pPr>
              <w:rPr>
                <w:rFonts w:hint="eastAsia" w:ascii="仿宋" w:hAnsi="仿宋" w:eastAsia="仿宋" w:cs="仿宋"/>
                <w:sz w:val="24"/>
                <w:lang w:val="en-US" w:eastAsia="zh-CN"/>
              </w:rPr>
            </w:pPr>
            <w:r>
              <w:rPr>
                <w:rFonts w:hint="eastAsia" w:ascii="仿宋" w:hAnsi="仿宋" w:eastAsia="仿宋" w:cs="仿宋"/>
                <w:sz w:val="24"/>
              </w:rPr>
              <w:t>收费标准：中标金额在100万以下部分为1.5%，服务费不足5000元的，中标人须向招标代理机构交纳5000元。</w:t>
            </w:r>
          </w:p>
          <w:p>
            <w:pPr>
              <w:rPr>
                <w:rFonts w:hint="eastAsia" w:ascii="仿宋" w:hAnsi="仿宋" w:eastAsia="仿宋" w:cs="仿宋"/>
                <w:sz w:val="24"/>
              </w:rPr>
            </w:pPr>
            <w:r>
              <w:rPr>
                <w:rFonts w:hint="eastAsia" w:ascii="仿宋" w:hAnsi="仿宋" w:eastAsia="仿宋" w:cs="仿宋"/>
                <w:sz w:val="24"/>
              </w:rPr>
              <w:t>（2）本次招标评审所产生的评审费用由中标单位支付（备注：评审费不提供发票，只提供评委签收单据）。</w:t>
            </w:r>
          </w:p>
          <w:p>
            <w:pPr>
              <w:rPr>
                <w:rFonts w:ascii="仿宋" w:hAnsi="仿宋" w:eastAsia="仿宋" w:cs="仿宋"/>
                <w:sz w:val="24"/>
              </w:rPr>
            </w:pPr>
            <w:r>
              <w:rPr>
                <w:rFonts w:hint="eastAsia" w:ascii="仿宋" w:hAnsi="仿宋" w:eastAsia="仿宋" w:cs="仿宋"/>
                <w:sz w:val="24"/>
              </w:rPr>
              <w:t>中标服务费的交纳方式：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rPr>
                <w:rFonts w:ascii="仿宋" w:hAnsi="仿宋" w:eastAsia="仿宋" w:cs="仿宋"/>
                <w:sz w:val="24"/>
              </w:rPr>
            </w:pPr>
            <w:r>
              <w:rPr>
                <w:rFonts w:hint="eastAsia" w:ascii="仿宋" w:hAnsi="仿宋" w:eastAsia="仿宋" w:cs="仿宋"/>
                <w:sz w:val="24"/>
              </w:rPr>
              <w:t>公司名称：耀华建设管理有限公司绍兴迪荡分公司</w:t>
            </w:r>
          </w:p>
          <w:p>
            <w:pPr>
              <w:rPr>
                <w:rFonts w:ascii="仿宋" w:hAnsi="仿宋" w:eastAsia="仿宋" w:cs="仿宋"/>
                <w:sz w:val="24"/>
              </w:rPr>
            </w:pPr>
            <w:r>
              <w:rPr>
                <w:rFonts w:hint="eastAsia" w:ascii="仿宋" w:hAnsi="仿宋" w:eastAsia="仿宋" w:cs="仿宋"/>
                <w:sz w:val="24"/>
              </w:rPr>
              <w:t>账    号：336006190018819003083</w:t>
            </w:r>
          </w:p>
          <w:p>
            <w:pPr>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12</w:t>
            </w:r>
          </w:p>
        </w:tc>
        <w:tc>
          <w:tcPr>
            <w:tcW w:w="8643" w:type="dxa"/>
            <w:vAlign w:val="center"/>
          </w:tcPr>
          <w:p>
            <w:pPr>
              <w:spacing w:line="340" w:lineRule="exact"/>
              <w:rPr>
                <w:rFonts w:ascii="仿宋" w:hAnsi="仿宋" w:eastAsia="仿宋" w:cs="仿宋"/>
                <w:sz w:val="24"/>
              </w:rPr>
            </w:pPr>
            <w:r>
              <w:rPr>
                <w:rFonts w:hint="eastAsia" w:ascii="仿宋" w:hAnsi="仿宋" w:eastAsia="仿宋" w:cs="仿宋"/>
                <w:b/>
                <w:sz w:val="24"/>
              </w:rPr>
              <w:t>注：中标人放弃中标资格或因质疑、投诉被取消中标资格或不能履行合同的，本项目重新组织采购。</w:t>
            </w:r>
          </w:p>
        </w:tc>
      </w:tr>
    </w:tbl>
    <w:p>
      <w:pPr>
        <w:ind w:left="238"/>
        <w:jc w:val="center"/>
        <w:rPr>
          <w:rFonts w:ascii="仿宋" w:hAnsi="仿宋" w:eastAsia="仿宋" w:cs="仿宋"/>
          <w:sz w:val="24"/>
        </w:rPr>
      </w:pPr>
    </w:p>
    <w:p>
      <w:pPr>
        <w:pStyle w:val="20"/>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20"/>
        <w:tabs>
          <w:tab w:val="left" w:pos="993"/>
          <w:tab w:val="left" w:pos="1260"/>
        </w:tabs>
        <w:spacing w:afterLines="0" w:line="560" w:lineRule="exact"/>
        <w:ind w:left="358"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snapToGrid w:val="0"/>
        <w:spacing w:line="288" w:lineRule="auto"/>
        <w:jc w:val="center"/>
        <w:rPr>
          <w:rFonts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 项目说明</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1.1本招标文件适用于该项目的招标、投标、开标、资格审查及信用信息查询、评标、定标、合同、验收等行为（法律、法规另有规定的，从其规定）。</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1.2投标人一旦参与本次招标活动，即被视为接受了本招标文件的所有内容，如有任何异议，均应在法定时间内提出。</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1.4本招标文件所称公章是指单位法定名称章或者冠以法定名称的投标业务专用章。</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定义</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2.1政府采购当事人及监管部门：</w:t>
      </w:r>
      <w:r>
        <w:rPr>
          <w:rFonts w:hint="eastAsia" w:ascii="仿宋" w:hAnsi="仿宋" w:eastAsia="仿宋" w:cs="仿宋"/>
          <w:sz w:val="24"/>
          <w:lang w:eastAsia="zh-CN"/>
        </w:rPr>
        <w:t>绍兴市公安局</w:t>
      </w:r>
      <w:r>
        <w:rPr>
          <w:rFonts w:hint="eastAsia" w:ascii="仿宋" w:hAnsi="仿宋" w:eastAsia="仿宋" w:cs="仿宋"/>
          <w:color w:val="000000" w:themeColor="text1"/>
          <w:sz w:val="24"/>
          <w14:textFill>
            <w14:solidFill>
              <w14:schemeClr w14:val="tx1"/>
            </w14:solidFill>
          </w14:textFill>
        </w:rPr>
        <w:t>为本项目的采购人（合同中的甲方），耀华建设管理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2.3“产品”系指供方按招标文件规定，经合法途径取得的，须向采购人提供的一切产品、保险、税金、安装、施工、调试、备品备件、工具、手册及其它有关技术资料和材料。</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2.4“服务”系指招标文件规定投标人须承担的安装、调试、技术协助、校准、培训、技术指导以及其他类似的义务。</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2.5“项目”系指投标人按招标文件规定向采购人提供的产品和服务。</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2.6“授权代表”系指法定代表人的被授权委托人。</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2.7“★”系指实质性指标要求条款，“▲” 系指主要性能指标条款。</w:t>
      </w:r>
    </w:p>
    <w:p>
      <w:pPr>
        <w:spacing w:line="288"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b/>
          <w:color w:val="000000" w:themeColor="text1"/>
          <w:sz w:val="24"/>
          <w14:textFill>
            <w14:solidFill>
              <w14:schemeClr w14:val="tx1"/>
            </w14:solidFill>
          </w14:textFill>
        </w:rPr>
        <w:t>采购项目需要落实的政府采购政策</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节能环保要求</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88"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w:t>
      </w:r>
      <w:r>
        <w:rPr>
          <w:rFonts w:hint="eastAsia" w:ascii="仿宋" w:hAnsi="仿宋" w:eastAsia="仿宋" w:cs="仿宋"/>
          <w:b/>
          <w:color w:val="000000" w:themeColor="text1"/>
          <w:sz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采购人拟采购的产品属于政府强制采购的节能产品品目清单范围的，投标人未按招标文件要求提供国家确定的认证机构出具的、处于有效期之内的节能产品认证证书，投标无效。</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w:t>
      </w:r>
      <w:r>
        <w:rPr>
          <w:rFonts w:hint="eastAsia" w:ascii="仿宋" w:hAnsi="仿宋" w:eastAsia="仿宋" w:cs="仿宋"/>
          <w:bCs/>
          <w:color w:val="000000" w:themeColor="text1"/>
          <w:sz w:val="24"/>
          <w14:textFill>
            <w14:solidFill>
              <w14:schemeClr w14:val="tx1"/>
            </w14:solidFill>
          </w14:textFill>
        </w:rPr>
        <w:t>小型、微型</w:t>
      </w:r>
      <w:r>
        <w:rPr>
          <w:rFonts w:hint="eastAsia" w:ascii="仿宋" w:hAnsi="仿宋" w:eastAsia="仿宋" w:cs="仿宋"/>
          <w:color w:val="000000" w:themeColor="text1"/>
          <w:sz w:val="24"/>
          <w14:textFill>
            <w14:solidFill>
              <w14:schemeClr w14:val="tx1"/>
            </w14:solidFill>
          </w14:textFill>
        </w:rPr>
        <w:t>企业价格扣除。</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w:t>
      </w:r>
      <w:r>
        <w:rPr>
          <w:rFonts w:hint="eastAsia" w:ascii="仿宋" w:hAnsi="仿宋" w:eastAsia="仿宋" w:cs="仿宋"/>
          <w:bCs/>
          <w:color w:val="000000" w:themeColor="text1"/>
          <w:sz w:val="24"/>
          <w14:textFill>
            <w14:solidFill>
              <w14:schemeClr w14:val="tx1"/>
            </w14:solidFill>
          </w14:textFill>
        </w:rPr>
        <w:t>小型、微型企业应当同时符合以下条件：</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（1）符合中小企业划分标准；</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r>
        <w:rPr>
          <w:rFonts w:hint="eastAsia" w:ascii="仿宋" w:hAnsi="仿宋" w:eastAsia="仿宋" w:cs="仿宋"/>
          <w:b/>
          <w:bCs/>
          <w:color w:val="000000" w:themeColor="text1"/>
          <w:sz w:val="24"/>
          <w14:textFill>
            <w14:solidFill>
              <w14:schemeClr w14:val="tx1"/>
            </w14:solidFill>
          </w14:textFill>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3.3.2小型、微型企业应按照招标文件格式要求提供《中小企业声明函》。</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3.3.3对于非专门面向此类企业的项目，对小型和微型企业产品的投标价格给予6 %的扣除，用扣除后的价格参与评审。</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联合体各方均为小型、微型企业的，联合体视同为小型、微型企业。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3.3.5符合《关于促进残疾人就业政府采购政策的通知》（财库〔2017〕141号）规定的条件并提供《残疾人福利性单位声明函》（附件1）的残疾人福利性单位视同小型、微型企业；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288" w:lineRule="auto"/>
        <w:jc w:val="left"/>
        <w:rPr>
          <w:rFonts w:ascii="仿宋" w:hAnsi="仿宋" w:eastAsia="仿宋" w:cs="仿宋"/>
          <w:b/>
          <w:sz w:val="24"/>
        </w:rPr>
      </w:pPr>
    </w:p>
    <w:p>
      <w:pPr>
        <w:snapToGrid w:val="0"/>
        <w:spacing w:line="288" w:lineRule="auto"/>
        <w:jc w:val="center"/>
        <w:rPr>
          <w:rFonts w:ascii="仿宋" w:hAnsi="仿宋" w:eastAsia="仿宋" w:cs="仿宋"/>
          <w:b/>
          <w:sz w:val="24"/>
        </w:rPr>
      </w:pPr>
      <w:r>
        <w:rPr>
          <w:rFonts w:hint="eastAsia" w:ascii="仿宋" w:hAnsi="仿宋" w:eastAsia="仿宋" w:cs="仿宋"/>
          <w:b/>
          <w:sz w:val="36"/>
          <w:szCs w:val="36"/>
        </w:rPr>
        <w:t>二、招标文件</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1．招标方式</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本次招标采用</w:t>
      </w:r>
      <w:r>
        <w:rPr>
          <w:rFonts w:hint="eastAsia" w:ascii="仿宋" w:hAnsi="仿宋" w:eastAsia="仿宋" w:cs="仿宋"/>
          <w:b/>
          <w:color w:val="000000" w:themeColor="text1"/>
          <w:kern w:val="0"/>
          <w:sz w:val="24"/>
          <w14:textFill>
            <w14:solidFill>
              <w14:schemeClr w14:val="tx1"/>
            </w14:solidFill>
          </w14:textFill>
        </w:rPr>
        <w:t>公开招标</w:t>
      </w:r>
      <w:r>
        <w:rPr>
          <w:rFonts w:hint="eastAsia" w:ascii="仿宋" w:hAnsi="仿宋" w:eastAsia="仿宋" w:cs="仿宋"/>
          <w:color w:val="000000" w:themeColor="text1"/>
          <w:sz w:val="24"/>
          <w14:textFill>
            <w14:solidFill>
              <w14:schemeClr w14:val="tx1"/>
            </w14:solidFill>
          </w14:textFill>
        </w:rPr>
        <w:t>方式进行。</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如某一标项投标人或实质性响应招标文件的投标人不足三家时，由采购人重新组织招标或按有关规定实施。</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 本次招标设定限价，即招标公告中公布的各标项预算金额或最高限价（各标项之间的预算金额不能互相调整）。</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投标委托</w:t>
      </w:r>
    </w:p>
    <w:p>
      <w:pPr>
        <w:pStyle w:val="12"/>
        <w:snapToGrid w:val="0"/>
        <w:spacing w:after="0" w:line="288" w:lineRule="auto"/>
        <w:ind w:left="0" w:leftChars="0" w:firstLine="480" w:firstLineChars="20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 投标费用</w:t>
      </w:r>
    </w:p>
    <w:p>
      <w:pPr>
        <w:pStyle w:val="8"/>
        <w:numPr>
          <w:ilvl w:val="0"/>
          <w:numId w:val="0"/>
        </w:num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 招标文件的修改</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4.1 </w:t>
      </w:r>
      <w:r>
        <w:rPr>
          <w:rFonts w:hint="eastAsia" w:ascii="仿宋" w:hAnsi="仿宋" w:eastAsia="仿宋" w:cs="仿宋"/>
          <w:bCs/>
          <w:color w:val="000000" w:themeColor="text1"/>
          <w:sz w:val="24"/>
          <w14:textFill>
            <w14:solidFill>
              <w14:schemeClr w14:val="tx1"/>
            </w14:solidFill>
          </w14:textFill>
        </w:rPr>
        <w:t>招标文件包括本招标文件及所有按6.2所述的招标答疑记录和6.3发出的补充通知</w:t>
      </w:r>
      <w:r>
        <w:rPr>
          <w:rFonts w:hint="eastAsia" w:ascii="仿宋" w:hAnsi="仿宋" w:eastAsia="仿宋" w:cs="仿宋"/>
          <w:color w:val="000000" w:themeColor="text1"/>
          <w:sz w:val="24"/>
          <w14:textFill>
            <w14:solidFill>
              <w14:schemeClr w14:val="tx1"/>
            </w14:solidFill>
          </w14:textFill>
        </w:rPr>
        <w:t>组成。</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4.2招标文件的澄清 </w:t>
      </w:r>
    </w:p>
    <w:p>
      <w:pPr>
        <w:pStyle w:val="8"/>
        <w:numPr>
          <w:ilvl w:val="0"/>
          <w:numId w:val="0"/>
        </w:num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4.3招标文件的修改</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5.参考品牌</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三、投标文件</w:t>
      </w:r>
    </w:p>
    <w:p>
      <w:pPr>
        <w:numPr>
          <w:ilvl w:val="0"/>
          <w:numId w:val="5"/>
        </w:numPr>
        <w:snapToGrid w:val="0"/>
        <w:spacing w:line="288" w:lineRule="auto"/>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288" w:lineRule="auto"/>
        <w:jc w:val="left"/>
        <w:rPr>
          <w:rFonts w:ascii="仿宋" w:hAnsi="仿宋" w:eastAsia="仿宋" w:cs="仿宋"/>
          <w:sz w:val="24"/>
        </w:rPr>
      </w:pPr>
      <w:r>
        <w:rPr>
          <w:rFonts w:hint="eastAsia" w:ascii="仿宋" w:hAnsi="仿宋" w:eastAsia="仿宋" w:cs="仿宋"/>
          <w:sz w:val="24"/>
        </w:rPr>
        <w:t>1.1投标人应仔细阅读招标文件中的所有内容，按照招标文件要求，详细编制投标文件，并保证投标文件的正确性和真实性。</w:t>
      </w:r>
    </w:p>
    <w:p>
      <w:pPr>
        <w:snapToGrid w:val="0"/>
        <w:spacing w:line="288" w:lineRule="auto"/>
        <w:jc w:val="left"/>
        <w:rPr>
          <w:rFonts w:ascii="仿宋" w:hAnsi="仿宋" w:eastAsia="仿宋" w:cs="仿宋"/>
          <w:sz w:val="24"/>
        </w:rPr>
      </w:pPr>
      <w:r>
        <w:rPr>
          <w:rFonts w:hint="eastAsia" w:ascii="仿宋" w:hAnsi="仿宋" w:eastAsia="仿宋" w:cs="仿宋"/>
          <w:sz w:val="24"/>
        </w:rPr>
        <w:t>1.2 投标文件以及投标方与招标方就有关投标事宜的所有来往函电，均应以中文书写（技术术语除外）。</w:t>
      </w:r>
    </w:p>
    <w:p>
      <w:pPr>
        <w:snapToGrid w:val="0"/>
        <w:spacing w:line="288" w:lineRule="auto"/>
        <w:jc w:val="left"/>
        <w:rPr>
          <w:rFonts w:ascii="仿宋" w:hAnsi="仿宋" w:eastAsia="仿宋" w:cs="仿宋"/>
          <w:sz w:val="24"/>
        </w:rPr>
      </w:pPr>
      <w:r>
        <w:rPr>
          <w:rFonts w:hint="eastAsia" w:ascii="仿宋" w:hAnsi="仿宋" w:eastAsia="仿宋" w:cs="仿宋"/>
          <w:sz w:val="24"/>
        </w:rPr>
        <w:t>1.3 投标计量单位，除招标文件中有特殊要求外，应采用中华人民共和国法定计量单位，货币单位：人民币元。</w:t>
      </w:r>
    </w:p>
    <w:p>
      <w:pPr>
        <w:snapToGrid w:val="0"/>
        <w:spacing w:line="288" w:lineRule="auto"/>
        <w:jc w:val="left"/>
        <w:rPr>
          <w:rFonts w:ascii="仿宋" w:hAnsi="仿宋" w:eastAsia="仿宋" w:cs="仿宋"/>
          <w:sz w:val="24"/>
        </w:rPr>
      </w:pPr>
      <w:r>
        <w:rPr>
          <w:rFonts w:hint="eastAsia" w:ascii="仿宋" w:hAnsi="仿宋" w:eastAsia="仿宋" w:cs="仿宋"/>
          <w:sz w:val="24"/>
        </w:rPr>
        <w:t>1.4不按招标文件的要求提供的投标文件可能导致被拒绝。</w:t>
      </w:r>
    </w:p>
    <w:p>
      <w:pPr>
        <w:snapToGrid w:val="0"/>
        <w:spacing w:line="288" w:lineRule="auto"/>
        <w:jc w:val="left"/>
        <w:rPr>
          <w:rFonts w:ascii="仿宋" w:hAnsi="仿宋" w:eastAsia="仿宋" w:cs="仿宋"/>
          <w:b/>
          <w:sz w:val="24"/>
        </w:rPr>
      </w:pPr>
      <w:r>
        <w:rPr>
          <w:rFonts w:hint="eastAsia" w:ascii="仿宋" w:hAnsi="仿宋" w:eastAsia="仿宋" w:cs="仿宋"/>
          <w:b/>
          <w:sz w:val="24"/>
        </w:rPr>
        <w:t>2. 投标文件的组成</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投标文件由“商务文件资料”、“技术文件资料”两部分组成：</w:t>
      </w:r>
    </w:p>
    <w:p>
      <w:pPr>
        <w:spacing w:line="288" w:lineRule="auto"/>
        <w:jc w:val="left"/>
        <w:rPr>
          <w:rFonts w:ascii="仿宋" w:hAnsi="仿宋" w:eastAsia="仿宋" w:cs="仿宋"/>
          <w:sz w:val="24"/>
        </w:rPr>
      </w:pPr>
      <w:r>
        <w:rPr>
          <w:rFonts w:hint="eastAsia" w:ascii="仿宋" w:hAnsi="仿宋" w:eastAsia="仿宋" w:cs="仿宋"/>
          <w:sz w:val="24"/>
        </w:rPr>
        <w:t>2.1 “商务文件资料”应至少包含以下内容（正本用原件）：</w:t>
      </w:r>
    </w:p>
    <w:p>
      <w:pPr>
        <w:spacing w:line="288" w:lineRule="auto"/>
        <w:jc w:val="left"/>
        <w:rPr>
          <w:rFonts w:ascii="仿宋" w:hAnsi="仿宋" w:eastAsia="仿宋" w:cs="仿宋"/>
          <w:sz w:val="24"/>
        </w:rPr>
      </w:pPr>
      <w:r>
        <w:rPr>
          <w:rFonts w:hint="eastAsia" w:ascii="仿宋" w:hAnsi="仿宋" w:eastAsia="仿宋" w:cs="仿宋"/>
          <w:sz w:val="24"/>
        </w:rPr>
        <w:t>2.1.1投标函（格式见第六部分附件）；</w:t>
      </w:r>
    </w:p>
    <w:p>
      <w:pPr>
        <w:spacing w:line="288" w:lineRule="auto"/>
        <w:jc w:val="left"/>
        <w:rPr>
          <w:rFonts w:ascii="仿宋" w:hAnsi="仿宋" w:eastAsia="仿宋" w:cs="仿宋"/>
          <w:sz w:val="24"/>
        </w:rPr>
      </w:pPr>
      <w:r>
        <w:rPr>
          <w:rFonts w:hint="eastAsia" w:ascii="仿宋" w:hAnsi="仿宋" w:eastAsia="仿宋" w:cs="仿宋"/>
          <w:sz w:val="24"/>
        </w:rPr>
        <w:t>2.1.2开标一览表（格式见第六部分附件）；</w:t>
      </w:r>
    </w:p>
    <w:p>
      <w:pPr>
        <w:spacing w:line="288" w:lineRule="auto"/>
        <w:jc w:val="left"/>
        <w:rPr>
          <w:rFonts w:ascii="仿宋" w:hAnsi="仿宋" w:eastAsia="仿宋" w:cs="仿宋"/>
          <w:sz w:val="24"/>
        </w:rPr>
      </w:pPr>
      <w:r>
        <w:rPr>
          <w:rFonts w:hint="eastAsia" w:ascii="仿宋" w:hAnsi="仿宋" w:eastAsia="仿宋" w:cs="仿宋"/>
          <w:sz w:val="24"/>
        </w:rPr>
        <w:t>2.1.3小微企业声明函及证明资料（如有，格式见第六部分附件）；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2.1.4残疾人福利性单位声明函（如有，格式见第六部分附件）。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2.1.5投标人需要说明的其他文件和说明（格式自拟）。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spacing w:line="288" w:lineRule="auto"/>
        <w:jc w:val="left"/>
        <w:rPr>
          <w:rFonts w:ascii="仿宋" w:hAnsi="仿宋" w:eastAsia="仿宋" w:cs="仿宋"/>
          <w:sz w:val="24"/>
        </w:rPr>
      </w:pPr>
      <w:r>
        <w:rPr>
          <w:rFonts w:hint="eastAsia" w:ascii="仿宋" w:hAnsi="仿宋" w:eastAsia="仿宋" w:cs="仿宋"/>
          <w:sz w:val="24"/>
        </w:rPr>
        <w:t>2.2 “技术文件资料”至少应包括以下内容（正本用原件）：</w:t>
      </w:r>
    </w:p>
    <w:p>
      <w:pPr>
        <w:spacing w:line="288" w:lineRule="auto"/>
        <w:jc w:val="left"/>
        <w:rPr>
          <w:rFonts w:ascii="仿宋" w:hAnsi="仿宋" w:eastAsia="仿宋" w:cs="仿宋"/>
          <w:sz w:val="24"/>
        </w:rPr>
      </w:pPr>
      <w:r>
        <w:rPr>
          <w:rFonts w:hint="eastAsia" w:ascii="仿宋" w:hAnsi="仿宋" w:eastAsia="仿宋" w:cs="仿宋"/>
          <w:sz w:val="24"/>
        </w:rPr>
        <w:t>2.2.1法定代表人授权委托书(个体工商户不需要提供，但经营者必须本人参加开标会，格式见第六部分附件)；</w:t>
      </w:r>
    </w:p>
    <w:p>
      <w:pPr>
        <w:spacing w:line="288" w:lineRule="auto"/>
        <w:jc w:val="left"/>
        <w:rPr>
          <w:rFonts w:ascii="仿宋" w:hAnsi="仿宋" w:eastAsia="仿宋" w:cs="仿宋"/>
          <w:sz w:val="24"/>
        </w:rPr>
      </w:pPr>
      <w:r>
        <w:rPr>
          <w:rFonts w:hint="eastAsia" w:ascii="仿宋" w:hAnsi="仿宋" w:eastAsia="仿宋" w:cs="仿宋"/>
          <w:sz w:val="24"/>
        </w:rPr>
        <w:t>2.2.2授权代表社保证明（格式见第六部分附件）；</w:t>
      </w:r>
    </w:p>
    <w:p>
      <w:pPr>
        <w:spacing w:line="288" w:lineRule="auto"/>
        <w:jc w:val="left"/>
        <w:rPr>
          <w:rFonts w:ascii="仿宋" w:hAnsi="仿宋" w:eastAsia="仿宋" w:cs="仿宋"/>
          <w:sz w:val="24"/>
        </w:rPr>
      </w:pPr>
      <w:r>
        <w:rPr>
          <w:rFonts w:hint="eastAsia" w:ascii="仿宋" w:hAnsi="仿宋" w:eastAsia="仿宋" w:cs="仿宋"/>
          <w:sz w:val="24"/>
        </w:rPr>
        <w:t>2.2.3法定代表人身份证明书（格式见第六部分附件）；</w:t>
      </w:r>
    </w:p>
    <w:p>
      <w:pPr>
        <w:spacing w:line="288" w:lineRule="auto"/>
        <w:jc w:val="left"/>
        <w:rPr>
          <w:rFonts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spacing w:line="288" w:lineRule="auto"/>
        <w:jc w:val="left"/>
        <w:rPr>
          <w:rFonts w:ascii="仿宋" w:hAnsi="仿宋" w:eastAsia="仿宋" w:cs="仿宋"/>
          <w:sz w:val="24"/>
        </w:rPr>
      </w:pPr>
      <w:bookmarkStart w:id="0" w:name="_Hlt68073093"/>
      <w:bookmarkEnd w:id="0"/>
      <w:bookmarkStart w:id="1" w:name="_Hlt68403820"/>
      <w:bookmarkEnd w:id="1"/>
      <w:bookmarkStart w:id="2" w:name="_Hlt68072998"/>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288" w:lineRule="auto"/>
        <w:jc w:val="left"/>
        <w:rPr>
          <w:rFonts w:ascii="仿宋" w:hAnsi="仿宋" w:eastAsia="仿宋" w:cs="仿宋"/>
          <w:sz w:val="24"/>
        </w:rPr>
      </w:pPr>
      <w:r>
        <w:rPr>
          <w:rFonts w:hint="eastAsia" w:ascii="仿宋" w:hAnsi="仿宋" w:eastAsia="仿宋" w:cs="仿宋"/>
          <w:sz w:val="24"/>
        </w:rPr>
        <w:t>（2）2018年度资产负债表等财务报表资料文件(新成立的公司提供情况证明)；</w:t>
      </w:r>
    </w:p>
    <w:p>
      <w:pPr>
        <w:spacing w:line="288" w:lineRule="auto"/>
        <w:jc w:val="left"/>
        <w:rPr>
          <w:rFonts w:ascii="仿宋" w:hAnsi="仿宋" w:eastAsia="仿宋" w:cs="仿宋"/>
          <w:sz w:val="24"/>
        </w:rPr>
      </w:pPr>
      <w:r>
        <w:rPr>
          <w:rFonts w:hint="eastAsia" w:ascii="仿宋" w:hAnsi="仿宋" w:eastAsia="仿宋" w:cs="仿宋"/>
          <w:sz w:val="24"/>
        </w:rPr>
        <w:t>（3）具有履行合同所必需的设备和专业技术能力的承诺函；</w:t>
      </w:r>
    </w:p>
    <w:p>
      <w:pPr>
        <w:spacing w:line="288" w:lineRule="auto"/>
        <w:jc w:val="left"/>
        <w:rPr>
          <w:rFonts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spacing w:line="288" w:lineRule="auto"/>
        <w:jc w:val="left"/>
        <w:rPr>
          <w:rFonts w:ascii="仿宋" w:hAnsi="仿宋" w:eastAsia="仿宋" w:cs="仿宋"/>
          <w:sz w:val="24"/>
        </w:rPr>
      </w:pPr>
      <w:r>
        <w:rPr>
          <w:rFonts w:hint="eastAsia" w:ascii="仿宋" w:hAnsi="仿宋" w:eastAsia="仿宋" w:cs="仿宋"/>
          <w:sz w:val="24"/>
        </w:rPr>
        <w:t>(5)符合特定资格条件（如果项目要求）的有关证明材料（复印件）；</w:t>
      </w:r>
    </w:p>
    <w:p>
      <w:pPr>
        <w:pStyle w:val="14"/>
        <w:snapToGrid w:val="0"/>
        <w:spacing w:line="288" w:lineRule="auto"/>
        <w:rPr>
          <w:rFonts w:ascii="仿宋" w:hAnsi="仿宋" w:eastAsia="仿宋" w:cs="仿宋"/>
          <w:sz w:val="24"/>
          <w:lang w:val="zh-CN"/>
        </w:rPr>
      </w:pPr>
      <w:r>
        <w:rPr>
          <w:rFonts w:hint="eastAsia" w:ascii="仿宋" w:hAnsi="仿宋" w:eastAsia="仿宋" w:cs="仿宋"/>
          <w:sz w:val="24"/>
        </w:rPr>
        <w:t>2.2.5</w:t>
      </w:r>
      <w:r>
        <w:rPr>
          <w:rFonts w:hint="eastAsia" w:ascii="仿宋" w:hAnsi="仿宋" w:eastAsia="仿宋" w:cs="仿宋"/>
          <w:sz w:val="24"/>
          <w:lang w:val="zh-CN"/>
        </w:rPr>
        <w:t>投标人应提供针对项目的完整技术解决方案：</w:t>
      </w:r>
    </w:p>
    <w:p>
      <w:pPr>
        <w:snapToGrid w:val="0"/>
        <w:spacing w:line="288" w:lineRule="auto"/>
        <w:ind w:firstLine="480" w:firstLineChars="200"/>
        <w:rPr>
          <w:rFonts w:ascii="仿宋" w:hAnsi="仿宋" w:eastAsia="仿宋" w:cs="仿宋"/>
          <w:kern w:val="0"/>
          <w:sz w:val="24"/>
          <w:lang w:val="zh-CN"/>
        </w:rPr>
      </w:pPr>
      <w:r>
        <w:rPr>
          <w:rFonts w:hint="eastAsia" w:ascii="仿宋" w:hAnsi="仿宋" w:eastAsia="仿宋" w:cs="仿宋"/>
          <w:sz w:val="24"/>
          <w:lang w:val="zh-CN"/>
        </w:rPr>
        <w:t>针对本项目的完整技术解决方案和实施方案；详细阐述项目方案的实现思路及关键技术；符合本项目对当前和未来发展的要求；以及对功能设计和实施计划的建议；</w:t>
      </w:r>
    </w:p>
    <w:p>
      <w:pPr>
        <w:spacing w:line="288" w:lineRule="auto"/>
        <w:ind w:firstLine="482" w:firstLineChars="200"/>
        <w:jc w:val="left"/>
        <w:rPr>
          <w:rFonts w:ascii="仿宋" w:hAnsi="仿宋" w:eastAsia="仿宋" w:cs="仿宋"/>
          <w:sz w:val="24"/>
        </w:rPr>
      </w:pPr>
      <w:r>
        <w:rPr>
          <w:rFonts w:hint="eastAsia" w:ascii="仿宋" w:hAnsi="仿宋" w:eastAsia="仿宋" w:cs="仿宋"/>
          <w:b/>
          <w:sz w:val="24"/>
        </w:rPr>
        <w:t>如果本项目涉及硬件设备采购，还需提供相关设备完整配置方案（设备名称、品牌、规格型号、数量、主要技术参数等）</w:t>
      </w:r>
      <w:r>
        <w:rPr>
          <w:rFonts w:hint="eastAsia" w:ascii="仿宋" w:hAnsi="仿宋" w:eastAsia="仿宋" w:cs="仿宋"/>
          <w:sz w:val="24"/>
        </w:rPr>
        <w:t>，</w:t>
      </w:r>
      <w:r>
        <w:rPr>
          <w:rFonts w:hint="eastAsia" w:ascii="仿宋" w:hAnsi="仿宋" w:eastAsia="仿宋" w:cs="仿宋"/>
          <w:b/>
          <w:sz w:val="24"/>
        </w:rPr>
        <w:t>提供主要投标产品的技术参数证明材料（如原厂技术说明、官网截图、产品彩页等），</w:t>
      </w:r>
      <w:r>
        <w:rPr>
          <w:rFonts w:hint="eastAsia" w:ascii="仿宋" w:hAnsi="仿宋" w:eastAsia="仿宋" w:cs="仿宋"/>
          <w:sz w:val="24"/>
        </w:rPr>
        <w:t>明确表示该项指标所涉及的软硬件是标准配置还是选择配置</w:t>
      </w:r>
      <w:r>
        <w:rPr>
          <w:rFonts w:hint="eastAsia" w:ascii="仿宋" w:hAnsi="仿宋" w:eastAsia="仿宋" w:cs="仿宋"/>
          <w:b/>
          <w:sz w:val="24"/>
        </w:rPr>
        <w:t>（所有技术指标表述均应采用中文，如当前公布的技术指标只有英文表述的，必须由投标人作出中文注释，否则</w:t>
      </w:r>
      <w:r>
        <w:rPr>
          <w:rFonts w:hint="eastAsia" w:ascii="仿宋" w:hAnsi="仿宋" w:eastAsia="仿宋" w:cs="仿宋"/>
          <w:b/>
          <w:kern w:val="0"/>
          <w:sz w:val="24"/>
          <w:lang w:val="zh-CN"/>
        </w:rPr>
        <w:t>任何含糊不清的</w:t>
      </w:r>
      <w:r>
        <w:rPr>
          <w:rFonts w:hint="eastAsia" w:ascii="仿宋" w:hAnsi="仿宋" w:eastAsia="仿宋" w:cs="仿宋"/>
          <w:b/>
          <w:sz w:val="24"/>
        </w:rPr>
        <w:t>表述导致</w:t>
      </w:r>
      <w:r>
        <w:rPr>
          <w:rFonts w:hint="eastAsia" w:ascii="仿宋" w:hAnsi="仿宋" w:eastAsia="仿宋" w:cs="仿宋"/>
          <w:b/>
          <w:kern w:val="0"/>
          <w:sz w:val="24"/>
          <w:lang w:val="zh-CN"/>
        </w:rPr>
        <w:t>评标委员会技术扣分直至认定为投标无效都将是投标人的责任）</w:t>
      </w:r>
      <w:r>
        <w:rPr>
          <w:rFonts w:hint="eastAsia" w:ascii="仿宋" w:hAnsi="仿宋" w:eastAsia="仿宋" w:cs="仿宋"/>
          <w:sz w:val="24"/>
        </w:rPr>
        <w:t>。</w:t>
      </w:r>
    </w:p>
    <w:p>
      <w:pPr>
        <w:spacing w:line="288" w:lineRule="auto"/>
        <w:jc w:val="left"/>
        <w:rPr>
          <w:rFonts w:ascii="仿宋" w:hAnsi="仿宋" w:eastAsia="仿宋" w:cs="仿宋"/>
          <w:sz w:val="24"/>
        </w:rPr>
      </w:pPr>
      <w:r>
        <w:rPr>
          <w:rFonts w:hint="eastAsia" w:ascii="仿宋" w:hAnsi="仿宋" w:eastAsia="仿宋" w:cs="仿宋"/>
          <w:sz w:val="24"/>
        </w:rPr>
        <w:t>2.2.6技术偏离说明表（投标人在投标文件技术偏离说明表中，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spacing w:line="288" w:lineRule="auto"/>
        <w:jc w:val="left"/>
        <w:rPr>
          <w:rFonts w:ascii="仿宋" w:hAnsi="仿宋" w:eastAsia="仿宋" w:cs="仿宋"/>
          <w:sz w:val="24"/>
        </w:rPr>
      </w:pPr>
      <w:r>
        <w:rPr>
          <w:rFonts w:hint="eastAsia" w:ascii="仿宋" w:hAnsi="仿宋" w:eastAsia="仿宋" w:cs="仿宋"/>
          <w:sz w:val="24"/>
        </w:rPr>
        <w:t>2.2.7技术服务、售后服务的内容和措施、技术培训，距招标人最近的服务网点的详细介绍，包括资质资格、技术力量、工作业绩、服务内容及承诺；</w:t>
      </w:r>
    </w:p>
    <w:p>
      <w:pPr>
        <w:spacing w:line="288" w:lineRule="auto"/>
        <w:jc w:val="left"/>
        <w:rPr>
          <w:rFonts w:ascii="仿宋" w:hAnsi="仿宋" w:eastAsia="仿宋" w:cs="仿宋"/>
          <w:sz w:val="24"/>
        </w:rPr>
      </w:pPr>
      <w:r>
        <w:rPr>
          <w:rFonts w:hint="eastAsia" w:ascii="仿宋" w:hAnsi="仿宋" w:eastAsia="仿宋" w:cs="仿宋"/>
          <w:sz w:val="24"/>
        </w:rPr>
        <w:t>2.2.8优惠条件：投标人承诺给予招标人的各种优惠条件，包括设备价格、运输、保险、安装调试、付款条件、技术服务、售后服务等方面的优惠；当优惠条件涉及“报价单”中的各项费用时，必须与投标价格相统一；（如有）</w:t>
      </w:r>
    </w:p>
    <w:p>
      <w:pPr>
        <w:spacing w:line="288" w:lineRule="auto"/>
        <w:jc w:val="left"/>
        <w:rPr>
          <w:rFonts w:ascii="仿宋" w:hAnsi="仿宋" w:eastAsia="仿宋" w:cs="仿宋"/>
          <w:sz w:val="24"/>
        </w:rPr>
      </w:pPr>
      <w:r>
        <w:rPr>
          <w:rFonts w:hint="eastAsia" w:ascii="仿宋" w:hAnsi="仿宋" w:eastAsia="仿宋" w:cs="仿宋"/>
          <w:sz w:val="24"/>
        </w:rPr>
        <w:t>2.2.9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pacing w:line="288" w:lineRule="auto"/>
        <w:jc w:val="left"/>
        <w:rPr>
          <w:rFonts w:ascii="仿宋" w:hAnsi="仿宋" w:eastAsia="仿宋" w:cs="仿宋"/>
          <w:sz w:val="24"/>
        </w:rPr>
      </w:pPr>
      <w:r>
        <w:rPr>
          <w:rFonts w:hint="eastAsia" w:ascii="仿宋" w:hAnsi="仿宋" w:eastAsia="仿宋" w:cs="仿宋"/>
          <w:sz w:val="24"/>
        </w:rPr>
        <w:t>2.2.10投标人情况介绍；</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2.2.11投标承诺书（格式见第六部分附件）；</w:t>
      </w:r>
    </w:p>
    <w:p>
      <w:pPr>
        <w:snapToGrid w:val="0"/>
        <w:spacing w:line="288" w:lineRule="auto"/>
        <w:jc w:val="left"/>
        <w:rPr>
          <w:rFonts w:ascii="仿宋" w:hAnsi="仿宋" w:eastAsia="仿宋" w:cs="仿宋"/>
          <w:sz w:val="24"/>
        </w:rPr>
      </w:pPr>
      <w:r>
        <w:rPr>
          <w:rFonts w:hint="eastAsia" w:ascii="仿宋" w:hAnsi="仿宋" w:eastAsia="仿宋" w:cs="仿宋"/>
          <w:sz w:val="24"/>
        </w:rPr>
        <w:t>2.2.12</w:t>
      </w:r>
      <w:r>
        <w:rPr>
          <w:rFonts w:hint="eastAsia" w:ascii="仿宋" w:hAnsi="仿宋" w:eastAsia="仿宋" w:cs="仿宋"/>
          <w:sz w:val="24"/>
          <w:u w:val="wave"/>
        </w:rPr>
        <w:t>未尽事宜请各投标单位按相对应标项相关要求制作(重要)</w:t>
      </w:r>
      <w:r>
        <w:rPr>
          <w:rFonts w:hint="eastAsia" w:ascii="仿宋" w:hAnsi="仿宋" w:eastAsia="仿宋" w:cs="仿宋"/>
          <w:sz w:val="24"/>
        </w:rPr>
        <w:t>；</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2.2.13投标人需要说明的其他文件和说明（格式自拟）。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spacing w:line="288" w:lineRule="auto"/>
        <w:ind w:firstLine="480" w:firstLineChars="200"/>
        <w:jc w:val="left"/>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tabs>
          <w:tab w:val="left" w:pos="3870"/>
        </w:tabs>
        <w:snapToGrid w:val="0"/>
        <w:spacing w:line="288" w:lineRule="auto"/>
        <w:jc w:val="left"/>
        <w:rPr>
          <w:rFonts w:ascii="仿宋" w:hAnsi="仿宋" w:eastAsia="仿宋" w:cs="仿宋"/>
          <w:b/>
          <w:sz w:val="24"/>
        </w:rPr>
      </w:pPr>
      <w:r>
        <w:rPr>
          <w:rFonts w:hint="eastAsia" w:ascii="仿宋" w:hAnsi="仿宋" w:eastAsia="仿宋" w:cs="仿宋"/>
          <w:b/>
          <w:sz w:val="24"/>
        </w:rPr>
        <w:t>注：复印件应加盖投标人公章</w:t>
      </w:r>
    </w:p>
    <w:p>
      <w:pPr>
        <w:spacing w:line="288" w:lineRule="auto"/>
        <w:jc w:val="left"/>
        <w:rPr>
          <w:rFonts w:ascii="仿宋" w:hAnsi="仿宋" w:eastAsia="仿宋" w:cs="仿宋"/>
          <w:b/>
          <w:sz w:val="24"/>
        </w:rPr>
      </w:pPr>
      <w:r>
        <w:rPr>
          <w:rFonts w:hint="eastAsia" w:ascii="仿宋" w:hAnsi="仿宋" w:eastAsia="仿宋" w:cs="仿宋"/>
          <w:b/>
          <w:sz w:val="24"/>
        </w:rPr>
        <w:t>3. 投标报价</w:t>
      </w:r>
    </w:p>
    <w:p>
      <w:pPr>
        <w:pStyle w:val="14"/>
        <w:spacing w:line="288" w:lineRule="auto"/>
        <w:jc w:val="left"/>
        <w:rPr>
          <w:rFonts w:ascii="仿宋" w:hAnsi="仿宋" w:eastAsia="仿宋" w:cs="仿宋"/>
          <w:sz w:val="24"/>
        </w:rPr>
      </w:pPr>
      <w:r>
        <w:rPr>
          <w:rFonts w:hint="eastAsia" w:ascii="仿宋" w:hAnsi="仿宋" w:eastAsia="仿宋" w:cs="仿宋"/>
          <w:sz w:val="24"/>
        </w:rPr>
        <w:t>3.1投标人应按招标文件中《开标一览表》等附表要求填写。</w:t>
      </w:r>
    </w:p>
    <w:p>
      <w:pPr>
        <w:pStyle w:val="14"/>
        <w:spacing w:line="288" w:lineRule="auto"/>
        <w:jc w:val="left"/>
        <w:rPr>
          <w:rFonts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4"/>
        <w:spacing w:line="288" w:lineRule="auto"/>
        <w:jc w:val="left"/>
        <w:rPr>
          <w:rFonts w:ascii="仿宋" w:hAnsi="仿宋" w:eastAsia="仿宋" w:cs="仿宋"/>
          <w:sz w:val="24"/>
          <w:szCs w:val="24"/>
        </w:rPr>
      </w:pPr>
      <w:r>
        <w:rPr>
          <w:rFonts w:hint="eastAsia" w:ascii="仿宋" w:hAnsi="仿宋" w:eastAsia="仿宋" w:cs="仿宋"/>
          <w:sz w:val="24"/>
          <w:szCs w:val="24"/>
        </w:rPr>
        <w:t>3.3招标文件未列明，而投标人认为必需的费用也需列入报价。</w:t>
      </w:r>
    </w:p>
    <w:p>
      <w:pPr>
        <w:tabs>
          <w:tab w:val="left" w:pos="525"/>
        </w:tabs>
        <w:spacing w:line="288" w:lineRule="auto"/>
        <w:jc w:val="left"/>
        <w:rPr>
          <w:rFonts w:ascii="仿宋" w:hAnsi="仿宋" w:eastAsia="仿宋" w:cs="仿宋"/>
          <w:sz w:val="24"/>
        </w:rPr>
      </w:pPr>
      <w:r>
        <w:rPr>
          <w:rFonts w:hint="eastAsia" w:ascii="仿宋" w:hAnsi="仿宋" w:eastAsia="仿宋" w:cs="仿宋"/>
          <w:b/>
          <w:i/>
          <w:sz w:val="24"/>
        </w:rPr>
        <w:t>3.5投标报价只允许有一个报价，有选择的报价将不予接受（除指定外）。</w:t>
      </w:r>
    </w:p>
    <w:p>
      <w:pPr>
        <w:pStyle w:val="8"/>
        <w:numPr>
          <w:ilvl w:val="0"/>
          <w:numId w:val="0"/>
        </w:numPr>
        <w:tabs>
          <w:tab w:val="clear" w:pos="360"/>
        </w:tabs>
        <w:spacing w:line="288" w:lineRule="auto"/>
        <w:rPr>
          <w:rFonts w:ascii="仿宋" w:hAnsi="仿宋" w:eastAsia="仿宋" w:cs="仿宋"/>
          <w:b/>
          <w:sz w:val="24"/>
        </w:rPr>
      </w:pPr>
      <w:r>
        <w:rPr>
          <w:rFonts w:hint="eastAsia" w:ascii="仿宋" w:hAnsi="仿宋" w:eastAsia="仿宋" w:cs="仿宋"/>
          <w:b/>
          <w:sz w:val="24"/>
        </w:rPr>
        <w:t>4.投标文件的有效期</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4.1自投标截止日起45天投标书应保持有效。如采购人认为必要，可延长至总计最长不超过60天。有效期短于这个规定期限的投标将被拒绝。</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4.2在特殊情况下，招标人可与投标人协商延长投标书的有效期，这种要求和答复均以书面形式进行。</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4.3投标人可拒绝接受延期要求，同意延长有效期的投标人不能修改投标文件。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5.投标文件的份数和规定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5.1投标文件的正本需打印或用不褪色的墨水填写，不允许行间插字，并注明“正本”字样，投标文件正本除本招标须知中规定的可提供复印件外均须提供原件。副本为正本的复印件。</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5.2投标文件由“技术文件资料”和“商务文件资料”两部分文件组成，应按统一格式填写，装订成册。并在封面处明确注明“技术文件资料”或“商务文件资料”。</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5.3投标文件一式五份，其中正本一份，副本四份。</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5.4投标文件须由投标人在规定位置盖章并由法定代表人或其授权代表签署，投标人应写全称。</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5.5投标文件不得涂改，若有修改错漏处，须加盖单位公章或者法定代表人或其授权代表签字或盖章。</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5.6投标文件因字迹潦草或表达不清所引起的后果由投标人负责。</w:t>
      </w:r>
    </w:p>
    <w:p>
      <w:pPr>
        <w:adjustRightInd/>
        <w:spacing w:line="288" w:lineRule="auto"/>
        <w:jc w:val="left"/>
        <w:rPr>
          <w:rFonts w:ascii="仿宋" w:hAnsi="仿宋" w:eastAsia="仿宋" w:cs="仿宋"/>
          <w:sz w:val="24"/>
        </w:rPr>
      </w:pPr>
      <w:r>
        <w:rPr>
          <w:rFonts w:hint="eastAsia" w:ascii="仿宋" w:hAnsi="仿宋" w:eastAsia="仿宋" w:cs="仿宋"/>
          <w:sz w:val="24"/>
        </w:rPr>
        <w:t>5.7投标人应认真阅读招标文件中所有的内容。如果投标人编制的投标文件实质上不响应招标文件的要求，其投标文件将被招标人拒绝。</w:t>
      </w:r>
    </w:p>
    <w:p>
      <w:pPr>
        <w:adjustRightInd/>
        <w:spacing w:line="288" w:lineRule="auto"/>
        <w:jc w:val="left"/>
        <w:rPr>
          <w:rFonts w:ascii="仿宋" w:hAnsi="仿宋" w:eastAsia="仿宋" w:cs="仿宋"/>
          <w:sz w:val="24"/>
        </w:rPr>
      </w:pPr>
      <w:r>
        <w:rPr>
          <w:rFonts w:hint="eastAsia" w:ascii="仿宋" w:hAnsi="仿宋" w:eastAsia="仿宋" w:cs="仿宋"/>
          <w:sz w:val="24"/>
        </w:rPr>
        <w:t>5.8投标文件建议采用A4幅面，按顺序统一编目编码装订成册。提倡双面打印。</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 投标文件的密封、盖章和签署</w:t>
      </w:r>
    </w:p>
    <w:p>
      <w:pPr>
        <w:pStyle w:val="14"/>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288" w:lineRule="auto"/>
        <w:rPr>
          <w:rFonts w:ascii="仿宋" w:hAnsi="仿宋" w:eastAsia="仿宋" w:cs="仿宋"/>
          <w:b/>
          <w:kern w:val="0"/>
          <w:sz w:val="24"/>
        </w:rPr>
      </w:pPr>
      <w:r>
        <w:rPr>
          <w:rFonts w:hint="eastAsia" w:ascii="仿宋" w:hAnsi="仿宋" w:eastAsia="仿宋" w:cs="仿宋"/>
          <w:b/>
          <w:sz w:val="24"/>
        </w:rPr>
        <w:t>7．</w:t>
      </w:r>
      <w:r>
        <w:rPr>
          <w:rFonts w:hint="eastAsia" w:ascii="仿宋" w:hAnsi="仿宋" w:eastAsia="仿宋" w:cs="仿宋"/>
          <w:b/>
          <w:kern w:val="0"/>
          <w:sz w:val="24"/>
        </w:rPr>
        <w:t>投标文件的补充和修改</w:t>
      </w:r>
    </w:p>
    <w:p>
      <w:pPr>
        <w:widowControl/>
        <w:adjustRightInd/>
        <w:snapToGrid w:val="0"/>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pStyle w:val="31"/>
        <w:spacing w:line="288" w:lineRule="auto"/>
        <w:rPr>
          <w:rFonts w:ascii="仿宋" w:hAnsi="仿宋" w:eastAsia="仿宋" w:cs="仿宋"/>
        </w:rPr>
      </w:pPr>
    </w:p>
    <w:p>
      <w:pPr>
        <w:adjustRightInd/>
        <w:spacing w:line="288" w:lineRule="auto"/>
        <w:jc w:val="center"/>
        <w:rPr>
          <w:rFonts w:ascii="仿宋" w:hAnsi="仿宋" w:eastAsia="仿宋" w:cs="仿宋"/>
          <w:b/>
          <w:sz w:val="32"/>
          <w:szCs w:val="32"/>
        </w:rPr>
      </w:pPr>
      <w:r>
        <w:rPr>
          <w:rFonts w:hint="eastAsia" w:ascii="仿宋" w:hAnsi="仿宋" w:eastAsia="仿宋" w:cs="仿宋"/>
          <w:b/>
          <w:sz w:val="32"/>
          <w:szCs w:val="32"/>
        </w:rPr>
        <w:t>四、开标和评标</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288"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adjustRightInd/>
        <w:snapToGrid w:val="0"/>
        <w:spacing w:line="360" w:lineRule="auto"/>
        <w:jc w:val="left"/>
        <w:rPr>
          <w:rFonts w:ascii="仿宋" w:hAnsi="仿宋" w:eastAsia="仿宋"/>
          <w:b/>
          <w:bCs/>
          <w:sz w:val="24"/>
          <w:szCs w:val="24"/>
        </w:rPr>
      </w:pPr>
      <w:r>
        <w:rPr>
          <w:rFonts w:ascii="仿宋" w:hAnsi="仿宋" w:eastAsia="仿宋" w:cs="仿宋"/>
          <w:b/>
          <w:bCs/>
          <w:sz w:val="24"/>
          <w:szCs w:val="24"/>
        </w:rPr>
        <w:t>4</w:t>
      </w:r>
      <w:r>
        <w:rPr>
          <w:rFonts w:hint="eastAsia" w:ascii="仿宋" w:hAnsi="仿宋" w:eastAsia="仿宋" w:cs="仿宋"/>
          <w:b/>
          <w:bCs/>
          <w:sz w:val="24"/>
          <w:szCs w:val="24"/>
        </w:rPr>
        <w:t>．开标大会程序</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4.1主持人宣布开标会开始，介绍到会单位和人员，组织各投标人法定代表人或其授权代表签署不存在影响公平竞争的《政府采购活动现场确认声明书》。</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4.2投标人代表检查投标文件密封情况。</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4.3启封投标文件技术部分资料，并对法定代表人或其授权代表的身份进行核验。</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4.4 评标委员会对技术标进行符合性评审。</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4.5 由唱读人当众宣读通过技术标符合性评审的投标人名称，启封投标文件（商务标），宣读投标价格和投标文件的其他内容。未宣读的投标报价和招标文件未允许提供的备选投标方案等实质性内容，评标时不予承认。</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4.6 唱读结束后，参加开标会的法定代表人或其授权代表应对唱读的内容和记录结果进行校核和签字确认。</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4.7 评标委员会对商务标进行符合性评审。</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4.8 评标委员会根据投标报价从低到高确定中标候选人。</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4.9 主持人向投标单位公布评标结果。</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5．评标</w:t>
      </w:r>
    </w:p>
    <w:p>
      <w:pPr>
        <w:adjustRightInd/>
        <w:spacing w:line="288"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288"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5.2评标委员会由采购人代表和有关方面的专家组成，成员人数为五人及以上单数。</w:t>
      </w:r>
    </w:p>
    <w:p>
      <w:pPr>
        <w:adjustRightInd/>
        <w:spacing w:line="288"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288"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288"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288" w:lineRule="auto"/>
        <w:jc w:val="left"/>
        <w:rPr>
          <w:rFonts w:ascii="仿宋" w:hAnsi="仿宋" w:eastAsia="仿宋" w:cs="仿宋"/>
          <w:sz w:val="24"/>
        </w:rPr>
      </w:pPr>
      <w:r>
        <w:rPr>
          <w:rFonts w:hint="eastAsia" w:ascii="仿宋" w:hAnsi="仿宋" w:eastAsia="仿宋" w:cs="仿宋"/>
          <w:sz w:val="24"/>
        </w:rPr>
        <w:t>6.2符合性审查</w:t>
      </w:r>
    </w:p>
    <w:p>
      <w:pPr>
        <w:adjustRightInd/>
        <w:spacing w:line="288"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288"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288"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p>
    <w:p>
      <w:pPr>
        <w:adjustRightInd/>
        <w:spacing w:line="288"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288"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288"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288"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288"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288" w:lineRule="auto"/>
        <w:jc w:val="left"/>
        <w:rPr>
          <w:rFonts w:hint="eastAsia" w:ascii="仿宋" w:hAnsi="仿宋" w:eastAsia="仿宋" w:cs="仿宋"/>
          <w:b/>
          <w:sz w:val="24"/>
        </w:rPr>
      </w:pPr>
      <w:r>
        <w:rPr>
          <w:rFonts w:hint="eastAsia" w:ascii="仿宋" w:hAnsi="仿宋" w:eastAsia="仿宋" w:cs="仿宋"/>
          <w:b/>
          <w:sz w:val="24"/>
        </w:rPr>
        <w:t>8.投标文件的评审、比较和否决</w:t>
      </w:r>
    </w:p>
    <w:p>
      <w:pPr>
        <w:adjustRightInd/>
        <w:spacing w:line="288" w:lineRule="auto"/>
        <w:jc w:val="left"/>
        <w:rPr>
          <w:rFonts w:hint="eastAsia"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288" w:lineRule="auto"/>
        <w:jc w:val="left"/>
        <w:rPr>
          <w:rFonts w:hint="eastAsia"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288" w:lineRule="auto"/>
        <w:jc w:val="left"/>
        <w:rPr>
          <w:rFonts w:hint="eastAsia"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288" w:lineRule="auto"/>
        <w:jc w:val="left"/>
        <w:rPr>
          <w:rFonts w:hint="eastAsia"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288" w:lineRule="auto"/>
        <w:jc w:val="left"/>
        <w:rPr>
          <w:rFonts w:hint="eastAsia" w:ascii="仿宋" w:hAnsi="仿宋" w:eastAsia="仿宋" w:cs="仿宋"/>
          <w:sz w:val="24"/>
        </w:rPr>
      </w:pPr>
      <w:r>
        <w:rPr>
          <w:rFonts w:hint="eastAsia" w:ascii="仿宋" w:hAnsi="仿宋" w:eastAsia="仿宋" w:cs="仿宋"/>
          <w:sz w:val="24"/>
        </w:rPr>
        <w:t>8.5评标委员会依据招标文件规定的评标标准和方法，对投标文件进行评审和比较，提供书面评标报告，并按报价从低到高推荐中标候选供应商。</w:t>
      </w:r>
    </w:p>
    <w:p>
      <w:pPr>
        <w:pStyle w:val="14"/>
        <w:adjustRightInd/>
        <w:snapToGrid w:val="0"/>
        <w:spacing w:line="288" w:lineRule="auto"/>
        <w:jc w:val="left"/>
        <w:rPr>
          <w:rFonts w:ascii="仿宋" w:hAnsi="仿宋" w:eastAsia="仿宋" w:cs="仿宋"/>
          <w:b/>
          <w:sz w:val="24"/>
          <w:szCs w:val="24"/>
        </w:rPr>
      </w:pPr>
      <w:r>
        <w:rPr>
          <w:rFonts w:hint="eastAsia" w:ascii="仿宋" w:hAnsi="仿宋" w:eastAsia="仿宋" w:cs="仿宋"/>
          <w:b/>
          <w:sz w:val="24"/>
          <w:szCs w:val="24"/>
        </w:rPr>
        <w:t>9.投标文件的澄清</w:t>
      </w:r>
    </w:p>
    <w:p>
      <w:pPr>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10．无效投标的情形</w:t>
      </w:r>
    </w:p>
    <w:p>
      <w:pPr>
        <w:tabs>
          <w:tab w:val="left" w:pos="4085"/>
        </w:tabs>
        <w:snapToGrid w:val="0"/>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投标文件有下列情形之一的作无效投标处理：</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10.1未按照招标文件规定要求密封封装、签署、盖章、装订、份数不足的；</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10.2单位负责人为同一人或者存在直接控股、管理关系的不同供应商参加同一合同项下的政府采购活动的（均无效）；</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10.3为采购项目提供整体设计、规范编制或者项目管理、监理、检测等服务的供应商再参加该采购项目的其他采购活动的； </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10.4投标人不具备招标文件中规定的资格要求的（投标人未提供有效的资格证明文件的，视为投标人不具备招标文件中规定的资格要求）；</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10.5授权代表</w:t>
      </w:r>
      <w:r>
        <w:rPr>
          <w:rFonts w:hint="eastAsia" w:ascii="仿宋" w:hAnsi="仿宋" w:eastAsia="仿宋" w:cs="仿宋"/>
          <w:b/>
          <w:color w:val="000000" w:themeColor="text1"/>
          <w:kern w:val="0"/>
          <w:sz w:val="24"/>
          <w14:textFill>
            <w14:solidFill>
              <w14:schemeClr w14:val="tx1"/>
            </w14:solidFill>
          </w14:textFill>
        </w:rPr>
        <w:t>无《法定代表人授权委托书》或</w:t>
      </w:r>
      <w:r>
        <w:rPr>
          <w:rFonts w:hint="eastAsia" w:ascii="仿宋" w:hAnsi="仿宋" w:eastAsia="仿宋" w:cs="仿宋"/>
          <w:b/>
          <w:color w:val="000000" w:themeColor="text1"/>
          <w:sz w:val="24"/>
          <w14:textFill>
            <w14:solidFill>
              <w14:schemeClr w14:val="tx1"/>
            </w14:solidFill>
          </w14:textFill>
        </w:rPr>
        <w:t>未能出具身份证明的</w:t>
      </w:r>
      <w:r>
        <w:rPr>
          <w:rFonts w:hint="eastAsia" w:ascii="仿宋" w:hAnsi="仿宋" w:eastAsia="仿宋" w:cs="仿宋"/>
          <w:b/>
          <w:color w:val="000000" w:themeColor="text1"/>
          <w:kern w:val="0"/>
          <w:sz w:val="24"/>
          <w14:textFill>
            <w14:solidFill>
              <w14:schemeClr w14:val="tx1"/>
            </w14:solidFill>
          </w14:textFill>
        </w:rPr>
        <w:t>；</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10.7授权代表非投标单位正式职工的（以社保证明为准，如授权代表为离退休返聘人员的，需提供退休证明及单位聘用证明），法定代表人参加开标会及个体工商户除外；</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10.8参加开标会的个体工商户提供的身份证明与营业执照不一致的；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10.9投标文件中的投标函未加盖投标人的企业公章或填写不全的；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10.10</w:t>
      </w:r>
      <w:r>
        <w:rPr>
          <w:rFonts w:hint="eastAsia" w:ascii="仿宋" w:hAnsi="仿宋" w:eastAsia="仿宋" w:cs="仿宋"/>
          <w:b/>
          <w:color w:val="000000" w:themeColor="text1"/>
          <w:sz w:val="24"/>
          <w14:textFill>
            <w14:solidFill>
              <w14:schemeClr w14:val="tx1"/>
            </w14:solidFill>
          </w14:textFill>
        </w:rPr>
        <w:t>投标人递交两份或两份以上内容不同的投标书，且未声明哪一份有效的；</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10.11</w:t>
      </w:r>
      <w:r>
        <w:rPr>
          <w:rFonts w:hint="eastAsia" w:ascii="仿宋" w:hAnsi="仿宋" w:eastAsia="仿宋" w:cs="仿宋"/>
          <w:b/>
          <w:color w:val="000000" w:themeColor="text1"/>
          <w:sz w:val="24"/>
          <w14:textFill>
            <w14:solidFill>
              <w14:schemeClr w14:val="tx1"/>
            </w14:solidFill>
          </w14:textFill>
        </w:rPr>
        <w:t>报价一经涂改，未在涂改处加盖投标单位公章或者未经法定代表人或其授权代表签字或盖章的；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10.12</w:t>
      </w:r>
      <w:r>
        <w:rPr>
          <w:rFonts w:hint="eastAsia" w:ascii="仿宋" w:hAnsi="仿宋" w:eastAsia="仿宋" w:cs="仿宋"/>
          <w:b/>
          <w:color w:val="000000" w:themeColor="text1"/>
          <w:sz w:val="24"/>
          <w14:textFill>
            <w14:solidFill>
              <w14:schemeClr w14:val="tx1"/>
            </w14:solidFill>
          </w14:textFill>
        </w:rPr>
        <w:t>因未按招标文件规定的格式填写，或对招标服务或技术或产品等要求未详细应答或应答内容不全、有缺失的,经评标委员会认定为无法评审的；</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10.13出现同一标的物或本次招标产品(服务)内的主要产品(重要组成部分)出现技术、商务描述不一致或前后描述不一致，经评标委员会认定后为无法评审的；</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10.14投标详细配置清单响应表不真实填写或弄虚作假的；</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10.15</w:t>
      </w:r>
      <w:r>
        <w:rPr>
          <w:rFonts w:hint="eastAsia" w:ascii="仿宋" w:hAnsi="仿宋" w:eastAsia="仿宋" w:cs="仿宋"/>
          <w:b/>
          <w:color w:val="000000" w:themeColor="text1"/>
          <w:kern w:val="0"/>
          <w:sz w:val="24"/>
          <w14:textFill>
            <w14:solidFill>
              <w14:schemeClr w14:val="tx1"/>
            </w14:solidFill>
          </w14:textFill>
        </w:rPr>
        <w:t>投标文件含有采购人不能接受的附加条件；</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10.16</w:t>
      </w:r>
      <w:r>
        <w:rPr>
          <w:rFonts w:hint="eastAsia" w:ascii="仿宋" w:hAnsi="仿宋" w:eastAsia="仿宋" w:cs="仿宋"/>
          <w:b/>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10.17报价超过招标文件中规定的预算金额或最高限价的；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10.18投标文件“技术文件资料”部分中出现《开标一览表》或《投标报价明细表》相关内容的；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10.19采购人拟采购的产品属于政府强制采购的节能产品品目清单范围的，投标人未按招标文件要求提供国家确定的认证机构出具的、处于有效期之内的节能产品认证证书的；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10.20《投标（开标）一览表》填写不完整或字迹不能辨认或有漏项的；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10.21投标人对根据修正原则修正后的报价不确认的；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10.22投标人提供虚假材料投标的（包括但不限于以下情节）；</w:t>
      </w:r>
    </w:p>
    <w:p>
      <w:pPr>
        <w:tabs>
          <w:tab w:val="left" w:pos="3870"/>
          <w:tab w:val="left" w:pos="4085"/>
        </w:tabs>
        <w:snapToGrid w:val="0"/>
        <w:spacing w:line="288" w:lineRule="auto"/>
        <w:ind w:firstLine="470" w:firstLineChars="19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10.22.1使用伪造、变造的许可证件；</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10.22.2提供虚假的财务状况或者业绩；</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10.22.3提供虚假的项目负责人或者主要技术人员简历、劳动关系证明；</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10.22.4提供虚假的信用状况；</w:t>
      </w:r>
    </w:p>
    <w:p>
      <w:pPr>
        <w:tabs>
          <w:tab w:val="left" w:pos="3870"/>
          <w:tab w:val="left" w:pos="4085"/>
        </w:tabs>
        <w:snapToGrid w:val="0"/>
        <w:spacing w:line="288"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10.22.5其他弄虚作假的行为。</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10.23有下列情形之一的，视为投标人串通投标，其投标无效：</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10.23.1不同投标人的投标文件由同一单位或者个人编制；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10.23.2不同投标人委托同一单位或者个人办理投标事宜；</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10.23.3不同投标人的投标文件载明的项目管理成员或者联系人员为同一人；</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10.23.4不同投标人的投标文件异常一致或者投标报价呈规律性差异；</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10.23.5不同投标人的投标文件相互混装；</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10.24有下列情形之一的，属于恶意串通，，其投标无效：</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10.24.1供应商直接或者间接从采购人或者采购机构处获得其他供应商的相关情况并修改其投标文件或者响应文件；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10.24.2供应商按照采购人或者采购机构的授意撤换、修改投标文件或者响应文件；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10.24.3供应商之间协商报价、技术方案等投标文件或者响应文件的实质性内容；</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10.24.4属于同一集团、协会、商会等组织成员的供应商按照该组织要求协同参加政府采购活动；</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10.24.5供应商之间事先约定由某一特定供应商中标、成交；</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10.24.6供应商之间商定部分供应商放弃参加政府采购活动或者放弃中标、成交；</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10.24.7供应商与采购人或者采购机构之间、供应商相互之间，为谋求特定供应商中标、成交或者排斥其他供应商的其他串通行为。</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10.25评标委员会认定有重大偏差或实质性不响应招标文件要求的；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10.26其他违反法律、法规的情形。</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11. 评标过程保密</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adjustRightInd/>
        <w:snapToGrid w:val="0"/>
        <w:spacing w:line="288" w:lineRule="auto"/>
        <w:rPr>
          <w:rFonts w:ascii="仿宋" w:hAnsi="仿宋" w:eastAsia="仿宋" w:cs="仿宋"/>
          <w:kern w:val="0"/>
          <w:sz w:val="24"/>
        </w:rPr>
      </w:pPr>
    </w:p>
    <w:p>
      <w:pPr>
        <w:adjustRightInd/>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五、授予合同</w:t>
      </w:r>
    </w:p>
    <w:p>
      <w:pPr>
        <w:pStyle w:val="8"/>
        <w:numPr>
          <w:ilvl w:val="0"/>
          <w:numId w:val="0"/>
        </w:numPr>
        <w:tabs>
          <w:tab w:val="left" w:pos="454"/>
        </w:tabs>
        <w:adjustRightInd/>
        <w:spacing w:line="288" w:lineRule="auto"/>
        <w:rPr>
          <w:rFonts w:ascii="仿宋" w:hAnsi="仿宋" w:eastAsia="仿宋" w:cs="仿宋"/>
          <w:b/>
          <w:color w:val="auto"/>
          <w:sz w:val="24"/>
        </w:rPr>
      </w:pPr>
      <w:r>
        <w:rPr>
          <w:rFonts w:hint="eastAsia" w:ascii="仿宋" w:hAnsi="仿宋" w:eastAsia="仿宋" w:cs="仿宋"/>
          <w:b/>
          <w:color w:val="auto"/>
          <w:sz w:val="24"/>
        </w:rPr>
        <w:t>1.中标条件</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1.1投标文件基本符合招标文件要求；</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1.2投标人有很好的执行合同的能力；</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1.3实施方案最合理并对招标人最为有利，最大限度满足招标文件的要求；</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1.4投标人能够提供质量技术、商务经济占综合优势的系统及服务。</w:t>
      </w:r>
    </w:p>
    <w:p>
      <w:pPr>
        <w:adjustRightInd/>
        <w:spacing w:line="288" w:lineRule="auto"/>
        <w:jc w:val="left"/>
        <w:rPr>
          <w:rFonts w:ascii="仿宋" w:hAnsi="仿宋" w:eastAsia="仿宋" w:cs="仿宋"/>
          <w:b/>
          <w:sz w:val="24"/>
        </w:rPr>
      </w:pPr>
      <w:r>
        <w:rPr>
          <w:rFonts w:hint="eastAsia" w:ascii="仿宋" w:hAnsi="仿宋" w:eastAsia="仿宋" w:cs="仿宋"/>
          <w:b/>
          <w:sz w:val="24"/>
        </w:rPr>
        <w:t>2．中标通知</w:t>
      </w:r>
    </w:p>
    <w:p>
      <w:pPr>
        <w:pStyle w:val="61"/>
        <w:tabs>
          <w:tab w:val="left" w:pos="0"/>
        </w:tabs>
        <w:adjustRightInd/>
        <w:spacing w:before="0" w:line="288" w:lineRule="auto"/>
        <w:ind w:firstLine="0" w:firstLineChars="0"/>
        <w:rPr>
          <w:rFonts w:ascii="仿宋" w:hAnsi="仿宋" w:eastAsia="仿宋" w:cs="仿宋"/>
          <w:szCs w:val="24"/>
        </w:rPr>
      </w:pPr>
      <w:r>
        <w:rPr>
          <w:rFonts w:hint="eastAsia" w:ascii="仿宋" w:hAnsi="仿宋" w:eastAsia="仿宋" w:cs="仿宋"/>
          <w:szCs w:val="24"/>
        </w:rPr>
        <w:t>2.1</w:t>
      </w:r>
      <w:r>
        <w:rPr>
          <w:rFonts w:hint="eastAsia" w:ascii="仿宋" w:hAnsi="仿宋" w:eastAsia="仿宋" w:cs="仿宋"/>
        </w:rPr>
        <w:t>采购代理机构对中标结果在指定媒体（浙江政府采购网http://www.zjzfcg.gov.cn、绍兴公共资源交易网http://ggb.sx.gov.cn）发布中标公告，中标公告期限为1个工作日</w:t>
      </w:r>
      <w:r>
        <w:rPr>
          <w:rFonts w:hint="eastAsia" w:ascii="仿宋" w:hAnsi="仿宋" w:eastAsia="仿宋" w:cs="仿宋"/>
          <w:kern w:val="0"/>
          <w:szCs w:val="24"/>
        </w:rPr>
        <w:t>。</w:t>
      </w:r>
    </w:p>
    <w:p>
      <w:pPr>
        <w:tabs>
          <w:tab w:val="left" w:pos="0"/>
        </w:tabs>
        <w:adjustRightInd/>
        <w:spacing w:line="288" w:lineRule="auto"/>
        <w:rPr>
          <w:rFonts w:ascii="仿宋" w:hAnsi="仿宋" w:eastAsia="仿宋" w:cs="仿宋"/>
          <w:kern w:val="0"/>
          <w:sz w:val="24"/>
          <w:lang w:val="zh-CN"/>
        </w:rPr>
      </w:pPr>
      <w:r>
        <w:rPr>
          <w:rFonts w:hint="eastAsia" w:ascii="仿宋" w:hAnsi="仿宋" w:eastAsia="仿宋" w:cs="仿宋"/>
          <w:sz w:val="24"/>
        </w:rPr>
        <w:t>2.2在采购代理机构发出中标通知书前，中标供应商有违反有关法律法规和本项目要求行为的，则取消该投标人的中标资格</w:t>
      </w:r>
      <w:r>
        <w:rPr>
          <w:rFonts w:hint="eastAsia" w:ascii="仿宋" w:hAnsi="仿宋" w:eastAsia="仿宋" w:cs="仿宋"/>
          <w:kern w:val="0"/>
          <w:sz w:val="24"/>
          <w:lang w:val="zh-CN"/>
        </w:rPr>
        <w:t>。</w:t>
      </w:r>
    </w:p>
    <w:p>
      <w:pPr>
        <w:adjustRightInd/>
        <w:spacing w:line="288" w:lineRule="auto"/>
        <w:jc w:val="left"/>
        <w:rPr>
          <w:rFonts w:ascii="仿宋" w:hAnsi="仿宋" w:eastAsia="仿宋" w:cs="仿宋"/>
          <w:sz w:val="24"/>
        </w:rPr>
      </w:pPr>
      <w:r>
        <w:rPr>
          <w:rFonts w:hint="eastAsia" w:ascii="仿宋" w:hAnsi="仿宋" w:eastAsia="仿宋" w:cs="仿宋"/>
          <w:sz w:val="24"/>
        </w:rPr>
        <w:t>2.3采购代理机构对中标结果不作任何说明和解释，也不回答任何提问。</w:t>
      </w:r>
    </w:p>
    <w:p>
      <w:pPr>
        <w:adjustRightInd/>
        <w:spacing w:line="288" w:lineRule="auto"/>
        <w:jc w:val="left"/>
        <w:rPr>
          <w:rFonts w:ascii="仿宋" w:hAnsi="仿宋" w:eastAsia="仿宋" w:cs="仿宋"/>
          <w:b/>
          <w:sz w:val="24"/>
        </w:rPr>
      </w:pPr>
      <w:r>
        <w:rPr>
          <w:rFonts w:hint="eastAsia" w:ascii="仿宋" w:hAnsi="仿宋" w:eastAsia="仿宋" w:cs="仿宋"/>
          <w:b/>
          <w:sz w:val="24"/>
        </w:rPr>
        <w:t>3．履约保证金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3.2供应商在履行完合同约定事项后，采购人应及时退还履约保证金。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3.3供应商以银行、保险公司出具保函形式提交履约保证金的，采购人不得拒收。</w:t>
      </w:r>
    </w:p>
    <w:p>
      <w:pPr>
        <w:adjustRightInd/>
        <w:spacing w:line="288" w:lineRule="auto"/>
        <w:jc w:val="left"/>
        <w:rPr>
          <w:rFonts w:ascii="仿宋" w:hAnsi="仿宋" w:eastAsia="仿宋" w:cs="仿宋"/>
          <w:b/>
          <w:sz w:val="24"/>
        </w:rPr>
      </w:pPr>
      <w:r>
        <w:rPr>
          <w:rFonts w:hint="eastAsia" w:ascii="仿宋" w:hAnsi="仿宋" w:eastAsia="仿宋" w:cs="仿宋"/>
          <w:b/>
          <w:sz w:val="24"/>
        </w:rPr>
        <w:t>4．合同备案</w:t>
      </w:r>
    </w:p>
    <w:p>
      <w:pPr>
        <w:adjustRightInd/>
        <w:spacing w:line="288" w:lineRule="auto"/>
        <w:jc w:val="left"/>
        <w:rPr>
          <w:rFonts w:ascii="仿宋" w:hAnsi="仿宋" w:eastAsia="仿宋" w:cs="仿宋"/>
          <w:sz w:val="24"/>
        </w:rPr>
      </w:pPr>
      <w:r>
        <w:rPr>
          <w:rFonts w:hint="eastAsia" w:ascii="仿宋" w:hAnsi="仿宋" w:eastAsia="仿宋" w:cs="仿宋"/>
          <w:sz w:val="24"/>
        </w:rPr>
        <w:t>4.1中标人应当在中标通知书发出之日起30天内与采购人签订合同，自采购合同签订之日起</w:t>
      </w:r>
      <w:r>
        <w:rPr>
          <w:rFonts w:hint="eastAsia" w:ascii="仿宋" w:hAnsi="仿宋" w:eastAsia="仿宋" w:cs="仿宋"/>
          <w:b/>
          <w:sz w:val="24"/>
        </w:rPr>
        <w:t>五个工作日内</w:t>
      </w:r>
      <w:r>
        <w:rPr>
          <w:rFonts w:hint="eastAsia" w:ascii="仿宋" w:hAnsi="仿宋" w:eastAsia="仿宋" w:cs="仿宋"/>
          <w:sz w:val="24"/>
        </w:rPr>
        <w:t>，将</w:t>
      </w:r>
      <w:r>
        <w:rPr>
          <w:rFonts w:hint="eastAsia" w:ascii="仿宋" w:hAnsi="仿宋" w:eastAsia="仿宋" w:cs="仿宋"/>
          <w:b/>
          <w:sz w:val="24"/>
        </w:rPr>
        <w:t>采购合同复印件</w:t>
      </w:r>
      <w:r>
        <w:rPr>
          <w:rFonts w:hint="eastAsia" w:ascii="仿宋" w:hAnsi="仿宋" w:eastAsia="仿宋" w:cs="仿宋"/>
          <w:sz w:val="24"/>
        </w:rPr>
        <w:t>拿到耀华建设管理有限公司备案。</w:t>
      </w:r>
    </w:p>
    <w:p>
      <w:pPr>
        <w:adjustRightInd/>
        <w:spacing w:line="288" w:lineRule="auto"/>
        <w:jc w:val="left"/>
        <w:rPr>
          <w:rFonts w:ascii="仿宋" w:hAnsi="仿宋" w:eastAsia="仿宋" w:cs="仿宋"/>
          <w:sz w:val="24"/>
        </w:rPr>
      </w:pPr>
      <w:r>
        <w:rPr>
          <w:rFonts w:hint="eastAsia" w:ascii="仿宋" w:hAnsi="仿宋" w:eastAsia="仿宋" w:cs="仿宋"/>
          <w:sz w:val="24"/>
        </w:rPr>
        <w:t>4.2未领取中标通知书，采购双方自行签订的合同不予备案。</w:t>
      </w:r>
    </w:p>
    <w:p>
      <w:pPr>
        <w:adjustRightInd/>
        <w:spacing w:line="288" w:lineRule="auto"/>
        <w:jc w:val="left"/>
        <w:rPr>
          <w:rFonts w:ascii="仿宋" w:hAnsi="仿宋" w:eastAsia="仿宋" w:cs="仿宋"/>
          <w:b/>
          <w:sz w:val="24"/>
        </w:rPr>
      </w:pPr>
      <w:r>
        <w:rPr>
          <w:rFonts w:hint="eastAsia" w:ascii="仿宋" w:hAnsi="仿宋" w:eastAsia="仿宋" w:cs="仿宋"/>
          <w:b/>
          <w:sz w:val="24"/>
        </w:rPr>
        <w:t>5.验收</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5.2采购人可以邀请参加本项目的其他投标人或者第三方机构参与验收。参与验收的投标人或者第三方机构的意见作为验收书的参考资料一并存档。</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5.3 采购人负责加强对中标人的履约管理，并按照采购合同约定，及时向中标人支付采购资金。对于中标人违反采购合同约定的行为，采购人应当及时处理，依法追究其违约责任。</w:t>
      </w:r>
    </w:p>
    <w:p>
      <w:pPr>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 售后服务考核</w:t>
      </w:r>
    </w:p>
    <w:p>
      <w:p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代理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snapToGrid w:val="0"/>
        <w:spacing w:line="288" w:lineRule="auto"/>
        <w:jc w:val="center"/>
        <w:outlineLvl w:val="0"/>
        <w:rPr>
          <w:rFonts w:hint="eastAsia" w:ascii="仿宋" w:hAnsi="仿宋" w:eastAsia="仿宋" w:cs="仿宋"/>
          <w:b/>
          <w:color w:val="000000" w:themeColor="text1"/>
          <w:sz w:val="36"/>
          <w:szCs w:val="36"/>
          <w14:textFill>
            <w14:solidFill>
              <w14:schemeClr w14:val="tx1"/>
            </w14:solidFill>
          </w14:textFill>
        </w:rPr>
      </w:pPr>
    </w:p>
    <w:p>
      <w:pPr>
        <w:snapToGrid w:val="0"/>
        <w:spacing w:line="288"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六、质疑与投诉</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288" w:lineRule="auto"/>
        <w:ind w:firstLine="472" w:firstLineChars="196"/>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24"/>
          <w:lang w:val="zh-CN"/>
          <w14:textFill>
            <w14:solidFill>
              <w14:schemeClr w14:val="tx1"/>
            </w14:solidFill>
          </w14:textFill>
        </w:rPr>
        <w:t>1.供应商询问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供应商对政府采购活动事项有疑问的，可以向采购机构提出询问，采购机构将对供应商依法提出的询问作出答复，但答复的内容不得涉及商业秘密。</w:t>
      </w:r>
    </w:p>
    <w:p>
      <w:pPr>
        <w:autoSpaceDE w:val="0"/>
        <w:autoSpaceDN w:val="0"/>
        <w:spacing w:line="288" w:lineRule="auto"/>
        <w:ind w:firstLine="472" w:firstLineChars="196"/>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24"/>
          <w:lang w:val="zh-CN"/>
          <w14:textFill>
            <w14:solidFill>
              <w14:schemeClr w14:val="tx1"/>
            </w14:solidFill>
          </w14:textFill>
        </w:rPr>
        <w:t>2.供应商质疑</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2.1供应商认为采购文件、采购过程和成交结果使自己的权益受到损害的，可以在知道或者应知其权益受到损害之日起七个工作日内，以书面形式向采购机构提出质疑，否则，采购机构不予受理：</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（2）对采购过程提出质疑的，质疑期限为各采购程序环节结束之日起计算。</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（3）对采购结果提出质疑的，质疑期限自采购结果公告（包括公示、预公告、结果变更公告等）期限届满之日起计算。</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（4）供应商应在法定质疑期内一次性提出针对同一采购程序环节的质疑。</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3.供应商提交提出质疑应当提交质疑书和必要的证明材料，质疑书需一式三份，质疑书至少应包括下列主要内容：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（1）质疑人的名称、地址、邮政编码、联系人、联系电话，以及被质疑人名称及联系方式；</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（2）被质疑采购项目名称、编号及采购内容；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（3）具体、明确的质疑事项和与质疑事项相关的请求</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（4）事实依据；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（5）必要的法律依据；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（6）认为自己合法权益受到损害或可能受到损害的相关证据材料；</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（7）提出质疑的日期。</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 质疑书应当署名。质疑人为自然人的，应当由本人签字并附有效身份证明；质疑人为法人或其他组织的，应当由法定代表人或主要负责人签字（或盖章）并加盖单位公章。</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 质疑人因故不能自行办理质疑事项的，可以委托代理人办理质疑事宜，但应当向被质疑人提交授权委托书，并载明委托代理的具体权限和事项。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（10）质疑人提供的相关材料中有外文资料的，应当将与质疑相关的外文资料完整、客观、真实地翻译为中文，并注明翻译人员姓名、工作单位、联系方式等信息。</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4.采购机构应当在收到供应商的书面质疑后七个工作日内作出答复，并以书面形式通知质疑供应商和其他与质疑处理结果有利害关系的政府采购当事人，但答复的内容不得涉及商业秘密。</w:t>
      </w:r>
    </w:p>
    <w:p>
      <w:pPr>
        <w:adjustRightInd/>
        <w:spacing w:line="288" w:lineRule="auto"/>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5.询问或者质疑事项可能影响采购结果的，采购人应当暂停签订合同，已经签订合同的，应当中止履行合同。</w:t>
      </w:r>
    </w:p>
    <w:p>
      <w:pPr>
        <w:pStyle w:val="14"/>
        <w:adjustRightInd/>
        <w:spacing w:line="336" w:lineRule="auto"/>
        <w:rPr>
          <w:rFonts w:ascii="仿宋_GB2312" w:hAnsi="宋体" w:eastAsia="仿宋_GB2312"/>
          <w:b/>
          <w:sz w:val="36"/>
          <w:szCs w:val="36"/>
        </w:rPr>
      </w:pPr>
    </w:p>
    <w:p>
      <w:pPr>
        <w:pStyle w:val="14"/>
        <w:adjustRightInd/>
        <w:spacing w:line="288" w:lineRule="auto"/>
        <w:jc w:val="both"/>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ascii="仿宋_GB2312" w:hAnsi="宋体" w:eastAsia="仿宋_GB2312"/>
          <w:b/>
          <w:sz w:val="36"/>
          <w:szCs w:val="36"/>
        </w:rPr>
      </w:pPr>
      <w:r>
        <w:rPr>
          <w:rFonts w:hint="eastAsia" w:ascii="仿宋_GB2312" w:hAnsi="宋体" w:eastAsia="仿宋_GB2312"/>
          <w:b/>
          <w:sz w:val="36"/>
          <w:szCs w:val="36"/>
        </w:rPr>
        <w:t>第三部分</w:t>
      </w:r>
      <w:r>
        <w:rPr>
          <w:rFonts w:ascii="仿宋_GB2312" w:hAnsi="宋体" w:eastAsia="仿宋_GB2312"/>
          <w:b/>
          <w:sz w:val="36"/>
          <w:szCs w:val="36"/>
        </w:rPr>
        <w:t xml:space="preserve"> </w:t>
      </w:r>
      <w:r>
        <w:rPr>
          <w:rFonts w:hint="eastAsia" w:ascii="仿宋_GB2312" w:hAnsi="宋体" w:eastAsia="仿宋_GB2312"/>
          <w:b/>
          <w:sz w:val="36"/>
          <w:szCs w:val="36"/>
        </w:rPr>
        <w:t>项目技术规范和服务要求</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1.设备（材料）要求</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1.1投标人投标提供的设备必须是厂商原装的、全新的，型号、性能及指标符合国家及招标文件提出的有关技术、质量、安全标准。</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1.2所有设备在开箱检验时必须完好，无破损，配置与装箱单相符。数量、质量及性能不低于本需求书中提出的要求。</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1.3设备外观清洁，标记编号以及盘面显示等字体清晰，明确。铭牌、使用指示、警告指示应以中文或英文及易懂的通用符号来表示；应准确无误地表明设备之型号、规格、制造厂及生产或出厂日期。</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1.4对于影响设备正常工作的必要组成部分，无论在技术规范中指出与否，投标人都应提供并在投标文件中明确列出。</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1.5所有货物提供出厂合格证等质量证明文件，国外生产的必须有合法的进货渠道证明，如海关报关单、原产地证明、商检证明等。</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2.数量调整</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招标人保留在签约时调整部分方案及定购设备数量和服务的权力，投标人应对系统方案中设备和服务明细报价，施工设计变更后发生的数量增减，按谈判单价不变的前提下进行调整，双方不得拒绝。</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3.安装及调试、验收</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中标人应派经招标人认可的有经验和能力、具有相应资质的技术人员，负责系统设备安装工作，在设备安装期间应充分了解设备安装进度要求，保证施工质量，解决施工中出现的技术问题。</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3.1中标人负责设备的安装、调试。</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3.2调试所需专用工具设施物料由中标人自备、自费运到现场，完工后自费搬走。</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3.3调试：按国家有关验收规范（国家无验收规范的按双方合同规定的要求进行）进行，分阶段进行调试。</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3.4设备的拆箱、通电、调试等各项工作由中标人负责，但必须在招标人指定人员的参与下进行。在实际实施前必须先经招标人同意方可进行。调试的原始记录须经各方签字后作为验收的文件之一。</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3.5安装完成后，进行调试、验收(包括负责通过有关部门组织的验收)。验收由招标人与中标人及相关专业监督人员依国家有关验收标准、合同、设计图纸及有关附件要求进行。</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4.技术培训</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4.1中标人须对招标人的技术人员维修培训。投标人须在投标文件中提供详细的培训计划，包括培训内容、培训时间、培训费用等。</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4.2中标人提供的负责培训的人员应具备同类工程五年以上的工程经验。</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 xml:space="preserve">4.3技术培训费用应包含在投标总价中。    </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4.4技术培训至少应包括下列内容：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4.4.1原理、构成和功能的描述。</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4.4.2常见故障的处理或排除。</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4.4.3各系统部件（设备）的检查、调整和维护。</w:t>
      </w:r>
    </w:p>
    <w:p>
      <w:pPr>
        <w:pStyle w:val="13"/>
        <w:numPr>
          <w:ilvl w:val="0"/>
          <w:numId w:val="0"/>
        </w:numPr>
        <w:tabs>
          <w:tab w:val="left" w:pos="482"/>
          <w:tab w:val="clear" w:pos="1200"/>
        </w:tabs>
        <w:spacing w:after="156" w:line="240" w:lineRule="auto"/>
        <w:rPr>
          <w:rFonts w:hint="eastAsia" w:ascii="仿宋" w:hAnsi="仿宋" w:eastAsia="仿宋" w:cs="仿宋"/>
          <w:b/>
          <w:bCs/>
          <w:color w:val="FF0000"/>
          <w:kern w:val="2"/>
          <w:sz w:val="24"/>
          <w:szCs w:val="24"/>
        </w:rPr>
      </w:pPr>
      <w:r>
        <w:rPr>
          <w:rFonts w:hint="eastAsia" w:ascii="仿宋" w:hAnsi="仿宋" w:eastAsia="仿宋" w:cs="仿宋"/>
          <w:b/>
          <w:bCs/>
          <w:color w:val="FF0000"/>
          <w:kern w:val="2"/>
          <w:sz w:val="24"/>
          <w:szCs w:val="24"/>
        </w:rPr>
        <w:t>5.采购项目设备名称及数量：</w:t>
      </w:r>
      <w:bookmarkStart w:id="3" w:name="objid765"/>
      <w:bookmarkEnd w:id="3"/>
    </w:p>
    <w:p>
      <w:pPr>
        <w:spacing w:line="240" w:lineRule="auto"/>
        <w:rPr>
          <w:rFonts w:hint="eastAsia" w:ascii="仿宋" w:hAnsi="仿宋" w:eastAsia="仿宋" w:cs="仿宋"/>
          <w:color w:val="auto"/>
          <w:sz w:val="28"/>
          <w:szCs w:val="28"/>
        </w:rPr>
      </w:pPr>
    </w:p>
    <w:p>
      <w:pPr>
        <w:pStyle w:val="13"/>
        <w:numPr>
          <w:ilvl w:val="0"/>
          <w:numId w:val="0"/>
        </w:numPr>
        <w:tabs>
          <w:tab w:val="left" w:pos="482"/>
          <w:tab w:val="clear" w:pos="1200"/>
        </w:tabs>
        <w:spacing w:after="156" w:line="240" w:lineRule="auto"/>
        <w:rPr>
          <w:rFonts w:hint="eastAsia" w:ascii="仿宋" w:hAnsi="仿宋" w:eastAsia="仿宋" w:cs="仿宋"/>
          <w:color w:val="auto"/>
          <w:sz w:val="28"/>
          <w:szCs w:val="28"/>
        </w:rPr>
      </w:pPr>
      <w:r>
        <w:rPr>
          <w:rFonts w:hint="eastAsia" w:ascii="仿宋" w:hAnsi="仿宋" w:eastAsia="仿宋" w:cs="仿宋"/>
          <w:b/>
          <w:color w:val="auto"/>
          <w:sz w:val="28"/>
          <w:szCs w:val="28"/>
          <w:bdr w:val="single" w:color="auto" w:sz="4" w:space="0"/>
        </w:rPr>
        <w:t>01标</w:t>
      </w:r>
      <w:r>
        <w:rPr>
          <w:rFonts w:hint="eastAsia" w:ascii="仿宋" w:hAnsi="仿宋" w:eastAsia="仿宋" w:cs="仿宋"/>
          <w:b/>
          <w:color w:val="auto"/>
          <w:sz w:val="28"/>
          <w:szCs w:val="28"/>
        </w:rPr>
        <w:t>执法单兵应急4G图像传输流量租赁项目</w:t>
      </w:r>
    </w:p>
    <w:p>
      <w:pPr>
        <w:spacing w:line="240" w:lineRule="auto"/>
        <w:rPr>
          <w:rFonts w:hint="eastAsia" w:ascii="仿宋" w:hAnsi="仿宋" w:eastAsia="仿宋" w:cs="仿宋"/>
          <w:b/>
          <w:bCs/>
          <w:sz w:val="24"/>
          <w:szCs w:val="24"/>
        </w:rPr>
      </w:pPr>
      <w:r>
        <w:rPr>
          <w:rFonts w:hint="eastAsia" w:ascii="仿宋" w:hAnsi="仿宋" w:eastAsia="仿宋" w:cs="仿宋"/>
          <w:b/>
          <w:bCs/>
          <w:sz w:val="24"/>
          <w:szCs w:val="24"/>
        </w:rPr>
        <w:t>1）项目概况：</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因我局150台执法单兵应急4G图像传输流量到期，为不影响日常**工作，需对150台执法单兵应急4G图像传输进行流量采购。 </w:t>
      </w:r>
    </w:p>
    <w:p>
      <w:pPr>
        <w:spacing w:line="240" w:lineRule="auto"/>
        <w:rPr>
          <w:rFonts w:hint="eastAsia" w:ascii="仿宋" w:hAnsi="仿宋" w:eastAsia="仿宋" w:cs="仿宋"/>
          <w:sz w:val="24"/>
          <w:szCs w:val="24"/>
        </w:rPr>
      </w:pPr>
      <w:r>
        <w:rPr>
          <w:rFonts w:hint="eastAsia" w:ascii="仿宋" w:hAnsi="仿宋" w:eastAsia="仿宋" w:cs="仿宋"/>
          <w:b/>
          <w:bCs/>
          <w:sz w:val="24"/>
          <w:szCs w:val="24"/>
        </w:rPr>
        <w:t>2）服务要求、服务范围：</w:t>
      </w:r>
    </w:p>
    <w:p>
      <w:pPr>
        <w:spacing w:line="240" w:lineRule="auto"/>
        <w:rPr>
          <w:rFonts w:hint="eastAsia" w:ascii="仿宋" w:hAnsi="仿宋" w:eastAsia="仿宋" w:cs="仿宋"/>
          <w:sz w:val="24"/>
          <w:szCs w:val="24"/>
        </w:rPr>
      </w:pPr>
      <w:r>
        <w:rPr>
          <w:rFonts w:hint="eastAsia" w:ascii="仿宋" w:hAnsi="仿宋" w:eastAsia="仿宋" w:cs="仿宋"/>
          <w:sz w:val="24"/>
          <w:szCs w:val="24"/>
        </w:rPr>
        <w:t>①本次采购的服务为执法单兵的流量，拟采购</w:t>
      </w:r>
      <w:r>
        <w:rPr>
          <w:rFonts w:hint="eastAsia" w:ascii="仿宋" w:hAnsi="仿宋" w:eastAsia="仿宋" w:cs="仿宋"/>
          <w:color w:val="FF0000"/>
          <w:sz w:val="24"/>
          <w:szCs w:val="24"/>
        </w:rPr>
        <w:t>150</w:t>
      </w:r>
      <w:r>
        <w:rPr>
          <w:rFonts w:hint="eastAsia" w:ascii="仿宋" w:hAnsi="仿宋" w:eastAsia="仿宋" w:cs="仿宋"/>
          <w:sz w:val="24"/>
          <w:szCs w:val="24"/>
        </w:rPr>
        <w:t>张，每张卡要求每个月至少</w:t>
      </w:r>
      <w:r>
        <w:rPr>
          <w:rFonts w:hint="eastAsia" w:ascii="仿宋" w:hAnsi="仿宋" w:eastAsia="仿宋" w:cs="仿宋"/>
          <w:color w:val="FF0000"/>
          <w:sz w:val="24"/>
          <w:szCs w:val="24"/>
        </w:rPr>
        <w:t>4</w:t>
      </w:r>
      <w:r>
        <w:rPr>
          <w:rFonts w:hint="eastAsia" w:ascii="仿宋" w:hAnsi="仿宋" w:eastAsia="仿宋" w:cs="仿宋"/>
          <w:sz w:val="24"/>
          <w:szCs w:val="24"/>
        </w:rPr>
        <w:t>个G的流量；</w:t>
      </w:r>
    </w:p>
    <w:p>
      <w:pPr>
        <w:spacing w:line="240" w:lineRule="auto"/>
        <w:rPr>
          <w:rFonts w:hint="eastAsia" w:ascii="仿宋" w:hAnsi="仿宋" w:eastAsia="仿宋" w:cs="仿宋"/>
          <w:sz w:val="24"/>
          <w:szCs w:val="24"/>
          <w:highlight w:val="yellow"/>
        </w:rPr>
      </w:pPr>
      <w:r>
        <w:rPr>
          <w:rFonts w:hint="eastAsia" w:ascii="仿宋" w:hAnsi="仿宋" w:eastAsia="仿宋" w:cs="仿宋"/>
          <w:sz w:val="24"/>
          <w:szCs w:val="24"/>
        </w:rPr>
        <w:t>②为节省流量，本次采购的流量需建流量池（150张卡的流量可共享使用）,并与我局原有流量池共用；</w:t>
      </w:r>
    </w:p>
    <w:p>
      <w:pPr>
        <w:spacing w:line="240" w:lineRule="auto"/>
        <w:rPr>
          <w:rFonts w:hint="eastAsia" w:ascii="仿宋" w:hAnsi="仿宋" w:eastAsia="仿宋" w:cs="仿宋"/>
          <w:sz w:val="24"/>
          <w:szCs w:val="24"/>
        </w:rPr>
      </w:pPr>
      <w:r>
        <w:rPr>
          <w:rFonts w:hint="eastAsia" w:ascii="仿宋" w:hAnsi="仿宋" w:eastAsia="仿宋" w:cs="仿宋"/>
          <w:sz w:val="24"/>
          <w:szCs w:val="24"/>
        </w:rPr>
        <w:t>③本次采购的流量卡需为全国流量；</w:t>
      </w:r>
    </w:p>
    <w:p>
      <w:pPr>
        <w:spacing w:line="240" w:lineRule="auto"/>
        <w:rPr>
          <w:rFonts w:hint="eastAsia" w:ascii="仿宋" w:hAnsi="仿宋" w:eastAsia="仿宋" w:cs="仿宋"/>
          <w:sz w:val="24"/>
          <w:szCs w:val="24"/>
        </w:rPr>
      </w:pPr>
      <w:r>
        <w:rPr>
          <w:rFonts w:hint="eastAsia" w:ascii="仿宋" w:hAnsi="仿宋" w:eastAsia="仿宋" w:cs="仿宋"/>
          <w:sz w:val="24"/>
          <w:szCs w:val="24"/>
        </w:rPr>
        <w:t>④本次采购的服务的最终数量以采购人执法单兵使用的实际情况为准，最终合同以单张流量卡的报价*实际流量卡的张数签订。如有增补，按实际月份计算价格。(总数不超过656张)</w:t>
      </w:r>
    </w:p>
    <w:p>
      <w:pPr>
        <w:spacing w:line="240" w:lineRule="auto"/>
        <w:rPr>
          <w:rFonts w:hint="eastAsia" w:ascii="仿宋" w:hAnsi="仿宋" w:eastAsia="仿宋" w:cs="仿宋"/>
          <w:sz w:val="24"/>
          <w:szCs w:val="24"/>
        </w:rPr>
      </w:pPr>
      <w:r>
        <w:rPr>
          <w:rFonts w:hint="eastAsia" w:ascii="仿宋" w:hAnsi="仿宋" w:eastAsia="仿宋" w:cs="仿宋"/>
          <w:sz w:val="24"/>
          <w:szCs w:val="24"/>
        </w:rPr>
        <w:t>⑤本次采购的流量卡需能直接在采购人执法单兵上使用，接入公安平台及其他一切费用均由中标商自行承担。</w:t>
      </w:r>
    </w:p>
    <w:p>
      <w:pPr>
        <w:spacing w:line="240" w:lineRule="auto"/>
        <w:rPr>
          <w:rFonts w:hint="eastAsia" w:ascii="仿宋" w:hAnsi="仿宋" w:eastAsia="仿宋" w:cs="仿宋"/>
          <w:sz w:val="24"/>
          <w:szCs w:val="24"/>
        </w:rPr>
      </w:pPr>
      <w:r>
        <w:rPr>
          <w:rFonts w:hint="eastAsia" w:ascii="仿宋" w:hAnsi="仿宋" w:eastAsia="仿宋" w:cs="仿宋"/>
          <w:sz w:val="24"/>
          <w:szCs w:val="24"/>
        </w:rPr>
        <w:t>⑥中标方需负责帮助甲方将流量卡安装至执法仪内，并进行调试，至正常使用为止，此间产生的一切费用也由中标商自行承担。</w:t>
      </w:r>
    </w:p>
    <w:p>
      <w:pPr>
        <w:spacing w:line="240" w:lineRule="auto"/>
        <w:rPr>
          <w:rFonts w:hint="eastAsia" w:ascii="仿宋" w:hAnsi="仿宋" w:eastAsia="仿宋" w:cs="仿宋"/>
          <w:sz w:val="24"/>
          <w:szCs w:val="24"/>
        </w:rPr>
      </w:pPr>
      <w:r>
        <w:rPr>
          <w:rFonts w:hint="eastAsia" w:ascii="仿宋" w:hAnsi="仿宋" w:eastAsia="仿宋" w:cs="仿宋"/>
          <w:sz w:val="24"/>
          <w:szCs w:val="24"/>
        </w:rPr>
        <w:t>⑦基于公安业务的特殊性，中标方所提供的SIM卡需符合公安业务的安全标准。要求运营商通过VPDN专网接入市公安局现有的内部网络。</w:t>
      </w:r>
    </w:p>
    <w:p>
      <w:pPr>
        <w:spacing w:line="240" w:lineRule="auto"/>
        <w:rPr>
          <w:rFonts w:hint="eastAsia" w:ascii="仿宋" w:hAnsi="仿宋" w:eastAsia="仿宋" w:cs="仿宋"/>
          <w:sz w:val="24"/>
          <w:szCs w:val="24"/>
        </w:rPr>
      </w:pPr>
      <w:r>
        <w:rPr>
          <w:rFonts w:hint="eastAsia" w:ascii="仿宋" w:hAnsi="仿宋" w:eastAsia="仿宋" w:cs="仿宋"/>
          <w:sz w:val="24"/>
          <w:szCs w:val="24"/>
        </w:rPr>
        <w:t>⑧中标运营商的4G网络需基本覆盖绍兴全区，在偏远山区如无法接入4G网络，需平滑的接入3G网络，实现无线图像传输。</w:t>
      </w:r>
    </w:p>
    <w:p>
      <w:pPr>
        <w:spacing w:line="240" w:lineRule="auto"/>
        <w:rPr>
          <w:rFonts w:hint="eastAsia" w:ascii="仿宋" w:hAnsi="仿宋" w:eastAsia="仿宋" w:cs="仿宋"/>
          <w:sz w:val="24"/>
          <w:szCs w:val="24"/>
        </w:rPr>
      </w:pPr>
      <w:r>
        <w:rPr>
          <w:rFonts w:hint="eastAsia" w:ascii="仿宋" w:hAnsi="仿宋" w:eastAsia="仿宋" w:cs="仿宋"/>
          <w:b/>
          <w:bCs/>
          <w:sz w:val="24"/>
          <w:szCs w:val="24"/>
        </w:rPr>
        <w:t>3）合同期：1年；</w:t>
      </w:r>
      <w:r>
        <w:rPr>
          <w:rFonts w:hint="eastAsia" w:ascii="仿宋" w:hAnsi="仿宋" w:eastAsia="仿宋" w:cs="仿宋"/>
          <w:sz w:val="24"/>
          <w:szCs w:val="24"/>
        </w:rPr>
        <w:t>如合同期满，双方对该服务表示满意，则可按中标价格续签合同，合同一年一签，续签累计时间不超过2年,中标方需每月出具租赁情况报告。</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6.其它相关要求：</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6.1  交货时间、地点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6.1.1 交货时间：</w:t>
      </w:r>
      <w:r>
        <w:rPr>
          <w:rFonts w:hint="eastAsia" w:ascii="仿宋" w:hAnsi="仿宋" w:eastAsia="仿宋" w:cs="仿宋"/>
          <w:color w:val="FF0000"/>
          <w:sz w:val="24"/>
          <w:szCs w:val="24"/>
        </w:rPr>
        <w:t xml:space="preserve"> </w:t>
      </w:r>
      <w:r>
        <w:rPr>
          <w:rFonts w:hint="eastAsia" w:ascii="仿宋" w:hAnsi="仿宋" w:eastAsia="仿宋" w:cs="仿宋"/>
          <w:color w:val="FF0000"/>
          <w:sz w:val="24"/>
          <w:szCs w:val="24"/>
          <w:highlight w:val="yellow"/>
        </w:rPr>
        <w:t>2019年9月30日前完成安装、调试、验收并交付使用。</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6.1.2  交货地点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交货地点：绍兴市公安局越城分局</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6.2  付款方式</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合同签订后，乙方向甲方指定账户打入合同金额5%作为履约保证金；收到履约保证金后，甲方在30个工作日内支付合同金额100%。服务期满，验收合格后退还履约保证金（不计息）。</w:t>
      </w:r>
    </w:p>
    <w:p>
      <w:pPr>
        <w:spacing w:line="240" w:lineRule="auto"/>
        <w:jc w:val="left"/>
        <w:rPr>
          <w:rFonts w:hint="eastAsia" w:ascii="仿宋" w:hAnsi="仿宋" w:eastAsia="仿宋" w:cs="仿宋"/>
          <w:sz w:val="24"/>
          <w:szCs w:val="24"/>
        </w:rPr>
      </w:pPr>
    </w:p>
    <w:p>
      <w:pPr>
        <w:rPr>
          <w:rFonts w:hint="eastAsia" w:ascii="仿宋_GB2312" w:hAnsi="宋体" w:eastAsia="仿宋_GB2312"/>
          <w:b/>
          <w:sz w:val="36"/>
          <w:szCs w:val="36"/>
        </w:rPr>
      </w:pPr>
      <w:r>
        <w:rPr>
          <w:rFonts w:hint="eastAsia" w:ascii="仿宋_GB2312" w:hAnsi="宋体" w:eastAsia="仿宋_GB2312"/>
          <w:b/>
          <w:sz w:val="36"/>
          <w:szCs w:val="36"/>
        </w:rPr>
        <w:br w:type="page"/>
      </w:r>
    </w:p>
    <w:p>
      <w:pPr>
        <w:pStyle w:val="14"/>
        <w:adjustRightInd/>
        <w:spacing w:line="288" w:lineRule="auto"/>
        <w:jc w:val="center"/>
        <w:rPr>
          <w:rFonts w:hint="eastAsia" w:ascii="仿宋_GB2312" w:hAnsi="宋体" w:eastAsia="仿宋_GB2312"/>
          <w:b/>
          <w:sz w:val="36"/>
          <w:szCs w:val="36"/>
        </w:rPr>
      </w:pPr>
      <w:r>
        <w:rPr>
          <w:rFonts w:hint="eastAsia" w:ascii="仿宋_GB2312" w:hAnsi="宋体" w:eastAsia="仿宋_GB2312"/>
          <w:b/>
          <w:sz w:val="36"/>
          <w:szCs w:val="36"/>
        </w:rPr>
        <w:t>第四部分 合同主要条款</w:t>
      </w:r>
    </w:p>
    <w:p>
      <w:pPr>
        <w:spacing w:line="240" w:lineRule="auto"/>
        <w:jc w:val="left"/>
        <w:rPr>
          <w:rFonts w:hint="eastAsia" w:ascii="仿宋" w:hAnsi="仿宋" w:eastAsia="仿宋" w:cs="仿宋"/>
          <w:b/>
          <w:sz w:val="24"/>
          <w:szCs w:val="24"/>
        </w:rPr>
      </w:pPr>
      <w:r>
        <w:rPr>
          <w:rFonts w:hint="eastAsia" w:ascii="仿宋" w:hAnsi="仿宋" w:eastAsia="仿宋" w:cs="仿宋"/>
          <w:b/>
          <w:sz w:val="24"/>
          <w:szCs w:val="24"/>
        </w:rPr>
        <w:t>1.合同范围</w:t>
      </w:r>
    </w:p>
    <w:p>
      <w:pPr>
        <w:spacing w:line="24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合同范围应与中标通知书、招标文件及被招标人接受的技术商务规范偏离表相一致。合同范围和双方的职责在 “招标文件”明确。</w:t>
      </w:r>
    </w:p>
    <w:p>
      <w:pPr>
        <w:pStyle w:val="62"/>
        <w:spacing w:line="240" w:lineRule="auto"/>
        <w:rPr>
          <w:rFonts w:hint="eastAsia" w:ascii="仿宋" w:hAnsi="仿宋" w:eastAsia="仿宋" w:cs="仿宋"/>
          <w:b/>
          <w:sz w:val="24"/>
          <w:szCs w:val="24"/>
        </w:rPr>
      </w:pPr>
      <w:r>
        <w:rPr>
          <w:rFonts w:hint="eastAsia" w:ascii="仿宋" w:hAnsi="仿宋" w:eastAsia="仿宋" w:cs="仿宋"/>
          <w:b/>
          <w:sz w:val="24"/>
          <w:szCs w:val="24"/>
        </w:rPr>
        <w:t>2.合同的签订</w:t>
      </w:r>
    </w:p>
    <w:p>
      <w:pPr>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2.1中标人须在中标通知书发出30日内按招标文件和中标供应商投标文件的约定，凭中标通知书和采购人在约定的时间、地点，由法定代表人或其授权代表与采购人签订书面合同。</w:t>
      </w:r>
    </w:p>
    <w:p>
      <w:pPr>
        <w:pStyle w:val="7"/>
        <w:widowControl w:val="0"/>
        <w:numPr>
          <w:ilvl w:val="0"/>
          <w:numId w:val="0"/>
        </w:numPr>
        <w:spacing w:after="0" w:afterLines="0" w:line="240" w:lineRule="auto"/>
        <w:ind w:leftChars="0"/>
        <w:rPr>
          <w:rFonts w:hint="eastAsia" w:ascii="仿宋" w:hAnsi="仿宋" w:eastAsia="仿宋" w:cs="仿宋"/>
          <w:sz w:val="24"/>
          <w:szCs w:val="24"/>
        </w:rPr>
      </w:pPr>
      <w:r>
        <w:rPr>
          <w:rFonts w:hint="eastAsia" w:ascii="仿宋" w:hAnsi="仿宋" w:eastAsia="仿宋" w:cs="仿宋"/>
          <w:sz w:val="24"/>
          <w:szCs w:val="24"/>
        </w:rPr>
        <w:t>2.1.1交货地点：用户指定地点。</w:t>
      </w:r>
    </w:p>
    <w:p>
      <w:pPr>
        <w:pStyle w:val="7"/>
        <w:widowControl w:val="0"/>
        <w:numPr>
          <w:ilvl w:val="0"/>
          <w:numId w:val="0"/>
        </w:numPr>
        <w:spacing w:after="0" w:afterLines="0" w:line="240" w:lineRule="auto"/>
        <w:ind w:leftChars="0"/>
        <w:rPr>
          <w:rFonts w:hint="eastAsia" w:ascii="仿宋" w:hAnsi="仿宋" w:eastAsia="仿宋" w:cs="仿宋"/>
          <w:sz w:val="24"/>
          <w:szCs w:val="24"/>
        </w:rPr>
      </w:pPr>
      <w:r>
        <w:rPr>
          <w:rFonts w:hint="eastAsia" w:ascii="仿宋" w:hAnsi="仿宋" w:eastAsia="仿宋" w:cs="仿宋"/>
          <w:sz w:val="24"/>
          <w:szCs w:val="24"/>
        </w:rPr>
        <w:t>2.1.2供货期：按标项内具体要求执行。</w:t>
      </w:r>
    </w:p>
    <w:p>
      <w:pPr>
        <w:pStyle w:val="7"/>
        <w:widowControl w:val="0"/>
        <w:numPr>
          <w:ilvl w:val="0"/>
          <w:numId w:val="0"/>
        </w:numPr>
        <w:spacing w:after="0" w:afterLines="0" w:line="240" w:lineRule="auto"/>
        <w:ind w:leftChars="0"/>
        <w:rPr>
          <w:rFonts w:hint="eastAsia" w:ascii="仿宋" w:hAnsi="仿宋" w:eastAsia="仿宋" w:cs="仿宋"/>
          <w:sz w:val="24"/>
          <w:szCs w:val="24"/>
        </w:rPr>
      </w:pPr>
      <w:r>
        <w:rPr>
          <w:rFonts w:hint="eastAsia" w:ascii="仿宋" w:hAnsi="仿宋" w:eastAsia="仿宋" w:cs="仿宋"/>
          <w:b/>
          <w:sz w:val="24"/>
          <w:szCs w:val="24"/>
        </w:rPr>
        <w:t>3.付款方式：</w:t>
      </w:r>
      <w:r>
        <w:rPr>
          <w:rFonts w:hint="eastAsia" w:ascii="仿宋" w:hAnsi="仿宋" w:eastAsia="仿宋" w:cs="仿宋"/>
          <w:sz w:val="24"/>
          <w:szCs w:val="24"/>
        </w:rPr>
        <w:t>合同签订后，乙方向甲方指定账户打入合同金额5%作为履约保证金；收到履约保证金后，甲方在30个工作日内支付合同金额100%。服务期满，验收合格后退还履约保证金（不计息）。</w:t>
      </w:r>
    </w:p>
    <w:p>
      <w:pPr>
        <w:tabs>
          <w:tab w:val="left" w:pos="7950"/>
        </w:tabs>
        <w:spacing w:line="240" w:lineRule="auto"/>
        <w:jc w:val="left"/>
        <w:rPr>
          <w:rFonts w:hint="eastAsia" w:ascii="仿宋" w:hAnsi="仿宋" w:eastAsia="仿宋" w:cs="仿宋"/>
          <w:b/>
          <w:sz w:val="24"/>
          <w:szCs w:val="24"/>
        </w:rPr>
      </w:pPr>
      <w:r>
        <w:rPr>
          <w:rFonts w:hint="eastAsia" w:ascii="仿宋" w:hAnsi="仿宋" w:eastAsia="仿宋" w:cs="仿宋"/>
          <w:b/>
          <w:sz w:val="24"/>
          <w:szCs w:val="24"/>
        </w:rPr>
        <w:t>4.合同修改</w:t>
      </w:r>
    </w:p>
    <w:p>
      <w:pPr>
        <w:pStyle w:val="7"/>
        <w:widowControl w:val="0"/>
        <w:numPr>
          <w:ilvl w:val="0"/>
          <w:numId w:val="0"/>
        </w:numPr>
        <w:spacing w:after="0" w:afterLines="0" w:line="240" w:lineRule="auto"/>
        <w:ind w:leftChars="0"/>
        <w:rPr>
          <w:rFonts w:hint="eastAsia" w:ascii="仿宋" w:hAnsi="仿宋" w:eastAsia="仿宋" w:cs="仿宋"/>
          <w:sz w:val="24"/>
          <w:szCs w:val="24"/>
        </w:rPr>
      </w:pPr>
      <w:r>
        <w:rPr>
          <w:rFonts w:hint="eastAsia" w:ascii="仿宋" w:hAnsi="仿宋" w:eastAsia="仿宋" w:cs="仿宋"/>
          <w:sz w:val="24"/>
          <w:szCs w:val="24"/>
        </w:rPr>
        <w:t>4.1双方的任何一方对合同内容提出修改，均应以书面形式通知对方，并达成由双方签署的合同修改书，须报政府采购管理部门批准。</w:t>
      </w:r>
    </w:p>
    <w:p>
      <w:pPr>
        <w:pStyle w:val="7"/>
        <w:widowControl w:val="0"/>
        <w:numPr>
          <w:ilvl w:val="0"/>
          <w:numId w:val="0"/>
        </w:numPr>
        <w:spacing w:after="0" w:afterLines="0" w:line="240" w:lineRule="auto"/>
        <w:ind w:leftChars="0"/>
        <w:rPr>
          <w:rFonts w:hint="eastAsia" w:ascii="仿宋" w:hAnsi="仿宋" w:eastAsia="仿宋" w:cs="仿宋"/>
          <w:sz w:val="24"/>
          <w:szCs w:val="24"/>
        </w:rPr>
      </w:pPr>
      <w:r>
        <w:rPr>
          <w:rFonts w:hint="eastAsia" w:ascii="仿宋" w:hAnsi="仿宋" w:eastAsia="仿宋" w:cs="仿宋"/>
          <w:sz w:val="24"/>
          <w:szCs w:val="24"/>
        </w:rPr>
        <w:t>4.2除非招标人对产品的品牌、型号规格和涉及价格因素的技术参数提出修改，中标人不得对合同价格提出修改要求。</w:t>
      </w:r>
    </w:p>
    <w:p>
      <w:pPr>
        <w:spacing w:line="240" w:lineRule="auto"/>
        <w:jc w:val="left"/>
        <w:rPr>
          <w:rFonts w:hint="eastAsia" w:ascii="仿宋" w:hAnsi="仿宋" w:eastAsia="仿宋" w:cs="仿宋"/>
          <w:b/>
          <w:sz w:val="24"/>
          <w:szCs w:val="24"/>
        </w:rPr>
      </w:pPr>
      <w:r>
        <w:rPr>
          <w:rFonts w:hint="eastAsia" w:ascii="仿宋" w:hAnsi="仿宋" w:eastAsia="仿宋" w:cs="仿宋"/>
          <w:b/>
          <w:sz w:val="24"/>
          <w:szCs w:val="24"/>
          <w:lang w:val="en-US" w:eastAsia="zh-CN"/>
        </w:rPr>
        <w:t>5</w:t>
      </w:r>
      <w:r>
        <w:rPr>
          <w:rFonts w:hint="eastAsia" w:ascii="仿宋" w:hAnsi="仿宋" w:eastAsia="仿宋" w:cs="仿宋"/>
          <w:b/>
          <w:sz w:val="24"/>
          <w:szCs w:val="24"/>
        </w:rPr>
        <w:t>.其他保障条款（知识产权、接口标准、保密约定、升级服务、技术支撑）</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.1知识产权明确归甲方所有，未经甲方同意，不得擅自以任何形式透露给第三方。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所有源代码无条件提交给甲方且符合标准允许二次开发，所涉及的数据项、数据接口必须遵循上级部门制定的相关数据标准和规范且必须无条件开放共享；在维保周期内，需无条件提供技术咨询；乙方所交付的产品中，不得含有任何可以自动终止或妨碍系统正常运行的软件。</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.3在项目实施前，乙方项目参与人员必须签订保密协议，保证项目建设人员做到保守机密和**秘密，安全可靠。</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4合同履行期间，乙方除应保证产品正常使用功能外，还应保证建设内容规定的功能免费升级，并提供清除产品运行隐患、完善和优化局部功能。其中通用、成熟类产品，还需提供其他地方同等的产品升级类服务条款。</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.5乙方应提供本项目产品足够的技术支撑，如使用外购产品，还须提供原厂商足够的技术力量支撑服务。</w:t>
      </w:r>
    </w:p>
    <w:p>
      <w:pPr>
        <w:spacing w:line="240" w:lineRule="auto"/>
        <w:rPr>
          <w:rFonts w:hint="eastAsia" w:ascii="仿宋" w:hAnsi="仿宋" w:eastAsia="仿宋" w:cs="仿宋"/>
          <w:sz w:val="24"/>
          <w:szCs w:val="24"/>
        </w:rPr>
      </w:pPr>
      <w:r>
        <w:rPr>
          <w:rFonts w:hint="eastAsia" w:ascii="仿宋" w:hAnsi="仿宋" w:eastAsia="仿宋" w:cs="仿宋"/>
          <w:sz w:val="24"/>
          <w:szCs w:val="24"/>
        </w:rPr>
        <w:t>（注：在正式签约时，根据上述精神应拟就更为详尽的合同书）</w:t>
      </w:r>
    </w:p>
    <w:p>
      <w:pPr>
        <w:spacing w:line="240" w:lineRule="auto"/>
        <w:ind w:firstLine="480" w:firstLineChars="200"/>
        <w:jc w:val="left"/>
        <w:rPr>
          <w:rFonts w:hint="eastAsia" w:ascii="仿宋" w:hAnsi="仿宋" w:eastAsia="仿宋" w:cs="仿宋"/>
          <w:sz w:val="24"/>
          <w:szCs w:val="24"/>
        </w:rPr>
      </w:pPr>
    </w:p>
    <w:p>
      <w:pPr>
        <w:spacing w:line="24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pStyle w:val="14"/>
        <w:spacing w:line="800" w:lineRule="exact"/>
        <w:jc w:val="both"/>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both"/>
        <w:rPr>
          <w:rFonts w:hint="eastAsia" w:ascii="仿宋" w:hAnsi="仿宋" w:eastAsia="仿宋" w:cs="仿宋"/>
          <w:b/>
          <w:sz w:val="36"/>
          <w:szCs w:val="36"/>
        </w:rPr>
      </w:pPr>
    </w:p>
    <w:p>
      <w:pPr>
        <w:pStyle w:val="14"/>
        <w:spacing w:line="800" w:lineRule="exact"/>
        <w:jc w:val="center"/>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合同主要条款</w:t>
      </w:r>
    </w:p>
    <w:p>
      <w:pPr>
        <w:spacing w:line="440" w:lineRule="exact"/>
        <w:jc w:val="left"/>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合同</w:t>
      </w:r>
      <w:bookmarkStart w:id="4" w:name="OLE_LINK1"/>
      <w:r>
        <w:rPr>
          <w:rFonts w:hint="eastAsia" w:ascii="仿宋" w:hAnsi="仿宋" w:eastAsia="仿宋" w:cs="仿宋"/>
          <w:b/>
          <w:bCs/>
          <w:sz w:val="24"/>
        </w:rPr>
        <w:t>范围</w:t>
      </w:r>
      <w:bookmarkEnd w:id="4"/>
    </w:p>
    <w:p>
      <w:pPr>
        <w:spacing w:line="440" w:lineRule="exact"/>
        <w:ind w:firstLine="480" w:firstLineChars="200"/>
        <w:jc w:val="left"/>
        <w:rPr>
          <w:rFonts w:ascii="仿宋" w:hAnsi="仿宋" w:eastAsia="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62"/>
        <w:spacing w:line="440" w:lineRule="exact"/>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合同的签订</w:t>
      </w:r>
    </w:p>
    <w:p>
      <w:pPr>
        <w:snapToGrid w:val="0"/>
        <w:spacing w:line="440" w:lineRule="exact"/>
        <w:jc w:val="left"/>
        <w:rPr>
          <w:rFonts w:ascii="仿宋" w:hAnsi="仿宋" w:eastAsia="仿宋"/>
          <w:sz w:val="24"/>
        </w:rPr>
      </w:pPr>
      <w:r>
        <w:rPr>
          <w:rFonts w:ascii="仿宋" w:hAnsi="仿宋" w:eastAsia="仿宋" w:cs="仿宋"/>
          <w:sz w:val="24"/>
        </w:rPr>
        <w:t>2.1</w:t>
      </w:r>
      <w:r>
        <w:rPr>
          <w:rFonts w:hint="eastAsia" w:ascii="仿宋" w:hAnsi="仿宋" w:eastAsia="仿宋" w:cs="仿宋"/>
          <w:sz w:val="24"/>
        </w:rPr>
        <w:t>中标人须在中标通知书发出</w:t>
      </w:r>
      <w:r>
        <w:rPr>
          <w:rFonts w:ascii="仿宋" w:hAnsi="仿宋" w:eastAsia="仿宋" w:cs="仿宋"/>
          <w:sz w:val="24"/>
        </w:rPr>
        <w:t>30</w:t>
      </w:r>
      <w:r>
        <w:rPr>
          <w:rFonts w:hint="eastAsia" w:ascii="仿宋" w:hAnsi="仿宋" w:eastAsia="仿宋" w:cs="仿宋"/>
          <w:sz w:val="24"/>
        </w:rPr>
        <w:t>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sz w:val="24"/>
        </w:rPr>
      </w:pPr>
      <w:r>
        <w:rPr>
          <w:rFonts w:ascii="仿宋" w:hAnsi="仿宋" w:eastAsia="仿宋" w:cs="仿宋"/>
          <w:sz w:val="24"/>
        </w:rPr>
        <w:t>2.1.1</w:t>
      </w:r>
      <w:r>
        <w:rPr>
          <w:rFonts w:hint="eastAsia" w:ascii="仿宋" w:hAnsi="仿宋" w:eastAsia="仿宋" w:cs="仿宋"/>
          <w:sz w:val="24"/>
          <w:lang w:eastAsia="zh-CN"/>
        </w:rPr>
        <w:t>实施</w:t>
      </w:r>
      <w:r>
        <w:rPr>
          <w:rFonts w:hint="eastAsia" w:ascii="仿宋" w:hAnsi="仿宋" w:eastAsia="仿宋" w:cs="仿宋"/>
          <w:sz w:val="24"/>
        </w:rPr>
        <w:t>地点：用户指定地点。</w:t>
      </w:r>
    </w:p>
    <w:p>
      <w:pPr>
        <w:snapToGrid w:val="0"/>
        <w:spacing w:line="440" w:lineRule="exact"/>
        <w:jc w:val="left"/>
        <w:rPr>
          <w:rFonts w:ascii="仿宋" w:hAnsi="仿宋" w:eastAsia="仿宋"/>
          <w:sz w:val="24"/>
        </w:rPr>
      </w:pPr>
      <w:r>
        <w:rPr>
          <w:rFonts w:ascii="仿宋" w:hAnsi="仿宋" w:eastAsia="仿宋" w:cs="仿宋"/>
          <w:sz w:val="24"/>
        </w:rPr>
        <w:t>2.1.2</w:t>
      </w:r>
      <w:r>
        <w:rPr>
          <w:rFonts w:hint="eastAsia" w:ascii="仿宋" w:hAnsi="仿宋" w:eastAsia="仿宋" w:cs="仿宋"/>
          <w:sz w:val="24"/>
          <w:lang w:eastAsia="zh-CN"/>
        </w:rPr>
        <w:t>完工</w:t>
      </w:r>
      <w:r>
        <w:rPr>
          <w:rFonts w:hint="eastAsia" w:ascii="仿宋" w:hAnsi="仿宋" w:eastAsia="仿宋" w:cs="仿宋"/>
          <w:sz w:val="24"/>
        </w:rPr>
        <w:t>期：按标项内具体要求执行。</w:t>
      </w:r>
    </w:p>
    <w:p>
      <w:pPr>
        <w:pStyle w:val="7"/>
        <w:numPr>
          <w:ilvl w:val="0"/>
          <w:numId w:val="0"/>
        </w:numPr>
        <w:tabs>
          <w:tab w:val="clear" w:pos="780"/>
        </w:tabs>
        <w:spacing w:line="440" w:lineRule="exact"/>
        <w:rPr>
          <w:rFonts w:ascii="仿宋" w:hAnsi="仿宋" w:eastAsia="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付款方式：</w:t>
      </w:r>
      <w:r>
        <w:rPr>
          <w:rFonts w:hint="eastAsia" w:ascii="仿宋" w:hAnsi="仿宋" w:eastAsia="仿宋" w:cs="仿宋"/>
          <w:color w:val="000000"/>
          <w:sz w:val="24"/>
        </w:rPr>
        <w:t>按标项内具体要求执行。</w:t>
      </w:r>
    </w:p>
    <w:p>
      <w:pPr>
        <w:tabs>
          <w:tab w:val="left" w:pos="7950"/>
        </w:tabs>
        <w:spacing w:line="440" w:lineRule="exact"/>
        <w:jc w:val="left"/>
        <w:rPr>
          <w:rFonts w:ascii="仿宋" w:hAnsi="仿宋" w:eastAsia="仿宋"/>
          <w:b/>
          <w:bCs/>
          <w:sz w:val="24"/>
        </w:rPr>
      </w:pPr>
      <w:r>
        <w:rPr>
          <w:rFonts w:ascii="仿宋" w:hAnsi="仿宋" w:eastAsia="仿宋" w:cs="仿宋"/>
          <w:b/>
          <w:bCs/>
          <w:sz w:val="24"/>
        </w:rPr>
        <w:t>4.</w:t>
      </w:r>
      <w:r>
        <w:rPr>
          <w:rFonts w:hint="eastAsia" w:ascii="仿宋" w:hAnsi="仿宋" w:eastAsia="仿宋" w:cs="仿宋"/>
          <w:b/>
          <w:bCs/>
          <w:sz w:val="24"/>
        </w:rPr>
        <w:t>合同修改</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bCs/>
          <w:sz w:val="24"/>
        </w:rPr>
      </w:pPr>
      <w:r>
        <w:rPr>
          <w:rFonts w:ascii="仿宋" w:hAnsi="仿宋" w:eastAsia="仿宋" w:cs="仿宋"/>
          <w:b/>
          <w:bCs/>
          <w:sz w:val="24"/>
        </w:rPr>
        <w:t xml:space="preserve">5. </w:t>
      </w:r>
      <w:r>
        <w:rPr>
          <w:rFonts w:hint="eastAsia" w:ascii="仿宋" w:hAnsi="仿宋" w:eastAsia="仿宋" w:cs="仿宋"/>
          <w:b/>
          <w:bCs/>
          <w:sz w:val="24"/>
        </w:rPr>
        <w:t>质量标准和验收</w:t>
      </w:r>
    </w:p>
    <w:p>
      <w:pPr>
        <w:snapToGrid w:val="0"/>
        <w:spacing w:line="440" w:lineRule="exact"/>
        <w:jc w:val="left"/>
        <w:rPr>
          <w:rFonts w:ascii="仿宋" w:hAnsi="仿宋" w:eastAsia="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bCs/>
          <w:sz w:val="24"/>
        </w:rPr>
      </w:pPr>
      <w:r>
        <w:rPr>
          <w:rFonts w:ascii="仿宋" w:hAnsi="仿宋" w:eastAsia="仿宋" w:cs="仿宋"/>
          <w:b/>
          <w:bCs/>
          <w:sz w:val="24"/>
        </w:rPr>
        <w:t>6.</w:t>
      </w:r>
      <w:r>
        <w:rPr>
          <w:rFonts w:hint="eastAsia" w:ascii="仿宋" w:hAnsi="仿宋" w:eastAsia="仿宋" w:cs="仿宋"/>
          <w:b/>
          <w:bCs/>
          <w:sz w:val="24"/>
        </w:rPr>
        <w:t>违约责任</w:t>
      </w:r>
    </w:p>
    <w:p>
      <w:pPr>
        <w:spacing w:line="440" w:lineRule="exact"/>
        <w:ind w:hanging="2"/>
        <w:jc w:val="left"/>
        <w:rPr>
          <w:rFonts w:hint="eastAsia" w:ascii="仿宋" w:hAnsi="仿宋" w:eastAsia="仿宋" w:cs="仿宋"/>
          <w:color w:val="FF0000"/>
          <w:sz w:val="24"/>
        </w:rPr>
      </w:pPr>
      <w:r>
        <w:rPr>
          <w:rFonts w:hint="eastAsia" w:ascii="仿宋" w:hAnsi="仿宋" w:eastAsia="仿宋" w:cs="仿宋"/>
          <w:color w:val="FF0000"/>
          <w:sz w:val="24"/>
        </w:rPr>
        <w:t>6.1中标人保证本合同中所供应的产品（服务）是符合国家技术规范和本项目招标文件要求的合格产品（服务）。如发生所供产品（服务）与合同不符，采购人有权调整（中止）维保租赁服务，由此产生的一切责任和后果由中标人承担。</w:t>
      </w:r>
    </w:p>
    <w:p>
      <w:pPr>
        <w:spacing w:line="440" w:lineRule="exact"/>
        <w:ind w:hanging="2"/>
        <w:jc w:val="left"/>
        <w:rPr>
          <w:rFonts w:hint="eastAsia" w:ascii="仿宋" w:hAnsi="仿宋" w:eastAsia="仿宋" w:cs="仿宋"/>
          <w:color w:val="FF0000"/>
          <w:sz w:val="24"/>
        </w:rPr>
      </w:pPr>
      <w:r>
        <w:rPr>
          <w:rFonts w:hint="eastAsia" w:ascii="仿宋" w:hAnsi="仿宋" w:eastAsia="仿宋" w:cs="仿宋"/>
          <w:color w:val="FF0000"/>
          <w:sz w:val="24"/>
        </w:rPr>
        <w:t>6.2. 中标人提供的产品，中标人保证所提供的产品已完成经国家有关部门登记、备案、审批或许可。中标人违反本条规定而导致采购人被第三人追究法律责任或导致采购人不能正常运作系统，采购人有权调整（中止）维保租赁服务，由此产生的一切责任和后果由中标人承担。</w:t>
      </w:r>
    </w:p>
    <w:p>
      <w:pPr>
        <w:spacing w:line="440" w:lineRule="exact"/>
        <w:ind w:hanging="2"/>
        <w:jc w:val="left"/>
        <w:rPr>
          <w:rFonts w:hint="eastAsia" w:ascii="仿宋" w:hAnsi="仿宋" w:eastAsia="仿宋" w:cs="仿宋"/>
          <w:color w:val="FF0000"/>
          <w:sz w:val="24"/>
        </w:rPr>
      </w:pPr>
      <w:r>
        <w:rPr>
          <w:rFonts w:hint="eastAsia" w:ascii="仿宋" w:hAnsi="仿宋" w:eastAsia="仿宋" w:cs="仿宋"/>
          <w:color w:val="FF0000"/>
          <w:sz w:val="24"/>
        </w:rPr>
        <w:t>6.3.合同履行期间，如出现产品使用明显不符实际使用需求，且中标人无法提供可行解决方案的，采购人有权调整（中止）维保租赁服务，由此产生的一切责任和后果由乙方承担。</w:t>
      </w:r>
    </w:p>
    <w:p>
      <w:pPr>
        <w:spacing w:line="440" w:lineRule="exact"/>
        <w:ind w:hanging="2"/>
        <w:jc w:val="left"/>
        <w:rPr>
          <w:rFonts w:hint="eastAsia" w:ascii="仿宋" w:hAnsi="仿宋" w:eastAsia="仿宋" w:cs="仿宋"/>
          <w:color w:val="FF0000"/>
          <w:sz w:val="24"/>
        </w:rPr>
      </w:pPr>
      <w:r>
        <w:rPr>
          <w:rFonts w:hint="eastAsia" w:ascii="仿宋" w:hAnsi="仿宋" w:eastAsia="仿宋" w:cs="仿宋"/>
          <w:color w:val="FF0000"/>
          <w:sz w:val="24"/>
        </w:rPr>
        <w:t>6.4.合同调整（中止）后，合同款项结算按照争议和仲裁相关条款执行；待争议解决后，可签订补充协议或正式终止合同。</w:t>
      </w:r>
    </w:p>
    <w:p>
      <w:pPr>
        <w:pStyle w:val="7"/>
        <w:numPr>
          <w:ilvl w:val="0"/>
          <w:numId w:val="0"/>
        </w:numPr>
        <w:tabs>
          <w:tab w:val="left" w:pos="1560"/>
          <w:tab w:val="clear" w:pos="780"/>
        </w:tabs>
        <w:spacing w:line="440" w:lineRule="exact"/>
        <w:ind w:left="-2" w:leftChars="-1"/>
        <w:rPr>
          <w:rFonts w:ascii="仿宋" w:hAnsi="仿宋" w:eastAsia="仿宋"/>
          <w:b/>
          <w:bCs/>
          <w:sz w:val="24"/>
        </w:rPr>
      </w:pPr>
      <w:r>
        <w:rPr>
          <w:rFonts w:ascii="仿宋" w:hAnsi="仿宋" w:eastAsia="仿宋" w:cs="仿宋"/>
          <w:b/>
          <w:bCs/>
          <w:sz w:val="24"/>
        </w:rPr>
        <w:t>7</w:t>
      </w:r>
      <w:r>
        <w:rPr>
          <w:rFonts w:hint="eastAsia" w:ascii="仿宋" w:hAnsi="仿宋" w:eastAsia="仿宋" w:cs="仿宋"/>
          <w:b/>
          <w:bCs/>
          <w:sz w:val="24"/>
        </w:rPr>
        <w:t>．违约赔偿</w:t>
      </w:r>
    </w:p>
    <w:p>
      <w:pPr>
        <w:spacing w:line="440" w:lineRule="exact"/>
        <w:rPr>
          <w:rFonts w:ascii="仿宋" w:hAnsi="仿宋" w:eastAsia="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b/>
          <w:bCs/>
          <w:sz w:val="24"/>
        </w:rPr>
      </w:pPr>
      <w:r>
        <w:rPr>
          <w:rFonts w:ascii="仿宋" w:hAnsi="仿宋" w:eastAsia="仿宋" w:cs="仿宋"/>
          <w:b/>
          <w:bCs/>
          <w:sz w:val="24"/>
        </w:rPr>
        <w:t>8.</w:t>
      </w:r>
      <w:r>
        <w:rPr>
          <w:rFonts w:hint="eastAsia" w:ascii="仿宋" w:hAnsi="仿宋" w:eastAsia="仿宋" w:cs="仿宋"/>
          <w:b/>
          <w:bCs/>
          <w:sz w:val="24"/>
        </w:rPr>
        <w:t>不可抗力</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b/>
          <w:bCs/>
          <w:sz w:val="24"/>
        </w:rPr>
      </w:pPr>
      <w:r>
        <w:rPr>
          <w:rFonts w:ascii="仿宋" w:hAnsi="仿宋" w:eastAsia="仿宋" w:cs="仿宋"/>
          <w:b/>
          <w:bCs/>
          <w:sz w:val="24"/>
        </w:rPr>
        <w:t>9.</w:t>
      </w:r>
      <w:r>
        <w:rPr>
          <w:rFonts w:hint="eastAsia" w:ascii="仿宋" w:hAnsi="仿宋" w:eastAsia="仿宋" w:cs="仿宋"/>
          <w:b/>
          <w:bCs/>
          <w:sz w:val="24"/>
        </w:rPr>
        <w:t>解决合同纠纷的方式</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sz w:val="24"/>
        </w:rPr>
      </w:pPr>
      <w:r>
        <w:rPr>
          <w:rFonts w:ascii="仿宋" w:hAnsi="仿宋" w:eastAsia="仿宋" w:cs="仿宋"/>
          <w:sz w:val="24"/>
        </w:rPr>
        <w:t>9.4</w:t>
      </w:r>
      <w:r>
        <w:rPr>
          <w:rFonts w:hint="eastAsia" w:ascii="仿宋" w:hAnsi="仿宋" w:eastAsia="仿宋" w:cs="仿宋"/>
          <w:sz w:val="24"/>
        </w:rPr>
        <w:t>合同应在双方签字盖章后开始生效。</w:t>
      </w:r>
    </w:p>
    <w:p>
      <w:pPr>
        <w:spacing w:line="440" w:lineRule="exact"/>
        <w:rPr>
          <w:rFonts w:ascii="仿宋" w:hAnsi="仿宋" w:eastAsia="仿宋"/>
          <w:sz w:val="24"/>
        </w:rPr>
      </w:pPr>
      <w:r>
        <w:rPr>
          <w:rFonts w:hint="eastAsia" w:ascii="仿宋" w:hAnsi="仿宋" w:eastAsia="仿宋" w:cs="仿宋"/>
          <w:sz w:val="24"/>
        </w:rPr>
        <w:t>（注：在正式签约时，根据上述精神应拟就更为详尽的合同书）</w:t>
      </w:r>
    </w:p>
    <w:p>
      <w:pPr>
        <w:spacing w:before="72" w:beforeLines="30" w:line="360" w:lineRule="auto"/>
        <w:rPr>
          <w:rFonts w:ascii="仿宋" w:hAnsi="仿宋" w:eastAsia="仿宋" w:cs="仿宋"/>
          <w:b/>
          <w:sz w:val="36"/>
          <w:szCs w:val="36"/>
        </w:rPr>
        <w:sectPr>
          <w:footerReference r:id="rId3" w:type="default"/>
          <w:pgSz w:w="11907" w:h="16840"/>
          <w:pgMar w:top="1418" w:right="1304" w:bottom="1418" w:left="1304" w:header="794" w:footer="794" w:gutter="0"/>
          <w:pgNumType w:fmt="numberInDash"/>
          <w:cols w:space="720" w:num="1"/>
          <w:docGrid w:linePitch="285" w:charSpace="0"/>
        </w:sectPr>
      </w:pPr>
    </w:p>
    <w:p>
      <w:pPr>
        <w:spacing w:line="360" w:lineRule="auto"/>
        <w:jc w:val="center"/>
        <w:outlineLvl w:val="0"/>
        <w:rPr>
          <w:rFonts w:ascii="仿宋" w:hAnsi="仿宋" w:eastAsia="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评标办法及评分标准</w:t>
      </w:r>
    </w:p>
    <w:p>
      <w:pPr>
        <w:pStyle w:val="14"/>
        <w:spacing w:line="360" w:lineRule="auto"/>
        <w:jc w:val="left"/>
        <w:rPr>
          <w:rFonts w:ascii="仿宋" w:hAnsi="仿宋" w:eastAsia="仿宋" w:cs="Times New Roman"/>
          <w:sz w:val="24"/>
          <w:szCs w:val="24"/>
        </w:rPr>
      </w:pPr>
      <w:r>
        <w:rPr>
          <w:rFonts w:ascii="仿宋_GB2312" w:hAnsi="宋体" w:eastAsia="仿宋_GB2312" w:cs="仿宋_GB2312"/>
          <w:b/>
          <w:bCs/>
          <w:sz w:val="24"/>
          <w:szCs w:val="24"/>
        </w:rPr>
        <w:t>1</w:t>
      </w:r>
      <w:r>
        <w:rPr>
          <w:rFonts w:hint="eastAsia" w:ascii="仿宋_GB2312" w:hAnsi="宋体" w:eastAsia="仿宋_GB2312" w:cs="仿宋_GB2312"/>
          <w:b/>
          <w:bCs/>
          <w:sz w:val="24"/>
          <w:szCs w:val="24"/>
        </w:rPr>
        <w:t>、</w:t>
      </w:r>
      <w:r>
        <w:rPr>
          <w:rFonts w:hint="eastAsia" w:ascii="仿宋" w:hAnsi="仿宋" w:eastAsia="仿宋" w:cs="仿宋"/>
          <w:b/>
          <w:bCs/>
          <w:sz w:val="24"/>
          <w:szCs w:val="24"/>
        </w:rPr>
        <w:t>评标方法：</w:t>
      </w:r>
      <w:r>
        <w:rPr>
          <w:rFonts w:hint="eastAsia" w:ascii="仿宋" w:hAnsi="仿宋" w:eastAsia="仿宋" w:cs="仿宋"/>
          <w:sz w:val="24"/>
          <w:szCs w:val="24"/>
        </w:rPr>
        <w:t>采用最低评标价法，即在最大限度满足招标文件实质性要求前提下，由评标委员会对各投标人资格、报价、服务承诺等各方面进行符合性评审。符合性评审完，对所有有效报价从低到高顺序确定报价最低者为中标单位。最低者有效最低报价出现相同的，抽签决定中标</w:t>
      </w:r>
      <w:r>
        <w:rPr>
          <w:rFonts w:hint="eastAsia" w:ascii="Times New Roman" w:hAnsi="Times New Roman" w:eastAsia="仿宋" w:cs="仿宋"/>
          <w:sz w:val="24"/>
          <w:szCs w:val="24"/>
        </w:rPr>
        <w:t>单位</w:t>
      </w:r>
      <w:r>
        <w:rPr>
          <w:rFonts w:hint="eastAsia" w:ascii="仿宋" w:hAnsi="仿宋" w:eastAsia="仿宋" w:cs="仿宋"/>
          <w:sz w:val="24"/>
          <w:szCs w:val="24"/>
        </w:rPr>
        <w:t>。</w:t>
      </w:r>
    </w:p>
    <w:p>
      <w:pPr>
        <w:snapToGrid w:val="0"/>
        <w:spacing w:line="360" w:lineRule="auto"/>
        <w:jc w:val="center"/>
        <w:rPr>
          <w:rFonts w:ascii="仿宋_GB2312" w:hAnsi="仿宋_GB2312" w:eastAsia="仿宋_GB2312" w:cs="仿宋_GB2312"/>
          <w:b/>
          <w:sz w:val="36"/>
          <w:szCs w:val="20"/>
        </w:rPr>
      </w:pPr>
      <w:r>
        <w:rPr>
          <w:rFonts w:ascii="仿宋_GB2312" w:hAnsi="仿宋_GB2312" w:eastAsia="仿宋_GB2312" w:cs="仿宋_GB2312"/>
          <w:b/>
          <w:sz w:val="36"/>
          <w:szCs w:val="20"/>
        </w:rPr>
        <w:br w:type="page"/>
      </w:r>
      <w:r>
        <w:rPr>
          <w:rFonts w:hint="eastAsia" w:ascii="仿宋_GB2312" w:hAnsi="仿宋_GB2312" w:eastAsia="仿宋_GB2312" w:cs="仿宋_GB2312"/>
          <w:b/>
          <w:sz w:val="36"/>
          <w:szCs w:val="20"/>
        </w:rPr>
        <w:t>第六部分</w:t>
      </w:r>
      <w:r>
        <w:rPr>
          <w:rFonts w:ascii="仿宋_GB2312" w:hAnsi="仿宋_GB2312" w:eastAsia="仿宋_GB2312" w:cs="仿宋_GB2312"/>
          <w:b/>
          <w:sz w:val="36"/>
          <w:szCs w:val="20"/>
        </w:rPr>
        <w:t xml:space="preserve">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w:t>
      </w:r>
      <w:r>
        <w:rPr>
          <w:rFonts w:hint="eastAsia" w:ascii="仿宋_GB2312" w:hAnsi="仿宋_GB2312" w:eastAsia="仿宋_GB2312" w:cs="仿宋_GB2312"/>
          <w:kern w:val="0"/>
          <w:sz w:val="24"/>
        </w:rPr>
        <w:t>）投标（开标）一览表……………………………………………………（页码）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3</w:t>
      </w:r>
      <w:r>
        <w:rPr>
          <w:rFonts w:hint="eastAsia" w:hAnsi="仿宋_GB2312" w:cs="仿宋_GB2312"/>
          <w:lang w:val="zh-CN"/>
        </w:rPr>
        <w:t>）中小企业声明函（如有）</w:t>
      </w:r>
      <w:r>
        <w:rPr>
          <w:rFonts w:hint="eastAsia" w:hAnsi="仿宋_GB2312" w:cs="仿宋_GB2312"/>
          <w:kern w:val="0"/>
        </w:rPr>
        <w:t>………………………………………………</w:t>
      </w:r>
      <w:r>
        <w:rPr>
          <w:rFonts w:hint="eastAsia" w:hAnsi="仿宋_GB2312" w:cs="仿宋_GB2312"/>
          <w:lang w:val="zh-CN"/>
        </w:rPr>
        <w:t>（页码）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4</w:t>
      </w:r>
      <w:r>
        <w:rPr>
          <w:rFonts w:hint="eastAsia" w:hAnsi="仿宋_GB2312" w:cs="仿宋_GB2312"/>
          <w:lang w:val="zh-CN"/>
        </w:rPr>
        <w:t>）残疾人福利性单位声明函（如有）……………………………………（页码）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：投标函（格式）</w:t>
      </w:r>
    </w:p>
    <w:p>
      <w:pPr>
        <w:pStyle w:val="60"/>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ascii="仿宋_GB2312" w:hAnsi="宋体" w:eastAsia="仿宋_GB2312"/>
          <w:szCs w:val="24"/>
          <w:u w:val="single"/>
        </w:rPr>
        <w:t xml:space="preserve">                    </w:t>
      </w:r>
      <w:r>
        <w:rPr>
          <w:rFonts w:hint="eastAsia" w:ascii="仿宋_GB2312" w:hAnsi="宋体" w:eastAsia="仿宋_GB2312"/>
          <w:szCs w:val="24"/>
          <w:u w:val="single"/>
        </w:rPr>
        <w:t>项目</w:t>
      </w:r>
      <w:r>
        <w:rPr>
          <w:rFonts w:hint="eastAsia" w:ascii="仿宋_GB2312" w:hAnsi="宋体" w:eastAsia="仿宋_GB2312"/>
          <w:szCs w:val="24"/>
        </w:rPr>
        <w:t>招标文件（编号：）招标文件的要求，正式授权下述签字人（姓名、单位、职务）代表投标人（单位、地址）提交以下文件正本一份、副本四份。</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根据招标文件的规定，承诺按标书和合同的规定执行责任和义务。</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我方承诺已经具备《中华人民共和国政府采购法》中规定的参加政府采购活动的供应商应当具备的条件：</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具有独立承担民事责任的能力；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遵守国家法律、行政法规，具有良好的信誉和商业道德；</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具有履行合同的能力和良好的履行合同记录；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良好的资金、财务状况；</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产品及生产所需装备符合中国政府规定的相应技术标准和环保标准；</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没有违反政府采购法规、政策的记录；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没有发生重大经济纠纷和走私犯罪记录。我方已详细审核全部招标文件，包括修改文件（如果有的话）及有关附件，我方完全知道必须放弃提出含糊不清或误解而对招标文件提出质疑的权力。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我方中标后拟在中标后将工作分包，分包承担主体是</w:t>
      </w:r>
      <w:r>
        <w:rPr>
          <w:rFonts w:hint="eastAsia" w:ascii="仿宋_GB2312" w:hAnsi="宋体" w:eastAsia="仿宋_GB2312"/>
          <w:szCs w:val="24"/>
          <w:u w:val="single"/>
        </w:rPr>
        <w:t xml:space="preserve">       </w:t>
      </w:r>
      <w:r>
        <w:rPr>
          <w:rFonts w:hint="eastAsia" w:ascii="仿宋_GB2312" w:hAnsi="宋体" w:eastAsia="仿宋_GB2312"/>
          <w:szCs w:val="24"/>
        </w:rPr>
        <w:t>，我方承诺分包承担主体具备相应资质条件，且不再次分包。（不再将工作进行分包或本项目不允许分包的，下划线处填写“</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同意向耀华建设管理有限公司提供可能另外要求的与投标有关的任何数据或资料；</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我单位保证所供货物质量符合国家强制性规范和标准，达到招标文件规定的要求；</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我方理解贵方将不受你们所收到的最低报价或其它任何投标文件的约束；</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本投标自开标之日（投标截止之日）起</w:t>
      </w:r>
      <w:r>
        <w:rPr>
          <w:rFonts w:ascii="仿宋_GB2312" w:hAnsi="宋体" w:eastAsia="仿宋_GB2312"/>
          <w:szCs w:val="24"/>
        </w:rPr>
        <w:t>60</w:t>
      </w:r>
      <w:r>
        <w:rPr>
          <w:rFonts w:hint="eastAsia" w:ascii="仿宋_GB2312" w:hAnsi="宋体" w:eastAsia="仿宋_GB2312"/>
          <w:szCs w:val="24"/>
        </w:rPr>
        <w:t>天内有效，如中标，有效期将延至合同终止日为止。</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8.</w:t>
      </w:r>
      <w:r>
        <w:rPr>
          <w:rFonts w:hint="eastAsia" w:ascii="仿宋_GB2312" w:hAnsi="宋体" w:eastAsia="仿宋_GB2312"/>
          <w:szCs w:val="24"/>
        </w:rPr>
        <w:t>我方承诺完全遵守和满足招标文件供货日期</w:t>
      </w:r>
      <w:r>
        <w:rPr>
          <w:rFonts w:ascii="仿宋_GB2312" w:hAnsi="宋体" w:eastAsia="仿宋_GB2312"/>
          <w:szCs w:val="24"/>
        </w:rPr>
        <w:t>(</w:t>
      </w:r>
      <w:r>
        <w:rPr>
          <w:rFonts w:hint="eastAsia" w:ascii="仿宋_GB2312" w:hAnsi="宋体" w:eastAsia="仿宋_GB2312"/>
          <w:szCs w:val="24"/>
        </w:rPr>
        <w:t>完工日期</w:t>
      </w:r>
      <w:r>
        <w:rPr>
          <w:rFonts w:ascii="仿宋_GB2312" w:hAnsi="宋体" w:eastAsia="仿宋_GB2312"/>
          <w:szCs w:val="24"/>
        </w:rPr>
        <w:t>)</w:t>
      </w:r>
      <w:r>
        <w:rPr>
          <w:rFonts w:hint="eastAsia" w:ascii="仿宋_GB2312" w:hAnsi="宋体" w:eastAsia="仿宋_GB2312"/>
          <w:szCs w:val="24"/>
        </w:rPr>
        <w:t>和所投产品</w:t>
      </w:r>
      <w:r>
        <w:rPr>
          <w:rFonts w:ascii="仿宋_GB2312" w:hAnsi="宋体" w:eastAsia="仿宋_GB2312"/>
          <w:szCs w:val="24"/>
        </w:rPr>
        <w:t>(</w:t>
      </w:r>
      <w:r>
        <w:rPr>
          <w:rFonts w:hint="eastAsia" w:ascii="仿宋_GB2312" w:hAnsi="宋体" w:eastAsia="仿宋_GB2312"/>
          <w:szCs w:val="24"/>
        </w:rPr>
        <w:t>服务</w:t>
      </w:r>
      <w:r>
        <w:rPr>
          <w:rFonts w:ascii="仿宋_GB2312" w:hAnsi="宋体" w:eastAsia="仿宋_GB2312"/>
          <w:szCs w:val="24"/>
        </w:rPr>
        <w:t>)</w:t>
      </w:r>
      <w:r>
        <w:rPr>
          <w:rFonts w:hint="eastAsia" w:ascii="仿宋_GB2312" w:hAnsi="宋体" w:eastAsia="仿宋_GB2312"/>
          <w:szCs w:val="24"/>
        </w:rPr>
        <w:t>的质保期</w:t>
      </w:r>
      <w:r>
        <w:rPr>
          <w:rFonts w:ascii="仿宋_GB2312" w:hAnsi="宋体" w:eastAsia="仿宋_GB2312"/>
          <w:szCs w:val="24"/>
        </w:rPr>
        <w:t>(</w:t>
      </w:r>
      <w:r>
        <w:rPr>
          <w:rFonts w:hint="eastAsia" w:ascii="仿宋_GB2312" w:hAnsi="宋体" w:eastAsia="仿宋_GB2312"/>
          <w:szCs w:val="24"/>
        </w:rPr>
        <w:t>免费保修期</w:t>
      </w:r>
      <w:r>
        <w:rPr>
          <w:rFonts w:ascii="仿宋_GB2312" w:hAnsi="宋体" w:eastAsia="仿宋_GB2312"/>
          <w:szCs w:val="24"/>
        </w:rPr>
        <w:t>)</w:t>
      </w:r>
      <w:r>
        <w:rPr>
          <w:rFonts w:hint="eastAsia" w:ascii="仿宋_GB2312" w:hAnsi="宋体" w:eastAsia="仿宋_GB2312"/>
          <w:szCs w:val="24"/>
        </w:rPr>
        <w:t>要求。</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我方将严格遵守《中华人民共和国政府采购法》第七十七条规定，供应商有下列情形之一的，处以采购金额</w:t>
      </w:r>
      <w:r>
        <w:rPr>
          <w:rFonts w:ascii="仿宋_GB2312" w:hAnsi="仿宋_GB2312" w:eastAsia="仿宋_GB2312" w:cs="仿宋_GB2312"/>
          <w:sz w:val="24"/>
        </w:rPr>
        <w:t>5</w:t>
      </w:r>
      <w:r>
        <w:rPr>
          <w:rFonts w:hint="eastAsia" w:ascii="仿宋_GB2312" w:hAnsi="仿宋_GB2312" w:eastAsia="仿宋_GB2312" w:cs="仿宋_GB2312"/>
          <w:sz w:val="24"/>
        </w:rPr>
        <w:t>‰以上</w:t>
      </w:r>
      <w:r>
        <w:rPr>
          <w:rFonts w:ascii="仿宋_GB2312" w:hAnsi="仿宋_GB2312" w:eastAsia="仿宋_GB2312" w:cs="仿宋_GB2312"/>
          <w:sz w:val="24"/>
        </w:rPr>
        <w:t>10</w:t>
      </w:r>
      <w:r>
        <w:rPr>
          <w:rFonts w:hint="eastAsia" w:ascii="仿宋_GB2312" w:hAnsi="仿宋_GB2312" w:eastAsia="仿宋_GB2312" w:cs="仿宋_GB2312"/>
          <w:sz w:val="24"/>
        </w:rPr>
        <w:t>‰以下的罚款，列入不良行为记录名单，在一至三年内禁止参加政府采购活动；有违法所得的，并处没收违法所得；情节严重的，由工商行政管理机关吊销营业执照；构成犯罪的，依法追究刑事责任：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a)</w:t>
      </w:r>
      <w:r>
        <w:rPr>
          <w:rFonts w:hint="eastAsia" w:ascii="仿宋_GB2312" w:hAnsi="仿宋_GB2312" w:eastAsia="仿宋_GB2312" w:cs="仿宋_GB2312"/>
          <w:sz w:val="24"/>
        </w:rPr>
        <w:t>提供虚假材料谋取中标、成交的；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b)</w:t>
      </w:r>
      <w:r>
        <w:rPr>
          <w:rFonts w:hint="eastAsia" w:ascii="仿宋_GB2312" w:hAnsi="仿宋_GB2312" w:eastAsia="仿宋_GB2312" w:cs="仿宋_GB2312"/>
          <w:sz w:val="24"/>
        </w:rPr>
        <w:t>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c)</w:t>
      </w:r>
      <w:r>
        <w:rPr>
          <w:rFonts w:hint="eastAsia" w:ascii="仿宋_GB2312" w:hAnsi="仿宋_GB2312" w:eastAsia="仿宋_GB2312" w:cs="仿宋_GB2312"/>
          <w:sz w:val="24"/>
        </w:rPr>
        <w:t>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d)</w:t>
      </w:r>
      <w:r>
        <w:rPr>
          <w:rFonts w:hint="eastAsia" w:ascii="仿宋_GB2312" w:hAnsi="仿宋_GB2312" w:eastAsia="仿宋_GB2312" w:cs="仿宋_GB2312"/>
          <w:sz w:val="24"/>
        </w:rPr>
        <w:t>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e)</w:t>
      </w:r>
      <w:r>
        <w:rPr>
          <w:rFonts w:hint="eastAsia" w:ascii="仿宋_GB2312" w:hAnsi="仿宋_GB2312" w:eastAsia="仿宋_GB2312" w:cs="仿宋_GB2312"/>
          <w:sz w:val="24"/>
        </w:rPr>
        <w:t>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f)</w:t>
      </w:r>
      <w:r>
        <w:rPr>
          <w:rFonts w:hint="eastAsia" w:ascii="仿宋_GB2312" w:hAnsi="仿宋_GB2312" w:eastAsia="仿宋_GB2312" w:cs="仿宋_GB2312"/>
          <w:sz w:val="24"/>
        </w:rPr>
        <w:t>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w:t>
      </w:r>
      <w:r>
        <w:rPr>
          <w:rFonts w:ascii="仿宋_GB2312" w:hAnsi="仿宋_GB2312" w:eastAsia="仿宋_GB2312" w:cs="仿宋_GB2312"/>
          <w:sz w:val="24"/>
        </w:rPr>
        <w:t>a)</w:t>
      </w:r>
      <w:r>
        <w:rPr>
          <w:rFonts w:hint="eastAsia" w:ascii="仿宋_GB2312" w:hAnsi="仿宋_GB2312" w:eastAsia="仿宋_GB2312" w:cs="仿宋_GB2312"/>
          <w:sz w:val="24"/>
        </w:rPr>
        <w:t>至</w:t>
      </w:r>
      <w:r>
        <w:rPr>
          <w:rFonts w:ascii="仿宋_GB2312" w:hAnsi="仿宋_GB2312" w:eastAsia="仿宋_GB2312" w:cs="仿宋_GB2312"/>
          <w:sz w:val="24"/>
        </w:rPr>
        <w:t>e)</w:t>
      </w:r>
      <w:r>
        <w:rPr>
          <w:rFonts w:hint="eastAsia" w:ascii="仿宋_GB2312" w:hAnsi="仿宋_GB2312" w:eastAsia="仿宋_GB2312" w:cs="仿宋_GB2312"/>
          <w:sz w:val="24"/>
        </w:rPr>
        <w:t>项情形之一的，中标、成交无效。</w:t>
      </w: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电话：</w:t>
      </w:r>
      <w:r>
        <w:rPr>
          <w:rFonts w:ascii="仿宋_GB2312" w:hAnsi="宋体" w:eastAsia="仿宋_GB2312"/>
          <w:szCs w:val="24"/>
        </w:rPr>
        <w:t xml:space="preserve">                              </w:t>
      </w:r>
      <w:r>
        <w:rPr>
          <w:rFonts w:hint="eastAsia" w:ascii="仿宋_GB2312" w:hAnsi="宋体" w:eastAsia="仿宋_GB2312"/>
          <w:szCs w:val="24"/>
        </w:rPr>
        <w:t>传真：</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开户银行：</w:t>
      </w:r>
      <w:r>
        <w:rPr>
          <w:rFonts w:ascii="仿宋_GB2312" w:hAnsi="宋体" w:eastAsia="仿宋_GB2312"/>
          <w:szCs w:val="24"/>
        </w:rPr>
        <w:t xml:space="preserve">                          </w:t>
      </w:r>
      <w:r>
        <w:rPr>
          <w:rFonts w:hint="eastAsia" w:ascii="仿宋_GB2312" w:hAnsi="宋体" w:eastAsia="仿宋_GB2312"/>
          <w:szCs w:val="24"/>
        </w:rPr>
        <w:t>帐号：</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法定代表人或其授权代表</w:t>
      </w:r>
      <w:r>
        <w:rPr>
          <w:rFonts w:ascii="仿宋_GB2312" w:hAnsi="宋体" w:eastAsia="仿宋_GB2312"/>
          <w:szCs w:val="24"/>
        </w:rPr>
        <w:t>(</w:t>
      </w:r>
      <w:r>
        <w:rPr>
          <w:rFonts w:hint="eastAsia" w:ascii="仿宋_GB2312" w:hAnsi="宋体" w:eastAsia="仿宋_GB2312"/>
          <w:szCs w:val="24"/>
        </w:rPr>
        <w:t>签字或签章</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投标人</w:t>
      </w:r>
      <w:r>
        <w:rPr>
          <w:rFonts w:ascii="仿宋_GB2312" w:hAnsi="宋体" w:eastAsia="仿宋_GB2312"/>
          <w:szCs w:val="24"/>
        </w:rPr>
        <w:t>(</w:t>
      </w:r>
      <w:r>
        <w:rPr>
          <w:rFonts w:hint="eastAsia" w:ascii="仿宋_GB2312" w:hAnsi="宋体" w:eastAsia="仿宋_GB2312"/>
          <w:szCs w:val="24"/>
        </w:rPr>
        <w:t>盖章</w:t>
      </w:r>
      <w:r>
        <w:rPr>
          <w:rFonts w:ascii="仿宋_GB2312" w:hAnsi="宋体" w:eastAsia="仿宋_GB2312"/>
          <w:szCs w:val="24"/>
        </w:rPr>
        <w:t>)</w:t>
      </w:r>
      <w:r>
        <w:rPr>
          <w:rFonts w:hint="eastAsia" w:ascii="仿宋_GB2312" w:hAnsi="宋体" w:eastAsia="仿宋_GB2312"/>
          <w:szCs w:val="24"/>
        </w:rPr>
        <w:t>：　　　　　　　　　　　　　　　　　　　　</w:t>
      </w:r>
    </w:p>
    <w:p>
      <w:pPr>
        <w:pStyle w:val="60"/>
        <w:spacing w:afterLines="0" w:line="440" w:lineRule="exact"/>
        <w:ind w:firstLine="480"/>
        <w:jc w:val="right"/>
        <w:rPr>
          <w:rFonts w:ascii="仿宋_GB2312" w:hAnsi="宋体" w:eastAsia="仿宋_GB2312"/>
          <w:color w:val="000000"/>
        </w:rPr>
      </w:pPr>
    </w:p>
    <w:p>
      <w:pPr>
        <w:pStyle w:val="60"/>
        <w:spacing w:afterLines="0" w:line="440" w:lineRule="exact"/>
        <w:ind w:firstLine="480"/>
        <w:jc w:val="right"/>
        <w:rPr>
          <w:rFonts w:ascii="仿宋_GB2312" w:hAnsi="宋体" w:eastAsia="仿宋_GB2312"/>
          <w:szCs w:val="24"/>
        </w:rPr>
      </w:pPr>
      <w:r>
        <w:rPr>
          <w:rFonts w:hint="eastAsia" w:ascii="仿宋_GB2312" w:hAnsi="宋体" w:eastAsia="仿宋_GB2312"/>
          <w:color w:val="000000"/>
        </w:rPr>
        <w:t>日期： 年 月 日</w:t>
      </w: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spacing w:line="800" w:lineRule="exact"/>
        <w:rPr>
          <w:rFonts w:ascii="仿宋_GB2312" w:hAnsi="宋体" w:eastAsia="仿宋_GB2312"/>
          <w:b/>
          <w:sz w:val="30"/>
          <w:szCs w:val="30"/>
        </w:rPr>
      </w:pPr>
    </w:p>
    <w:p>
      <w:pPr>
        <w:spacing w:line="800" w:lineRule="exact"/>
        <w:rPr>
          <w:rFonts w:ascii="仿宋_GB2312" w:hAnsi="宋体" w:eastAsia="仿宋_GB2312"/>
          <w:b/>
          <w:bCs/>
          <w:sz w:val="30"/>
          <w:szCs w:val="30"/>
        </w:rPr>
      </w:pPr>
      <w:r>
        <w:rPr>
          <w:rFonts w:ascii="仿宋_GB2312" w:hAnsi="宋体" w:eastAsia="仿宋_GB2312" w:cs="仿宋_GB2312"/>
          <w:b/>
          <w:bCs/>
          <w:sz w:val="30"/>
          <w:szCs w:val="30"/>
        </w:rPr>
        <w:t>2</w:t>
      </w:r>
      <w:r>
        <w:rPr>
          <w:rFonts w:hint="eastAsia" w:ascii="仿宋_GB2312" w:hAnsi="宋体" w:eastAsia="仿宋_GB2312" w:cs="仿宋_GB2312"/>
          <w:b/>
          <w:bCs/>
          <w:sz w:val="30"/>
          <w:szCs w:val="30"/>
        </w:rPr>
        <w:t>：开标一览表（格式）</w:t>
      </w:r>
    </w:p>
    <w:p>
      <w:pPr>
        <w:spacing w:line="400" w:lineRule="exact"/>
        <w:rPr>
          <w:rFonts w:ascii="仿宋_GB2312" w:hAnsi="宋体" w:eastAsia="仿宋_GB2312"/>
          <w:sz w:val="24"/>
        </w:rPr>
      </w:pPr>
      <w:r>
        <w:rPr>
          <w:rFonts w:hint="eastAsia" w:ascii="仿宋_GB2312" w:hAnsi="宋体" w:eastAsia="仿宋_GB2312"/>
          <w:sz w:val="24"/>
        </w:rPr>
        <w:t>投标人名称：</w:t>
      </w:r>
    </w:p>
    <w:p>
      <w:pPr>
        <w:snapToGrid w:val="0"/>
        <w:spacing w:line="400" w:lineRule="exact"/>
        <w:rPr>
          <w:rFonts w:ascii="仿宋_GB2312" w:hAnsi="宋体" w:eastAsia="仿宋_GB2312"/>
          <w:sz w:val="24"/>
        </w:rPr>
      </w:pP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项：</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p>
    <w:p>
      <w:pPr>
        <w:spacing w:line="440" w:lineRule="exact"/>
        <w:jc w:val="left"/>
        <w:rPr>
          <w:rFonts w:ascii="仿宋_GB2312" w:hAnsi="宋体" w:eastAsia="仿宋_GB2312"/>
          <w:sz w:val="24"/>
        </w:rPr>
      </w:pPr>
      <w:r>
        <w:rPr>
          <w:rFonts w:hint="eastAsia" w:ascii="仿宋_GB2312" w:hAnsi="宋体" w:eastAsia="仿宋_GB2312"/>
          <w:sz w:val="24"/>
        </w:rPr>
        <w:t>单位：元</w:t>
      </w:r>
    </w:p>
    <w:tbl>
      <w:tblPr>
        <w:tblStyle w:val="23"/>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Borders>
              <w:top w:val="double" w:color="auto" w:sz="4" w:space="0"/>
            </w:tcBorders>
            <w:noWrap/>
            <w:vAlign w:val="center"/>
          </w:tcPr>
          <w:p>
            <w:pPr>
              <w:tabs>
                <w:tab w:val="left" w:pos="540"/>
              </w:tabs>
              <w:snapToGrid w:val="0"/>
              <w:jc w:val="center"/>
              <w:rPr>
                <w:rFonts w:ascii="仿宋" w:hAnsi="仿宋" w:eastAsia="仿宋" w:cs="仿宋"/>
                <w:spacing w:val="20"/>
                <w:sz w:val="24"/>
              </w:rPr>
            </w:pPr>
            <w:r>
              <w:rPr>
                <w:rFonts w:hint="eastAsia" w:ascii="仿宋" w:hAnsi="仿宋" w:eastAsia="仿宋" w:cs="仿宋"/>
                <w:spacing w:val="20"/>
                <w:sz w:val="24"/>
              </w:rPr>
              <w:t>序号</w:t>
            </w:r>
          </w:p>
        </w:tc>
        <w:tc>
          <w:tcPr>
            <w:tcW w:w="1080" w:type="dxa"/>
            <w:tcBorders>
              <w:top w:val="double" w:color="auto" w:sz="4" w:space="0"/>
              <w:right w:val="single" w:color="auto" w:sz="4" w:space="0"/>
            </w:tcBorders>
            <w:noWrap/>
            <w:vAlign w:val="center"/>
          </w:tcPr>
          <w:p>
            <w:pPr>
              <w:snapToGrid w:val="0"/>
              <w:ind w:left="-107" w:leftChars="-51" w:right="-107" w:rightChars="-51" w:firstLine="2"/>
              <w:jc w:val="center"/>
              <w:rPr>
                <w:rFonts w:ascii="仿宋" w:hAnsi="仿宋" w:eastAsia="仿宋" w:cs="仿宋"/>
                <w:spacing w:val="20"/>
                <w:sz w:val="24"/>
              </w:rPr>
            </w:pPr>
            <w:r>
              <w:rPr>
                <w:rFonts w:hint="eastAsia" w:ascii="仿宋" w:hAnsi="仿宋" w:eastAsia="仿宋" w:cs="仿宋"/>
                <w:spacing w:val="20"/>
                <w:sz w:val="24"/>
              </w:rPr>
              <w:t>设备名称</w:t>
            </w:r>
          </w:p>
        </w:tc>
        <w:tc>
          <w:tcPr>
            <w:tcW w:w="1261" w:type="dxa"/>
            <w:tcBorders>
              <w:top w:val="double" w:color="auto" w:sz="4" w:space="0"/>
              <w:left w:val="sing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货物的制造商或服务的提供商</w:t>
            </w:r>
          </w:p>
        </w:tc>
        <w:tc>
          <w:tcPr>
            <w:tcW w:w="90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品牌（如有）</w:t>
            </w:r>
          </w:p>
        </w:tc>
        <w:tc>
          <w:tcPr>
            <w:tcW w:w="720" w:type="dxa"/>
            <w:tcBorders>
              <w:top w:val="doub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数量</w:t>
            </w:r>
          </w:p>
        </w:tc>
        <w:tc>
          <w:tcPr>
            <w:tcW w:w="144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型号和规格</w:t>
            </w:r>
            <w:r>
              <w:rPr>
                <w:rFonts w:hint="eastAsia" w:ascii="仿宋" w:hAnsi="仿宋" w:eastAsia="仿宋" w:cs="仿宋"/>
                <w:b/>
                <w:sz w:val="24"/>
              </w:rPr>
              <w:t>（或具体服务）</w:t>
            </w:r>
          </w:p>
        </w:tc>
        <w:tc>
          <w:tcPr>
            <w:tcW w:w="540" w:type="dxa"/>
            <w:tcBorders>
              <w:top w:val="double" w:color="auto" w:sz="4" w:space="0"/>
              <w:righ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单价</w:t>
            </w:r>
          </w:p>
        </w:tc>
        <w:tc>
          <w:tcPr>
            <w:tcW w:w="540" w:type="dxa"/>
            <w:tcBorders>
              <w:top w:val="double" w:color="auto" w:sz="4" w:space="0"/>
              <w:lef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总价</w:t>
            </w:r>
          </w:p>
        </w:tc>
        <w:tc>
          <w:tcPr>
            <w:tcW w:w="720" w:type="dxa"/>
            <w:tcBorders>
              <w:top w:val="double" w:color="auto" w:sz="4" w:space="0"/>
            </w:tcBorders>
            <w:noWrap/>
            <w:vAlign w:val="center"/>
          </w:tcPr>
          <w:p>
            <w:pPr>
              <w:snapToGrid w:val="0"/>
              <w:ind w:left="30" w:leftChars="-51" w:right="-107" w:rightChars="-51" w:hanging="137" w:hangingChars="49"/>
              <w:jc w:val="center"/>
              <w:rPr>
                <w:rFonts w:ascii="仿宋" w:hAnsi="仿宋" w:eastAsia="仿宋" w:cs="仿宋"/>
                <w:spacing w:val="20"/>
                <w:sz w:val="24"/>
              </w:rPr>
            </w:pPr>
            <w:r>
              <w:rPr>
                <w:rFonts w:hint="eastAsia" w:ascii="仿宋" w:hAnsi="仿宋" w:eastAsia="仿宋" w:cs="仿宋"/>
                <w:spacing w:val="20"/>
                <w:sz w:val="24"/>
              </w:rPr>
              <w:t>交货期</w:t>
            </w:r>
          </w:p>
        </w:tc>
        <w:tc>
          <w:tcPr>
            <w:tcW w:w="1078" w:type="dxa"/>
            <w:tcBorders>
              <w:top w:val="double" w:color="auto" w:sz="4" w:space="0"/>
            </w:tcBorders>
            <w:noWrap/>
            <w:vAlign w:val="center"/>
          </w:tcPr>
          <w:p>
            <w:pPr>
              <w:tabs>
                <w:tab w:val="left" w:pos="1224"/>
              </w:tabs>
              <w:snapToGrid w:val="0"/>
              <w:ind w:right="-107" w:rightChars="-51"/>
              <w:jc w:val="center"/>
              <w:rPr>
                <w:rFonts w:ascii="仿宋" w:hAnsi="仿宋" w:eastAsia="仿宋" w:cs="仿宋"/>
                <w:spacing w:val="20"/>
                <w:sz w:val="24"/>
              </w:rPr>
            </w:pPr>
            <w:r>
              <w:rPr>
                <w:rFonts w:hint="eastAsia" w:ascii="仿宋" w:hAnsi="仿宋" w:eastAsia="仿宋" w:cs="仿宋"/>
                <w:spacing w:val="20"/>
                <w:sz w:val="24"/>
              </w:rPr>
              <w:t>质保期</w:t>
            </w:r>
            <w:r>
              <w:rPr>
                <w:rFonts w:ascii="仿宋" w:hAnsi="仿宋" w:eastAsia="仿宋" w:cs="仿宋"/>
                <w:spacing w:val="20"/>
                <w:sz w:val="24"/>
              </w:rPr>
              <w:t>/</w:t>
            </w:r>
            <w:r>
              <w:rPr>
                <w:rFonts w:hint="eastAsia" w:ascii="仿宋" w:hAnsi="仿宋" w:eastAsia="仿宋" w:cs="仿宋"/>
                <w:spacing w:val="20"/>
                <w:sz w:val="24"/>
              </w:rPr>
              <w:t>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440" w:type="dxa"/>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noWrap/>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投标总价</w:t>
            </w:r>
          </w:p>
        </w:tc>
        <w:tc>
          <w:tcPr>
            <w:tcW w:w="7199" w:type="dxa"/>
            <w:gridSpan w:val="8"/>
            <w:tcBorders>
              <w:left w:val="single" w:color="auto" w:sz="4" w:space="0"/>
              <w:bottom w:val="sing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bottom w:val="double" w:color="auto" w:sz="4" w:space="0"/>
              <w:right w:val="single" w:color="auto" w:sz="4" w:space="0"/>
            </w:tcBorders>
            <w:noWrap/>
            <w:vAlign w:val="center"/>
          </w:tcPr>
          <w:p>
            <w:pPr>
              <w:snapToGrid w:val="0"/>
              <w:ind w:right="172" w:rightChars="82" w:firstLine="565" w:firstLineChars="202"/>
              <w:jc w:val="center"/>
              <w:rPr>
                <w:rFonts w:ascii="仿宋" w:hAnsi="仿宋" w:eastAsia="仿宋" w:cs="仿宋"/>
                <w:spacing w:val="20"/>
                <w:sz w:val="24"/>
              </w:rPr>
            </w:pPr>
          </w:p>
        </w:tc>
        <w:tc>
          <w:tcPr>
            <w:tcW w:w="7199" w:type="dxa"/>
            <w:gridSpan w:val="8"/>
            <w:tcBorders>
              <w:top w:val="single" w:color="auto" w:sz="4" w:space="0"/>
              <w:left w:val="single" w:color="auto" w:sz="4" w:space="0"/>
              <w:bottom w:val="doub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 1.报价一经涂改，应在涂改处加盖单位公章或者由法定代表人或其授权代表签字或盖章，否则其投标作无效投标处理。</w:t>
      </w:r>
    </w:p>
    <w:p>
      <w:pPr>
        <w:snapToGrid w:val="0"/>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2.招标人不接受某一标项中有2个(含)以上的报价或方案，若投标人在此表中有2个（含）以上的报价或方案，其投标作无效投标处理。</w:t>
      </w:r>
    </w:p>
    <w:p>
      <w:pPr>
        <w:spacing w:line="288" w:lineRule="auto"/>
        <w:ind w:left="-2" w:leftChars="-1"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3.投标人需按本表格式填写，如无对应内容，则填写：“无或/”。</w:t>
      </w:r>
    </w:p>
    <w:p>
      <w:pPr>
        <w:snapToGrid w:val="0"/>
        <w:spacing w:line="288" w:lineRule="auto"/>
        <w:ind w:left="48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4.有关本项目实施所涉及的一切费用均计入报价。</w:t>
      </w:r>
    </w:p>
    <w:p>
      <w:pPr>
        <w:snapToGrid w:val="0"/>
        <w:spacing w:line="288" w:lineRule="auto"/>
        <w:ind w:firstLine="480" w:firstLineChars="200"/>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5.以上表格要求细分项目及报价，</w:t>
      </w:r>
      <w:r>
        <w:rPr>
          <w:rFonts w:hint="eastAsia" w:ascii="仿宋" w:hAnsi="仿宋" w:eastAsia="仿宋" w:cs="仿宋"/>
          <w:b/>
          <w:color w:val="000000" w:themeColor="text1"/>
          <w:kern w:val="0"/>
          <w:sz w:val="24"/>
          <w14:textFill>
            <w14:solidFill>
              <w14:schemeClr w14:val="tx1"/>
            </w14:solidFill>
          </w14:textFill>
        </w:rPr>
        <w:t>在“规格型号（或具体服务）”一栏中，货物类项目填写规格型号，服务类项目填写具体服务。</w:t>
      </w:r>
      <w:r>
        <w:rPr>
          <w:rFonts w:hint="eastAsia" w:ascii="仿宋" w:hAnsi="仿宋" w:eastAsia="仿宋" w:cs="仿宋"/>
          <w:b/>
          <w:color w:val="000000" w:themeColor="text1"/>
          <w:sz w:val="24"/>
          <w14:textFill>
            <w14:solidFill>
              <w14:schemeClr w14:val="tx1"/>
            </w14:solidFill>
          </w14:textFill>
        </w:rPr>
        <w:t>服务包含但不仅限于：服务方案、次数或人数、服务年限等，产品包含但不仅限于:名称、品牌、型号、生产厂商、数量、质保期等。</w:t>
      </w:r>
    </w:p>
    <w:p>
      <w:pPr>
        <w:snapToGrid w:val="0"/>
        <w:spacing w:line="288" w:lineRule="auto"/>
        <w:ind w:firstLine="482" w:firstLineChars="200"/>
        <w:jc w:val="left"/>
        <w:rPr>
          <w:lang w:val="zh-CN"/>
        </w:rPr>
      </w:pPr>
      <w:r>
        <w:rPr>
          <w:rFonts w:hint="eastAsia" w:ascii="仿宋" w:hAnsi="仿宋" w:eastAsia="仿宋" w:cs="仿宋"/>
          <w:b/>
          <w:color w:val="000000" w:themeColor="text1"/>
          <w:kern w:val="0"/>
          <w:sz w:val="24"/>
          <w:lang w:val="en-US" w:eastAsia="zh-CN"/>
          <w14:textFill>
            <w14:solidFill>
              <w14:schemeClr w14:val="tx1"/>
            </w14:solidFill>
          </w14:textFill>
        </w:rPr>
        <w:t>6</w:t>
      </w:r>
      <w:r>
        <w:rPr>
          <w:rFonts w:hint="eastAsia" w:ascii="仿宋" w:hAnsi="仿宋" w:eastAsia="仿宋" w:cs="仿宋"/>
          <w:b/>
          <w:color w:val="000000" w:themeColor="text1"/>
          <w:kern w:val="0"/>
          <w:sz w:val="24"/>
          <w:lang w:val="zh-CN"/>
          <w14:textFill>
            <w14:solidFill>
              <w14:schemeClr w14:val="tx1"/>
            </w14:solidFill>
          </w14:textFill>
        </w:rPr>
        <w:t>.特别提示：采购代理机构将对</w:t>
      </w:r>
      <w:r>
        <w:rPr>
          <w:rFonts w:hint="eastAsia" w:ascii="仿宋" w:hAnsi="仿宋" w:eastAsia="仿宋" w:cs="仿宋"/>
          <w:b/>
          <w:color w:val="000000" w:themeColor="text1"/>
          <w:kern w:val="0"/>
          <w:sz w:val="24"/>
          <w14:textFill>
            <w14:solidFill>
              <w14:schemeClr w14:val="tx1"/>
            </w14:solidFill>
          </w14:textFill>
        </w:rPr>
        <w:t>项目名称和项目编号，中标供应商名称、地址和中标金额，主要中标标的的名称、规格型号、数量、单价、服务要求等</w:t>
      </w:r>
      <w:r>
        <w:rPr>
          <w:rFonts w:hint="eastAsia" w:ascii="仿宋" w:hAnsi="仿宋" w:eastAsia="仿宋" w:cs="仿宋"/>
          <w:b/>
          <w:color w:val="000000" w:themeColor="text1"/>
          <w:kern w:val="0"/>
          <w:sz w:val="24"/>
          <w:lang w:val="zh-CN"/>
          <w14:textFill>
            <w14:solidFill>
              <w14:schemeClr w14:val="tx1"/>
            </w14:solidFill>
          </w14:textFill>
        </w:rPr>
        <w:t>予以公示。请把上述涉及的内容完整填写在开标一览表中。</w:t>
      </w:r>
    </w:p>
    <w:p>
      <w:pPr>
        <w:snapToGrid w:val="0"/>
        <w:spacing w:line="288" w:lineRule="auto"/>
        <w:ind w:firstLine="482" w:firstLineChars="200"/>
        <w:jc w:val="left"/>
        <w:rPr>
          <w:rFonts w:hint="default" w:ascii="仿宋" w:hAnsi="仿宋" w:eastAsia="仿宋" w:cs="仿宋"/>
          <w:b/>
          <w:bCs w:val="0"/>
          <w:color w:val="auto"/>
          <w:kern w:val="0"/>
          <w:sz w:val="24"/>
          <w:highlight w:val="yellow"/>
          <w:lang w:val="en-US" w:eastAsia="zh-CN"/>
        </w:rPr>
      </w:pPr>
      <w:r>
        <w:rPr>
          <w:rFonts w:hint="eastAsia" w:ascii="仿宋" w:hAnsi="仿宋" w:eastAsia="仿宋" w:cs="仿宋"/>
          <w:b/>
          <w:bCs w:val="0"/>
          <w:color w:val="auto"/>
          <w:kern w:val="0"/>
          <w:sz w:val="24"/>
          <w:highlight w:val="yellow"/>
          <w:lang w:val="en-US" w:eastAsia="zh-CN"/>
        </w:rPr>
        <w:t>7.</w:t>
      </w:r>
      <w:r>
        <w:rPr>
          <w:rFonts w:ascii="宋体" w:hAnsi="宋体" w:eastAsia="宋体" w:cs="宋体"/>
          <w:b/>
          <w:bCs w:val="0"/>
          <w:color w:val="auto"/>
          <w:sz w:val="24"/>
          <w:szCs w:val="24"/>
          <w:highlight w:val="yellow"/>
        </w:rPr>
        <w:t>备注：以上报价为最终报价，评标过程中不再考虑相关优惠、扣除等因素。</w:t>
      </w: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法定代表人或其授权委托人（签字或盖章）：</w:t>
      </w:r>
      <w:r>
        <w:rPr>
          <w:rFonts w:ascii="仿宋" w:hAnsi="仿宋" w:eastAsia="仿宋" w:cs="仿宋"/>
          <w:sz w:val="24"/>
        </w:rPr>
        <w:t xml:space="preserve">            </w:t>
      </w:r>
    </w:p>
    <w:p>
      <w:pPr>
        <w:spacing w:line="360" w:lineRule="auto"/>
        <w:rPr>
          <w:rFonts w:ascii="仿宋" w:hAnsi="仿宋" w:eastAsia="仿宋" w:cs="仿宋"/>
          <w:sz w:val="24"/>
        </w:rPr>
      </w:pPr>
    </w:p>
    <w:p>
      <w:pPr>
        <w:spacing w:line="360" w:lineRule="auto"/>
        <w:jc w:val="right"/>
        <w:rPr>
          <w:rFonts w:ascii="仿宋" w:hAnsi="仿宋" w:eastAsia="仿宋" w:cs="仿宋"/>
          <w:b/>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ageBreakBefore/>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3、中小企业声明函</w:t>
      </w:r>
    </w:p>
    <w:p>
      <w:pPr>
        <w:rPr>
          <w:rFonts w:ascii="仿宋" w:hAnsi="仿宋" w:eastAsia="仿宋" w:cs="仿宋"/>
          <w:color w:val="000000" w:themeColor="text1"/>
          <w14:textFill>
            <w14:solidFill>
              <w14:schemeClr w14:val="tx1"/>
            </w14:solidFill>
          </w14:textFill>
        </w:rPr>
      </w:pPr>
    </w:p>
    <w:p>
      <w:pPr>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本公司郑重声明，根据《政府采购促进中小企业发展暂行办法》（财库[2011]181号）的规定，本公司为</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（请填写：中型、小型、微型）企业。即，本公司同时满足以下条件：</w:t>
      </w:r>
    </w:p>
    <w:p>
      <w:pPr>
        <w:rPr>
          <w:rFonts w:ascii="仿宋" w:hAnsi="仿宋" w:eastAsia="仿宋" w:cs="仿宋"/>
          <w:color w:val="000000" w:themeColor="text1"/>
          <w:sz w:val="24"/>
          <w14:textFill>
            <w14:solidFill>
              <w14:schemeClr w14:val="tx1"/>
            </w14:solidFill>
          </w14:textFill>
        </w:rPr>
      </w:pPr>
    </w:p>
    <w:p>
      <w:pPr>
        <w:pStyle w:val="72"/>
        <w:widowControl/>
        <w:numPr>
          <w:ilvl w:val="0"/>
          <w:numId w:val="6"/>
        </w:numPr>
        <w:adjustRightInd/>
        <w:spacing w:line="24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（请填写：中型、小型、微型）企业。</w:t>
      </w:r>
    </w:p>
    <w:p>
      <w:pPr>
        <w:pStyle w:val="72"/>
        <w:widowControl/>
        <w:numPr>
          <w:ilvl w:val="0"/>
          <w:numId w:val="6"/>
        </w:numPr>
        <w:adjustRightInd/>
        <w:spacing w:line="24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本公司参加</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单位的</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 xml:space="preserve">项目采购活动提供本企业制造的货物，由本企业承担工程、提供服务，或者提供其他 </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（请填写：中型、小型、微型）企业制造的货物。本条所称货物不包括使用大型企业注册商标的货物。</w:t>
      </w:r>
    </w:p>
    <w:p>
      <w:pPr>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本公司对上述声明的真实性负责。如有虚假，将依法承担相应责任。</w:t>
      </w:r>
    </w:p>
    <w:p>
      <w:pPr>
        <w:jc w:val="right"/>
        <w:rPr>
          <w:rFonts w:ascii="仿宋" w:hAnsi="仿宋" w:eastAsia="仿宋" w:cs="仿宋"/>
          <w:color w:val="000000" w:themeColor="text1"/>
          <w:sz w:val="24"/>
          <w14:textFill>
            <w14:solidFill>
              <w14:schemeClr w14:val="tx1"/>
            </w14:solidFill>
          </w14:textFill>
        </w:rPr>
      </w:pPr>
    </w:p>
    <w:p>
      <w:pPr>
        <w:ind w:right="420" w:firstLine="5880" w:firstLineChars="2450"/>
        <w:rPr>
          <w:rFonts w:ascii="仿宋" w:hAnsi="仿宋" w:eastAsia="仿宋" w:cs="仿宋"/>
          <w:color w:val="000000" w:themeColor="text1"/>
          <w:sz w:val="24"/>
          <w14:textFill>
            <w14:solidFill>
              <w14:schemeClr w14:val="tx1"/>
            </w14:solidFill>
          </w14:textFill>
        </w:rPr>
      </w:pPr>
    </w:p>
    <w:p>
      <w:pPr>
        <w:ind w:right="420" w:firstLine="5880" w:firstLineChars="2450"/>
        <w:rPr>
          <w:rFonts w:ascii="仿宋" w:hAnsi="仿宋" w:eastAsia="仿宋" w:cs="仿宋"/>
          <w:color w:val="000000" w:themeColor="text1"/>
          <w:sz w:val="24"/>
          <w14:textFill>
            <w14:solidFill>
              <w14:schemeClr w14:val="tx1"/>
            </w14:solidFill>
          </w14:textFill>
        </w:rPr>
      </w:pPr>
    </w:p>
    <w:p>
      <w:pPr>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企业名称（盖章）： </w:t>
      </w:r>
    </w:p>
    <w:p>
      <w:pPr>
        <w:ind w:right="420" w:firstLine="5520" w:firstLineChars="23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日期：  年  月 </w:t>
      </w:r>
      <w:r>
        <w:rPr>
          <w:rFonts w:hint="eastAsia" w:ascii="仿宋" w:hAnsi="仿宋" w:eastAsia="仿宋" w:cs="仿宋"/>
          <w:color w:val="000000" w:themeColor="text1"/>
          <w14:textFill>
            <w14:solidFill>
              <w14:schemeClr w14:val="tx1"/>
            </w14:solidFill>
          </w14:textFill>
        </w:rPr>
        <w:t xml:space="preserve"> 日</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1、投标人提供的中小企业声明函与实际情况不符的，视为投标人提供虚假材料投标的，投标无效。</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 w:hAnsi="仿宋" w:eastAsia="仿宋" w:cs="仿宋"/>
          <w:b/>
          <w:color w:val="000000" w:themeColor="text1"/>
          <w:sz w:val="24"/>
          <w14:textFill>
            <w14:solidFill>
              <w14:schemeClr w14:val="tx1"/>
            </w14:solidFill>
          </w14:textFill>
        </w:rPr>
        <w:t>必须提供</w:t>
      </w:r>
      <w:r>
        <w:rPr>
          <w:rFonts w:hint="eastAsia" w:ascii="仿宋" w:hAnsi="仿宋" w:eastAsia="仿宋" w:cs="仿宋"/>
          <w:color w:val="000000" w:themeColor="text1"/>
          <w:sz w:val="24"/>
          <w14:textFill>
            <w14:solidFill>
              <w14:schemeClr w14:val="tx1"/>
            </w14:solidFill>
          </w14:textFill>
        </w:rPr>
        <w:t>经审计的企业财务报表（包含且不仅限于营业收入、资产总额等数据）和企业所有从业人员最近月度的社保缴纳凭证等相关证明以便核查。</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 w:hAnsi="仿宋" w:eastAsia="仿宋" w:cs="仿宋"/>
          <w:color w:val="000000" w:themeColor="text1"/>
          <w:sz w:val="24"/>
          <w14:textFill>
            <w14:solidFill>
              <w14:schemeClr w14:val="tx1"/>
            </w14:solidFill>
          </w14:textFill>
        </w:rPr>
      </w:pPr>
    </w:p>
    <w:p>
      <w:pPr>
        <w:ind w:firstLine="420" w:firstLineChars="200"/>
        <w:rPr>
          <w:rFonts w:ascii="仿宋" w:hAnsi="仿宋" w:eastAsia="仿宋" w:cs="仿宋"/>
          <w:color w:val="000000" w:themeColor="text1"/>
          <w14:textFill>
            <w14:solidFill>
              <w14:schemeClr w14:val="tx1"/>
            </w14:solidFill>
          </w14:textFill>
        </w:rPr>
      </w:pPr>
    </w:p>
    <w:p>
      <w:pPr>
        <w:ind w:firstLine="420" w:firstLineChars="200"/>
        <w:rPr>
          <w:rFonts w:ascii="仿宋" w:hAnsi="仿宋" w:eastAsia="仿宋" w:cs="仿宋"/>
          <w:color w:val="000000" w:themeColor="text1"/>
          <w14:textFill>
            <w14:solidFill>
              <w14:schemeClr w14:val="tx1"/>
            </w14:solidFill>
          </w14:textFill>
        </w:rPr>
      </w:pPr>
    </w:p>
    <w:p>
      <w:pPr>
        <w:pageBreakBefore/>
        <w:spacing w:line="588" w:lineRule="exact"/>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4、残疾人福利性单位声明函</w:t>
      </w:r>
    </w:p>
    <w:p>
      <w:pPr>
        <w:spacing w:line="588" w:lineRule="exact"/>
        <w:rPr>
          <w:rFonts w:ascii="仿宋" w:hAnsi="仿宋" w:eastAsia="仿宋" w:cs="仿宋"/>
          <w:b/>
          <w:color w:val="000000" w:themeColor="text1"/>
          <w:spacing w:val="6"/>
          <w:sz w:val="30"/>
          <w:szCs w:val="30"/>
          <w14:textFill>
            <w14:solidFill>
              <w14:schemeClr w14:val="tx1"/>
            </w14:solidFill>
          </w14:textFill>
        </w:rPr>
      </w:pPr>
    </w:p>
    <w:p>
      <w:pPr>
        <w:spacing w:line="588"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本单位对上述声明的真实性负责。如有虚假，将依法承担相应责任。</w:t>
      </w:r>
    </w:p>
    <w:p>
      <w:pPr>
        <w:spacing w:line="588" w:lineRule="exact"/>
        <w:ind w:firstLine="480" w:firstLineChars="200"/>
        <w:rPr>
          <w:rFonts w:ascii="仿宋" w:hAnsi="仿宋" w:eastAsia="仿宋" w:cs="仿宋"/>
          <w:color w:val="000000" w:themeColor="text1"/>
          <w:sz w:val="24"/>
          <w14:textFill>
            <w14:solidFill>
              <w14:schemeClr w14:val="tx1"/>
            </w14:solidFill>
          </w14:textFill>
        </w:rPr>
      </w:pPr>
    </w:p>
    <w:p>
      <w:pPr>
        <w:spacing w:line="588" w:lineRule="exact"/>
        <w:ind w:firstLine="480" w:firstLineChars="200"/>
        <w:rPr>
          <w:rFonts w:ascii="仿宋" w:hAnsi="仿宋" w:eastAsia="仿宋" w:cs="仿宋"/>
          <w:color w:val="000000" w:themeColor="text1"/>
          <w:sz w:val="24"/>
          <w14:textFill>
            <w14:solidFill>
              <w14:schemeClr w14:val="tx1"/>
            </w14:solidFill>
          </w14:textFill>
        </w:rPr>
      </w:pPr>
    </w:p>
    <w:p>
      <w:pPr>
        <w:tabs>
          <w:tab w:val="left" w:pos="4860"/>
        </w:tabs>
        <w:spacing w:line="588" w:lineRule="exact"/>
        <w:ind w:right="156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单位名称（盖章）：</w:t>
      </w:r>
    </w:p>
    <w:p>
      <w:pPr>
        <w:tabs>
          <w:tab w:val="left" w:pos="4860"/>
        </w:tabs>
        <w:spacing w:line="588" w:lineRule="exact"/>
        <w:ind w:right="1560" w:firstLine="480" w:firstLineChars="20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  期：</w:t>
      </w:r>
    </w:p>
    <w:p>
      <w:pPr>
        <w:ind w:firstLine="480" w:firstLineChars="200"/>
        <w:rPr>
          <w:rFonts w:ascii="宋体" w:hAnsi="宋体" w:cs="宋体"/>
          <w:color w:val="000000" w:themeColor="text1"/>
          <w:sz w:val="24"/>
          <w14:textFill>
            <w14:solidFill>
              <w14:schemeClr w14:val="tx1"/>
            </w14:solidFill>
          </w14:textFill>
        </w:rPr>
      </w:pPr>
    </w:p>
    <w:p>
      <w:pPr>
        <w:ind w:firstLine="420" w:firstLineChars="200"/>
        <w:rPr>
          <w:rFonts w:ascii="宋体" w:hAnsi="宋体" w:cs="宋体"/>
          <w:color w:val="000000" w:themeColor="text1"/>
          <w14:textFill>
            <w14:solidFill>
              <w14:schemeClr w14:val="tx1"/>
            </w14:solidFill>
          </w14:textFill>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w:t>
      </w:r>
      <w:r>
        <w:rPr>
          <w:rFonts w:hint="eastAsia" w:hAnsi="仿宋_GB2312" w:cs="仿宋_GB2312"/>
        </w:rPr>
        <w:t>）法定代表人授权书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2</w:t>
      </w:r>
      <w:r>
        <w:rPr>
          <w:rFonts w:hint="eastAsia" w:hAnsi="仿宋_GB2312" w:cs="仿宋_GB2312"/>
        </w:rPr>
        <w:t>）授权代表社保证明（复印件）…………………………………………（页码）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3</w:t>
      </w:r>
      <w:r>
        <w:rPr>
          <w:rFonts w:hint="eastAsia" w:hAnsi="仿宋_GB2312" w:cs="仿宋_GB2312"/>
        </w:rPr>
        <w:t>）法定代表人及其授权代表的身份证（复印件）………………………（页码）（</w:t>
      </w:r>
      <w:r>
        <w:rPr>
          <w:rFonts w:hAnsi="仿宋_GB2312" w:cs="仿宋_GB2312"/>
        </w:rPr>
        <w:t>4</w:t>
      </w:r>
      <w:r>
        <w:rPr>
          <w:rFonts w:hint="eastAsia" w:hAnsi="仿宋_GB2312" w:cs="仿宋_GB2312"/>
        </w:rPr>
        <w:t>）法定代表人身份证明书…………………………………………………（页码）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5</w:t>
      </w:r>
      <w:r>
        <w:rPr>
          <w:rFonts w:hint="eastAsia" w:hAnsi="仿宋_GB2312" w:cs="仿宋_GB2312"/>
        </w:rPr>
        <w:t>）营业执照</w:t>
      </w:r>
      <w:r>
        <w:rPr>
          <w:rFonts w:hAnsi="仿宋_GB2312" w:cs="仿宋_GB2312"/>
        </w:rPr>
        <w:t>(</w:t>
      </w:r>
      <w:r>
        <w:rPr>
          <w:rFonts w:hint="eastAsia" w:hAnsi="仿宋_GB2312" w:cs="仿宋_GB2312"/>
        </w:rPr>
        <w:t>或事业法人登记证或其他登记证明材料</w:t>
      </w:r>
      <w:r>
        <w:rPr>
          <w:rFonts w:hAnsi="仿宋_GB2312" w:cs="仿宋_GB2312"/>
        </w:rPr>
        <w:t>)</w:t>
      </w:r>
      <w:r>
        <w:rPr>
          <w:rFonts w:hint="eastAsia" w:hAnsi="仿宋_GB2312" w:cs="仿宋_GB2312"/>
        </w:rPr>
        <w:t>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6</w:t>
      </w:r>
      <w:r>
        <w:rPr>
          <w:rFonts w:hint="eastAsia" w:hAnsi="仿宋_GB2312" w:cs="仿宋_GB2312"/>
        </w:rPr>
        <w:t>）</w:t>
      </w:r>
      <w:r>
        <w:rPr>
          <w:rFonts w:hAnsi="仿宋_GB2312" w:cs="仿宋_GB2312"/>
        </w:rPr>
        <w:t>2018</w:t>
      </w:r>
      <w:r>
        <w:rPr>
          <w:rFonts w:hint="eastAsia" w:hAnsi="仿宋_GB2312" w:cs="仿宋_GB2312"/>
        </w:rPr>
        <w:t>年资产负债表等财务报表资料文件</w:t>
      </w:r>
      <w:r>
        <w:rPr>
          <w:rFonts w:hAnsi="仿宋_GB2312" w:cs="仿宋_GB2312"/>
        </w:rPr>
        <w:t>(</w:t>
      </w:r>
      <w:r>
        <w:rPr>
          <w:rFonts w:hint="eastAsia" w:hAnsi="仿宋_GB2312" w:cs="仿宋_GB2312"/>
        </w:rPr>
        <w:t>新成立的公司，提供情况说明</w:t>
      </w:r>
      <w:r>
        <w:rPr>
          <w:rFonts w:hAnsi="仿宋_GB2312" w:cs="仿宋_GB2312"/>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7</w:t>
      </w:r>
      <w:r>
        <w:rPr>
          <w:rFonts w:hint="eastAsia" w:hAnsi="仿宋_GB2312" w:cs="仿宋_GB2312"/>
        </w:rPr>
        <w:t>）具有履行合同所必需的设备和专业技术能力的承诺函………………（页码）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8</w:t>
      </w:r>
      <w:r>
        <w:rPr>
          <w:rFonts w:hint="eastAsia" w:hAnsi="仿宋_GB2312" w:cs="仿宋_GB2312"/>
        </w:rPr>
        <w:t>）重大违法记录的声明</w:t>
      </w:r>
      <w:r>
        <w:rPr>
          <w:rFonts w:hAnsi="仿宋_GB2312" w:cs="仿宋_GB2312"/>
        </w:rPr>
        <w:t xml:space="preserve"> </w:t>
      </w:r>
      <w:r>
        <w:rPr>
          <w:rFonts w:hint="eastAsia" w:hAnsi="仿宋_GB2312" w:cs="仿宋_GB2312"/>
        </w:rPr>
        <w:t>……………………………………………………（页码）（</w:t>
      </w:r>
      <w:r>
        <w:rPr>
          <w:rFonts w:hAnsi="仿宋_GB2312" w:cs="仿宋_GB2312"/>
        </w:rPr>
        <w:t>9</w:t>
      </w:r>
      <w:r>
        <w:rPr>
          <w:rFonts w:hint="eastAsia" w:hAnsi="仿宋_GB2312" w:cs="仿宋_GB2312"/>
        </w:rPr>
        <w:t>）符合特定资格条件（如果项目要求）的有关证明材料（复印件）…（页码）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10</w:t>
      </w:r>
      <w:r>
        <w:rPr>
          <w:rFonts w:hint="eastAsia" w:hAnsi="仿宋_GB2312" w:cs="仿宋_GB2312"/>
        </w:rPr>
        <w:t>）所有与符合性审查有关的资信文件（复印件）</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11</w:t>
      </w:r>
      <w:r>
        <w:rPr>
          <w:rFonts w:hint="eastAsia" w:hAnsi="仿宋_GB2312" w:cs="仿宋_GB2312"/>
        </w:rPr>
        <w:t>）</w:t>
      </w:r>
      <w:r>
        <w:rPr>
          <w:rFonts w:hint="eastAsia" w:hAnsi="仿宋_GB2312" w:cs="仿宋_GB2312"/>
          <w:lang w:val="zh-CN"/>
        </w:rPr>
        <w:t>主要业绩证明…</w:t>
      </w:r>
      <w:r>
        <w:rPr>
          <w:rFonts w:hAnsi="仿宋_GB2312" w:cs="仿宋_GB2312"/>
          <w:lang w:val="zh-CN"/>
        </w:rPr>
        <w:t xml:space="preserve"> </w:t>
      </w:r>
      <w:r>
        <w:rPr>
          <w:rFonts w:hint="eastAsia" w:hAnsi="仿宋_GB2312" w:cs="仿宋_GB2312"/>
          <w:lang w:val="zh-CN"/>
        </w:rPr>
        <w:t>………………………………………………</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12</w:t>
      </w:r>
      <w:r>
        <w:rPr>
          <w:rFonts w:hint="eastAsia" w:hAnsi="仿宋_GB2312" w:cs="仿宋_GB2312"/>
        </w:rPr>
        <w:t>）廉政承诺书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13</w:t>
      </w:r>
      <w:r>
        <w:rPr>
          <w:rFonts w:hint="eastAsia" w:hAnsi="仿宋_GB2312" w:cs="仿宋_GB2312"/>
        </w:rPr>
        <w:t>）技术解决方案…………………………………………………………（页码）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14</w:t>
      </w:r>
      <w:r>
        <w:rPr>
          <w:rFonts w:hint="eastAsia" w:hAnsi="仿宋_GB2312" w:cs="仿宋_GB2312"/>
        </w:rPr>
        <w:t>）技术偏离说明表………………………………………………………（页码）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15</w:t>
      </w:r>
      <w:r>
        <w:rPr>
          <w:rFonts w:hint="eastAsia" w:hAnsi="仿宋_GB2312" w:cs="仿宋_GB2312"/>
        </w:rPr>
        <w:t>）投标承诺书……………………………………………………………（页码）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Ansi="仿宋_GB2312" w:cs="仿宋_GB2312"/>
          <w:lang w:val="zh-CN"/>
        </w:rPr>
        <w:t>1</w:t>
      </w:r>
      <w:r>
        <w:rPr>
          <w:rFonts w:hAnsi="仿宋_GB2312" w:cs="仿宋_GB2312"/>
        </w:rPr>
        <w:t>6</w:t>
      </w:r>
      <w:r>
        <w:rPr>
          <w:rFonts w:hint="eastAsia" w:hAnsi="仿宋_GB2312" w:cs="仿宋_GB2312"/>
          <w:lang w:val="zh-CN"/>
        </w:rPr>
        <w:t>）认为需要的其他技术文件或说明………………………………………（页码）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ascii="仿宋_GB2312" w:hAnsi="仿宋_GB2312" w:eastAsia="仿宋_GB2312" w:cs="仿宋_GB2312"/>
          <w:b/>
          <w:bCs/>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、法定代表人授权委托书（格式）</w:t>
      </w:r>
      <w:r>
        <w:rPr>
          <w:rFonts w:ascii="仿宋_GB2312" w:hAnsi="宋体" w:eastAsia="仿宋_GB2312"/>
          <w:b/>
          <w:sz w:val="30"/>
          <w:szCs w:val="30"/>
        </w:rPr>
        <w:t xml:space="preserve">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w:t>
      </w:r>
      <w:r>
        <w:rPr>
          <w:rFonts w:ascii="仿宋_GB2312" w:hAnsi="宋体" w:eastAsia="仿宋_GB2312"/>
          <w:sz w:val="24"/>
        </w:rPr>
        <w:t>(</w:t>
      </w:r>
      <w:r>
        <w:rPr>
          <w:rFonts w:hint="eastAsia" w:ascii="仿宋_GB2312" w:hAnsi="宋体" w:eastAsia="仿宋_GB2312"/>
          <w:sz w:val="24"/>
        </w:rPr>
        <w:t>姓名</w:t>
      </w:r>
      <w:r>
        <w:rPr>
          <w:rFonts w:ascii="仿宋_GB2312" w:hAnsi="宋体" w:eastAsia="仿宋_GB2312"/>
          <w:sz w:val="24"/>
        </w:rPr>
        <w:t>)</w:t>
      </w:r>
      <w:r>
        <w:rPr>
          <w:rFonts w:hint="eastAsia" w:ascii="仿宋_GB2312" w:hAnsi="宋体" w:eastAsia="仿宋_GB2312"/>
          <w:sz w:val="24"/>
        </w:rPr>
        <w:t>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rPr>
        <w:t xml:space="preserve">               </w:t>
      </w:r>
      <w:r>
        <w:rPr>
          <w:rFonts w:hint="eastAsia" w:ascii="仿宋_GB2312" w:hAnsi="宋体" w:eastAsia="仿宋_GB2312"/>
          <w:sz w:val="24"/>
        </w:rPr>
        <w:t>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rPr>
        <w:t xml:space="preserve">               </w:t>
      </w:r>
      <w:r>
        <w:rPr>
          <w:rFonts w:hint="eastAsia" w:ascii="仿宋_GB2312" w:hAnsi="宋体" w:eastAsia="仿宋_GB2312"/>
          <w:sz w:val="24"/>
        </w:rPr>
        <w:t>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w:t>
      </w:r>
      <w:r>
        <w:rPr>
          <w:rFonts w:ascii="仿宋_GB2312" w:hAnsi="宋体" w:eastAsia="仿宋_GB2312"/>
          <w:kern w:val="0"/>
          <w:sz w:val="24"/>
        </w:rPr>
        <w:t xml:space="preserve">                  </w:t>
      </w:r>
      <w:r>
        <w:rPr>
          <w:rFonts w:hint="eastAsia" w:ascii="仿宋_GB2312" w:hAnsi="宋体" w:eastAsia="仿宋_GB2312"/>
          <w:kern w:val="0"/>
          <w:sz w:val="24"/>
        </w:rPr>
        <w:t>联系电话：</w:t>
      </w:r>
      <w:r>
        <w:rPr>
          <w:rFonts w:ascii="仿宋_GB2312" w:hAnsi="宋体" w:eastAsia="仿宋_GB2312"/>
          <w:kern w:val="0"/>
          <w:sz w:val="24"/>
        </w:rPr>
        <w:t xml:space="preserve">           </w:t>
      </w:r>
      <w:r>
        <w:rPr>
          <w:rFonts w:hint="eastAsia" w:ascii="仿宋_GB2312" w:hAnsi="宋体" w:eastAsia="仿宋_GB2312"/>
          <w:kern w:val="0"/>
          <w:sz w:val="24"/>
        </w:rPr>
        <w:t>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ind w:firstLine="4920" w:firstLineChars="2050"/>
        <w:jc w:val="left"/>
        <w:rPr>
          <w:rFonts w:ascii="仿宋_GB2312" w:hAnsi="宋体" w:eastAsia="仿宋_GB2312"/>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_GB2312" w:hAnsi="宋体" w:eastAsia="仿宋_GB2312"/>
          <w:b/>
          <w:sz w:val="24"/>
        </w:rPr>
        <w:t>未提供上述证明的投标做无效投标处理。</w:t>
      </w:r>
    </w:p>
    <w:p>
      <w:pPr>
        <w:spacing w:line="800" w:lineRule="exact"/>
        <w:ind w:firstLine="4320" w:firstLineChars="1800"/>
        <w:rPr>
          <w:rFonts w:ascii="仿宋_GB2312" w:hAnsi="宋体" w:eastAsia="仿宋_GB2312"/>
          <w:sz w:val="24"/>
        </w:rPr>
      </w:pP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4</w:t>
      </w:r>
      <w:r>
        <w:rPr>
          <w:rFonts w:hint="eastAsia" w:ascii="仿宋_GB2312" w:hAnsi="宋体" w:eastAsia="仿宋_GB2312"/>
          <w:b/>
          <w:sz w:val="30"/>
          <w:szCs w:val="30"/>
        </w:rPr>
        <w:t>、法定代表人身份证明书</w:t>
      </w:r>
      <w:r>
        <w:rPr>
          <w:rFonts w:ascii="仿宋_GB2312" w:hAnsi="宋体" w:eastAsia="仿宋_GB2312"/>
          <w:b/>
          <w:sz w:val="30"/>
          <w:szCs w:val="30"/>
        </w:rPr>
        <w:t>(</w:t>
      </w:r>
      <w:r>
        <w:rPr>
          <w:rFonts w:hint="eastAsia" w:ascii="仿宋_GB2312" w:hAnsi="宋体" w:eastAsia="仿宋_GB2312"/>
          <w:b/>
          <w:sz w:val="30"/>
          <w:szCs w:val="30"/>
        </w:rPr>
        <w:t>格式</w:t>
      </w:r>
      <w:r>
        <w:rPr>
          <w:rFonts w:ascii="仿宋_GB2312" w:hAnsi="宋体" w:eastAsia="仿宋_GB2312"/>
          <w:b/>
          <w:sz w:val="30"/>
          <w:szCs w:val="30"/>
        </w:rPr>
        <w:t>)</w:t>
      </w:r>
    </w:p>
    <w:p>
      <w:pPr>
        <w:spacing w:line="440" w:lineRule="exact"/>
        <w:rPr>
          <w:rFonts w:ascii="仿宋_GB2312" w:hAnsi="宋体" w:eastAsia="仿宋_GB2312"/>
          <w:sz w:val="24"/>
        </w:rPr>
      </w:pPr>
      <w:r>
        <w:rPr>
          <w:rFonts w:hint="eastAsia" w:ascii="仿宋_GB2312" w:hAnsi="宋体" w:eastAsia="仿宋_GB2312"/>
          <w:sz w:val="24"/>
        </w:rPr>
        <w:t>投</w:t>
      </w:r>
      <w:r>
        <w:rPr>
          <w:rFonts w:ascii="仿宋_GB2312" w:hAnsi="宋体" w:eastAsia="仿宋_GB2312"/>
          <w:sz w:val="24"/>
        </w:rPr>
        <w:t xml:space="preserve"> </w:t>
      </w: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人：</w:t>
      </w:r>
    </w:p>
    <w:p>
      <w:pPr>
        <w:spacing w:line="440" w:lineRule="exact"/>
        <w:rPr>
          <w:rFonts w:ascii="仿宋_GB2312" w:hAnsi="宋体" w:eastAsia="仿宋_GB2312"/>
          <w:sz w:val="24"/>
        </w:rPr>
      </w:pPr>
      <w:r>
        <w:rPr>
          <w:rFonts w:hint="eastAsia" w:ascii="仿宋_GB2312" w:hAnsi="宋体" w:eastAsia="仿宋_GB2312"/>
          <w:sz w:val="24"/>
        </w:rPr>
        <w:t>地</w:t>
      </w:r>
      <w:r>
        <w:rPr>
          <w:rFonts w:ascii="仿宋_GB2312" w:hAnsi="宋体" w:eastAsia="仿宋_GB2312"/>
          <w:sz w:val="24"/>
        </w:rPr>
        <w:t xml:space="preserve">    </w:t>
      </w:r>
      <w:r>
        <w:rPr>
          <w:rFonts w:hint="eastAsia" w:ascii="仿宋_GB2312" w:hAnsi="宋体" w:eastAsia="仿宋_GB2312"/>
          <w:sz w:val="24"/>
        </w:rPr>
        <w:t>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 xml:space="preserve">                             </w:t>
      </w:r>
      <w:r>
        <w:rPr>
          <w:rFonts w:hint="eastAsia" w:ascii="仿宋_GB2312" w:hAnsi="宋体" w:eastAsia="仿宋_GB2312"/>
          <w:sz w:val="24"/>
        </w:rPr>
        <w:t>（盖章）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rPr>
          <w:rFonts w:ascii="仿宋_GB2312" w:hAnsi="仿宋_GB2312" w:eastAsia="仿宋_GB2312" w:cs="仿宋_GB2312"/>
          <w:b/>
          <w:sz w:val="30"/>
          <w:szCs w:val="30"/>
        </w:rPr>
      </w:pPr>
      <w:r>
        <w:rPr>
          <w:rFonts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ascii="仿宋_GB2312" w:hAnsi="仿宋_GB2312" w:eastAsia="仿宋_GB2312" w:cs="仿宋_GB2312"/>
          <w:b/>
          <w:sz w:val="30"/>
          <w:szCs w:val="30"/>
        </w:rPr>
        <w:t>6</w:t>
      </w:r>
      <w:r>
        <w:rPr>
          <w:rFonts w:hint="eastAsia" w:ascii="仿宋_GB2312" w:hAnsi="仿宋_GB2312" w:eastAsia="仿宋_GB2312" w:cs="仿宋_GB2312"/>
          <w:b/>
          <w:sz w:val="30"/>
          <w:szCs w:val="30"/>
        </w:rPr>
        <w:t>、财务报表资料文件（</w:t>
      </w:r>
      <w:r>
        <w:rPr>
          <w:rFonts w:ascii="仿宋_GB2312" w:hAnsi="仿宋_GB2312" w:eastAsia="仿宋_GB2312" w:cs="仿宋_GB2312"/>
          <w:b/>
          <w:sz w:val="30"/>
          <w:szCs w:val="30"/>
        </w:rPr>
        <w:t>2018</w:t>
      </w:r>
      <w:r>
        <w:rPr>
          <w:rFonts w:hint="eastAsia" w:ascii="仿宋_GB2312" w:hAnsi="仿宋_GB2312" w:eastAsia="仿宋_GB2312" w:cs="仿宋_GB2312"/>
          <w:b/>
          <w:sz w:val="30"/>
          <w:szCs w:val="30"/>
        </w:rPr>
        <w:t>年资产负债表等财务报表资料文件</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新成立的公司，提供情况说明，格式自拟</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7</w:t>
      </w:r>
      <w:r>
        <w:rPr>
          <w:rFonts w:hint="eastAsia" w:ascii="仿宋_GB2312" w:hAnsi="仿宋_GB2312" w:eastAsia="仿宋_GB2312" w:cs="仿宋_GB2312"/>
          <w:b/>
          <w:kern w:val="0"/>
          <w:sz w:val="32"/>
          <w:szCs w:val="32"/>
        </w:rPr>
        <w:t>、具有履行合同所必需的设备和专业技术能力的承诺函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kern w:val="0"/>
          <w:sz w:val="32"/>
          <w:szCs w:val="32"/>
        </w:rPr>
        <w:t>8</w:t>
      </w:r>
      <w:r>
        <w:rPr>
          <w:rFonts w:hint="eastAsia" w:ascii="仿宋_GB2312" w:hAnsi="仿宋_GB2312" w:eastAsia="仿宋_GB2312" w:cs="仿宋_GB2312"/>
          <w:b/>
          <w:kern w:val="0"/>
          <w:sz w:val="32"/>
          <w:szCs w:val="32"/>
        </w:rPr>
        <w:t>、重大违法记录的声明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lang w:eastAsia="zh-CN"/>
        </w:rPr>
        <w:t>绍兴市公安局</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t>
      </w:r>
      <w:r>
        <w:rPr>
          <w:rFonts w:ascii="仿宋_GB2312" w:hAnsi="仿宋_GB2312" w:eastAsia="仿宋_GB2312" w:cs="仿宋_GB2312"/>
          <w:sz w:val="24"/>
          <w:szCs w:val="20"/>
        </w:rPr>
        <w:t>www.creditchina.gov.cn</w:t>
      </w:r>
      <w:r>
        <w:rPr>
          <w:rFonts w:hint="eastAsia" w:ascii="仿宋_GB2312" w:hAnsi="仿宋_GB2312" w:eastAsia="仿宋_GB2312" w:cs="仿宋_GB2312"/>
          <w:sz w:val="24"/>
          <w:szCs w:val="20"/>
        </w:rPr>
        <w:t>）、中国政府采购网（</w:t>
      </w:r>
      <w:r>
        <w:rPr>
          <w:rFonts w:ascii="仿宋_GB2312" w:hAnsi="仿宋_GB2312" w:eastAsia="仿宋_GB2312" w:cs="仿宋_GB2312"/>
          <w:sz w:val="24"/>
          <w:szCs w:val="20"/>
        </w:rPr>
        <w:t>www.ccgp.gov.cn</w:t>
      </w:r>
      <w:r>
        <w:rPr>
          <w:rFonts w:hint="eastAsia" w:ascii="仿宋_GB2312" w:hAnsi="仿宋_GB2312" w:eastAsia="仿宋_GB2312" w:cs="仿宋_GB2312"/>
          <w:sz w:val="24"/>
          <w:szCs w:val="20"/>
        </w:rPr>
        <w:t>）查询，未被列入失信被执行人、重大税收违法案件当事人名单、政府采购严重违法失信行为记录名单。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公章</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签字</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ind w:firstLine="5160" w:firstLineChars="215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月日</w:t>
      </w: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w:t>
      </w:r>
      <w:r>
        <w:rPr>
          <w:rFonts w:ascii="仿宋_GB2312" w:hAnsi="仿宋_GB2312" w:eastAsia="仿宋_GB2312" w:cs="仿宋_GB2312"/>
          <w:b/>
          <w:sz w:val="24"/>
        </w:rPr>
        <w:t xml:space="preserve"> :</w:t>
      </w:r>
      <w:r>
        <w:rPr>
          <w:rFonts w:hint="eastAsia" w:ascii="仿宋_GB2312" w:hAnsi="仿宋_GB2312" w:eastAsia="仿宋_GB2312" w:cs="仿宋_GB2312"/>
          <w:b/>
          <w:sz w:val="24"/>
        </w:rPr>
        <w:t>相关项目业绩一览表</w:t>
      </w:r>
    </w:p>
    <w:tbl>
      <w:tblPr>
        <w:tblStyle w:val="2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金额</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r>
        <w:rPr>
          <w:rFonts w:ascii="仿宋_GB2312" w:hAnsi="仿宋_GB2312" w:eastAsia="仿宋_GB2312" w:cs="仿宋_GB2312"/>
          <w:kern w:val="0"/>
          <w:sz w:val="24"/>
        </w:rPr>
        <w:t xml:space="preserve">                       </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r>
        <w:rPr>
          <w:rFonts w:ascii="仿宋_GB2312" w:hAnsi="仿宋_GB2312" w:eastAsia="仿宋_GB2312" w:cs="仿宋_GB2312"/>
          <w:kern w:val="0"/>
          <w:sz w:val="24"/>
        </w:rPr>
        <w:t xml:space="preserve">                   </w:t>
      </w:r>
    </w:p>
    <w:p>
      <w:pPr>
        <w:spacing w:line="360" w:lineRule="auto"/>
        <w:jc w:val="right"/>
        <w:rPr>
          <w:rFonts w:hAnsi="仿宋_GB2312" w:cs="仿宋_GB2312"/>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pStyle w:val="74"/>
        <w:ind w:firstLine="0"/>
        <w:jc w:val="both"/>
        <w:rPr>
          <w:rFonts w:hAnsi="仿宋_GB2312" w:cs="仿宋_GB2312"/>
        </w:rPr>
      </w:pPr>
      <w:r>
        <w:rPr>
          <w:rFonts w:hAnsi="仿宋_GB2312" w:cs="仿宋_GB2312"/>
        </w:rPr>
        <w:t>12</w:t>
      </w:r>
      <w:r>
        <w:rPr>
          <w:rFonts w:hint="eastAsia" w:hAnsi="仿宋_GB2312" w:cs="仿宋_GB2312"/>
        </w:rPr>
        <w:t>、廉政承诺书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lang w:eastAsia="zh-CN"/>
        </w:rPr>
        <w:t>绍兴市公安局</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五、不为项目有关人员个人装修住房、婚丧嫁娶、配偶子女工作安排等提供好处；</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六、严格遵守政府采购法、合同法等法律，诚实守信，合法经营，坚决抵制各种违法违纪行为。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spacing w:line="360" w:lineRule="auto"/>
        <w:ind w:left="5040" w:hanging="5040" w:hangingChars="2100"/>
        <w:jc w:val="left"/>
        <w:rPr>
          <w:rFonts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13</w:t>
      </w:r>
      <w:r>
        <w:rPr>
          <w:rFonts w:hint="eastAsia" w:ascii="仿宋_GB2312" w:hAnsi="仿宋_GB2312" w:eastAsia="仿宋_GB2312" w:cs="仿宋_GB2312"/>
          <w:b/>
          <w:bCs/>
          <w:sz w:val="32"/>
          <w:szCs w:val="32"/>
        </w:rPr>
        <w:t>、技术解决方案</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（由投标人根据采购需求及招标文件要求编制）</w:t>
      </w:r>
    </w:p>
    <w:p>
      <w:pPr>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投标产品规格配置清单</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531"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设备名称</w:t>
            </w:r>
          </w:p>
        </w:tc>
        <w:tc>
          <w:tcPr>
            <w:tcW w:w="216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投标品牌及型号</w:t>
            </w:r>
          </w:p>
        </w:tc>
        <w:tc>
          <w:tcPr>
            <w:tcW w:w="234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规格配置详细说明</w:t>
            </w:r>
          </w:p>
        </w:tc>
        <w:tc>
          <w:tcPr>
            <w:tcW w:w="108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1332"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3</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4</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5</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注：</w:t>
      </w:r>
      <w:r>
        <w:rPr>
          <w:rFonts w:hint="eastAsia" w:ascii="仿宋_GB2312" w:hAnsi="仿宋_GB2312" w:eastAsia="仿宋_GB2312" w:cs="仿宋_GB2312"/>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kern w:val="0"/>
          <w:sz w:val="28"/>
          <w:szCs w:val="28"/>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p>
    <w:p>
      <w:pPr>
        <w:spacing w:line="360" w:lineRule="auto"/>
        <w:jc w:val="center"/>
        <w:rPr>
          <w:rFonts w:ascii="仿宋_GB2312" w:hAnsi="仿宋_GB2312" w:eastAsia="仿宋_GB2312" w:cs="仿宋_GB2312"/>
          <w:kern w:val="0"/>
          <w:sz w:val="24"/>
        </w:rPr>
      </w:pPr>
    </w:p>
    <w:p>
      <w:pPr>
        <w:spacing w:line="360" w:lineRule="auto"/>
        <w:jc w:val="right"/>
        <w:rPr>
          <w:rFonts w:ascii="仿宋_GB2312" w:hAnsi="仿宋_GB2312" w:eastAsia="仿宋_GB2312" w:cs="仿宋_GB2312"/>
          <w:b/>
          <w:bCs/>
          <w:kern w:val="0"/>
          <w:sz w:val="24"/>
          <w:lang w:val="zh-CN"/>
        </w:rPr>
      </w:pP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ascii="仿宋_GB2312" w:hAnsi="仿宋_GB2312" w:eastAsia="仿宋_GB2312" w:cs="仿宋_GB2312"/>
          <w:b/>
          <w:bCs/>
          <w:sz w:val="32"/>
          <w:szCs w:val="32"/>
        </w:rPr>
        <w:t>14</w:t>
      </w:r>
      <w:r>
        <w:rPr>
          <w:rFonts w:hint="eastAsia" w:ascii="仿宋_GB2312" w:hAnsi="仿宋_GB2312" w:eastAsia="仿宋_GB2312" w:cs="仿宋_GB2312"/>
          <w:b/>
          <w:bCs/>
          <w:sz w:val="32"/>
          <w:szCs w:val="32"/>
        </w:rPr>
        <w:t>、技术偏离说明表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3"/>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15</w:t>
      </w:r>
      <w:r>
        <w:rPr>
          <w:rFonts w:hint="eastAsia" w:ascii="仿宋_GB2312" w:hAnsi="仿宋_GB2312" w:eastAsia="仿宋_GB2312" w:cs="仿宋_GB2312"/>
          <w:b/>
          <w:bCs/>
          <w:sz w:val="32"/>
          <w:szCs w:val="32"/>
        </w:rPr>
        <w:t>、投标承诺书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法定代表人或其授权代表（签字或盖章）：</w:t>
      </w:r>
    </w:p>
    <w:p>
      <w:pPr>
        <w:pStyle w:val="31"/>
      </w:pPr>
    </w:p>
    <w:p>
      <w:pPr>
        <w:rPr>
          <w:rFonts w:ascii="仿宋_GB2312" w:hAnsi="宋体" w:eastAsia="仿宋_GB2312"/>
          <w:color w:val="000000"/>
          <w:sz w:val="24"/>
        </w:rPr>
      </w:pPr>
    </w:p>
    <w:p>
      <w:pPr>
        <w:jc w:val="right"/>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
      <w:pPr>
        <w:tabs>
          <w:tab w:val="left" w:pos="570"/>
        </w:tabs>
        <w:snapToGrid w:val="0"/>
        <w:spacing w:line="720" w:lineRule="exact"/>
        <w:rPr>
          <w:rFonts w:ascii="宋体"/>
          <w:b/>
          <w:sz w:val="24"/>
        </w:rPr>
      </w:pPr>
    </w:p>
    <w:p>
      <w:pPr>
        <w:pStyle w:val="31"/>
        <w:ind w:firstLine="482"/>
        <w:rPr>
          <w:rFonts w:ascii="宋体"/>
          <w:b/>
        </w:rPr>
      </w:pPr>
    </w:p>
    <w:p>
      <w:pPr>
        <w:spacing w:line="360" w:lineRule="auto"/>
        <w:rPr>
          <w:rFonts w:ascii="仿宋_GB2312" w:hAnsi="仿宋_GB2312" w:eastAsia="仿宋_GB2312" w:cs="仿宋_GB2312"/>
          <w:b/>
          <w:bCs/>
          <w:sz w:val="32"/>
          <w:szCs w:val="32"/>
        </w:rPr>
      </w:pPr>
      <w:bookmarkStart w:id="5" w:name="_Toc465665161"/>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bCs/>
          <w:sz w:val="32"/>
          <w:szCs w:val="32"/>
        </w:rPr>
        <w:t>16</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autoSpaceDE w:val="0"/>
        <w:autoSpaceDN w:val="0"/>
        <w:spacing w:line="360" w:lineRule="auto"/>
        <w:rPr>
          <w:rFonts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p>
    <w:p>
      <w:pPr>
        <w:spacing w:line="360" w:lineRule="auto"/>
        <w:rPr>
          <w:rFonts w:ascii="仿宋_GB2312" w:hAnsi="仿宋_GB2312" w:eastAsia="仿宋_GB2312" w:cs="仿宋_GB2312"/>
          <w:kern w:val="0"/>
          <w:sz w:val="24"/>
          <w:lang w:val="zh-CN"/>
        </w:rPr>
      </w:pP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bookmarkEnd w:id="5"/>
    <w:p>
      <w:pPr>
        <w:pStyle w:val="31"/>
        <w:ind w:firstLine="0" w:firstLineChars="0"/>
        <w:rPr>
          <w:rFonts w:ascii="宋体"/>
          <w:b/>
        </w:rPr>
      </w:pPr>
    </w:p>
    <w:sectPr>
      <w:headerReference r:id="rId5" w:type="first"/>
      <w:footerReference r:id="rId8" w:type="first"/>
      <w:headerReference r:id="rId4"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7835" cy="14795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wps:spPr>
                    <wps:txbx>
                      <w:txbxContent>
                        <w:p>
                          <w:pPr>
                            <w:pStyle w:val="18"/>
                          </w:pPr>
                          <w:r>
                            <w:rPr>
                              <w:rFonts w:hint="eastAsia"/>
                            </w:rPr>
                            <w:t>第</w:t>
                          </w:r>
                          <w:r>
                            <w:t xml:space="preserve"> </w:t>
                          </w:r>
                          <w:r>
                            <w:fldChar w:fldCharType="begin"/>
                          </w:r>
                          <w:r>
                            <w:instrText xml:space="preserve"> PAGE  \* MERGEFORMAT </w:instrText>
                          </w:r>
                          <w:r>
                            <w:fldChar w:fldCharType="separate"/>
                          </w:r>
                          <w:r>
                            <w:t>35</w:t>
                          </w:r>
                          <w:r>
                            <w:fldChar w:fldCharType="end"/>
                          </w:r>
                          <w: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36.05pt;mso-position-horizontal:center;mso-position-horizontal-relative:margin;mso-wrap-style:none;z-index:251658240;mso-width-relative:page;mso-height-relative:page;" filled="f" stroked="f" coordsize="21600,21600" o:gfxdata="UEsDBAoAAAAAAIdO4kAAAAAAAAAAAAAAAAAEAAAAZHJzL1BLAwQUAAAACACHTuJAIGcakNEAAAAD AQAADwAAAGRycy9kb3ducmV2LnhtbE2PwWrDMBBE74X8g9hAb41sB5rgWs4h0EtvTUuht421sUyl lZEUx/77qr20l4Vhhpm3zWF2VkwU4uBZQbkpQBB3Xg/cK3h/e37Yg4gJWaP1TAoWinBoV3cN1trf +JWmU+pFLuFYowKT0lhLGTtDDuPGj8TZu/jgMGUZeqkD3nK5s7IqikfpcOC8YHCko6Hu63R1Cnbz h6cx0pE+L1MXzLDs7cui1P26LJ5AJJrTXxh+8DM6tJnp7K+so7AK8iPp92ZvV5Ugzgqq7RZk28j/ 7O03UEsDBBQAAAAIAIdO4kAOrmwp4gEAALYDAAAOAAAAZHJzL2Uyb0RvYy54bWytU8Fu2zAMvQ/Y Pwi6L46zZu2MOEXXIsOArhvQ7gNkWbaFWaJAKbGzrx8lx1nX3oZdBJqknh4fnzfXo+nZQaHXYEue L5acKSuh1rYt+Y+n3bsrznwQthY9WFXyo/L8evv2zWZwhVpBB32tkBGI9cXgSt6F4Ios87JTRvgF OGWp2AAaEegT26xGMRC66bPVcvkhGwBrhyCV95S9m4p8m/CbRsnwrWm8CqwvOXEL6cR0VvHMthtR tChcp+WJhvgHFkZoS4+eoe5EEGyP+hWU0RLBQxMWEkwGTaOlSjPQNPnyxTSPnXAqzULieHeWyf8/ WPlw+I5M1yVfcWaFoRU9qTGwTzCyfLlaR4EG5wvqe3TUGUaq0KLTsN7dg/zpmYXbTthW3SDC0ClR E8E83syeXZ1wfASphq9Q00tiHyABjQ2aqB7pwQidFnU8LyeykZS8WF9evV9zJqmUX1x+XCdumSjm yw59+KzAsBiUHGn3CVwc7n2IZEQxt8S3LOx036f99/avBDXGTCIf+U7Mw1iNJzEqqI80BsJkJ7I/ BR3gL84GslLJLXmds/6LJSGi6+YA56CaA2ElXSx54GwKb8Pkzr1D3XaEO0t9Q2LtdBokqjpxOLEk c6T5TkaO7nv+nbr+/G7b3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EwEAABbQ29udGVudF9UeXBlc10ueG1sUEsBAhQACgAAAAAAh07iQAAAAAAA AAAAAAAAAAYAAAAAAAAAAAAQAAAALgMAAF9yZWxzL1BLAQIUABQAAAAIAIdO4kCKFGY80QAAAJQB AAALAAAAAAAAAAEAIAAAAFIDAABfcmVscy8ucmVsc1BLAQIUAAoAAAAAAIdO4kAAAAAAAAAAAAAA AAAEAAAAAAAAAAAAEAAAAAAAAABkcnMvUEsBAhQAFAAAAAgAh07iQCBnGpDRAAAAAwEAAA8AAAAA AAAAAQAgAAAAIgAAAGRycy9kb3ducmV2LnhtbFBLAQIUABQAAAAIAIdO4kAOrmwp4gEAALYDAAAO AAAAAAAAAAEAIAAAACABAABkcnMvZTJvRG9jLnhtbFBLBQYAAAAABgAGAFkBAAB0BQAAAAA= ">
              <v:fill on="f" focussize="0,0"/>
              <v:stroke on="f"/>
              <v:imagedata o:title=""/>
              <o:lock v:ext="edit" aspectratio="f"/>
              <v:textbox inset="0mm,0mm,0mm,0mm" style="mso-fit-shape-to-text:t;">
                <w:txbxContent>
                  <w:p>
                    <w:pPr>
                      <w:pStyle w:val="18"/>
                    </w:pPr>
                    <w:r>
                      <w:rPr>
                        <w:rFonts w:hint="eastAsia"/>
                      </w:rPr>
                      <w:t>第</w:t>
                    </w:r>
                    <w:r>
                      <w:t xml:space="preserve"> </w:t>
                    </w:r>
                    <w:r>
                      <w:fldChar w:fldCharType="begin"/>
                    </w:r>
                    <w:r>
                      <w:instrText xml:space="preserve"> PAGE  \* MERGEFORMAT </w:instrText>
                    </w:r>
                    <w:r>
                      <w:fldChar w:fldCharType="separate"/>
                    </w:r>
                    <w:r>
                      <w:t>35</w:t>
                    </w:r>
                    <w:r>
                      <w:fldChar w:fldCharType="end"/>
                    </w:r>
                    <w:r>
                      <w:t xml:space="preserve"> </w:t>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7"/>
        <w:rFonts w:cs="Arial"/>
        <w:sz w:val="18"/>
        <w:szCs w:val="21"/>
      </w:rPr>
    </w:pPr>
    <w:r>
      <w:rPr>
        <w:rStyle w:val="27"/>
        <w:rFonts w:cs="Arial"/>
        <w:sz w:val="18"/>
        <w:szCs w:val="21"/>
      </w:rPr>
      <w:fldChar w:fldCharType="begin"/>
    </w:r>
    <w:r>
      <w:rPr>
        <w:rStyle w:val="27"/>
        <w:rFonts w:cs="Arial"/>
        <w:sz w:val="18"/>
        <w:szCs w:val="21"/>
      </w:rPr>
      <w:instrText xml:space="preserve">PAGE  </w:instrText>
    </w:r>
    <w:r>
      <w:rPr>
        <w:rStyle w:val="27"/>
        <w:rFonts w:cs="Arial"/>
        <w:sz w:val="18"/>
        <w:szCs w:val="21"/>
      </w:rPr>
      <w:fldChar w:fldCharType="end"/>
    </w:r>
  </w:p>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A02C129"/>
    <w:multiLevelType w:val="singleLevel"/>
    <w:tmpl w:val="5A02C129"/>
    <w:lvl w:ilvl="0" w:tentative="0">
      <w:start w:val="1"/>
      <w:numFmt w:val="decimal"/>
      <w:pStyle w:val="7"/>
      <w:lvlText w:val="%1."/>
      <w:lvlJc w:val="left"/>
      <w:pPr>
        <w:tabs>
          <w:tab w:val="left" w:pos="780"/>
        </w:tabs>
        <w:ind w:left="780" w:hanging="360"/>
      </w:pPr>
      <w:rPr>
        <w:rFonts w:cs="Times New Roman"/>
      </w:rPr>
    </w:lvl>
  </w:abstractNum>
  <w:abstractNum w:abstractNumId="2">
    <w:nsid w:val="5A02C13F"/>
    <w:multiLevelType w:val="singleLevel"/>
    <w:tmpl w:val="5A02C13F"/>
    <w:lvl w:ilvl="0" w:tentative="0">
      <w:start w:val="1"/>
      <w:numFmt w:val="decimal"/>
      <w:pStyle w:val="8"/>
      <w:lvlText w:val="%1."/>
      <w:lvlJc w:val="left"/>
      <w:pPr>
        <w:tabs>
          <w:tab w:val="left" w:pos="360"/>
        </w:tabs>
        <w:ind w:left="360" w:hanging="360"/>
      </w:pPr>
      <w:rPr>
        <w:rFonts w:cs="Times New Roman"/>
      </w:rPr>
    </w:lvl>
  </w:abstractNum>
  <w:abstractNum w:abstractNumId="3">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4">
    <w:nsid w:val="5CB017FC"/>
    <w:multiLevelType w:val="multilevel"/>
    <w:tmpl w:val="5CB017FC"/>
    <w:lvl w:ilvl="0" w:tentative="0">
      <w:start w:val="1"/>
      <w:numFmt w:val="decimal"/>
      <w:pStyle w:val="2"/>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F"/>
    <w:rsid w:val="0002017B"/>
    <w:rsid w:val="0002428C"/>
    <w:rsid w:val="00030F1E"/>
    <w:rsid w:val="00051731"/>
    <w:rsid w:val="00055CDF"/>
    <w:rsid w:val="0006767A"/>
    <w:rsid w:val="00067735"/>
    <w:rsid w:val="00080F79"/>
    <w:rsid w:val="000813EC"/>
    <w:rsid w:val="00093879"/>
    <w:rsid w:val="000C38DF"/>
    <w:rsid w:val="000D7240"/>
    <w:rsid w:val="00114135"/>
    <w:rsid w:val="0012034D"/>
    <w:rsid w:val="001311E4"/>
    <w:rsid w:val="00142376"/>
    <w:rsid w:val="0014517B"/>
    <w:rsid w:val="001559EF"/>
    <w:rsid w:val="00171C91"/>
    <w:rsid w:val="0017463C"/>
    <w:rsid w:val="001814F1"/>
    <w:rsid w:val="0018495F"/>
    <w:rsid w:val="001A1325"/>
    <w:rsid w:val="001A687C"/>
    <w:rsid w:val="001B3B8E"/>
    <w:rsid w:val="001D1DA3"/>
    <w:rsid w:val="001E5FDC"/>
    <w:rsid w:val="001E78A2"/>
    <w:rsid w:val="001F02A1"/>
    <w:rsid w:val="00217753"/>
    <w:rsid w:val="00220DF0"/>
    <w:rsid w:val="002322BF"/>
    <w:rsid w:val="0023264D"/>
    <w:rsid w:val="002476B8"/>
    <w:rsid w:val="00262448"/>
    <w:rsid w:val="00273B10"/>
    <w:rsid w:val="00275656"/>
    <w:rsid w:val="00294D3C"/>
    <w:rsid w:val="002A2E37"/>
    <w:rsid w:val="002B54E5"/>
    <w:rsid w:val="002B77DD"/>
    <w:rsid w:val="002C0AB1"/>
    <w:rsid w:val="002F25A8"/>
    <w:rsid w:val="00330C22"/>
    <w:rsid w:val="003403EB"/>
    <w:rsid w:val="003411E7"/>
    <w:rsid w:val="00345DE3"/>
    <w:rsid w:val="003A2766"/>
    <w:rsid w:val="003A5C0F"/>
    <w:rsid w:val="003B2510"/>
    <w:rsid w:val="003B25FB"/>
    <w:rsid w:val="003B5CB4"/>
    <w:rsid w:val="003D237E"/>
    <w:rsid w:val="003D2443"/>
    <w:rsid w:val="003F0B46"/>
    <w:rsid w:val="00412A3B"/>
    <w:rsid w:val="0043244B"/>
    <w:rsid w:val="00440162"/>
    <w:rsid w:val="00455DAB"/>
    <w:rsid w:val="00465752"/>
    <w:rsid w:val="00467496"/>
    <w:rsid w:val="00467DC5"/>
    <w:rsid w:val="004706A2"/>
    <w:rsid w:val="00481099"/>
    <w:rsid w:val="0048467F"/>
    <w:rsid w:val="004B065D"/>
    <w:rsid w:val="004C0A50"/>
    <w:rsid w:val="004C27D1"/>
    <w:rsid w:val="004D6606"/>
    <w:rsid w:val="004E47C3"/>
    <w:rsid w:val="004F2C71"/>
    <w:rsid w:val="0050684D"/>
    <w:rsid w:val="005117F3"/>
    <w:rsid w:val="005213B8"/>
    <w:rsid w:val="0052572A"/>
    <w:rsid w:val="00545306"/>
    <w:rsid w:val="00547532"/>
    <w:rsid w:val="00566429"/>
    <w:rsid w:val="00583589"/>
    <w:rsid w:val="00590683"/>
    <w:rsid w:val="005A4AFA"/>
    <w:rsid w:val="005A64B3"/>
    <w:rsid w:val="005C0BB4"/>
    <w:rsid w:val="00602260"/>
    <w:rsid w:val="00637621"/>
    <w:rsid w:val="006418DD"/>
    <w:rsid w:val="006451AB"/>
    <w:rsid w:val="006543AB"/>
    <w:rsid w:val="00663D9D"/>
    <w:rsid w:val="006843A0"/>
    <w:rsid w:val="006940CC"/>
    <w:rsid w:val="006A4D37"/>
    <w:rsid w:val="006B047E"/>
    <w:rsid w:val="006D2193"/>
    <w:rsid w:val="006F5A9E"/>
    <w:rsid w:val="007030D1"/>
    <w:rsid w:val="00706826"/>
    <w:rsid w:val="00723CE8"/>
    <w:rsid w:val="00741A2B"/>
    <w:rsid w:val="00762D7F"/>
    <w:rsid w:val="00766BFA"/>
    <w:rsid w:val="0078125A"/>
    <w:rsid w:val="007B3644"/>
    <w:rsid w:val="007C3048"/>
    <w:rsid w:val="007D3ADA"/>
    <w:rsid w:val="007E3668"/>
    <w:rsid w:val="007E571E"/>
    <w:rsid w:val="007F3B1E"/>
    <w:rsid w:val="00801A53"/>
    <w:rsid w:val="0082182E"/>
    <w:rsid w:val="00851A0E"/>
    <w:rsid w:val="00851D0E"/>
    <w:rsid w:val="00851E94"/>
    <w:rsid w:val="008702F4"/>
    <w:rsid w:val="00872AA9"/>
    <w:rsid w:val="00884208"/>
    <w:rsid w:val="0089216A"/>
    <w:rsid w:val="008A197E"/>
    <w:rsid w:val="008D1D22"/>
    <w:rsid w:val="008D38D9"/>
    <w:rsid w:val="00923FCF"/>
    <w:rsid w:val="00937337"/>
    <w:rsid w:val="00945D15"/>
    <w:rsid w:val="00950791"/>
    <w:rsid w:val="00955273"/>
    <w:rsid w:val="00962E86"/>
    <w:rsid w:val="009660EE"/>
    <w:rsid w:val="009A4CEF"/>
    <w:rsid w:val="009C76A2"/>
    <w:rsid w:val="009D2FED"/>
    <w:rsid w:val="009E0533"/>
    <w:rsid w:val="00A1598B"/>
    <w:rsid w:val="00A16944"/>
    <w:rsid w:val="00A27EBF"/>
    <w:rsid w:val="00A30EAA"/>
    <w:rsid w:val="00A41BE4"/>
    <w:rsid w:val="00A56A1E"/>
    <w:rsid w:val="00A63825"/>
    <w:rsid w:val="00A63FBA"/>
    <w:rsid w:val="00A67091"/>
    <w:rsid w:val="00A831F9"/>
    <w:rsid w:val="00A86515"/>
    <w:rsid w:val="00A95926"/>
    <w:rsid w:val="00AA527A"/>
    <w:rsid w:val="00AD0587"/>
    <w:rsid w:val="00AD18FF"/>
    <w:rsid w:val="00AD270F"/>
    <w:rsid w:val="00B22626"/>
    <w:rsid w:val="00B251FC"/>
    <w:rsid w:val="00B63DE9"/>
    <w:rsid w:val="00B76EC0"/>
    <w:rsid w:val="00C207BF"/>
    <w:rsid w:val="00C249E6"/>
    <w:rsid w:val="00C60D63"/>
    <w:rsid w:val="00C7051D"/>
    <w:rsid w:val="00C750A5"/>
    <w:rsid w:val="00C85041"/>
    <w:rsid w:val="00C90C86"/>
    <w:rsid w:val="00CB14BF"/>
    <w:rsid w:val="00CB3AAD"/>
    <w:rsid w:val="00CC5263"/>
    <w:rsid w:val="00D95393"/>
    <w:rsid w:val="00D9689D"/>
    <w:rsid w:val="00DA2B91"/>
    <w:rsid w:val="00DA5951"/>
    <w:rsid w:val="00DD1F2E"/>
    <w:rsid w:val="00E02CE4"/>
    <w:rsid w:val="00E4050A"/>
    <w:rsid w:val="00E60A3E"/>
    <w:rsid w:val="00E62AFA"/>
    <w:rsid w:val="00E710CD"/>
    <w:rsid w:val="00E76BEC"/>
    <w:rsid w:val="00E81842"/>
    <w:rsid w:val="00EB2D90"/>
    <w:rsid w:val="00F56126"/>
    <w:rsid w:val="00F63769"/>
    <w:rsid w:val="00F854BD"/>
    <w:rsid w:val="00F962A2"/>
    <w:rsid w:val="00FA3C13"/>
    <w:rsid w:val="00FA6E82"/>
    <w:rsid w:val="00FB06C5"/>
    <w:rsid w:val="00FB28A6"/>
    <w:rsid w:val="00FB744B"/>
    <w:rsid w:val="00FC0CF4"/>
    <w:rsid w:val="00FC1A98"/>
    <w:rsid w:val="00FD25D7"/>
    <w:rsid w:val="00FE7019"/>
    <w:rsid w:val="00FF20E1"/>
    <w:rsid w:val="01073442"/>
    <w:rsid w:val="0135256E"/>
    <w:rsid w:val="017F0419"/>
    <w:rsid w:val="02455361"/>
    <w:rsid w:val="02E03D80"/>
    <w:rsid w:val="02FF6323"/>
    <w:rsid w:val="03166C95"/>
    <w:rsid w:val="033742BA"/>
    <w:rsid w:val="0432047D"/>
    <w:rsid w:val="052D2EBC"/>
    <w:rsid w:val="053A65F5"/>
    <w:rsid w:val="06E4135A"/>
    <w:rsid w:val="074511A7"/>
    <w:rsid w:val="07DA186C"/>
    <w:rsid w:val="08DC6D2E"/>
    <w:rsid w:val="08E27460"/>
    <w:rsid w:val="08FA3C1C"/>
    <w:rsid w:val="097A3B63"/>
    <w:rsid w:val="0B637A3A"/>
    <w:rsid w:val="0B9713AA"/>
    <w:rsid w:val="0C1C5327"/>
    <w:rsid w:val="0DD1638B"/>
    <w:rsid w:val="0ED21131"/>
    <w:rsid w:val="10F654D7"/>
    <w:rsid w:val="113E3A4C"/>
    <w:rsid w:val="11564EC4"/>
    <w:rsid w:val="11D91565"/>
    <w:rsid w:val="125750F6"/>
    <w:rsid w:val="127542AA"/>
    <w:rsid w:val="12F15FC0"/>
    <w:rsid w:val="13AD3C35"/>
    <w:rsid w:val="14685E9F"/>
    <w:rsid w:val="149C53ED"/>
    <w:rsid w:val="155212F2"/>
    <w:rsid w:val="1557079B"/>
    <w:rsid w:val="15661BF2"/>
    <w:rsid w:val="15894F4A"/>
    <w:rsid w:val="169F1555"/>
    <w:rsid w:val="16C339B4"/>
    <w:rsid w:val="181C3543"/>
    <w:rsid w:val="183550AA"/>
    <w:rsid w:val="1887170A"/>
    <w:rsid w:val="198960E3"/>
    <w:rsid w:val="19A857C8"/>
    <w:rsid w:val="19CE48C9"/>
    <w:rsid w:val="19D9355D"/>
    <w:rsid w:val="1A0C3B58"/>
    <w:rsid w:val="1A8B44E3"/>
    <w:rsid w:val="1B1C0F2A"/>
    <w:rsid w:val="1B1F3315"/>
    <w:rsid w:val="1B451CEF"/>
    <w:rsid w:val="1B5003E0"/>
    <w:rsid w:val="1B765B82"/>
    <w:rsid w:val="1B965EA6"/>
    <w:rsid w:val="1BE62BE0"/>
    <w:rsid w:val="1D155786"/>
    <w:rsid w:val="1D2A3257"/>
    <w:rsid w:val="1DDC590A"/>
    <w:rsid w:val="1EE4458C"/>
    <w:rsid w:val="1F3A2255"/>
    <w:rsid w:val="1FB473F5"/>
    <w:rsid w:val="1FB74E43"/>
    <w:rsid w:val="1FC70F79"/>
    <w:rsid w:val="1FD44083"/>
    <w:rsid w:val="1FDB4036"/>
    <w:rsid w:val="20BE6021"/>
    <w:rsid w:val="22C65437"/>
    <w:rsid w:val="2304797C"/>
    <w:rsid w:val="23BE0F28"/>
    <w:rsid w:val="24097FEF"/>
    <w:rsid w:val="242F6C37"/>
    <w:rsid w:val="24E92B02"/>
    <w:rsid w:val="253216FD"/>
    <w:rsid w:val="256D4AB4"/>
    <w:rsid w:val="25A57D1C"/>
    <w:rsid w:val="26294A1D"/>
    <w:rsid w:val="27903546"/>
    <w:rsid w:val="288C1337"/>
    <w:rsid w:val="291E1DAE"/>
    <w:rsid w:val="29DA29ED"/>
    <w:rsid w:val="2A523300"/>
    <w:rsid w:val="2AFA300F"/>
    <w:rsid w:val="2C446861"/>
    <w:rsid w:val="2D2A61CE"/>
    <w:rsid w:val="2D80707D"/>
    <w:rsid w:val="2DE2488D"/>
    <w:rsid w:val="2ED619F5"/>
    <w:rsid w:val="2F9F3A1B"/>
    <w:rsid w:val="30730BA2"/>
    <w:rsid w:val="30782F4C"/>
    <w:rsid w:val="32B65903"/>
    <w:rsid w:val="32C97243"/>
    <w:rsid w:val="32D758ED"/>
    <w:rsid w:val="33012007"/>
    <w:rsid w:val="33AD15F4"/>
    <w:rsid w:val="34563430"/>
    <w:rsid w:val="34A065F2"/>
    <w:rsid w:val="378D5403"/>
    <w:rsid w:val="37C02DA1"/>
    <w:rsid w:val="38285B2C"/>
    <w:rsid w:val="38A11738"/>
    <w:rsid w:val="38CF2698"/>
    <w:rsid w:val="38D4603A"/>
    <w:rsid w:val="38F76EE1"/>
    <w:rsid w:val="392E3D2B"/>
    <w:rsid w:val="3A4719E4"/>
    <w:rsid w:val="3B9F7E10"/>
    <w:rsid w:val="3BA40ED7"/>
    <w:rsid w:val="3C025073"/>
    <w:rsid w:val="3C0D4D62"/>
    <w:rsid w:val="3D0E3394"/>
    <w:rsid w:val="3E253FC4"/>
    <w:rsid w:val="3E66686E"/>
    <w:rsid w:val="3E781CBE"/>
    <w:rsid w:val="3EF13B78"/>
    <w:rsid w:val="3F184BE9"/>
    <w:rsid w:val="3F96657B"/>
    <w:rsid w:val="40712EC2"/>
    <w:rsid w:val="40D9690C"/>
    <w:rsid w:val="41541E80"/>
    <w:rsid w:val="41A3573D"/>
    <w:rsid w:val="422A0C37"/>
    <w:rsid w:val="425B70E5"/>
    <w:rsid w:val="43DD0189"/>
    <w:rsid w:val="43E828F9"/>
    <w:rsid w:val="44A620DD"/>
    <w:rsid w:val="4616050C"/>
    <w:rsid w:val="4624734D"/>
    <w:rsid w:val="46C128AC"/>
    <w:rsid w:val="47663221"/>
    <w:rsid w:val="485B7239"/>
    <w:rsid w:val="48C46876"/>
    <w:rsid w:val="49E360AC"/>
    <w:rsid w:val="4A04095E"/>
    <w:rsid w:val="4A2E44F7"/>
    <w:rsid w:val="4A5A1788"/>
    <w:rsid w:val="4BF23C29"/>
    <w:rsid w:val="4C075C89"/>
    <w:rsid w:val="4CD657F8"/>
    <w:rsid w:val="4D2764E4"/>
    <w:rsid w:val="4DA5050B"/>
    <w:rsid w:val="4E083898"/>
    <w:rsid w:val="4E26397C"/>
    <w:rsid w:val="4E363927"/>
    <w:rsid w:val="4EA90E17"/>
    <w:rsid w:val="52521883"/>
    <w:rsid w:val="53ED7088"/>
    <w:rsid w:val="55902CE3"/>
    <w:rsid w:val="56311879"/>
    <w:rsid w:val="57351512"/>
    <w:rsid w:val="5856412A"/>
    <w:rsid w:val="5863246B"/>
    <w:rsid w:val="588A53A7"/>
    <w:rsid w:val="596E3097"/>
    <w:rsid w:val="59FE758C"/>
    <w:rsid w:val="5B301B1F"/>
    <w:rsid w:val="5B683210"/>
    <w:rsid w:val="5C4F346D"/>
    <w:rsid w:val="5CEC747F"/>
    <w:rsid w:val="5D600E9D"/>
    <w:rsid w:val="5E876144"/>
    <w:rsid w:val="5F0266A3"/>
    <w:rsid w:val="5F232D5B"/>
    <w:rsid w:val="5F744292"/>
    <w:rsid w:val="5F952C60"/>
    <w:rsid w:val="5FD51C0C"/>
    <w:rsid w:val="606129E7"/>
    <w:rsid w:val="60662262"/>
    <w:rsid w:val="610B35BB"/>
    <w:rsid w:val="61CD1945"/>
    <w:rsid w:val="620E2B02"/>
    <w:rsid w:val="623E3703"/>
    <w:rsid w:val="62B65C75"/>
    <w:rsid w:val="63487EAC"/>
    <w:rsid w:val="63575F25"/>
    <w:rsid w:val="637F68CB"/>
    <w:rsid w:val="64013D86"/>
    <w:rsid w:val="64031C4A"/>
    <w:rsid w:val="643A6EA0"/>
    <w:rsid w:val="64EC5A6B"/>
    <w:rsid w:val="650D77AD"/>
    <w:rsid w:val="653666D1"/>
    <w:rsid w:val="66090E80"/>
    <w:rsid w:val="6611701E"/>
    <w:rsid w:val="67FD2A7B"/>
    <w:rsid w:val="68BB3495"/>
    <w:rsid w:val="68DB190B"/>
    <w:rsid w:val="69634496"/>
    <w:rsid w:val="6AB1009A"/>
    <w:rsid w:val="6B8860DC"/>
    <w:rsid w:val="6BAE7000"/>
    <w:rsid w:val="6BB05959"/>
    <w:rsid w:val="6C5C04D5"/>
    <w:rsid w:val="6FB83CDB"/>
    <w:rsid w:val="6FD5142D"/>
    <w:rsid w:val="70853498"/>
    <w:rsid w:val="72074872"/>
    <w:rsid w:val="72BB4D4E"/>
    <w:rsid w:val="72BE4B83"/>
    <w:rsid w:val="73094A27"/>
    <w:rsid w:val="73200F6B"/>
    <w:rsid w:val="74D249BF"/>
    <w:rsid w:val="754358D4"/>
    <w:rsid w:val="767F7FDC"/>
    <w:rsid w:val="77DC7D9B"/>
    <w:rsid w:val="77DE40CB"/>
    <w:rsid w:val="78305FF2"/>
    <w:rsid w:val="792E66F3"/>
    <w:rsid w:val="796203CB"/>
    <w:rsid w:val="79B44386"/>
    <w:rsid w:val="79EE6A68"/>
    <w:rsid w:val="7A3E7618"/>
    <w:rsid w:val="7AE5282F"/>
    <w:rsid w:val="7AF956FC"/>
    <w:rsid w:val="7C003A54"/>
    <w:rsid w:val="7C5D47C4"/>
    <w:rsid w:val="7C6B5BDD"/>
    <w:rsid w:val="7D842440"/>
    <w:rsid w:val="7DA94ABE"/>
    <w:rsid w:val="7E073573"/>
    <w:rsid w:val="7E3B60DE"/>
    <w:rsid w:val="7EDC6139"/>
    <w:rsid w:val="7EEE135D"/>
    <w:rsid w:val="7F290C8A"/>
    <w:rsid w:val="7FA239C6"/>
    <w:rsid w:val="7FB7288D"/>
    <w:rsid w:val="7FB73A06"/>
    <w:rsid w:val="7FC24B9F"/>
    <w:rsid w:val="7FDA4D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3"/>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5"/>
    <w:link w:val="34"/>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35"/>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9"/>
    <w:qFormat/>
    <w:uiPriority w:val="99"/>
    <w:pPr>
      <w:widowControl/>
      <w:snapToGrid w:val="0"/>
      <w:spacing w:line="480" w:lineRule="exact"/>
      <w:ind w:firstLine="567"/>
    </w:pPr>
    <w:rPr>
      <w:rFonts w:ascii="宋体"/>
      <w:snapToGrid w:val="0"/>
      <w:color w:val="000000"/>
      <w:kern w:val="28"/>
      <w:sz w:val="28"/>
      <w:szCs w:val="20"/>
    </w:rPr>
  </w:style>
  <w:style w:type="paragraph" w:styleId="7">
    <w:name w:val="List Number 2"/>
    <w:basedOn w:val="1"/>
    <w:qFormat/>
    <w:uiPriority w:val="99"/>
    <w:pPr>
      <w:numPr>
        <w:ilvl w:val="0"/>
        <w:numId w:val="2"/>
      </w:numPr>
    </w:pPr>
  </w:style>
  <w:style w:type="paragraph" w:styleId="8">
    <w:name w:val="List Number"/>
    <w:basedOn w:val="1"/>
    <w:qFormat/>
    <w:uiPriority w:val="99"/>
    <w:pPr>
      <w:numPr>
        <w:ilvl w:val="0"/>
        <w:numId w:val="3"/>
      </w:numPr>
    </w:pPr>
  </w:style>
  <w:style w:type="paragraph" w:styleId="9">
    <w:name w:val="Document Map"/>
    <w:basedOn w:val="1"/>
    <w:link w:val="36"/>
    <w:semiHidden/>
    <w:qFormat/>
    <w:locked/>
    <w:uiPriority w:val="99"/>
    <w:pPr>
      <w:shd w:val="clear" w:color="auto" w:fill="000080"/>
      <w:adjustRightInd/>
    </w:pPr>
    <w:rPr>
      <w:rFonts w:ascii="宋体"/>
      <w:sz w:val="18"/>
      <w:szCs w:val="18"/>
    </w:rPr>
  </w:style>
  <w:style w:type="paragraph" w:styleId="10">
    <w:name w:val="annotation text"/>
    <w:basedOn w:val="1"/>
    <w:link w:val="37"/>
    <w:qFormat/>
    <w:uiPriority w:val="99"/>
    <w:pPr>
      <w:adjustRightInd/>
      <w:jc w:val="left"/>
    </w:pPr>
    <w:rPr>
      <w:kern w:val="0"/>
      <w:sz w:val="24"/>
      <w:lang w:val="zh-CN"/>
    </w:rPr>
  </w:style>
  <w:style w:type="paragraph" w:styleId="11">
    <w:name w:val="Body Text"/>
    <w:basedOn w:val="1"/>
    <w:link w:val="38"/>
    <w:qFormat/>
    <w:locked/>
    <w:uiPriority w:val="99"/>
    <w:pPr>
      <w:spacing w:line="360" w:lineRule="auto"/>
    </w:pPr>
    <w:rPr>
      <w:rFonts w:eastAsia="仿宋_GB2312"/>
      <w:sz w:val="28"/>
    </w:rPr>
  </w:style>
  <w:style w:type="paragraph" w:styleId="12">
    <w:name w:val="Body Text Indent"/>
    <w:basedOn w:val="1"/>
    <w:link w:val="39"/>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40"/>
    <w:qFormat/>
    <w:uiPriority w:val="99"/>
    <w:rPr>
      <w:rFonts w:ascii="宋体" w:hAnsi="Courier New"/>
      <w:kern w:val="0"/>
      <w:szCs w:val="20"/>
    </w:rPr>
  </w:style>
  <w:style w:type="paragraph" w:styleId="15">
    <w:name w:val="Date"/>
    <w:basedOn w:val="1"/>
    <w:next w:val="1"/>
    <w:link w:val="41"/>
    <w:qFormat/>
    <w:uiPriority w:val="99"/>
    <w:pPr>
      <w:ind w:left="100" w:leftChars="2500"/>
    </w:pPr>
    <w:rPr>
      <w:rFonts w:ascii="宋体"/>
      <w:kern w:val="0"/>
      <w:szCs w:val="20"/>
      <w:lang w:val="zh-CN"/>
    </w:rPr>
  </w:style>
  <w:style w:type="paragraph" w:styleId="16">
    <w:name w:val="Body Text Indent 2"/>
    <w:basedOn w:val="1"/>
    <w:link w:val="42"/>
    <w:semiHidden/>
    <w:qFormat/>
    <w:locked/>
    <w:uiPriority w:val="99"/>
    <w:pPr>
      <w:spacing w:after="120" w:line="480" w:lineRule="auto"/>
      <w:ind w:left="420" w:leftChars="200"/>
    </w:pPr>
  </w:style>
  <w:style w:type="paragraph" w:styleId="17">
    <w:name w:val="Balloon Text"/>
    <w:basedOn w:val="1"/>
    <w:link w:val="76"/>
    <w:semiHidden/>
    <w:qFormat/>
    <w:locked/>
    <w:uiPriority w:val="99"/>
    <w:rPr>
      <w:sz w:val="18"/>
      <w:szCs w:val="18"/>
    </w:rPr>
  </w:style>
  <w:style w:type="paragraph" w:styleId="18">
    <w:name w:val="footer"/>
    <w:basedOn w:val="1"/>
    <w:link w:val="43"/>
    <w:qFormat/>
    <w:uiPriority w:val="99"/>
    <w:pPr>
      <w:tabs>
        <w:tab w:val="center" w:pos="4153"/>
        <w:tab w:val="right" w:pos="8306"/>
      </w:tabs>
      <w:snapToGrid w:val="0"/>
      <w:jc w:val="left"/>
    </w:pPr>
    <w:rPr>
      <w:kern w:val="0"/>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2"/>
    <w:basedOn w:val="1"/>
    <w:link w:val="45"/>
    <w:qFormat/>
    <w:uiPriority w:val="99"/>
    <w:pPr>
      <w:widowControl/>
      <w:spacing w:afterLines="50" w:line="216" w:lineRule="auto"/>
      <w:jc w:val="center"/>
    </w:pPr>
    <w:rPr>
      <w:kern w:val="0"/>
      <w:sz w:val="24"/>
    </w:rPr>
  </w:style>
  <w:style w:type="paragraph" w:styleId="21">
    <w:name w:val="Title"/>
    <w:basedOn w:val="1"/>
    <w:next w:val="1"/>
    <w:link w:val="46"/>
    <w:qFormat/>
    <w:uiPriority w:val="99"/>
    <w:pPr>
      <w:spacing w:before="240" w:after="60"/>
      <w:jc w:val="center"/>
      <w:outlineLvl w:val="0"/>
    </w:pPr>
    <w:rPr>
      <w:rFonts w:ascii="Calibri Light" w:hAnsi="Calibri Light"/>
      <w:b/>
      <w:bCs/>
      <w:kern w:val="0"/>
      <w:sz w:val="32"/>
      <w:szCs w:val="32"/>
    </w:rPr>
  </w:style>
  <w:style w:type="paragraph" w:styleId="22">
    <w:name w:val="annotation subject"/>
    <w:basedOn w:val="10"/>
    <w:next w:val="10"/>
    <w:link w:val="47"/>
    <w:qFormat/>
    <w:uiPriority w:val="99"/>
    <w:pPr>
      <w:widowControl/>
      <w:spacing w:afterLines="50"/>
    </w:pPr>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99"/>
    <w:rPr>
      <w:rFonts w:ascii="Arial" w:hAnsi="Arial" w:eastAsia="黑体" w:cs="Times New Roman"/>
      <w:snapToGrid w:val="0"/>
      <w:kern w:val="0"/>
      <w:sz w:val="21"/>
    </w:rPr>
  </w:style>
  <w:style w:type="character" w:styleId="28">
    <w:name w:val="FollowedHyperlink"/>
    <w:basedOn w:val="25"/>
    <w:qFormat/>
    <w:locked/>
    <w:uiPriority w:val="99"/>
    <w:rPr>
      <w:rFonts w:cs="Times New Roman"/>
      <w:color w:val="800080"/>
      <w:u w:val="none"/>
    </w:rPr>
  </w:style>
  <w:style w:type="character" w:styleId="29">
    <w:name w:val="Hyperlink"/>
    <w:basedOn w:val="25"/>
    <w:qFormat/>
    <w:uiPriority w:val="99"/>
    <w:rPr>
      <w:rFonts w:cs="Times New Roman"/>
      <w:color w:val="0000FF"/>
      <w:u w:val="single"/>
    </w:rPr>
  </w:style>
  <w:style w:type="character" w:styleId="30">
    <w:name w:val="annotation reference"/>
    <w:basedOn w:val="25"/>
    <w:semiHidden/>
    <w:qFormat/>
    <w:locked/>
    <w:uiPriority w:val="99"/>
    <w:rPr>
      <w:rFonts w:cs="Times New Roman"/>
      <w:sz w:val="21"/>
      <w:szCs w:val="21"/>
    </w:rPr>
  </w:style>
  <w:style w:type="paragraph" w:customStyle="1" w:styleId="31">
    <w:name w:val="首行缩进"/>
    <w:basedOn w:val="1"/>
    <w:qFormat/>
    <w:uiPriority w:val="99"/>
    <w:pPr>
      <w:spacing w:line="360" w:lineRule="auto"/>
      <w:ind w:firstLine="480" w:firstLineChars="200"/>
    </w:pPr>
    <w:rPr>
      <w:sz w:val="24"/>
      <w:szCs w:val="22"/>
      <w:lang w:val="zh-CN"/>
    </w:rPr>
  </w:style>
  <w:style w:type="character" w:customStyle="1" w:styleId="32">
    <w:name w:val="标题 1 Char"/>
    <w:basedOn w:val="25"/>
    <w:link w:val="2"/>
    <w:qFormat/>
    <w:locked/>
    <w:uiPriority w:val="99"/>
    <w:rPr>
      <w:rFonts w:eastAsia="仿宋_GB2312"/>
      <w:b/>
      <w:kern w:val="44"/>
      <w:sz w:val="44"/>
      <w:szCs w:val="20"/>
    </w:rPr>
  </w:style>
  <w:style w:type="character" w:customStyle="1" w:styleId="33">
    <w:name w:val="标题 2 Char"/>
    <w:basedOn w:val="25"/>
    <w:link w:val="3"/>
    <w:semiHidden/>
    <w:qFormat/>
    <w:locked/>
    <w:uiPriority w:val="99"/>
    <w:rPr>
      <w:rFonts w:ascii="Calibri Light" w:hAnsi="Calibri Light" w:eastAsia="宋体" w:cs="Times New Roman"/>
      <w:b/>
      <w:sz w:val="32"/>
    </w:rPr>
  </w:style>
  <w:style w:type="character" w:customStyle="1" w:styleId="34">
    <w:name w:val="标题 3 Char"/>
    <w:basedOn w:val="25"/>
    <w:link w:val="4"/>
    <w:semiHidden/>
    <w:qFormat/>
    <w:locked/>
    <w:uiPriority w:val="99"/>
    <w:rPr>
      <w:rFonts w:ascii="Times New Roman" w:hAnsi="Times New Roman" w:eastAsia="宋体" w:cs="Times New Roman"/>
      <w:b/>
      <w:sz w:val="32"/>
    </w:rPr>
  </w:style>
  <w:style w:type="character" w:customStyle="1" w:styleId="35">
    <w:name w:val="标题 4 Char"/>
    <w:basedOn w:val="25"/>
    <w:link w:val="6"/>
    <w:semiHidden/>
    <w:qFormat/>
    <w:locked/>
    <w:uiPriority w:val="99"/>
    <w:rPr>
      <w:rFonts w:ascii="Calibri Light" w:hAnsi="Calibri Light" w:eastAsia="宋体" w:cs="Times New Roman"/>
      <w:b/>
      <w:sz w:val="28"/>
    </w:rPr>
  </w:style>
  <w:style w:type="character" w:customStyle="1" w:styleId="36">
    <w:name w:val="文档结构图 Char1"/>
    <w:basedOn w:val="25"/>
    <w:link w:val="9"/>
    <w:semiHidden/>
    <w:qFormat/>
    <w:locked/>
    <w:uiPriority w:val="99"/>
    <w:rPr>
      <w:rFonts w:ascii="宋体" w:hAnsi="Times New Roman" w:cs="Times New Roman"/>
      <w:kern w:val="2"/>
      <w:sz w:val="18"/>
    </w:rPr>
  </w:style>
  <w:style w:type="character" w:customStyle="1" w:styleId="37">
    <w:name w:val="批注文字 Char"/>
    <w:basedOn w:val="25"/>
    <w:link w:val="10"/>
    <w:qFormat/>
    <w:locked/>
    <w:uiPriority w:val="99"/>
    <w:rPr>
      <w:rFonts w:ascii="Times New Roman" w:hAnsi="Times New Roman" w:eastAsia="宋体" w:cs="Times New Roman"/>
      <w:kern w:val="0"/>
      <w:sz w:val="24"/>
      <w:lang w:val="zh-CN" w:eastAsia="zh-CN"/>
    </w:rPr>
  </w:style>
  <w:style w:type="character" w:customStyle="1" w:styleId="38">
    <w:name w:val="正文文本 Char"/>
    <w:basedOn w:val="25"/>
    <w:link w:val="11"/>
    <w:semiHidden/>
    <w:qFormat/>
    <w:locked/>
    <w:uiPriority w:val="99"/>
    <w:rPr>
      <w:rFonts w:cs="Times New Roman"/>
      <w:sz w:val="24"/>
      <w:szCs w:val="24"/>
    </w:rPr>
  </w:style>
  <w:style w:type="character" w:customStyle="1" w:styleId="39">
    <w:name w:val="正文文本缩进 Char"/>
    <w:basedOn w:val="25"/>
    <w:link w:val="12"/>
    <w:semiHidden/>
    <w:qFormat/>
    <w:locked/>
    <w:uiPriority w:val="99"/>
    <w:rPr>
      <w:rFonts w:ascii="Times New Roman" w:hAnsi="Times New Roman" w:cs="Times New Roman"/>
      <w:sz w:val="24"/>
    </w:rPr>
  </w:style>
  <w:style w:type="character" w:customStyle="1" w:styleId="40">
    <w:name w:val="纯文本 Char"/>
    <w:basedOn w:val="25"/>
    <w:link w:val="14"/>
    <w:qFormat/>
    <w:locked/>
    <w:uiPriority w:val="99"/>
    <w:rPr>
      <w:rFonts w:ascii="宋体" w:hAnsi="Courier New" w:eastAsia="宋体" w:cs="Times New Roman"/>
      <w:snapToGrid w:val="0"/>
      <w:sz w:val="21"/>
    </w:rPr>
  </w:style>
  <w:style w:type="character" w:customStyle="1" w:styleId="41">
    <w:name w:val="日期 Char"/>
    <w:basedOn w:val="25"/>
    <w:link w:val="15"/>
    <w:qFormat/>
    <w:locked/>
    <w:uiPriority w:val="99"/>
    <w:rPr>
      <w:rFonts w:ascii="宋体" w:cs="Times New Roman"/>
      <w:sz w:val="21"/>
      <w:lang w:val="zh-CN"/>
    </w:rPr>
  </w:style>
  <w:style w:type="character" w:customStyle="1" w:styleId="42">
    <w:name w:val="正文文本缩进 2 Char"/>
    <w:basedOn w:val="25"/>
    <w:link w:val="16"/>
    <w:semiHidden/>
    <w:qFormat/>
    <w:locked/>
    <w:uiPriority w:val="99"/>
    <w:rPr>
      <w:rFonts w:cs="Times New Roman"/>
      <w:sz w:val="24"/>
      <w:szCs w:val="24"/>
    </w:rPr>
  </w:style>
  <w:style w:type="character" w:customStyle="1" w:styleId="43">
    <w:name w:val="页脚 Char"/>
    <w:basedOn w:val="25"/>
    <w:link w:val="18"/>
    <w:qFormat/>
    <w:locked/>
    <w:uiPriority w:val="99"/>
    <w:rPr>
      <w:rFonts w:ascii="Times New Roman" w:hAnsi="Times New Roman" w:eastAsia="宋体" w:cs="Times New Roman"/>
      <w:sz w:val="18"/>
    </w:rPr>
  </w:style>
  <w:style w:type="character" w:customStyle="1" w:styleId="44">
    <w:name w:val="Header Char"/>
    <w:basedOn w:val="25"/>
    <w:qFormat/>
    <w:locked/>
    <w:uiPriority w:val="99"/>
    <w:rPr>
      <w:rFonts w:ascii="Times New Roman" w:hAnsi="Times New Roman" w:eastAsia="宋体" w:cs="Times New Roman"/>
      <w:sz w:val="18"/>
    </w:rPr>
  </w:style>
  <w:style w:type="character" w:customStyle="1" w:styleId="45">
    <w:name w:val="正文文本 2 Char"/>
    <w:basedOn w:val="25"/>
    <w:link w:val="20"/>
    <w:semiHidden/>
    <w:qFormat/>
    <w:locked/>
    <w:uiPriority w:val="99"/>
    <w:rPr>
      <w:rFonts w:ascii="Times New Roman" w:hAnsi="Times New Roman" w:cs="Times New Roman"/>
      <w:sz w:val="24"/>
    </w:rPr>
  </w:style>
  <w:style w:type="character" w:customStyle="1" w:styleId="46">
    <w:name w:val="标题 Char"/>
    <w:basedOn w:val="25"/>
    <w:link w:val="21"/>
    <w:qFormat/>
    <w:locked/>
    <w:uiPriority w:val="99"/>
    <w:rPr>
      <w:rFonts w:ascii="Calibri Light" w:hAnsi="Calibri Light" w:eastAsia="宋体" w:cs="Times New Roman"/>
      <w:b/>
      <w:sz w:val="32"/>
    </w:rPr>
  </w:style>
  <w:style w:type="character" w:customStyle="1" w:styleId="47">
    <w:name w:val="批注主题 Char"/>
    <w:basedOn w:val="37"/>
    <w:link w:val="22"/>
    <w:semiHidden/>
    <w:qFormat/>
    <w:locked/>
    <w:uiPriority w:val="99"/>
    <w:rPr>
      <w:rFonts w:ascii="Times New Roman" w:hAnsi="Times New Roman" w:eastAsia="宋体" w:cs="Times New Roman"/>
      <w:b/>
      <w:kern w:val="0"/>
      <w:sz w:val="24"/>
      <w:lang w:val="zh-CN" w:eastAsia="zh-CN"/>
    </w:rPr>
  </w:style>
  <w:style w:type="character" w:customStyle="1" w:styleId="48">
    <w:name w:val="页眉 Char"/>
    <w:link w:val="19"/>
    <w:qFormat/>
    <w:locked/>
    <w:uiPriority w:val="99"/>
    <w:rPr>
      <w:rFonts w:ascii="Times New Roman" w:hAnsi="Times New Roman" w:eastAsia="宋体"/>
      <w:sz w:val="18"/>
    </w:rPr>
  </w:style>
  <w:style w:type="character" w:customStyle="1" w:styleId="49">
    <w:name w:val="正文缩进 Char"/>
    <w:link w:val="5"/>
    <w:qFormat/>
    <w:locked/>
    <w:uiPriority w:val="99"/>
    <w:rPr>
      <w:rFonts w:ascii="宋体" w:eastAsia="宋体"/>
      <w:snapToGrid w:val="0"/>
      <w:color w:val="000000"/>
      <w:kern w:val="28"/>
      <w:sz w:val="28"/>
    </w:rPr>
  </w:style>
  <w:style w:type="character" w:customStyle="1" w:styleId="50">
    <w:name w:val="日期 Char1"/>
    <w:semiHidden/>
    <w:qFormat/>
    <w:uiPriority w:val="99"/>
    <w:rPr>
      <w:rFonts w:ascii="Times New Roman" w:hAnsi="Times New Roman" w:eastAsia="宋体"/>
      <w:sz w:val="24"/>
    </w:rPr>
  </w:style>
  <w:style w:type="character" w:customStyle="1" w:styleId="51">
    <w:name w:val="纯文本 Char1"/>
    <w:semiHidden/>
    <w:qFormat/>
    <w:uiPriority w:val="99"/>
    <w:rPr>
      <w:rFonts w:ascii="宋体" w:hAnsi="Courier New" w:eastAsia="宋体"/>
      <w:sz w:val="21"/>
    </w:rPr>
  </w:style>
  <w:style w:type="paragraph" w:customStyle="1" w:styleId="5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
    <w:name w:val="列出段落1"/>
    <w:basedOn w:val="1"/>
    <w:qFormat/>
    <w:uiPriority w:val="99"/>
    <w:pPr>
      <w:spacing w:line="360" w:lineRule="auto"/>
      <w:ind w:firstLine="200" w:firstLineChars="200"/>
    </w:pPr>
    <w:rPr>
      <w:rFonts w:eastAsia="楷体_GB2312" w:cs="Lucida Sans"/>
      <w:sz w:val="24"/>
    </w:rPr>
  </w:style>
  <w:style w:type="paragraph" w:customStyle="1" w:styleId="54">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5">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7">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8">
    <w:name w:val="Char Char Char Char1"/>
    <w:basedOn w:val="1"/>
    <w:qFormat/>
    <w:uiPriority w:val="99"/>
    <w:pPr>
      <w:adjustRightInd/>
    </w:pPr>
    <w:rPr>
      <w:rFonts w:ascii="Tahoma" w:hAnsi="Tahoma"/>
      <w:sz w:val="24"/>
      <w:szCs w:val="20"/>
    </w:rPr>
  </w:style>
  <w:style w:type="paragraph" w:customStyle="1" w:styleId="59">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60">
    <w:name w:val="正文段"/>
    <w:basedOn w:val="1"/>
    <w:link w:val="66"/>
    <w:qFormat/>
    <w:uiPriority w:val="99"/>
    <w:pPr>
      <w:widowControl/>
      <w:snapToGrid w:val="0"/>
      <w:spacing w:afterLines="50"/>
      <w:ind w:firstLine="200" w:firstLineChars="200"/>
    </w:pPr>
    <w:rPr>
      <w:kern w:val="0"/>
      <w:sz w:val="24"/>
      <w:szCs w:val="20"/>
    </w:rPr>
  </w:style>
  <w:style w:type="paragraph" w:customStyle="1" w:styleId="61">
    <w:name w:val="正文2"/>
    <w:basedOn w:val="1"/>
    <w:link w:val="65"/>
    <w:qFormat/>
    <w:uiPriority w:val="99"/>
    <w:pPr>
      <w:spacing w:before="156" w:line="360" w:lineRule="auto"/>
      <w:ind w:firstLine="510" w:firstLineChars="200"/>
    </w:pPr>
    <w:rPr>
      <w:sz w:val="24"/>
      <w:szCs w:val="20"/>
    </w:rPr>
  </w:style>
  <w:style w:type="paragraph" w:customStyle="1" w:styleId="62">
    <w:name w:val="表正文"/>
    <w:basedOn w:val="1"/>
    <w:next w:val="14"/>
    <w:qFormat/>
    <w:uiPriority w:val="99"/>
    <w:rPr>
      <w:rFonts w:ascii="宋体" w:hAnsi="Courier New"/>
      <w:szCs w:val="20"/>
    </w:rPr>
  </w:style>
  <w:style w:type="character" w:customStyle="1" w:styleId="63">
    <w:name w:val="文档结构图 Char"/>
    <w:semiHidden/>
    <w:qFormat/>
    <w:uiPriority w:val="99"/>
    <w:rPr>
      <w:kern w:val="2"/>
      <w:sz w:val="24"/>
      <w:shd w:val="clear" w:color="auto" w:fill="000080"/>
    </w:rPr>
  </w:style>
  <w:style w:type="character" w:customStyle="1" w:styleId="64">
    <w:name w:val="日期 Char2"/>
    <w:qFormat/>
    <w:uiPriority w:val="99"/>
    <w:rPr>
      <w:rFonts w:ascii="楷体_GB2312" w:eastAsia="楷体_GB2312"/>
      <w:b/>
      <w:kern w:val="2"/>
      <w:sz w:val="28"/>
      <w:lang w:val="en-US" w:eastAsia="zh-CN"/>
    </w:rPr>
  </w:style>
  <w:style w:type="character" w:customStyle="1" w:styleId="65">
    <w:name w:val="正文2 Char"/>
    <w:link w:val="61"/>
    <w:qFormat/>
    <w:locked/>
    <w:uiPriority w:val="99"/>
    <w:rPr>
      <w:rFonts w:ascii="Times New Roman" w:hAnsi="Times New Roman"/>
      <w:kern w:val="2"/>
      <w:sz w:val="24"/>
    </w:rPr>
  </w:style>
  <w:style w:type="character" w:customStyle="1" w:styleId="66">
    <w:name w:val="正文段 Char"/>
    <w:link w:val="60"/>
    <w:qFormat/>
    <w:locked/>
    <w:uiPriority w:val="99"/>
    <w:rPr>
      <w:rFonts w:ascii="Times New Roman" w:hAnsi="Times New Roman"/>
      <w:sz w:val="24"/>
    </w:rPr>
  </w:style>
  <w:style w:type="paragraph" w:styleId="67">
    <w:name w:val="List Paragraph"/>
    <w:basedOn w:val="1"/>
    <w:qFormat/>
    <w:uiPriority w:val="99"/>
    <w:pPr>
      <w:ind w:left="720"/>
      <w:contextualSpacing/>
    </w:pPr>
  </w:style>
  <w:style w:type="paragraph" w:customStyle="1" w:styleId="68">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9">
    <w:name w:val="px_10"/>
    <w:qFormat/>
    <w:uiPriority w:val="99"/>
    <w:rPr>
      <w:lang w:val="zh-TW" w:eastAsia="zh-TW"/>
    </w:rPr>
  </w:style>
  <w:style w:type="paragraph" w:customStyle="1" w:styleId="70">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1">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72">
    <w:name w:val="列出段落11"/>
    <w:basedOn w:val="1"/>
    <w:qFormat/>
    <w:uiPriority w:val="99"/>
    <w:pPr>
      <w:spacing w:line="360" w:lineRule="auto"/>
      <w:ind w:firstLine="200" w:firstLineChars="200"/>
    </w:pPr>
    <w:rPr>
      <w:rFonts w:eastAsia="楷体_GB2312" w:cs="Lucida Sans"/>
      <w:sz w:val="24"/>
    </w:rPr>
  </w:style>
  <w:style w:type="paragraph" w:customStyle="1" w:styleId="73">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74">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75">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76">
    <w:name w:val="批注框文本 Char"/>
    <w:basedOn w:val="25"/>
    <w:link w:val="17"/>
    <w:semiHidden/>
    <w:qFormat/>
    <w:locked/>
    <w:uiPriority w:val="99"/>
    <w:rPr>
      <w:rFonts w:cs="Times New Roman"/>
      <w:sz w:val="2"/>
    </w:rPr>
  </w:style>
  <w:style w:type="paragraph" w:customStyle="1" w:styleId="77">
    <w:name w:val="列出段落5"/>
    <w:basedOn w:val="1"/>
    <w:qFormat/>
    <w:uiPriority w:val="34"/>
    <w:pPr>
      <w:ind w:firstLine="420" w:firstLineChars="200"/>
    </w:pPr>
    <w:rPr>
      <w:rFonts w:ascii="Calibri" w:hAnsi="Calibri"/>
      <w:sz w:val="24"/>
    </w:rPr>
  </w:style>
  <w:style w:type="paragraph" w:customStyle="1" w:styleId="78">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79">
    <w:name w:val="unnamed11"/>
    <w:basedOn w:val="25"/>
    <w:qFormat/>
    <w:uiPriority w:val="0"/>
    <w:rPr>
      <w:rFonts w:hint="eastAsia" w:ascii="宋体" w:hAnsi="宋体" w:eastAsia="宋体"/>
      <w:sz w:val="21"/>
      <w:szCs w:val="21"/>
    </w:rPr>
  </w:style>
  <w:style w:type="paragraph" w:customStyle="1" w:styleId="80">
    <w:name w:val="样式2 Char Char Char"/>
    <w:basedOn w:val="1"/>
    <w:qFormat/>
    <w:uiPriority w:val="0"/>
    <w:pPr>
      <w:widowControl/>
      <w:spacing w:line="360" w:lineRule="auto"/>
      <w:ind w:firstLine="480" w:firstLineChars="200"/>
      <w:jc w:val="left"/>
    </w:pPr>
    <w:rPr>
      <w:rFonts w:ascii="宋体" w:hAnsi="宋体"/>
      <w:bCs/>
      <w:kern w:val="0"/>
      <w:sz w:val="24"/>
      <w:lang w:eastAsia="en-US"/>
    </w:rPr>
  </w:style>
  <w:style w:type="character" w:customStyle="1" w:styleId="81">
    <w:name w:val="font11"/>
    <w:basedOn w:val="25"/>
    <w:qFormat/>
    <w:uiPriority w:val="0"/>
    <w:rPr>
      <w:rFonts w:hint="default" w:ascii="微软雅黑" w:hAnsi="微软雅黑" w:eastAsia="微软雅黑" w:cs="微软雅黑"/>
      <w:color w:val="000000"/>
      <w:sz w:val="20"/>
      <w:szCs w:val="20"/>
      <w:u w:val="none"/>
    </w:rPr>
  </w:style>
  <w:style w:type="paragraph" w:customStyle="1" w:styleId="82">
    <w:name w:val="样式 列表编号 + 段后: 0.5 行"/>
    <w:basedOn w:val="8"/>
    <w:qFormat/>
    <w:uiPriority w:val="0"/>
    <w:pPr>
      <w:numPr>
        <w:ilvl w:val="0"/>
        <w:numId w:val="0"/>
      </w:numPr>
      <w:tabs>
        <w:tab w:val="left" w:pos="454"/>
        <w:tab w:val="left" w:pos="840"/>
        <w:tab w:val="clear" w:pos="360"/>
      </w:tabs>
      <w:spacing w:afterLines="0"/>
      <w:ind w:left="425" w:hanging="425"/>
    </w:pPr>
    <w:rPr>
      <w:rFonts w:cs="宋体"/>
    </w:rPr>
  </w:style>
  <w:style w:type="paragraph" w:customStyle="1" w:styleId="83">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5617</Words>
  <Characters>32018</Characters>
  <Lines>266</Lines>
  <Paragraphs>75</Paragraphs>
  <TotalTime>0</TotalTime>
  <ScaleCrop>false</ScaleCrop>
  <LinksUpToDate>false</LinksUpToDate>
  <CharactersWithSpaces>37560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2019-08-19T11:14:00Z</dcterms:created>
  <dc:creator>Ting</dc:creator>
  <cp:lastModifiedBy>世间安得双全法</cp:lastModifiedBy>
  <cp:lastPrinted>2018-05-18T01:29:00Z</cp:lastPrinted>
  <dcterms:modified xsi:type="dcterms:W3CDTF">2019-09-11T04:18:29Z</dcterms:modified>
  <cp:revision>2</cp:revision>
  <dc:title>绍兴市公安局交通警察支队交警互联网支付及罚缴平台二期项目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