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cs="宋体" w:asciiTheme="minorEastAsia" w:hAnsiTheme="minorEastAsia" w:eastAsiaTheme="minorEastAsia"/>
          <w:b/>
          <w:bCs/>
          <w:sz w:val="52"/>
          <w:szCs w:val="52"/>
          <w:lang w:eastAsia="zh-CN"/>
        </w:rPr>
      </w:pPr>
      <w:r>
        <w:rPr>
          <w:rFonts w:hint="eastAsia" w:cs="宋体" w:asciiTheme="minorEastAsia" w:hAnsiTheme="minorEastAsia" w:eastAsiaTheme="minorEastAsia"/>
          <w:b/>
          <w:bCs/>
          <w:sz w:val="52"/>
          <w:szCs w:val="52"/>
          <w:lang w:eastAsia="zh-CN"/>
        </w:rPr>
        <w:t>2022-2023年农田建设项目商品有机肥采购项目</w:t>
      </w:r>
    </w:p>
    <w:p>
      <w:pPr>
        <w:adjustRightInd/>
        <w:spacing w:line="360" w:lineRule="auto"/>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招标文件</w:t>
      </w:r>
    </w:p>
    <w:p>
      <w:pPr>
        <w:jc w:val="center"/>
      </w:pPr>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采购编号:（</w:t>
      </w:r>
      <w:r>
        <w:rPr>
          <w:rFonts w:hint="eastAsia" w:cs="宋体" w:asciiTheme="minorEastAsia" w:hAnsiTheme="minorEastAsia" w:eastAsiaTheme="minorEastAsia"/>
          <w:sz w:val="30"/>
          <w:szCs w:val="30"/>
          <w:lang w:eastAsia="zh-CN"/>
        </w:rPr>
        <w:t>YHJS-TLZFCG-2023-058</w:t>
      </w:r>
      <w:r>
        <w:rPr>
          <w:rFonts w:hint="eastAsia" w:cs="宋体" w:asciiTheme="minorEastAsia" w:hAnsiTheme="minorEastAsia" w:eastAsiaTheme="minorEastAsia"/>
          <w:sz w:val="30"/>
          <w:szCs w:val="30"/>
        </w:rPr>
        <w:t>）</w:t>
      </w:r>
    </w:p>
    <w:p>
      <w:pPr>
        <w:adjustRightInd/>
        <w:spacing w:line="360" w:lineRule="auto"/>
        <w:jc w:val="center"/>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32"/>
          <w:szCs w:val="32"/>
        </w:rPr>
      </w:pPr>
    </w:p>
    <w:p>
      <w:pPr>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采购人：</w:t>
      </w:r>
      <w:r>
        <w:rPr>
          <w:rFonts w:hint="eastAsia" w:cs="宋体" w:asciiTheme="minorEastAsia" w:hAnsiTheme="minorEastAsia" w:eastAsiaTheme="minorEastAsia"/>
          <w:sz w:val="32"/>
          <w:szCs w:val="32"/>
          <w:lang w:eastAsia="zh-CN"/>
        </w:rPr>
        <w:t>桐庐县农业农村局</w:t>
      </w:r>
    </w:p>
    <w:p>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采购代理机构：耀华建设管理有限公司</w:t>
      </w:r>
    </w:p>
    <w:p>
      <w:pPr>
        <w:snapToGrid w:val="0"/>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2023年08月</w:t>
      </w:r>
    </w:p>
    <w:p>
      <w:pPr>
        <w:spacing w:line="360" w:lineRule="auto"/>
        <w:jc w:val="center"/>
        <w:rPr>
          <w:rFonts w:cs="宋体" w:asciiTheme="minorEastAsia" w:hAnsiTheme="minorEastAsia" w:eastAsiaTheme="minorEastAsia"/>
          <w:b/>
          <w:sz w:val="48"/>
          <w:szCs w:val="48"/>
        </w:rPr>
        <w:sectPr>
          <w:headerReference r:id="rId4" w:type="first"/>
          <w:footerReference r:id="rId6" w:type="first"/>
          <w:headerReference r:id="rId3" w:type="default"/>
          <w:footerReference r:id="rId5" w:type="default"/>
          <w:pgSz w:w="11906" w:h="16838"/>
          <w:pgMar w:top="1440" w:right="1418" w:bottom="1440" w:left="1418" w:header="851" w:footer="992" w:gutter="0"/>
          <w:pgNumType w:start="1"/>
          <w:cols w:space="0" w:num="1"/>
          <w:titlePg/>
          <w:docGrid w:linePitch="312" w:charSpace="0"/>
        </w:sect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adjustRightInd/>
        <w:spacing w:line="360" w:lineRule="auto"/>
        <w:jc w:val="center"/>
        <w:outlineLvl w:val="0"/>
        <w:rPr>
          <w:rFonts w:cs="宋体" w:asciiTheme="minorEastAsia" w:hAnsiTheme="minorEastAsia" w:eastAsiaTheme="minorEastAsia"/>
          <w:b/>
          <w:sz w:val="36"/>
          <w:szCs w:val="20"/>
        </w:rPr>
        <w:sectPr>
          <w:pgSz w:w="11906" w:h="16838"/>
          <w:pgMar w:top="1440" w:right="1418" w:bottom="1440" w:left="1418" w:header="851" w:footer="992" w:gutter="0"/>
          <w:cols w:space="0" w:num="1"/>
          <w:titlePg/>
          <w:docGrid w:linePitch="312" w:charSpace="0"/>
        </w:sectPr>
      </w:pPr>
      <w:bookmarkStart w:id="0" w:name="_Hlt91233176"/>
      <w:bookmarkEnd w:id="0"/>
      <w:bookmarkStart w:id="1" w:name="第二部分"/>
      <w:bookmarkStart w:id="2" w:name="_Toc91899870"/>
      <w:bookmarkStart w:id="3" w:name="_Toc91899871"/>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lang w:eastAsia="zh-CN"/>
        </w:rPr>
        <w:t>2022-2023年农田建设项目商品有机肥采购项目</w:t>
      </w:r>
      <w:r>
        <w:rPr>
          <w:rFonts w:hint="eastAsia" w:cs="宋体" w:asciiTheme="minorEastAsia" w:hAnsiTheme="minorEastAsia" w:eastAsiaTheme="minorEastAsia"/>
          <w:sz w:val="24"/>
        </w:rPr>
        <w:t>的潜在投标人应在政采云平台（</w:t>
      </w:r>
      <w:r>
        <w:rPr>
          <w:rFonts w:hint="eastAsia"/>
        </w:rPr>
        <w:fldChar w:fldCharType="begin"/>
      </w:r>
      <w:r>
        <w:instrText xml:space="preserve"> HYPERLINK "https://www.zcygov.cn/）获取（下载）招标文件，并于2021年" </w:instrText>
      </w:r>
      <w:r>
        <w:rPr>
          <w:rFonts w:hint="eastAsia"/>
        </w:rPr>
        <w:fldChar w:fldCharType="separate"/>
      </w:r>
      <w:r>
        <w:rPr>
          <w:rStyle w:val="76"/>
          <w:rFonts w:hint="eastAsia" w:cs="宋体" w:asciiTheme="minorEastAsia" w:hAnsiTheme="minorEastAsia" w:eastAsiaTheme="minorEastAsia"/>
          <w:snapToGrid/>
          <w:color w:val="auto"/>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2023年09月14日10点00分</w:t>
      </w:r>
      <w:r>
        <w:rPr>
          <w:rFonts w:hint="eastAsia" w:cs="宋体" w:asciiTheme="minorEastAsia" w:hAnsiTheme="minorEastAsia" w:eastAsiaTheme="minorEastAsia"/>
          <w:sz w:val="24"/>
          <w:highlight w:val="yellow"/>
          <w:u w:val="single"/>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YHJS-TLZFCG-2023-058</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2022-2023年农田建设项目商品有机肥采购项目</w:t>
      </w:r>
    </w:p>
    <w:p>
      <w:pPr>
        <w:spacing w:line="360" w:lineRule="auto"/>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
          <w:sz w:val="24"/>
        </w:rPr>
        <w:t>预算金额（元）：</w:t>
      </w:r>
      <w:r>
        <w:rPr>
          <w:rFonts w:hint="eastAsia" w:cs="宋体" w:asciiTheme="minorEastAsia" w:hAnsiTheme="minorEastAsia" w:eastAsiaTheme="minorEastAsia"/>
          <w:sz w:val="24"/>
          <w:lang w:eastAsia="zh-CN"/>
        </w:rPr>
        <w:t>2658595</w:t>
      </w:r>
    </w:p>
    <w:p>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
          <w:sz w:val="24"/>
        </w:rPr>
        <w:t>采购需求：</w:t>
      </w:r>
      <w:r>
        <w:rPr>
          <w:rFonts w:hint="eastAsia" w:cs="宋体" w:asciiTheme="minorEastAsia" w:hAnsiTheme="minorEastAsia" w:eastAsiaTheme="minorEastAsia"/>
          <w:bCs/>
          <w:sz w:val="24"/>
        </w:rPr>
        <w:t>详见招标文件第三部分采购需求。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合同履约期限</w:t>
      </w:r>
      <w:r>
        <w:rPr>
          <w:rFonts w:hint="eastAsia" w:cs="宋体" w:asciiTheme="minorEastAsia" w:hAnsiTheme="minorEastAsia" w:eastAsiaTheme="minorEastAsia"/>
          <w:bCs/>
          <w:sz w:val="24"/>
        </w:rPr>
        <w:t>：详见招标文件第三部分采购需求。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snapToGrid w:val="0"/>
                  <w:kern w:val="0"/>
                  <w:sz w:val="24"/>
                  <w:szCs w:val="20"/>
                </w:rPr>
                <w:t>☐</w:t>
              </w:r>
            </w:sdtContent>
          </w:sdt>
        </w:sdtContent>
      </w:sdt>
      <w:r>
        <w:rPr>
          <w:rFonts w:hint="eastAsia" w:cs="宋体" w:asciiTheme="minorEastAsia" w:hAnsiTheme="minorEastAsia" w:eastAsiaTheme="minorEastAsia"/>
          <w:b/>
          <w:sz w:val="24"/>
        </w:rPr>
        <w:t>是，</w:t>
      </w:r>
      <w:sdt>
        <w:sdtPr>
          <w:rPr>
            <w:rFonts w:hint="eastAsia" w:cs="宋体" w:asciiTheme="minorEastAsia" w:hAnsiTheme="minorEastAsia" w:eastAsiaTheme="minorEastAsia"/>
            <w:kern w:val="0"/>
            <w:sz w:val="24"/>
          </w:rPr>
          <w:id w:val="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2.落实政府采购政策需满足的资格要求：</w:t>
      </w:r>
    </w:p>
    <w:p>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highlight w:val="none"/>
          </w:rPr>
          <w:id w:val="282928714"/>
        </w:sdtPr>
        <w:sdtEndPr>
          <w:rPr>
            <w:rFonts w:hint="eastAsia" w:cs="宋体" w:asciiTheme="minorEastAsia" w:hAnsiTheme="minorEastAsia" w:eastAsiaTheme="minorEastAsia"/>
            <w:kern w:val="0"/>
            <w:sz w:val="24"/>
            <w:highlight w:val="yellow"/>
          </w:rPr>
        </w:sdtEndPr>
        <w:sdtContent>
          <w:r>
            <w:rPr>
              <w:rFonts w:hint="eastAsia" w:cs="宋体" w:asciiTheme="minorEastAsia" w:hAnsiTheme="minorEastAsia" w:eastAsiaTheme="minorEastAsia"/>
              <w:kern w:val="0"/>
              <w:sz w:val="24"/>
              <w:highlight w:val="none"/>
            </w:rPr>
            <w:sym w:font="Wingdings" w:char="00FE"/>
          </w:r>
        </w:sdtContent>
      </w:sdt>
      <w:sdt>
        <w:sdtPr>
          <w:rPr>
            <w:rFonts w:hint="eastAsia" w:cs="宋体" w:asciiTheme="minorEastAsia" w:hAnsiTheme="minorEastAsia" w:eastAsiaTheme="minorEastAsia"/>
            <w:sz w:val="24"/>
          </w:rPr>
          <w:id w:val="282928714"/>
        </w:sdtPr>
        <w:sdtEndPr>
          <w:rPr>
            <w:rFonts w:hint="eastAsia" w:cs="宋体" w:asciiTheme="minorEastAsia" w:hAnsiTheme="minorEastAsia" w:eastAsiaTheme="minorEastAsia"/>
            <w:sz w:val="24"/>
          </w:rPr>
        </w:sdtEndPr>
        <w:sdtContent/>
      </w:sdt>
      <w:r>
        <w:rPr>
          <w:rFonts w:hint="eastAsia" w:cs="宋体" w:asciiTheme="minorEastAsia" w:hAnsiTheme="minorEastAsia" w:eastAsiaTheme="minorEastAsia"/>
          <w:sz w:val="24"/>
        </w:rPr>
        <w:t>专门面向中小企业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highlight w:val="none"/>
          </w:rPr>
          <w:id w:val="282928714"/>
        </w:sdtPr>
        <w:sdtEndPr>
          <w:rPr>
            <w:rFonts w:hint="eastAsia" w:cs="宋体" w:asciiTheme="minorEastAsia" w:hAnsiTheme="minorEastAsia" w:eastAsiaTheme="minorEastAsia"/>
            <w:kern w:val="0"/>
            <w:sz w:val="24"/>
            <w:highlight w:val="none"/>
          </w:rPr>
        </w:sdtEndPr>
        <w:sdtContent>
          <w:r>
            <w:rPr>
              <w:rFonts w:hint="eastAsia" w:cs="宋体" w:asciiTheme="minorEastAsia" w:hAnsiTheme="minorEastAsia" w:eastAsiaTheme="minorEastAsia"/>
              <w:kern w:val="0"/>
              <w:sz w:val="24"/>
              <w:highlight w:val="none"/>
            </w:rPr>
            <w:sym w:font="Wingdings" w:char="00FE"/>
          </w:r>
        </w:sdtContent>
      </w:sdt>
      <w:sdt>
        <w:sdtPr>
          <w:rPr>
            <w:rFonts w:hint="eastAsia" w:cs="宋体" w:asciiTheme="minorEastAsia" w:hAnsiTheme="minorEastAsia" w:eastAsiaTheme="minorEastAsia"/>
            <w:sz w:val="24"/>
            <w:highlight w:val="none"/>
          </w:rPr>
          <w:id w:val="282928715"/>
        </w:sdtPr>
        <w:sdtEndPr>
          <w:rPr>
            <w:rFonts w:hint="eastAsia" w:cs="宋体" w:asciiTheme="minorEastAsia" w:hAnsiTheme="minorEastAsia" w:eastAsiaTheme="minorEastAsia"/>
            <w:sz w:val="24"/>
            <w:highlight w:val="none"/>
          </w:rPr>
        </w:sdtEndPr>
        <w:sdtContent/>
      </w:sdt>
      <w:r>
        <w:rPr>
          <w:rFonts w:hint="eastAsia" w:cs="宋体" w:asciiTheme="minorEastAsia" w:hAnsiTheme="minorEastAsia" w:eastAsiaTheme="minorEastAsia"/>
          <w:sz w:val="24"/>
        </w:rPr>
        <w:t>货物全部由符合政策要求的中小企业制造，提供中小企业声明函；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sz w:val="24"/>
            <w:highlight w:val="none"/>
          </w:rPr>
          <w:id w:val="27"/>
        </w:sdtPr>
        <w:sdtEndPr>
          <w:rPr>
            <w:rFonts w:hint="eastAsia" w:cs="宋体" w:asciiTheme="minorEastAsia" w:hAnsiTheme="minorEastAsia" w:eastAsiaTheme="minorEastAsia"/>
            <w:sz w:val="24"/>
            <w:highlight w:val="none"/>
          </w:rPr>
        </w:sdtEndPr>
        <w:sdtContent>
          <w:sdt>
            <w:sdtPr>
              <w:rPr>
                <w:rFonts w:hint="eastAsia" w:cs="宋体" w:asciiTheme="minorEastAsia" w:hAnsiTheme="minorEastAsia" w:eastAsiaTheme="minorEastAsia"/>
                <w:sz w:val="24"/>
                <w:highlight w:val="none"/>
              </w:rPr>
              <w:id w:val="349968547"/>
            </w:sdtPr>
            <w:sdtEndPr>
              <w:rPr>
                <w:rFonts w:hint="eastAsia" w:cs="宋体" w:asciiTheme="minorEastAsia" w:hAnsiTheme="minorEastAsia" w:eastAsiaTheme="minorEastAsia"/>
                <w:sz w:val="24"/>
                <w:highlight w:val="none"/>
              </w:rPr>
            </w:sdtEndPr>
            <w:sdtContent>
              <w:sdt>
                <w:sdtPr>
                  <w:rPr>
                    <w:rFonts w:hint="eastAsia" w:cs="宋体" w:asciiTheme="minorEastAsia" w:hAnsiTheme="minorEastAsia" w:eastAsiaTheme="minorEastAsia"/>
                    <w:kern w:val="0"/>
                    <w:sz w:val="24"/>
                    <w:highlight w:val="none"/>
                  </w:rPr>
                  <w:id w:val="282928714"/>
                </w:sdtPr>
                <w:sdtEndPr>
                  <w:rPr>
                    <w:rFonts w:hint="eastAsia" w:cs="宋体" w:asciiTheme="minorEastAsia" w:hAnsiTheme="minorEastAsia" w:eastAsiaTheme="minorEastAsia"/>
                    <w:kern w:val="0"/>
                    <w:sz w:val="24"/>
                    <w:highlight w:val="yellow"/>
                  </w:rPr>
                </w:sdtEndPr>
                <w:sdtContent>
                  <w:r>
                    <w:rPr>
                      <w:rFonts w:hint="eastAsia" w:cs="宋体" w:asciiTheme="minorEastAsia" w:hAnsiTheme="minorEastAsia" w:eastAsiaTheme="minorEastAsia"/>
                      <w:kern w:val="0"/>
                      <w:sz w:val="24"/>
                      <w:highlight w:val="none"/>
                    </w:rPr>
                    <w:sym w:font="Wingdings" w:char="00FE"/>
                  </w:r>
                </w:sdtContent>
              </w:sdt>
            </w:sdtContent>
          </w:sdt>
        </w:sdtContent>
      </w:sdt>
      <w:r>
        <w:rPr>
          <w:rFonts w:hint="eastAsia" w:cs="宋体" w:asciiTheme="minorEastAsia" w:hAnsiTheme="minorEastAsia" w:eastAsiaTheme="minorEastAsia"/>
          <w:sz w:val="24"/>
        </w:rPr>
        <w:t>货物全部由符合政策要求的小微企业制造，提供中小企业声明函；</w:t>
      </w:r>
    </w:p>
    <w:p>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0"/>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sz w:val="24"/>
        </w:rPr>
        <w:t>要求以联合体形式参加，提供联合协议和中小企业声明函，联合协议中中小企业合同金额应当达到%，小微企业合同金额应当达到%;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 ，小微企业合同金额应当达到%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rPr>
          <w:rFonts w:cs="宋体" w:asciiTheme="minorEastAsia" w:hAnsiTheme="minorEastAsia" w:eastAsiaTheme="minorEastAsia"/>
          <w:color w:val="FF000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求：无</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rPr>
        <w:t>/</w:t>
      </w:r>
      <w:r>
        <w:rPr>
          <w:rFonts w:hint="eastAsia" w:cs="宋体" w:asciiTheme="minorEastAsia" w:hAnsiTheme="minorEastAsia" w:eastAsiaTheme="minorEastAsia"/>
          <w:sz w:val="24"/>
          <w:highlight w:val="yellow"/>
        </w:rPr>
        <w:t>至</w:t>
      </w:r>
      <w:r>
        <w:rPr>
          <w:rFonts w:hint="eastAsia" w:cs="宋体" w:asciiTheme="minorEastAsia" w:hAnsiTheme="minorEastAsia" w:eastAsiaTheme="minorEastAsia"/>
          <w:sz w:val="24"/>
          <w:highlight w:val="yellow"/>
          <w:u w:val="single"/>
        </w:rPr>
        <w:t>2023年</w:t>
      </w:r>
      <w:r>
        <w:rPr>
          <w:rFonts w:hint="eastAsia" w:cs="宋体" w:asciiTheme="minorEastAsia" w:hAnsiTheme="minorEastAsia" w:eastAsiaTheme="minorEastAsia"/>
          <w:sz w:val="24"/>
          <w:highlight w:val="yellow"/>
          <w:u w:val="single"/>
          <w:lang w:val="en-US" w:eastAsia="zh-CN"/>
        </w:rPr>
        <w:t>09</w:t>
      </w:r>
      <w:r>
        <w:rPr>
          <w:rFonts w:hint="eastAsia" w:cs="宋体" w:asciiTheme="minorEastAsia" w:hAnsiTheme="minorEastAsia" w:eastAsiaTheme="minorEastAsia"/>
          <w:sz w:val="24"/>
          <w:highlight w:val="yellow"/>
          <w:u w:val="single"/>
        </w:rPr>
        <w:t>月</w:t>
      </w:r>
      <w:r>
        <w:rPr>
          <w:rFonts w:hint="eastAsia" w:cs="宋体" w:asciiTheme="minorEastAsia" w:hAnsiTheme="minorEastAsia" w:eastAsiaTheme="minorEastAsia"/>
          <w:sz w:val="24"/>
          <w:highlight w:val="yellow"/>
          <w:u w:val="single"/>
          <w:lang w:val="en-US" w:eastAsia="zh-CN"/>
        </w:rPr>
        <w:t>14</w:t>
      </w:r>
      <w:bookmarkStart w:id="557" w:name="_GoBack"/>
      <w:bookmarkEnd w:id="557"/>
      <w:r>
        <w:rPr>
          <w:rFonts w:hint="eastAsia" w:cs="宋体" w:asciiTheme="minorEastAsia" w:hAnsiTheme="minorEastAsia" w:eastAsiaTheme="minorEastAsia"/>
          <w:sz w:val="24"/>
          <w:highlight w:val="yellow"/>
          <w:u w:val="single"/>
        </w:rPr>
        <w:t>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yellow"/>
          <w:u w:val="single"/>
          <w:lang w:eastAsia="zh-CN"/>
        </w:rPr>
        <w:t>2023年09月14日10点00分</w:t>
      </w:r>
      <w:r>
        <w:rPr>
          <w:rFonts w:hint="eastAsia" w:cs="宋体" w:asciiTheme="minorEastAsia" w:hAnsiTheme="minorEastAsia" w:eastAsiaTheme="minorEastAsia"/>
          <w:sz w:val="24"/>
        </w:rPr>
        <w:t>（北京时间）</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yellow"/>
          <w:u w:val="single"/>
          <w:lang w:eastAsia="zh-CN"/>
        </w:rPr>
        <w:t>2023年09月14日10点00分</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pPr>
        <w:spacing w:line="360" w:lineRule="auto"/>
        <w:ind w:firstLine="48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名    称：</w:t>
      </w:r>
      <w:r>
        <w:rPr>
          <w:rFonts w:hint="eastAsia" w:cs="宋体" w:asciiTheme="minorEastAsia" w:hAnsiTheme="minorEastAsia" w:eastAsiaTheme="minorEastAsia"/>
          <w:sz w:val="24"/>
          <w:lang w:eastAsia="zh-CN"/>
        </w:rPr>
        <w:t>桐庐县农业农村局</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lang w:val="en-US" w:eastAsia="zh-CN"/>
        </w:rPr>
        <w:t>桐庐县</w:t>
      </w:r>
      <w:r>
        <w:rPr>
          <w:rFonts w:hint="eastAsia" w:cs="宋体" w:asciiTheme="minorEastAsia" w:hAnsiTheme="minorEastAsia" w:eastAsiaTheme="minorEastAsia"/>
          <w:sz w:val="24"/>
          <w:lang w:eastAsia="zh-CN"/>
        </w:rPr>
        <w:t>城南街道迎春南路258号</w:t>
      </w:r>
    </w:p>
    <w:p>
      <w:pPr>
        <w:spacing w:line="360" w:lineRule="auto"/>
        <w:ind w:firstLine="48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项目联系人（询问）：</w:t>
      </w:r>
      <w:r>
        <w:rPr>
          <w:rFonts w:hint="eastAsia" w:cs="宋体" w:asciiTheme="minorEastAsia" w:hAnsiTheme="minorEastAsia" w:eastAsiaTheme="minorEastAsia"/>
          <w:sz w:val="24"/>
          <w:lang w:val="en-US" w:eastAsia="zh-CN"/>
        </w:rPr>
        <w:t>侯志高</w:t>
      </w:r>
    </w:p>
    <w:p>
      <w:pPr>
        <w:spacing w:line="360" w:lineRule="auto"/>
        <w:ind w:firstLine="48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项目联系方式（询问）：</w:t>
      </w:r>
      <w:r>
        <w:rPr>
          <w:rFonts w:hint="eastAsia" w:cs="宋体" w:asciiTheme="minorEastAsia" w:hAnsiTheme="minorEastAsia" w:eastAsiaTheme="minorEastAsia"/>
          <w:sz w:val="24"/>
          <w:lang w:val="en-US" w:eastAsia="zh-CN"/>
        </w:rPr>
        <w:t>13656684982</w:t>
      </w:r>
    </w:p>
    <w:p>
      <w:pPr>
        <w:spacing w:line="360" w:lineRule="auto"/>
        <w:ind w:firstLine="48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质疑联系人：</w:t>
      </w:r>
      <w:r>
        <w:rPr>
          <w:rFonts w:hint="eastAsia" w:cs="宋体" w:asciiTheme="minorEastAsia" w:hAnsiTheme="minorEastAsia" w:eastAsiaTheme="minorEastAsia"/>
          <w:sz w:val="24"/>
          <w:lang w:val="en-US" w:eastAsia="zh-CN"/>
        </w:rPr>
        <w:t>赵燕昊</w:t>
      </w:r>
    </w:p>
    <w:p>
      <w:pPr>
        <w:spacing w:line="360" w:lineRule="auto"/>
        <w:ind w:firstLine="48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质疑联系方式：</w:t>
      </w:r>
      <w:r>
        <w:rPr>
          <w:rFonts w:hint="eastAsia" w:cs="宋体" w:asciiTheme="minorEastAsia" w:hAnsiTheme="minorEastAsia" w:eastAsiaTheme="minorEastAsia"/>
          <w:sz w:val="24"/>
          <w:lang w:val="en-US" w:eastAsia="zh-CN"/>
        </w:rPr>
        <w:t>18357173189</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2.采购代理机构信息 </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名    称：耀华建设管理有限公司</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 xml:space="preserve">地    址：桐庐县迎春南路88号桦桐大厦20楼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项目联系人（询问）：许洪</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项目联系方式（询问）：15868177628</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质疑联系人：许洪波</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质疑联系方式：0571-69902867</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3.同级政府采购监督管理部门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称：桐庐县财政局</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地    址：桐庐县春江路688号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联系人 ：张正元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监督投诉电话：0571-58507058</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1"/>
      <w:r>
        <w:rPr>
          <w:rFonts w:hint="eastAsia" w:cs="宋体" w:asciiTheme="minorEastAsia" w:hAnsiTheme="minorEastAsia" w:eastAsiaTheme="minorEastAsia"/>
          <w:b/>
          <w:sz w:val="36"/>
          <w:szCs w:val="20"/>
        </w:rPr>
        <w:t xml:space="preserve"> 投标人须知</w:t>
      </w:r>
      <w:bookmarkEnd w:id="2"/>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2"/>
        <w:tblW w:w="89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2"/>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3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36"/>
                <w:showingPlcHdr/>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37"/>
                <w:showingPlcHdr/>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38"/>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A货物类，单一产品或核心产品为：</w:t>
            </w:r>
            <w:r>
              <w:rPr>
                <w:rFonts w:hint="eastAsia" w:asciiTheme="minorEastAsia" w:hAnsiTheme="minorEastAsia" w:eastAsiaTheme="minorEastAsia"/>
                <w:kern w:val="0"/>
                <w:sz w:val="24"/>
              </w:rPr>
              <w:t>商品有机肥（粉状）</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0684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t>☐</w:t>
                        </w:r>
                      </w:sdtContent>
                    </w:sdt>
                  </w:sdtContent>
                </w:sdt>
              </w:sdtContent>
            </w:sdt>
            <w:r>
              <w:rPr>
                <w:rFonts w:hint="eastAsia" w:cs="宋体" w:asciiTheme="minorEastAsia" w:hAnsiTheme="minorEastAsia" w:eastAsiaTheme="minorEastAsia"/>
                <w:kern w:val="0"/>
                <w:sz w:val="24"/>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Theme="minorEastAsia"/>
                <w:bCs/>
                <w:highlight w:val="none"/>
                <w:lang w:val="en-US"/>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（1）标的：</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商品</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有机肥</w:t>
            </w:r>
            <w:r>
              <w:rPr>
                <w:rFonts w:hint="eastAsia" w:asciiTheme="minorEastAsia" w:hAnsiTheme="minorEastAsia" w:eastAsiaTheme="minorEastAsia"/>
                <w:kern w:val="0"/>
                <w:sz w:val="24"/>
                <w:u w:val="single"/>
              </w:rPr>
              <w:t>（粉状）</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，属于：</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Arial" w:asciiTheme="minorEastAsia" w:hAnsiTheme="minorEastAsia" w:eastAsiaTheme="minorEastAsia"/>
                <w:kern w:val="0"/>
                <w:sz w:val="24"/>
                <w:u w:val="single"/>
              </w:rPr>
              <w:t>农林牧渔业</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highlight w:val="none"/>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cs="宋体" w:asciiTheme="minorEastAsia" w:hAnsiTheme="minorEastAsia" w:eastAsiaTheme="minorEastAsia"/>
              </w:rPr>
            </w:pP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桐庐县迎春南路88号桦桐大厦20楼</w:t>
            </w:r>
            <w:r>
              <w:rPr>
                <w:rFonts w:hint="eastAsia" w:cs="宋体" w:asciiTheme="minorEastAsia" w:hAnsiTheme="minorEastAsia" w:eastAsiaTheme="minorEastAsia"/>
                <w:kern w:val="28"/>
                <w:sz w:val="24"/>
                <w:szCs w:val="24"/>
              </w:rPr>
              <w:t>；备份投标文件签收人员：</w:t>
            </w:r>
            <w:r>
              <w:rPr>
                <w:rFonts w:hint="eastAsia" w:cs="宋体" w:asciiTheme="minorEastAsia" w:hAnsiTheme="minorEastAsia" w:eastAsiaTheme="minorEastAsia"/>
                <w:kern w:val="28"/>
                <w:sz w:val="24"/>
                <w:szCs w:val="24"/>
                <w:u w:val="single"/>
              </w:rPr>
              <w:t>许洪</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rPr>
              <w:t>0571-69902867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本项目招标代理费：</w:t>
            </w:r>
            <w:r>
              <w:rPr>
                <w:rFonts w:hint="eastAsia" w:ascii="宋体" w:hAnsi="宋体"/>
                <w:sz w:val="24"/>
              </w:rPr>
              <w:t>收费标准按浙价服〔2003〕77号文件（货物类）收费标准计取；低于4000元的按4000元收取；</w:t>
            </w:r>
          </w:p>
          <w:p>
            <w:pPr>
              <w:snapToGrid w:val="0"/>
              <w:spacing w:line="360" w:lineRule="auto"/>
              <w:rPr>
                <w:rFonts w:cs="宋体" w:asciiTheme="minorEastAsia" w:hAnsiTheme="minorEastAsia" w:eastAsiaTheme="minorEastAsia"/>
                <w:b/>
                <w:bCs/>
                <w:sz w:val="24"/>
              </w:rPr>
            </w:pPr>
            <w:r>
              <w:rPr>
                <w:rFonts w:hint="eastAsia" w:asciiTheme="minorEastAsia" w:hAnsiTheme="minorEastAsia" w:eastAsiaTheme="minorEastAsia" w:cstheme="minorEastAsia"/>
                <w:sz w:val="24"/>
              </w:rPr>
              <w:t>以上费用由中标单位在领取中标通知书时，一次性支付给代理公司，上述费用应含在投标报价中（不得单独列项），投标人在投标报价让利中考虑上述费用。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无</w:t>
            </w:r>
          </w:p>
        </w:tc>
      </w:tr>
      <w:bookmarkEnd w:id="3"/>
    </w:tbl>
    <w:p>
      <w:pPr>
        <w:adjustRightInd/>
        <w:spacing w:line="360" w:lineRule="auto"/>
        <w:ind w:firstLine="3845" w:firstLineChars="1197"/>
        <w:outlineLvl w:val="0"/>
        <w:rPr>
          <w:rFonts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4" w:name="_Toc164416483"/>
      <w:bookmarkStart w:id="5" w:name="第三部分"/>
    </w:p>
    <w:p>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35"/>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质疑函范本及制作说明详见附件2。</w:t>
      </w:r>
    </w:p>
    <w:p>
      <w:pPr>
        <w:pStyle w:val="35"/>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5"/>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4.2.5询问或者质疑事项可能影响采购结果的，采购人应当暂停签订合同，已经签订合同的，应当中止履行合同。</w:t>
      </w:r>
    </w:p>
    <w:p>
      <w:pPr>
        <w:pStyle w:val="35"/>
        <w:spacing w:line="360" w:lineRule="auto"/>
        <w:ind w:firstLine="480" w:firstLineChars="2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投诉书范本及制作说明详见附件3</w:t>
      </w:r>
    </w:p>
    <w:p>
      <w:pPr>
        <w:pStyle w:val="886"/>
        <w:shd w:val="clear" w:color="auto" w:fill="FFFFFF"/>
        <w:snapToGrid w:val="0"/>
        <w:spacing w:after="240" w:afterAutospacing="0" w:line="360" w:lineRule="auto"/>
        <w:ind w:firstLine="400"/>
        <w:contextualSpacing/>
        <w:jc w:val="center"/>
        <w:rPr>
          <w:rFonts w:hint="eastAsia" w:cs="宋体" w:asciiTheme="minorEastAsia" w:hAnsiTheme="minorEastAsia" w:eastAsiaTheme="minorEastAsia"/>
          <w:b/>
          <w:sz w:val="32"/>
          <w:szCs w:val="20"/>
        </w:rPr>
      </w:pPr>
    </w:p>
    <w:p>
      <w:pPr>
        <w:pStyle w:val="886"/>
        <w:shd w:val="clear" w:color="auto" w:fill="FFFFFF"/>
        <w:snapToGrid w:val="0"/>
        <w:spacing w:after="240" w:afterAutospacing="0" w:line="360" w:lineRule="auto"/>
        <w:ind w:firstLine="400"/>
        <w:contextualSpacing/>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二、招标文件的构成、澄清、修改</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12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pPr>
        <w:pStyle w:val="12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17"/>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6" w:name="_Hlk101259339"/>
      <w:r>
        <w:rPr>
          <w:rFonts w:hint="eastAsia" w:cs="宋体" w:asciiTheme="minorEastAsia" w:hAnsiTheme="minorEastAsia" w:eastAsiaTheme="minorEastAsia"/>
          <w:snapToGrid w:val="0"/>
          <w:kern w:val="28"/>
          <w:sz w:val="24"/>
          <w:szCs w:val="20"/>
        </w:rPr>
        <w:t>联合协议（如果有)</w:t>
      </w:r>
      <w:bookmarkEnd w:id="6"/>
      <w:r>
        <w:rPr>
          <w:rFonts w:hint="eastAsia" w:cs="宋体" w:asciiTheme="minorEastAsia" w:hAnsiTheme="minorEastAsia" w:eastAsiaTheme="minorEastAsia"/>
          <w:snapToGrid w:val="0"/>
          <w:kern w:val="28"/>
          <w:sz w:val="24"/>
          <w:szCs w:val="20"/>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129"/>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129"/>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12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pPr>
        <w:pStyle w:val="129"/>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highlight w:val="yellow"/>
        </w:rPr>
        <w:t>中标单位在中标公示结束后3天内向采购机构提供纸质投标文件一式五份，一正四副，正本每页加盖公章，副本可以是正本的复印件，但封面需加盖公章。</w:t>
      </w:r>
    </w:p>
    <w:p>
      <w:pPr>
        <w:pStyle w:val="12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129"/>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35"/>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pPr>
        <w:pStyle w:val="35"/>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12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27"/>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pPr>
        <w:pStyle w:val="12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555"/>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555"/>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pPr>
        <w:pStyle w:val="129"/>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129"/>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12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7"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27"/>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276"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276"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129"/>
        <w:snapToGrid w:val="0"/>
        <w:spacing w:before="0" w:after="120"/>
        <w:ind w:firstLine="482"/>
        <w:rPr>
          <w:rFonts w:ascii="宋体" w:hAnsi="宋体" w:cs="宋体"/>
          <w:b/>
        </w:rPr>
      </w:pPr>
      <w:r>
        <w:rPr>
          <w:rFonts w:hint="eastAsia" w:ascii="宋体" w:hAnsi="宋体"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。履约保证金的数额不得超过政府采购合同金额的0.</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pPr>
        <w:tabs>
          <w:tab w:val="left" w:pos="0"/>
        </w:tabs>
        <w:spacing w:line="360" w:lineRule="auto"/>
        <w:ind w:firstLine="480"/>
        <w:rPr>
          <w:rFonts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8" w:name="_Hlt68057669"/>
      <w:bookmarkEnd w:id="8"/>
      <w:bookmarkStart w:id="9" w:name="_Hlt74707468"/>
      <w:bookmarkEnd w:id="9"/>
      <w:bookmarkStart w:id="10" w:name="_Hlt75236290"/>
      <w:bookmarkEnd w:id="10"/>
      <w:bookmarkStart w:id="11" w:name="_Hlt68073093"/>
      <w:bookmarkEnd w:id="11"/>
      <w:bookmarkStart w:id="12" w:name="_Hlt68403820"/>
      <w:bookmarkEnd w:id="12"/>
      <w:bookmarkStart w:id="13" w:name="_Hlt68072990"/>
      <w:bookmarkEnd w:id="13"/>
      <w:bookmarkStart w:id="14" w:name="_Hlt74714665"/>
      <w:bookmarkEnd w:id="14"/>
      <w:bookmarkStart w:id="15" w:name="_Hlt74729768"/>
      <w:bookmarkEnd w:id="15"/>
      <w:bookmarkStart w:id="16" w:name="_Hlt75236101"/>
      <w:bookmarkEnd w:id="16"/>
      <w:bookmarkStart w:id="17" w:name="_Hlt68072998"/>
      <w:bookmarkEnd w:id="17"/>
      <w:bookmarkStart w:id="18" w:name="_Hlt75236011"/>
      <w:bookmarkEnd w:id="18"/>
      <w:bookmarkStart w:id="19" w:name="_Hlt74730295"/>
      <w:bookmarkEnd w:id="19"/>
    </w:p>
    <w:bookmarkEnd w:id="4"/>
    <w:bookmarkEnd w:id="5"/>
    <w:p>
      <w:pPr>
        <w:spacing w:line="360" w:lineRule="auto"/>
        <w:jc w:val="center"/>
        <w:outlineLvl w:val="0"/>
        <w:rPr>
          <w:rFonts w:cs="宋体" w:asciiTheme="minorEastAsia" w:hAnsiTheme="minorEastAsia" w:eastAsiaTheme="minorEastAsia"/>
          <w:b/>
          <w:sz w:val="36"/>
          <w:szCs w:val="36"/>
        </w:rPr>
      </w:pPr>
      <w:bookmarkStart w:id="20" w:name="第四部分"/>
      <w:r>
        <w:rPr>
          <w:rFonts w:hint="eastAsia" w:cs="宋体" w:asciiTheme="minorEastAsia" w:hAnsiTheme="minorEastAsia" w:eastAsiaTheme="minorEastAsia"/>
          <w:b/>
          <w:sz w:val="36"/>
          <w:szCs w:val="36"/>
        </w:rPr>
        <w:t>第三部分   采购需求</w:t>
      </w:r>
    </w:p>
    <w:p>
      <w:pPr>
        <w:snapToGrid w:val="0"/>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一、采购内容及技术要求</w:t>
      </w:r>
    </w:p>
    <w:p>
      <w:pPr>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1、相关法规、管理条例与技术标准、行业规范</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（1）国家或农业部规定的标准和规范，有新标准按新标准执行；</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（2）行业标准及规范，有新标准按新标准执行；</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（3）其他相关标准；</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（4）投标产品适合在桐庐县内使用。</w:t>
      </w:r>
    </w:p>
    <w:p>
      <w:pPr>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2、商品有机肥技术要求</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cs="宋体" w:asciiTheme="minorEastAsia" w:hAnsiTheme="minorEastAsia" w:eastAsiaTheme="minorEastAsia"/>
          <w:color w:val="000000" w:themeColor="text1"/>
          <w:sz w:val="24"/>
          <w14:textFill>
            <w14:solidFill>
              <w14:schemeClr w14:val="tx1"/>
            </w14:solidFill>
          </w14:textFill>
        </w:rPr>
        <w:t>包装重量要求：指定40Kg/袋；</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（2）包装要求：</w:t>
      </w:r>
      <w:r>
        <w:rPr>
          <w:rFonts w:hint="eastAsia" w:cs="宋体" w:asciiTheme="minorEastAsia" w:hAnsiTheme="minorEastAsia" w:eastAsiaTheme="minorEastAsia"/>
          <w:b/>
          <w:color w:val="000000" w:themeColor="text1"/>
          <w:sz w:val="24"/>
          <w14:textFill>
            <w14:solidFill>
              <w14:schemeClr w14:val="tx1"/>
            </w14:solidFill>
          </w14:textFill>
        </w:rPr>
        <w:t>双层彩包</w:t>
      </w:r>
      <w:r>
        <w:rPr>
          <w:rFonts w:hint="eastAsia" w:cs="宋体" w:asciiTheme="minorEastAsia" w:hAnsiTheme="minorEastAsia" w:eastAsiaTheme="minorEastAsia"/>
          <w:color w:val="000000" w:themeColor="text1"/>
          <w:sz w:val="24"/>
          <w14:textFill>
            <w14:solidFill>
              <w14:schemeClr w14:val="tx1"/>
            </w14:solidFill>
          </w14:textFill>
        </w:rPr>
        <w:t>，必须符合《有机肥料》（NY/T 525-2021）要求。</w:t>
      </w:r>
    </w:p>
    <w:p>
      <w:pPr>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3、采购内容</w:t>
      </w:r>
    </w:p>
    <w:tbl>
      <w:tblPr>
        <w:tblStyle w:val="62"/>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488"/>
        <w:gridCol w:w="1337"/>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序号</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货物名称</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数量</w:t>
            </w:r>
          </w:p>
        </w:tc>
        <w:tc>
          <w:tcPr>
            <w:tcW w:w="57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14:textFill>
                  <w14:solidFill>
                    <w14:schemeClr w14:val="tx1"/>
                  </w14:solidFill>
                </w14:textFill>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10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p>
        </w:tc>
        <w:tc>
          <w:tcPr>
            <w:tcW w:w="148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商品</w:t>
            </w:r>
            <w:r>
              <w:rPr>
                <w:rFonts w:hint="eastAsia" w:cs="宋体" w:asciiTheme="minorEastAsia" w:hAnsiTheme="minorEastAsia" w:eastAsiaTheme="minorEastAsia"/>
                <w:color w:val="000000" w:themeColor="text1"/>
                <w:kern w:val="0"/>
                <w:sz w:val="24"/>
                <w14:textFill>
                  <w14:solidFill>
                    <w14:schemeClr w14:val="tx1"/>
                  </w14:solidFill>
                </w14:textFill>
              </w:rPr>
              <w:t>有机肥</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粉状，</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3318.1</w:t>
            </w:r>
            <w:r>
              <w:rPr>
                <w:rFonts w:hint="eastAsia" w:cs="宋体" w:asciiTheme="minorEastAsia" w:hAnsiTheme="minorEastAsia" w:eastAsiaTheme="minorEastAsia"/>
                <w:color w:val="000000" w:themeColor="text1"/>
                <w:sz w:val="24"/>
                <w14:textFill>
                  <w14:solidFill>
                    <w14:schemeClr w14:val="tx1"/>
                  </w14:solidFill>
                </w14:textFill>
              </w:rPr>
              <w:t>吨左右</w:t>
            </w:r>
          </w:p>
        </w:tc>
        <w:tc>
          <w:tcPr>
            <w:tcW w:w="5783" w:type="dxa"/>
            <w:tcBorders>
              <w:top w:val="single" w:color="auto" w:sz="4" w:space="0"/>
              <w:left w:val="single" w:color="auto" w:sz="4" w:space="0"/>
              <w:right w:val="single" w:color="auto" w:sz="4" w:space="0"/>
            </w:tcBorders>
            <w:vAlign w:val="center"/>
          </w:tcPr>
          <w:p>
            <w:pPr>
              <w:widowControl/>
              <w:snapToGrid w:val="0"/>
              <w:spacing w:line="360" w:lineRule="auto"/>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按照农业部</w:t>
            </w:r>
            <w:r>
              <w:rPr>
                <w:rFonts w:hint="eastAsia" w:cs="宋体" w:asciiTheme="minorEastAsia" w:hAnsiTheme="minorEastAsia" w:eastAsiaTheme="minorEastAsia"/>
                <w:color w:val="000000" w:themeColor="text1"/>
                <w:sz w:val="24"/>
                <w14:textFill>
                  <w14:solidFill>
                    <w14:schemeClr w14:val="tx1"/>
                  </w14:solidFill>
                </w14:textFill>
              </w:rPr>
              <w:t>NY/T 525-2021</w:t>
            </w:r>
            <w:r>
              <w:rPr>
                <w:rFonts w:hint="eastAsia" w:cs="宋体" w:asciiTheme="minorEastAsia" w:hAnsiTheme="minorEastAsia" w:eastAsiaTheme="minorEastAsia"/>
                <w:color w:val="000000" w:themeColor="text1"/>
                <w:kern w:val="0"/>
                <w:sz w:val="24"/>
                <w14:textFill>
                  <w14:solidFill>
                    <w14:schemeClr w14:val="tx1"/>
                  </w14:solidFill>
                </w14:textFill>
              </w:rPr>
              <w:t>《有机肥料》产品质量标准生产，氮、磷、钾总养分≥4.0%，有机质≥30.0%，含水量≤30.0%，pH值在5.5-8.5之间，种子发芽指数（GI)≥70,机械杂质的质量分数（%）≤0.5；重金属总砷≤15mg\kg、总汞≤2mg\kg、总铅≤50mg\kg、总镉≤3mg\kg、总铬≤150mg\kg，粪大肠菌群≤100个\g，蛔虫卵死亡率≥95%。</w:t>
            </w:r>
          </w:p>
        </w:tc>
      </w:tr>
    </w:tbl>
    <w:p>
      <w:pPr>
        <w:snapToGrid w:val="0"/>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4、工作范围</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根据招标文件，各投标人须按国家或农业部有关标准和规范完成下列工作：投标产品的生产、包装、仓储与保管、调拨、运输及相关售后服务，并承担由此产生的各项费用。但因采购单位多，面广地域分散，卸车由使用者自行安排，费用自理。</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中标人必须自行建立肥料销售网络，并按要求做好相关销售台账记录，及时送货到各高标准农田项目建设点，并按照商品有机肥使用技术要求施用到具体田块里。同时，提供免费发放施肥明白纸、产品使用说明书等技术资料，对农民使用项目产品过程中的疑惑及产生的问题及时予以解决,确保农业生产安全。</w:t>
      </w:r>
    </w:p>
    <w:p>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二、商务要求</w:t>
      </w:r>
    </w:p>
    <w:p>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1、付款方式</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14:textFill>
            <w14:solidFill>
              <w14:schemeClr w14:val="tx1"/>
            </w14:solidFill>
          </w14:textFill>
        </w:rPr>
        <w:t>合同签订后七个工作日内支付合同总额的60%</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全部货物运到指定地点且验收合格后在1个月内支付全部货款（含预付款部分）。</w:t>
      </w:r>
    </w:p>
    <w:p>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2、验收</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2.1供货方应提供供货产品的有效合格证，经采购方确认，与合同性能指标一起作为产品验收标准。</w:t>
      </w:r>
    </w:p>
    <w:p>
      <w:pPr>
        <w:snapToGrid w:val="0"/>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w:t>
      </w:r>
      <w:r>
        <w:rPr>
          <w:rFonts w:hint="eastAsia" w:cs="宋体" w:asciiTheme="minorEastAsia" w:hAnsiTheme="minorEastAsia" w:eastAsiaTheme="minorEastAsia"/>
          <w:bCs/>
          <w:color w:val="000000" w:themeColor="text1"/>
          <w:sz w:val="24"/>
          <w14:textFill>
            <w14:solidFill>
              <w14:schemeClr w14:val="tx1"/>
            </w14:solidFill>
          </w14:textFill>
        </w:rPr>
        <w:t>项目实施过程中，采购人委托第三方进行跟踪服务（监理服务）；供货方应接受其监督检查等。</w:t>
      </w:r>
    </w:p>
    <w:p>
      <w:pPr>
        <w:snapToGrid w:val="0"/>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2.3</w:t>
      </w:r>
      <w:r>
        <w:rPr>
          <w:rFonts w:hint="eastAsia" w:cs="宋体" w:asciiTheme="minorEastAsia" w:hAnsiTheme="minorEastAsia" w:eastAsiaTheme="minorEastAsia"/>
          <w:color w:val="000000" w:themeColor="text1"/>
          <w:sz w:val="24"/>
          <w14:textFill>
            <w14:solidFill>
              <w14:schemeClr w14:val="tx1"/>
            </w14:solidFill>
          </w14:textFill>
        </w:rPr>
        <w:t>在到货后，采购人委托桐庐县行政综合执法局或杭州市农业技术推广中心执法监管部门，在投标方在场时，即时随机抽取货物样品两份，与供货方各持一份样品备检。抽样批次由采购人临时决定。</w:t>
      </w:r>
    </w:p>
    <w:p>
      <w:pPr>
        <w:snapToGrid w:val="0"/>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2.4验收中发现产品不符合验收标准或合同规定的性能指标，必须及时调整、更换直至符合为止，同时供货方应承担期间产生的相关损失，并取消下一年度投标资格；</w:t>
      </w:r>
    </w:p>
    <w:p>
      <w:pPr>
        <w:snapToGrid w:val="0"/>
        <w:spacing w:line="360" w:lineRule="auto"/>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2.5验收及样本检测费用由产品供应商承担。</w:t>
      </w:r>
    </w:p>
    <w:p>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3、售后服务</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供货方应协助采购人做好配套技术的指导和培训。</w:t>
      </w:r>
    </w:p>
    <w:p>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4、交货</w:t>
      </w:r>
    </w:p>
    <w:p>
      <w:pPr>
        <w:snapToGrid w:val="0"/>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4.1交货期：按合同具体条款执行；</w:t>
      </w:r>
    </w:p>
    <w:p>
      <w:pPr>
        <w:pStyle w:val="83"/>
        <w:rPr>
          <w:color w:val="000000" w:themeColor="text1"/>
          <w14:textFill>
            <w14:solidFill>
              <w14:schemeClr w14:val="tx1"/>
            </w14:solidFill>
          </w14:textFill>
        </w:rPr>
      </w:pPr>
      <w:r>
        <w:rPr>
          <w:rFonts w:hint="eastAsia"/>
          <w:color w:val="000000" w:themeColor="text1"/>
          <w14:textFill>
            <w14:solidFill>
              <w14:schemeClr w14:val="tx1"/>
            </w14:solidFill>
          </w14:textFill>
        </w:rPr>
        <w:t>4.2交货及施用：</w:t>
      </w:r>
      <w:r>
        <w:rPr>
          <w:rFonts w:hint="eastAsia"/>
          <w:color w:val="000000" w:themeColor="text1"/>
          <w:lang w:eastAsia="zh-CN"/>
          <w14:textFill>
            <w14:solidFill>
              <w14:schemeClr w14:val="tx1"/>
            </w14:solidFill>
          </w14:textFill>
        </w:rPr>
        <w:t>根据项目设计方案，</w:t>
      </w:r>
      <w:r>
        <w:rPr>
          <w:rFonts w:hint="eastAsia" w:ascii="宋体" w:hAnsi="宋体" w:eastAsia="宋体" w:cs="Times New Roman"/>
          <w:b/>
          <w:color w:val="000000" w:themeColor="text1"/>
          <w:lang w:val="en-US" w:eastAsia="zh-CN"/>
          <w14:textFill>
            <w14:solidFill>
              <w14:schemeClr w14:val="tx1"/>
            </w14:solidFill>
          </w14:textFill>
        </w:rPr>
        <w:t>202</w:t>
      </w:r>
      <w:r>
        <w:rPr>
          <w:rFonts w:hint="eastAsia" w:cs="Times New Roman"/>
          <w:b/>
          <w:color w:val="000000" w:themeColor="text1"/>
          <w:lang w:val="en-US" w:eastAsia="zh-CN"/>
          <w14:textFill>
            <w14:solidFill>
              <w14:schemeClr w14:val="tx1"/>
            </w14:solidFill>
          </w14:textFill>
        </w:rPr>
        <w:t>2年桐庐</w:t>
      </w:r>
      <w:r>
        <w:rPr>
          <w:rFonts w:hint="eastAsia" w:ascii="宋体" w:hAnsi="宋体" w:eastAsia="宋体" w:cs="Times New Roman"/>
          <w:b/>
          <w:color w:val="000000" w:themeColor="text1"/>
          <w:lang w:val="en-US" w:eastAsia="zh-CN"/>
          <w14:textFill>
            <w14:solidFill>
              <w14:schemeClr w14:val="tx1"/>
            </w14:solidFill>
          </w14:textFill>
        </w:rPr>
        <w:t>旧县高标准农田示范区建设项目等12个项目采取土壤改良培肥措</w:t>
      </w:r>
      <w:r>
        <w:rPr>
          <w:rFonts w:hint="eastAsia" w:cs="Times New Roman"/>
          <w:b/>
          <w:color w:val="000000" w:themeColor="text1"/>
          <w:lang w:val="en-US" w:eastAsia="zh-CN"/>
          <w14:textFill>
            <w14:solidFill>
              <w14:schemeClr w14:val="tx1"/>
            </w14:solidFill>
          </w14:textFill>
        </w:rPr>
        <w:t>施</w:t>
      </w:r>
      <w:r>
        <w:rPr>
          <w:rFonts w:hint="eastAsia" w:ascii="宋体" w:hAnsi="宋体" w:eastAsia="宋体" w:cs="Times New Roman"/>
          <w:b/>
          <w:color w:val="000000" w:themeColor="text1"/>
          <w:lang w:val="en-US" w:eastAsia="zh-CN"/>
          <w14:textFill>
            <w14:solidFill>
              <w14:schemeClr w14:val="tx1"/>
            </w14:solidFill>
          </w14:textFill>
        </w:rPr>
        <w:t>，共涉及5个乡镇（街道）、18个行政村、69个地块，有机肥施用面积3318.1亩、总用量3318.1吨，</w:t>
      </w:r>
      <w:r>
        <w:rPr>
          <w:rFonts w:hint="eastAsia"/>
          <w:b/>
          <w:color w:val="000000" w:themeColor="text1"/>
          <w14:textFill>
            <w14:solidFill>
              <w14:schemeClr w14:val="tx1"/>
            </w14:solidFill>
          </w14:textFill>
        </w:rPr>
        <w:t>供货方定点定量将有机肥配送到各具体田块，并足量施</w:t>
      </w:r>
      <w:r>
        <w:rPr>
          <w:rFonts w:hint="eastAsia"/>
          <w:b/>
          <w:color w:val="000000" w:themeColor="text1"/>
          <w:lang w:eastAsia="zh-CN"/>
          <w14:textFill>
            <w14:solidFill>
              <w14:schemeClr w14:val="tx1"/>
            </w14:solidFill>
          </w14:textFill>
        </w:rPr>
        <w:t>撒</w:t>
      </w:r>
      <w:r>
        <w:rPr>
          <w:rFonts w:hint="eastAsia"/>
          <w:b/>
          <w:color w:val="000000" w:themeColor="text1"/>
          <w14:textFill>
            <w14:solidFill>
              <w14:schemeClr w14:val="tx1"/>
            </w14:solidFill>
          </w14:textFill>
        </w:rPr>
        <w:t>到位（</w:t>
      </w:r>
      <w:r>
        <w:rPr>
          <w:rFonts w:hint="eastAsia"/>
          <w:b/>
          <w:color w:val="000000" w:themeColor="text1"/>
          <w:lang w:eastAsia="zh-CN"/>
          <w14:textFill>
            <w14:solidFill>
              <w14:schemeClr w14:val="tx1"/>
            </w14:solidFill>
          </w14:textFill>
        </w:rPr>
        <w:t>装卸、运输、</w:t>
      </w:r>
      <w:r>
        <w:rPr>
          <w:rFonts w:hint="eastAsia"/>
          <w:b/>
          <w:color w:val="000000" w:themeColor="text1"/>
          <w14:textFill>
            <w14:solidFill>
              <w14:schemeClr w14:val="tx1"/>
            </w14:solidFill>
          </w14:textFill>
        </w:rPr>
        <w:t>施</w:t>
      </w:r>
      <w:r>
        <w:rPr>
          <w:rFonts w:hint="eastAsia"/>
          <w:b/>
          <w:color w:val="000000" w:themeColor="text1"/>
          <w:lang w:eastAsia="zh-CN"/>
          <w14:textFill>
            <w14:solidFill>
              <w14:schemeClr w14:val="tx1"/>
            </w14:solidFill>
          </w14:textFill>
        </w:rPr>
        <w:t>撒</w:t>
      </w:r>
      <w:r>
        <w:rPr>
          <w:rFonts w:hint="eastAsia"/>
          <w:b/>
          <w:color w:val="000000" w:themeColor="text1"/>
          <w14:textFill>
            <w14:solidFill>
              <w14:schemeClr w14:val="tx1"/>
            </w14:solidFill>
          </w14:textFill>
        </w:rPr>
        <w:t>费包括在本次报价内）。</w:t>
      </w:r>
    </w:p>
    <w:p>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5、签订合同</w:t>
      </w:r>
    </w:p>
    <w:p>
      <w:pPr>
        <w:snapToGrid w:val="0"/>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本次招标由中标人与采购方签订政府采购合同，统一供应量由县农业农村局根据中标单位生产供应能力和本县实际进行分配。同时采购人承担验收等相关事宜。如发现投标人所提供的资质证明文件不合法或不真实，采购人有权向其追究相关的法律责任。</w:t>
      </w:r>
    </w:p>
    <w:p>
      <w:pPr>
        <w:snapToGrid w:val="0"/>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6、其他商务要求</w:t>
      </w:r>
    </w:p>
    <w:tbl>
      <w:tblPr>
        <w:tblStyle w:val="6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3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供货期</w:t>
            </w:r>
          </w:p>
        </w:tc>
        <w:tc>
          <w:tcPr>
            <w:tcW w:w="68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合同签订之日起半年，具体供货时间按采购人要求。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3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商品有机肥原材料</w:t>
            </w:r>
          </w:p>
        </w:tc>
        <w:tc>
          <w:tcPr>
            <w:tcW w:w="68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优先使用</w:t>
            </w:r>
            <w:r>
              <w:rPr>
                <w:rFonts w:hint="eastAsia" w:asciiTheme="minorEastAsia" w:hAnsiTheme="minorEastAsia" w:eastAsiaTheme="minorEastAsia"/>
                <w:bCs/>
                <w:color w:val="000000" w:themeColor="text1"/>
                <w:sz w:val="24"/>
                <w14:textFill>
                  <w14:solidFill>
                    <w14:schemeClr w14:val="tx1"/>
                  </w14:solidFill>
                </w14:textFill>
              </w:rPr>
              <w:t>本地畜禽养殖场粪便以及秸秆材料。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3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付款</w:t>
            </w:r>
            <w:r>
              <w:rPr>
                <w:rFonts w:hint="eastAsia" w:asciiTheme="minorEastAsia" w:hAnsiTheme="minorEastAsia" w:eastAsiaTheme="minorEastAsia"/>
                <w:b/>
                <w:color w:val="000000" w:themeColor="text1"/>
                <w:sz w:val="24"/>
                <w:lang w:eastAsia="zh-CN"/>
                <w14:textFill>
                  <w14:solidFill>
                    <w14:schemeClr w14:val="tx1"/>
                  </w14:solidFill>
                </w14:textFill>
              </w:rPr>
              <w:t>方式</w:t>
            </w:r>
          </w:p>
        </w:tc>
        <w:tc>
          <w:tcPr>
            <w:tcW w:w="68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14:textFill>
                  <w14:solidFill>
                    <w14:schemeClr w14:val="tx1"/>
                  </w14:solidFill>
                </w14:textFill>
              </w:rPr>
              <w:t>合同签订后七个工作日内支付合同总额的60%</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全部货物运到指定地点且验收合格后</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在1个月内支付全部货款（含预付款部分）。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23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违约责任及争议解决方式</w:t>
            </w:r>
          </w:p>
        </w:tc>
        <w:tc>
          <w:tcPr>
            <w:tcW w:w="68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如无特别说明，按“第五章  采购合同”相关违约责任及争议解决方式内容。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223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售后服务要求</w:t>
            </w:r>
          </w:p>
        </w:tc>
        <w:tc>
          <w:tcPr>
            <w:tcW w:w="68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如在使用过程中发生质量问题，中标人在接到采购人通知后  24小时内到达现场。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在供货期内，乙方应对货物出现的质量及安全问题负责处理解决并承担一切费用。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其他售后服务按国家质量监督检验检疫总局和国家其他有关规定执行，国家没有规定的按厂商规定执行。国家规定标准低于厂商标准的按厂商标准执行。</w:t>
            </w:r>
          </w:p>
        </w:tc>
      </w:tr>
    </w:tbl>
    <w:p>
      <w:pPr>
        <w:pStyle w:val="26"/>
        <w:autoSpaceDE/>
        <w:autoSpaceDN/>
        <w:rPr>
          <w:rFonts w:hAnsi="宋体"/>
          <w:color w:val="FF0000"/>
        </w:rPr>
      </w:pPr>
    </w:p>
    <w:p>
      <w:pPr>
        <w:pStyle w:val="26"/>
        <w:sectPr>
          <w:pgSz w:w="11907" w:h="16840"/>
          <w:pgMar w:top="1440" w:right="1417" w:bottom="1440" w:left="1417" w:header="851" w:footer="850" w:gutter="0"/>
          <w:cols w:space="0" w:num="1"/>
        </w:sectPr>
      </w:pPr>
    </w:p>
    <w:p>
      <w:pPr>
        <w:adjustRightInd/>
        <w:spacing w:line="600" w:lineRule="exact"/>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 xml:space="preserve">第四部分   </w:t>
      </w:r>
      <w:bookmarkStart w:id="21" w:name="_Toc184313286"/>
      <w:bookmarkEnd w:id="21"/>
      <w:bookmarkStart w:id="22" w:name="_Toc184314474"/>
      <w:bookmarkEnd w:id="22"/>
      <w:bookmarkStart w:id="23" w:name="_Toc184308053"/>
      <w:bookmarkEnd w:id="23"/>
      <w:bookmarkStart w:id="24" w:name="_Toc184314429"/>
      <w:bookmarkEnd w:id="24"/>
      <w:bookmarkStart w:id="25" w:name="_Toc184312072"/>
      <w:bookmarkEnd w:id="25"/>
      <w:bookmarkStart w:id="26" w:name="_Toc184312077"/>
      <w:bookmarkEnd w:id="26"/>
      <w:bookmarkStart w:id="27" w:name="_Toc184310323"/>
      <w:bookmarkEnd w:id="27"/>
      <w:bookmarkStart w:id="28" w:name="_Toc184308083"/>
      <w:bookmarkEnd w:id="28"/>
      <w:bookmarkStart w:id="29" w:name="_Toc184308042"/>
      <w:bookmarkEnd w:id="29"/>
      <w:bookmarkStart w:id="30" w:name="_Toc184314428"/>
      <w:bookmarkEnd w:id="30"/>
      <w:bookmarkStart w:id="31" w:name="_Toc184312114"/>
      <w:bookmarkEnd w:id="31"/>
      <w:bookmarkStart w:id="32" w:name="_Toc184308070"/>
      <w:bookmarkEnd w:id="32"/>
      <w:bookmarkStart w:id="33" w:name="_Toc184310341"/>
      <w:bookmarkEnd w:id="33"/>
      <w:bookmarkStart w:id="34" w:name="_Toc184310284"/>
      <w:bookmarkEnd w:id="34"/>
      <w:bookmarkStart w:id="35" w:name="_Toc184314414"/>
      <w:bookmarkEnd w:id="35"/>
      <w:bookmarkStart w:id="36" w:name="_Toc184310338"/>
      <w:bookmarkEnd w:id="36"/>
      <w:bookmarkStart w:id="37" w:name="_Toc184312124"/>
      <w:bookmarkEnd w:id="37"/>
      <w:bookmarkStart w:id="38" w:name="_Toc184312111"/>
      <w:bookmarkEnd w:id="38"/>
      <w:bookmarkStart w:id="39" w:name="_Toc184314458"/>
      <w:bookmarkEnd w:id="39"/>
      <w:bookmarkStart w:id="40" w:name="_Toc184308108"/>
      <w:bookmarkEnd w:id="40"/>
      <w:bookmarkStart w:id="41" w:name="_Toc184310273"/>
      <w:bookmarkEnd w:id="41"/>
      <w:bookmarkStart w:id="42" w:name="_Toc184310343"/>
      <w:bookmarkEnd w:id="42"/>
      <w:bookmarkStart w:id="43" w:name="_Toc184308071"/>
      <w:bookmarkEnd w:id="43"/>
      <w:bookmarkStart w:id="44" w:name="_Toc184308096"/>
      <w:bookmarkEnd w:id="44"/>
      <w:bookmarkStart w:id="45" w:name="_Toc184314427"/>
      <w:bookmarkEnd w:id="45"/>
      <w:bookmarkStart w:id="46" w:name="_Toc184312085"/>
      <w:bookmarkEnd w:id="46"/>
      <w:bookmarkStart w:id="47" w:name="_Toc184308044"/>
      <w:bookmarkEnd w:id="47"/>
      <w:bookmarkStart w:id="48" w:name="_Toc184313258"/>
      <w:bookmarkEnd w:id="48"/>
      <w:bookmarkStart w:id="49" w:name="_Toc184310305"/>
      <w:bookmarkEnd w:id="49"/>
      <w:bookmarkStart w:id="50" w:name="_Toc184313268"/>
      <w:bookmarkEnd w:id="50"/>
      <w:bookmarkStart w:id="51" w:name="_Toc184314435"/>
      <w:bookmarkEnd w:id="51"/>
      <w:bookmarkStart w:id="52" w:name="_Toc184308099"/>
      <w:bookmarkEnd w:id="52"/>
      <w:bookmarkStart w:id="53" w:name="_Toc184308037"/>
      <w:bookmarkEnd w:id="53"/>
      <w:bookmarkStart w:id="54" w:name="_Toc184308068"/>
      <w:bookmarkEnd w:id="54"/>
      <w:bookmarkStart w:id="55" w:name="_Toc184312073"/>
      <w:bookmarkEnd w:id="55"/>
      <w:bookmarkStart w:id="56" w:name="_Toc184312081"/>
      <w:bookmarkEnd w:id="56"/>
      <w:bookmarkStart w:id="57" w:name="_Toc184312092"/>
      <w:bookmarkEnd w:id="57"/>
      <w:bookmarkStart w:id="58" w:name="_Toc184314440"/>
      <w:bookmarkEnd w:id="58"/>
      <w:bookmarkStart w:id="59" w:name="_Toc184310330"/>
      <w:bookmarkEnd w:id="59"/>
      <w:bookmarkStart w:id="60" w:name="_Toc184313281"/>
      <w:bookmarkEnd w:id="60"/>
      <w:bookmarkStart w:id="61" w:name="_Toc184313280"/>
      <w:bookmarkEnd w:id="61"/>
      <w:bookmarkStart w:id="62" w:name="_Toc184312123"/>
      <w:bookmarkEnd w:id="62"/>
      <w:bookmarkStart w:id="63" w:name="_Toc184312075"/>
      <w:bookmarkEnd w:id="63"/>
      <w:bookmarkStart w:id="64" w:name="_Toc184310335"/>
      <w:bookmarkEnd w:id="64"/>
      <w:bookmarkStart w:id="65" w:name="_Toc184313301"/>
      <w:bookmarkEnd w:id="65"/>
      <w:bookmarkStart w:id="66" w:name="_Toc184312107"/>
      <w:bookmarkEnd w:id="66"/>
      <w:bookmarkStart w:id="67" w:name="_Toc184312097"/>
      <w:bookmarkEnd w:id="67"/>
      <w:bookmarkStart w:id="68" w:name="_Toc184313244"/>
      <w:bookmarkEnd w:id="68"/>
      <w:bookmarkStart w:id="69" w:name="_Toc184313267"/>
      <w:bookmarkEnd w:id="69"/>
      <w:bookmarkStart w:id="70" w:name="_Toc184310275"/>
      <w:bookmarkEnd w:id="70"/>
      <w:bookmarkStart w:id="71" w:name="_Toc184314476"/>
      <w:bookmarkEnd w:id="71"/>
      <w:bookmarkStart w:id="72" w:name="_Toc184312089"/>
      <w:bookmarkEnd w:id="72"/>
      <w:bookmarkStart w:id="73" w:name="_Toc184308103"/>
      <w:bookmarkEnd w:id="73"/>
      <w:bookmarkStart w:id="74" w:name="_Toc184310317"/>
      <w:bookmarkEnd w:id="74"/>
      <w:bookmarkStart w:id="75" w:name="_Toc184308036"/>
      <w:bookmarkEnd w:id="75"/>
      <w:bookmarkStart w:id="76" w:name="_Toc184314443"/>
      <w:bookmarkEnd w:id="76"/>
      <w:bookmarkStart w:id="77" w:name="_Toc184308101"/>
      <w:bookmarkEnd w:id="77"/>
      <w:bookmarkStart w:id="78" w:name="_Toc184314455"/>
      <w:bookmarkEnd w:id="78"/>
      <w:bookmarkStart w:id="79" w:name="_Toc184308067"/>
      <w:bookmarkEnd w:id="79"/>
      <w:bookmarkStart w:id="80" w:name="_Toc184312138"/>
      <w:bookmarkEnd w:id="80"/>
      <w:bookmarkStart w:id="81" w:name="_Toc184314461"/>
      <w:bookmarkEnd w:id="81"/>
      <w:bookmarkStart w:id="82" w:name="_Toc184312069"/>
      <w:bookmarkEnd w:id="82"/>
      <w:bookmarkStart w:id="83" w:name="_Toc184312071"/>
      <w:bookmarkEnd w:id="83"/>
      <w:bookmarkStart w:id="84" w:name="_Toc184308095"/>
      <w:bookmarkEnd w:id="84"/>
      <w:bookmarkStart w:id="85" w:name="_Toc184314445"/>
      <w:bookmarkEnd w:id="85"/>
      <w:bookmarkStart w:id="86" w:name="_Toc184308041"/>
      <w:bookmarkEnd w:id="86"/>
      <w:bookmarkStart w:id="87" w:name="_Toc184310292"/>
      <w:bookmarkEnd w:id="87"/>
      <w:bookmarkStart w:id="88" w:name="_Toc184314448"/>
      <w:bookmarkEnd w:id="88"/>
      <w:bookmarkStart w:id="89" w:name="_Toc184310274"/>
      <w:bookmarkEnd w:id="89"/>
      <w:bookmarkStart w:id="90" w:name="_Toc184313303"/>
      <w:bookmarkEnd w:id="90"/>
      <w:bookmarkStart w:id="91" w:name="_Toc184312108"/>
      <w:bookmarkEnd w:id="91"/>
      <w:bookmarkStart w:id="92" w:name="_Toc184312109"/>
      <w:bookmarkEnd w:id="92"/>
      <w:bookmarkStart w:id="93" w:name="_Toc184313263"/>
      <w:bookmarkEnd w:id="93"/>
      <w:bookmarkStart w:id="94" w:name="_Toc184314473"/>
      <w:bookmarkEnd w:id="94"/>
      <w:bookmarkStart w:id="95" w:name="_Toc184313264"/>
      <w:bookmarkEnd w:id="95"/>
      <w:bookmarkStart w:id="96" w:name="_Toc184313239"/>
      <w:bookmarkEnd w:id="96"/>
      <w:bookmarkStart w:id="97" w:name="_Toc184308039"/>
      <w:bookmarkEnd w:id="97"/>
      <w:bookmarkStart w:id="98" w:name="_Toc184314417"/>
      <w:bookmarkEnd w:id="98"/>
      <w:bookmarkStart w:id="99" w:name="_Toc184310307"/>
      <w:bookmarkEnd w:id="99"/>
      <w:bookmarkStart w:id="100" w:name="_Toc184310299"/>
      <w:bookmarkEnd w:id="100"/>
      <w:bookmarkStart w:id="101" w:name="_Toc184310282"/>
      <w:bookmarkEnd w:id="101"/>
      <w:bookmarkStart w:id="102" w:name="_Toc184313260"/>
      <w:bookmarkEnd w:id="102"/>
      <w:bookmarkStart w:id="103" w:name="_Toc184314452"/>
      <w:bookmarkEnd w:id="103"/>
      <w:bookmarkStart w:id="104" w:name="_Toc184313241"/>
      <w:bookmarkEnd w:id="104"/>
      <w:bookmarkStart w:id="105" w:name="_Toc184313240"/>
      <w:bookmarkEnd w:id="105"/>
      <w:bookmarkStart w:id="106" w:name="_Toc184313308"/>
      <w:bookmarkEnd w:id="106"/>
      <w:bookmarkStart w:id="107" w:name="_Toc184310322"/>
      <w:bookmarkEnd w:id="107"/>
      <w:bookmarkStart w:id="108" w:name="_Toc184310290"/>
      <w:bookmarkEnd w:id="108"/>
      <w:bookmarkStart w:id="109" w:name="_Toc184310325"/>
      <w:bookmarkEnd w:id="109"/>
      <w:bookmarkStart w:id="110" w:name="_Toc184313251"/>
      <w:bookmarkEnd w:id="110"/>
      <w:bookmarkStart w:id="111" w:name="_Toc184314441"/>
      <w:bookmarkEnd w:id="111"/>
      <w:bookmarkStart w:id="112" w:name="_Toc184308066"/>
      <w:bookmarkEnd w:id="112"/>
      <w:bookmarkStart w:id="113" w:name="_Toc184312078"/>
      <w:bookmarkEnd w:id="113"/>
      <w:bookmarkStart w:id="114" w:name="_Toc184313253"/>
      <w:bookmarkEnd w:id="114"/>
      <w:bookmarkStart w:id="115" w:name="_Toc184310340"/>
      <w:bookmarkEnd w:id="115"/>
      <w:bookmarkStart w:id="116" w:name="_Toc184310288"/>
      <w:bookmarkEnd w:id="116"/>
      <w:bookmarkStart w:id="117" w:name="_Toc184313255"/>
      <w:bookmarkEnd w:id="117"/>
      <w:bookmarkStart w:id="118" w:name="_Toc184312087"/>
      <w:bookmarkEnd w:id="118"/>
      <w:bookmarkStart w:id="119" w:name="_Toc184312068"/>
      <w:bookmarkEnd w:id="119"/>
      <w:bookmarkStart w:id="120" w:name="_Toc184310303"/>
      <w:bookmarkEnd w:id="120"/>
      <w:bookmarkStart w:id="121" w:name="_Toc184314470"/>
      <w:bookmarkEnd w:id="121"/>
      <w:bookmarkStart w:id="122" w:name="_Toc184314432"/>
      <w:bookmarkEnd w:id="122"/>
      <w:bookmarkStart w:id="123" w:name="_Toc184313269"/>
      <w:bookmarkEnd w:id="123"/>
      <w:bookmarkStart w:id="124" w:name="_Toc184310314"/>
      <w:bookmarkEnd w:id="124"/>
      <w:bookmarkStart w:id="125" w:name="_Toc184310324"/>
      <w:bookmarkEnd w:id="125"/>
      <w:bookmarkStart w:id="126" w:name="_Toc184308057"/>
      <w:bookmarkEnd w:id="126"/>
      <w:bookmarkStart w:id="127" w:name="_Toc184314424"/>
      <w:bookmarkEnd w:id="127"/>
      <w:bookmarkStart w:id="128" w:name="_Toc184314413"/>
      <w:bookmarkEnd w:id="128"/>
      <w:bookmarkStart w:id="129" w:name="_Toc184314410"/>
      <w:bookmarkEnd w:id="129"/>
      <w:bookmarkStart w:id="130" w:name="_Toc184310313"/>
      <w:bookmarkEnd w:id="130"/>
      <w:bookmarkStart w:id="131" w:name="_Toc184308079"/>
      <w:bookmarkEnd w:id="131"/>
      <w:bookmarkStart w:id="132" w:name="_Toc184312083"/>
      <w:bookmarkEnd w:id="132"/>
      <w:bookmarkStart w:id="133" w:name="_Toc184312131"/>
      <w:bookmarkEnd w:id="133"/>
      <w:bookmarkStart w:id="134" w:name="_Toc184314438"/>
      <w:bookmarkEnd w:id="134"/>
      <w:bookmarkStart w:id="135" w:name="_Toc184310293"/>
      <w:bookmarkEnd w:id="135"/>
      <w:bookmarkStart w:id="136" w:name="_Toc184312122"/>
      <w:bookmarkEnd w:id="136"/>
      <w:bookmarkStart w:id="137" w:name="_Toc184312084"/>
      <w:bookmarkEnd w:id="137"/>
      <w:bookmarkStart w:id="138" w:name="_Toc184314472"/>
      <w:bookmarkEnd w:id="138"/>
      <w:bookmarkStart w:id="139" w:name="_Toc184308056"/>
      <w:bookmarkEnd w:id="139"/>
      <w:bookmarkStart w:id="140" w:name="_Toc184310326"/>
      <w:bookmarkEnd w:id="140"/>
      <w:bookmarkStart w:id="141" w:name="_Toc184313287"/>
      <w:bookmarkEnd w:id="141"/>
      <w:bookmarkStart w:id="142" w:name="_Toc184314411"/>
      <w:bookmarkEnd w:id="142"/>
      <w:bookmarkStart w:id="143" w:name="_Toc184313285"/>
      <w:bookmarkEnd w:id="143"/>
      <w:bookmarkStart w:id="144" w:name="_Toc184310344"/>
      <w:bookmarkEnd w:id="144"/>
      <w:bookmarkStart w:id="145" w:name="_Toc184313266"/>
      <w:bookmarkEnd w:id="145"/>
      <w:bookmarkStart w:id="146" w:name="_Toc184310318"/>
      <w:bookmarkEnd w:id="146"/>
      <w:bookmarkStart w:id="147" w:name="_Toc184312133"/>
      <w:bookmarkEnd w:id="147"/>
      <w:bookmarkStart w:id="148" w:name="_Toc184312134"/>
      <w:bookmarkEnd w:id="148"/>
      <w:bookmarkStart w:id="149" w:name="_Toc184313300"/>
      <w:bookmarkEnd w:id="149"/>
      <w:bookmarkStart w:id="150" w:name="_Toc184308091"/>
      <w:bookmarkEnd w:id="150"/>
      <w:bookmarkStart w:id="151" w:name="_Toc184313259"/>
      <w:bookmarkEnd w:id="151"/>
      <w:bookmarkStart w:id="152" w:name="_Toc184310297"/>
      <w:bookmarkEnd w:id="152"/>
      <w:bookmarkStart w:id="153" w:name="_Toc184312104"/>
      <w:bookmarkEnd w:id="153"/>
      <w:bookmarkStart w:id="154" w:name="_Toc184314478"/>
      <w:bookmarkEnd w:id="154"/>
      <w:bookmarkStart w:id="155" w:name="_Toc184314454"/>
      <w:bookmarkEnd w:id="155"/>
      <w:bookmarkStart w:id="156" w:name="_Toc184314446"/>
      <w:bookmarkEnd w:id="156"/>
      <w:bookmarkStart w:id="157" w:name="_Toc184313276"/>
      <w:bookmarkEnd w:id="157"/>
      <w:bookmarkStart w:id="158" w:name="_Toc184310310"/>
      <w:bookmarkEnd w:id="158"/>
      <w:bookmarkStart w:id="159" w:name="_Toc184310285"/>
      <w:bookmarkEnd w:id="159"/>
      <w:bookmarkStart w:id="160" w:name="_Toc184313282"/>
      <w:bookmarkEnd w:id="160"/>
      <w:bookmarkStart w:id="161" w:name="_Toc184314450"/>
      <w:bookmarkEnd w:id="161"/>
      <w:bookmarkStart w:id="162" w:name="_Toc184314423"/>
      <w:bookmarkEnd w:id="162"/>
      <w:bookmarkStart w:id="163" w:name="_Toc184310278"/>
      <w:bookmarkEnd w:id="163"/>
      <w:bookmarkStart w:id="164" w:name="_Toc184308107"/>
      <w:bookmarkEnd w:id="164"/>
      <w:bookmarkStart w:id="165" w:name="_Toc184310280"/>
      <w:bookmarkEnd w:id="165"/>
      <w:bookmarkStart w:id="166" w:name="_Toc184308049"/>
      <w:bookmarkEnd w:id="166"/>
      <w:bookmarkStart w:id="167" w:name="_Toc184312115"/>
      <w:bookmarkEnd w:id="167"/>
      <w:bookmarkStart w:id="168" w:name="_Toc184312079"/>
      <w:bookmarkEnd w:id="168"/>
      <w:bookmarkStart w:id="169" w:name="_Toc184310287"/>
      <w:bookmarkEnd w:id="169"/>
      <w:bookmarkStart w:id="170" w:name="_Toc184312091"/>
      <w:bookmarkEnd w:id="170"/>
      <w:bookmarkStart w:id="171" w:name="_Toc184313283"/>
      <w:bookmarkEnd w:id="171"/>
      <w:bookmarkStart w:id="172" w:name="_Toc184310339"/>
      <w:bookmarkEnd w:id="172"/>
      <w:bookmarkStart w:id="173" w:name="_Toc184310342"/>
      <w:bookmarkEnd w:id="173"/>
      <w:bookmarkStart w:id="174" w:name="_Toc184310320"/>
      <w:bookmarkEnd w:id="174"/>
      <w:bookmarkStart w:id="175" w:name="_Toc184314444"/>
      <w:bookmarkEnd w:id="175"/>
      <w:bookmarkStart w:id="176" w:name="_Toc184308060"/>
      <w:bookmarkEnd w:id="176"/>
      <w:bookmarkStart w:id="177" w:name="_Toc184308062"/>
      <w:bookmarkEnd w:id="177"/>
      <w:bookmarkStart w:id="178" w:name="_Toc184312086"/>
      <w:bookmarkEnd w:id="178"/>
      <w:bookmarkStart w:id="179" w:name="_Toc184310296"/>
      <w:bookmarkEnd w:id="179"/>
      <w:bookmarkStart w:id="180" w:name="_Toc184313306"/>
      <w:bookmarkEnd w:id="180"/>
      <w:bookmarkStart w:id="181" w:name="_Toc184314430"/>
      <w:bookmarkEnd w:id="181"/>
      <w:bookmarkStart w:id="182" w:name="_Toc184314453"/>
      <w:bookmarkEnd w:id="182"/>
      <w:bookmarkStart w:id="183" w:name="_Toc184314456"/>
      <w:bookmarkEnd w:id="183"/>
      <w:bookmarkStart w:id="184" w:name="_Toc184308064"/>
      <w:bookmarkEnd w:id="184"/>
      <w:bookmarkStart w:id="185" w:name="_Toc184314462"/>
      <w:bookmarkEnd w:id="185"/>
      <w:bookmarkStart w:id="186" w:name="_Toc184308085"/>
      <w:bookmarkEnd w:id="186"/>
      <w:bookmarkStart w:id="187" w:name="_Toc184313265"/>
      <w:bookmarkEnd w:id="187"/>
      <w:bookmarkStart w:id="188" w:name="_Toc184308072"/>
      <w:bookmarkEnd w:id="188"/>
      <w:bookmarkStart w:id="189" w:name="_Toc184308074"/>
      <w:bookmarkEnd w:id="189"/>
      <w:bookmarkStart w:id="190" w:name="_Toc184308097"/>
      <w:bookmarkEnd w:id="190"/>
      <w:bookmarkStart w:id="191" w:name="_Toc184310279"/>
      <w:bookmarkEnd w:id="191"/>
      <w:bookmarkStart w:id="192" w:name="_Toc184314415"/>
      <w:bookmarkEnd w:id="192"/>
      <w:bookmarkStart w:id="193" w:name="_Toc184312130"/>
      <w:bookmarkEnd w:id="193"/>
      <w:bookmarkStart w:id="194" w:name="_Toc184308059"/>
      <w:bookmarkEnd w:id="194"/>
      <w:bookmarkStart w:id="195" w:name="_Toc184313292"/>
      <w:bookmarkEnd w:id="195"/>
      <w:bookmarkStart w:id="196" w:name="_Toc184310304"/>
      <w:bookmarkEnd w:id="196"/>
      <w:bookmarkStart w:id="197" w:name="_Toc184310294"/>
      <w:bookmarkEnd w:id="197"/>
      <w:bookmarkStart w:id="198" w:name="_Toc184308065"/>
      <w:bookmarkEnd w:id="198"/>
      <w:bookmarkStart w:id="199" w:name="_Toc184312118"/>
      <w:bookmarkEnd w:id="199"/>
      <w:bookmarkStart w:id="200" w:name="_Toc184310291"/>
      <w:bookmarkEnd w:id="200"/>
      <w:bookmarkStart w:id="201" w:name="_Toc184312101"/>
      <w:bookmarkEnd w:id="201"/>
      <w:bookmarkStart w:id="202" w:name="_Toc184312096"/>
      <w:bookmarkEnd w:id="202"/>
      <w:bookmarkStart w:id="203" w:name="_Toc184313293"/>
      <w:bookmarkEnd w:id="203"/>
      <w:bookmarkStart w:id="204" w:name="_Toc184308100"/>
      <w:bookmarkEnd w:id="204"/>
      <w:bookmarkStart w:id="205" w:name="_Toc184312100"/>
      <w:bookmarkEnd w:id="205"/>
      <w:bookmarkStart w:id="206" w:name="_Toc184313249"/>
      <w:bookmarkEnd w:id="206"/>
      <w:bookmarkStart w:id="207" w:name="_Toc184308058"/>
      <w:bookmarkEnd w:id="207"/>
      <w:bookmarkStart w:id="208" w:name="_Toc184312119"/>
      <w:bookmarkEnd w:id="208"/>
      <w:bookmarkStart w:id="209" w:name="_Toc184313299"/>
      <w:bookmarkEnd w:id="209"/>
      <w:bookmarkStart w:id="210" w:name="_Toc184310312"/>
      <w:bookmarkEnd w:id="210"/>
      <w:bookmarkStart w:id="211" w:name="_Toc184310289"/>
      <w:bookmarkEnd w:id="211"/>
      <w:bookmarkStart w:id="212" w:name="_Toc184313271"/>
      <w:bookmarkEnd w:id="212"/>
      <w:bookmarkStart w:id="213" w:name="_Toc184312129"/>
      <w:bookmarkEnd w:id="213"/>
      <w:bookmarkStart w:id="214" w:name="_Toc184314433"/>
      <w:bookmarkEnd w:id="214"/>
      <w:bookmarkStart w:id="215" w:name="_Toc184313254"/>
      <w:bookmarkEnd w:id="215"/>
      <w:bookmarkStart w:id="216" w:name="_Toc184308092"/>
      <w:bookmarkEnd w:id="216"/>
      <w:bookmarkStart w:id="217" w:name="_Toc184308088"/>
      <w:bookmarkEnd w:id="217"/>
      <w:bookmarkStart w:id="218" w:name="_Toc184308054"/>
      <w:bookmarkEnd w:id="218"/>
      <w:bookmarkStart w:id="219" w:name="_Toc184314471"/>
      <w:bookmarkEnd w:id="219"/>
      <w:bookmarkStart w:id="220" w:name="_Toc184314416"/>
      <w:bookmarkEnd w:id="220"/>
      <w:bookmarkStart w:id="221" w:name="_Toc184313302"/>
      <w:bookmarkEnd w:id="221"/>
      <w:bookmarkStart w:id="222" w:name="_Toc184314459"/>
      <w:bookmarkEnd w:id="222"/>
      <w:bookmarkStart w:id="223" w:name="_Toc184308063"/>
      <w:bookmarkEnd w:id="223"/>
      <w:bookmarkStart w:id="224" w:name="_Toc184312095"/>
      <w:bookmarkEnd w:id="224"/>
      <w:bookmarkStart w:id="225" w:name="_Toc184314482"/>
      <w:bookmarkEnd w:id="225"/>
      <w:bookmarkStart w:id="226" w:name="_Toc184313257"/>
      <w:bookmarkEnd w:id="226"/>
      <w:bookmarkStart w:id="227" w:name="_Toc184313291"/>
      <w:bookmarkEnd w:id="227"/>
      <w:bookmarkStart w:id="228" w:name="_Toc184313246"/>
      <w:bookmarkEnd w:id="228"/>
      <w:bookmarkStart w:id="229" w:name="_Toc184313272"/>
      <w:bookmarkEnd w:id="229"/>
      <w:bookmarkStart w:id="230" w:name="_Toc184314421"/>
      <w:bookmarkEnd w:id="230"/>
      <w:bookmarkStart w:id="231" w:name="_Toc184313294"/>
      <w:bookmarkEnd w:id="231"/>
      <w:bookmarkStart w:id="232" w:name="_Toc184313290"/>
      <w:bookmarkEnd w:id="232"/>
      <w:bookmarkStart w:id="233" w:name="_Toc184308089"/>
      <w:bookmarkEnd w:id="233"/>
      <w:bookmarkStart w:id="234" w:name="_Toc184313305"/>
      <w:bookmarkEnd w:id="234"/>
      <w:bookmarkStart w:id="235" w:name="_Toc184312090"/>
      <w:bookmarkEnd w:id="235"/>
      <w:bookmarkStart w:id="236" w:name="_Toc184310302"/>
      <w:bookmarkEnd w:id="236"/>
      <w:bookmarkStart w:id="237" w:name="_Toc184313252"/>
      <w:bookmarkEnd w:id="237"/>
      <w:bookmarkStart w:id="238" w:name="_Toc184313307"/>
      <w:bookmarkEnd w:id="238"/>
      <w:bookmarkStart w:id="239" w:name="_Toc184312126"/>
      <w:bookmarkEnd w:id="239"/>
      <w:bookmarkStart w:id="240" w:name="_Toc184308052"/>
      <w:bookmarkEnd w:id="240"/>
      <w:bookmarkStart w:id="241" w:name="_Toc184313295"/>
      <w:bookmarkEnd w:id="241"/>
      <w:bookmarkStart w:id="242" w:name="_Toc184312093"/>
      <w:bookmarkEnd w:id="242"/>
      <w:bookmarkStart w:id="243" w:name="_Toc184314477"/>
      <w:bookmarkEnd w:id="243"/>
      <w:bookmarkStart w:id="244" w:name="_Toc184312098"/>
      <w:bookmarkEnd w:id="244"/>
      <w:bookmarkStart w:id="245" w:name="_Toc184314447"/>
      <w:bookmarkEnd w:id="245"/>
      <w:bookmarkStart w:id="246" w:name="_Toc184312135"/>
      <w:bookmarkEnd w:id="246"/>
      <w:bookmarkStart w:id="247" w:name="_Toc184308078"/>
      <w:bookmarkEnd w:id="247"/>
      <w:bookmarkStart w:id="248" w:name="_Toc184313296"/>
      <w:bookmarkEnd w:id="248"/>
      <w:bookmarkStart w:id="249" w:name="_Toc184314439"/>
      <w:bookmarkEnd w:id="249"/>
      <w:bookmarkStart w:id="250" w:name="_Toc184312082"/>
      <w:bookmarkEnd w:id="250"/>
      <w:bookmarkStart w:id="251" w:name="_Toc184308087"/>
      <w:bookmarkEnd w:id="251"/>
      <w:bookmarkStart w:id="252" w:name="_Toc184310308"/>
      <w:bookmarkEnd w:id="252"/>
      <w:bookmarkStart w:id="253" w:name="_Toc184314418"/>
      <w:bookmarkEnd w:id="253"/>
      <w:bookmarkStart w:id="254" w:name="_Toc184308081"/>
      <w:bookmarkEnd w:id="254"/>
      <w:bookmarkStart w:id="255" w:name="_Toc184310311"/>
      <w:bookmarkEnd w:id="255"/>
      <w:bookmarkStart w:id="256" w:name="_Toc184308104"/>
      <w:bookmarkEnd w:id="256"/>
      <w:bookmarkStart w:id="257" w:name="_Toc184308045"/>
      <w:bookmarkEnd w:id="257"/>
      <w:bookmarkStart w:id="258" w:name="_Toc184313277"/>
      <w:bookmarkEnd w:id="258"/>
      <w:bookmarkStart w:id="259" w:name="_Toc184312076"/>
      <w:bookmarkEnd w:id="259"/>
      <w:bookmarkStart w:id="260" w:name="_Toc184308047"/>
      <w:bookmarkEnd w:id="260"/>
      <w:bookmarkStart w:id="261" w:name="_Toc184310298"/>
      <w:bookmarkEnd w:id="261"/>
      <w:bookmarkStart w:id="262" w:name="_Toc184308038"/>
      <w:bookmarkEnd w:id="262"/>
      <w:bookmarkStart w:id="263" w:name="_Toc184313278"/>
      <w:bookmarkEnd w:id="263"/>
      <w:bookmarkStart w:id="264" w:name="_Toc184308098"/>
      <w:bookmarkEnd w:id="264"/>
      <w:bookmarkStart w:id="265" w:name="_Toc184310286"/>
      <w:bookmarkEnd w:id="265"/>
      <w:bookmarkStart w:id="266" w:name="_Toc184310328"/>
      <w:bookmarkEnd w:id="266"/>
      <w:bookmarkStart w:id="267" w:name="_Toc184310316"/>
      <w:bookmarkEnd w:id="267"/>
      <w:bookmarkStart w:id="268" w:name="_Toc184312112"/>
      <w:bookmarkEnd w:id="268"/>
      <w:bookmarkStart w:id="269" w:name="_Toc184308061"/>
      <w:bookmarkEnd w:id="269"/>
      <w:bookmarkStart w:id="270" w:name="_Toc184313274"/>
      <w:bookmarkEnd w:id="270"/>
      <w:bookmarkStart w:id="271" w:name="_Toc184310306"/>
      <w:bookmarkEnd w:id="271"/>
      <w:bookmarkStart w:id="272" w:name="_Toc184312117"/>
      <w:bookmarkEnd w:id="272"/>
      <w:bookmarkStart w:id="273" w:name="_Toc184314419"/>
      <w:bookmarkEnd w:id="273"/>
      <w:bookmarkStart w:id="274" w:name="_Toc184308040"/>
      <w:bookmarkEnd w:id="274"/>
      <w:bookmarkStart w:id="275" w:name="_Toc184310331"/>
      <w:bookmarkEnd w:id="275"/>
      <w:bookmarkStart w:id="276" w:name="_Toc184308080"/>
      <w:bookmarkEnd w:id="276"/>
      <w:bookmarkStart w:id="277" w:name="_Toc184314426"/>
      <w:bookmarkEnd w:id="277"/>
      <w:bookmarkStart w:id="278" w:name="_Toc184313242"/>
      <w:bookmarkEnd w:id="278"/>
      <w:bookmarkStart w:id="279" w:name="_Toc184310283"/>
      <w:bookmarkEnd w:id="279"/>
      <w:bookmarkStart w:id="280" w:name="_Toc184313270"/>
      <w:bookmarkEnd w:id="280"/>
      <w:bookmarkStart w:id="281" w:name="_Toc184313284"/>
      <w:bookmarkEnd w:id="281"/>
      <w:bookmarkStart w:id="282" w:name="_Toc184310336"/>
      <w:bookmarkEnd w:id="282"/>
      <w:bookmarkStart w:id="283" w:name="_Toc184308076"/>
      <w:bookmarkEnd w:id="283"/>
      <w:bookmarkStart w:id="284" w:name="_Toc184312088"/>
      <w:bookmarkEnd w:id="284"/>
      <w:bookmarkStart w:id="285" w:name="_Toc184312067"/>
      <w:bookmarkEnd w:id="285"/>
      <w:bookmarkStart w:id="286" w:name="_Toc184310315"/>
      <w:bookmarkEnd w:id="286"/>
      <w:bookmarkStart w:id="287" w:name="_Toc184313298"/>
      <w:bookmarkEnd w:id="287"/>
      <w:bookmarkStart w:id="288" w:name="_Toc184308093"/>
      <w:bookmarkEnd w:id="288"/>
      <w:bookmarkStart w:id="289" w:name="_Toc184314467"/>
      <w:bookmarkEnd w:id="289"/>
      <w:bookmarkStart w:id="290" w:name="_Toc184314437"/>
      <w:bookmarkEnd w:id="290"/>
      <w:bookmarkStart w:id="291" w:name="_Toc184310334"/>
      <w:bookmarkEnd w:id="291"/>
      <w:bookmarkStart w:id="292" w:name="_Toc184313279"/>
      <w:bookmarkEnd w:id="292"/>
      <w:bookmarkStart w:id="293" w:name="_Toc184314422"/>
      <w:bookmarkEnd w:id="293"/>
      <w:bookmarkStart w:id="294" w:name="_Toc184314466"/>
      <w:bookmarkEnd w:id="294"/>
      <w:bookmarkStart w:id="295" w:name="_Toc184310300"/>
      <w:bookmarkEnd w:id="295"/>
      <w:bookmarkStart w:id="296" w:name="_Toc184312103"/>
      <w:bookmarkEnd w:id="296"/>
      <w:bookmarkStart w:id="297" w:name="_Toc184313243"/>
      <w:bookmarkEnd w:id="297"/>
      <w:bookmarkStart w:id="298" w:name="_Toc184313310"/>
      <w:bookmarkEnd w:id="298"/>
      <w:bookmarkStart w:id="299" w:name="_Toc184310319"/>
      <w:bookmarkEnd w:id="299"/>
      <w:bookmarkStart w:id="300" w:name="_Toc184310272"/>
      <w:bookmarkEnd w:id="300"/>
      <w:bookmarkStart w:id="301" w:name="_Toc184313245"/>
      <w:bookmarkEnd w:id="301"/>
      <w:bookmarkStart w:id="302" w:name="_Toc184308077"/>
      <w:bookmarkEnd w:id="302"/>
      <w:bookmarkStart w:id="303" w:name="_Toc184312125"/>
      <w:bookmarkEnd w:id="303"/>
      <w:bookmarkStart w:id="304" w:name="_Toc184314463"/>
      <w:bookmarkEnd w:id="304"/>
      <w:bookmarkStart w:id="305" w:name="_Toc184310276"/>
      <w:bookmarkEnd w:id="305"/>
      <w:bookmarkStart w:id="306" w:name="_Toc184312099"/>
      <w:bookmarkEnd w:id="306"/>
      <w:bookmarkStart w:id="307" w:name="_Toc184308069"/>
      <w:bookmarkEnd w:id="307"/>
      <w:bookmarkStart w:id="308" w:name="_Toc184312120"/>
      <w:bookmarkEnd w:id="308"/>
      <w:bookmarkStart w:id="309" w:name="_Toc184310281"/>
      <w:bookmarkEnd w:id="309"/>
      <w:bookmarkStart w:id="310" w:name="_Toc184310277"/>
      <w:bookmarkEnd w:id="310"/>
      <w:bookmarkStart w:id="311" w:name="_Toc184308102"/>
      <w:bookmarkEnd w:id="311"/>
      <w:bookmarkStart w:id="312" w:name="_Toc184308094"/>
      <w:bookmarkEnd w:id="312"/>
      <w:bookmarkStart w:id="313" w:name="_Toc184313248"/>
      <w:bookmarkEnd w:id="313"/>
      <w:bookmarkStart w:id="314" w:name="_Toc184313273"/>
      <w:bookmarkEnd w:id="314"/>
      <w:bookmarkStart w:id="315" w:name="_Toc184314431"/>
      <w:bookmarkEnd w:id="315"/>
      <w:bookmarkStart w:id="316" w:name="_Toc184314434"/>
      <w:bookmarkEnd w:id="316"/>
      <w:bookmarkStart w:id="317" w:name="_Toc184312102"/>
      <w:bookmarkEnd w:id="317"/>
      <w:bookmarkStart w:id="318" w:name="_Toc184314451"/>
      <w:bookmarkEnd w:id="318"/>
      <w:bookmarkStart w:id="319" w:name="_Toc184314436"/>
      <w:bookmarkEnd w:id="319"/>
      <w:bookmarkStart w:id="320" w:name="_Toc184313238"/>
      <w:bookmarkEnd w:id="320"/>
      <w:bookmarkStart w:id="321" w:name="_Toc184312110"/>
      <w:bookmarkEnd w:id="321"/>
      <w:bookmarkStart w:id="322" w:name="_Toc184308055"/>
      <w:bookmarkEnd w:id="322"/>
      <w:bookmarkStart w:id="323" w:name="_Toc184312136"/>
      <w:bookmarkEnd w:id="323"/>
      <w:bookmarkStart w:id="324" w:name="_Toc184308086"/>
      <w:bookmarkEnd w:id="324"/>
      <w:bookmarkStart w:id="325" w:name="_Toc184310309"/>
      <w:bookmarkEnd w:id="325"/>
      <w:bookmarkStart w:id="326" w:name="_Toc184308043"/>
      <w:bookmarkEnd w:id="326"/>
      <w:bookmarkStart w:id="327" w:name="_Toc184313309"/>
      <w:bookmarkEnd w:id="327"/>
      <w:bookmarkStart w:id="328" w:name="_Toc184310329"/>
      <w:bookmarkEnd w:id="328"/>
      <w:bookmarkStart w:id="329" w:name="_Toc184313304"/>
      <w:bookmarkEnd w:id="329"/>
      <w:bookmarkStart w:id="330" w:name="_Toc184314481"/>
      <w:bookmarkEnd w:id="330"/>
      <w:bookmarkStart w:id="331" w:name="_Toc184308075"/>
      <w:bookmarkEnd w:id="331"/>
      <w:bookmarkStart w:id="332" w:name="_Toc184314468"/>
      <w:bookmarkEnd w:id="332"/>
      <w:bookmarkStart w:id="333" w:name="_Toc184308106"/>
      <w:bookmarkEnd w:id="333"/>
      <w:bookmarkStart w:id="334" w:name="_Toc184313247"/>
      <w:bookmarkEnd w:id="334"/>
      <w:bookmarkStart w:id="335" w:name="_Toc184312074"/>
      <w:bookmarkEnd w:id="335"/>
      <w:bookmarkStart w:id="336" w:name="_Toc184308082"/>
      <w:bookmarkEnd w:id="336"/>
      <w:bookmarkStart w:id="337" w:name="_Toc184313297"/>
      <w:bookmarkEnd w:id="337"/>
      <w:bookmarkStart w:id="338" w:name="_Toc184308084"/>
      <w:bookmarkEnd w:id="338"/>
      <w:bookmarkStart w:id="339" w:name="_Toc184308046"/>
      <w:bookmarkEnd w:id="339"/>
      <w:bookmarkStart w:id="340" w:name="_Toc184308048"/>
      <w:bookmarkEnd w:id="340"/>
      <w:bookmarkStart w:id="341" w:name="_Toc184314469"/>
      <w:bookmarkEnd w:id="341"/>
      <w:bookmarkStart w:id="342" w:name="_Toc184314425"/>
      <w:bookmarkEnd w:id="342"/>
      <w:bookmarkStart w:id="343" w:name="_Toc184310301"/>
      <w:bookmarkEnd w:id="343"/>
      <w:bookmarkStart w:id="344" w:name="_Toc184308090"/>
      <w:bookmarkEnd w:id="344"/>
      <w:bookmarkStart w:id="345" w:name="_Toc184313288"/>
      <w:bookmarkEnd w:id="345"/>
      <w:bookmarkStart w:id="346" w:name="_Toc184310327"/>
      <w:bookmarkEnd w:id="346"/>
      <w:bookmarkStart w:id="347" w:name="_Toc184312139"/>
      <w:bookmarkEnd w:id="347"/>
      <w:bookmarkStart w:id="348" w:name="_Toc184314480"/>
      <w:bookmarkEnd w:id="348"/>
      <w:bookmarkStart w:id="349" w:name="_Toc184312137"/>
      <w:bookmarkEnd w:id="349"/>
      <w:bookmarkStart w:id="350" w:name="_Toc184312106"/>
      <w:bookmarkEnd w:id="350"/>
      <w:bookmarkStart w:id="351" w:name="_Toc184314460"/>
      <w:bookmarkEnd w:id="351"/>
      <w:bookmarkStart w:id="352" w:name="_Toc184313289"/>
      <w:bookmarkEnd w:id="352"/>
      <w:bookmarkStart w:id="353" w:name="_Toc184314464"/>
      <w:bookmarkEnd w:id="353"/>
      <w:bookmarkStart w:id="354" w:name="_Toc184313256"/>
      <w:bookmarkEnd w:id="354"/>
      <w:bookmarkStart w:id="355" w:name="_Toc184314420"/>
      <w:bookmarkEnd w:id="355"/>
      <w:bookmarkStart w:id="356" w:name="_Toc184312105"/>
      <w:bookmarkEnd w:id="356"/>
      <w:bookmarkStart w:id="357" w:name="_Toc184312127"/>
      <w:bookmarkEnd w:id="357"/>
      <w:bookmarkStart w:id="358" w:name="_Toc184314465"/>
      <w:bookmarkEnd w:id="358"/>
      <w:bookmarkStart w:id="359" w:name="_Toc184314479"/>
      <w:bookmarkEnd w:id="359"/>
      <w:bookmarkStart w:id="360" w:name="_Toc184308050"/>
      <w:bookmarkEnd w:id="360"/>
      <w:bookmarkStart w:id="361" w:name="_Toc184310337"/>
      <w:bookmarkEnd w:id="361"/>
      <w:bookmarkStart w:id="362" w:name="_Toc184312121"/>
      <w:bookmarkEnd w:id="362"/>
      <w:bookmarkStart w:id="363" w:name="_Toc184310295"/>
      <w:bookmarkEnd w:id="363"/>
      <w:bookmarkStart w:id="364" w:name="_Toc184313262"/>
      <w:bookmarkEnd w:id="364"/>
      <w:bookmarkStart w:id="365" w:name="_Toc184312132"/>
      <w:bookmarkEnd w:id="365"/>
      <w:bookmarkStart w:id="366" w:name="_Toc184312080"/>
      <w:bookmarkEnd w:id="366"/>
      <w:bookmarkStart w:id="367" w:name="_Toc184308073"/>
      <w:bookmarkEnd w:id="367"/>
      <w:bookmarkStart w:id="368" w:name="_Toc184312070"/>
      <w:bookmarkEnd w:id="368"/>
      <w:bookmarkStart w:id="369" w:name="_Toc184313275"/>
      <w:bookmarkEnd w:id="369"/>
      <w:bookmarkStart w:id="370" w:name="_Toc184312113"/>
      <w:bookmarkEnd w:id="370"/>
      <w:bookmarkStart w:id="371" w:name="_Toc184312128"/>
      <w:bookmarkEnd w:id="371"/>
      <w:bookmarkStart w:id="372" w:name="_Toc184312094"/>
      <w:bookmarkEnd w:id="372"/>
      <w:bookmarkStart w:id="373" w:name="_Toc184310332"/>
      <w:bookmarkEnd w:id="373"/>
      <w:bookmarkStart w:id="374" w:name="_Toc184310321"/>
      <w:bookmarkEnd w:id="374"/>
      <w:bookmarkStart w:id="375" w:name="_Toc184314449"/>
      <w:bookmarkEnd w:id="375"/>
      <w:bookmarkStart w:id="376" w:name="_Toc184314442"/>
      <w:bookmarkEnd w:id="376"/>
      <w:bookmarkStart w:id="377" w:name="_Toc184314457"/>
      <w:bookmarkEnd w:id="377"/>
      <w:bookmarkStart w:id="378" w:name="_Toc184308105"/>
      <w:bookmarkEnd w:id="378"/>
      <w:bookmarkStart w:id="379" w:name="_Toc184314475"/>
      <w:bookmarkEnd w:id="379"/>
      <w:bookmarkStart w:id="380" w:name="_Toc184312116"/>
      <w:bookmarkEnd w:id="380"/>
      <w:bookmarkStart w:id="381" w:name="_Toc184313261"/>
      <w:bookmarkEnd w:id="381"/>
      <w:bookmarkStart w:id="382" w:name="_Toc184308051"/>
      <w:bookmarkEnd w:id="382"/>
      <w:bookmarkStart w:id="383" w:name="_Toc184314412"/>
      <w:bookmarkEnd w:id="383"/>
      <w:bookmarkStart w:id="384" w:name="_Toc184310333"/>
      <w:bookmarkEnd w:id="384"/>
      <w:bookmarkStart w:id="385" w:name="_Toc184313250"/>
      <w:bookmarkEnd w:id="385"/>
      <w:r>
        <w:rPr>
          <w:rFonts w:hint="eastAsia" w:cs="宋体" w:asciiTheme="minorEastAsia" w:hAnsiTheme="minorEastAsia" w:eastAsiaTheme="minorEastAsia"/>
          <w:b/>
          <w:sz w:val="36"/>
          <w:szCs w:val="36"/>
        </w:rPr>
        <w:t>评标办法</w:t>
      </w:r>
    </w:p>
    <w:p>
      <w:pPr>
        <w:spacing w:afterLines="50" w:line="36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pPr>
        <w:widowControl/>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（一）价格分（30分）</w:t>
      </w:r>
    </w:p>
    <w:p>
      <w:pPr>
        <w:autoSpaceDE w:val="0"/>
        <w:autoSpaceDN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、价格分采用低价优先法计算，即满足招标文件要求且投标价格最低的投标报价为评标基准价，其他投标人的价格分按照下列公式计算：</w:t>
      </w:r>
    </w:p>
    <w:p>
      <w:pPr>
        <w:autoSpaceDE w:val="0"/>
        <w:autoSpaceDN w:val="0"/>
        <w:spacing w:line="360" w:lineRule="auto"/>
        <w:ind w:firstLine="437"/>
        <w:rPr>
          <w:rFonts w:asciiTheme="minorEastAsia" w:hAnsiTheme="minorEastAsia" w:eastAsiaTheme="minorEastAsia"/>
          <w:color w:val="0000FF"/>
          <w:sz w:val="24"/>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投标报价）×30</w:t>
      </w:r>
    </w:p>
    <w:p>
      <w:pPr>
        <w:autoSpaceDE w:val="0"/>
        <w:autoSpaceDN w:val="0"/>
        <w:spacing w:line="360" w:lineRule="auto"/>
        <w:ind w:left="359" w:leftChars="171" w:firstLine="76" w:firstLineChars="32"/>
        <w:rPr>
          <w:rFonts w:hint="eastAsia" w:cs="宋体" w:asciiTheme="minorEastAsia" w:hAnsiTheme="minorEastAsia" w:eastAsiaTheme="minorEastAsia"/>
          <w:b/>
          <w:bCs/>
          <w:sz w:val="24"/>
          <w:lang w:eastAsia="zh-CN"/>
        </w:rPr>
      </w:pPr>
      <w:r>
        <w:rPr>
          <w:rFonts w:hint="eastAsia" w:asciiTheme="minorEastAsia" w:hAnsiTheme="minorEastAsia" w:eastAsiaTheme="minorEastAsia"/>
          <w:sz w:val="24"/>
          <w:lang w:val="zh-CN"/>
        </w:rPr>
        <w:t>2、</w:t>
      </w: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投标人的投标报价超过设定的上限价的作为无效标处理。</w:t>
      </w:r>
      <w:r>
        <w:rPr>
          <w:rFonts w:hint="eastAsia" w:cs="宋体" w:asciiTheme="minorEastAsia" w:hAnsiTheme="minorEastAsia" w:eastAsiaTheme="minorEastAsia"/>
          <w:b/>
          <w:bCs/>
          <w:sz w:val="24"/>
        </w:rPr>
        <w:t>本项目最高限价为：</w:t>
      </w:r>
      <w:r>
        <w:rPr>
          <w:rFonts w:hint="eastAsia" w:cs="宋体" w:asciiTheme="minorEastAsia" w:hAnsiTheme="minorEastAsia" w:eastAsiaTheme="minorEastAsia"/>
          <w:b/>
          <w:bCs/>
          <w:color w:val="FF0000"/>
          <w:sz w:val="24"/>
          <w:u w:val="single"/>
          <w:lang w:eastAsia="zh-CN"/>
        </w:rPr>
        <w:t>265.8595万元</w:t>
      </w:r>
    </w:p>
    <w:p>
      <w:pPr>
        <w:autoSpaceDE w:val="0"/>
        <w:autoSpaceDN w:val="0"/>
        <w:spacing w:line="360" w:lineRule="auto"/>
        <w:ind w:firstLine="437"/>
        <w:rPr>
          <w:rFonts w:asciiTheme="minorEastAsia" w:hAnsiTheme="minorEastAsia" w:eastAsiaTheme="minorEastAsia"/>
          <w:color w:val="0000FF"/>
          <w:sz w:val="24"/>
        </w:rPr>
      </w:pPr>
      <w:r>
        <w:rPr>
          <w:rFonts w:hint="eastAsia" w:cs="宋体" w:asciiTheme="minorEastAsia" w:hAnsiTheme="minorEastAsia" w:eastAsiaTheme="minorEastAsia"/>
          <w:sz w:val="24"/>
        </w:rPr>
        <w:t>3、报价是中标的一个重要因素，但最低报价不是中标的唯一依据。</w:t>
      </w:r>
    </w:p>
    <w:p>
      <w:pPr>
        <w:widowControl/>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（二）商务技术分（70分）</w:t>
      </w:r>
    </w:p>
    <w:p>
      <w:pPr>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注：商务技术分的计算</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商务技术分按照评标委员会成员的独立评分结果汇总数,以算术平均分计算，计算公式为：</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商务技术分=（评标委员会所有成员评分合计数）/（评标委员会组成人员数）</w:t>
      </w:r>
    </w:p>
    <w:p>
      <w:pPr>
        <w:spacing w:line="360" w:lineRule="auto"/>
        <w:ind w:firstLine="482" w:firstLineChars="200"/>
        <w:jc w:val="center"/>
        <w:rPr>
          <w:lang w:val="zh-CN"/>
        </w:rPr>
      </w:pPr>
      <w:r>
        <w:rPr>
          <w:rFonts w:hint="eastAsia" w:asciiTheme="minorEastAsia" w:hAnsiTheme="minorEastAsia" w:eastAsiaTheme="minorEastAsia"/>
          <w:b/>
          <w:sz w:val="24"/>
          <w:lang w:val="zh-CN"/>
        </w:rPr>
        <w:t>评标办法前附表</w:t>
      </w:r>
    </w:p>
    <w:tbl>
      <w:tblPr>
        <w:tblStyle w:val="62"/>
        <w:tblpPr w:leftFromText="180" w:rightFromText="180" w:vertAnchor="text" w:horzAnchor="page" w:tblpX="1006" w:tblpY="588"/>
        <w:tblW w:w="54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6140"/>
        <w:gridCol w:w="852"/>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55" w:type="pct"/>
            <w:vAlign w:val="center"/>
          </w:tcPr>
          <w:p>
            <w:pPr>
              <w:jc w:val="center"/>
              <w:outlineLvl w:val="0"/>
              <w:rPr>
                <w:rFonts w:cs="FangSong_GB2312" w:asciiTheme="minorEastAsia" w:hAnsiTheme="minorEastAsia" w:eastAsiaTheme="minorEastAsia"/>
                <w:bCs/>
                <w:color w:val="000000" w:themeColor="text1"/>
                <w:sz w:val="24"/>
                <w14:textFill>
                  <w14:solidFill>
                    <w14:schemeClr w14:val="tx1"/>
                  </w14:solidFill>
                </w14:textFill>
              </w:rPr>
            </w:pPr>
            <w:bookmarkStart w:id="386" w:name="_Toc92901616"/>
            <w:r>
              <w:rPr>
                <w:rFonts w:hint="eastAsia" w:cs="FangSong_GB2312" w:asciiTheme="minorEastAsia" w:hAnsiTheme="minorEastAsia" w:eastAsiaTheme="minorEastAsia"/>
                <w:bCs/>
                <w:color w:val="000000" w:themeColor="text1"/>
                <w:sz w:val="24"/>
                <w14:textFill>
                  <w14:solidFill>
                    <w14:schemeClr w14:val="tx1"/>
                  </w14:solidFill>
                </w14:textFill>
              </w:rPr>
              <w:t>序号</w:t>
            </w:r>
            <w:bookmarkEnd w:id="386"/>
          </w:p>
        </w:tc>
        <w:tc>
          <w:tcPr>
            <w:tcW w:w="3057" w:type="pct"/>
            <w:vAlign w:val="center"/>
          </w:tcPr>
          <w:p>
            <w:pPr>
              <w:ind w:firstLine="1560" w:firstLineChars="650"/>
              <w:jc w:val="center"/>
              <w:outlineLvl w:val="0"/>
              <w:rPr>
                <w:rFonts w:cs="FangSong_GB2312" w:asciiTheme="minorEastAsia" w:hAnsiTheme="minorEastAsia" w:eastAsiaTheme="minorEastAsia"/>
                <w:bCs/>
                <w:color w:val="000000" w:themeColor="text1"/>
                <w:sz w:val="24"/>
                <w14:textFill>
                  <w14:solidFill>
                    <w14:schemeClr w14:val="tx1"/>
                  </w14:solidFill>
                </w14:textFill>
              </w:rPr>
            </w:pPr>
            <w:bookmarkStart w:id="387" w:name="_Toc92901617"/>
            <w:r>
              <w:rPr>
                <w:rFonts w:hint="eastAsia" w:cs="FangSong_GB2312" w:asciiTheme="minorEastAsia" w:hAnsiTheme="minorEastAsia" w:eastAsiaTheme="minorEastAsia"/>
                <w:bCs/>
                <w:color w:val="000000" w:themeColor="text1"/>
                <w:sz w:val="24"/>
                <w14:textFill>
                  <w14:solidFill>
                    <w14:schemeClr w14:val="tx1"/>
                  </w14:solidFill>
                </w14:textFill>
              </w:rPr>
              <w:t>评标标准</w:t>
            </w:r>
            <w:bookmarkEnd w:id="387"/>
          </w:p>
        </w:tc>
        <w:tc>
          <w:tcPr>
            <w:tcW w:w="424" w:type="pct"/>
            <w:vAlign w:val="center"/>
          </w:tcPr>
          <w:p>
            <w:pPr>
              <w:jc w:val="center"/>
              <w:outlineLvl w:val="0"/>
              <w:rPr>
                <w:rFonts w:cs="FangSong_GB2312" w:asciiTheme="minorEastAsia" w:hAnsiTheme="minorEastAsia" w:eastAsiaTheme="minorEastAsia"/>
                <w:bCs/>
                <w:color w:val="000000" w:themeColor="text1"/>
                <w:sz w:val="24"/>
                <w14:textFill>
                  <w14:solidFill>
                    <w14:schemeClr w14:val="tx1"/>
                  </w14:solidFill>
                </w14:textFill>
              </w:rPr>
            </w:pPr>
            <w:r>
              <w:rPr>
                <w:rFonts w:hint="eastAsia" w:cs="FangSong_GB2312" w:asciiTheme="minorEastAsia" w:hAnsiTheme="minorEastAsia" w:eastAsiaTheme="minorEastAsia"/>
                <w:bCs/>
                <w:color w:val="000000" w:themeColor="text1"/>
                <w:sz w:val="24"/>
                <w14:textFill>
                  <w14:solidFill>
                    <w14:schemeClr w14:val="tx1"/>
                  </w14:solidFill>
                </w14:textFill>
              </w:rPr>
              <w:t>分值</w:t>
            </w:r>
          </w:p>
        </w:tc>
        <w:tc>
          <w:tcPr>
            <w:tcW w:w="1062" w:type="pct"/>
            <w:vAlign w:val="center"/>
          </w:tcPr>
          <w:p>
            <w:pPr>
              <w:jc w:val="center"/>
              <w:outlineLvl w:val="0"/>
              <w:rPr>
                <w:rFonts w:cs="FangSong_GB2312" w:asciiTheme="minorEastAsia" w:hAnsiTheme="minorEastAsia" w:eastAsiaTheme="minorEastAsia"/>
                <w:bCs/>
                <w:color w:val="000000" w:themeColor="text1"/>
                <w:sz w:val="24"/>
                <w14:textFill>
                  <w14:solidFill>
                    <w14:schemeClr w14:val="tx1"/>
                  </w14:solidFill>
                </w14:textFill>
              </w:rPr>
            </w:pPr>
            <w:bookmarkStart w:id="388" w:name="_Toc92901619"/>
            <w:r>
              <w:rPr>
                <w:rFonts w:hint="eastAsia" w:cs="FangSong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r>
              <w:rPr>
                <w:rFonts w:cs="宋体" w:asciiTheme="minorEastAsia" w:hAnsiTheme="minorEastAsia" w:eastAsiaTheme="minorEastAsia"/>
                <w:color w:val="000000" w:themeColor="text1"/>
                <w:sz w:val="24"/>
                <w:shd w:val="clear" w:color="auto" w:fill="FFFFFF"/>
                <w14:textFill>
                  <w14:solidFill>
                    <w14:schemeClr w14:val="tx1"/>
                  </w14:solidFill>
                </w14:textFill>
              </w:rPr>
              <w:t> </w:t>
            </w:r>
            <w:r>
              <w:rPr>
                <w:rFonts w:cs="Arial" w:asciiTheme="minorEastAsia" w:hAnsiTheme="minorEastAsia" w:eastAsiaTheme="minorEastAsia"/>
                <w:color w:val="000000" w:themeColor="text1"/>
                <w:sz w:val="24"/>
                <w:shd w:val="clear" w:color="auto" w:fill="FFFFFF"/>
                <w14:textFill>
                  <w14:solidFill>
                    <w14:schemeClr w14:val="tx1"/>
                  </w14:solidFill>
                </w14:textFill>
              </w:rPr>
              <w:t>*</w:t>
            </w:r>
            <w:bookmarkEnd w:id="3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55" w:type="pct"/>
            <w:vMerge w:val="restar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3057" w:type="pct"/>
            <w:vAlign w:val="center"/>
          </w:tcPr>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提供具有资质或其他通过国家计量认证的检测机构出具的202</w:t>
            </w: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年1月以后的产品质量检测报告1份（含）以上（复印件加盖公章，本企业送检除外），以此报告为准进行打分，未提供的不得分(检测报告中的内容符合农业部NY/T525-2021《有机肥料》产品质量标准）。</w:t>
            </w:r>
          </w:p>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其中：</w:t>
            </w:r>
          </w:p>
          <w:p>
            <w:pPr>
              <w:numPr>
                <w:ilvl w:val="0"/>
                <w:numId w:val="1"/>
              </w:numPr>
              <w:adjustRightInd/>
              <w:rPr>
                <w:rFonts w:asciiTheme="minorEastAsia" w:hAnsiTheme="minorEastAsia" w:eastAsiaTheme="minorEastAsia"/>
                <w:color w:val="auto"/>
                <w:sz w:val="24"/>
              </w:rPr>
            </w:pPr>
            <w:r>
              <w:rPr>
                <w:rFonts w:hint="eastAsia" w:asciiTheme="minorEastAsia" w:hAnsiTheme="minorEastAsia" w:eastAsiaTheme="minorEastAsia"/>
                <w:color w:val="auto"/>
                <w:sz w:val="24"/>
              </w:rPr>
              <w:t>有机肥中氮、磷、钾总养分≥4.0%，得</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分；</w:t>
            </w:r>
          </w:p>
          <w:p>
            <w:pPr>
              <w:numPr>
                <w:ilvl w:val="0"/>
                <w:numId w:val="1"/>
              </w:numPr>
              <w:adjustRightInd/>
              <w:rPr>
                <w:rFonts w:asciiTheme="minorEastAsia" w:hAnsiTheme="minorEastAsia" w:eastAsiaTheme="minorEastAsia"/>
                <w:color w:val="auto"/>
                <w:sz w:val="24"/>
              </w:rPr>
            </w:pPr>
            <w:r>
              <w:rPr>
                <w:rFonts w:hint="eastAsia" w:asciiTheme="minorEastAsia" w:hAnsiTheme="minorEastAsia" w:eastAsiaTheme="minorEastAsia"/>
                <w:color w:val="auto"/>
                <w:sz w:val="24"/>
              </w:rPr>
              <w:t>有机质≥30.0%，得</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分；</w:t>
            </w:r>
          </w:p>
          <w:p>
            <w:pPr>
              <w:numPr>
                <w:ilvl w:val="0"/>
                <w:numId w:val="1"/>
              </w:numPr>
              <w:adjustRightInd/>
              <w:rPr>
                <w:rFonts w:asciiTheme="minorEastAsia" w:hAnsiTheme="minorEastAsia" w:eastAsiaTheme="minorEastAsia"/>
                <w:color w:val="auto"/>
                <w:sz w:val="24"/>
              </w:rPr>
            </w:pPr>
            <w:r>
              <w:rPr>
                <w:rFonts w:hint="eastAsia" w:asciiTheme="minorEastAsia" w:hAnsiTheme="minorEastAsia" w:eastAsiaTheme="minorEastAsia"/>
                <w:color w:val="auto"/>
                <w:sz w:val="24"/>
              </w:rPr>
              <w:t>含水量≤30.0%，得</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分；</w:t>
            </w:r>
          </w:p>
          <w:p>
            <w:pPr>
              <w:numPr>
                <w:ilvl w:val="0"/>
                <w:numId w:val="1"/>
              </w:numPr>
              <w:adjustRightInd/>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pH值在5.5-8.5之间，得2分；</w:t>
            </w:r>
          </w:p>
          <w:p>
            <w:pPr>
              <w:numPr>
                <w:ilvl w:val="0"/>
                <w:numId w:val="1"/>
              </w:numPr>
              <w:adjustRightInd/>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种子发芽指数（GI)≥70,得2分</w:t>
            </w:r>
          </w:p>
          <w:p>
            <w:pPr>
              <w:numPr>
                <w:ilvl w:val="0"/>
                <w:numId w:val="1"/>
              </w:numPr>
              <w:adjustRightInd/>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机械杂质的质量分数（%）≤0.5；得2分</w:t>
            </w:r>
          </w:p>
          <w:p>
            <w:pPr>
              <w:numPr>
                <w:ilvl w:val="0"/>
                <w:numId w:val="1"/>
              </w:numPr>
              <w:adjustRightInd/>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重金属总砷≤15mg\kg、总汞≤2mg\kg、总铅≤50mg\kg、总镉≤3mg\kg、总铬≤150mg\kg，得5分；</w:t>
            </w:r>
          </w:p>
          <w:p>
            <w:pPr>
              <w:numPr>
                <w:ilvl w:val="0"/>
                <w:numId w:val="1"/>
              </w:numPr>
              <w:adjustRightInd/>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粪大肠菌群≤100个\g，得2分；</w:t>
            </w:r>
          </w:p>
          <w:p>
            <w:pPr>
              <w:numPr>
                <w:ilvl w:val="0"/>
                <w:numId w:val="1"/>
              </w:numPr>
              <w:adjustRightInd/>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蛔虫卵死亡率≥95%）,得1分。</w:t>
            </w:r>
          </w:p>
          <w:p>
            <w:pPr>
              <w:outlineLvl w:val="0"/>
              <w:rPr>
                <w:rFonts w:cs="FangSong_GB2312" w:asciiTheme="minorEastAsia" w:hAnsiTheme="minorEastAsia" w:eastAsiaTheme="minorEastAsia"/>
                <w:color w:val="000000" w:themeColor="text1"/>
                <w:sz w:val="24"/>
                <w14:textFill>
                  <w14:solidFill>
                    <w14:schemeClr w14:val="tx1"/>
                  </w14:solidFill>
                </w14:textFill>
              </w:rPr>
            </w:pPr>
            <w:bookmarkStart w:id="389" w:name="_Toc92901620"/>
            <w:r>
              <w:rPr>
                <w:rFonts w:hint="eastAsia" w:asciiTheme="minorEastAsia" w:hAnsiTheme="minorEastAsia" w:eastAsiaTheme="minorEastAsia"/>
                <w:color w:val="000000" w:themeColor="text1"/>
                <w:sz w:val="24"/>
                <w14:textFill>
                  <w14:solidFill>
                    <w14:schemeClr w14:val="tx1"/>
                  </w14:solidFill>
                </w14:textFill>
              </w:rPr>
              <w:t>注：检测报告中的指标须符合农业部NY/T525-2021《有机肥料》产品质量标准要求，且性能指标及技术参数属负偏离或缺漏项，该项不得分。</w:t>
            </w:r>
            <w:bookmarkEnd w:id="389"/>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分</w:t>
            </w:r>
          </w:p>
        </w:tc>
        <w:tc>
          <w:tcPr>
            <w:tcW w:w="1062" w:type="pct"/>
            <w:vMerge w:val="restar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产品指标参数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pct"/>
            <w:vMerge w:val="continue"/>
            <w:vAlign w:val="center"/>
          </w:tcPr>
          <w:p>
            <w:pPr>
              <w:jc w:val="center"/>
              <w:rPr>
                <w:rFonts w:asciiTheme="minorEastAsia" w:hAnsiTheme="minorEastAsia" w:eastAsiaTheme="minorEastAsia"/>
                <w:color w:val="000000" w:themeColor="text1"/>
                <w:sz w:val="24"/>
                <w14:textFill>
                  <w14:solidFill>
                    <w14:schemeClr w14:val="tx1"/>
                  </w14:solidFill>
                </w14:textFill>
              </w:rPr>
            </w:pPr>
          </w:p>
        </w:tc>
        <w:tc>
          <w:tcPr>
            <w:tcW w:w="3057" w:type="pct"/>
            <w:vAlign w:val="center"/>
          </w:tcPr>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产品原料为畜禽粪便，且含量≥60%的得</w:t>
            </w:r>
            <w:r>
              <w:rPr>
                <w:rFonts w:asciiTheme="minorEastAsia" w:hAnsiTheme="minorEastAsia" w:eastAsiaTheme="minorEastAsia"/>
                <w:color w:val="000000" w:themeColor="text1"/>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分；含量每减10%，扣2分，扣完为止。（需提供主管单位证明材料，未提供的不得分）</w:t>
            </w:r>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6分</w:t>
            </w:r>
          </w:p>
        </w:tc>
        <w:tc>
          <w:tcPr>
            <w:tcW w:w="1062" w:type="pct"/>
            <w:vMerge w:val="continue"/>
            <w:vAlign w:val="center"/>
          </w:tcPr>
          <w:p>
            <w:pPr>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5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p>
        </w:tc>
        <w:tc>
          <w:tcPr>
            <w:tcW w:w="3057" w:type="pct"/>
            <w:vAlign w:val="center"/>
          </w:tcPr>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根据投标人年有机肥实际生产量、投标产品实际供货能力、生产工艺进行评审。</w:t>
            </w:r>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分</w:t>
            </w:r>
          </w:p>
        </w:tc>
        <w:tc>
          <w:tcPr>
            <w:tcW w:w="106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5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3057" w:type="pct"/>
            <w:vAlign w:val="center"/>
          </w:tcPr>
          <w:p>
            <w:pP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根据投标人提供的组织方案及实施人员的资源安排合理性、科学性打分。</w:t>
            </w:r>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分</w:t>
            </w:r>
          </w:p>
        </w:tc>
        <w:tc>
          <w:tcPr>
            <w:tcW w:w="106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3057" w:type="pct"/>
            <w:vAlign w:val="center"/>
          </w:tcPr>
          <w:p>
            <w:pPr>
              <w:pStyle w:val="35"/>
              <w:snapToGrid w:val="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投标人具有在接到采购人通知后</w:t>
            </w:r>
            <w:r>
              <w:rPr>
                <w:rFonts w:asciiTheme="minorEastAsia" w:hAnsiTheme="minorEastAsia" w:eastAsiaTheme="minorEastAsia"/>
                <w:bCs/>
                <w:color w:val="000000" w:themeColor="text1"/>
                <w:sz w:val="24"/>
                <w:szCs w:val="24"/>
                <w14:textFill>
                  <w14:solidFill>
                    <w14:schemeClr w14:val="tx1"/>
                  </w14:solidFill>
                </w14:textFill>
              </w:rPr>
              <w:t>1</w:t>
            </w:r>
            <w:r>
              <w:rPr>
                <w:rFonts w:hint="eastAsia" w:asciiTheme="minorEastAsia" w:hAnsiTheme="minorEastAsia" w:eastAsiaTheme="minorEastAsia"/>
                <w:bCs/>
                <w:color w:val="000000" w:themeColor="text1"/>
                <w:sz w:val="24"/>
                <w:szCs w:val="24"/>
                <w14:textFill>
                  <w14:solidFill>
                    <w14:schemeClr w14:val="tx1"/>
                  </w14:solidFill>
                </w14:textFill>
              </w:rPr>
              <w:t>小时内能供货到施用点（以采购人单位为准），得</w:t>
            </w:r>
            <w:r>
              <w:rPr>
                <w:rFonts w:hint="eastAsia" w:asciiTheme="minorEastAsia" w:hAnsiTheme="minorEastAsia" w:eastAsiaTheme="minorEastAsia"/>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bCs/>
                <w:color w:val="000000" w:themeColor="text1"/>
                <w:sz w:val="24"/>
                <w:szCs w:val="24"/>
                <w14:textFill>
                  <w14:solidFill>
                    <w14:schemeClr w14:val="tx1"/>
                  </w14:solidFill>
                </w14:textFill>
              </w:rPr>
              <w:t>分；</w:t>
            </w:r>
            <w:r>
              <w:rPr>
                <w:rFonts w:asciiTheme="minorEastAsia" w:hAnsiTheme="minorEastAsia" w:eastAsiaTheme="minorEastAsia"/>
                <w:bCs/>
                <w:color w:val="000000" w:themeColor="text1"/>
                <w:sz w:val="24"/>
                <w:szCs w:val="24"/>
                <w14:textFill>
                  <w14:solidFill>
                    <w14:schemeClr w14:val="tx1"/>
                  </w14:solidFill>
                </w14:textFill>
              </w:rPr>
              <w:t>2</w:t>
            </w:r>
            <w:r>
              <w:rPr>
                <w:rFonts w:hint="eastAsia" w:asciiTheme="minorEastAsia" w:hAnsiTheme="minorEastAsia" w:eastAsiaTheme="minorEastAsia"/>
                <w:bCs/>
                <w:color w:val="000000" w:themeColor="text1"/>
                <w:sz w:val="24"/>
                <w:szCs w:val="24"/>
                <w14:textFill>
                  <w14:solidFill>
                    <w14:schemeClr w14:val="tx1"/>
                  </w14:solidFill>
                </w14:textFill>
              </w:rPr>
              <w:t>小时内能供货到施用点的，得3分；</w:t>
            </w:r>
            <w:r>
              <w:rPr>
                <w:rFonts w:asciiTheme="minorEastAsia" w:hAnsiTheme="minorEastAsia" w:eastAsiaTheme="minorEastAsia"/>
                <w:bCs/>
                <w:color w:val="000000" w:themeColor="text1"/>
                <w:sz w:val="24"/>
                <w:szCs w:val="24"/>
                <w14:textFill>
                  <w14:solidFill>
                    <w14:schemeClr w14:val="tx1"/>
                  </w14:solidFill>
                </w14:textFill>
              </w:rPr>
              <w:t>3</w:t>
            </w:r>
            <w:r>
              <w:rPr>
                <w:rFonts w:hint="eastAsia" w:asciiTheme="minorEastAsia" w:hAnsiTheme="minorEastAsia" w:eastAsiaTheme="minorEastAsia"/>
                <w:bCs/>
                <w:color w:val="000000" w:themeColor="text1"/>
                <w:sz w:val="24"/>
                <w:szCs w:val="24"/>
                <w14:textFill>
                  <w14:solidFill>
                    <w14:schemeClr w14:val="tx1"/>
                  </w14:solidFill>
                </w14:textFill>
              </w:rPr>
              <w:t>小时内能供货到施用点的，得1分；其余不得分。</w:t>
            </w:r>
          </w:p>
          <w:p>
            <w:pPr>
              <w:spacing w:line="360" w:lineRule="auto"/>
              <w:outlineLvl w:val="0"/>
              <w:rPr>
                <w:rFonts w:cs="FangSong_GB2312" w:asciiTheme="minorEastAsia" w:hAnsiTheme="minorEastAsia" w:eastAsiaTheme="minorEastAsia"/>
                <w:color w:val="000000" w:themeColor="text1"/>
                <w:sz w:val="24"/>
                <w14:textFill>
                  <w14:solidFill>
                    <w14:schemeClr w14:val="tx1"/>
                  </w14:solidFill>
                </w14:textFill>
              </w:rPr>
            </w:pPr>
            <w:bookmarkStart w:id="390" w:name="_Toc92901621"/>
            <w:r>
              <w:rPr>
                <w:rFonts w:hint="eastAsia" w:asciiTheme="minorEastAsia" w:hAnsiTheme="minorEastAsia" w:eastAsiaTheme="minorEastAsia"/>
                <w:bCs/>
                <w:color w:val="000000" w:themeColor="text1"/>
                <w:sz w:val="24"/>
                <w14:textFill>
                  <w14:solidFill>
                    <w14:schemeClr w14:val="tx1"/>
                  </w14:solidFill>
                </w14:textFill>
              </w:rPr>
              <w:t>提供投标人地址至施用点的导航图，不提供的不得分。</w:t>
            </w:r>
            <w:bookmarkEnd w:id="390"/>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分</w:t>
            </w:r>
          </w:p>
        </w:tc>
        <w:tc>
          <w:tcPr>
            <w:tcW w:w="106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供货及时性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5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3057" w:type="pct"/>
            <w:vAlign w:val="center"/>
          </w:tcPr>
          <w:p>
            <w:pPr>
              <w:pStyle w:val="35"/>
              <w:snapToGrid w:val="0"/>
              <w:rPr>
                <w:rFonts w:asciiTheme="minorEastAsia" w:hAnsiTheme="minorEastAsia" w:eastAsiaTheme="minorEastAsia"/>
                <w:color w:val="000000" w:themeColor="text1"/>
                <w:sz w:val="24"/>
                <w14:textFill>
                  <w14:solidFill>
                    <w14:schemeClr w14:val="tx1"/>
                  </w14:solidFill>
                </w14:textFill>
              </w:rPr>
            </w:pPr>
            <w:bookmarkStart w:id="391" w:name="_Toc92901622"/>
            <w:r>
              <w:rPr>
                <w:rFonts w:hint="eastAsia" w:cs="Times New Roman" w:asciiTheme="minorEastAsia" w:hAnsiTheme="minorEastAsia" w:eastAsiaTheme="minorEastAsia"/>
                <w:bCs/>
                <w:snapToGrid/>
                <w:color w:val="000000" w:themeColor="text1"/>
                <w:sz w:val="24"/>
                <w:szCs w:val="24"/>
                <w14:textFill>
                  <w14:solidFill>
                    <w14:schemeClr w14:val="tx1"/>
                  </w14:solidFill>
                </w14:textFill>
              </w:rPr>
              <w:t>提供的主要原料生产来源，有利于处理桐庐县县域内畜禽养殖场粪便的，与当地规模养殖企业（存栏生猪600头以上，存栏肉、蛋鸡5000羽以上）签订畜禽粪便消纳合同，且每年消纳处理畜禽粪便200吨以上（0-10分），每提供一个原料采购合同并实际履行的得2分，最高得10分；提供其他地区的不得分。（须提供原料采购合同且服务期在有效期内的，以及处理畜禽粪便的印证材料，如服务费用流水、本地主管部门证明等形式提供，未提供的不得分）。</w:t>
            </w:r>
            <w:bookmarkEnd w:id="391"/>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10分</w:t>
            </w:r>
          </w:p>
        </w:tc>
        <w:tc>
          <w:tcPr>
            <w:tcW w:w="106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主要生产原料来源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5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3057" w:type="pct"/>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根据投标单位提供的质量管理制度、质量检验制度、质量控制情况等内容进行评审。</w:t>
            </w:r>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5分</w:t>
            </w:r>
          </w:p>
        </w:tc>
        <w:tc>
          <w:tcPr>
            <w:tcW w:w="106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质量保障制度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55"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c>
          <w:tcPr>
            <w:tcW w:w="3057" w:type="pct"/>
            <w:vAlign w:val="center"/>
          </w:tcPr>
          <w:p>
            <w:pP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包括服务技术指导、有机肥施用指导及施用服务方案、有机肥保存方案、培训方案等。</w:t>
            </w:r>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5分</w:t>
            </w:r>
          </w:p>
        </w:tc>
        <w:tc>
          <w:tcPr>
            <w:tcW w:w="106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55" w:type="pct"/>
            <w:vAlign w:val="center"/>
          </w:tcPr>
          <w:p>
            <w:pPr>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8</w:t>
            </w:r>
          </w:p>
        </w:tc>
        <w:tc>
          <w:tcPr>
            <w:tcW w:w="3057" w:type="pct"/>
            <w:vAlign w:val="center"/>
          </w:tcPr>
          <w:p>
            <w:pPr>
              <w:rPr>
                <w:rFonts w:asciiTheme="minorEastAsia" w:hAnsiTheme="minorEastAsia" w:eastAsiaTheme="minorEastAsia"/>
                <w:bCs/>
                <w:color w:val="000000" w:themeColor="text1"/>
                <w:sz w:val="24"/>
                <w14:textFill>
                  <w14:solidFill>
                    <w14:schemeClr w14:val="tx1"/>
                  </w14:solidFill>
                </w14:textFill>
              </w:rPr>
            </w:pPr>
            <w:r>
              <w:rPr>
                <w:rFonts w:hint="eastAsia" w:cs="Times New Roman" w:asciiTheme="minorEastAsia" w:hAnsiTheme="minorEastAsia" w:eastAsiaTheme="minorEastAsia"/>
                <w:bCs/>
                <w:color w:val="000000" w:themeColor="text1"/>
                <w:sz w:val="24"/>
                <w14:textFill>
                  <w14:solidFill>
                    <w14:schemeClr w14:val="tx1"/>
                  </w14:solidFill>
                </w14:textFill>
              </w:rPr>
              <w:t>投标人自20</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20</w:t>
            </w:r>
            <w:r>
              <w:rPr>
                <w:rFonts w:hint="eastAsia" w:cs="Times New Roman" w:asciiTheme="minorEastAsia" w:hAnsiTheme="minorEastAsia" w:eastAsiaTheme="minorEastAsia"/>
                <w:bCs/>
                <w:color w:val="000000" w:themeColor="text1"/>
                <w:sz w:val="24"/>
                <w14:textFill>
                  <w14:solidFill>
                    <w14:schemeClr w14:val="tx1"/>
                  </w14:solidFill>
                </w14:textFill>
              </w:rPr>
              <w:t>年1月1日以来完成过的同类项目业绩，每个得</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bCs/>
                <w:color w:val="000000" w:themeColor="text1"/>
                <w:sz w:val="24"/>
                <w14:textFill>
                  <w14:solidFill>
                    <w14:schemeClr w14:val="tx1"/>
                  </w14:solidFill>
                </w14:textFill>
              </w:rPr>
              <w:t>分，最高得</w:t>
            </w:r>
            <w:r>
              <w:rPr>
                <w:rFonts w:hint="eastAsia" w:cs="Times New Roman" w:asciiTheme="minorEastAsia" w:hAnsiTheme="minorEastAsia" w:eastAsiaTheme="minorEastAsia"/>
                <w:bCs/>
                <w:color w:val="000000" w:themeColor="text1"/>
                <w:sz w:val="24"/>
                <w:lang w:val="en-US" w:eastAsia="zh-CN"/>
                <w14:textFill>
                  <w14:solidFill>
                    <w14:schemeClr w14:val="tx1"/>
                  </w14:solidFill>
                </w14:textFill>
              </w:rPr>
              <w:t>3</w:t>
            </w:r>
            <w:r>
              <w:rPr>
                <w:rFonts w:hint="eastAsia" w:cs="Times New Roman" w:asciiTheme="minorEastAsia" w:hAnsiTheme="minorEastAsia" w:eastAsiaTheme="minorEastAsia"/>
                <w:bCs/>
                <w:color w:val="000000" w:themeColor="text1"/>
                <w:sz w:val="24"/>
                <w14:textFill>
                  <w14:solidFill>
                    <w14:schemeClr w14:val="tx1"/>
                  </w14:solidFill>
                </w14:textFill>
              </w:rPr>
              <w:t>分。</w:t>
            </w:r>
            <w:r>
              <w:rPr>
                <w:rFonts w:hint="eastAsia" w:asciiTheme="minorEastAsia" w:hAnsiTheme="minorEastAsia" w:eastAsiaTheme="minorEastAsia"/>
                <w:bCs/>
                <w:color w:val="000000" w:themeColor="text1"/>
                <w:sz w:val="24"/>
                <w14:textFill>
                  <w14:solidFill>
                    <w14:schemeClr w14:val="tx1"/>
                  </w14:solidFill>
                </w14:textFill>
              </w:rPr>
              <w:t>（须提供项目合同复印件）</w:t>
            </w:r>
          </w:p>
        </w:tc>
        <w:tc>
          <w:tcPr>
            <w:tcW w:w="424"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分</w:t>
            </w:r>
          </w:p>
        </w:tc>
        <w:tc>
          <w:tcPr>
            <w:tcW w:w="1062" w:type="pct"/>
            <w:vAlign w:val="center"/>
          </w:tcPr>
          <w:p>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类似业绩</w:t>
            </w:r>
          </w:p>
        </w:tc>
      </w:tr>
    </w:tbl>
    <w:p>
      <w:pPr>
        <w:spacing w:line="360" w:lineRule="auto"/>
        <w:ind w:firstLine="482" w:firstLineChars="200"/>
        <w:jc w:val="center"/>
        <w:rPr>
          <w:rFonts w:asciiTheme="minorEastAsia" w:hAnsiTheme="minorEastAsia" w:eastAsiaTheme="minorEastAsia"/>
          <w:b/>
          <w:sz w:val="24"/>
          <w:lang w:val="zh-CN"/>
        </w:rPr>
      </w:pP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0"/>
          <w:szCs w:val="20"/>
          <w:shd w:val="clear" w:color="auto" w:fill="FFFFFF"/>
        </w:rPr>
        <w:t> *</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二、评标标准</w:t>
      </w:r>
    </w:p>
    <w:p>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见第四部分评标办法。</w:t>
      </w:r>
    </w:p>
    <w:p>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129"/>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129"/>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4"/>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pPr>
        <w:pStyle w:val="27"/>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2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27"/>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p>
    <w:bookmarkEnd w:id="20"/>
    <w:p>
      <w:pPr>
        <w:spacing w:line="360" w:lineRule="auto"/>
        <w:jc w:val="center"/>
        <w:outlineLvl w:val="0"/>
        <w:rPr>
          <w:rFonts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92" w:name="第五部分"/>
      <w:bookmarkStart w:id="393" w:name="_Toc86217003"/>
    </w:p>
    <w:p>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spacing w:line="480" w:lineRule="auto"/>
        <w:rPr>
          <w:rFonts w:cs="宋体" w:asciiTheme="minorEastAsia" w:hAnsiTheme="minorEastAsia" w:eastAsiaTheme="minorEastAsia"/>
          <w:b/>
          <w:sz w:val="24"/>
        </w:rPr>
      </w:pP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（货物类）</w:t>
      </w:r>
    </w:p>
    <w:p>
      <w:pPr>
        <w:pStyle w:val="700"/>
        <w:rPr>
          <w:rFonts w:cs="宋体" w:asciiTheme="minorEastAsia" w:hAnsiTheme="minorEastAsia" w:eastAsiaTheme="minorEastAsia"/>
          <w:szCs w:val="24"/>
        </w:rPr>
      </w:pPr>
    </w:p>
    <w:p>
      <w:pPr>
        <w:pStyle w:val="700"/>
        <w:ind w:left="0" w:leftChars="0" w:firstLine="0" w:firstLineChars="0"/>
        <w:rPr>
          <w:rFonts w:cs="宋体" w:asciiTheme="minorEastAsia" w:hAnsiTheme="minorEastAsia" w:eastAsiaTheme="minorEastAsia"/>
          <w:szCs w:val="24"/>
        </w:rPr>
      </w:pPr>
    </w:p>
    <w:p>
      <w:pPr>
        <w:pStyle w:val="700"/>
        <w:ind w:firstLine="2843" w:firstLineChars="1180"/>
        <w:rPr>
          <w:rFonts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pPr>
        <w:pStyle w:val="700"/>
        <w:rPr>
          <w:rFonts w:cs="宋体" w:asciiTheme="minorEastAsia" w:hAnsiTheme="minorEastAsia" w:eastAsiaTheme="minorEastAsia"/>
          <w:szCs w:val="24"/>
        </w:rPr>
      </w:pPr>
    </w:p>
    <w:p>
      <w:pPr>
        <w:pStyle w:val="700"/>
        <w:rPr>
          <w:rFonts w:cs="宋体" w:asciiTheme="minorEastAsia" w:hAnsiTheme="minorEastAsia" w:eastAsiaTheme="minorEastAsia"/>
          <w:szCs w:val="24"/>
        </w:rPr>
      </w:pP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p>
      <w:pPr>
        <w:pStyle w:val="597"/>
        <w:spacing w:before="120" w:line="22" w:lineRule="atLeast"/>
        <w:rPr>
          <w:rFonts w:cs="宋体" w:asciiTheme="minorEastAsia" w:hAnsiTheme="minorEastAsia" w:eastAsiaTheme="minorEastAsia"/>
          <w:szCs w:val="24"/>
        </w:rPr>
      </w:pPr>
    </w:p>
    <w:p>
      <w:pPr>
        <w:pStyle w:val="597"/>
        <w:spacing w:before="120" w:line="22" w:lineRule="atLeast"/>
        <w:rPr>
          <w:rFonts w:cs="宋体" w:asciiTheme="minorEastAsia" w:hAnsiTheme="minorEastAsia" w:eastAsiaTheme="minorEastAsia"/>
          <w:szCs w:val="24"/>
        </w:rPr>
      </w:pPr>
    </w:p>
    <w:p>
      <w:pPr>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pPr>
        <w:widowControl/>
        <w:jc w:val="left"/>
        <w:rPr>
          <w:rFonts w:cs="宋体" w:asciiTheme="minorEastAsia" w:hAnsiTheme="minorEastAsia" w:eastAsiaTheme="minorEastAsia"/>
          <w:kern w:val="0"/>
          <w:sz w:val="24"/>
        </w:rPr>
        <w:sectPr>
          <w:pgSz w:w="11907" w:h="16840"/>
          <w:pgMar w:top="1440" w:right="1417" w:bottom="1440" w:left="1417" w:header="851" w:footer="850" w:gutter="0"/>
          <w:cols w:space="0" w:num="1"/>
        </w:sectPr>
      </w:pP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年月日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rPr>
        <w:t>以</w:t>
      </w:r>
      <w:r>
        <w:rPr>
          <w:rFonts w:hint="eastAsia" w:cs="宋体" w:asciiTheme="minorEastAsia" w:hAnsiTheme="minorEastAsia" w:eastAsiaTheme="minorEastAsia"/>
          <w:sz w:val="24"/>
          <w:u w:val="single"/>
        </w:rPr>
        <w:t xml:space="preserve">   （政府采购方式）  </w:t>
      </w:r>
      <w:r>
        <w:rPr>
          <w:rFonts w:hint="eastAsia" w:cs="宋体" w:asciiTheme="minorEastAsia" w:hAnsiTheme="minorEastAsia" w:eastAsiaTheme="minorEastAsia"/>
          <w:sz w:val="24"/>
        </w:rPr>
        <w:t>对</w:t>
      </w:r>
      <w:r>
        <w:rPr>
          <w:rFonts w:hint="eastAsia" w:cs="宋体" w:asciiTheme="minorEastAsia" w:hAnsiTheme="minorEastAsia" w:eastAsiaTheme="minorEastAsia"/>
          <w:sz w:val="24"/>
          <w:u w:val="single"/>
        </w:rPr>
        <w:t xml:space="preserve">   （项目名称）   </w:t>
      </w:r>
      <w:r>
        <w:rPr>
          <w:rFonts w:hint="eastAsia" w:cs="宋体" w:asciiTheme="minorEastAsia" w:hAnsiTheme="minorEastAsia" w:eastAsiaTheme="minorEastAsia"/>
          <w:sz w:val="24"/>
        </w:rPr>
        <w:t>项目进行了采购。经评定，</w:t>
      </w:r>
      <w:r>
        <w:rPr>
          <w:rFonts w:hint="eastAsia" w:cs="宋体" w:asciiTheme="minorEastAsia" w:hAnsiTheme="minorEastAsia" w:eastAsiaTheme="minorEastAsia"/>
          <w:sz w:val="24"/>
          <w:u w:val="single"/>
        </w:rPr>
        <w:t xml:space="preserve">   （中标供应商名称）</w:t>
      </w:r>
      <w:r>
        <w:rPr>
          <w:rFonts w:hint="eastAsia" w:cs="宋体"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lang w:val="zh-CN"/>
        </w:rPr>
        <w:t>(以下简称：甲方)和</w:t>
      </w:r>
      <w:r>
        <w:rPr>
          <w:rFonts w:hint="eastAsia" w:cs="宋体" w:asciiTheme="minorEastAsia" w:hAnsiTheme="minorEastAsia" w:eastAsiaTheme="minorEastAsia"/>
          <w:sz w:val="24"/>
          <w:u w:val="single"/>
        </w:rPr>
        <w:t xml:space="preserve">   （中标供应商名称）   </w:t>
      </w:r>
      <w:r>
        <w:rPr>
          <w:rFonts w:hint="eastAsia" w:cs="宋体" w:asciiTheme="minorEastAsia" w:hAnsiTheme="minorEastAsia" w:eastAsiaTheme="minorEastAsia"/>
          <w:sz w:val="24"/>
          <w:lang w:val="zh-CN"/>
        </w:rPr>
        <w:t>(以下简称：乙方)协商一致，约定以下合同</w:t>
      </w:r>
      <w:r>
        <w:rPr>
          <w:rFonts w:hint="eastAsia" w:cs="宋体" w:asciiTheme="minorEastAsia" w:hAnsiTheme="minorEastAsia" w:eastAsiaTheme="minorEastAsia"/>
          <w:sz w:val="24"/>
        </w:rPr>
        <w:t>条款，以兹共同遵守、全面履行。</w:t>
      </w:r>
    </w:p>
    <w:p>
      <w:pPr>
        <w:spacing w:line="560" w:lineRule="exact"/>
        <w:ind w:firstLine="482" w:firstLineChars="200"/>
        <w:outlineLvl w:val="0"/>
        <w:rPr>
          <w:rFonts w:ascii="宋体" w:hAnsi="宋体" w:cs="宋体"/>
          <w:b/>
          <w:sz w:val="24"/>
        </w:rPr>
      </w:pPr>
      <w:bookmarkStart w:id="394" w:name="_Toc2232"/>
      <w:bookmarkStart w:id="395" w:name="_Toc24059"/>
      <w:bookmarkStart w:id="396" w:name="_Toc3029"/>
      <w:r>
        <w:rPr>
          <w:rFonts w:hint="eastAsia" w:ascii="宋体" w:hAnsi="宋体" w:cs="宋体"/>
          <w:b/>
          <w:sz w:val="24"/>
        </w:rPr>
        <w:t>1.1 合同组成部分</w:t>
      </w:r>
      <w:bookmarkEnd w:id="394"/>
      <w:bookmarkEnd w:id="395"/>
      <w:bookmarkEnd w:id="396"/>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7" w:name="_Toc21295"/>
      <w:bookmarkStart w:id="398" w:name="_Toc27126"/>
      <w:bookmarkStart w:id="399" w:name="_Toc24300"/>
      <w:r>
        <w:rPr>
          <w:rFonts w:hint="eastAsia" w:ascii="宋体" w:hAnsi="宋体" w:cs="宋体"/>
          <w:b/>
          <w:sz w:val="24"/>
        </w:rPr>
        <w:t>1.2 货物</w:t>
      </w:r>
      <w:bookmarkEnd w:id="397"/>
      <w:bookmarkEnd w:id="398"/>
      <w:bookmarkEnd w:id="399"/>
    </w:p>
    <w:p>
      <w:pPr>
        <w:spacing w:line="560" w:lineRule="exact"/>
        <w:ind w:firstLine="480" w:firstLineChars="200"/>
        <w:rPr>
          <w:rFonts w:ascii="宋体" w:hAnsi="宋体" w:cs="宋体"/>
          <w:sz w:val="24"/>
          <w:u w:val="single"/>
        </w:rPr>
      </w:pPr>
      <w:r>
        <w:rPr>
          <w:rFonts w:hint="eastAsia" w:ascii="宋体" w:hAnsi="宋体" w:cs="宋体"/>
          <w:sz w:val="24"/>
        </w:rPr>
        <w:t>1.2.1 货物名称：；</w:t>
      </w:r>
    </w:p>
    <w:p>
      <w:pPr>
        <w:spacing w:line="560" w:lineRule="exact"/>
        <w:ind w:firstLine="480" w:firstLineChars="200"/>
        <w:rPr>
          <w:rFonts w:ascii="宋体" w:hAnsi="宋体" w:cs="宋体"/>
          <w:sz w:val="24"/>
          <w:u w:val="single"/>
        </w:rPr>
      </w:pPr>
      <w:r>
        <w:rPr>
          <w:rFonts w:hint="eastAsia" w:ascii="宋体" w:hAnsi="宋体" w:cs="宋体"/>
          <w:sz w:val="24"/>
        </w:rPr>
        <w:t>1.2.2 货物数量：；</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0" w:name="_Toc23292"/>
      <w:bookmarkStart w:id="401" w:name="_Toc21551"/>
      <w:bookmarkStart w:id="402" w:name="_Toc21631"/>
      <w:r>
        <w:rPr>
          <w:rFonts w:hint="eastAsia" w:ascii="宋体" w:hAnsi="宋体" w:cs="宋体"/>
          <w:b/>
          <w:sz w:val="24"/>
        </w:rPr>
        <w:t>1.3 价款</w:t>
      </w:r>
      <w:bookmarkEnd w:id="400"/>
      <w:bookmarkEnd w:id="401"/>
      <w:bookmarkEnd w:id="402"/>
    </w:p>
    <w:p>
      <w:pPr>
        <w:spacing w:line="560" w:lineRule="exact"/>
        <w:ind w:firstLine="480" w:firstLineChars="200"/>
        <w:rPr>
          <w:rFonts w:ascii="宋体" w:hAnsi="宋体" w:cs="宋体"/>
          <w:sz w:val="24"/>
        </w:rPr>
      </w:pPr>
      <w:r>
        <w:rPr>
          <w:rFonts w:hint="eastAsia" w:ascii="宋体" w:hAnsi="宋体" w:cs="宋体"/>
          <w:sz w:val="24"/>
        </w:rPr>
        <w:t>本合同总价为：￥元（大写：元人民币）。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3" w:name="_Toc22618"/>
      <w:bookmarkStart w:id="404" w:name="_Toc10340"/>
      <w:bookmarkStart w:id="405" w:name="_Toc1814"/>
      <w:r>
        <w:rPr>
          <w:rFonts w:hint="eastAsia" w:ascii="宋体" w:hAnsi="宋体" w:cs="宋体"/>
          <w:b/>
          <w:sz w:val="24"/>
        </w:rPr>
        <w:t>1.4 付款</w:t>
      </w:r>
      <w:bookmarkEnd w:id="403"/>
      <w:bookmarkEnd w:id="404"/>
      <w:bookmarkEnd w:id="405"/>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项目分年安排预算的，每年预付款比例为项目年度计划支付资金额的％；采购项目实施以人工投入为主的，预付款比例为合同金额的%。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06" w:name="_Toc19304"/>
      <w:bookmarkStart w:id="407" w:name="_Toc2846"/>
      <w:bookmarkStart w:id="408" w:name="_Toc32071"/>
      <w:r>
        <w:rPr>
          <w:rFonts w:hint="eastAsia" w:ascii="宋体" w:hAnsi="宋体" w:cs="宋体"/>
          <w:b/>
          <w:sz w:val="24"/>
        </w:rPr>
        <w:t>1.5 货物交付期限、地点和方式</w:t>
      </w:r>
      <w:bookmarkEnd w:id="406"/>
      <w:bookmarkEnd w:id="407"/>
      <w:bookmarkEnd w:id="408"/>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9" w:name="_Toc27250"/>
      <w:bookmarkStart w:id="410" w:name="_Toc21423"/>
      <w:bookmarkStart w:id="411" w:name="_Toc19554"/>
      <w:r>
        <w:rPr>
          <w:rFonts w:hint="eastAsia" w:ascii="宋体" w:hAnsi="宋体" w:cs="宋体"/>
          <w:b/>
          <w:sz w:val="24"/>
        </w:rPr>
        <w:t>1.6 违约责任</w:t>
      </w:r>
      <w:bookmarkEnd w:id="409"/>
      <w:bookmarkEnd w:id="410"/>
      <w:bookmarkEnd w:id="411"/>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2" w:name="_Toc16021"/>
      <w:bookmarkStart w:id="413" w:name="_Toc28375"/>
      <w:bookmarkStart w:id="414" w:name="_Toc15583"/>
      <w:r>
        <w:rPr>
          <w:rFonts w:hint="eastAsia" w:ascii="宋体" w:hAnsi="宋体" w:cs="宋体"/>
          <w:b/>
          <w:sz w:val="24"/>
        </w:rPr>
        <w:t>1.7 合同争议的解决</w:t>
      </w:r>
      <w:bookmarkEnd w:id="412"/>
      <w:bookmarkEnd w:id="413"/>
      <w:bookmarkEnd w:id="41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5" w:name="_Toc7245"/>
      <w:bookmarkStart w:id="416" w:name="_Toc11173"/>
      <w:bookmarkStart w:id="417" w:name="_Toc15322"/>
      <w:r>
        <w:rPr>
          <w:rFonts w:hint="eastAsia" w:ascii="宋体" w:hAnsi="宋体" w:cs="宋体"/>
          <w:b/>
          <w:sz w:val="24"/>
        </w:rPr>
        <w:t>1.8 合同生效</w:t>
      </w:r>
      <w:bookmarkEnd w:id="415"/>
      <w:bookmarkEnd w:id="416"/>
      <w:bookmarkEnd w:id="417"/>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sectPr>
          <w:headerReference r:id="rId8" w:type="first"/>
          <w:footerReference r:id="rId10" w:type="first"/>
          <w:headerReference r:id="rId7" w:type="default"/>
          <w:footerReference r:id="rId9" w:type="default"/>
          <w:pgSz w:w="11906" w:h="16838"/>
          <w:pgMar w:top="1440" w:right="1418" w:bottom="1440" w:left="1418" w:header="851" w:footer="992" w:gutter="0"/>
          <w:cols w:space="0" w:num="1"/>
          <w:titlePg/>
          <w:docGrid w:linePitch="312" w:charSpace="0"/>
        </w:sectPr>
      </w:pP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开户账号：开户账号：</w:t>
      </w:r>
    </w:p>
    <w:p>
      <w:pPr>
        <w:widowControl/>
        <w:spacing w:line="560" w:lineRule="exact"/>
        <w:jc w:val="left"/>
        <w:rPr>
          <w:rFonts w:ascii="宋体" w:hAnsi="宋体" w:cs="宋体"/>
          <w:b/>
          <w:sz w:val="24"/>
        </w:rPr>
      </w:pPr>
      <w:bookmarkStart w:id="418" w:name="_Toc331685783"/>
    </w:p>
    <w:p>
      <w:pPr>
        <w:pStyle w:val="700"/>
        <w:spacing w:line="560" w:lineRule="exact"/>
        <w:ind w:firstLine="482"/>
        <w:jc w:val="center"/>
        <w:rPr>
          <w:rFonts w:ascii="宋体" w:hAnsi="宋体" w:cs="宋体"/>
          <w:b/>
          <w:szCs w:val="24"/>
        </w:rPr>
        <w:sectPr>
          <w:pgSz w:w="11906" w:h="16838"/>
          <w:pgMar w:top="1440" w:right="1418" w:bottom="1440" w:left="1418" w:header="851" w:footer="992" w:gutter="0"/>
          <w:cols w:space="0" w:num="1"/>
          <w:titlePg/>
          <w:docGrid w:linePitch="312" w:charSpace="0"/>
        </w:sectPr>
      </w:pPr>
    </w:p>
    <w:p>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18"/>
    </w:p>
    <w:p>
      <w:pPr>
        <w:spacing w:line="560" w:lineRule="exact"/>
        <w:ind w:firstLine="482" w:firstLineChars="200"/>
        <w:outlineLvl w:val="0"/>
        <w:rPr>
          <w:rFonts w:ascii="宋体" w:hAnsi="宋体" w:cs="宋体"/>
          <w:b/>
          <w:sz w:val="24"/>
        </w:rPr>
      </w:pPr>
      <w:bookmarkStart w:id="419" w:name="_Ref467379094"/>
      <w:bookmarkStart w:id="420" w:name="_Ref467379195"/>
      <w:bookmarkStart w:id="421" w:name="_Toc259093669"/>
      <w:bookmarkStart w:id="422" w:name="_Ref467379101"/>
      <w:bookmarkStart w:id="423" w:name="_Toc487900349"/>
      <w:bookmarkStart w:id="424" w:name="_Ref467379205"/>
      <w:bookmarkStart w:id="425" w:name="_Toc16917"/>
      <w:bookmarkStart w:id="426" w:name="_Ref467379214"/>
      <w:bookmarkStart w:id="427" w:name="_Ref467379225"/>
      <w:bookmarkStart w:id="428" w:name="_Ref467379109"/>
      <w:bookmarkStart w:id="429" w:name="_Toc28763"/>
      <w:bookmarkStart w:id="430" w:name="_Ref467378463"/>
      <w:bookmarkStart w:id="431" w:name="_Ref467378404"/>
      <w:bookmarkStart w:id="432" w:name="_Toc279701240"/>
      <w:bookmarkStart w:id="433" w:name="_Ref467378499"/>
      <w:bookmarkStart w:id="434" w:name="_Toc19614"/>
      <w:r>
        <w:rPr>
          <w:rFonts w:hint="eastAsia" w:ascii="宋体" w:hAnsi="宋体" w:cs="宋体"/>
          <w:b/>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5" w:name="_Ref467378840"/>
      <w:r>
        <w:rPr>
          <w:rFonts w:hint="eastAsia" w:ascii="宋体" w:hAnsi="宋体" w:cs="宋体"/>
          <w:sz w:val="24"/>
        </w:rPr>
        <w:t>2.1.4 “甲方”系指与中标供应商签署合同的采购人</w:t>
      </w:r>
      <w:bookmarkEnd w:id="435"/>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6" w:name="_Ref467379400"/>
      <w:r>
        <w:rPr>
          <w:rFonts w:hint="eastAsia" w:ascii="宋体" w:hAnsi="宋体" w:cs="宋体"/>
          <w:sz w:val="24"/>
        </w:rPr>
        <w:t>2.1.5 “乙方”系指根据合同约定交付货物的中标供应商</w:t>
      </w:r>
      <w:bookmarkEnd w:id="43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7" w:name="_Ref467379436"/>
      <w:r>
        <w:rPr>
          <w:rFonts w:hint="eastAsia" w:ascii="宋体" w:hAnsi="宋体" w:cs="宋体"/>
          <w:sz w:val="24"/>
        </w:rPr>
        <w:t>2.1.6 “现场”系指合同约定货物将要运至或者安装的地点。</w:t>
      </w:r>
      <w:bookmarkEnd w:id="437"/>
    </w:p>
    <w:p>
      <w:pPr>
        <w:spacing w:line="560" w:lineRule="exact"/>
        <w:ind w:firstLine="482" w:firstLineChars="200"/>
        <w:outlineLvl w:val="0"/>
        <w:rPr>
          <w:rFonts w:ascii="宋体" w:hAnsi="宋体" w:cs="宋体"/>
          <w:b/>
          <w:sz w:val="24"/>
        </w:rPr>
      </w:pPr>
      <w:bookmarkStart w:id="438" w:name="_Toc32504"/>
      <w:bookmarkStart w:id="439" w:name="_Toc27635"/>
      <w:bookmarkStart w:id="440" w:name="_Toc13336"/>
      <w:bookmarkStart w:id="441" w:name="_Toc259093670"/>
      <w:bookmarkStart w:id="442" w:name="_Toc487900350"/>
      <w:bookmarkStart w:id="443" w:name="_Toc279701241"/>
      <w:r>
        <w:rPr>
          <w:rFonts w:hint="eastAsia" w:ascii="宋体" w:hAnsi="宋体" w:cs="宋体"/>
          <w:b/>
          <w:sz w:val="24"/>
        </w:rPr>
        <w:t>2.2 技术规范</w:t>
      </w:r>
      <w:bookmarkEnd w:id="438"/>
      <w:bookmarkEnd w:id="439"/>
      <w:bookmarkEnd w:id="440"/>
      <w:bookmarkEnd w:id="441"/>
      <w:bookmarkEnd w:id="442"/>
      <w:bookmarkEnd w:id="443"/>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4" w:name="_Toc279701242"/>
      <w:bookmarkStart w:id="445" w:name="_Toc31634"/>
      <w:bookmarkStart w:id="446" w:name="_Toc259093671"/>
      <w:bookmarkStart w:id="447" w:name="_Toc9829"/>
      <w:bookmarkStart w:id="448" w:name="_Toc27853"/>
      <w:bookmarkStart w:id="449" w:name="_Toc487900351"/>
      <w:r>
        <w:rPr>
          <w:rFonts w:hint="eastAsia" w:ascii="宋体" w:hAnsi="宋体" w:cs="宋体"/>
          <w:b/>
          <w:sz w:val="24"/>
        </w:rPr>
        <w:t>2.3 知识产权</w:t>
      </w:r>
      <w:bookmarkEnd w:id="444"/>
      <w:bookmarkEnd w:id="445"/>
      <w:bookmarkEnd w:id="446"/>
      <w:bookmarkEnd w:id="447"/>
      <w:bookmarkEnd w:id="448"/>
      <w:bookmarkEnd w:id="449"/>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0" w:name="_Toc29149"/>
      <w:bookmarkStart w:id="451" w:name="_Toc4194"/>
      <w:bookmarkStart w:id="452" w:name="_Toc11932"/>
      <w:r>
        <w:rPr>
          <w:rFonts w:hint="eastAsia" w:ascii="宋体" w:hAnsi="宋体" w:cs="宋体"/>
          <w:b/>
          <w:sz w:val="24"/>
        </w:rPr>
        <w:t>2.4 包装和装运</w:t>
      </w:r>
      <w:bookmarkEnd w:id="450"/>
      <w:bookmarkEnd w:id="451"/>
      <w:bookmarkEnd w:id="452"/>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2.4.2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3" w:name="_Ref467378591"/>
      <w:bookmarkStart w:id="454" w:name="_Ref467379542"/>
      <w:bookmarkStart w:id="455" w:name="_Toc259093674"/>
      <w:bookmarkStart w:id="456" w:name="_Toc487900354"/>
      <w:bookmarkStart w:id="457" w:name="_Ref467379536"/>
      <w:bookmarkStart w:id="458" w:name="_Ref467378541"/>
      <w:bookmarkStart w:id="459" w:name="_Toc279701245"/>
      <w:bookmarkStart w:id="460" w:name="_Ref467379527"/>
      <w:bookmarkStart w:id="461" w:name="_Toc30272"/>
      <w:bookmarkStart w:id="462" w:name="_Toc19074"/>
      <w:bookmarkStart w:id="463" w:name="_Toc26182"/>
      <w:r>
        <w:rPr>
          <w:rFonts w:hint="eastAsia" w:ascii="宋体" w:hAnsi="宋体" w:cs="宋体"/>
          <w:b/>
          <w:sz w:val="24"/>
        </w:rPr>
        <w:t>2.</w:t>
      </w:r>
      <w:bookmarkEnd w:id="453"/>
      <w:bookmarkEnd w:id="454"/>
      <w:bookmarkEnd w:id="455"/>
      <w:bookmarkEnd w:id="456"/>
      <w:bookmarkEnd w:id="457"/>
      <w:bookmarkEnd w:id="458"/>
      <w:bookmarkEnd w:id="459"/>
      <w:bookmarkEnd w:id="460"/>
      <w:r>
        <w:rPr>
          <w:rFonts w:hint="eastAsia" w:ascii="宋体" w:hAnsi="宋体" w:cs="宋体"/>
          <w:b/>
          <w:sz w:val="24"/>
        </w:rPr>
        <w:t>5 履约检查和问题反馈</w:t>
      </w:r>
      <w:bookmarkEnd w:id="461"/>
      <w:bookmarkEnd w:id="462"/>
      <w:bookmarkEnd w:id="463"/>
    </w:p>
    <w:p>
      <w:pPr>
        <w:spacing w:line="560" w:lineRule="exact"/>
        <w:ind w:firstLine="480" w:firstLineChars="200"/>
        <w:rPr>
          <w:rFonts w:ascii="宋体" w:hAnsi="宋体" w:cs="宋体"/>
          <w:sz w:val="24"/>
        </w:rPr>
      </w:pPr>
      <w:bookmarkStart w:id="464" w:name="_Ref467379657"/>
      <w:r>
        <w:rPr>
          <w:rFonts w:hint="eastAsia" w:ascii="宋体" w:hAnsi="宋体" w:cs="宋体"/>
          <w:sz w:val="24"/>
        </w:rPr>
        <w:t>2.5.1</w:t>
      </w:r>
      <w:bookmarkEnd w:id="464"/>
      <w:bookmarkStart w:id="465" w:name="_Toc186431854"/>
      <w:bookmarkStart w:id="466" w:name="_Toc487900357"/>
      <w:bookmarkStart w:id="467" w:name="_Toc279701247"/>
      <w:bookmarkStart w:id="468" w:name="_Ref467379807"/>
      <w:bookmarkStart w:id="469" w:name="_Ref467379793"/>
      <w:bookmarkStart w:id="470"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sz w:val="24"/>
        </w:rPr>
        <w:t>。</w:t>
      </w:r>
    </w:p>
    <w:bookmarkEnd w:id="466"/>
    <w:bookmarkEnd w:id="467"/>
    <w:bookmarkEnd w:id="468"/>
    <w:bookmarkEnd w:id="469"/>
    <w:bookmarkEnd w:id="470"/>
    <w:bookmarkEnd w:id="471"/>
    <w:p>
      <w:pPr>
        <w:spacing w:line="560" w:lineRule="exact"/>
        <w:ind w:firstLine="482" w:firstLineChars="200"/>
        <w:outlineLvl w:val="0"/>
        <w:rPr>
          <w:rFonts w:ascii="宋体" w:hAnsi="宋体" w:cs="宋体"/>
          <w:b/>
          <w:sz w:val="24"/>
        </w:rPr>
      </w:pPr>
      <w:bookmarkStart w:id="472" w:name="_Ref467379852"/>
      <w:bookmarkStart w:id="473" w:name="_Toc279701248"/>
      <w:bookmarkStart w:id="474" w:name="_Ref467379923"/>
      <w:bookmarkStart w:id="475" w:name="_Ref467379863"/>
      <w:bookmarkStart w:id="476" w:name="_Toc487900358"/>
      <w:bookmarkStart w:id="477" w:name="_Toc259093677"/>
      <w:bookmarkStart w:id="478" w:name="_Toc3225"/>
      <w:bookmarkStart w:id="479" w:name="_Toc774"/>
      <w:bookmarkStart w:id="480" w:name="_Toc16110"/>
      <w:r>
        <w:rPr>
          <w:rFonts w:hint="eastAsia" w:ascii="宋体" w:hAnsi="宋体" w:cs="宋体"/>
          <w:b/>
          <w:sz w:val="24"/>
        </w:rPr>
        <w:t>2.6 技术资料</w:t>
      </w:r>
      <w:bookmarkEnd w:id="472"/>
      <w:bookmarkEnd w:id="473"/>
      <w:bookmarkEnd w:id="474"/>
      <w:bookmarkEnd w:id="475"/>
      <w:bookmarkEnd w:id="476"/>
      <w:bookmarkEnd w:id="477"/>
      <w:r>
        <w:rPr>
          <w:rFonts w:hint="eastAsia" w:ascii="宋体" w:hAnsi="宋体" w:cs="宋体"/>
          <w:b/>
          <w:sz w:val="24"/>
        </w:rPr>
        <w:t>和保密义务</w:t>
      </w:r>
      <w:bookmarkEnd w:id="478"/>
      <w:bookmarkEnd w:id="479"/>
      <w:bookmarkEnd w:id="480"/>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1" w:name="_Toc7860"/>
      <w:r>
        <w:rPr>
          <w:rFonts w:hint="eastAsia" w:ascii="宋体" w:hAnsi="宋体" w:cs="宋体"/>
          <w:b/>
          <w:sz w:val="24"/>
        </w:rPr>
        <w:t>2.7 质量保证</w:t>
      </w:r>
      <w:bookmarkEnd w:id="481"/>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2" w:name="_Toc17244"/>
      <w:bookmarkStart w:id="483" w:name="_Toc259093681"/>
      <w:bookmarkStart w:id="484" w:name="_Toc279701252"/>
      <w:bookmarkStart w:id="485" w:name="_Toc487900362"/>
      <w:r>
        <w:rPr>
          <w:rFonts w:hint="eastAsia" w:ascii="宋体" w:hAnsi="宋体" w:cs="宋体"/>
          <w:b/>
          <w:sz w:val="24"/>
        </w:rPr>
        <w:t>2.8 货物的风险负担</w:t>
      </w:r>
      <w:bookmarkEnd w:id="482"/>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6" w:name="_Toc14055"/>
      <w:r>
        <w:rPr>
          <w:rFonts w:hint="eastAsia" w:ascii="宋体" w:hAnsi="宋体" w:cs="宋体"/>
          <w:b/>
          <w:sz w:val="24"/>
        </w:rPr>
        <w:t>2.9 延迟交货</w:t>
      </w:r>
      <w:bookmarkEnd w:id="483"/>
      <w:bookmarkEnd w:id="484"/>
      <w:bookmarkEnd w:id="485"/>
      <w:bookmarkEnd w:id="486"/>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7" w:name="_Toc7502"/>
      <w:bookmarkStart w:id="488" w:name="_Toc487900364"/>
      <w:bookmarkStart w:id="489" w:name="_Toc279701254"/>
      <w:bookmarkStart w:id="490" w:name="_Ref467378121"/>
      <w:bookmarkStart w:id="491" w:name="_Toc259093683"/>
      <w:r>
        <w:rPr>
          <w:rFonts w:hint="eastAsia" w:ascii="宋体" w:hAnsi="宋体" w:cs="宋体"/>
          <w:b/>
          <w:sz w:val="24"/>
        </w:rPr>
        <w:t>2.10 合同变更</w:t>
      </w:r>
      <w:bookmarkEnd w:id="487"/>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487900369"/>
      <w:bookmarkStart w:id="494" w:name="_Toc279701259"/>
    </w:p>
    <w:p>
      <w:pPr>
        <w:spacing w:line="560" w:lineRule="exact"/>
        <w:ind w:firstLine="482" w:firstLineChars="200"/>
        <w:outlineLvl w:val="0"/>
        <w:rPr>
          <w:rFonts w:ascii="宋体" w:hAnsi="宋体" w:cs="宋体"/>
          <w:b/>
          <w:sz w:val="24"/>
        </w:rPr>
      </w:pPr>
      <w:bookmarkStart w:id="495" w:name="_Toc22955"/>
      <w:bookmarkStart w:id="496" w:name="_Toc15237"/>
      <w:bookmarkStart w:id="497" w:name="_Toc10366"/>
      <w:r>
        <w:rPr>
          <w:rFonts w:hint="eastAsia" w:ascii="宋体" w:hAnsi="宋体" w:cs="宋体"/>
          <w:b/>
          <w:sz w:val="24"/>
        </w:rPr>
        <w:t>2.11 合同转让</w:t>
      </w:r>
      <w:bookmarkEnd w:id="492"/>
      <w:bookmarkEnd w:id="493"/>
      <w:bookmarkEnd w:id="494"/>
      <w:r>
        <w:rPr>
          <w:rFonts w:hint="eastAsia" w:ascii="宋体" w:hAnsi="宋体" w:cs="宋体"/>
          <w:b/>
          <w:sz w:val="24"/>
        </w:rPr>
        <w:t>和分包</w:t>
      </w:r>
      <w:bookmarkEnd w:id="495"/>
      <w:bookmarkEnd w:id="496"/>
      <w:bookmarkEnd w:id="497"/>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98" w:name="_Toc16508"/>
      <w:bookmarkStart w:id="499" w:name="_Toc13566"/>
      <w:bookmarkStart w:id="500" w:name="_Toc14066"/>
      <w:r>
        <w:rPr>
          <w:rFonts w:hint="eastAsia" w:ascii="宋体" w:hAnsi="宋体" w:cs="宋体"/>
          <w:b/>
          <w:sz w:val="24"/>
        </w:rPr>
        <w:t>2.12 不可抗力</w:t>
      </w:r>
      <w:bookmarkEnd w:id="498"/>
      <w:bookmarkEnd w:id="499"/>
      <w:bookmarkEnd w:id="500"/>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1" w:name="_Toc30676"/>
      <w:bookmarkStart w:id="502" w:name="_Toc259093684"/>
      <w:bookmarkStart w:id="503" w:name="_Toc6969"/>
      <w:bookmarkStart w:id="504" w:name="_Toc279701255"/>
      <w:bookmarkStart w:id="505" w:name="_Toc487900365"/>
      <w:bookmarkStart w:id="506" w:name="_Toc689"/>
      <w:r>
        <w:rPr>
          <w:rFonts w:hint="eastAsia" w:ascii="宋体" w:hAnsi="宋体" w:cs="宋体"/>
          <w:b/>
          <w:sz w:val="24"/>
        </w:rPr>
        <w:t>2.13 税费</w:t>
      </w:r>
      <w:bookmarkEnd w:id="501"/>
      <w:bookmarkEnd w:id="502"/>
      <w:bookmarkEnd w:id="503"/>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7" w:name="_Toc16959"/>
      <w:bookmarkStart w:id="508" w:name="_Toc7102"/>
      <w:bookmarkStart w:id="509" w:name="_Toc259093687"/>
      <w:bookmarkStart w:id="510" w:name="_Toc487900368"/>
      <w:bookmarkStart w:id="511" w:name="_Toc8298"/>
      <w:bookmarkStart w:id="512" w:name="_Toc279701258"/>
      <w:r>
        <w:rPr>
          <w:rFonts w:hint="eastAsia" w:ascii="宋体" w:hAnsi="宋体" w:cs="宋体"/>
          <w:b/>
          <w:sz w:val="24"/>
        </w:rPr>
        <w:t>2.14乙方破产</w:t>
      </w:r>
      <w:bookmarkEnd w:id="507"/>
      <w:bookmarkEnd w:id="508"/>
      <w:bookmarkEnd w:id="509"/>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3" w:name="_Toc6134"/>
      <w:bookmarkStart w:id="514" w:name="_Toc15387"/>
      <w:bookmarkStart w:id="515" w:name="_Toc29333"/>
      <w:r>
        <w:rPr>
          <w:rFonts w:hint="eastAsia" w:ascii="宋体" w:hAnsi="宋体" w:cs="宋体"/>
          <w:b/>
          <w:sz w:val="24"/>
        </w:rPr>
        <w:t>2.15 合同中止、终止</w:t>
      </w:r>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6" w:name="_Toc14563"/>
      <w:bookmarkStart w:id="517" w:name="_Toc1125"/>
      <w:bookmarkStart w:id="518" w:name="_Toc6596"/>
      <w:r>
        <w:rPr>
          <w:rFonts w:hint="eastAsia" w:ascii="宋体" w:hAnsi="宋体" w:cs="宋体"/>
          <w:b/>
          <w:sz w:val="24"/>
        </w:rPr>
        <w:t>2.16检验和验收</w:t>
      </w:r>
      <w:bookmarkEnd w:id="516"/>
      <w:bookmarkEnd w:id="517"/>
      <w:bookmarkEnd w:id="518"/>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8"/>
    <w:bookmarkEnd w:id="489"/>
    <w:bookmarkEnd w:id="490"/>
    <w:bookmarkEnd w:id="491"/>
    <w:p>
      <w:pPr>
        <w:spacing w:line="560" w:lineRule="exact"/>
        <w:ind w:firstLine="482" w:firstLineChars="200"/>
        <w:outlineLvl w:val="0"/>
        <w:rPr>
          <w:rFonts w:ascii="宋体" w:hAnsi="宋体" w:cs="宋体"/>
          <w:b/>
          <w:sz w:val="24"/>
        </w:rPr>
      </w:pPr>
      <w:bookmarkStart w:id="519" w:name="_Toc259093690"/>
      <w:bookmarkStart w:id="520" w:name="_Toc279701261"/>
      <w:bookmarkStart w:id="521" w:name="_Toc487900371"/>
      <w:bookmarkStart w:id="522" w:name="_Toc11284"/>
      <w:bookmarkStart w:id="523" w:name="_Toc19604"/>
      <w:bookmarkStart w:id="524" w:name="_Toc25182"/>
      <w:r>
        <w:rPr>
          <w:rFonts w:hint="eastAsia" w:ascii="宋体" w:hAnsi="宋体" w:cs="宋体"/>
          <w:b/>
          <w:sz w:val="24"/>
        </w:rPr>
        <w:t>2.17 通知</w:t>
      </w:r>
      <w:bookmarkEnd w:id="519"/>
      <w:bookmarkEnd w:id="520"/>
      <w:bookmarkEnd w:id="521"/>
      <w:r>
        <w:rPr>
          <w:rFonts w:hint="eastAsia" w:ascii="宋体" w:hAnsi="宋体" w:cs="宋体"/>
          <w:b/>
          <w:sz w:val="24"/>
        </w:rPr>
        <w:t>和送达</w:t>
      </w:r>
      <w:bookmarkEnd w:id="522"/>
      <w:bookmarkEnd w:id="523"/>
      <w:bookmarkEnd w:id="524"/>
    </w:p>
    <w:p>
      <w:pPr>
        <w:spacing w:line="560" w:lineRule="exact"/>
        <w:ind w:firstLine="480" w:firstLineChars="200"/>
        <w:rPr>
          <w:rFonts w:ascii="宋体" w:hAnsi="宋体" w:cs="宋体"/>
          <w:sz w:val="24"/>
        </w:rPr>
      </w:pPr>
      <w:bookmarkStart w:id="525" w:name="_Toc6698"/>
      <w:bookmarkStart w:id="526" w:name="_Toc3135"/>
      <w:bookmarkStart w:id="527" w:name="_Toc259093691"/>
      <w:bookmarkStart w:id="528" w:name="_Toc279701262"/>
      <w:bookmarkStart w:id="529" w:name="_Toc487900372"/>
      <w:r>
        <w:rPr>
          <w:rFonts w:hint="eastAsia" w:ascii="宋体" w:hAnsi="宋体"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5"/>
      <w:bookmarkEnd w:id="526"/>
    </w:p>
    <w:p>
      <w:pPr>
        <w:spacing w:line="560" w:lineRule="exact"/>
        <w:ind w:firstLine="480" w:firstLineChars="200"/>
        <w:rPr>
          <w:rFonts w:ascii="宋体" w:hAnsi="宋体" w:cs="宋体"/>
          <w:sz w:val="24"/>
        </w:rPr>
      </w:pPr>
      <w:bookmarkStart w:id="530" w:name="_Toc23128"/>
      <w:bookmarkStart w:id="531"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spacing w:line="560" w:lineRule="exact"/>
        <w:ind w:firstLine="482" w:firstLineChars="200"/>
        <w:outlineLvl w:val="0"/>
        <w:rPr>
          <w:rFonts w:ascii="宋体" w:hAnsi="宋体" w:cs="宋体"/>
          <w:b/>
          <w:sz w:val="24"/>
        </w:rPr>
      </w:pPr>
      <w:bookmarkStart w:id="532" w:name="_Toc4355"/>
      <w:bookmarkStart w:id="533" w:name="_Toc30599"/>
      <w:bookmarkStart w:id="534" w:name="_Toc18540"/>
      <w:r>
        <w:rPr>
          <w:rFonts w:hint="eastAsia" w:ascii="宋体" w:hAnsi="宋体" w:cs="宋体"/>
          <w:b/>
          <w:sz w:val="24"/>
        </w:rPr>
        <w:t>2.18 计量单位</w:t>
      </w:r>
      <w:bookmarkEnd w:id="527"/>
      <w:bookmarkEnd w:id="528"/>
      <w:bookmarkEnd w:id="529"/>
      <w:bookmarkEnd w:id="532"/>
      <w:bookmarkEnd w:id="533"/>
      <w:bookmarkEnd w:id="534"/>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5" w:name="_Toc259093692"/>
      <w:bookmarkStart w:id="536" w:name="_Toc279701263"/>
      <w:bookmarkStart w:id="537" w:name="_Toc18567"/>
      <w:bookmarkStart w:id="538" w:name="_Toc12773"/>
      <w:bookmarkStart w:id="539" w:name="_Toc487900373"/>
      <w:bookmarkStart w:id="540" w:name="_Toc10330"/>
      <w:r>
        <w:rPr>
          <w:rFonts w:hint="eastAsia" w:ascii="宋体" w:hAnsi="宋体" w:cs="宋体"/>
          <w:b/>
          <w:sz w:val="24"/>
        </w:rPr>
        <w:t>2.19 合同使用的文字和适用的法律</w:t>
      </w:r>
      <w:bookmarkEnd w:id="535"/>
      <w:bookmarkEnd w:id="536"/>
      <w:bookmarkEnd w:id="537"/>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1" w:name="_Toc259093693"/>
      <w:bookmarkStart w:id="542" w:name="_Toc16673"/>
      <w:bookmarkStart w:id="543" w:name="_Toc12004"/>
      <w:bookmarkStart w:id="544" w:name="_Toc3148"/>
      <w:bookmarkStart w:id="545" w:name="_Toc279701264"/>
      <w:bookmarkStart w:id="546" w:name="_Toc487900374"/>
      <w:r>
        <w:rPr>
          <w:rFonts w:hint="eastAsia" w:ascii="宋体" w:hAnsi="宋体" w:cs="宋体"/>
          <w:b/>
          <w:sz w:val="24"/>
        </w:rPr>
        <w:t>2.20 履约保证金</w:t>
      </w:r>
      <w:bookmarkEnd w:id="541"/>
      <w:bookmarkEnd w:id="542"/>
      <w:bookmarkEnd w:id="543"/>
      <w:bookmarkEnd w:id="544"/>
      <w:bookmarkEnd w:id="545"/>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约定的方式，以支票、汇票、本票或者金融机构、担保机构出具的保函等非现金形式，提交合同金额0.1</w:t>
      </w:r>
      <w:r>
        <w:t>%</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5 </w:t>
      </w:r>
      <w:r>
        <w:rPr>
          <w:rFonts w:hint="eastAsia" w:ascii="宋体" w:hAnsi="宋体" w:cs="宋体"/>
          <w:sz w:val="24"/>
        </w:rPr>
        <w:t>个工作日内，按</w:t>
      </w:r>
      <w:r>
        <w:rPr>
          <w:rFonts w:hint="eastAsia" w:ascii="宋体" w:hAnsi="宋体" w:cs="宋体"/>
          <w:b/>
          <w:i/>
          <w:sz w:val="24"/>
          <w:u w:val="single"/>
        </w:rPr>
        <w:t>合同专用条款</w:t>
      </w:r>
      <w:r>
        <w:rPr>
          <w:rFonts w:hint="eastAsia" w:ascii="宋体" w:hAnsi="宋体" w:cs="宋体"/>
          <w:sz w:val="24"/>
        </w:rPr>
        <w:t>约定的方式将履约保证金退还乙方，逾期退还的，乙方可要求甲方支付违约金，违约金按每迟延退还一日的应退还而未退还金额的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sz w:val="24"/>
        </w:rPr>
      </w:pPr>
      <w:r>
        <w:rPr>
          <w:rFonts w:hint="eastAsia" w:ascii="宋体" w:hAnsi="宋体" w:cs="宋体"/>
          <w:sz w:val="24"/>
        </w:rPr>
        <w:t>2.20.4 甲方根据杭州市政府采购网公布的供应商履约评价情况减免履约保证金。乙方履约验收评价总分为100分的，甲方免收履约保证金。</w:t>
      </w:r>
    </w:p>
    <w:p>
      <w:pPr>
        <w:spacing w:line="560" w:lineRule="exact"/>
        <w:ind w:firstLine="480" w:firstLineChars="200"/>
        <w:rPr>
          <w:rFonts w:ascii="宋体" w:hAnsi="宋体" w:cs="宋体"/>
        </w:rPr>
      </w:pPr>
      <w:r>
        <w:rPr>
          <w:rFonts w:hint="eastAsia" w:ascii="宋体" w:hAnsi="宋体" w:cs="宋体"/>
          <w:sz w:val="24"/>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46"/>
    <w:p>
      <w:pPr>
        <w:spacing w:line="560" w:lineRule="exact"/>
        <w:ind w:firstLine="482" w:firstLineChars="200"/>
        <w:outlineLvl w:val="0"/>
        <w:rPr>
          <w:rFonts w:ascii="宋体" w:hAnsi="宋体" w:cs="宋体"/>
          <w:b/>
          <w:sz w:val="24"/>
        </w:rPr>
      </w:pPr>
      <w:bookmarkStart w:id="547" w:name="_Toc19890"/>
      <w:bookmarkStart w:id="548" w:name="_Toc14001"/>
      <w:bookmarkStart w:id="549" w:name="_Toc6885"/>
      <w:r>
        <w:rPr>
          <w:rFonts w:hint="eastAsia" w:ascii="宋体" w:hAnsi="宋体" w:cs="宋体"/>
          <w:b/>
          <w:sz w:val="24"/>
        </w:rPr>
        <w:t>2.22合同份数</w:t>
      </w:r>
      <w:bookmarkEnd w:id="547"/>
      <w:bookmarkEnd w:id="548"/>
      <w:bookmarkEnd w:id="549"/>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pStyle w:val="700"/>
        <w:spacing w:line="560" w:lineRule="exact"/>
        <w:jc w:val="center"/>
        <w:rPr>
          <w:rFonts w:ascii="宋体" w:hAnsi="宋体" w:cs="宋体"/>
          <w:b/>
          <w:szCs w:val="24"/>
        </w:rPr>
      </w:pPr>
      <w:r>
        <w:rPr>
          <w:rFonts w:hint="eastAsia" w:ascii="宋体" w:hAnsi="宋体" w:cs="宋体"/>
          <w:kern w:val="0"/>
          <w:szCs w:val="24"/>
        </w:rPr>
        <w:br w:type="page"/>
      </w:r>
      <w:bookmarkStart w:id="550" w:name="_Toc331685784"/>
      <w:bookmarkEnd w:id="550"/>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8275" w:type="dxa"/>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8275"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8275" w:type="dxa"/>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2.4.2</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8275"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8275" w:type="dxa"/>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8275" w:type="dxa"/>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8275" w:type="dxa"/>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pStyle w:val="2"/>
        <w:sectPr>
          <w:pgSz w:w="11906" w:h="16838"/>
          <w:pgMar w:top="1440" w:right="1418" w:bottom="1440" w:left="1418" w:header="851" w:footer="992" w:gutter="0"/>
          <w:cols w:space="0" w:num="1"/>
          <w:titlePg/>
          <w:docGrid w:linePitch="312" w:charSpace="0"/>
        </w:sectPr>
      </w:pPr>
    </w:p>
    <w:p>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92"/>
      <w:bookmarkEnd w:id="393"/>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b/>
          <w:sz w:val="24"/>
        </w:rPr>
      </w:pPr>
    </w:p>
    <w:p>
      <w:pPr>
        <w:widowControl/>
        <w:spacing w:line="360" w:lineRule="auto"/>
        <w:ind w:left="150"/>
        <w:jc w:val="center"/>
        <w:rPr>
          <w:rFonts w:cs="宋体" w:asciiTheme="minorEastAsia" w:hAnsiTheme="minorEastAsia" w:eastAsiaTheme="minorEastAsia"/>
          <w:b/>
          <w:kern w:val="0"/>
          <w:sz w:val="32"/>
          <w:szCs w:val="32"/>
        </w:rPr>
      </w:pPr>
    </w:p>
    <w:p>
      <w:pPr>
        <w:pStyle w:val="25"/>
        <w:rPr>
          <w:rFonts w:asciiTheme="minorEastAsia" w:hAnsiTheme="minorEastAsia" w:eastAsiaTheme="minorEastAsia"/>
        </w:rPr>
      </w:pPr>
    </w:p>
    <w:p>
      <w:pPr>
        <w:widowControl/>
        <w:spacing w:line="360" w:lineRule="auto"/>
        <w:ind w:left="150"/>
        <w:jc w:val="center"/>
        <w:rPr>
          <w:rFonts w:cs="宋体" w:asciiTheme="minorEastAsia" w:hAnsiTheme="minorEastAsia" w:eastAsiaTheme="minorEastAsia"/>
          <w:b/>
          <w:kern w:val="0"/>
          <w:sz w:val="32"/>
          <w:szCs w:val="32"/>
        </w:rPr>
      </w:pPr>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spacing w:line="360" w:lineRule="auto"/>
        <w:ind w:right="420"/>
        <w:jc w:val="center"/>
        <w:rPr>
          <w:rFonts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pPr>
        <w:spacing w:line="360" w:lineRule="auto"/>
        <w:ind w:right="420"/>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jc w:val="center"/>
        <w:outlineLvl w:val="0"/>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pPr>
        <w:snapToGrid w:val="0"/>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rPr>
        <w:t>商务技术偏离表；</w:t>
      </w:r>
    </w:p>
    <w:p>
      <w:pPr>
        <w:snapToGrid w:val="0"/>
        <w:spacing w:line="276"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政府采购供应商廉洁自律承诺书；</w:t>
      </w:r>
    </w:p>
    <w:p>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jc w:val="center"/>
        <w:rPr>
          <w:rFonts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kern w:val="0"/>
          <w:sz w:val="24"/>
          <w:lang w:val="zh-CN"/>
        </w:rPr>
      </w:pP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147"/>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147"/>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pPr>
        <w:widowControl/>
        <w:spacing w:line="360" w:lineRule="auto"/>
        <w:ind w:firstLine="120" w:firstLineChars="50"/>
        <w:jc w:val="left"/>
        <w:rPr>
          <w:rFonts w:cs="宋体" w:asciiTheme="minorEastAsia" w:hAnsiTheme="minorEastAsia" w:eastAsiaTheme="minorEastAsia"/>
          <w:sz w:val="24"/>
        </w:rPr>
      </w:pPr>
      <w:bookmarkStart w:id="551"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551"/>
    <w:p>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pPr>
        <w:jc w:val="center"/>
        <w:rPr>
          <w:rFonts w:cs="宋体" w:asciiTheme="minorEastAsia" w:hAnsiTheme="minorEastAsia" w:eastAsiaTheme="minorEastAsia"/>
          <w:b/>
          <w:kern w:val="0"/>
          <w:sz w:val="32"/>
          <w:szCs w:val="32"/>
        </w:rPr>
      </w:pPr>
    </w:p>
    <w:tbl>
      <w:tblPr>
        <w:tblStyle w:val="62"/>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jc w:val="center"/>
              <w:rPr>
                <w:rFonts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4"/>
              <w:jc w:val="center"/>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pPr>
        <w:snapToGrid w:val="0"/>
        <w:spacing w:line="360" w:lineRule="auto"/>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ind w:firstLine="2891" w:firstLineChars="900"/>
        <w:rPr>
          <w:rFonts w:ascii="宋体" w:hAnsi="宋体" w:cs="宋体"/>
          <w:b/>
          <w:color w:val="FF0000"/>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en-US" w:eastAsia="zh-CN"/>
        </w:rPr>
        <w:t>六</w:t>
      </w:r>
      <w:r>
        <w:rPr>
          <w:rFonts w:hint="eastAsia" w:cs="宋体" w:asciiTheme="minorEastAsia" w:hAnsiTheme="minorEastAsia" w:eastAsiaTheme="minorEastAsia"/>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ind w:firstLine="1911" w:firstLineChars="595"/>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en-US" w:eastAsia="zh-CN"/>
        </w:rPr>
        <w:t>七</w:t>
      </w:r>
      <w:r>
        <w:rPr>
          <w:rFonts w:hint="eastAsia" w:cs="宋体" w:asciiTheme="minorEastAsia" w:hAnsiTheme="minorEastAsia" w:eastAsiaTheme="minorEastAsia"/>
          <w:b/>
          <w:kern w:val="0"/>
          <w:sz w:val="32"/>
          <w:szCs w:val="32"/>
        </w:rPr>
        <w:t>、</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jc w:val="center"/>
        <w:rPr>
          <w:rFonts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pPr>
              <w:spacing w:line="360" w:lineRule="auto"/>
              <w:jc w:val="center"/>
              <w:rPr>
                <w:rFonts w:cs="宋体" w:asciiTheme="minorEastAsia" w:hAnsiTheme="minorEastAsia" w:eastAsiaTheme="minorEastAsia"/>
                <w:sz w:val="24"/>
              </w:rPr>
            </w:pPr>
          </w:p>
        </w:tc>
      </w:tr>
    </w:tbl>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名称、品牌（如果有）、规格型号、数量、单价</w:t>
      </w:r>
      <w:r>
        <w:rPr>
          <w:rFonts w:hint="eastAsia" w:ascii="宋体" w:hAnsi="宋体" w:cs="宋体"/>
          <w:kern w:val="0"/>
          <w:sz w:val="24"/>
          <w:lang w:val="zh-CN"/>
        </w:rPr>
        <w:t>等予以公示。</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cs="宋体" w:asciiTheme="minorEastAsia" w:hAnsiTheme="minorEastAsia" w:eastAsiaTheme="minorEastAsia"/>
          <w:b/>
          <w:kern w:val="0"/>
          <w:sz w:val="24"/>
        </w:rPr>
      </w:pPr>
    </w:p>
    <w:p>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pPr>
        <w:pStyle w:val="691"/>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jc w:val="center"/>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tabs>
          <w:tab w:val="left" w:pos="8085"/>
        </w:tabs>
        <w:spacing w:line="360" w:lineRule="auto"/>
        <w:ind w:firstLine="1285" w:firstLineChars="400"/>
        <w:jc w:val="left"/>
        <w:rPr>
          <w:rFonts w:cs="宋体" w:asciiTheme="minorEastAsia" w:hAnsiTheme="minorEastAsia" w:eastAsiaTheme="minorEastAsia"/>
          <w:b/>
          <w:sz w:val="32"/>
          <w:szCs w:val="32"/>
        </w:rPr>
        <w:sectPr>
          <w:headerReference r:id="rId16" w:type="first"/>
          <w:footerReference r:id="rId19" w:type="first"/>
          <w:headerReference r:id="rId15" w:type="default"/>
          <w:footerReference r:id="rId17" w:type="default"/>
          <w:footerReference r:id="rId18" w:type="even"/>
          <w:pgSz w:w="11906" w:h="16838"/>
          <w:pgMar w:top="1440" w:right="1418" w:bottom="1440" w:left="1418" w:header="851" w:footer="992" w:gutter="0"/>
          <w:cols w:space="0" w:num="1"/>
          <w:titlePg/>
          <w:docGrid w:linePitch="312" w:charSpace="0"/>
        </w:sectPr>
      </w:pPr>
    </w:p>
    <w:p>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pPr>
        <w:pStyle w:val="4"/>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pPr>
        <w:pStyle w:val="4"/>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宋体" w:asciiTheme="minorEastAsia" w:hAnsiTheme="minorEastAsia" w:eastAsiaTheme="minorEastAsia"/>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552" w:name="_Toc465665161"/>
      <w:r>
        <w:rPr>
          <w:rFonts w:hint="eastAsia" w:cs="宋体" w:asciiTheme="minorEastAsia" w:hAnsiTheme="minorEastAsia" w:eastAsiaTheme="minorEastAsia"/>
        </w:rPr>
        <w:t>附件</w:t>
      </w:r>
      <w:bookmarkEnd w:id="552"/>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553" w:name="OLE_LINK13"/>
      <w:bookmarkStart w:id="554" w:name="OLE_LINK14"/>
      <w:r>
        <w:rPr>
          <w:rFonts w:hint="eastAsia" w:cs="宋体" w:asciiTheme="minorEastAsia" w:hAnsiTheme="minorEastAsia" w:eastAsiaTheme="minorEastAsia"/>
          <w:b/>
          <w:spacing w:val="6"/>
          <w:sz w:val="32"/>
          <w:szCs w:val="32"/>
        </w:rPr>
        <w:t>残疾人福利性单位声明函</w:t>
      </w:r>
    </w:p>
    <w:bookmarkEnd w:id="553"/>
    <w:bookmarkEnd w:id="554"/>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cs="宋体" w:asciiTheme="minorEastAsia" w:hAnsiTheme="minorEastAsia" w:eastAsiaTheme="minorEastAsia"/>
          <w:sz w:val="24"/>
          <w:u w:val="dotted"/>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cs="宋体" w:asciiTheme="minorEastAsia" w:hAnsiTheme="minorEastAsia" w:eastAsiaTheme="minorEastAsia"/>
          <w:sz w:val="24"/>
          <w:u w:val="dotted"/>
        </w:rPr>
      </w:pP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pPr>
        <w:snapToGrid w:val="0"/>
        <w:spacing w:line="360" w:lineRule="auto"/>
        <w:ind w:firstLine="576"/>
        <w:rPr>
          <w:rFonts w:cs="宋体" w:asciiTheme="minorEastAsia" w:hAnsiTheme="minorEastAsia" w:eastAsiaTheme="minorEastAsia"/>
          <w:kern w:val="0"/>
          <w:sz w:val="24"/>
          <w:lang w:val="zh-CN"/>
        </w:rPr>
      </w:pPr>
      <w:bookmarkStart w:id="555"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555"/>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556"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556"/>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ind w:firstLine="576"/>
        <w:rPr>
          <w:rFonts w:cs="宋体" w:asciiTheme="minorEastAsia" w:hAnsiTheme="minorEastAsia" w:eastAsiaTheme="minorEastAsia"/>
          <w:u w:val="single"/>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ind w:firstLine="576"/>
        <w:rPr>
          <w:rFonts w:cs="宋体" w:asciiTheme="minorEastAsia" w:hAnsiTheme="minorEastAsia" w:eastAsiaTheme="minorEastAsia"/>
          <w:kern w:val="0"/>
          <w:sz w:val="24"/>
          <w:lang w:val="zh-CN"/>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ind w:left="573" w:leftChars="273"/>
        <w:rPr>
          <w:rFonts w:cs="宋体" w:asciiTheme="minorEastAsia" w:hAnsiTheme="minorEastAsia" w:eastAsiaTheme="minorEastAsia"/>
          <w:kern w:val="0"/>
          <w:sz w:val="24"/>
          <w:lang w:val="zh-CN"/>
        </w:rPr>
      </w:pPr>
    </w:p>
    <w:p>
      <w:pPr>
        <w:snapToGrid w:val="0"/>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ind w:firstLine="576"/>
        <w:rPr>
          <w:rFonts w:cs="宋体" w:asciiTheme="minorEastAsia" w:hAnsiTheme="minorEastAsia" w:eastAsiaTheme="minorEastAsia"/>
          <w:kern w:val="0"/>
          <w:sz w:val="24"/>
          <w:lang w:val="zh-CN"/>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pPr>
        <w:snapToGrid w:val="0"/>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（采购人名称）</w:t>
      </w:r>
      <w:r>
        <w:rPr>
          <w:rFonts w:hint="eastAsia" w:ascii="宋体" w:hAnsi="宋体" w:cs="宋体"/>
          <w:sz w:val="24"/>
        </w:rPr>
        <w:t xml:space="preserve">的 </w:t>
      </w:r>
      <w:r>
        <w:rPr>
          <w:rFonts w:hint="eastAsia" w:cs="宋体" w:asciiTheme="minorEastAsia" w:hAnsiTheme="minorEastAsia" w:eastAsiaTheme="minorEastAsia"/>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w:t>
      </w:r>
      <w:r>
        <w:rPr>
          <w:rFonts w:hint="eastAsia" w:ascii="宋体" w:hAnsi="宋体" w:cs="宋体"/>
          <w:b/>
          <w:sz w:val="24"/>
        </w:rPr>
        <w:t>逐一填写，不得缺漏</w:t>
      </w:r>
      <w:r>
        <w:rPr>
          <w:rFonts w:hint="eastAsia" w:ascii="宋体" w:hAnsi="宋体" w:cs="宋体"/>
          <w:sz w:val="24"/>
        </w:rPr>
        <w:t>；属于同一制造商生产的货物可合并填写。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684675"/>
    </w:sdtPr>
    <w:sdtContent>
      <w:p>
        <w:pPr>
          <w:pStyle w:val="40"/>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684676"/>
    </w:sdtPr>
    <w:sdtContent>
      <w:p>
        <w:pPr>
          <w:pStyle w:val="4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4"/>
    </w:sdtPr>
    <w:sdtContent>
      <w:p>
        <w:pPr>
          <w:pStyle w:val="40"/>
          <w:jc w:val="center"/>
        </w:pPr>
        <w:r>
          <w:fldChar w:fldCharType="begin"/>
        </w:r>
        <w:r>
          <w:instrText xml:space="preserve"> PAGE   \* MERGEFORMAT </w:instrText>
        </w:r>
        <w:r>
          <w:fldChar w:fldCharType="separate"/>
        </w:r>
        <w:r>
          <w:rPr>
            <w:lang w:val="zh-CN"/>
          </w:rPr>
          <w:t>77</w:t>
        </w:r>
        <w:r>
          <w:rPr>
            <w:lang w:val="zh-CN"/>
          </w:rPr>
          <w:fldChar w:fldCharType="end"/>
        </w:r>
      </w:p>
    </w:sdtContent>
  </w:sdt>
  <w:p>
    <w:pP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3"/>
    </w:sdtPr>
    <w:sdtContent>
      <w:p>
        <w:pPr>
          <w:pStyle w:val="40"/>
          <w:jc w:val="center"/>
        </w:pPr>
        <w:r>
          <w:fldChar w:fldCharType="begin"/>
        </w:r>
        <w:r>
          <w:instrText xml:space="preserve"> PAGE   \* MERGEFORMAT </w:instrText>
        </w:r>
        <w:r>
          <w:fldChar w:fldCharType="separate"/>
        </w:r>
        <w:r>
          <w:rPr>
            <w:lang w:val="zh-CN"/>
          </w:rPr>
          <w:t>82</w:t>
        </w:r>
        <w:r>
          <w:rPr>
            <w:lang w:val="zh-CN"/>
          </w:rPr>
          <w:fldChar w:fldCharType="end"/>
        </w:r>
      </w:p>
    </w:sdtContent>
  </w:sdt>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6"/>
    </w:sdtPr>
    <w:sdtContent>
      <w:p>
        <w:pPr>
          <w:pStyle w:val="40"/>
          <w:jc w:val="center"/>
        </w:pPr>
        <w:r>
          <w:fldChar w:fldCharType="begin"/>
        </w:r>
        <w:r>
          <w:instrText xml:space="preserve"> PAGE   \* MERGEFORMAT </w:instrText>
        </w:r>
        <w:r>
          <w:fldChar w:fldCharType="separate"/>
        </w:r>
        <w:r>
          <w:rPr>
            <w:lang w:val="zh-CN"/>
          </w:rPr>
          <w:t>85</w:t>
        </w:r>
        <w:r>
          <w:rPr>
            <w:lang w:val="zh-CN"/>
          </w:rPr>
          <w:fldChar w:fldCharType="end"/>
        </w:r>
      </w:p>
    </w:sdtContent>
  </w:sdt>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5"/>
    </w:sdtPr>
    <w:sdtContent>
      <w:p>
        <w:pPr>
          <w:pStyle w:val="40"/>
          <w:jc w:val="center"/>
        </w:pPr>
        <w:r>
          <w:fldChar w:fldCharType="begin"/>
        </w:r>
        <w:r>
          <w:instrText xml:space="preserve"> PAGE   \* MERGEFORMAT </w:instrText>
        </w:r>
        <w:r>
          <w:fldChar w:fldCharType="separate"/>
        </w:r>
        <w:r>
          <w:rPr>
            <w:lang w:val="zh-CN"/>
          </w:rPr>
          <w:t>84</w:t>
        </w:r>
        <w:r>
          <w:rPr>
            <w:lang w:val="zh-CN"/>
          </w:rPr>
          <w:fldChar w:fldCharType="end"/>
        </w:r>
      </w:p>
    </w:sdtContent>
  </w:sdt>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8"/>
    </w:sdtPr>
    <w:sdtContent>
      <w:p>
        <w:pPr>
          <w:pStyle w:val="40"/>
          <w:jc w:val="center"/>
        </w:pPr>
        <w:r>
          <w:fldChar w:fldCharType="begin"/>
        </w:r>
        <w:r>
          <w:instrText xml:space="preserve"> PAGE   \* MERGEFORMAT </w:instrText>
        </w:r>
        <w:r>
          <w:fldChar w:fldCharType="separate"/>
        </w:r>
        <w:r>
          <w:rPr>
            <w:lang w:val="zh-CN"/>
          </w:rPr>
          <w:t>99</w:t>
        </w:r>
        <w:r>
          <w:rPr>
            <w:lang w:val="zh-CN"/>
          </w:rPr>
          <w:fldChar w:fldCharType="end"/>
        </w:r>
      </w:p>
    </w:sdtContent>
  </w:sdt>
  <w:p>
    <w:pPr>
      <w:pStyle w:val="40"/>
      <w:rPr>
        <w:rFonts w:ascii="FangSong_GB2312" w:eastAsia="FangSong_GB231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7"/>
    </w:sdtPr>
    <w:sdtContent>
      <w:p>
        <w:pPr>
          <w:pStyle w:val="40"/>
          <w:jc w:val="center"/>
        </w:pPr>
        <w:r>
          <w:fldChar w:fldCharType="begin"/>
        </w:r>
        <w:r>
          <w:instrText xml:space="preserve"> PAGE   \* MERGEFORMAT </w:instrText>
        </w:r>
        <w:r>
          <w:fldChar w:fldCharType="separate"/>
        </w:r>
        <w:r>
          <w:rPr>
            <w:lang w:val="zh-CN"/>
          </w:rPr>
          <w:t>98</w:t>
        </w:r>
        <w:r>
          <w:rPr>
            <w:lang w:val="zh-CN"/>
          </w:rPr>
          <w:fldChar w:fldCharType="end"/>
        </w:r>
      </w:p>
    </w:sdtContent>
  </w:sdt>
  <w:p>
    <w:pPr>
      <w:pStyle w:val="40"/>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FangSong_GB2312" w:eastAsia="FangSong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FangSong_GB2312" w:eastAsia="FangSong_GB2312"/>
        <w:b/>
        <w:i/>
        <w:u w:val="single"/>
      </w:rPr>
    </w:pP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AE529"/>
    <w:multiLevelType w:val="singleLevel"/>
    <w:tmpl w:val="014AE5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NjgyNzJiNmYxZjc2Yzc4YTc3MzgyNTRiZmE2ODUifQ=="/>
  </w:docVars>
  <w:rsids>
    <w:rsidRoot w:val="00172A27"/>
    <w:rsid w:val="00000451"/>
    <w:rsid w:val="0000108B"/>
    <w:rsid w:val="0000133D"/>
    <w:rsid w:val="00001509"/>
    <w:rsid w:val="000031DB"/>
    <w:rsid w:val="000032B2"/>
    <w:rsid w:val="0000363B"/>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A2E"/>
    <w:rsid w:val="00013C1F"/>
    <w:rsid w:val="00013F31"/>
    <w:rsid w:val="000140D8"/>
    <w:rsid w:val="00014530"/>
    <w:rsid w:val="00014BBC"/>
    <w:rsid w:val="000150EE"/>
    <w:rsid w:val="00015C95"/>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2F63"/>
    <w:rsid w:val="0004347C"/>
    <w:rsid w:val="00043907"/>
    <w:rsid w:val="00044F48"/>
    <w:rsid w:val="00047354"/>
    <w:rsid w:val="00047C4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6FD0"/>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B9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339"/>
    <w:rsid w:val="000E4765"/>
    <w:rsid w:val="000E5B7E"/>
    <w:rsid w:val="000E5FF9"/>
    <w:rsid w:val="000E6AE1"/>
    <w:rsid w:val="000E6D3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1820"/>
    <w:rsid w:val="00151B2F"/>
    <w:rsid w:val="001524DC"/>
    <w:rsid w:val="001525E5"/>
    <w:rsid w:val="00152889"/>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10"/>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280"/>
    <w:rsid w:val="001B3DCD"/>
    <w:rsid w:val="001B45B9"/>
    <w:rsid w:val="001B46B2"/>
    <w:rsid w:val="001B4725"/>
    <w:rsid w:val="001B48B2"/>
    <w:rsid w:val="001B49DA"/>
    <w:rsid w:val="001B4CA8"/>
    <w:rsid w:val="001B572D"/>
    <w:rsid w:val="001B576E"/>
    <w:rsid w:val="001B5B10"/>
    <w:rsid w:val="001B5DC8"/>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205"/>
    <w:rsid w:val="001C6047"/>
    <w:rsid w:val="001C6698"/>
    <w:rsid w:val="001C6BC1"/>
    <w:rsid w:val="001C6C33"/>
    <w:rsid w:val="001C6C5B"/>
    <w:rsid w:val="001C7399"/>
    <w:rsid w:val="001C7CE0"/>
    <w:rsid w:val="001D005B"/>
    <w:rsid w:val="001D00C1"/>
    <w:rsid w:val="001D0947"/>
    <w:rsid w:val="001D16F5"/>
    <w:rsid w:val="001D1970"/>
    <w:rsid w:val="001D1D55"/>
    <w:rsid w:val="001D21EF"/>
    <w:rsid w:val="001D29A4"/>
    <w:rsid w:val="001D2B73"/>
    <w:rsid w:val="001D2D03"/>
    <w:rsid w:val="001D3136"/>
    <w:rsid w:val="001D330D"/>
    <w:rsid w:val="001D4AB6"/>
    <w:rsid w:val="001D4AD3"/>
    <w:rsid w:val="001D5281"/>
    <w:rsid w:val="001E17E3"/>
    <w:rsid w:val="001E2052"/>
    <w:rsid w:val="001E2492"/>
    <w:rsid w:val="001E257C"/>
    <w:rsid w:val="001E286C"/>
    <w:rsid w:val="001E2F34"/>
    <w:rsid w:val="001E35EE"/>
    <w:rsid w:val="001E3829"/>
    <w:rsid w:val="001E4B2C"/>
    <w:rsid w:val="001E507F"/>
    <w:rsid w:val="001E56C2"/>
    <w:rsid w:val="001E59FB"/>
    <w:rsid w:val="001E7F81"/>
    <w:rsid w:val="001F0FD1"/>
    <w:rsid w:val="001F1526"/>
    <w:rsid w:val="001F176C"/>
    <w:rsid w:val="001F19D1"/>
    <w:rsid w:val="001F1CB9"/>
    <w:rsid w:val="001F1F18"/>
    <w:rsid w:val="001F2632"/>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16D"/>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5C60"/>
    <w:rsid w:val="00266045"/>
    <w:rsid w:val="002660C3"/>
    <w:rsid w:val="00266C21"/>
    <w:rsid w:val="00266DE1"/>
    <w:rsid w:val="00267A92"/>
    <w:rsid w:val="00267E43"/>
    <w:rsid w:val="00270282"/>
    <w:rsid w:val="00270780"/>
    <w:rsid w:val="00270CF6"/>
    <w:rsid w:val="00271097"/>
    <w:rsid w:val="00271C53"/>
    <w:rsid w:val="00271DDA"/>
    <w:rsid w:val="0027244F"/>
    <w:rsid w:val="00273052"/>
    <w:rsid w:val="002734BB"/>
    <w:rsid w:val="002739CE"/>
    <w:rsid w:val="00273C5F"/>
    <w:rsid w:val="002741D4"/>
    <w:rsid w:val="002743AC"/>
    <w:rsid w:val="0027499D"/>
    <w:rsid w:val="00274C46"/>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188"/>
    <w:rsid w:val="002E55FF"/>
    <w:rsid w:val="002E58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815"/>
    <w:rsid w:val="002F4BA9"/>
    <w:rsid w:val="002F50D7"/>
    <w:rsid w:val="002F541B"/>
    <w:rsid w:val="002F5BFE"/>
    <w:rsid w:val="002F5DA5"/>
    <w:rsid w:val="002F5E17"/>
    <w:rsid w:val="002F647C"/>
    <w:rsid w:val="002F6C6B"/>
    <w:rsid w:val="002F6CB0"/>
    <w:rsid w:val="002F6EFF"/>
    <w:rsid w:val="002F7342"/>
    <w:rsid w:val="002F737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531A"/>
    <w:rsid w:val="00315394"/>
    <w:rsid w:val="00315D77"/>
    <w:rsid w:val="00315D8E"/>
    <w:rsid w:val="00316002"/>
    <w:rsid w:val="0031644C"/>
    <w:rsid w:val="00316A77"/>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88F"/>
    <w:rsid w:val="00340B3E"/>
    <w:rsid w:val="003411F3"/>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E45"/>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6779"/>
    <w:rsid w:val="0036684D"/>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9DC"/>
    <w:rsid w:val="00384C0A"/>
    <w:rsid w:val="00385B16"/>
    <w:rsid w:val="00385B96"/>
    <w:rsid w:val="0038637D"/>
    <w:rsid w:val="003868F6"/>
    <w:rsid w:val="003869DC"/>
    <w:rsid w:val="00386C07"/>
    <w:rsid w:val="00386F58"/>
    <w:rsid w:val="0038700D"/>
    <w:rsid w:val="00387757"/>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7F8"/>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2930"/>
    <w:rsid w:val="003B31A7"/>
    <w:rsid w:val="003B34C0"/>
    <w:rsid w:val="003B414C"/>
    <w:rsid w:val="003B4587"/>
    <w:rsid w:val="003B4821"/>
    <w:rsid w:val="003B4B51"/>
    <w:rsid w:val="003B4FE1"/>
    <w:rsid w:val="003B514E"/>
    <w:rsid w:val="003B532C"/>
    <w:rsid w:val="003B5531"/>
    <w:rsid w:val="003B636A"/>
    <w:rsid w:val="003B69CE"/>
    <w:rsid w:val="003B721B"/>
    <w:rsid w:val="003B7403"/>
    <w:rsid w:val="003C011C"/>
    <w:rsid w:val="003C0E32"/>
    <w:rsid w:val="003C11D7"/>
    <w:rsid w:val="003C16CB"/>
    <w:rsid w:val="003C1B97"/>
    <w:rsid w:val="003C247B"/>
    <w:rsid w:val="003C3292"/>
    <w:rsid w:val="003C3C1E"/>
    <w:rsid w:val="003C3D88"/>
    <w:rsid w:val="003C4134"/>
    <w:rsid w:val="003C435B"/>
    <w:rsid w:val="003C4EBE"/>
    <w:rsid w:val="003C5302"/>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1B3"/>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089"/>
    <w:rsid w:val="004056B6"/>
    <w:rsid w:val="00405764"/>
    <w:rsid w:val="004064BD"/>
    <w:rsid w:val="00406745"/>
    <w:rsid w:val="0040674B"/>
    <w:rsid w:val="00406B32"/>
    <w:rsid w:val="004074FA"/>
    <w:rsid w:val="00407A56"/>
    <w:rsid w:val="00407FCC"/>
    <w:rsid w:val="0041000C"/>
    <w:rsid w:val="0041035A"/>
    <w:rsid w:val="0041060C"/>
    <w:rsid w:val="00410A12"/>
    <w:rsid w:val="00410E76"/>
    <w:rsid w:val="004112D1"/>
    <w:rsid w:val="004113C9"/>
    <w:rsid w:val="004115E4"/>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DB2"/>
    <w:rsid w:val="00423125"/>
    <w:rsid w:val="00423309"/>
    <w:rsid w:val="004233AD"/>
    <w:rsid w:val="00424446"/>
    <w:rsid w:val="00424867"/>
    <w:rsid w:val="00425269"/>
    <w:rsid w:val="00425341"/>
    <w:rsid w:val="004255FE"/>
    <w:rsid w:val="00425674"/>
    <w:rsid w:val="00425A82"/>
    <w:rsid w:val="00425C60"/>
    <w:rsid w:val="00426B2C"/>
    <w:rsid w:val="00427DFD"/>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52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87"/>
    <w:rsid w:val="004543AB"/>
    <w:rsid w:val="004545EC"/>
    <w:rsid w:val="0045475B"/>
    <w:rsid w:val="00455967"/>
    <w:rsid w:val="00455F71"/>
    <w:rsid w:val="00456272"/>
    <w:rsid w:val="004570EF"/>
    <w:rsid w:val="00457517"/>
    <w:rsid w:val="00457578"/>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E6A"/>
    <w:rsid w:val="004724B8"/>
    <w:rsid w:val="004724DA"/>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48"/>
    <w:rsid w:val="004A3A21"/>
    <w:rsid w:val="004A407A"/>
    <w:rsid w:val="004A4E3B"/>
    <w:rsid w:val="004A5C84"/>
    <w:rsid w:val="004A6110"/>
    <w:rsid w:val="004A61B8"/>
    <w:rsid w:val="004A6415"/>
    <w:rsid w:val="004A64F9"/>
    <w:rsid w:val="004A65F4"/>
    <w:rsid w:val="004A6D2C"/>
    <w:rsid w:val="004A7E3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6A1"/>
    <w:rsid w:val="004C27CF"/>
    <w:rsid w:val="004C2CA7"/>
    <w:rsid w:val="004C3592"/>
    <w:rsid w:val="004C439F"/>
    <w:rsid w:val="004C45C8"/>
    <w:rsid w:val="004C4F8F"/>
    <w:rsid w:val="004C541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569F"/>
    <w:rsid w:val="004E6713"/>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5146"/>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55"/>
    <w:rsid w:val="00515180"/>
    <w:rsid w:val="00515973"/>
    <w:rsid w:val="00516069"/>
    <w:rsid w:val="00517AC8"/>
    <w:rsid w:val="00517C3E"/>
    <w:rsid w:val="005207D8"/>
    <w:rsid w:val="0052091D"/>
    <w:rsid w:val="005212F4"/>
    <w:rsid w:val="005213D8"/>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49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1EE"/>
    <w:rsid w:val="005A04F6"/>
    <w:rsid w:val="005A14F0"/>
    <w:rsid w:val="005A1861"/>
    <w:rsid w:val="005A1A31"/>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21"/>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180"/>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6AAC"/>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23"/>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EE7"/>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173"/>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A3"/>
    <w:rsid w:val="00650D19"/>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08"/>
    <w:rsid w:val="0066676C"/>
    <w:rsid w:val="006673B9"/>
    <w:rsid w:val="0066790C"/>
    <w:rsid w:val="00667FF0"/>
    <w:rsid w:val="0067038D"/>
    <w:rsid w:val="00670C7C"/>
    <w:rsid w:val="00671480"/>
    <w:rsid w:val="006717E7"/>
    <w:rsid w:val="00671FD5"/>
    <w:rsid w:val="006720BC"/>
    <w:rsid w:val="00672906"/>
    <w:rsid w:val="00672C73"/>
    <w:rsid w:val="00673B64"/>
    <w:rsid w:val="00674BF2"/>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9E"/>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9AE"/>
    <w:rsid w:val="007069D4"/>
    <w:rsid w:val="00706A0B"/>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11B"/>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B2B"/>
    <w:rsid w:val="00746D58"/>
    <w:rsid w:val="00747578"/>
    <w:rsid w:val="00750D12"/>
    <w:rsid w:val="00751073"/>
    <w:rsid w:val="00751AF2"/>
    <w:rsid w:val="00751B1A"/>
    <w:rsid w:val="00751BD2"/>
    <w:rsid w:val="00751CE5"/>
    <w:rsid w:val="00752188"/>
    <w:rsid w:val="00752CC6"/>
    <w:rsid w:val="0075367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F3F"/>
    <w:rsid w:val="0077710B"/>
    <w:rsid w:val="0077765A"/>
    <w:rsid w:val="00780032"/>
    <w:rsid w:val="0078054B"/>
    <w:rsid w:val="00780636"/>
    <w:rsid w:val="00780E86"/>
    <w:rsid w:val="00780F1B"/>
    <w:rsid w:val="0078108C"/>
    <w:rsid w:val="00781727"/>
    <w:rsid w:val="007823E8"/>
    <w:rsid w:val="00782A3C"/>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6D55"/>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DE6"/>
    <w:rsid w:val="007D03BC"/>
    <w:rsid w:val="007D0DC9"/>
    <w:rsid w:val="007D0ECD"/>
    <w:rsid w:val="007D2882"/>
    <w:rsid w:val="007D296C"/>
    <w:rsid w:val="007D2C31"/>
    <w:rsid w:val="007D2E50"/>
    <w:rsid w:val="007D2ECF"/>
    <w:rsid w:val="007D3D74"/>
    <w:rsid w:val="007D445F"/>
    <w:rsid w:val="007D4DED"/>
    <w:rsid w:val="007D5BA2"/>
    <w:rsid w:val="007D5ED3"/>
    <w:rsid w:val="007D61AC"/>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E5B"/>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2D62"/>
    <w:rsid w:val="0080348B"/>
    <w:rsid w:val="008035A5"/>
    <w:rsid w:val="00803D82"/>
    <w:rsid w:val="00803D98"/>
    <w:rsid w:val="00805016"/>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10F"/>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6F8"/>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5371"/>
    <w:rsid w:val="008C623D"/>
    <w:rsid w:val="008C65F4"/>
    <w:rsid w:val="008C6683"/>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2DD"/>
    <w:rsid w:val="008E6335"/>
    <w:rsid w:val="008E6A39"/>
    <w:rsid w:val="008E76BB"/>
    <w:rsid w:val="008F0E70"/>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C56"/>
    <w:rsid w:val="00911D61"/>
    <w:rsid w:val="0091254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6128"/>
    <w:rsid w:val="0094633F"/>
    <w:rsid w:val="00946ADA"/>
    <w:rsid w:val="00947BA5"/>
    <w:rsid w:val="00947C64"/>
    <w:rsid w:val="00950272"/>
    <w:rsid w:val="00950805"/>
    <w:rsid w:val="00950FB3"/>
    <w:rsid w:val="00951371"/>
    <w:rsid w:val="009517E4"/>
    <w:rsid w:val="009518D4"/>
    <w:rsid w:val="009520BC"/>
    <w:rsid w:val="009521D2"/>
    <w:rsid w:val="00952403"/>
    <w:rsid w:val="00952589"/>
    <w:rsid w:val="00952BD8"/>
    <w:rsid w:val="00953573"/>
    <w:rsid w:val="009537C0"/>
    <w:rsid w:val="00953C68"/>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F1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456"/>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BFC"/>
    <w:rsid w:val="00A15CB1"/>
    <w:rsid w:val="00A15DCC"/>
    <w:rsid w:val="00A15E7D"/>
    <w:rsid w:val="00A15E84"/>
    <w:rsid w:val="00A16021"/>
    <w:rsid w:val="00A16961"/>
    <w:rsid w:val="00A176DD"/>
    <w:rsid w:val="00A21838"/>
    <w:rsid w:val="00A21F6F"/>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23B1"/>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479F3"/>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653"/>
    <w:rsid w:val="00A55A04"/>
    <w:rsid w:val="00A564DE"/>
    <w:rsid w:val="00A571B1"/>
    <w:rsid w:val="00A6054E"/>
    <w:rsid w:val="00A60799"/>
    <w:rsid w:val="00A61101"/>
    <w:rsid w:val="00A6170B"/>
    <w:rsid w:val="00A61991"/>
    <w:rsid w:val="00A61B7F"/>
    <w:rsid w:val="00A61B91"/>
    <w:rsid w:val="00A61C3A"/>
    <w:rsid w:val="00A620E8"/>
    <w:rsid w:val="00A63335"/>
    <w:rsid w:val="00A634EB"/>
    <w:rsid w:val="00A63685"/>
    <w:rsid w:val="00A63EA5"/>
    <w:rsid w:val="00A6439C"/>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10"/>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3AD"/>
    <w:rsid w:val="00A94A32"/>
    <w:rsid w:val="00A94AFC"/>
    <w:rsid w:val="00A94BF5"/>
    <w:rsid w:val="00A94E90"/>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D61"/>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93E"/>
    <w:rsid w:val="00AC4AB7"/>
    <w:rsid w:val="00AC51E0"/>
    <w:rsid w:val="00AC6D24"/>
    <w:rsid w:val="00AC6E18"/>
    <w:rsid w:val="00AC73E1"/>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0FB8"/>
    <w:rsid w:val="00AE11C1"/>
    <w:rsid w:val="00AE163D"/>
    <w:rsid w:val="00AE1A42"/>
    <w:rsid w:val="00AE1C5C"/>
    <w:rsid w:val="00AE315E"/>
    <w:rsid w:val="00AE319F"/>
    <w:rsid w:val="00AE31D9"/>
    <w:rsid w:val="00AE3CF0"/>
    <w:rsid w:val="00AE4546"/>
    <w:rsid w:val="00AE55E3"/>
    <w:rsid w:val="00AE6575"/>
    <w:rsid w:val="00AE6907"/>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6D5"/>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0E23"/>
    <w:rsid w:val="00B81274"/>
    <w:rsid w:val="00B815D3"/>
    <w:rsid w:val="00B81742"/>
    <w:rsid w:val="00B817B5"/>
    <w:rsid w:val="00B823A6"/>
    <w:rsid w:val="00B83468"/>
    <w:rsid w:val="00B83E76"/>
    <w:rsid w:val="00B83FA0"/>
    <w:rsid w:val="00B84156"/>
    <w:rsid w:val="00B846E6"/>
    <w:rsid w:val="00B84809"/>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71"/>
    <w:rsid w:val="00B94DA7"/>
    <w:rsid w:val="00B95163"/>
    <w:rsid w:val="00B954D0"/>
    <w:rsid w:val="00B95ED2"/>
    <w:rsid w:val="00B96DD9"/>
    <w:rsid w:val="00B96EA6"/>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212"/>
    <w:rsid w:val="00BB1688"/>
    <w:rsid w:val="00BB1EFB"/>
    <w:rsid w:val="00BB269F"/>
    <w:rsid w:val="00BB27CC"/>
    <w:rsid w:val="00BB2ACE"/>
    <w:rsid w:val="00BB2E4E"/>
    <w:rsid w:val="00BB2E62"/>
    <w:rsid w:val="00BB36C9"/>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3AB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74F"/>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EEC"/>
    <w:rsid w:val="00C34FCE"/>
    <w:rsid w:val="00C35411"/>
    <w:rsid w:val="00C35EED"/>
    <w:rsid w:val="00C36B2C"/>
    <w:rsid w:val="00C3701A"/>
    <w:rsid w:val="00C37199"/>
    <w:rsid w:val="00C379EF"/>
    <w:rsid w:val="00C4024A"/>
    <w:rsid w:val="00C405C8"/>
    <w:rsid w:val="00C406D4"/>
    <w:rsid w:val="00C40C2F"/>
    <w:rsid w:val="00C415AC"/>
    <w:rsid w:val="00C4297A"/>
    <w:rsid w:val="00C42B4D"/>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944"/>
    <w:rsid w:val="00C61223"/>
    <w:rsid w:val="00C61246"/>
    <w:rsid w:val="00C618A8"/>
    <w:rsid w:val="00C61A78"/>
    <w:rsid w:val="00C629F3"/>
    <w:rsid w:val="00C62B88"/>
    <w:rsid w:val="00C62CD3"/>
    <w:rsid w:val="00C634F9"/>
    <w:rsid w:val="00C63CDE"/>
    <w:rsid w:val="00C63E9C"/>
    <w:rsid w:val="00C63FF1"/>
    <w:rsid w:val="00C643ED"/>
    <w:rsid w:val="00C64534"/>
    <w:rsid w:val="00C64D93"/>
    <w:rsid w:val="00C64F49"/>
    <w:rsid w:val="00C64F71"/>
    <w:rsid w:val="00C650E3"/>
    <w:rsid w:val="00C65200"/>
    <w:rsid w:val="00C65BD3"/>
    <w:rsid w:val="00C664FB"/>
    <w:rsid w:val="00C665DE"/>
    <w:rsid w:val="00C667C3"/>
    <w:rsid w:val="00C6728B"/>
    <w:rsid w:val="00C70507"/>
    <w:rsid w:val="00C70718"/>
    <w:rsid w:val="00C709CD"/>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C24"/>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14A"/>
    <w:rsid w:val="00CE3A51"/>
    <w:rsid w:val="00CE41F9"/>
    <w:rsid w:val="00CE59F6"/>
    <w:rsid w:val="00CE66CD"/>
    <w:rsid w:val="00CE6BA9"/>
    <w:rsid w:val="00CE71C3"/>
    <w:rsid w:val="00CE727A"/>
    <w:rsid w:val="00CF029C"/>
    <w:rsid w:val="00CF035A"/>
    <w:rsid w:val="00CF0AF0"/>
    <w:rsid w:val="00CF0C6D"/>
    <w:rsid w:val="00CF157E"/>
    <w:rsid w:val="00CF1631"/>
    <w:rsid w:val="00CF1834"/>
    <w:rsid w:val="00CF1AAA"/>
    <w:rsid w:val="00CF1EC2"/>
    <w:rsid w:val="00CF2ACF"/>
    <w:rsid w:val="00CF345B"/>
    <w:rsid w:val="00CF475F"/>
    <w:rsid w:val="00CF5008"/>
    <w:rsid w:val="00CF5069"/>
    <w:rsid w:val="00CF547C"/>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73"/>
    <w:rsid w:val="00D10327"/>
    <w:rsid w:val="00D103C9"/>
    <w:rsid w:val="00D10577"/>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C6D"/>
    <w:rsid w:val="00D45C61"/>
    <w:rsid w:val="00D45DDC"/>
    <w:rsid w:val="00D47EA4"/>
    <w:rsid w:val="00D5064C"/>
    <w:rsid w:val="00D50C94"/>
    <w:rsid w:val="00D511E7"/>
    <w:rsid w:val="00D5133A"/>
    <w:rsid w:val="00D517ED"/>
    <w:rsid w:val="00D5251C"/>
    <w:rsid w:val="00D5265E"/>
    <w:rsid w:val="00D529E6"/>
    <w:rsid w:val="00D52F56"/>
    <w:rsid w:val="00D539DA"/>
    <w:rsid w:val="00D54A50"/>
    <w:rsid w:val="00D54FFD"/>
    <w:rsid w:val="00D5552C"/>
    <w:rsid w:val="00D5556D"/>
    <w:rsid w:val="00D55C34"/>
    <w:rsid w:val="00D55C81"/>
    <w:rsid w:val="00D5674B"/>
    <w:rsid w:val="00D56B56"/>
    <w:rsid w:val="00D56BF5"/>
    <w:rsid w:val="00D56E62"/>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52F"/>
    <w:rsid w:val="00DB14D3"/>
    <w:rsid w:val="00DB154B"/>
    <w:rsid w:val="00DB1BDC"/>
    <w:rsid w:val="00DB2FD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B52"/>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675"/>
    <w:rsid w:val="00E0082F"/>
    <w:rsid w:val="00E00C1E"/>
    <w:rsid w:val="00E00F5F"/>
    <w:rsid w:val="00E010E6"/>
    <w:rsid w:val="00E01377"/>
    <w:rsid w:val="00E014E7"/>
    <w:rsid w:val="00E016DF"/>
    <w:rsid w:val="00E0232F"/>
    <w:rsid w:val="00E026A9"/>
    <w:rsid w:val="00E0356F"/>
    <w:rsid w:val="00E03B42"/>
    <w:rsid w:val="00E03C10"/>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449B"/>
    <w:rsid w:val="00E245C3"/>
    <w:rsid w:val="00E24A62"/>
    <w:rsid w:val="00E24F52"/>
    <w:rsid w:val="00E255CC"/>
    <w:rsid w:val="00E25636"/>
    <w:rsid w:val="00E25755"/>
    <w:rsid w:val="00E25F90"/>
    <w:rsid w:val="00E266DD"/>
    <w:rsid w:val="00E26D2E"/>
    <w:rsid w:val="00E279B2"/>
    <w:rsid w:val="00E3036E"/>
    <w:rsid w:val="00E303C0"/>
    <w:rsid w:val="00E3055B"/>
    <w:rsid w:val="00E31687"/>
    <w:rsid w:val="00E31699"/>
    <w:rsid w:val="00E31761"/>
    <w:rsid w:val="00E31812"/>
    <w:rsid w:val="00E31889"/>
    <w:rsid w:val="00E31CE7"/>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346"/>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719"/>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2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2F59"/>
    <w:rsid w:val="00EA380C"/>
    <w:rsid w:val="00EA613D"/>
    <w:rsid w:val="00EA6744"/>
    <w:rsid w:val="00EA67EB"/>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0C"/>
    <w:rsid w:val="00EB381B"/>
    <w:rsid w:val="00EB3939"/>
    <w:rsid w:val="00EB3CE6"/>
    <w:rsid w:val="00EB3E92"/>
    <w:rsid w:val="00EB54AB"/>
    <w:rsid w:val="00EB6257"/>
    <w:rsid w:val="00EB68E6"/>
    <w:rsid w:val="00EB6AE9"/>
    <w:rsid w:val="00EB6B2D"/>
    <w:rsid w:val="00EB71C9"/>
    <w:rsid w:val="00EB763E"/>
    <w:rsid w:val="00EB788B"/>
    <w:rsid w:val="00EB7B67"/>
    <w:rsid w:val="00EC07F1"/>
    <w:rsid w:val="00EC1E8A"/>
    <w:rsid w:val="00EC328C"/>
    <w:rsid w:val="00EC32F5"/>
    <w:rsid w:val="00EC377B"/>
    <w:rsid w:val="00EC3852"/>
    <w:rsid w:val="00EC4397"/>
    <w:rsid w:val="00EC4528"/>
    <w:rsid w:val="00EC4761"/>
    <w:rsid w:val="00EC5233"/>
    <w:rsid w:val="00EC5241"/>
    <w:rsid w:val="00EC5817"/>
    <w:rsid w:val="00EC594C"/>
    <w:rsid w:val="00EC5C7B"/>
    <w:rsid w:val="00EC5E7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EC6"/>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AAC"/>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1DE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A6A"/>
    <w:rsid w:val="00F31CF5"/>
    <w:rsid w:val="00F3265C"/>
    <w:rsid w:val="00F32C4A"/>
    <w:rsid w:val="00F33262"/>
    <w:rsid w:val="00F343EE"/>
    <w:rsid w:val="00F34F6C"/>
    <w:rsid w:val="00F353F4"/>
    <w:rsid w:val="00F35464"/>
    <w:rsid w:val="00F35494"/>
    <w:rsid w:val="00F35607"/>
    <w:rsid w:val="00F359AB"/>
    <w:rsid w:val="00F35DBA"/>
    <w:rsid w:val="00F3619D"/>
    <w:rsid w:val="00F3686E"/>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040"/>
    <w:rsid w:val="00F462DF"/>
    <w:rsid w:val="00F46534"/>
    <w:rsid w:val="00F4662D"/>
    <w:rsid w:val="00F467BA"/>
    <w:rsid w:val="00F4689E"/>
    <w:rsid w:val="00F468AC"/>
    <w:rsid w:val="00F4696F"/>
    <w:rsid w:val="00F46A5F"/>
    <w:rsid w:val="00F46F3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10E"/>
    <w:rsid w:val="00F67B58"/>
    <w:rsid w:val="00F67E81"/>
    <w:rsid w:val="00F7044B"/>
    <w:rsid w:val="00F70FA6"/>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5CF"/>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37F"/>
    <w:rsid w:val="00F97A34"/>
    <w:rsid w:val="00F97E4A"/>
    <w:rsid w:val="00F97EA1"/>
    <w:rsid w:val="00FA003A"/>
    <w:rsid w:val="00FA05C8"/>
    <w:rsid w:val="00FA0678"/>
    <w:rsid w:val="00FA0DB6"/>
    <w:rsid w:val="00FA23F7"/>
    <w:rsid w:val="00FA26F2"/>
    <w:rsid w:val="00FA27EB"/>
    <w:rsid w:val="00FA29BC"/>
    <w:rsid w:val="00FA35B6"/>
    <w:rsid w:val="00FA3EBC"/>
    <w:rsid w:val="00FA423C"/>
    <w:rsid w:val="00FA44D0"/>
    <w:rsid w:val="00FA4590"/>
    <w:rsid w:val="00FA5161"/>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54A8"/>
    <w:rsid w:val="00FD5AE4"/>
    <w:rsid w:val="00FD5F25"/>
    <w:rsid w:val="00FD6081"/>
    <w:rsid w:val="00FD60BE"/>
    <w:rsid w:val="00FD6894"/>
    <w:rsid w:val="00FD6AF0"/>
    <w:rsid w:val="00FD704D"/>
    <w:rsid w:val="00FD74EF"/>
    <w:rsid w:val="00FD79B8"/>
    <w:rsid w:val="00FD79F6"/>
    <w:rsid w:val="00FE033F"/>
    <w:rsid w:val="00FE07A8"/>
    <w:rsid w:val="00FE0AA3"/>
    <w:rsid w:val="00FE0AD1"/>
    <w:rsid w:val="00FE0CC0"/>
    <w:rsid w:val="00FE1852"/>
    <w:rsid w:val="00FE1907"/>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55"/>
    <w:rsid w:val="00FF2A7B"/>
    <w:rsid w:val="00FF3D2B"/>
    <w:rsid w:val="00FF49B4"/>
    <w:rsid w:val="00FF49F4"/>
    <w:rsid w:val="00FF4E5B"/>
    <w:rsid w:val="00FF5C6A"/>
    <w:rsid w:val="00FF651D"/>
    <w:rsid w:val="00FF6843"/>
    <w:rsid w:val="00FF6C25"/>
    <w:rsid w:val="00FF784C"/>
    <w:rsid w:val="010651D9"/>
    <w:rsid w:val="011F6449"/>
    <w:rsid w:val="01236AFB"/>
    <w:rsid w:val="019F7441"/>
    <w:rsid w:val="01B37585"/>
    <w:rsid w:val="01D55165"/>
    <w:rsid w:val="01DF6BF8"/>
    <w:rsid w:val="01EC2C57"/>
    <w:rsid w:val="024D4E7E"/>
    <w:rsid w:val="026B2E25"/>
    <w:rsid w:val="02775E4F"/>
    <w:rsid w:val="02824D4D"/>
    <w:rsid w:val="02DC4B10"/>
    <w:rsid w:val="02DD76CE"/>
    <w:rsid w:val="02F36323"/>
    <w:rsid w:val="02F5619C"/>
    <w:rsid w:val="0326446A"/>
    <w:rsid w:val="032D5555"/>
    <w:rsid w:val="036634D2"/>
    <w:rsid w:val="03CF6675"/>
    <w:rsid w:val="03DD35E4"/>
    <w:rsid w:val="03E70DB3"/>
    <w:rsid w:val="04076900"/>
    <w:rsid w:val="04096F7B"/>
    <w:rsid w:val="040E2F10"/>
    <w:rsid w:val="0412088C"/>
    <w:rsid w:val="041A5A3B"/>
    <w:rsid w:val="042311BA"/>
    <w:rsid w:val="042403D7"/>
    <w:rsid w:val="042B157A"/>
    <w:rsid w:val="044D3AE9"/>
    <w:rsid w:val="048F763B"/>
    <w:rsid w:val="049F330E"/>
    <w:rsid w:val="04AA775C"/>
    <w:rsid w:val="04AF1889"/>
    <w:rsid w:val="04F66F48"/>
    <w:rsid w:val="0521034B"/>
    <w:rsid w:val="05251E14"/>
    <w:rsid w:val="05A16594"/>
    <w:rsid w:val="05A7762D"/>
    <w:rsid w:val="060E5941"/>
    <w:rsid w:val="06110FAF"/>
    <w:rsid w:val="06147E59"/>
    <w:rsid w:val="06493CA7"/>
    <w:rsid w:val="065A6178"/>
    <w:rsid w:val="066F1CF3"/>
    <w:rsid w:val="068A59BD"/>
    <w:rsid w:val="06930BB8"/>
    <w:rsid w:val="07147821"/>
    <w:rsid w:val="07245D42"/>
    <w:rsid w:val="07264C62"/>
    <w:rsid w:val="074043CB"/>
    <w:rsid w:val="07733110"/>
    <w:rsid w:val="0779354C"/>
    <w:rsid w:val="07A457DA"/>
    <w:rsid w:val="08061376"/>
    <w:rsid w:val="08161C67"/>
    <w:rsid w:val="0822060B"/>
    <w:rsid w:val="08452D77"/>
    <w:rsid w:val="086401F8"/>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92330"/>
    <w:rsid w:val="09B06B87"/>
    <w:rsid w:val="09C13146"/>
    <w:rsid w:val="09DB0962"/>
    <w:rsid w:val="09E04166"/>
    <w:rsid w:val="09EB2D72"/>
    <w:rsid w:val="0A1C0718"/>
    <w:rsid w:val="0A260449"/>
    <w:rsid w:val="0A3E7710"/>
    <w:rsid w:val="0A4240F4"/>
    <w:rsid w:val="0A5B7E63"/>
    <w:rsid w:val="0AA374A5"/>
    <w:rsid w:val="0AAB7649"/>
    <w:rsid w:val="0ABC5606"/>
    <w:rsid w:val="0AC4542D"/>
    <w:rsid w:val="0AC7549A"/>
    <w:rsid w:val="0AE55920"/>
    <w:rsid w:val="0B30404E"/>
    <w:rsid w:val="0B4765DB"/>
    <w:rsid w:val="0B4C6C14"/>
    <w:rsid w:val="0B5B0786"/>
    <w:rsid w:val="0B5D07C5"/>
    <w:rsid w:val="0B631A88"/>
    <w:rsid w:val="0B683D45"/>
    <w:rsid w:val="0B7F3F11"/>
    <w:rsid w:val="0B884417"/>
    <w:rsid w:val="0BC8771C"/>
    <w:rsid w:val="0BF6188C"/>
    <w:rsid w:val="0BF73C91"/>
    <w:rsid w:val="0C0544CC"/>
    <w:rsid w:val="0C170175"/>
    <w:rsid w:val="0C571A41"/>
    <w:rsid w:val="0C5C1171"/>
    <w:rsid w:val="0C5E1CBC"/>
    <w:rsid w:val="0C615B50"/>
    <w:rsid w:val="0C7A7DED"/>
    <w:rsid w:val="0C7D033C"/>
    <w:rsid w:val="0C8445DA"/>
    <w:rsid w:val="0C87121B"/>
    <w:rsid w:val="0CC007F7"/>
    <w:rsid w:val="0CF911C2"/>
    <w:rsid w:val="0CFE707A"/>
    <w:rsid w:val="0CFF5294"/>
    <w:rsid w:val="0D063BDA"/>
    <w:rsid w:val="0D08375F"/>
    <w:rsid w:val="0D184CFB"/>
    <w:rsid w:val="0D2F2DF1"/>
    <w:rsid w:val="0D4A7419"/>
    <w:rsid w:val="0D827401"/>
    <w:rsid w:val="0D84094E"/>
    <w:rsid w:val="0D8A00E9"/>
    <w:rsid w:val="0D8D589E"/>
    <w:rsid w:val="0DA01C73"/>
    <w:rsid w:val="0DA27AF9"/>
    <w:rsid w:val="0DD63300"/>
    <w:rsid w:val="0DF50604"/>
    <w:rsid w:val="0DF702FE"/>
    <w:rsid w:val="0E060E51"/>
    <w:rsid w:val="0E465D21"/>
    <w:rsid w:val="0E527771"/>
    <w:rsid w:val="0E5604B2"/>
    <w:rsid w:val="0E6D5D79"/>
    <w:rsid w:val="0E9D0089"/>
    <w:rsid w:val="0EB803EE"/>
    <w:rsid w:val="0EC12EE1"/>
    <w:rsid w:val="0EF94D4B"/>
    <w:rsid w:val="0F462A38"/>
    <w:rsid w:val="0F4958DC"/>
    <w:rsid w:val="0F515DF7"/>
    <w:rsid w:val="0F596BA8"/>
    <w:rsid w:val="0F6248D2"/>
    <w:rsid w:val="0F693536"/>
    <w:rsid w:val="0F7B0511"/>
    <w:rsid w:val="0F7B76D9"/>
    <w:rsid w:val="0F816ACD"/>
    <w:rsid w:val="0F9832DB"/>
    <w:rsid w:val="0FBF3FD2"/>
    <w:rsid w:val="0FBF7FF3"/>
    <w:rsid w:val="0FD4263C"/>
    <w:rsid w:val="0FD70683"/>
    <w:rsid w:val="0FDD588B"/>
    <w:rsid w:val="10646583"/>
    <w:rsid w:val="107D4B15"/>
    <w:rsid w:val="108A3C80"/>
    <w:rsid w:val="10B37D75"/>
    <w:rsid w:val="10C26171"/>
    <w:rsid w:val="10F33360"/>
    <w:rsid w:val="10FC16EA"/>
    <w:rsid w:val="110F1D40"/>
    <w:rsid w:val="11266F33"/>
    <w:rsid w:val="11360C84"/>
    <w:rsid w:val="118963A1"/>
    <w:rsid w:val="11BD0491"/>
    <w:rsid w:val="11C6522A"/>
    <w:rsid w:val="11E104CC"/>
    <w:rsid w:val="11E20309"/>
    <w:rsid w:val="12255233"/>
    <w:rsid w:val="12530213"/>
    <w:rsid w:val="127723A9"/>
    <w:rsid w:val="12862074"/>
    <w:rsid w:val="12883966"/>
    <w:rsid w:val="129E45B4"/>
    <w:rsid w:val="12D81596"/>
    <w:rsid w:val="13072A44"/>
    <w:rsid w:val="135F4BE2"/>
    <w:rsid w:val="13693592"/>
    <w:rsid w:val="139B1A0A"/>
    <w:rsid w:val="139D25C7"/>
    <w:rsid w:val="13BF3CE4"/>
    <w:rsid w:val="140E11B4"/>
    <w:rsid w:val="141008D8"/>
    <w:rsid w:val="14125FE6"/>
    <w:rsid w:val="146D271E"/>
    <w:rsid w:val="14982588"/>
    <w:rsid w:val="149A5AD9"/>
    <w:rsid w:val="14A7619D"/>
    <w:rsid w:val="14ED3D4F"/>
    <w:rsid w:val="150536C3"/>
    <w:rsid w:val="150C1963"/>
    <w:rsid w:val="151447A0"/>
    <w:rsid w:val="153A7D3D"/>
    <w:rsid w:val="15470214"/>
    <w:rsid w:val="154A6454"/>
    <w:rsid w:val="15762120"/>
    <w:rsid w:val="16A8729C"/>
    <w:rsid w:val="16B33777"/>
    <w:rsid w:val="16BC70A7"/>
    <w:rsid w:val="16C6339E"/>
    <w:rsid w:val="16CB6312"/>
    <w:rsid w:val="16FF57A5"/>
    <w:rsid w:val="172F2D79"/>
    <w:rsid w:val="17557BEF"/>
    <w:rsid w:val="17D349C1"/>
    <w:rsid w:val="17FA27F7"/>
    <w:rsid w:val="1830729E"/>
    <w:rsid w:val="1870062C"/>
    <w:rsid w:val="18817102"/>
    <w:rsid w:val="18830A15"/>
    <w:rsid w:val="18852B28"/>
    <w:rsid w:val="188B5321"/>
    <w:rsid w:val="18B03A11"/>
    <w:rsid w:val="191E6BCD"/>
    <w:rsid w:val="194D2535"/>
    <w:rsid w:val="19762565"/>
    <w:rsid w:val="19932372"/>
    <w:rsid w:val="19A20DD5"/>
    <w:rsid w:val="19A47FAA"/>
    <w:rsid w:val="19AE03F1"/>
    <w:rsid w:val="19DB2C36"/>
    <w:rsid w:val="1A071A03"/>
    <w:rsid w:val="1A1F16AE"/>
    <w:rsid w:val="1A3B5C77"/>
    <w:rsid w:val="1A984BAD"/>
    <w:rsid w:val="1AB8220E"/>
    <w:rsid w:val="1AC11F06"/>
    <w:rsid w:val="1AE4166C"/>
    <w:rsid w:val="1AF06CFB"/>
    <w:rsid w:val="1AF11B8D"/>
    <w:rsid w:val="1B11359C"/>
    <w:rsid w:val="1B2A271F"/>
    <w:rsid w:val="1B345D42"/>
    <w:rsid w:val="1B45447D"/>
    <w:rsid w:val="1B530544"/>
    <w:rsid w:val="1B713184"/>
    <w:rsid w:val="1B732ED7"/>
    <w:rsid w:val="1B7629B3"/>
    <w:rsid w:val="1BA209CF"/>
    <w:rsid w:val="1BB4777D"/>
    <w:rsid w:val="1BD75AB8"/>
    <w:rsid w:val="1BE16C86"/>
    <w:rsid w:val="1BED2887"/>
    <w:rsid w:val="1C0459C2"/>
    <w:rsid w:val="1C126022"/>
    <w:rsid w:val="1C1B3B4A"/>
    <w:rsid w:val="1C6A3ED7"/>
    <w:rsid w:val="1C7A5C28"/>
    <w:rsid w:val="1C88086E"/>
    <w:rsid w:val="1D266CE1"/>
    <w:rsid w:val="1D3963AF"/>
    <w:rsid w:val="1D6A673C"/>
    <w:rsid w:val="1D9247AE"/>
    <w:rsid w:val="1DB567EC"/>
    <w:rsid w:val="1DD925F6"/>
    <w:rsid w:val="1DEB4F9C"/>
    <w:rsid w:val="1DF51A98"/>
    <w:rsid w:val="1E3073D1"/>
    <w:rsid w:val="1E3D060F"/>
    <w:rsid w:val="1E3F7D2E"/>
    <w:rsid w:val="1E4134E4"/>
    <w:rsid w:val="1E5062B3"/>
    <w:rsid w:val="1E523514"/>
    <w:rsid w:val="1E714A66"/>
    <w:rsid w:val="1E802593"/>
    <w:rsid w:val="1EA55954"/>
    <w:rsid w:val="1EA703CC"/>
    <w:rsid w:val="1EB7330C"/>
    <w:rsid w:val="1EC024D4"/>
    <w:rsid w:val="1ED85A70"/>
    <w:rsid w:val="1EF2004D"/>
    <w:rsid w:val="1F0A0FF3"/>
    <w:rsid w:val="1F5771FF"/>
    <w:rsid w:val="1FA54F78"/>
    <w:rsid w:val="1FE868A9"/>
    <w:rsid w:val="20034907"/>
    <w:rsid w:val="20173E4B"/>
    <w:rsid w:val="204E48BC"/>
    <w:rsid w:val="206F41B2"/>
    <w:rsid w:val="20825C88"/>
    <w:rsid w:val="208921B3"/>
    <w:rsid w:val="20973DEB"/>
    <w:rsid w:val="20B26522"/>
    <w:rsid w:val="20B44310"/>
    <w:rsid w:val="21006661"/>
    <w:rsid w:val="211116EB"/>
    <w:rsid w:val="216133FC"/>
    <w:rsid w:val="21AD48BF"/>
    <w:rsid w:val="21D56769"/>
    <w:rsid w:val="21E52EF3"/>
    <w:rsid w:val="21FB5D7B"/>
    <w:rsid w:val="220B1C3D"/>
    <w:rsid w:val="221D1D20"/>
    <w:rsid w:val="2221328A"/>
    <w:rsid w:val="22334A87"/>
    <w:rsid w:val="22BE6801"/>
    <w:rsid w:val="22F73C42"/>
    <w:rsid w:val="23131962"/>
    <w:rsid w:val="231436FB"/>
    <w:rsid w:val="233500BF"/>
    <w:rsid w:val="23377FF7"/>
    <w:rsid w:val="234D018A"/>
    <w:rsid w:val="235F411E"/>
    <w:rsid w:val="236B425F"/>
    <w:rsid w:val="23836192"/>
    <w:rsid w:val="23901F29"/>
    <w:rsid w:val="239C0061"/>
    <w:rsid w:val="23B908A4"/>
    <w:rsid w:val="23E95BEF"/>
    <w:rsid w:val="23EB7FF4"/>
    <w:rsid w:val="23FD0064"/>
    <w:rsid w:val="245375B0"/>
    <w:rsid w:val="24642C0A"/>
    <w:rsid w:val="24B22173"/>
    <w:rsid w:val="24B95AD9"/>
    <w:rsid w:val="24BE24DA"/>
    <w:rsid w:val="24CF5825"/>
    <w:rsid w:val="24D663E6"/>
    <w:rsid w:val="24D77F2B"/>
    <w:rsid w:val="24F84776"/>
    <w:rsid w:val="251E1FFF"/>
    <w:rsid w:val="252512E3"/>
    <w:rsid w:val="25382DC5"/>
    <w:rsid w:val="258B00E2"/>
    <w:rsid w:val="25A917A6"/>
    <w:rsid w:val="25BE27CC"/>
    <w:rsid w:val="25E116AE"/>
    <w:rsid w:val="25F74A5C"/>
    <w:rsid w:val="261323A8"/>
    <w:rsid w:val="2628662C"/>
    <w:rsid w:val="262D45DE"/>
    <w:rsid w:val="26383433"/>
    <w:rsid w:val="267B61AB"/>
    <w:rsid w:val="26A53EF9"/>
    <w:rsid w:val="26A94201"/>
    <w:rsid w:val="26AC274F"/>
    <w:rsid w:val="27044A29"/>
    <w:rsid w:val="271D34C8"/>
    <w:rsid w:val="274D5177"/>
    <w:rsid w:val="27554102"/>
    <w:rsid w:val="276142BF"/>
    <w:rsid w:val="27783712"/>
    <w:rsid w:val="27907362"/>
    <w:rsid w:val="279C3009"/>
    <w:rsid w:val="27E6523A"/>
    <w:rsid w:val="27FC632B"/>
    <w:rsid w:val="28333E1D"/>
    <w:rsid w:val="28454BD6"/>
    <w:rsid w:val="28455253"/>
    <w:rsid w:val="28551971"/>
    <w:rsid w:val="285B1C53"/>
    <w:rsid w:val="287D3B77"/>
    <w:rsid w:val="289F7086"/>
    <w:rsid w:val="28AF46FE"/>
    <w:rsid w:val="28C32028"/>
    <w:rsid w:val="28C7479F"/>
    <w:rsid w:val="28CC490F"/>
    <w:rsid w:val="28DE40AA"/>
    <w:rsid w:val="290C4C94"/>
    <w:rsid w:val="29345E77"/>
    <w:rsid w:val="294C65AD"/>
    <w:rsid w:val="29542CFA"/>
    <w:rsid w:val="295F68EE"/>
    <w:rsid w:val="29806583"/>
    <w:rsid w:val="298B3C4C"/>
    <w:rsid w:val="29F15C38"/>
    <w:rsid w:val="29F26D24"/>
    <w:rsid w:val="29F82B12"/>
    <w:rsid w:val="2A15033F"/>
    <w:rsid w:val="2A1662C1"/>
    <w:rsid w:val="2A1C7367"/>
    <w:rsid w:val="2A2815FA"/>
    <w:rsid w:val="2A2A1699"/>
    <w:rsid w:val="2A6D6092"/>
    <w:rsid w:val="2A7D76B4"/>
    <w:rsid w:val="2A8D1F07"/>
    <w:rsid w:val="2AAD3CB8"/>
    <w:rsid w:val="2B24758F"/>
    <w:rsid w:val="2B437463"/>
    <w:rsid w:val="2B7807EE"/>
    <w:rsid w:val="2BBE1B4A"/>
    <w:rsid w:val="2BBF00EC"/>
    <w:rsid w:val="2BC37CFD"/>
    <w:rsid w:val="2BD5237F"/>
    <w:rsid w:val="2BE536CE"/>
    <w:rsid w:val="2BE758D9"/>
    <w:rsid w:val="2C09049E"/>
    <w:rsid w:val="2C0A653C"/>
    <w:rsid w:val="2C191F85"/>
    <w:rsid w:val="2C3D7F30"/>
    <w:rsid w:val="2C6C2E8B"/>
    <w:rsid w:val="2C7A3CC3"/>
    <w:rsid w:val="2C841377"/>
    <w:rsid w:val="2C9F7BCD"/>
    <w:rsid w:val="2CE82D6F"/>
    <w:rsid w:val="2D343236"/>
    <w:rsid w:val="2DA3549B"/>
    <w:rsid w:val="2DA74F8B"/>
    <w:rsid w:val="2DC03B59"/>
    <w:rsid w:val="2DD15014"/>
    <w:rsid w:val="2DF72DE4"/>
    <w:rsid w:val="2E0220AF"/>
    <w:rsid w:val="2E0777D8"/>
    <w:rsid w:val="2E4B082A"/>
    <w:rsid w:val="2E5D4E86"/>
    <w:rsid w:val="2E5D790B"/>
    <w:rsid w:val="2E8452CD"/>
    <w:rsid w:val="2E9A3C18"/>
    <w:rsid w:val="2EBB0FEE"/>
    <w:rsid w:val="2EC63002"/>
    <w:rsid w:val="2F0A6B38"/>
    <w:rsid w:val="2F946CCB"/>
    <w:rsid w:val="2FC75471"/>
    <w:rsid w:val="2FD25781"/>
    <w:rsid w:val="2FDE5E55"/>
    <w:rsid w:val="2FE63DAE"/>
    <w:rsid w:val="2FFD7934"/>
    <w:rsid w:val="30546081"/>
    <w:rsid w:val="305C3331"/>
    <w:rsid w:val="30733ACD"/>
    <w:rsid w:val="30754DF6"/>
    <w:rsid w:val="307750E9"/>
    <w:rsid w:val="308B68D4"/>
    <w:rsid w:val="308C3862"/>
    <w:rsid w:val="309379D8"/>
    <w:rsid w:val="30A270F7"/>
    <w:rsid w:val="30DF1478"/>
    <w:rsid w:val="30EC586F"/>
    <w:rsid w:val="311F308B"/>
    <w:rsid w:val="31666F0B"/>
    <w:rsid w:val="319C6071"/>
    <w:rsid w:val="31AC537E"/>
    <w:rsid w:val="31E3679B"/>
    <w:rsid w:val="31E732FD"/>
    <w:rsid w:val="32517576"/>
    <w:rsid w:val="32582CF8"/>
    <w:rsid w:val="32BE5C2C"/>
    <w:rsid w:val="32C51A10"/>
    <w:rsid w:val="32D00AE0"/>
    <w:rsid w:val="32FB6478"/>
    <w:rsid w:val="33263B3F"/>
    <w:rsid w:val="336963EB"/>
    <w:rsid w:val="33784CD4"/>
    <w:rsid w:val="33816EEB"/>
    <w:rsid w:val="33C57F19"/>
    <w:rsid w:val="33C95D9A"/>
    <w:rsid w:val="33DB541F"/>
    <w:rsid w:val="33EB55CD"/>
    <w:rsid w:val="33EC4C02"/>
    <w:rsid w:val="33FD7B69"/>
    <w:rsid w:val="340D2360"/>
    <w:rsid w:val="3410665D"/>
    <w:rsid w:val="34211214"/>
    <w:rsid w:val="342E63AB"/>
    <w:rsid w:val="34402563"/>
    <w:rsid w:val="34694A7D"/>
    <w:rsid w:val="347100A1"/>
    <w:rsid w:val="34950E68"/>
    <w:rsid w:val="34986E94"/>
    <w:rsid w:val="349D271D"/>
    <w:rsid w:val="34A0681D"/>
    <w:rsid w:val="34AF62C9"/>
    <w:rsid w:val="34C55706"/>
    <w:rsid w:val="34CB4388"/>
    <w:rsid w:val="34FA6E12"/>
    <w:rsid w:val="351D1FD7"/>
    <w:rsid w:val="35567EA0"/>
    <w:rsid w:val="358D5588"/>
    <w:rsid w:val="363611DD"/>
    <w:rsid w:val="363A3B40"/>
    <w:rsid w:val="365302AE"/>
    <w:rsid w:val="36607A0A"/>
    <w:rsid w:val="366E227C"/>
    <w:rsid w:val="366F2E0D"/>
    <w:rsid w:val="367B6A5C"/>
    <w:rsid w:val="36A74ADA"/>
    <w:rsid w:val="36AD60D5"/>
    <w:rsid w:val="36B224F9"/>
    <w:rsid w:val="36EC0CC9"/>
    <w:rsid w:val="37284B97"/>
    <w:rsid w:val="373F410B"/>
    <w:rsid w:val="37495387"/>
    <w:rsid w:val="37841E99"/>
    <w:rsid w:val="378C5D50"/>
    <w:rsid w:val="37B671A6"/>
    <w:rsid w:val="37EE7094"/>
    <w:rsid w:val="38296C89"/>
    <w:rsid w:val="383002EB"/>
    <w:rsid w:val="38586797"/>
    <w:rsid w:val="38B37AA7"/>
    <w:rsid w:val="38BC0149"/>
    <w:rsid w:val="38D87D1C"/>
    <w:rsid w:val="39636459"/>
    <w:rsid w:val="396B7F6C"/>
    <w:rsid w:val="398B3CA5"/>
    <w:rsid w:val="399B02E5"/>
    <w:rsid w:val="39A46823"/>
    <w:rsid w:val="39B417A9"/>
    <w:rsid w:val="39FC5695"/>
    <w:rsid w:val="3A006D8E"/>
    <w:rsid w:val="3A3651E5"/>
    <w:rsid w:val="3A744481"/>
    <w:rsid w:val="3A8C7BEF"/>
    <w:rsid w:val="3A906246"/>
    <w:rsid w:val="3AAF547F"/>
    <w:rsid w:val="3AC23BBB"/>
    <w:rsid w:val="3B2349B7"/>
    <w:rsid w:val="3B616CFF"/>
    <w:rsid w:val="3B6259F6"/>
    <w:rsid w:val="3B976654"/>
    <w:rsid w:val="3BC01EFC"/>
    <w:rsid w:val="3BCA786A"/>
    <w:rsid w:val="3BD31E2F"/>
    <w:rsid w:val="3BF15831"/>
    <w:rsid w:val="3C105946"/>
    <w:rsid w:val="3C154B1E"/>
    <w:rsid w:val="3C236125"/>
    <w:rsid w:val="3C471448"/>
    <w:rsid w:val="3C5F759A"/>
    <w:rsid w:val="3C650C6F"/>
    <w:rsid w:val="3C6B7ACC"/>
    <w:rsid w:val="3C6C525A"/>
    <w:rsid w:val="3CA60B04"/>
    <w:rsid w:val="3CCE23CB"/>
    <w:rsid w:val="3CD17D17"/>
    <w:rsid w:val="3D3C7F39"/>
    <w:rsid w:val="3D440F09"/>
    <w:rsid w:val="3D4504A0"/>
    <w:rsid w:val="3D8734BB"/>
    <w:rsid w:val="3D9A11D4"/>
    <w:rsid w:val="3DA16D89"/>
    <w:rsid w:val="3DA364BE"/>
    <w:rsid w:val="3DD13731"/>
    <w:rsid w:val="3DE041CB"/>
    <w:rsid w:val="3DEF18BE"/>
    <w:rsid w:val="3E0D48F6"/>
    <w:rsid w:val="3E1868B4"/>
    <w:rsid w:val="3E1D4DF6"/>
    <w:rsid w:val="3E377251"/>
    <w:rsid w:val="3E42664B"/>
    <w:rsid w:val="3E523C61"/>
    <w:rsid w:val="3E573E64"/>
    <w:rsid w:val="3E5A7334"/>
    <w:rsid w:val="3E792FCD"/>
    <w:rsid w:val="3E7B5D6B"/>
    <w:rsid w:val="3E843E66"/>
    <w:rsid w:val="3E8F51FE"/>
    <w:rsid w:val="3E926F87"/>
    <w:rsid w:val="3E9A59DE"/>
    <w:rsid w:val="3EAF4836"/>
    <w:rsid w:val="3EC33DFA"/>
    <w:rsid w:val="3F060E16"/>
    <w:rsid w:val="3F1D1096"/>
    <w:rsid w:val="3F2F0234"/>
    <w:rsid w:val="3F6363FE"/>
    <w:rsid w:val="3F756B8F"/>
    <w:rsid w:val="3F8165BB"/>
    <w:rsid w:val="3F95482B"/>
    <w:rsid w:val="3FE73C89"/>
    <w:rsid w:val="3FFC6AA9"/>
    <w:rsid w:val="4019356B"/>
    <w:rsid w:val="40305CDD"/>
    <w:rsid w:val="40592157"/>
    <w:rsid w:val="406E1CAE"/>
    <w:rsid w:val="40A0133A"/>
    <w:rsid w:val="40BF1232"/>
    <w:rsid w:val="40C31A53"/>
    <w:rsid w:val="40F956A6"/>
    <w:rsid w:val="40FF545D"/>
    <w:rsid w:val="410067C8"/>
    <w:rsid w:val="418F0D2A"/>
    <w:rsid w:val="41D01505"/>
    <w:rsid w:val="41DD6D76"/>
    <w:rsid w:val="422E7FD5"/>
    <w:rsid w:val="42474939"/>
    <w:rsid w:val="424C3C57"/>
    <w:rsid w:val="42613FF3"/>
    <w:rsid w:val="42660D96"/>
    <w:rsid w:val="427A45C5"/>
    <w:rsid w:val="428667D2"/>
    <w:rsid w:val="429A6A15"/>
    <w:rsid w:val="42CD1CE0"/>
    <w:rsid w:val="42E1381E"/>
    <w:rsid w:val="42ED6459"/>
    <w:rsid w:val="42FE58DD"/>
    <w:rsid w:val="43174B3D"/>
    <w:rsid w:val="43226726"/>
    <w:rsid w:val="43441619"/>
    <w:rsid w:val="434B790E"/>
    <w:rsid w:val="4360274F"/>
    <w:rsid w:val="43977AB6"/>
    <w:rsid w:val="439D67BD"/>
    <w:rsid w:val="43A3342B"/>
    <w:rsid w:val="43C77C27"/>
    <w:rsid w:val="43DE09EE"/>
    <w:rsid w:val="43F4658F"/>
    <w:rsid w:val="44002FAD"/>
    <w:rsid w:val="44416362"/>
    <w:rsid w:val="449101DD"/>
    <w:rsid w:val="44A479C5"/>
    <w:rsid w:val="44DE1391"/>
    <w:rsid w:val="451B225C"/>
    <w:rsid w:val="452410C9"/>
    <w:rsid w:val="45317DFB"/>
    <w:rsid w:val="4554062E"/>
    <w:rsid w:val="456D3CE4"/>
    <w:rsid w:val="4579042C"/>
    <w:rsid w:val="457F0571"/>
    <w:rsid w:val="45851176"/>
    <w:rsid w:val="45C63B94"/>
    <w:rsid w:val="45E9366C"/>
    <w:rsid w:val="460E7DA5"/>
    <w:rsid w:val="46422483"/>
    <w:rsid w:val="4659254A"/>
    <w:rsid w:val="465B0637"/>
    <w:rsid w:val="465E3F0D"/>
    <w:rsid w:val="466A16E6"/>
    <w:rsid w:val="46893F2B"/>
    <w:rsid w:val="46AB5755"/>
    <w:rsid w:val="46C4686E"/>
    <w:rsid w:val="46CB1893"/>
    <w:rsid w:val="47295AED"/>
    <w:rsid w:val="47380B78"/>
    <w:rsid w:val="477B778F"/>
    <w:rsid w:val="478203EC"/>
    <w:rsid w:val="47B025FA"/>
    <w:rsid w:val="4809698F"/>
    <w:rsid w:val="4811697D"/>
    <w:rsid w:val="487A3E25"/>
    <w:rsid w:val="488B5503"/>
    <w:rsid w:val="48937E21"/>
    <w:rsid w:val="489A0361"/>
    <w:rsid w:val="48B94FF3"/>
    <w:rsid w:val="48CE566A"/>
    <w:rsid w:val="48E37AAB"/>
    <w:rsid w:val="48FD4B4C"/>
    <w:rsid w:val="490A68E0"/>
    <w:rsid w:val="491055FE"/>
    <w:rsid w:val="494E6709"/>
    <w:rsid w:val="495F5B3E"/>
    <w:rsid w:val="496F77D7"/>
    <w:rsid w:val="497654FD"/>
    <w:rsid w:val="49B64211"/>
    <w:rsid w:val="49F25388"/>
    <w:rsid w:val="49F6167F"/>
    <w:rsid w:val="49F70BF1"/>
    <w:rsid w:val="4A064FA0"/>
    <w:rsid w:val="4A16615C"/>
    <w:rsid w:val="4A4424D7"/>
    <w:rsid w:val="4AB82D0F"/>
    <w:rsid w:val="4AEB7664"/>
    <w:rsid w:val="4AFD7C19"/>
    <w:rsid w:val="4B0567D1"/>
    <w:rsid w:val="4B0E78A9"/>
    <w:rsid w:val="4B1B26BD"/>
    <w:rsid w:val="4B236AAE"/>
    <w:rsid w:val="4B425E9C"/>
    <w:rsid w:val="4B707271"/>
    <w:rsid w:val="4B7122DD"/>
    <w:rsid w:val="4B9739F7"/>
    <w:rsid w:val="4BEE2503"/>
    <w:rsid w:val="4C245A30"/>
    <w:rsid w:val="4CA71F8A"/>
    <w:rsid w:val="4CB6685F"/>
    <w:rsid w:val="4CC367FE"/>
    <w:rsid w:val="4D077F3C"/>
    <w:rsid w:val="4D0D7B68"/>
    <w:rsid w:val="4D123355"/>
    <w:rsid w:val="4D2A3B31"/>
    <w:rsid w:val="4D312C52"/>
    <w:rsid w:val="4D905305"/>
    <w:rsid w:val="4D964A72"/>
    <w:rsid w:val="4D9C1254"/>
    <w:rsid w:val="4E0062C6"/>
    <w:rsid w:val="4E6342B9"/>
    <w:rsid w:val="4E793892"/>
    <w:rsid w:val="4E800872"/>
    <w:rsid w:val="4E8D55B7"/>
    <w:rsid w:val="4EC569ED"/>
    <w:rsid w:val="4ED50EA1"/>
    <w:rsid w:val="4EEC050C"/>
    <w:rsid w:val="4F104EC3"/>
    <w:rsid w:val="4F18038A"/>
    <w:rsid w:val="4F47354A"/>
    <w:rsid w:val="4F823999"/>
    <w:rsid w:val="4F911C54"/>
    <w:rsid w:val="4FE625E0"/>
    <w:rsid w:val="5021480F"/>
    <w:rsid w:val="50742D22"/>
    <w:rsid w:val="50962ECB"/>
    <w:rsid w:val="50A42E38"/>
    <w:rsid w:val="50A4577F"/>
    <w:rsid w:val="50AA1DC3"/>
    <w:rsid w:val="50B73D1F"/>
    <w:rsid w:val="50BD5BC9"/>
    <w:rsid w:val="50C11EEE"/>
    <w:rsid w:val="50E97CFC"/>
    <w:rsid w:val="50FA4028"/>
    <w:rsid w:val="510D65B7"/>
    <w:rsid w:val="511157AB"/>
    <w:rsid w:val="512B5A23"/>
    <w:rsid w:val="5142540C"/>
    <w:rsid w:val="518832C8"/>
    <w:rsid w:val="51A0432A"/>
    <w:rsid w:val="51A86090"/>
    <w:rsid w:val="51AE428B"/>
    <w:rsid w:val="51B7396D"/>
    <w:rsid w:val="51CC4711"/>
    <w:rsid w:val="522E4CC3"/>
    <w:rsid w:val="5244713B"/>
    <w:rsid w:val="52615633"/>
    <w:rsid w:val="5296022B"/>
    <w:rsid w:val="52977FD4"/>
    <w:rsid w:val="52A25790"/>
    <w:rsid w:val="52A96B6F"/>
    <w:rsid w:val="52B45975"/>
    <w:rsid w:val="52D94AA4"/>
    <w:rsid w:val="52EA3A62"/>
    <w:rsid w:val="52F50BB8"/>
    <w:rsid w:val="53097272"/>
    <w:rsid w:val="53544462"/>
    <w:rsid w:val="536966BB"/>
    <w:rsid w:val="536B49B0"/>
    <w:rsid w:val="5397158E"/>
    <w:rsid w:val="54013861"/>
    <w:rsid w:val="54203CF6"/>
    <w:rsid w:val="54487265"/>
    <w:rsid w:val="544D6070"/>
    <w:rsid w:val="54605E1E"/>
    <w:rsid w:val="54790B80"/>
    <w:rsid w:val="54A36AF6"/>
    <w:rsid w:val="54B3506A"/>
    <w:rsid w:val="54CA0D16"/>
    <w:rsid w:val="54DD4057"/>
    <w:rsid w:val="54E7490F"/>
    <w:rsid w:val="550764A4"/>
    <w:rsid w:val="550B2BF6"/>
    <w:rsid w:val="55101466"/>
    <w:rsid w:val="55214EB5"/>
    <w:rsid w:val="55364EFD"/>
    <w:rsid w:val="555D4828"/>
    <w:rsid w:val="557A4C8B"/>
    <w:rsid w:val="558931E1"/>
    <w:rsid w:val="55923347"/>
    <w:rsid w:val="55925180"/>
    <w:rsid w:val="55983B1B"/>
    <w:rsid w:val="55A8376B"/>
    <w:rsid w:val="55DC29B6"/>
    <w:rsid w:val="55DD4241"/>
    <w:rsid w:val="56521E02"/>
    <w:rsid w:val="566B6D1E"/>
    <w:rsid w:val="56814847"/>
    <w:rsid w:val="56867584"/>
    <w:rsid w:val="56BC4D54"/>
    <w:rsid w:val="57032A2C"/>
    <w:rsid w:val="570F5219"/>
    <w:rsid w:val="571E59B2"/>
    <w:rsid w:val="57437223"/>
    <w:rsid w:val="574F6F2E"/>
    <w:rsid w:val="575D12B5"/>
    <w:rsid w:val="57610A87"/>
    <w:rsid w:val="577B1140"/>
    <w:rsid w:val="577B7F21"/>
    <w:rsid w:val="577F181B"/>
    <w:rsid w:val="57850CCD"/>
    <w:rsid w:val="57921984"/>
    <w:rsid w:val="579737F0"/>
    <w:rsid w:val="57AB7B30"/>
    <w:rsid w:val="57AF5251"/>
    <w:rsid w:val="57B26373"/>
    <w:rsid w:val="57B63F04"/>
    <w:rsid w:val="57CD20C2"/>
    <w:rsid w:val="57D675AB"/>
    <w:rsid w:val="57D95FDD"/>
    <w:rsid w:val="57FB589C"/>
    <w:rsid w:val="58917D2F"/>
    <w:rsid w:val="5894085C"/>
    <w:rsid w:val="58AE4F0C"/>
    <w:rsid w:val="58B840EE"/>
    <w:rsid w:val="58B85899"/>
    <w:rsid w:val="58E363A9"/>
    <w:rsid w:val="592E5F20"/>
    <w:rsid w:val="595E1678"/>
    <w:rsid w:val="596D5BD4"/>
    <w:rsid w:val="597013FA"/>
    <w:rsid w:val="597E3DD8"/>
    <w:rsid w:val="59896FA9"/>
    <w:rsid w:val="59A0270B"/>
    <w:rsid w:val="59A32035"/>
    <w:rsid w:val="59B85CA7"/>
    <w:rsid w:val="59F80043"/>
    <w:rsid w:val="5A09252F"/>
    <w:rsid w:val="5A0B2778"/>
    <w:rsid w:val="5A2A7C7B"/>
    <w:rsid w:val="5A3E2560"/>
    <w:rsid w:val="5A445628"/>
    <w:rsid w:val="5A5D3B6E"/>
    <w:rsid w:val="5A637A76"/>
    <w:rsid w:val="5A6D33BA"/>
    <w:rsid w:val="5A792B1F"/>
    <w:rsid w:val="5A874767"/>
    <w:rsid w:val="5A987886"/>
    <w:rsid w:val="5AAD6F28"/>
    <w:rsid w:val="5ABD04D8"/>
    <w:rsid w:val="5AC10B8B"/>
    <w:rsid w:val="5AD63A24"/>
    <w:rsid w:val="5ADE798F"/>
    <w:rsid w:val="5AF002EE"/>
    <w:rsid w:val="5B1909C7"/>
    <w:rsid w:val="5B2E1A1D"/>
    <w:rsid w:val="5B815DA7"/>
    <w:rsid w:val="5B843A1C"/>
    <w:rsid w:val="5B873E3F"/>
    <w:rsid w:val="5BCA4851"/>
    <w:rsid w:val="5BCB3758"/>
    <w:rsid w:val="5BE66FEC"/>
    <w:rsid w:val="5C02690E"/>
    <w:rsid w:val="5C196DA7"/>
    <w:rsid w:val="5C2A048C"/>
    <w:rsid w:val="5C80234E"/>
    <w:rsid w:val="5C8A680C"/>
    <w:rsid w:val="5CA644DC"/>
    <w:rsid w:val="5CD201CC"/>
    <w:rsid w:val="5CDE3C1A"/>
    <w:rsid w:val="5CFD5EAA"/>
    <w:rsid w:val="5D094A6B"/>
    <w:rsid w:val="5D0C4701"/>
    <w:rsid w:val="5D0F0395"/>
    <w:rsid w:val="5D221076"/>
    <w:rsid w:val="5D397964"/>
    <w:rsid w:val="5D5A391C"/>
    <w:rsid w:val="5D5F10C0"/>
    <w:rsid w:val="5D891B7B"/>
    <w:rsid w:val="5DAD38EE"/>
    <w:rsid w:val="5DB9023F"/>
    <w:rsid w:val="5DBE5856"/>
    <w:rsid w:val="5E006862"/>
    <w:rsid w:val="5E0207B9"/>
    <w:rsid w:val="5E1834A1"/>
    <w:rsid w:val="5E261785"/>
    <w:rsid w:val="5E266C2D"/>
    <w:rsid w:val="5E315646"/>
    <w:rsid w:val="5E4A7017"/>
    <w:rsid w:val="5E552BBA"/>
    <w:rsid w:val="5E611C10"/>
    <w:rsid w:val="5ED25D4D"/>
    <w:rsid w:val="5EDF0F7C"/>
    <w:rsid w:val="5EFC7377"/>
    <w:rsid w:val="5F04138D"/>
    <w:rsid w:val="5F06174D"/>
    <w:rsid w:val="5F3A3602"/>
    <w:rsid w:val="5F3F7F50"/>
    <w:rsid w:val="5F6277C6"/>
    <w:rsid w:val="5F6D0B1D"/>
    <w:rsid w:val="5F8D0B82"/>
    <w:rsid w:val="5FA42829"/>
    <w:rsid w:val="5FCC5339"/>
    <w:rsid w:val="5FE34A5B"/>
    <w:rsid w:val="5FFE1E36"/>
    <w:rsid w:val="60232584"/>
    <w:rsid w:val="607330CE"/>
    <w:rsid w:val="607C75A8"/>
    <w:rsid w:val="60825176"/>
    <w:rsid w:val="609F2AC4"/>
    <w:rsid w:val="60E13FC0"/>
    <w:rsid w:val="60FA2EE8"/>
    <w:rsid w:val="61054A27"/>
    <w:rsid w:val="610A52BC"/>
    <w:rsid w:val="611D2366"/>
    <w:rsid w:val="61421856"/>
    <w:rsid w:val="615227C4"/>
    <w:rsid w:val="61654E3F"/>
    <w:rsid w:val="6182292A"/>
    <w:rsid w:val="619F7F92"/>
    <w:rsid w:val="61E93A54"/>
    <w:rsid w:val="61F57638"/>
    <w:rsid w:val="61F8533F"/>
    <w:rsid w:val="61F94C26"/>
    <w:rsid w:val="62000E56"/>
    <w:rsid w:val="624F3E49"/>
    <w:rsid w:val="62632286"/>
    <w:rsid w:val="62885958"/>
    <w:rsid w:val="62DE6052"/>
    <w:rsid w:val="62E47B0C"/>
    <w:rsid w:val="62F40B65"/>
    <w:rsid w:val="62F76C03"/>
    <w:rsid w:val="62FC2CFE"/>
    <w:rsid w:val="63024505"/>
    <w:rsid w:val="6315263E"/>
    <w:rsid w:val="633D5518"/>
    <w:rsid w:val="635B1DB5"/>
    <w:rsid w:val="636724EC"/>
    <w:rsid w:val="636C33A3"/>
    <w:rsid w:val="63711FED"/>
    <w:rsid w:val="63880DDC"/>
    <w:rsid w:val="638D750D"/>
    <w:rsid w:val="63AC6CC0"/>
    <w:rsid w:val="63BC0727"/>
    <w:rsid w:val="64055776"/>
    <w:rsid w:val="64240056"/>
    <w:rsid w:val="643E143A"/>
    <w:rsid w:val="648B6EEF"/>
    <w:rsid w:val="64A439AF"/>
    <w:rsid w:val="64C158BF"/>
    <w:rsid w:val="64CE2EAA"/>
    <w:rsid w:val="64E9731B"/>
    <w:rsid w:val="653C3090"/>
    <w:rsid w:val="65767CBF"/>
    <w:rsid w:val="65854376"/>
    <w:rsid w:val="658767BE"/>
    <w:rsid w:val="65892531"/>
    <w:rsid w:val="65986A0C"/>
    <w:rsid w:val="65D93276"/>
    <w:rsid w:val="66195831"/>
    <w:rsid w:val="662E75B1"/>
    <w:rsid w:val="66342C2E"/>
    <w:rsid w:val="663E784C"/>
    <w:rsid w:val="668B6A45"/>
    <w:rsid w:val="66A14A2C"/>
    <w:rsid w:val="67157571"/>
    <w:rsid w:val="672F3F24"/>
    <w:rsid w:val="673E055F"/>
    <w:rsid w:val="67551CE3"/>
    <w:rsid w:val="679B231C"/>
    <w:rsid w:val="67A22552"/>
    <w:rsid w:val="67B22DCC"/>
    <w:rsid w:val="67B657F0"/>
    <w:rsid w:val="67BE71AA"/>
    <w:rsid w:val="67D90273"/>
    <w:rsid w:val="67DE5875"/>
    <w:rsid w:val="67E55852"/>
    <w:rsid w:val="67EB1AB4"/>
    <w:rsid w:val="67F87BB6"/>
    <w:rsid w:val="67FA1285"/>
    <w:rsid w:val="68551F4F"/>
    <w:rsid w:val="68774F7F"/>
    <w:rsid w:val="68795138"/>
    <w:rsid w:val="687C10C9"/>
    <w:rsid w:val="68840C16"/>
    <w:rsid w:val="68876EFB"/>
    <w:rsid w:val="68884654"/>
    <w:rsid w:val="689F444F"/>
    <w:rsid w:val="68B96DBB"/>
    <w:rsid w:val="68CA2805"/>
    <w:rsid w:val="68E937A3"/>
    <w:rsid w:val="68F433CA"/>
    <w:rsid w:val="693E15D3"/>
    <w:rsid w:val="69627681"/>
    <w:rsid w:val="6977531D"/>
    <w:rsid w:val="69BE2739"/>
    <w:rsid w:val="69C85C24"/>
    <w:rsid w:val="69CC2BFF"/>
    <w:rsid w:val="69FD55B8"/>
    <w:rsid w:val="6A0B1C62"/>
    <w:rsid w:val="6A2406C8"/>
    <w:rsid w:val="6A9E6E89"/>
    <w:rsid w:val="6ADE0BD1"/>
    <w:rsid w:val="6AE96859"/>
    <w:rsid w:val="6B0A3E88"/>
    <w:rsid w:val="6B147746"/>
    <w:rsid w:val="6B24787C"/>
    <w:rsid w:val="6B4A616F"/>
    <w:rsid w:val="6B573233"/>
    <w:rsid w:val="6B5B6274"/>
    <w:rsid w:val="6B935D53"/>
    <w:rsid w:val="6C196F71"/>
    <w:rsid w:val="6C226FCB"/>
    <w:rsid w:val="6C2A0FC0"/>
    <w:rsid w:val="6C31226F"/>
    <w:rsid w:val="6C552F0B"/>
    <w:rsid w:val="6C624D29"/>
    <w:rsid w:val="6C6F4D8F"/>
    <w:rsid w:val="6C8C67B7"/>
    <w:rsid w:val="6C9D744C"/>
    <w:rsid w:val="6D167928"/>
    <w:rsid w:val="6D1D0745"/>
    <w:rsid w:val="6D26299B"/>
    <w:rsid w:val="6D4772EC"/>
    <w:rsid w:val="6D4C69DA"/>
    <w:rsid w:val="6D6249EE"/>
    <w:rsid w:val="6D8C3758"/>
    <w:rsid w:val="6D9078AF"/>
    <w:rsid w:val="6D941350"/>
    <w:rsid w:val="6DAA3FEF"/>
    <w:rsid w:val="6DC0172B"/>
    <w:rsid w:val="6DCB690C"/>
    <w:rsid w:val="6DD41A5B"/>
    <w:rsid w:val="6DF43C2E"/>
    <w:rsid w:val="6DF51CA3"/>
    <w:rsid w:val="6E8335BD"/>
    <w:rsid w:val="6E8E12EF"/>
    <w:rsid w:val="6E972936"/>
    <w:rsid w:val="6EA2087C"/>
    <w:rsid w:val="6ED446C5"/>
    <w:rsid w:val="6F2A7D94"/>
    <w:rsid w:val="6F8331F1"/>
    <w:rsid w:val="6FAE1A09"/>
    <w:rsid w:val="6FD75BF8"/>
    <w:rsid w:val="70266C62"/>
    <w:rsid w:val="707723D0"/>
    <w:rsid w:val="70F5661B"/>
    <w:rsid w:val="70FB773A"/>
    <w:rsid w:val="71360107"/>
    <w:rsid w:val="713B688E"/>
    <w:rsid w:val="714479C8"/>
    <w:rsid w:val="71535E5D"/>
    <w:rsid w:val="71D43752"/>
    <w:rsid w:val="71DB032D"/>
    <w:rsid w:val="71F1796A"/>
    <w:rsid w:val="72154626"/>
    <w:rsid w:val="72262B5D"/>
    <w:rsid w:val="72283FF7"/>
    <w:rsid w:val="722E7212"/>
    <w:rsid w:val="723A0474"/>
    <w:rsid w:val="724B4950"/>
    <w:rsid w:val="725923E4"/>
    <w:rsid w:val="726B7B33"/>
    <w:rsid w:val="72864BF7"/>
    <w:rsid w:val="729023FC"/>
    <w:rsid w:val="72A15198"/>
    <w:rsid w:val="73697BBA"/>
    <w:rsid w:val="73797DFD"/>
    <w:rsid w:val="73C0646E"/>
    <w:rsid w:val="73CF56FF"/>
    <w:rsid w:val="742222F5"/>
    <w:rsid w:val="74237BDB"/>
    <w:rsid w:val="74476126"/>
    <w:rsid w:val="74706664"/>
    <w:rsid w:val="747F3682"/>
    <w:rsid w:val="74951ED7"/>
    <w:rsid w:val="749C4185"/>
    <w:rsid w:val="75067759"/>
    <w:rsid w:val="752E6DCD"/>
    <w:rsid w:val="7551380D"/>
    <w:rsid w:val="75600BE5"/>
    <w:rsid w:val="7564475C"/>
    <w:rsid w:val="7583797F"/>
    <w:rsid w:val="75970A0E"/>
    <w:rsid w:val="75D20F1D"/>
    <w:rsid w:val="75D23FC9"/>
    <w:rsid w:val="75DA2C18"/>
    <w:rsid w:val="75F54412"/>
    <w:rsid w:val="761072A4"/>
    <w:rsid w:val="761D08E0"/>
    <w:rsid w:val="762322A2"/>
    <w:rsid w:val="762D4ECF"/>
    <w:rsid w:val="765D347C"/>
    <w:rsid w:val="76826699"/>
    <w:rsid w:val="76C87133"/>
    <w:rsid w:val="76CD08D5"/>
    <w:rsid w:val="76DB4B92"/>
    <w:rsid w:val="77052AA4"/>
    <w:rsid w:val="77136511"/>
    <w:rsid w:val="77340A39"/>
    <w:rsid w:val="77351FD0"/>
    <w:rsid w:val="77472422"/>
    <w:rsid w:val="777F31F2"/>
    <w:rsid w:val="778C1A27"/>
    <w:rsid w:val="77D1700D"/>
    <w:rsid w:val="77E87688"/>
    <w:rsid w:val="77EC04CC"/>
    <w:rsid w:val="780A418F"/>
    <w:rsid w:val="78650950"/>
    <w:rsid w:val="786725EB"/>
    <w:rsid w:val="78775729"/>
    <w:rsid w:val="78A42DB0"/>
    <w:rsid w:val="78A656AB"/>
    <w:rsid w:val="78B2245C"/>
    <w:rsid w:val="78E172CC"/>
    <w:rsid w:val="78EA1D1F"/>
    <w:rsid w:val="78FB12B4"/>
    <w:rsid w:val="7904172F"/>
    <w:rsid w:val="790F7E27"/>
    <w:rsid w:val="791D56CF"/>
    <w:rsid w:val="79294073"/>
    <w:rsid w:val="792A231A"/>
    <w:rsid w:val="79316829"/>
    <w:rsid w:val="79440FF5"/>
    <w:rsid w:val="797E66A9"/>
    <w:rsid w:val="79823784"/>
    <w:rsid w:val="79935991"/>
    <w:rsid w:val="79A97383"/>
    <w:rsid w:val="79DF2D87"/>
    <w:rsid w:val="79E27E8B"/>
    <w:rsid w:val="79F850CE"/>
    <w:rsid w:val="79FD443C"/>
    <w:rsid w:val="7A1D1975"/>
    <w:rsid w:val="7A3E5150"/>
    <w:rsid w:val="7A4670D6"/>
    <w:rsid w:val="7A534B63"/>
    <w:rsid w:val="7A5471AB"/>
    <w:rsid w:val="7A615382"/>
    <w:rsid w:val="7A67303B"/>
    <w:rsid w:val="7AAB1D04"/>
    <w:rsid w:val="7AB61937"/>
    <w:rsid w:val="7ABA4368"/>
    <w:rsid w:val="7AD05746"/>
    <w:rsid w:val="7AE244E6"/>
    <w:rsid w:val="7B257FFD"/>
    <w:rsid w:val="7B343476"/>
    <w:rsid w:val="7B5A2978"/>
    <w:rsid w:val="7B5A7E4C"/>
    <w:rsid w:val="7B667AF9"/>
    <w:rsid w:val="7B7468F8"/>
    <w:rsid w:val="7BEE0103"/>
    <w:rsid w:val="7C0A0FE4"/>
    <w:rsid w:val="7C254906"/>
    <w:rsid w:val="7C384856"/>
    <w:rsid w:val="7C590818"/>
    <w:rsid w:val="7C7C10F6"/>
    <w:rsid w:val="7C853BEA"/>
    <w:rsid w:val="7C881368"/>
    <w:rsid w:val="7CA4541E"/>
    <w:rsid w:val="7CE27788"/>
    <w:rsid w:val="7D0C32F1"/>
    <w:rsid w:val="7D0E5A5A"/>
    <w:rsid w:val="7D0F408D"/>
    <w:rsid w:val="7D491C6C"/>
    <w:rsid w:val="7D5429C0"/>
    <w:rsid w:val="7D6E6D43"/>
    <w:rsid w:val="7DB57A34"/>
    <w:rsid w:val="7DCF4ABD"/>
    <w:rsid w:val="7DE60973"/>
    <w:rsid w:val="7DE84174"/>
    <w:rsid w:val="7DEF0916"/>
    <w:rsid w:val="7E0C6649"/>
    <w:rsid w:val="7E1E5218"/>
    <w:rsid w:val="7E9A4E1F"/>
    <w:rsid w:val="7EA7723A"/>
    <w:rsid w:val="7EC87E8B"/>
    <w:rsid w:val="7EF56FBB"/>
    <w:rsid w:val="7F0768EB"/>
    <w:rsid w:val="7F143BEC"/>
    <w:rsid w:val="7F715AF2"/>
    <w:rsid w:val="7F886E69"/>
    <w:rsid w:val="7FF50CD9"/>
    <w:rsid w:val="BB7FA927"/>
    <w:rsid w:val="F5FFD31F"/>
    <w:rsid w:val="FC9F8B97"/>
    <w:rsid w:val="FFBB65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2">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Balloon Text"/>
    <w:basedOn w:val="1"/>
    <w:next w:val="16"/>
    <w:link w:val="186"/>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FangSong_GB2312" w:eastAsia="FangSong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Body Text Indent"/>
    <w:basedOn w:val="1"/>
    <w:next w:val="14"/>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FangSong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2"/>
    <w:basedOn w:val="27"/>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34"/>
    <w:next w:val="1"/>
    <w:qFormat/>
    <w:uiPriority w:val="0"/>
    <w:pPr>
      <w:ind w:left="0" w:leftChars="0" w:firstLine="480" w:firstLineChars="200"/>
    </w:pPr>
    <w:rPr>
      <w:rFonts w:ascii="FangSong_GB2312" w:hAnsi="Courier New" w:eastAsia="FangSong_GB2312"/>
      <w:kern w:val="28"/>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FangSong_GB2312" w:hAnsi="FangSong_GB2312" w:eastAsia="FangSong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FangSong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FangSong_GB2312" w:hAnsi="微软雅黑" w:eastAsia="FangSong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FangSong_GB2312" w:hAnsi="宋体" w:eastAsia="FangSong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FangSong_GB2312" w:eastAsia="FangSong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basedOn w:val="69"/>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FangSong_GB2312" w:hAnsi="仿宋" w:eastAsia="FangSong_GB2312"/>
      <w:kern w:val="2"/>
      <w:sz w:val="24"/>
      <w:szCs w:val="24"/>
    </w:rPr>
  </w:style>
  <w:style w:type="character" w:customStyle="1" w:styleId="126">
    <w:name w:val="样式4 Char"/>
    <w:qFormat/>
    <w:uiPriority w:val="0"/>
    <w:rPr>
      <w:rFonts w:ascii="FangSong_GB2312" w:hAnsi="仿宋" w:eastAsia="FangSong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FangSong_GB2312" w:hAnsi="仿宋" w:eastAsia="FangSong_GB2312"/>
      <w:b/>
      <w:kern w:val="2"/>
      <w:sz w:val="24"/>
      <w:szCs w:val="24"/>
    </w:rPr>
  </w:style>
  <w:style w:type="character" w:customStyle="1" w:styleId="140">
    <w:name w:val="font12gray1"/>
    <w:qFormat/>
    <w:uiPriority w:val="0"/>
    <w:rPr>
      <w:rFonts w:ascii="FangSong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FangSong_GB2312" w:eastAsia="FangSong_GB2312" w:cs="FangSong_GB2312"/>
      <w:color w:val="000000"/>
      <w:sz w:val="22"/>
      <w:szCs w:val="22"/>
      <w:u w:val="none"/>
    </w:rPr>
  </w:style>
  <w:style w:type="character" w:customStyle="1" w:styleId="145">
    <w:name w:val="标题 6 Char"/>
    <w:link w:val="2"/>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FangSong_GB2312" w:hAnsi="FangSong_GB2312" w:eastAsia="FangSong_GB2312"/>
      <w:kern w:val="2"/>
      <w:sz w:val="24"/>
      <w:lang w:bidi="ar-SA"/>
    </w:rPr>
  </w:style>
  <w:style w:type="character" w:customStyle="1" w:styleId="151">
    <w:name w:val="正文 项目 Char"/>
    <w:qFormat/>
    <w:uiPriority w:val="0"/>
    <w:rPr>
      <w:rFonts w:ascii="FangSong_GB2312" w:hAnsi="FangSong_GB2312" w:eastAsia="FangSong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FangSong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99"/>
    <w:rPr>
      <w:rFonts w:eastAsia="FangSong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FangSong_GB2312" w:hAnsi="Times New Roman" w:eastAsia="FangSong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FangSong_GB2312" w:hAnsi="仿宋" w:eastAsia="FangSong_GB2312" w:cs="FangSong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15"/>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FangSong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99"/>
    <w:rPr>
      <w:rFonts w:eastAsia="FangSong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FangSong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FangSong_GB2312" w:hAnsi="仿宋" w:eastAsia="FangSong_GB2312" w:cs="FangSong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FangSong_GB2312" w:eastAsia="FangSong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FangSong_GB2312" w:eastAsia="FangSong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FangSong_GB2312" w:eastAsia="FangSong_GB2312" w:cs="FangSong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FangSong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FangSong_GB2312" w:eastAsia="FangSong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FangSong_GB2312" w:hAnsi="FangSong_GB2312" w:eastAsia="FangSong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FangSong_GB2312" w:eastAsia="FangSong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0"/>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FangSong_GB2312" w:eastAsia="微软雅黑"/>
      <w:b/>
      <w:kern w:val="2"/>
      <w:sz w:val="23"/>
      <w:szCs w:val="23"/>
      <w:lang w:val="en-US" w:eastAsia="zh-CN" w:bidi="ar-SA"/>
    </w:rPr>
  </w:style>
  <w:style w:type="character" w:customStyle="1" w:styleId="288">
    <w:name w:val="样式8 Char"/>
    <w:qFormat/>
    <w:uiPriority w:val="0"/>
    <w:rPr>
      <w:rFonts w:ascii="FangSong_GB2312" w:hAnsi="宋体" w:eastAsia="FangSong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FangSong_GB2312" w:eastAsia="FangSong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FangSong_GB2312" w:eastAsia="FangSong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FangSong_GB2312" w:eastAsia="FangSong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FangSong_GB2312" w:hAnsi="Courier New" w:eastAsia="FangSong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FangSong_GB2312"/>
      <w:sz w:val="24"/>
    </w:rPr>
  </w:style>
  <w:style w:type="character" w:customStyle="1" w:styleId="344">
    <w:name w:val="hui3"/>
    <w:qFormat/>
    <w:uiPriority w:val="0"/>
    <w:rPr>
      <w:color w:val="333333"/>
    </w:rPr>
  </w:style>
  <w:style w:type="character" w:customStyle="1" w:styleId="345">
    <w:name w:val="Char Char17"/>
    <w:qFormat/>
    <w:uiPriority w:val="6"/>
    <w:rPr>
      <w:rFonts w:eastAsia="FangSong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FangSong_GB2312" w:eastAsia="FangSong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FangSong_GB2312" w:eastAsia="FangSong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FangSong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FangSong_GB2312" w:eastAsia="FangSong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FangSong_GB2312" w:hAnsi="FangSong_GB2312" w:eastAsia="FangSong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FangSong_GB2312" w:eastAsia="FangSong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FangSong_GB2312" w:eastAsia="FangSong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FangSong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25"/>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FangSong_GB2312" w:eastAsia="FangSong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FangSong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2"/>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FangSong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FangSong_GB2312" w:eastAsia="FangSong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FangSong_GB2312" w:eastAsia="FangSong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FangSong_GB2312" w:eastAsia="FangSong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FangSong_GB2312" w:eastAsia="FangSong_GB2312"/>
      <w:b/>
      <w:sz w:val="32"/>
      <w:szCs w:val="32"/>
    </w:rPr>
  </w:style>
  <w:style w:type="paragraph" w:customStyle="1" w:styleId="501">
    <w:name w:val="Char2 Char Char Char1"/>
    <w:basedOn w:val="1"/>
    <w:qFormat/>
    <w:uiPriority w:val="6"/>
    <w:rPr>
      <w:rFonts w:ascii="FangSong_GB2312" w:eastAsia="FangSong_GB2312"/>
      <w:b/>
      <w:sz w:val="32"/>
      <w:szCs w:val="32"/>
    </w:rPr>
  </w:style>
  <w:style w:type="paragraph" w:customStyle="1" w:styleId="502">
    <w:name w:val="默认段落样式"/>
    <w:basedOn w:val="129"/>
    <w:qFormat/>
    <w:uiPriority w:val="0"/>
    <w:pPr>
      <w:spacing w:before="0"/>
      <w:ind w:firstLine="480"/>
      <w:outlineLvl w:val="2"/>
    </w:pPr>
    <w:rPr>
      <w:rFonts w:ascii="FangSong_GB2312" w:hAnsi="宋体" w:eastAsia="FangSong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1"/>
    <w:pPr>
      <w:adjustRightInd/>
      <w:ind w:firstLine="420" w:firstLineChars="200"/>
    </w:pPr>
    <w:rPr>
      <w:rFonts w:eastAsia="FangSong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FangSong_GB2312" w:eastAsia="FangSong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FangSong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FangSong_GB2312" w:eastAsia="FangSong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FangSong_GB2312" w:eastAsia="FangSong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FangSong_GB2312" w:eastAsia="FangSong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FangSong_GB2312" w:hAnsi="仿宋" w:eastAsia="FangSong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FangSong_GB2312" w:eastAsia="FangSong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FangSong_GB2312" w:hAnsi="宋体" w:eastAsia="FangSong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FangSong_GB2312" w:eastAsia="FangSong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FangSong_GB2312" w:eastAsia="FangSong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FangSong_GB2312" w:eastAsia="FangSong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FangSong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FangSong_GB2312" w:eastAsia="FangSong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FangSong_GB2312" w:eastAsia="FangSong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FangSong_GB2312" w:eastAsia="FangSong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FangSong_GB2312" w:eastAsia="FangSong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FangSong_GB2312" w:eastAsia="FangSong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59">
    <w:name w:val="_Style 5"/>
    <w:basedOn w:val="1"/>
    <w:qFormat/>
    <w:uiPriority w:val="34"/>
    <w:pPr>
      <w:adjustRightInd/>
      <w:ind w:firstLine="420" w:firstLineChars="200"/>
    </w:pPr>
    <w:rPr>
      <w:rFonts w:eastAsia="FangSong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FangSong_GB2312" w:eastAsia="FangSong_GB2312"/>
      <w:b/>
      <w:sz w:val="32"/>
      <w:szCs w:val="32"/>
    </w:rPr>
  </w:style>
  <w:style w:type="paragraph" w:customStyle="1" w:styleId="784">
    <w:name w:val="Char111"/>
    <w:basedOn w:val="1"/>
    <w:qFormat/>
    <w:uiPriority w:val="0"/>
    <w:rPr>
      <w:rFonts w:ascii="FangSong_GB2312" w:eastAsia="FangSong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FangSong_GB2312" w:eastAsia="FangSong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FangSong_GB2312" w:eastAsia="FangSong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FangSong_GB2312" w:eastAsia="FangSong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FangSong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FangSong_GB2312" w:eastAsia="FangSong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FangSong_GB2312" w:eastAsia="FangSong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FangSong_GB2312" w:eastAsia="FangSong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FangSong_GB2312"/>
      <w:sz w:val="28"/>
    </w:rPr>
  </w:style>
  <w:style w:type="paragraph" w:customStyle="1" w:styleId="858">
    <w:name w:val="Char21"/>
    <w:basedOn w:val="1"/>
    <w:qFormat/>
    <w:uiPriority w:val="0"/>
    <w:pPr>
      <w:adjustRightInd/>
      <w:ind w:firstLine="200" w:firstLineChars="200"/>
    </w:pPr>
    <w:rPr>
      <w:rFonts w:ascii="FangSong_GB2312" w:eastAsia="FangSong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FangSong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FangSong_GB2312" w:eastAsia="FangSong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FangSong_GB2312"/>
      <w:sz w:val="28"/>
    </w:rPr>
  </w:style>
  <w:style w:type="paragraph" w:customStyle="1" w:styleId="890">
    <w:name w:val="表格 内容"/>
    <w:basedOn w:val="727"/>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FangSong_GB2312"/>
      <w:sz w:val="28"/>
    </w:rPr>
  </w:style>
  <w:style w:type="paragraph" w:customStyle="1" w:styleId="903">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4">
    <w:name w:val="_Style 8"/>
    <w:basedOn w:val="1"/>
    <w:qFormat/>
    <w:uiPriority w:val="34"/>
    <w:pPr>
      <w:adjustRightInd/>
      <w:ind w:firstLine="420" w:firstLineChars="200"/>
    </w:pPr>
    <w:rPr>
      <w:rFonts w:eastAsia="FangSong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FangSong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1"/>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link w:val="962"/>
    <w:qFormat/>
    <w:uiPriority w:val="0"/>
    <w:rPr>
      <w:rFonts w:ascii="Tahoma" w:hAnsi="Tahoma"/>
      <w:kern w:val="2"/>
      <w:sz w:val="24"/>
      <w:szCs w:val="24"/>
    </w:rPr>
  </w:style>
  <w:style w:type="paragraph" w:customStyle="1" w:styleId="962">
    <w:name w:val="UserStyle_13"/>
    <w:basedOn w:val="1"/>
    <w:link w:val="961"/>
    <w:qFormat/>
    <w:uiPriority w:val="0"/>
    <w:pPr>
      <w:widowControl/>
      <w:adjustRightInd/>
      <w:spacing w:line="360" w:lineRule="auto"/>
      <w:ind w:firstLine="200" w:firstLineChars="200"/>
    </w:pPr>
    <w:rPr>
      <w:rFonts w:ascii="Tahoma" w:hAnsi="Tahoma"/>
      <w:sz w:val="24"/>
    </w:rPr>
  </w:style>
  <w:style w:type="table" w:customStyle="1" w:styleId="96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32492</Words>
  <Characters>34588</Characters>
  <Lines>66</Lines>
  <Paragraphs>98</Paragraphs>
  <TotalTime>35</TotalTime>
  <ScaleCrop>false</ScaleCrop>
  <LinksUpToDate>false</LinksUpToDate>
  <CharactersWithSpaces>36377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Administrator.20180320-173244</dc:creator>
  <cp:lastModifiedBy>xhb*</cp:lastModifiedBy>
  <cp:lastPrinted>2023-06-21T02:35:00Z</cp:lastPrinted>
  <dcterms:modified xsi:type="dcterms:W3CDTF">2023-08-25T01:40:43Z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722EFA9F88BC4D59A0A9FD7901910391_13</vt:lpwstr>
  </property>
  <property fmtid="{D5CDD505-2E9C-101B-9397-08002B2CF9AE}" pid="5" name="woTemplateTypoMode" linkTarget="0">
    <vt:lpwstr>web</vt:lpwstr>
  </property>
  <property fmtid="{D5CDD505-2E9C-101B-9397-08002B2CF9AE}" pid="6" name="woTemplate" linkTarget="0">
    <vt:i4>1</vt:i4>
  </property>
</Properties>
</file>