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sz w:val="52"/>
          <w:szCs w:val="52"/>
        </w:rPr>
      </w:pPr>
      <w:r>
        <w:rPr>
          <w:rFonts w:hint="eastAsia" w:ascii="宋体" w:hAnsi="宋体" w:cs="宋体"/>
          <w:sz w:val="52"/>
          <w:szCs w:val="52"/>
        </w:rPr>
        <w:t>2022年桐庐县自然灾害公路承载体风险普查服务项目</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采购编号:（YHJS-TLZFCG-2022-032）</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采购人：桐庐县公路服务中心</w:t>
      </w:r>
    </w:p>
    <w:p>
      <w:pPr>
        <w:spacing w:line="360" w:lineRule="auto"/>
        <w:jc w:val="center"/>
        <w:rPr>
          <w:rFonts w:ascii="宋体" w:hAnsi="宋体" w:cs="宋体"/>
          <w:bCs/>
          <w:sz w:val="32"/>
          <w:szCs w:val="32"/>
        </w:rPr>
      </w:pPr>
      <w:r>
        <w:rPr>
          <w:rFonts w:hint="eastAsia" w:ascii="宋体" w:hAnsi="宋体" w:cs="宋体"/>
          <w:bCs/>
          <w:sz w:val="32"/>
          <w:szCs w:val="32"/>
        </w:rPr>
        <w:t>采购代理机构：耀华建设管理有限公司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2022年6月</w:t>
      </w:r>
    </w:p>
    <w:p>
      <w:pPr>
        <w:pStyle w:val="7"/>
        <w:rPr>
          <w:rFonts w:ascii="宋体" w:hAnsi="宋体" w:cs="宋体"/>
          <w:sz w:val="32"/>
          <w:szCs w:val="32"/>
        </w:rPr>
      </w:pPr>
    </w:p>
    <w:p>
      <w:pPr>
        <w:rPr>
          <w:rFonts w:ascii="宋体" w:hAnsi="宋体" w:cs="宋体"/>
          <w:bCs/>
          <w:sz w:val="32"/>
          <w:szCs w:val="32"/>
        </w:rPr>
      </w:pPr>
    </w:p>
    <w:p>
      <w:pPr>
        <w:pStyle w:val="2"/>
      </w:pPr>
    </w:p>
    <w:p/>
    <w:p>
      <w:pPr>
        <w:spacing w:line="360" w:lineRule="auto"/>
        <w:rPr>
          <w:rFonts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pStyle w:val="7"/>
        <w:rPr>
          <w:rFonts w:ascii="宋体" w:hAnsi="宋体" w:cs="宋体"/>
          <w:sz w:val="24"/>
        </w:rPr>
      </w:pPr>
    </w:p>
    <w:p>
      <w:pPr>
        <w:rPr>
          <w:rFonts w:ascii="宋体" w:hAnsi="宋体" w:cs="宋体"/>
          <w:sz w:val="24"/>
        </w:rPr>
      </w:pPr>
    </w:p>
    <w:p>
      <w:pPr>
        <w:adjustRightInd/>
        <w:spacing w:line="360" w:lineRule="auto"/>
        <w:outlineLvl w:val="0"/>
        <w:rPr>
          <w:rFonts w:ascii="宋体" w:hAnsi="宋体" w:cs="宋体"/>
          <w:b/>
          <w:sz w:val="36"/>
          <w:szCs w:val="36"/>
        </w:rPr>
      </w:pPr>
      <w:bookmarkStart w:id="2" w:name="第一部分"/>
    </w:p>
    <w:bookmarkEnd w:id="1"/>
    <w:bookmarkEnd w:id="2"/>
    <w:p>
      <w:pPr>
        <w:adjustRightInd/>
        <w:spacing w:line="360" w:lineRule="auto"/>
        <w:jc w:val="center"/>
        <w:outlineLvl w:val="0"/>
        <w:rPr>
          <w:rFonts w:ascii="宋体" w:hAnsi="宋体" w:cs="宋体"/>
          <w:b/>
          <w:sz w:val="36"/>
          <w:szCs w:val="20"/>
        </w:r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pPr>
        <w:adjustRightInd/>
        <w:spacing w:line="360" w:lineRule="auto"/>
        <w:outlineLvl w:val="0"/>
        <w:rPr>
          <w:rFonts w:ascii="宋体" w:hAnsi="宋体" w:cs="宋体"/>
          <w:b/>
          <w:sz w:val="36"/>
          <w:szCs w:val="20"/>
        </w:rPr>
      </w:pP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2022年桐庐县自然灾害公路承载体风险普查服务项目</w:t>
      </w:r>
      <w:r>
        <w:rPr>
          <w:rFonts w:hint="eastAsia" w:ascii="宋体" w:hAnsi="宋体" w:cs="宋体"/>
          <w:sz w:val="24"/>
        </w:rPr>
        <w:t>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highlight w:val="yellow"/>
          <w:u w:val="single"/>
        </w:rPr>
        <w:t>2022年</w:t>
      </w:r>
      <w:r>
        <w:rPr>
          <w:rFonts w:hint="eastAsia" w:ascii="宋体" w:hAnsi="宋体" w:cs="宋体"/>
          <w:sz w:val="24"/>
          <w:highlight w:val="yellow"/>
          <w:u w:val="single"/>
          <w:lang w:val="en-US" w:eastAsia="zh-CN"/>
        </w:rPr>
        <w:t>06</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23</w:t>
      </w:r>
      <w:r>
        <w:rPr>
          <w:rFonts w:hint="eastAsia" w:ascii="宋体" w:hAnsi="宋体" w:cs="宋体"/>
          <w:sz w:val="24"/>
          <w:highlight w:val="yellow"/>
          <w:u w:val="single"/>
        </w:rPr>
        <w:t>日</w:t>
      </w:r>
      <w:r>
        <w:rPr>
          <w:rFonts w:hint="eastAsia" w:ascii="宋体" w:hAnsi="宋体" w:cs="宋体"/>
          <w:sz w:val="24"/>
          <w:highlight w:val="yellow"/>
          <w:u w:val="single"/>
          <w:lang w:val="en-US" w:eastAsia="zh-CN"/>
        </w:rPr>
        <w:t>13</w:t>
      </w:r>
      <w:r>
        <w:rPr>
          <w:rFonts w:hint="eastAsia" w:ascii="宋体" w:hAnsi="宋体" w:cs="宋体"/>
          <w:sz w:val="24"/>
          <w:highlight w:val="yellow"/>
          <w:u w:val="single"/>
        </w:rPr>
        <w:t>点</w:t>
      </w:r>
      <w:r>
        <w:rPr>
          <w:rFonts w:hint="eastAsia" w:ascii="宋体" w:hAnsi="宋体" w:cs="宋体"/>
          <w:sz w:val="24"/>
          <w:highlight w:val="yellow"/>
          <w:u w:val="single"/>
          <w:lang w:val="en-US" w:eastAsia="zh-CN"/>
        </w:rPr>
        <w:t>30</w:t>
      </w:r>
      <w:r>
        <w:rPr>
          <w:rFonts w:hint="eastAsia" w:ascii="宋体" w:hAnsi="宋体" w:cs="宋体"/>
          <w:sz w:val="24"/>
          <w:highlight w:val="yellow"/>
          <w:u w:val="single"/>
        </w:rPr>
        <w:t>分</w:t>
      </w:r>
      <w:r>
        <w:rPr>
          <w:rFonts w:hint="eastAsia" w:ascii="宋体" w:hAnsi="宋体" w:cs="宋体"/>
          <w:sz w:val="24"/>
          <w:highlight w:val="yellow"/>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rPr>
        <w:t>YHJS-TLZFCG-2022-032</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2022年桐庐县自然灾害公路承载体风险普查服务项目</w:t>
      </w:r>
    </w:p>
    <w:p>
      <w:pPr>
        <w:spacing w:line="360" w:lineRule="auto"/>
        <w:rPr>
          <w:rFonts w:ascii="宋体" w:hAnsi="宋体" w:cs="宋体"/>
          <w:bCs/>
          <w:sz w:val="24"/>
        </w:rPr>
      </w:pPr>
      <w:r>
        <w:rPr>
          <w:rFonts w:hint="eastAsia" w:ascii="宋体" w:hAnsi="宋体" w:cs="宋体"/>
          <w:b/>
          <w:sz w:val="24"/>
        </w:rPr>
        <w:t>预算金额（元）：</w:t>
      </w:r>
      <w:r>
        <w:rPr>
          <w:rFonts w:hint="eastAsia" w:ascii="宋体" w:hAnsi="宋体" w:cs="宋体"/>
          <w:bCs/>
          <w:sz w:val="24"/>
        </w:rPr>
        <w:t>1100000</w:t>
      </w:r>
    </w:p>
    <w:p>
      <w:pPr>
        <w:spacing w:line="360" w:lineRule="auto"/>
        <w:rPr>
          <w:rFonts w:ascii="宋体" w:hAnsi="宋体" w:cs="宋体"/>
          <w:bCs/>
          <w:sz w:val="24"/>
        </w:rPr>
      </w:pPr>
      <w:r>
        <w:rPr>
          <w:rFonts w:hint="eastAsia" w:ascii="宋体" w:hAnsi="宋体" w:cs="宋体"/>
          <w:b/>
          <w:sz w:val="24"/>
        </w:rPr>
        <w:t>采购需求：</w:t>
      </w:r>
      <w:r>
        <w:rPr>
          <w:rFonts w:hint="eastAsia" w:ascii="宋体" w:hAnsi="宋体" w:cs="宋体"/>
          <w:bCs/>
          <w:sz w:val="24"/>
        </w:rPr>
        <w:t>详见招标文件第三部分采购需求。</w:t>
      </w:r>
    </w:p>
    <w:p>
      <w:pPr>
        <w:spacing w:line="360" w:lineRule="auto"/>
        <w:rPr>
          <w:rFonts w:ascii="宋体" w:hAnsi="宋体" w:cs="宋体"/>
          <w:bCs/>
          <w:sz w:val="24"/>
        </w:rPr>
      </w:pPr>
      <w:r>
        <w:rPr>
          <w:rFonts w:hint="eastAsia" w:ascii="宋体" w:hAnsi="宋体" w:cs="宋体"/>
          <w:b/>
          <w:sz w:val="24"/>
        </w:rPr>
        <w:t>合同履约期限</w:t>
      </w:r>
      <w:r>
        <w:rPr>
          <w:rFonts w:hint="eastAsia" w:ascii="宋体" w:hAnsi="宋体" w:cs="宋体"/>
          <w:bCs/>
          <w:sz w:val="24"/>
        </w:rPr>
        <w:t>：合同签订之日起</w:t>
      </w:r>
      <w:r>
        <w:rPr>
          <w:rFonts w:hint="eastAsia" w:ascii="宋体" w:hAnsi="宋体" w:cs="宋体"/>
          <w:bCs/>
          <w:color w:val="FF0000"/>
          <w:sz w:val="24"/>
        </w:rPr>
        <w:t>五</w:t>
      </w:r>
      <w:r>
        <w:rPr>
          <w:rFonts w:hint="eastAsia" w:ascii="宋体" w:hAnsi="宋体" w:cs="宋体"/>
          <w:bCs/>
          <w:sz w:val="24"/>
        </w:rPr>
        <w:t>个月内完成普查工作，</w:t>
      </w:r>
      <w:r>
        <w:rPr>
          <w:rFonts w:hint="eastAsia" w:ascii="宋体" w:hAnsi="宋体" w:cs="宋体"/>
          <w:color w:val="FF0000"/>
          <w:sz w:val="24"/>
        </w:rPr>
        <w:t>并提供1年的普查成果应用服务。</w:t>
      </w:r>
    </w:p>
    <w:p>
      <w:pPr>
        <w:spacing w:line="360" w:lineRule="auto"/>
        <w:rPr>
          <w:rFonts w:ascii="宋体" w:hAnsi="宋体" w:cs="宋体"/>
          <w:sz w:val="24"/>
        </w:rPr>
      </w:pPr>
      <w:r>
        <w:rPr>
          <w:rFonts w:hint="eastAsia" w:ascii="宋体" w:hAnsi="宋体" w:cs="宋体"/>
          <w:b/>
          <w:sz w:val="24"/>
        </w:rPr>
        <w:t>本项目接受联合体投标：</w:t>
      </w:r>
      <w:sdt>
        <w:sdtPr>
          <w:rPr>
            <w:rFonts w:hint="eastAsia" w:hAnsi="宋体" w:cs="宋体"/>
            <w:kern w:val="0"/>
            <w:sz w:val="24"/>
          </w:rPr>
          <w:id w:val="2035453831"/>
        </w:sdtPr>
        <w:sdtEndPr>
          <w:rPr>
            <w:rFonts w:hint="eastAsia" w:hAnsi="宋体" w:cs="宋体"/>
            <w:kern w:val="0"/>
            <w:sz w:val="24"/>
          </w:rPr>
        </w:sdtEndPr>
        <w:sdtContent>
          <w:r>
            <w:rPr>
              <w:rFonts w:hint="eastAsia" w:ascii="MS Mincho" w:hAnsi="MS Mincho" w:eastAsia="MS Mincho" w:cs="MS Mincho"/>
              <w:snapToGrid w:val="0"/>
              <w:kern w:val="0"/>
              <w:sz w:val="24"/>
              <w:szCs w:val="20"/>
            </w:rPr>
            <w:t>☐</w:t>
          </w:r>
        </w:sdtContent>
      </w:sdt>
      <w:r>
        <w:rPr>
          <w:rFonts w:hint="eastAsia" w:ascii="宋体" w:hAnsi="宋体" w:cs="宋体"/>
          <w:b/>
          <w:sz w:val="24"/>
        </w:rPr>
        <w:t>是，</w:t>
      </w:r>
      <w:sdt>
        <w:sdtPr>
          <w:rPr>
            <w:rFonts w:hint="eastAsia" w:hAnsi="宋体" w:cs="宋体"/>
            <w:kern w:val="0"/>
            <w:sz w:val="24"/>
          </w:rPr>
          <w:id w:val="-1765526721"/>
        </w:sdtPr>
        <w:sdtEndPr>
          <w:rPr>
            <w:rFonts w:hint="eastAsia" w:hAnsi="宋体" w:cs="宋体"/>
            <w:kern w:val="0"/>
            <w:sz w:val="24"/>
          </w:rPr>
        </w:sdtEndPr>
        <w:sdtContent>
          <w:r>
            <w:rPr>
              <w:rFonts w:ascii="Wingdings" w:hAnsi="Wingdings" w:cs="宋体"/>
              <w:snapToGrid w:val="0"/>
              <w:kern w:val="0"/>
              <w:sz w:val="24"/>
              <w:szCs w:val="20"/>
            </w:rPr>
            <w:t></w:t>
          </w:r>
        </w:sdtContent>
      </w:sdt>
      <w:r>
        <w:rPr>
          <w:rFonts w:hint="eastAsia" w:ascii="宋体" w:hAnsi="宋体" w:cs="宋体"/>
          <w:b/>
          <w:sz w:val="24"/>
        </w:rPr>
        <w:t>否</w:t>
      </w:r>
      <w:r>
        <w:rPr>
          <w:rFonts w:hint="eastAsia" w:ascii="宋体" w:hAnsi="宋体" w:cs="宋体"/>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sdt>
            <w:sdtPr>
              <w:rPr>
                <w:rFonts w:hint="eastAsia" w:ascii="宋体" w:hAnsi="宋体" w:cs="宋体"/>
                <w:kern w:val="0"/>
                <w:sz w:val="24"/>
              </w:rPr>
              <w:id w:val="3832852"/>
            </w:sdtPr>
            <w:sdtEndPr>
              <w:rPr>
                <w:rFonts w:hint="eastAsia" w:ascii="宋体" w:hAnsi="宋体" w:cs="宋体"/>
                <w:kern w:val="0"/>
                <w:sz w:val="24"/>
              </w:rPr>
            </w:sdtEndPr>
            <w:sdtContent>
              <w:sdt>
                <w:sdtPr>
                  <w:rPr>
                    <w:rFonts w:hint="eastAsia" w:hAnsi="宋体" w:cs="宋体"/>
                    <w:kern w:val="0"/>
                    <w:sz w:val="24"/>
                  </w:rPr>
                  <w:id w:val="1094348"/>
                </w:sdtPr>
                <w:sdtEndPr>
                  <w:rPr>
                    <w:rFonts w:hint="eastAsia" w:hAnsi="宋体" w:cs="宋体"/>
                    <w:kern w:val="0"/>
                    <w:sz w:val="24"/>
                  </w:rPr>
                </w:sdtEndPr>
                <w:sdtContent>
                  <w:r>
                    <w:rPr>
                      <w:rFonts w:hint="eastAsia" w:ascii="MS Mincho" w:hAnsi="MS Mincho" w:eastAsia="MS Mincho" w:cs="MS Mincho"/>
                      <w:snapToGrid w:val="0"/>
                      <w:kern w:val="0"/>
                      <w:sz w:val="24"/>
                      <w:szCs w:val="20"/>
                    </w:rPr>
                    <w:t>☐</w:t>
                  </w:r>
                </w:sdtContent>
              </w:sdt>
            </w:sdtContent>
          </w:sdt>
        </w:sdtContent>
      </w:sdt>
      <w:r>
        <w:rPr>
          <w:rFonts w:hint="eastAsia" w:ascii="宋体" w:hAnsi="宋体" w:cs="宋体"/>
          <w:sz w:val="24"/>
        </w:rPr>
        <w:t>服务全部由符合政策要求的小微企业承接，提供中小企业声明函；</w:t>
      </w:r>
    </w:p>
    <w:p>
      <w:pPr>
        <w:spacing w:line="360" w:lineRule="auto"/>
        <w:ind w:firstLine="480"/>
        <w:rPr>
          <w:rFonts w:ascii="宋体" w:hAnsi="宋体" w:cs="宋体"/>
          <w:snapToGrid w:val="0"/>
          <w:kern w:val="28"/>
          <w:sz w:val="24"/>
          <w:szCs w:val="20"/>
        </w:rPr>
      </w:pPr>
      <w:r>
        <w:rPr>
          <w:rFonts w:hint="eastAsia" w:ascii="宋体" w:hAnsi="宋体" w:cs="宋体"/>
          <w:color w:val="FF0000"/>
          <w:sz w:val="24"/>
          <w:highlight w:val="yellow"/>
        </w:rPr>
        <w:t>3.本项目的特定资格要求：投标人具有工程咨询单位乙级资信（公路）及以上或具有公路行业乙级设计资质及以上或工程设计综合资质甲级资质。</w:t>
      </w:r>
    </w:p>
    <w:p>
      <w:pPr>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yellow"/>
        </w:rPr>
        <w:t>至</w:t>
      </w:r>
      <w:r>
        <w:rPr>
          <w:rFonts w:hint="eastAsia" w:ascii="宋体" w:hAnsi="宋体" w:cs="宋体"/>
          <w:sz w:val="24"/>
          <w:highlight w:val="yellow"/>
          <w:u w:val="single"/>
        </w:rPr>
        <w:t>2022年</w:t>
      </w:r>
      <w:r>
        <w:rPr>
          <w:rFonts w:hint="eastAsia" w:ascii="宋体" w:hAnsi="宋体" w:cs="宋体"/>
          <w:sz w:val="24"/>
          <w:highlight w:val="yellow"/>
          <w:u w:val="single"/>
          <w:lang w:val="en-US" w:eastAsia="zh-CN"/>
        </w:rPr>
        <w:t>06</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23</w:t>
      </w:r>
      <w:r>
        <w:rPr>
          <w:rFonts w:hint="eastAsia" w:ascii="宋体" w:hAnsi="宋体" w:cs="宋体"/>
          <w:sz w:val="24"/>
          <w:highlight w:val="yellow"/>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highlight w:val="yellow"/>
          <w:u w:val="single"/>
          <w:lang w:eastAsia="zh-CN"/>
        </w:rPr>
        <w:t>2022年 06月23日13点30分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highlight w:val="yellow"/>
          <w:u w:val="single"/>
          <w:lang w:eastAsia="zh-CN"/>
        </w:rPr>
        <w:t>2022年 06月23日13点30分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称：桐庐县公路服务中心</w:t>
      </w:r>
    </w:p>
    <w:p>
      <w:pPr>
        <w:spacing w:line="360" w:lineRule="auto"/>
        <w:rPr>
          <w:rFonts w:ascii="宋体" w:hAnsi="宋体" w:cs="宋体"/>
          <w:sz w:val="24"/>
        </w:rPr>
      </w:pPr>
      <w:r>
        <w:rPr>
          <w:rFonts w:hint="eastAsia" w:ascii="宋体" w:hAnsi="宋体" w:cs="宋体"/>
          <w:sz w:val="24"/>
        </w:rPr>
        <w:t xml:space="preserve">    地    址：</w:t>
      </w:r>
      <w:r>
        <w:rPr>
          <w:rFonts w:ascii="宋体" w:hAnsi="宋体" w:cs="宋体"/>
          <w:sz w:val="24"/>
        </w:rPr>
        <w:t>浙江省杭州市桐庐县桥北路147号</w:t>
      </w:r>
    </w:p>
    <w:p>
      <w:pPr>
        <w:spacing w:line="360" w:lineRule="auto"/>
        <w:ind w:firstLine="480"/>
        <w:rPr>
          <w:rFonts w:ascii="宋体" w:hAnsi="宋体" w:cs="宋体"/>
          <w:sz w:val="24"/>
        </w:rPr>
      </w:pPr>
      <w:r>
        <w:rPr>
          <w:rFonts w:hint="eastAsia" w:ascii="宋体" w:hAnsi="宋体" w:cs="宋体"/>
          <w:sz w:val="24"/>
        </w:rPr>
        <w:t>项目联系人（询问）：高洪</w:t>
      </w:r>
    </w:p>
    <w:p>
      <w:pPr>
        <w:spacing w:line="360" w:lineRule="auto"/>
        <w:rPr>
          <w:rFonts w:ascii="宋体" w:hAnsi="宋体" w:cs="宋体"/>
          <w:sz w:val="24"/>
        </w:rPr>
      </w:pPr>
      <w:r>
        <w:rPr>
          <w:rFonts w:hint="eastAsia" w:ascii="宋体" w:hAnsi="宋体" w:cs="宋体"/>
          <w:sz w:val="24"/>
        </w:rPr>
        <w:t xml:space="preserve">    项目联系方式（询问）：17661157066</w:t>
      </w:r>
    </w:p>
    <w:p>
      <w:pPr>
        <w:spacing w:line="360" w:lineRule="auto"/>
        <w:rPr>
          <w:rFonts w:ascii="宋体" w:hAnsi="宋体" w:cs="宋体"/>
          <w:sz w:val="24"/>
        </w:rPr>
      </w:pPr>
      <w:r>
        <w:rPr>
          <w:rFonts w:hint="eastAsia" w:ascii="宋体" w:hAnsi="宋体" w:cs="宋体"/>
          <w:sz w:val="24"/>
        </w:rPr>
        <w:t xml:space="preserve">    质疑联系人：汪工</w:t>
      </w:r>
    </w:p>
    <w:p>
      <w:pPr>
        <w:spacing w:line="360" w:lineRule="auto"/>
        <w:rPr>
          <w:rFonts w:ascii="宋体" w:hAnsi="宋体" w:cs="宋体"/>
          <w:sz w:val="24"/>
        </w:rPr>
      </w:pPr>
      <w:r>
        <w:rPr>
          <w:rFonts w:hint="eastAsia" w:ascii="宋体" w:hAnsi="宋体" w:cs="宋体"/>
          <w:sz w:val="24"/>
        </w:rPr>
        <w:t xml:space="preserve">    质疑联系方式：0571-69811106</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称：耀华建设管理有限公司</w:t>
      </w:r>
    </w:p>
    <w:p>
      <w:pPr>
        <w:spacing w:line="360" w:lineRule="auto"/>
        <w:ind w:firstLine="480"/>
        <w:rPr>
          <w:rFonts w:ascii="宋体" w:hAnsi="宋体" w:cs="宋体"/>
          <w:sz w:val="24"/>
        </w:rPr>
      </w:pPr>
      <w:r>
        <w:rPr>
          <w:rFonts w:hint="eastAsia" w:ascii="宋体" w:hAnsi="宋体" w:cs="宋体"/>
          <w:sz w:val="24"/>
        </w:rPr>
        <w:t xml:space="preserve">地    址：桐庐县迎春南路88号桦桐大厦20楼 </w:t>
      </w:r>
    </w:p>
    <w:p>
      <w:pPr>
        <w:spacing w:line="360" w:lineRule="auto"/>
        <w:rPr>
          <w:rFonts w:ascii="宋体" w:hAnsi="宋体" w:cs="宋体"/>
          <w:sz w:val="24"/>
        </w:rPr>
      </w:pPr>
      <w:r>
        <w:rPr>
          <w:rFonts w:hint="eastAsia" w:ascii="宋体" w:hAnsi="宋体" w:cs="宋体"/>
          <w:sz w:val="24"/>
        </w:rPr>
        <w:t xml:space="preserve">    项目联系人（询问）：许洪</w:t>
      </w:r>
    </w:p>
    <w:p>
      <w:pPr>
        <w:spacing w:line="360" w:lineRule="auto"/>
        <w:rPr>
          <w:rFonts w:ascii="宋体" w:hAnsi="宋体" w:cs="宋体"/>
          <w:sz w:val="24"/>
        </w:rPr>
      </w:pPr>
      <w:r>
        <w:rPr>
          <w:rFonts w:hint="eastAsia" w:ascii="宋体" w:hAnsi="宋体" w:cs="宋体"/>
          <w:sz w:val="24"/>
        </w:rPr>
        <w:t xml:space="preserve">    项目联系方式（询问）：0571-69902867</w:t>
      </w:r>
    </w:p>
    <w:p>
      <w:pPr>
        <w:spacing w:line="360" w:lineRule="auto"/>
        <w:rPr>
          <w:rFonts w:ascii="宋体" w:hAnsi="宋体" w:cs="宋体"/>
          <w:sz w:val="24"/>
        </w:rPr>
      </w:pPr>
      <w:r>
        <w:rPr>
          <w:rFonts w:hint="eastAsia" w:ascii="宋体" w:hAnsi="宋体" w:cs="宋体"/>
          <w:sz w:val="24"/>
        </w:rPr>
        <w:t xml:space="preserve">    质疑联系人：许洪波</w:t>
      </w:r>
    </w:p>
    <w:p>
      <w:pPr>
        <w:spacing w:line="360" w:lineRule="auto"/>
        <w:rPr>
          <w:rFonts w:ascii="宋体" w:hAnsi="宋体" w:cs="宋体"/>
          <w:sz w:val="24"/>
        </w:rPr>
      </w:pPr>
      <w:r>
        <w:rPr>
          <w:rFonts w:hint="eastAsia" w:ascii="宋体" w:hAnsi="宋体" w:cs="宋体"/>
          <w:sz w:val="24"/>
        </w:rPr>
        <w:t xml:space="preserve">    质疑联系方式：0571-69902867</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 xml:space="preserve">    名    称：桐庐县财政局</w:t>
      </w:r>
      <w:bookmarkStart w:id="396" w:name="_GoBack"/>
      <w:bookmarkEnd w:id="396"/>
    </w:p>
    <w:p>
      <w:pPr>
        <w:spacing w:line="360" w:lineRule="auto"/>
        <w:rPr>
          <w:rFonts w:ascii="宋体" w:hAnsi="宋体" w:cs="宋体"/>
          <w:sz w:val="24"/>
        </w:rPr>
      </w:pPr>
      <w:r>
        <w:rPr>
          <w:rFonts w:hint="eastAsia" w:ascii="宋体" w:hAnsi="宋体" w:cs="宋体"/>
          <w:sz w:val="24"/>
        </w:rPr>
        <w:t xml:space="preserve">    地    址：桐庐县春江路688号</w:t>
      </w:r>
    </w:p>
    <w:p>
      <w:pPr>
        <w:spacing w:line="360" w:lineRule="auto"/>
        <w:rPr>
          <w:rFonts w:ascii="宋体" w:hAnsi="宋体" w:cs="宋体"/>
          <w:sz w:val="24"/>
        </w:rPr>
      </w:pPr>
      <w:r>
        <w:rPr>
          <w:rFonts w:hint="eastAsia" w:ascii="宋体" w:hAnsi="宋体" w:cs="宋体"/>
          <w:sz w:val="24"/>
        </w:rPr>
        <w:t xml:space="preserve">    联系人 ：方翔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监督投诉电话：0571-58507058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ind w:firstLine="480" w:firstLineChars="200"/>
        <w:rPr>
          <w:rFonts w:hAnsi="宋体" w:cs="宋体"/>
          <w:sz w:val="24"/>
          <w:szCs w:val="24"/>
        </w:rPr>
      </w:pP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8727868"/>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w:t>
            </w:r>
            <w:r>
              <w:rPr>
                <w:rFonts w:hint="eastAsia" w:ascii="宋体" w:hAnsi="宋体" w:cs="宋体"/>
                <w:sz w:val="24"/>
              </w:rPr>
              <w:t>。</w:t>
            </w:r>
          </w:p>
          <w:p>
            <w:pPr>
              <w:spacing w:line="360" w:lineRule="auto"/>
              <w:rPr>
                <w:rFonts w:ascii="宋体" w:hAnsi="宋体" w:cs="宋体"/>
                <w:sz w:val="24"/>
              </w:rPr>
            </w:pPr>
            <w:sdt>
              <w:sdtPr>
                <w:rPr>
                  <w:rFonts w:hint="eastAsia" w:ascii="宋体" w:hAnsi="宋体" w:cs="宋体"/>
                  <w:kern w:val="0"/>
                  <w:sz w:val="24"/>
                </w:rPr>
                <w:id w:val="47488555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2022年桐庐县自然灾害公路承载体风险普查服务项目</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p>
            <w:pPr>
              <w:snapToGrid w:val="0"/>
              <w:spacing w:line="360" w:lineRule="auto"/>
              <w:rPr>
                <w:rFonts w:ascii="宋体" w:hAnsi="宋体" w:cs="宋体"/>
              </w:rPr>
            </w:pPr>
            <w:r>
              <w:rPr>
                <w:rFonts w:hint="eastAsia" w:ascii="宋体" w:hAnsi="宋体" w:cs="宋体"/>
                <w:kern w:val="0"/>
                <w:sz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ascii="宋体" w:hAnsi="宋体" w:cs="宋体"/>
              </w:rPr>
            </w:pP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桐庐县迎春南路88号桦桐大厦20楼</w:t>
            </w:r>
            <w:r>
              <w:rPr>
                <w:rFonts w:hint="eastAsia" w:hAnsi="宋体" w:cs="宋体"/>
                <w:kern w:val="28"/>
                <w:sz w:val="24"/>
                <w:szCs w:val="24"/>
              </w:rPr>
              <w:t>；备份投标文件签收人员：</w:t>
            </w:r>
            <w:r>
              <w:rPr>
                <w:rFonts w:hint="eastAsia" w:hAnsi="宋体" w:cs="宋体"/>
                <w:kern w:val="28"/>
                <w:sz w:val="24"/>
                <w:szCs w:val="24"/>
                <w:u w:val="single"/>
              </w:rPr>
              <w:t>许洪</w:t>
            </w:r>
            <w:r>
              <w:rPr>
                <w:rFonts w:hint="eastAsia" w:hAnsi="宋体" w:cs="宋体"/>
                <w:kern w:val="28"/>
                <w:sz w:val="24"/>
                <w:szCs w:val="24"/>
              </w:rPr>
              <w:t>，联系电话：</w:t>
            </w:r>
            <w:r>
              <w:rPr>
                <w:rFonts w:hint="eastAsia" w:hAnsi="宋体" w:cs="宋体"/>
                <w:sz w:val="24"/>
                <w:u w:val="single"/>
              </w:rPr>
              <w:t>0571-69902867</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b/>
                <w:sz w:val="24"/>
              </w:rPr>
            </w:pPr>
            <w:r>
              <w:rPr>
                <w:rFonts w:hint="eastAsia" w:ascii="宋体" w:hAnsi="宋体" w:cs="宋体"/>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napToGrid w:val="0"/>
                <w:kern w:val="28"/>
                <w:sz w:val="24"/>
              </w:rPr>
            </w:pPr>
            <w:r>
              <w:rPr>
                <w:rFonts w:hint="eastAsia" w:ascii="宋体" w:hAnsi="宋体" w:cs="宋体"/>
                <w:snapToGrid w:val="0"/>
                <w:kern w:val="28"/>
                <w:sz w:val="24"/>
              </w:rPr>
              <w:t>本项目招标代理费：收费标准按浙价服〔2003〕77号文件（服务类）收费标准计取；</w:t>
            </w:r>
          </w:p>
          <w:p>
            <w:pPr>
              <w:snapToGrid w:val="0"/>
              <w:spacing w:line="360" w:lineRule="auto"/>
              <w:rPr>
                <w:rFonts w:hAnsi="宋体" w:cs="宋体"/>
                <w:b/>
                <w:bCs/>
                <w:sz w:val="24"/>
              </w:rPr>
            </w:pPr>
            <w:r>
              <w:rPr>
                <w:rFonts w:hint="eastAsia" w:hAnsi="宋体"/>
                <w:sz w:val="24"/>
              </w:rPr>
              <w:t>以上费用由中标单位在领取中标通知书时，一次性支付给代理公司，上述费用应含在投标报价中（不得单独列项），投标人在投标报价让利中考虑上述费用。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Cs/>
                <w:sz w:val="24"/>
              </w:rPr>
            </w:pPr>
            <w:r>
              <w:rPr>
                <w:rFonts w:hint="eastAsia" w:ascii="宋体" w:hAnsi="宋体" w:cs="宋体"/>
                <w:bCs/>
                <w:sz w:val="24"/>
              </w:rPr>
              <w:t>无</w:t>
            </w:r>
          </w:p>
        </w:tc>
      </w:tr>
      <w:bookmarkEnd w:id="9"/>
    </w:tbl>
    <w:p>
      <w:pPr>
        <w:adjustRightInd/>
        <w:spacing w:line="360" w:lineRule="auto"/>
        <w:ind w:firstLine="3845" w:firstLineChars="1197"/>
        <w:outlineLvl w:val="0"/>
        <w:rPr>
          <w:rFonts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lang w:val="en-US" w:eastAsia="zh-CN"/>
        </w:rPr>
        <w:t>4</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35"/>
        <w:spacing w:line="360" w:lineRule="auto"/>
        <w:ind w:firstLine="480" w:firstLineChars="200"/>
        <w:rPr>
          <w:rFonts w:hAnsi="宋体" w:cs="宋体"/>
        </w:rPr>
      </w:pPr>
      <w:r>
        <w:rPr>
          <w:rFonts w:hint="eastAsia" w:hAnsi="宋体" w:cs="宋体"/>
          <w:kern w:val="0"/>
          <w:sz w:val="24"/>
          <w:lang w:val="zh-CN"/>
        </w:rPr>
        <w:t>供应商提交的质疑函需一式三份。供应商为自然人的，应</w:t>
      </w:r>
      <w:r>
        <w:rPr>
          <w:rFonts w:hint="eastAsia" w:hAnsi="宋体" w:cs="宋体"/>
        </w:rPr>
        <w:t>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11.2.4评标标准相应的商务技术资料；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11.2.5商务技术偏离表；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cs="宋体"/>
          <w:b/>
        </w:rPr>
        <w:t>▲</w:t>
      </w:r>
      <w:r>
        <w:rPr>
          <w:rFonts w:hint="eastAsia" w:ascii="宋体" w:hAnsi="宋体" w:cs="宋体"/>
          <w:b/>
          <w:sz w:val="24"/>
          <w:szCs w:val="20"/>
        </w:rPr>
        <w:t>投标文件未按规定的格式编制的，投标无效；</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DVD光盘或U盘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7"/>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。履约保证金的数额为采购合同金额的2%。鼓励和支持供应商以银行、保险公司出具的保函形式提供履约保证金。</w:t>
      </w:r>
      <w:r>
        <w:rPr>
          <w:rFonts w:hint="eastAsia" w:ascii="宋体" w:hAnsi="宋体" w:cs="宋体"/>
          <w:b/>
          <w:sz w:val="24"/>
        </w:rPr>
        <w:t>采购人不得拒收履约保函。</w:t>
      </w:r>
    </w:p>
    <w:p>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headerReference r:id="rId4" w:type="first"/>
          <w:footerReference r:id="rId6" w:type="first"/>
          <w:headerReference r:id="rId3" w:type="default"/>
          <w:footerReference r:id="rId5" w:type="default"/>
          <w:pgSz w:w="11906" w:h="16838"/>
          <w:pgMar w:top="1440" w:right="1418" w:bottom="1440" w:left="1418" w:header="851" w:footer="992" w:gutter="0"/>
          <w:pgNumType w:start="1"/>
          <w:cols w:space="0" w:num="1"/>
          <w:titlePg/>
          <w:docGrid w:linePitch="312" w:charSpace="0"/>
        </w:sectPr>
      </w:pPr>
      <w:bookmarkStart w:id="13" w:name="_Hlt74730295"/>
      <w:bookmarkEnd w:id="13"/>
      <w:bookmarkStart w:id="14" w:name="_Hlt74714665"/>
      <w:bookmarkEnd w:id="14"/>
      <w:bookmarkStart w:id="15" w:name="_Hlt75236101"/>
      <w:bookmarkEnd w:id="15"/>
      <w:bookmarkStart w:id="16" w:name="_Hlt74729768"/>
      <w:bookmarkEnd w:id="16"/>
      <w:bookmarkStart w:id="17" w:name="_Hlt68072990"/>
      <w:bookmarkEnd w:id="17"/>
      <w:bookmarkStart w:id="18" w:name="_Hlt68073093"/>
      <w:bookmarkEnd w:id="18"/>
      <w:bookmarkStart w:id="19" w:name="_Hlt68403820"/>
      <w:bookmarkEnd w:id="19"/>
      <w:bookmarkStart w:id="20" w:name="_Hlt75236011"/>
      <w:bookmarkEnd w:id="20"/>
      <w:bookmarkStart w:id="21" w:name="_Hlt68072998"/>
      <w:bookmarkEnd w:id="21"/>
      <w:bookmarkStart w:id="22" w:name="_Hlt75236290"/>
      <w:bookmarkEnd w:id="22"/>
      <w:bookmarkStart w:id="23" w:name="_Hlt68057669"/>
      <w:bookmarkEnd w:id="23"/>
      <w:bookmarkStart w:id="24" w:name="_Hlt74707468"/>
      <w:bookmarkEnd w:id="24"/>
    </w:p>
    <w:bookmarkEnd w:id="10"/>
    <w:bookmarkEnd w:id="11"/>
    <w:p>
      <w:pPr>
        <w:spacing w:line="360" w:lineRule="auto"/>
        <w:jc w:val="center"/>
        <w:outlineLvl w:val="0"/>
        <w:rPr>
          <w:rFonts w:ascii="宋体" w:hAnsi="宋体" w:cs="宋体"/>
          <w:b/>
          <w:sz w:val="36"/>
          <w:szCs w:val="36"/>
        </w:rPr>
      </w:pPr>
      <w:bookmarkStart w:id="25" w:name="第四部分"/>
      <w:r>
        <w:rPr>
          <w:rFonts w:hint="eastAsia" w:ascii="宋体" w:hAnsi="宋体" w:cs="宋体"/>
          <w:b/>
          <w:sz w:val="36"/>
          <w:szCs w:val="36"/>
        </w:rPr>
        <w:t>第三部分   采购需求</w:t>
      </w:r>
    </w:p>
    <w:p>
      <w:pPr>
        <w:spacing w:line="360" w:lineRule="auto"/>
        <w:outlineLvl w:val="0"/>
        <w:rPr>
          <w:rFonts w:ascii="宋体" w:hAnsi="宋体" w:cs="宋体"/>
          <w:b/>
          <w:sz w:val="28"/>
          <w:szCs w:val="28"/>
        </w:rPr>
      </w:pPr>
      <w:r>
        <w:rPr>
          <w:rFonts w:hint="eastAsia" w:ascii="宋体" w:hAnsi="宋体" w:cs="宋体"/>
          <w:b/>
          <w:sz w:val="28"/>
          <w:szCs w:val="28"/>
        </w:rPr>
        <w:t>一、项目概况</w:t>
      </w:r>
    </w:p>
    <w:p>
      <w:pPr>
        <w:spacing w:line="360" w:lineRule="auto"/>
        <w:ind w:firstLine="480" w:firstLineChars="200"/>
        <w:rPr>
          <w:rFonts w:ascii="宋体" w:hAnsi="宋体" w:cs="宋体"/>
          <w:sz w:val="24"/>
        </w:rPr>
      </w:pPr>
      <w:r>
        <w:rPr>
          <w:rFonts w:hint="eastAsia" w:ascii="宋体" w:hAnsi="宋体" w:cs="宋体"/>
          <w:sz w:val="24"/>
        </w:rPr>
        <w:t>招标范围：自然灾害综合风险公路水路承灾体普查包括数据采集、初步评估、普查成果应用等三项工作。桐庐县自然灾害综合风险普查成果应按省厅要求统一的格式，建立统一的信息数据库。</w:t>
      </w:r>
    </w:p>
    <w:p>
      <w:pPr>
        <w:spacing w:line="360" w:lineRule="auto"/>
        <w:ind w:firstLine="480" w:firstLineChars="200"/>
        <w:rPr>
          <w:rFonts w:ascii="宋体" w:hAnsi="宋体" w:cs="宋体"/>
          <w:sz w:val="24"/>
        </w:rPr>
      </w:pPr>
      <w:r>
        <w:rPr>
          <w:rFonts w:hint="eastAsia" w:ascii="宋体" w:hAnsi="宋体" w:cs="宋体"/>
          <w:sz w:val="24"/>
        </w:rPr>
        <w:t>公路设施属性信息采集包括公路路线信息、公路桥梁信息、公路隧道信息采集、公路高边坡信息。高边坡以高度大于20m土质边坡及大于30m岩质边坡路段的单个边坡为填报单元。公路高边坡信息包括公路名称、等级、里程桩号、坐标、建设时间、管养单位、路基宽度、路面宽度、车道数量、路面类型、排水设施类型、公路边坡类型、防护设施类型、抗震设防等级、防洪标准等。公路边坡类型分为路堑边坡、路堤边坡等，包括边坡岩性特征（土质、岩质、土石混合），边坡结构特征（坡高、坡度、分级等）等。排水设施类型分为地表排水设施和地下排水设施。防护设施类型分为坡面防护、沿河防护、支挡设施。</w:t>
      </w:r>
    </w:p>
    <w:p>
      <w:pPr>
        <w:spacing w:line="360" w:lineRule="auto"/>
        <w:ind w:firstLine="480" w:firstLineChars="200"/>
        <w:rPr>
          <w:rFonts w:ascii="宋体" w:hAnsi="宋体" w:cs="宋体"/>
          <w:sz w:val="24"/>
        </w:rPr>
      </w:pPr>
      <w:r>
        <w:rPr>
          <w:rFonts w:hint="eastAsia" w:ascii="宋体" w:hAnsi="宋体" w:cs="宋体"/>
          <w:sz w:val="24"/>
        </w:rPr>
        <w:t>1、信息采集填报。对路域范围内对公路有影响的灾害风险点历史信息、现状信息进行采集，自然灾害风险点信息采集结合现场调查进行资料填报。现场检查，主要采用现场调查、仪器测量、无人机调查等手段开展。</w:t>
      </w:r>
    </w:p>
    <w:p>
      <w:pPr>
        <w:spacing w:line="360" w:lineRule="auto"/>
        <w:ind w:firstLine="480" w:firstLineChars="200"/>
        <w:rPr>
          <w:rFonts w:ascii="宋体" w:hAnsi="宋体" w:cs="宋体"/>
          <w:sz w:val="24"/>
        </w:rPr>
      </w:pPr>
      <w:r>
        <w:rPr>
          <w:rFonts w:hint="eastAsia" w:ascii="宋体" w:hAnsi="宋体" w:cs="宋体"/>
          <w:sz w:val="24"/>
        </w:rPr>
        <w:t>2、初步风险评估。公路自然灾害风险初步风险评估在普查填报数据的基础上采用指标体系法进行。采用灾害发生频次、灾害历史危害程度、灾害恢复情况、现状灾害情况以及公路重要性等指标，根据灾害风险点初步评估的危险性指数（CRI）进行灾害风险点风险分级。风险点的风险等级划分为一级到四级。</w:t>
      </w:r>
    </w:p>
    <w:p>
      <w:pPr>
        <w:spacing w:line="360" w:lineRule="auto"/>
        <w:ind w:firstLine="480" w:firstLineChars="200"/>
        <w:rPr>
          <w:rFonts w:ascii="宋体" w:hAnsi="宋体" w:cs="宋体"/>
          <w:sz w:val="24"/>
        </w:rPr>
      </w:pPr>
      <w:r>
        <w:rPr>
          <w:rFonts w:hint="eastAsia" w:ascii="宋体" w:hAnsi="宋体" w:cs="宋体"/>
          <w:sz w:val="24"/>
        </w:rPr>
        <w:t>3、普查成果应用。对自然灾害综合风险公路承灾体普查成果数据开展包括数字档案、巡查检查、评估养护、监测预警等方面的数字化应用。</w:t>
      </w:r>
    </w:p>
    <w:p>
      <w:pPr>
        <w:pStyle w:val="781"/>
        <w:rPr>
          <w:rFonts w:ascii="宋体" w:hAnsi="宋体" w:cs="宋体"/>
          <w:b/>
          <w:sz w:val="24"/>
        </w:rPr>
      </w:pPr>
      <w:r>
        <w:rPr>
          <w:rFonts w:hint="eastAsia" w:ascii="宋体" w:hAnsi="宋体" w:cs="宋体"/>
          <w:b/>
          <w:sz w:val="28"/>
          <w:szCs w:val="28"/>
        </w:rPr>
        <w:t>二、2022年桐庐县自然灾害公路承载体风险普查服务项目工程清单</w:t>
      </w:r>
    </w:p>
    <w:tbl>
      <w:tblPr>
        <w:tblStyle w:val="62"/>
        <w:tblW w:w="8369" w:type="dxa"/>
        <w:tblInd w:w="0" w:type="dxa"/>
        <w:tblLayout w:type="fixed"/>
        <w:tblCellMar>
          <w:top w:w="15" w:type="dxa"/>
          <w:left w:w="15" w:type="dxa"/>
          <w:bottom w:w="15" w:type="dxa"/>
          <w:right w:w="15" w:type="dxa"/>
        </w:tblCellMar>
      </w:tblPr>
      <w:tblGrid>
        <w:gridCol w:w="714"/>
        <w:gridCol w:w="1843"/>
        <w:gridCol w:w="2551"/>
        <w:gridCol w:w="1418"/>
        <w:gridCol w:w="1843"/>
      </w:tblGrid>
      <w:tr>
        <w:tblPrEx>
          <w:tblCellMar>
            <w:top w:w="15" w:type="dxa"/>
            <w:left w:w="15" w:type="dxa"/>
            <w:bottom w:w="15" w:type="dxa"/>
            <w:right w:w="15" w:type="dxa"/>
          </w:tblCellMar>
        </w:tblPrEx>
        <w:trPr>
          <w:trHeight w:val="715" w:hRule="atLeast"/>
          <w:tblHeader/>
        </w:trPr>
        <w:tc>
          <w:tcPr>
            <w:tcW w:w="7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rPr>
                <w:b/>
              </w:rPr>
            </w:pPr>
            <w:r>
              <w:rPr>
                <w:rFonts w:ascii="宋体" w:hAnsi="宋体" w:cs="宋体"/>
                <w:b/>
                <w:kern w:val="0"/>
                <w:sz w:val="24"/>
              </w:rPr>
              <w:t>序号</w:t>
            </w: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rPr>
                <w:rFonts w:ascii="宋体" w:hAnsi="宋体" w:cs="宋体"/>
                <w:b/>
                <w:kern w:val="0"/>
                <w:sz w:val="24"/>
              </w:rPr>
            </w:pPr>
            <w:r>
              <w:rPr>
                <w:rFonts w:hint="eastAsia" w:ascii="宋体" w:hAnsi="宋体" w:cs="宋体"/>
                <w:b/>
                <w:kern w:val="0"/>
                <w:sz w:val="24"/>
              </w:rPr>
              <w:t>采购项目名称</w:t>
            </w:r>
          </w:p>
        </w:tc>
        <w:tc>
          <w:tcPr>
            <w:tcW w:w="255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rPr>
                <w:b/>
              </w:rPr>
            </w:pPr>
            <w:r>
              <w:rPr>
                <w:rFonts w:ascii="宋体" w:hAnsi="宋体" w:cs="宋体"/>
                <w:b/>
                <w:kern w:val="0"/>
                <w:sz w:val="24"/>
              </w:rPr>
              <w:t>采购</w:t>
            </w:r>
            <w:r>
              <w:rPr>
                <w:rFonts w:hint="eastAsia" w:ascii="宋体" w:hAnsi="宋体" w:cs="宋体"/>
                <w:b/>
                <w:kern w:val="0"/>
                <w:sz w:val="24"/>
              </w:rPr>
              <w:t>需求概况</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rPr>
                <w:b/>
              </w:rPr>
            </w:pPr>
            <w:r>
              <w:rPr>
                <w:rFonts w:hint="eastAsia" w:ascii="宋体" w:hAnsi="宋体" w:cs="宋体"/>
                <w:b/>
                <w:kern w:val="0"/>
                <w:sz w:val="24"/>
              </w:rPr>
              <w:t>数量及单位</w:t>
            </w: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rPr>
                <w:b/>
              </w:rPr>
            </w:pPr>
            <w:r>
              <w:rPr>
                <w:rFonts w:ascii="宋体" w:hAnsi="宋体" w:cs="宋体"/>
                <w:b/>
                <w:kern w:val="0"/>
                <w:sz w:val="24"/>
              </w:rPr>
              <w:t>备注</w:t>
            </w:r>
          </w:p>
        </w:tc>
      </w:tr>
      <w:tr>
        <w:tblPrEx>
          <w:tblCellMar>
            <w:top w:w="15" w:type="dxa"/>
            <w:left w:w="15" w:type="dxa"/>
            <w:bottom w:w="15" w:type="dxa"/>
            <w:right w:w="15" w:type="dxa"/>
          </w:tblCellMar>
        </w:tblPrEx>
        <w:trPr>
          <w:trHeight w:val="1101" w:hRule="atLeast"/>
        </w:trPr>
        <w:tc>
          <w:tcPr>
            <w:tcW w:w="71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ascii="宋体" w:hAnsi="宋体" w:cs="宋体"/>
                <w:sz w:val="24"/>
              </w:rPr>
              <w:t>1</w:t>
            </w:r>
          </w:p>
        </w:tc>
        <w:tc>
          <w:tcPr>
            <w:tcW w:w="1843"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sz w:val="24"/>
              </w:rPr>
            </w:pPr>
            <w:r>
              <w:rPr>
                <w:rFonts w:hint="eastAsia" w:ascii="宋体" w:hAnsi="宋体" w:cs="宋体"/>
                <w:sz w:val="24"/>
              </w:rPr>
              <w:t>2022年桐庐县自然灾害公路承载体风险普查服务项目</w:t>
            </w:r>
          </w:p>
        </w:tc>
        <w:tc>
          <w:tcPr>
            <w:tcW w:w="25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sz w:val="24"/>
              </w:rPr>
            </w:pPr>
            <w:r>
              <w:rPr>
                <w:rFonts w:hint="eastAsia" w:ascii="宋体" w:hAnsi="宋体" w:cs="宋体"/>
                <w:sz w:val="24"/>
              </w:rPr>
              <w:t>桐庐县752条村道共1042.99公里公路</w:t>
            </w:r>
          </w:p>
        </w:tc>
        <w:tc>
          <w:tcPr>
            <w:tcW w:w="14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ascii="宋体" w:hAnsi="宋体" w:cs="宋体"/>
                <w:sz w:val="24"/>
              </w:rPr>
              <w:t>1042.99公里</w:t>
            </w:r>
          </w:p>
        </w:tc>
        <w:tc>
          <w:tcPr>
            <w:tcW w:w="18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cs="宋体"/>
                <w:sz w:val="24"/>
              </w:rPr>
            </w:pPr>
            <w:r>
              <w:rPr>
                <w:rFonts w:hint="eastAsia" w:ascii="宋体" w:hAnsi="宋体" w:cs="宋体"/>
                <w:sz w:val="24"/>
              </w:rPr>
              <w:t>（含桥梁、隧道等）</w:t>
            </w:r>
          </w:p>
        </w:tc>
      </w:tr>
      <w:tr>
        <w:tblPrEx>
          <w:tblCellMar>
            <w:top w:w="15" w:type="dxa"/>
            <w:left w:w="15" w:type="dxa"/>
            <w:bottom w:w="15" w:type="dxa"/>
            <w:right w:w="15" w:type="dxa"/>
          </w:tblCellMar>
        </w:tblPrEx>
        <w:trPr>
          <w:trHeight w:val="1128" w:hRule="atLeast"/>
        </w:trPr>
        <w:tc>
          <w:tcPr>
            <w:tcW w:w="714"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sz w:val="24"/>
              </w:rPr>
            </w:pPr>
          </w:p>
        </w:tc>
        <w:tc>
          <w:tcPr>
            <w:tcW w:w="25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sz w:val="24"/>
              </w:rPr>
            </w:pPr>
            <w:r>
              <w:rPr>
                <w:rFonts w:hint="eastAsia" w:ascii="宋体" w:hAnsi="宋体" w:cs="宋体"/>
                <w:sz w:val="24"/>
              </w:rPr>
              <w:t>普查成果应用</w:t>
            </w:r>
          </w:p>
        </w:tc>
        <w:tc>
          <w:tcPr>
            <w:tcW w:w="14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sz w:val="24"/>
              </w:rPr>
            </w:pPr>
            <w:r>
              <w:rPr>
                <w:rFonts w:hint="eastAsia" w:ascii="宋体" w:hAnsi="宋体" w:cs="宋体"/>
                <w:sz w:val="24"/>
              </w:rPr>
              <w:t>4项</w:t>
            </w:r>
          </w:p>
        </w:tc>
        <w:tc>
          <w:tcPr>
            <w:tcW w:w="18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textAlignment w:val="center"/>
              <w:rPr>
                <w:rFonts w:ascii="宋体" w:hAnsi="宋体" w:cs="宋体"/>
                <w:sz w:val="24"/>
              </w:rPr>
            </w:pPr>
            <w:r>
              <w:rPr>
                <w:rFonts w:hint="eastAsia" w:ascii="宋体" w:hAnsi="宋体" w:cs="宋体"/>
                <w:sz w:val="24"/>
              </w:rPr>
              <w:t>（含数字档案、巡查检查、评估养护、监测预警等）</w:t>
            </w:r>
          </w:p>
        </w:tc>
      </w:tr>
    </w:tbl>
    <w:p>
      <w:pPr>
        <w:spacing w:line="360" w:lineRule="auto"/>
        <w:outlineLvl w:val="0"/>
        <w:rPr>
          <w:rFonts w:ascii="宋体" w:hAnsi="宋体" w:cs="宋体"/>
          <w:b/>
          <w:sz w:val="28"/>
          <w:szCs w:val="28"/>
        </w:rPr>
      </w:pPr>
    </w:p>
    <w:p>
      <w:pPr>
        <w:spacing w:line="360" w:lineRule="auto"/>
        <w:rPr>
          <w:rFonts w:ascii="宋体" w:hAnsi="宋体" w:cs="宋体"/>
          <w:b/>
          <w:kern w:val="0"/>
          <w:sz w:val="28"/>
          <w:szCs w:val="28"/>
        </w:rPr>
      </w:pPr>
      <w:r>
        <w:rPr>
          <w:rFonts w:hint="eastAsia" w:ascii="宋体" w:hAnsi="宋体" w:cs="宋体"/>
          <w:b/>
          <w:kern w:val="0"/>
          <w:sz w:val="28"/>
          <w:szCs w:val="28"/>
        </w:rPr>
        <w:t>三、商务条款</w:t>
      </w:r>
    </w:p>
    <w:p>
      <w:pPr>
        <w:spacing w:line="360" w:lineRule="auto"/>
        <w:ind w:firstLine="480" w:firstLineChars="200"/>
        <w:rPr>
          <w:rFonts w:ascii="宋体" w:hAnsi="宋体" w:cs="宋体"/>
          <w:sz w:val="24"/>
        </w:rPr>
      </w:pPr>
      <w:r>
        <w:rPr>
          <w:rFonts w:hint="eastAsia" w:ascii="宋体" w:hAnsi="宋体" w:cs="宋体"/>
          <w:sz w:val="24"/>
        </w:rPr>
        <w:t>1、完成时间：合同签订之日起五个月内完成普查工作并通过评审，并提供1年的普查成果应用服务。</w:t>
      </w:r>
    </w:p>
    <w:p>
      <w:pPr>
        <w:spacing w:line="360" w:lineRule="auto"/>
        <w:ind w:firstLine="480" w:firstLineChars="200"/>
        <w:rPr>
          <w:rFonts w:ascii="宋体" w:hAnsi="宋体" w:cs="宋体"/>
          <w:sz w:val="24"/>
        </w:rPr>
      </w:pPr>
      <w:r>
        <w:rPr>
          <w:rFonts w:hint="eastAsia" w:ascii="宋体" w:hAnsi="宋体" w:cs="宋体"/>
          <w:sz w:val="24"/>
        </w:rPr>
        <w:t>2、付款方式及结算方式：</w:t>
      </w:r>
    </w:p>
    <w:p>
      <w:pPr>
        <w:spacing w:line="360" w:lineRule="auto"/>
        <w:ind w:firstLine="840" w:firstLineChars="350"/>
        <w:rPr>
          <w:rFonts w:ascii="宋体" w:hAnsi="宋体" w:cs="宋体"/>
          <w:sz w:val="24"/>
        </w:rPr>
      </w:pPr>
      <w:r>
        <w:rPr>
          <w:rFonts w:hint="eastAsia" w:ascii="宋体" w:hAnsi="宋体" w:cs="宋体"/>
          <w:sz w:val="24"/>
        </w:rPr>
        <w:t>2.1合同签订并提交预付款保函后，支付合同价30%的预付款；</w:t>
      </w:r>
    </w:p>
    <w:p>
      <w:pPr>
        <w:spacing w:line="360" w:lineRule="auto"/>
        <w:ind w:firstLine="840" w:firstLineChars="350"/>
        <w:rPr>
          <w:rFonts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完成外业工作，提交普查成果报告，并通过评审且采购人认可后，支付合同总价的30%；</w:t>
      </w:r>
    </w:p>
    <w:p>
      <w:pPr>
        <w:spacing w:line="360" w:lineRule="auto"/>
        <w:ind w:firstLine="840" w:firstLineChars="350"/>
        <w:rPr>
          <w:rFonts w:ascii="宋体" w:hAnsi="宋体" w:cs="宋体"/>
          <w:sz w:val="24"/>
        </w:rPr>
      </w:pPr>
      <w:r>
        <w:rPr>
          <w:rFonts w:ascii="宋体" w:hAnsi="宋体" w:cs="宋体"/>
          <w:sz w:val="24"/>
        </w:rPr>
        <w:t>2.3</w:t>
      </w:r>
      <w:r>
        <w:rPr>
          <w:rFonts w:hint="eastAsia" w:ascii="宋体" w:hAnsi="宋体" w:cs="宋体"/>
          <w:sz w:val="24"/>
        </w:rPr>
        <w:t>开展普查成果应用，完成边坡监测布点且监测数据接入系统应用后，支付合同总价的30%；</w:t>
      </w:r>
    </w:p>
    <w:p>
      <w:pPr>
        <w:spacing w:line="360" w:lineRule="auto"/>
        <w:ind w:firstLine="840" w:firstLineChars="350"/>
        <w:rPr>
          <w:rFonts w:ascii="宋体" w:hAnsi="宋体" w:cs="宋体"/>
          <w:sz w:val="24"/>
        </w:rPr>
      </w:pPr>
      <w:r>
        <w:rPr>
          <w:rFonts w:ascii="宋体" w:hAnsi="宋体" w:cs="宋体"/>
          <w:sz w:val="24"/>
        </w:rPr>
        <w:t>2.</w:t>
      </w:r>
      <w:r>
        <w:rPr>
          <w:rFonts w:hint="eastAsia" w:ascii="宋体" w:hAnsi="宋体" w:cs="宋体"/>
          <w:sz w:val="24"/>
        </w:rPr>
        <w:t>4普查成果应用服务满一年，提交应用总结报告且采购人认可后，支付剩余部分价款；</w:t>
      </w:r>
    </w:p>
    <w:p>
      <w:pPr>
        <w:spacing w:line="360" w:lineRule="auto"/>
        <w:ind w:firstLine="840" w:firstLineChars="350"/>
        <w:rPr>
          <w:rFonts w:ascii="宋体" w:hAnsi="宋体" w:cs="宋体"/>
          <w:sz w:val="24"/>
        </w:rPr>
      </w:pPr>
      <w:r>
        <w:rPr>
          <w:rFonts w:hint="eastAsia" w:ascii="宋体" w:hAnsi="宋体" w:cs="宋体"/>
          <w:sz w:val="24"/>
        </w:rPr>
        <w:t>2.5</w:t>
      </w:r>
      <w:r>
        <w:rPr>
          <w:rFonts w:ascii="宋体" w:hAnsi="宋体" w:cs="宋体"/>
          <w:sz w:val="24"/>
        </w:rPr>
        <w:t>本项目采用单价合同，普查的量</w:t>
      </w:r>
      <w:r>
        <w:rPr>
          <w:rFonts w:hint="eastAsia" w:ascii="宋体" w:hAnsi="宋体" w:cs="宋体"/>
          <w:sz w:val="24"/>
        </w:rPr>
        <w:t>及普查成果应用的量</w:t>
      </w:r>
      <w:r>
        <w:rPr>
          <w:rFonts w:ascii="宋体" w:hAnsi="宋体" w:cs="宋体"/>
          <w:sz w:val="24"/>
        </w:rPr>
        <w:t>按实际发生量结算，综合单价不变；实际价款=中标综合单价</w:t>
      </w:r>
      <w:r>
        <w:rPr>
          <w:rFonts w:hint="eastAsia" w:ascii="宋体" w:hAnsi="宋体" w:cs="宋体"/>
          <w:sz w:val="24"/>
        </w:rPr>
        <w:t>×</w:t>
      </w:r>
      <w:r>
        <w:rPr>
          <w:rFonts w:ascii="宋体" w:hAnsi="宋体" w:cs="宋体"/>
          <w:sz w:val="24"/>
        </w:rPr>
        <w:t>实际发生的量。</w:t>
      </w:r>
    </w:p>
    <w:p>
      <w:pPr>
        <w:spacing w:line="360" w:lineRule="auto"/>
        <w:ind w:firstLine="480" w:firstLineChars="200"/>
        <w:rPr>
          <w:rFonts w:ascii="宋体" w:hAnsi="宋体" w:cs="宋体"/>
          <w:sz w:val="24"/>
        </w:rPr>
      </w:pPr>
      <w:r>
        <w:rPr>
          <w:rFonts w:hint="eastAsia" w:ascii="宋体" w:hAnsi="宋体" w:cs="宋体"/>
          <w:sz w:val="24"/>
        </w:rPr>
        <w:t>3、服务时间及地点：按业主规定要求。</w:t>
      </w:r>
    </w:p>
    <w:p>
      <w:pPr>
        <w:spacing w:line="360" w:lineRule="auto"/>
        <w:ind w:firstLine="480" w:firstLineChars="200"/>
        <w:rPr>
          <w:rFonts w:ascii="宋体" w:hAnsi="宋体" w:cs="宋体"/>
          <w:sz w:val="24"/>
        </w:rPr>
      </w:pPr>
      <w:r>
        <w:rPr>
          <w:rFonts w:hint="eastAsia" w:ascii="宋体" w:hAnsi="宋体" w:cs="宋体"/>
          <w:sz w:val="24"/>
        </w:rPr>
        <w:t>4、本次招标相关费用由中标方承担。</w:t>
      </w:r>
    </w:p>
    <w:p>
      <w:pPr>
        <w:spacing w:line="360" w:lineRule="auto"/>
        <w:ind w:firstLine="480" w:firstLineChars="200"/>
        <w:rPr>
          <w:rFonts w:ascii="宋体" w:hAnsi="宋体" w:cs="宋体"/>
          <w:sz w:val="24"/>
        </w:rPr>
      </w:pPr>
      <w:r>
        <w:rPr>
          <w:rFonts w:hint="eastAsia" w:ascii="宋体" w:hAnsi="宋体" w:cs="宋体"/>
          <w:sz w:val="24"/>
        </w:rPr>
        <w:t>▲5、验收要求：</w:t>
      </w:r>
    </w:p>
    <w:p>
      <w:pPr>
        <w:spacing w:line="360" w:lineRule="auto"/>
        <w:ind w:firstLine="480" w:firstLineChars="200"/>
        <w:rPr>
          <w:rFonts w:ascii="宋体" w:hAnsi="宋体" w:cs="宋体"/>
          <w:sz w:val="24"/>
        </w:rPr>
      </w:pPr>
      <w:r>
        <w:rPr>
          <w:rFonts w:hint="eastAsia" w:ascii="宋体" w:hAnsi="宋体" w:cs="宋体"/>
          <w:sz w:val="24"/>
        </w:rPr>
        <w:t>5.1按照“浙江省交通运输厅关于印发《浙江省自然灾害综合风险公路承灾体普查实施方案》等方案的通知”（浙交〔2021〕37 号）的要求形式提交普查成果，包括相关数据、图件和文字报告。</w:t>
      </w:r>
    </w:p>
    <w:p>
      <w:pPr>
        <w:spacing w:line="360" w:lineRule="auto"/>
        <w:ind w:firstLine="480" w:firstLineChars="200"/>
        <w:rPr>
          <w:rFonts w:ascii="宋体" w:hAnsi="宋体" w:cs="宋体"/>
          <w:sz w:val="24"/>
        </w:rPr>
      </w:pPr>
      <w:r>
        <w:rPr>
          <w:rFonts w:hint="eastAsia" w:ascii="宋体" w:hAnsi="宋体" w:cs="宋体"/>
          <w:sz w:val="24"/>
        </w:rPr>
        <w:t>5.2 普查成果通过专家评审。</w:t>
      </w:r>
    </w:p>
    <w:p>
      <w:pPr>
        <w:spacing w:line="360" w:lineRule="auto"/>
        <w:ind w:firstLine="480" w:firstLineChars="200"/>
        <w:rPr>
          <w:rFonts w:ascii="宋体" w:hAnsi="宋体" w:cs="宋体"/>
          <w:sz w:val="24"/>
        </w:rPr>
      </w:pPr>
      <w:r>
        <w:rPr>
          <w:rFonts w:hint="eastAsia" w:ascii="宋体" w:hAnsi="宋体" w:cs="宋体"/>
          <w:sz w:val="24"/>
        </w:rPr>
        <w:t>5.3 提供全部成果资料的电子版给采购单位。</w:t>
      </w:r>
    </w:p>
    <w:p>
      <w:pPr>
        <w:spacing w:line="360" w:lineRule="auto"/>
        <w:ind w:firstLine="480" w:firstLineChars="200"/>
        <w:rPr>
          <w:rFonts w:ascii="宋体" w:hAnsi="宋体" w:cs="宋体"/>
          <w:sz w:val="24"/>
        </w:rPr>
      </w:pPr>
      <w:r>
        <w:rPr>
          <w:rFonts w:hint="eastAsia" w:ascii="宋体" w:hAnsi="宋体" w:cs="宋体"/>
          <w:sz w:val="24"/>
        </w:rPr>
        <w:t>5.4提供的公路边坡数字化应用场景的相应软件平台服务满足采购人要求。</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 履约保证：</w:t>
      </w:r>
    </w:p>
    <w:p>
      <w:pPr>
        <w:spacing w:line="360" w:lineRule="auto"/>
        <w:ind w:firstLine="480" w:firstLineChars="200"/>
        <w:rPr>
          <w:rFonts w:ascii="宋体" w:hAnsi="宋体" w:cs="宋体"/>
          <w:sz w:val="24"/>
        </w:rPr>
      </w:pPr>
      <w:r>
        <w:rPr>
          <w:rFonts w:hint="eastAsia" w:ascii="宋体" w:hAnsi="宋体" w:cs="宋体"/>
          <w:sz w:val="24"/>
        </w:rPr>
        <w:t>履约保证金金额：合同金额的2%</w:t>
      </w:r>
    </w:p>
    <w:p>
      <w:pPr>
        <w:spacing w:line="360" w:lineRule="auto"/>
        <w:ind w:firstLine="480" w:firstLineChars="200"/>
        <w:rPr>
          <w:rFonts w:ascii="宋体" w:hAnsi="宋体" w:cs="宋体"/>
          <w:sz w:val="24"/>
        </w:rPr>
      </w:pPr>
      <w:r>
        <w:rPr>
          <w:rFonts w:hint="eastAsia" w:ascii="宋体" w:hAnsi="宋体" w:cs="宋体"/>
          <w:sz w:val="24"/>
        </w:rPr>
        <w:t>履约保证金缴纳形式：支票/汇票/电汇/现金/银行保函（国有或股份制商业银行一级支行以上分支机构出具的银行保函）/担保</w:t>
      </w:r>
    </w:p>
    <w:p>
      <w:pPr>
        <w:spacing w:line="360" w:lineRule="auto"/>
        <w:ind w:firstLine="480" w:firstLineChars="200"/>
        <w:rPr>
          <w:rFonts w:ascii="宋体" w:hAnsi="宋体" w:cs="宋体"/>
          <w:sz w:val="24"/>
        </w:rPr>
      </w:pPr>
      <w:r>
        <w:rPr>
          <w:rFonts w:hint="eastAsia" w:ascii="宋体" w:hAnsi="宋体" w:cs="宋体"/>
          <w:sz w:val="24"/>
        </w:rPr>
        <w:t>履约保证金缴纳时间：合同签订后5个工作日内</w:t>
      </w:r>
    </w:p>
    <w:p>
      <w:pPr>
        <w:spacing w:line="360" w:lineRule="auto"/>
        <w:ind w:firstLine="480" w:firstLineChars="200"/>
        <w:rPr>
          <w:rFonts w:ascii="宋体" w:hAnsi="宋体" w:cs="宋体"/>
          <w:sz w:val="24"/>
        </w:rPr>
      </w:pPr>
      <w:r>
        <w:rPr>
          <w:rFonts w:hint="eastAsia" w:ascii="宋体" w:hAnsi="宋体" w:cs="宋体"/>
          <w:sz w:val="24"/>
        </w:rPr>
        <w:t>履约保证金接收人：合同甲方</w:t>
      </w:r>
    </w:p>
    <w:p>
      <w:pPr>
        <w:spacing w:line="360" w:lineRule="auto"/>
        <w:ind w:firstLine="480" w:firstLineChars="200"/>
        <w:rPr>
          <w:rFonts w:ascii="宋体" w:hAnsi="宋体" w:cs="宋体"/>
          <w:sz w:val="24"/>
        </w:rPr>
      </w:pPr>
      <w:r>
        <w:rPr>
          <w:rFonts w:hint="eastAsia" w:ascii="宋体" w:hAnsi="宋体" w:cs="宋体"/>
          <w:sz w:val="24"/>
        </w:rPr>
        <w:t>履约保证金有效期限：合同签订之日起至项目最终验收通过止。</w:t>
      </w:r>
    </w:p>
    <w:p>
      <w:pPr>
        <w:spacing w:line="360" w:lineRule="auto"/>
        <w:rPr>
          <w:rFonts w:ascii="宋体" w:hAnsi="宋体" w:cs="宋体"/>
          <w:b/>
          <w:kern w:val="0"/>
          <w:sz w:val="28"/>
          <w:szCs w:val="28"/>
        </w:rPr>
      </w:pPr>
      <w:r>
        <w:rPr>
          <w:rFonts w:hint="eastAsia" w:ascii="宋体" w:hAnsi="宋体" w:cs="宋体"/>
          <w:b/>
          <w:kern w:val="0"/>
          <w:sz w:val="28"/>
          <w:szCs w:val="28"/>
        </w:rPr>
        <w:t>四、违约责任</w:t>
      </w:r>
    </w:p>
    <w:p>
      <w:pPr>
        <w:spacing w:line="360" w:lineRule="auto"/>
        <w:ind w:firstLine="480" w:firstLineChars="200"/>
        <w:rPr>
          <w:rFonts w:ascii="宋体" w:hAnsi="宋体" w:cs="宋体"/>
          <w:color w:val="000000"/>
          <w:sz w:val="24"/>
        </w:rPr>
      </w:pPr>
      <w:r>
        <w:rPr>
          <w:rFonts w:hint="eastAsia" w:ascii="宋体" w:hAnsi="宋体" w:cs="宋体"/>
          <w:sz w:val="24"/>
        </w:rPr>
        <w:t>1、若中标方未在合同期内完成普查工作（含通过评审）的，中标方须按1000元/</w:t>
      </w:r>
      <w:r>
        <w:rPr>
          <w:rFonts w:hint="eastAsia" w:ascii="宋体" w:hAnsi="宋体" w:cs="宋体"/>
          <w:color w:val="000000"/>
          <w:sz w:val="24"/>
        </w:rPr>
        <w:t>天向采购方支付逾期违约金，最高逾期违约金为合同价的5%，由采购方从合同总价中扣除。逾期超过约定日期10个工作日的，采购方可解除本合同。中标方因逾期或因其他违约行为导致采购方解除合同的，造成采购方损失超过违约金的，超出部分由中标方继续承担赔偿责任。</w:t>
      </w:r>
    </w:p>
    <w:p>
      <w:pPr>
        <w:snapToGrid w:val="0"/>
        <w:spacing w:line="360" w:lineRule="auto"/>
        <w:rPr>
          <w:rFonts w:ascii="宋体" w:hAnsi="宋体" w:cs="宋体"/>
          <w:b/>
          <w:sz w:val="36"/>
          <w:szCs w:val="36"/>
        </w:rPr>
      </w:pPr>
    </w:p>
    <w:p>
      <w:pPr>
        <w:snapToGrid w:val="0"/>
        <w:spacing w:line="360" w:lineRule="auto"/>
        <w:jc w:val="center"/>
        <w:rPr>
          <w:rFonts w:ascii="宋体" w:hAnsi="宋体" w:cs="宋体"/>
          <w:b/>
          <w:sz w:val="36"/>
          <w:szCs w:val="36"/>
        </w:rPr>
        <w:sectPr>
          <w:pgSz w:w="11907" w:h="16840"/>
          <w:pgMar w:top="1440" w:right="1417" w:bottom="1440" w:left="1417" w:header="851" w:footer="850" w:gutter="0"/>
          <w:cols w:space="0" w:num="1"/>
        </w:sect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287"/>
      <w:bookmarkEnd w:id="26"/>
      <w:bookmarkStart w:id="27" w:name="_Toc184313244"/>
      <w:bookmarkEnd w:id="27"/>
      <w:bookmarkStart w:id="28" w:name="_Toc184308078"/>
      <w:bookmarkEnd w:id="28"/>
      <w:bookmarkStart w:id="29" w:name="_Toc184310275"/>
      <w:bookmarkEnd w:id="29"/>
      <w:bookmarkStart w:id="30" w:name="_Toc184314455"/>
      <w:bookmarkEnd w:id="30"/>
      <w:bookmarkStart w:id="31" w:name="_Toc184312124"/>
      <w:bookmarkEnd w:id="31"/>
      <w:bookmarkStart w:id="32" w:name="_Toc184313282"/>
      <w:bookmarkEnd w:id="32"/>
      <w:bookmarkStart w:id="33" w:name="_Toc184312096"/>
      <w:bookmarkEnd w:id="33"/>
      <w:bookmarkStart w:id="34" w:name="_Toc184313255"/>
      <w:bookmarkEnd w:id="34"/>
      <w:bookmarkStart w:id="35" w:name="_Toc184312101"/>
      <w:bookmarkEnd w:id="35"/>
      <w:bookmarkStart w:id="36" w:name="_Toc184308105"/>
      <w:bookmarkEnd w:id="36"/>
      <w:bookmarkStart w:id="37" w:name="_Toc184310333"/>
      <w:bookmarkEnd w:id="37"/>
      <w:bookmarkStart w:id="38" w:name="_Toc184313270"/>
      <w:bookmarkEnd w:id="38"/>
      <w:bookmarkStart w:id="39" w:name="_Toc184313240"/>
      <w:bookmarkEnd w:id="39"/>
      <w:bookmarkStart w:id="40" w:name="_Toc184310303"/>
      <w:bookmarkEnd w:id="40"/>
      <w:bookmarkStart w:id="41" w:name="_Toc184310308"/>
      <w:bookmarkEnd w:id="41"/>
      <w:bookmarkStart w:id="42" w:name="_Toc184313272"/>
      <w:bookmarkEnd w:id="42"/>
      <w:bookmarkStart w:id="43" w:name="_Toc184310343"/>
      <w:bookmarkEnd w:id="43"/>
      <w:bookmarkStart w:id="44" w:name="_Toc184312133"/>
      <w:bookmarkEnd w:id="44"/>
      <w:bookmarkStart w:id="45" w:name="_Toc184313308"/>
      <w:bookmarkEnd w:id="45"/>
      <w:bookmarkStart w:id="46" w:name="_Toc184314413"/>
      <w:bookmarkEnd w:id="46"/>
      <w:bookmarkStart w:id="47" w:name="_Toc184310292"/>
      <w:bookmarkEnd w:id="47"/>
      <w:bookmarkStart w:id="48" w:name="_Toc184310337"/>
      <w:bookmarkEnd w:id="48"/>
      <w:bookmarkStart w:id="49" w:name="_Toc184312121"/>
      <w:bookmarkEnd w:id="49"/>
      <w:bookmarkStart w:id="50" w:name="_Toc184312092"/>
      <w:bookmarkEnd w:id="50"/>
      <w:bookmarkStart w:id="51" w:name="_Toc184314456"/>
      <w:bookmarkEnd w:id="51"/>
      <w:bookmarkStart w:id="52" w:name="_Toc184310296"/>
      <w:bookmarkEnd w:id="52"/>
      <w:bookmarkStart w:id="53" w:name="_Toc184313258"/>
      <w:bookmarkEnd w:id="53"/>
      <w:bookmarkStart w:id="54" w:name="_Toc184308070"/>
      <w:bookmarkEnd w:id="54"/>
      <w:bookmarkStart w:id="55" w:name="_Toc184313264"/>
      <w:bookmarkEnd w:id="55"/>
      <w:bookmarkStart w:id="56" w:name="_Toc184312131"/>
      <w:bookmarkEnd w:id="56"/>
      <w:bookmarkStart w:id="57" w:name="_Toc184312081"/>
      <w:bookmarkEnd w:id="57"/>
      <w:bookmarkStart w:id="58" w:name="_Toc184314439"/>
      <w:bookmarkEnd w:id="58"/>
      <w:bookmarkStart w:id="59" w:name="_Toc184314441"/>
      <w:bookmarkEnd w:id="59"/>
      <w:bookmarkStart w:id="60" w:name="_Toc184313263"/>
      <w:bookmarkEnd w:id="60"/>
      <w:bookmarkStart w:id="61" w:name="_Toc184308048"/>
      <w:bookmarkEnd w:id="61"/>
      <w:bookmarkStart w:id="62" w:name="_Toc184310306"/>
      <w:bookmarkEnd w:id="62"/>
      <w:bookmarkStart w:id="63" w:name="_Toc184314426"/>
      <w:bookmarkEnd w:id="63"/>
      <w:bookmarkStart w:id="64" w:name="_Toc184310305"/>
      <w:bookmarkEnd w:id="64"/>
      <w:bookmarkStart w:id="65" w:name="_Toc184308083"/>
      <w:bookmarkEnd w:id="65"/>
      <w:bookmarkStart w:id="66" w:name="_Toc184312116"/>
      <w:bookmarkEnd w:id="66"/>
      <w:bookmarkStart w:id="67" w:name="_Toc184313299"/>
      <w:bookmarkEnd w:id="67"/>
      <w:bookmarkStart w:id="68" w:name="_Toc184313286"/>
      <w:bookmarkEnd w:id="68"/>
      <w:bookmarkStart w:id="69" w:name="_Toc184312109"/>
      <w:bookmarkEnd w:id="69"/>
      <w:bookmarkStart w:id="70" w:name="_Toc184314410"/>
      <w:bookmarkEnd w:id="70"/>
      <w:bookmarkStart w:id="71" w:name="_Toc184308049"/>
      <w:bookmarkEnd w:id="71"/>
      <w:bookmarkStart w:id="72" w:name="_Toc184313291"/>
      <w:bookmarkEnd w:id="72"/>
      <w:bookmarkStart w:id="73" w:name="_Toc184312085"/>
      <w:bookmarkEnd w:id="73"/>
      <w:bookmarkStart w:id="74" w:name="_Toc184314467"/>
      <w:bookmarkEnd w:id="74"/>
      <w:bookmarkStart w:id="75" w:name="_Toc184312137"/>
      <w:bookmarkEnd w:id="75"/>
      <w:bookmarkStart w:id="76" w:name="_Toc184312119"/>
      <w:bookmarkEnd w:id="76"/>
      <w:bookmarkStart w:id="77" w:name="_Toc184310310"/>
      <w:bookmarkEnd w:id="77"/>
      <w:bookmarkStart w:id="78" w:name="_Toc184312127"/>
      <w:bookmarkEnd w:id="78"/>
      <w:bookmarkStart w:id="79" w:name="_Toc184308072"/>
      <w:bookmarkEnd w:id="79"/>
      <w:bookmarkStart w:id="80" w:name="_Toc184308085"/>
      <w:bookmarkEnd w:id="80"/>
      <w:bookmarkStart w:id="81" w:name="_Toc184314444"/>
      <w:bookmarkEnd w:id="81"/>
      <w:bookmarkStart w:id="82" w:name="_Toc184314420"/>
      <w:bookmarkEnd w:id="82"/>
      <w:bookmarkStart w:id="83" w:name="_Toc184308047"/>
      <w:bookmarkEnd w:id="83"/>
      <w:bookmarkStart w:id="84" w:name="_Toc184313283"/>
      <w:bookmarkEnd w:id="84"/>
      <w:bookmarkStart w:id="85" w:name="_Toc184313238"/>
      <w:bookmarkEnd w:id="85"/>
      <w:bookmarkStart w:id="86" w:name="_Toc184308087"/>
      <w:bookmarkEnd w:id="86"/>
      <w:bookmarkStart w:id="87" w:name="_Toc184308082"/>
      <w:bookmarkEnd w:id="87"/>
      <w:bookmarkStart w:id="88" w:name="_Toc184312104"/>
      <w:bookmarkEnd w:id="88"/>
      <w:bookmarkStart w:id="89" w:name="_Toc184312108"/>
      <w:bookmarkEnd w:id="89"/>
      <w:bookmarkStart w:id="90" w:name="_Toc184313262"/>
      <w:bookmarkEnd w:id="90"/>
      <w:bookmarkStart w:id="91" w:name="_Toc184312078"/>
      <w:bookmarkEnd w:id="91"/>
      <w:bookmarkStart w:id="92" w:name="_Toc184312076"/>
      <w:bookmarkEnd w:id="92"/>
      <w:bookmarkStart w:id="93" w:name="_Toc184313241"/>
      <w:bookmarkEnd w:id="93"/>
      <w:bookmarkStart w:id="94" w:name="_Toc184308075"/>
      <w:bookmarkEnd w:id="94"/>
      <w:bookmarkStart w:id="95" w:name="_Toc184308069"/>
      <w:bookmarkEnd w:id="95"/>
      <w:bookmarkStart w:id="96" w:name="_Toc184314453"/>
      <w:bookmarkEnd w:id="96"/>
      <w:bookmarkStart w:id="97" w:name="_Toc184314445"/>
      <w:bookmarkEnd w:id="97"/>
      <w:bookmarkStart w:id="98" w:name="_Toc184314449"/>
      <w:bookmarkEnd w:id="98"/>
      <w:bookmarkStart w:id="99" w:name="_Toc184314448"/>
      <w:bookmarkEnd w:id="99"/>
      <w:bookmarkStart w:id="100" w:name="_Toc184308059"/>
      <w:bookmarkEnd w:id="100"/>
      <w:bookmarkStart w:id="101" w:name="_Toc184312113"/>
      <w:bookmarkEnd w:id="101"/>
      <w:bookmarkStart w:id="102" w:name="_Toc184313246"/>
      <w:bookmarkEnd w:id="102"/>
      <w:bookmarkStart w:id="103" w:name="_Toc184310315"/>
      <w:bookmarkEnd w:id="103"/>
      <w:bookmarkStart w:id="104" w:name="_Toc184312074"/>
      <w:bookmarkEnd w:id="104"/>
      <w:bookmarkStart w:id="105" w:name="_Toc184310293"/>
      <w:bookmarkEnd w:id="105"/>
      <w:bookmarkStart w:id="106" w:name="_Toc184308107"/>
      <w:bookmarkEnd w:id="106"/>
      <w:bookmarkStart w:id="107" w:name="_Toc184310309"/>
      <w:bookmarkEnd w:id="107"/>
      <w:bookmarkStart w:id="108" w:name="_Toc184313275"/>
      <w:bookmarkEnd w:id="108"/>
      <w:bookmarkStart w:id="109" w:name="_Toc184313281"/>
      <w:bookmarkEnd w:id="109"/>
      <w:bookmarkStart w:id="110" w:name="_Toc184314478"/>
      <w:bookmarkEnd w:id="110"/>
      <w:bookmarkStart w:id="111" w:name="_Toc184308089"/>
      <w:bookmarkEnd w:id="111"/>
      <w:bookmarkStart w:id="112" w:name="_Toc184312112"/>
      <w:bookmarkEnd w:id="112"/>
      <w:bookmarkStart w:id="113" w:name="_Toc184313277"/>
      <w:bookmarkEnd w:id="113"/>
      <w:bookmarkStart w:id="114" w:name="_Toc184312077"/>
      <w:bookmarkEnd w:id="114"/>
      <w:bookmarkStart w:id="115" w:name="_Toc184310285"/>
      <w:bookmarkEnd w:id="115"/>
      <w:bookmarkStart w:id="116" w:name="_Toc184308042"/>
      <w:bookmarkEnd w:id="116"/>
      <w:bookmarkStart w:id="117" w:name="_Toc184312122"/>
      <w:bookmarkEnd w:id="117"/>
      <w:bookmarkStart w:id="118" w:name="_Toc184312103"/>
      <w:bookmarkEnd w:id="118"/>
      <w:bookmarkStart w:id="119" w:name="_Toc184312107"/>
      <w:bookmarkEnd w:id="119"/>
      <w:bookmarkStart w:id="120" w:name="_Toc184312086"/>
      <w:bookmarkEnd w:id="120"/>
      <w:bookmarkStart w:id="121" w:name="_Toc184308100"/>
      <w:bookmarkEnd w:id="121"/>
      <w:bookmarkStart w:id="122" w:name="_Toc184313307"/>
      <w:bookmarkEnd w:id="122"/>
      <w:bookmarkStart w:id="123" w:name="_Toc184310276"/>
      <w:bookmarkEnd w:id="123"/>
      <w:bookmarkStart w:id="124" w:name="_Toc184310316"/>
      <w:bookmarkEnd w:id="124"/>
      <w:bookmarkStart w:id="125" w:name="_Toc184308071"/>
      <w:bookmarkEnd w:id="125"/>
      <w:bookmarkStart w:id="126" w:name="_Toc184313269"/>
      <w:bookmarkEnd w:id="126"/>
      <w:bookmarkStart w:id="127" w:name="_Toc184314415"/>
      <w:bookmarkEnd w:id="127"/>
      <w:bookmarkStart w:id="128" w:name="_Toc184314472"/>
      <w:bookmarkEnd w:id="128"/>
      <w:bookmarkStart w:id="129" w:name="_Toc184314479"/>
      <w:bookmarkEnd w:id="129"/>
      <w:bookmarkStart w:id="130" w:name="_Toc184313267"/>
      <w:bookmarkEnd w:id="130"/>
      <w:bookmarkStart w:id="131" w:name="_Toc184313303"/>
      <w:bookmarkEnd w:id="131"/>
      <w:bookmarkStart w:id="132" w:name="_Toc184308094"/>
      <w:bookmarkEnd w:id="132"/>
      <w:bookmarkStart w:id="133" w:name="_Toc184312111"/>
      <w:bookmarkEnd w:id="133"/>
      <w:bookmarkStart w:id="134" w:name="_Toc184310278"/>
      <w:bookmarkEnd w:id="134"/>
      <w:bookmarkStart w:id="135" w:name="_Toc184313268"/>
      <w:bookmarkEnd w:id="135"/>
      <w:bookmarkStart w:id="136" w:name="_Toc184310280"/>
      <w:bookmarkEnd w:id="136"/>
      <w:bookmarkStart w:id="137" w:name="_Toc184312075"/>
      <w:bookmarkEnd w:id="137"/>
      <w:bookmarkStart w:id="138" w:name="_Toc184314414"/>
      <w:bookmarkEnd w:id="138"/>
      <w:bookmarkStart w:id="139" w:name="_Toc184313242"/>
      <w:bookmarkEnd w:id="139"/>
      <w:bookmarkStart w:id="140" w:name="_Toc184310300"/>
      <w:bookmarkEnd w:id="140"/>
      <w:bookmarkStart w:id="141" w:name="_Toc184308044"/>
      <w:bookmarkEnd w:id="141"/>
      <w:bookmarkStart w:id="142" w:name="_Toc184310289"/>
      <w:bookmarkEnd w:id="142"/>
      <w:bookmarkStart w:id="143" w:name="_Toc184308104"/>
      <w:bookmarkEnd w:id="143"/>
      <w:bookmarkStart w:id="144" w:name="_Toc184310335"/>
      <w:bookmarkEnd w:id="144"/>
      <w:bookmarkStart w:id="145" w:name="_Toc184308108"/>
      <w:bookmarkEnd w:id="145"/>
      <w:bookmarkStart w:id="146" w:name="_Toc184312069"/>
      <w:bookmarkEnd w:id="146"/>
      <w:bookmarkStart w:id="147" w:name="_Toc184310272"/>
      <w:bookmarkEnd w:id="147"/>
      <w:bookmarkStart w:id="148" w:name="_Toc184314454"/>
      <w:bookmarkEnd w:id="148"/>
      <w:bookmarkStart w:id="149" w:name="_Toc184314450"/>
      <w:bookmarkEnd w:id="149"/>
      <w:bookmarkStart w:id="150" w:name="_Toc184310282"/>
      <w:bookmarkEnd w:id="150"/>
      <w:bookmarkStart w:id="151" w:name="_Toc184314446"/>
      <w:bookmarkEnd w:id="151"/>
      <w:bookmarkStart w:id="152" w:name="_Toc184310288"/>
      <w:bookmarkEnd w:id="152"/>
      <w:bookmarkStart w:id="153" w:name="_Toc184313273"/>
      <w:bookmarkEnd w:id="153"/>
      <w:bookmarkStart w:id="154" w:name="_Toc184312079"/>
      <w:bookmarkEnd w:id="154"/>
      <w:bookmarkStart w:id="155" w:name="_Toc184314442"/>
      <w:bookmarkEnd w:id="155"/>
      <w:bookmarkStart w:id="156" w:name="_Toc184310314"/>
      <w:bookmarkEnd w:id="156"/>
      <w:bookmarkStart w:id="157" w:name="_Toc184314475"/>
      <w:bookmarkEnd w:id="157"/>
      <w:bookmarkStart w:id="158" w:name="_Toc184308065"/>
      <w:bookmarkEnd w:id="158"/>
      <w:bookmarkStart w:id="159" w:name="_Toc184314429"/>
      <w:bookmarkEnd w:id="159"/>
      <w:bookmarkStart w:id="160" w:name="_Toc184310283"/>
      <w:bookmarkEnd w:id="160"/>
      <w:bookmarkStart w:id="161" w:name="_Toc184308052"/>
      <w:bookmarkEnd w:id="161"/>
      <w:bookmarkStart w:id="162" w:name="_Toc184313260"/>
      <w:bookmarkEnd w:id="162"/>
      <w:bookmarkStart w:id="163" w:name="_Toc184308101"/>
      <w:bookmarkEnd w:id="163"/>
      <w:bookmarkStart w:id="164" w:name="_Toc184312082"/>
      <w:bookmarkEnd w:id="164"/>
      <w:bookmarkStart w:id="165" w:name="_Toc184313253"/>
      <w:bookmarkEnd w:id="165"/>
      <w:bookmarkStart w:id="166" w:name="_Toc184308056"/>
      <w:bookmarkEnd w:id="166"/>
      <w:bookmarkStart w:id="167" w:name="_Toc184312088"/>
      <w:bookmarkEnd w:id="167"/>
      <w:bookmarkStart w:id="168" w:name="_Toc184312072"/>
      <w:bookmarkEnd w:id="168"/>
      <w:bookmarkStart w:id="169" w:name="_Toc184313257"/>
      <w:bookmarkEnd w:id="169"/>
      <w:bookmarkStart w:id="170" w:name="_Toc184312100"/>
      <w:bookmarkEnd w:id="170"/>
      <w:bookmarkStart w:id="171" w:name="_Toc184313271"/>
      <w:bookmarkEnd w:id="171"/>
      <w:bookmarkStart w:id="172" w:name="_Toc184310302"/>
      <w:bookmarkEnd w:id="172"/>
      <w:bookmarkStart w:id="173" w:name="_Toc184312117"/>
      <w:bookmarkEnd w:id="173"/>
      <w:bookmarkStart w:id="174" w:name="_Toc184310291"/>
      <w:bookmarkEnd w:id="174"/>
      <w:bookmarkStart w:id="175" w:name="_Toc184312135"/>
      <w:bookmarkEnd w:id="175"/>
      <w:bookmarkStart w:id="176" w:name="_Toc184310341"/>
      <w:bookmarkEnd w:id="176"/>
      <w:bookmarkStart w:id="177" w:name="_Toc184310317"/>
      <w:bookmarkEnd w:id="177"/>
      <w:bookmarkStart w:id="178" w:name="_Toc184313306"/>
      <w:bookmarkEnd w:id="178"/>
      <w:bookmarkStart w:id="179" w:name="_Toc184308081"/>
      <w:bookmarkEnd w:id="179"/>
      <w:bookmarkStart w:id="180" w:name="_Toc184310281"/>
      <w:bookmarkEnd w:id="180"/>
      <w:bookmarkStart w:id="181" w:name="_Toc184308084"/>
      <w:bookmarkEnd w:id="181"/>
      <w:bookmarkStart w:id="182" w:name="_Toc184310301"/>
      <w:bookmarkEnd w:id="182"/>
      <w:bookmarkStart w:id="183" w:name="_Toc184312083"/>
      <w:bookmarkEnd w:id="183"/>
      <w:bookmarkStart w:id="184" w:name="_Toc184314433"/>
      <w:bookmarkEnd w:id="184"/>
      <w:bookmarkStart w:id="185" w:name="_Toc184312139"/>
      <w:bookmarkEnd w:id="185"/>
      <w:bookmarkStart w:id="186" w:name="_Toc184314443"/>
      <w:bookmarkEnd w:id="186"/>
      <w:bookmarkStart w:id="187" w:name="_Toc184312115"/>
      <w:bookmarkEnd w:id="187"/>
      <w:bookmarkStart w:id="188" w:name="_Toc184308043"/>
      <w:bookmarkEnd w:id="188"/>
      <w:bookmarkStart w:id="189" w:name="_Toc184308079"/>
      <w:bookmarkEnd w:id="189"/>
      <w:bookmarkStart w:id="190" w:name="_Toc184310297"/>
      <w:bookmarkEnd w:id="190"/>
      <w:bookmarkStart w:id="191" w:name="_Toc184314458"/>
      <w:bookmarkEnd w:id="191"/>
      <w:bookmarkStart w:id="192" w:name="_Toc184310339"/>
      <w:bookmarkEnd w:id="192"/>
      <w:bookmarkStart w:id="193" w:name="_Toc184313245"/>
      <w:bookmarkEnd w:id="193"/>
      <w:bookmarkStart w:id="194" w:name="_Toc184312094"/>
      <w:bookmarkEnd w:id="194"/>
      <w:bookmarkStart w:id="195" w:name="_Toc184312073"/>
      <w:bookmarkEnd w:id="195"/>
      <w:bookmarkStart w:id="196" w:name="_Toc184314417"/>
      <w:bookmarkEnd w:id="196"/>
      <w:bookmarkStart w:id="197" w:name="_Toc184308067"/>
      <w:bookmarkEnd w:id="197"/>
      <w:bookmarkStart w:id="198" w:name="_Toc184310279"/>
      <w:bookmarkEnd w:id="198"/>
      <w:bookmarkStart w:id="199" w:name="_Toc184310318"/>
      <w:bookmarkEnd w:id="199"/>
      <w:bookmarkStart w:id="200" w:name="_Toc184314411"/>
      <w:bookmarkEnd w:id="200"/>
      <w:bookmarkStart w:id="201" w:name="_Toc184310344"/>
      <w:bookmarkEnd w:id="201"/>
      <w:bookmarkStart w:id="202" w:name="_Toc184313251"/>
      <w:bookmarkEnd w:id="202"/>
      <w:bookmarkStart w:id="203" w:name="_Toc184314428"/>
      <w:bookmarkEnd w:id="203"/>
      <w:bookmarkStart w:id="204" w:name="_Toc184308041"/>
      <w:bookmarkEnd w:id="204"/>
      <w:bookmarkStart w:id="205" w:name="_Toc184310274"/>
      <w:bookmarkEnd w:id="205"/>
      <w:bookmarkStart w:id="206" w:name="_Toc184313292"/>
      <w:bookmarkEnd w:id="206"/>
      <w:bookmarkStart w:id="207" w:name="_Toc184308040"/>
      <w:bookmarkEnd w:id="207"/>
      <w:bookmarkStart w:id="208" w:name="_Toc184310342"/>
      <w:bookmarkEnd w:id="208"/>
      <w:bookmarkStart w:id="209" w:name="_Toc184314430"/>
      <w:bookmarkEnd w:id="209"/>
      <w:bookmarkStart w:id="210" w:name="_Toc184310290"/>
      <w:bookmarkEnd w:id="210"/>
      <w:bookmarkStart w:id="211" w:name="_Toc184308039"/>
      <w:bookmarkEnd w:id="211"/>
      <w:bookmarkStart w:id="212" w:name="_Toc184310312"/>
      <w:bookmarkEnd w:id="212"/>
      <w:bookmarkStart w:id="213" w:name="_Toc184312067"/>
      <w:bookmarkEnd w:id="213"/>
      <w:bookmarkStart w:id="214" w:name="_Toc184310299"/>
      <w:bookmarkEnd w:id="214"/>
      <w:bookmarkStart w:id="215" w:name="_Toc184314438"/>
      <w:bookmarkEnd w:id="215"/>
      <w:bookmarkStart w:id="216" w:name="_Toc184310336"/>
      <w:bookmarkEnd w:id="216"/>
      <w:bookmarkStart w:id="217" w:name="_Toc184310322"/>
      <w:bookmarkEnd w:id="217"/>
      <w:bookmarkStart w:id="218" w:name="_Toc184314418"/>
      <w:bookmarkEnd w:id="218"/>
      <w:bookmarkStart w:id="219" w:name="_Toc184313280"/>
      <w:bookmarkEnd w:id="219"/>
      <w:bookmarkStart w:id="220" w:name="_Toc184308054"/>
      <w:bookmarkEnd w:id="220"/>
      <w:bookmarkStart w:id="221" w:name="_Toc184314416"/>
      <w:bookmarkEnd w:id="221"/>
      <w:bookmarkStart w:id="222" w:name="_Toc184310298"/>
      <w:bookmarkEnd w:id="222"/>
      <w:bookmarkStart w:id="223" w:name="_Toc184314459"/>
      <w:bookmarkEnd w:id="223"/>
      <w:bookmarkStart w:id="224" w:name="_Toc184308061"/>
      <w:bookmarkEnd w:id="224"/>
      <w:bookmarkStart w:id="225" w:name="_Toc184308038"/>
      <w:bookmarkEnd w:id="225"/>
      <w:bookmarkStart w:id="226" w:name="_Toc184314474"/>
      <w:bookmarkEnd w:id="226"/>
      <w:bookmarkStart w:id="227" w:name="_Toc184314473"/>
      <w:bookmarkEnd w:id="227"/>
      <w:bookmarkStart w:id="228" w:name="_Toc184312095"/>
      <w:bookmarkEnd w:id="228"/>
      <w:bookmarkStart w:id="229" w:name="_Toc184312098"/>
      <w:bookmarkEnd w:id="229"/>
      <w:bookmarkStart w:id="230" w:name="_Toc184308057"/>
      <w:bookmarkEnd w:id="230"/>
      <w:bookmarkStart w:id="231" w:name="_Toc184308074"/>
      <w:bookmarkEnd w:id="231"/>
      <w:bookmarkStart w:id="232" w:name="_Toc184312084"/>
      <w:bookmarkEnd w:id="232"/>
      <w:bookmarkStart w:id="233" w:name="_Toc184313254"/>
      <w:bookmarkEnd w:id="233"/>
      <w:bookmarkStart w:id="234" w:name="_Toc184313259"/>
      <w:bookmarkEnd w:id="234"/>
      <w:bookmarkStart w:id="235" w:name="_Toc184308053"/>
      <w:bookmarkEnd w:id="235"/>
      <w:bookmarkStart w:id="236" w:name="_Toc184314432"/>
      <w:bookmarkEnd w:id="236"/>
      <w:bookmarkStart w:id="237" w:name="_Toc184314447"/>
      <w:bookmarkEnd w:id="237"/>
      <w:bookmarkStart w:id="238" w:name="_Toc184312106"/>
      <w:bookmarkEnd w:id="238"/>
      <w:bookmarkStart w:id="239" w:name="_Toc184308058"/>
      <w:bookmarkEnd w:id="239"/>
      <w:bookmarkStart w:id="240" w:name="_Toc184313266"/>
      <w:bookmarkEnd w:id="240"/>
      <w:bookmarkStart w:id="241" w:name="_Toc184312102"/>
      <w:bookmarkEnd w:id="241"/>
      <w:bookmarkStart w:id="242" w:name="_Toc184313279"/>
      <w:bookmarkEnd w:id="242"/>
      <w:bookmarkStart w:id="243" w:name="_Toc184313249"/>
      <w:bookmarkEnd w:id="243"/>
      <w:bookmarkStart w:id="244" w:name="_Toc184313239"/>
      <w:bookmarkEnd w:id="244"/>
      <w:bookmarkStart w:id="245" w:name="_Toc184314440"/>
      <w:bookmarkEnd w:id="245"/>
      <w:bookmarkStart w:id="246" w:name="_Toc184313247"/>
      <w:bookmarkEnd w:id="246"/>
      <w:bookmarkStart w:id="247" w:name="_Toc184314434"/>
      <w:bookmarkEnd w:id="247"/>
      <w:bookmarkStart w:id="248" w:name="_Toc184308064"/>
      <w:bookmarkEnd w:id="248"/>
      <w:bookmarkStart w:id="249" w:name="_Toc184312068"/>
      <w:bookmarkEnd w:id="249"/>
      <w:bookmarkStart w:id="250" w:name="_Toc184308066"/>
      <w:bookmarkEnd w:id="250"/>
      <w:bookmarkStart w:id="251" w:name="_Toc184314431"/>
      <w:bookmarkEnd w:id="251"/>
      <w:bookmarkStart w:id="252" w:name="_Toc184312070"/>
      <w:bookmarkEnd w:id="252"/>
      <w:bookmarkStart w:id="253" w:name="_Toc184312087"/>
      <w:bookmarkEnd w:id="253"/>
      <w:bookmarkStart w:id="254" w:name="_Toc184308055"/>
      <w:bookmarkEnd w:id="254"/>
      <w:bookmarkStart w:id="255" w:name="_Toc184312097"/>
      <w:bookmarkEnd w:id="255"/>
      <w:bookmarkStart w:id="256" w:name="_Toc184310273"/>
      <w:bookmarkEnd w:id="256"/>
      <w:bookmarkStart w:id="257" w:name="_Toc184313256"/>
      <w:bookmarkEnd w:id="257"/>
      <w:bookmarkStart w:id="258" w:name="_Toc184310311"/>
      <w:bookmarkEnd w:id="258"/>
      <w:bookmarkStart w:id="259" w:name="_Toc184310284"/>
      <w:bookmarkEnd w:id="259"/>
      <w:bookmarkStart w:id="260" w:name="_Toc184314482"/>
      <w:bookmarkEnd w:id="260"/>
      <w:bookmarkStart w:id="261" w:name="_Toc184312118"/>
      <w:bookmarkEnd w:id="261"/>
      <w:bookmarkStart w:id="262" w:name="_Toc184313261"/>
      <w:bookmarkEnd w:id="262"/>
      <w:bookmarkStart w:id="263" w:name="_Toc184308097"/>
      <w:bookmarkEnd w:id="263"/>
      <w:bookmarkStart w:id="264" w:name="_Toc184310324"/>
      <w:bookmarkEnd w:id="264"/>
      <w:bookmarkStart w:id="265" w:name="_Toc184308092"/>
      <w:bookmarkEnd w:id="265"/>
      <w:bookmarkStart w:id="266" w:name="_Toc184312071"/>
      <w:bookmarkEnd w:id="266"/>
      <w:bookmarkStart w:id="267" w:name="_Toc184312123"/>
      <w:bookmarkEnd w:id="267"/>
      <w:bookmarkStart w:id="268" w:name="_Toc184314425"/>
      <w:bookmarkEnd w:id="268"/>
      <w:bookmarkStart w:id="269" w:name="_Toc184310287"/>
      <w:bookmarkEnd w:id="269"/>
      <w:bookmarkStart w:id="270" w:name="_Toc184314462"/>
      <w:bookmarkEnd w:id="270"/>
      <w:bookmarkStart w:id="271" w:name="_Toc184313305"/>
      <w:bookmarkEnd w:id="271"/>
      <w:bookmarkStart w:id="272" w:name="_Toc184310294"/>
      <w:bookmarkEnd w:id="272"/>
      <w:bookmarkStart w:id="273" w:name="_Toc184313293"/>
      <w:bookmarkEnd w:id="273"/>
      <w:bookmarkStart w:id="274" w:name="_Toc184312129"/>
      <w:bookmarkEnd w:id="274"/>
      <w:bookmarkStart w:id="275" w:name="_Toc184312138"/>
      <w:bookmarkEnd w:id="275"/>
      <w:bookmarkStart w:id="276" w:name="_Toc184310330"/>
      <w:bookmarkEnd w:id="276"/>
      <w:bookmarkStart w:id="277" w:name="_Toc184312132"/>
      <w:bookmarkEnd w:id="277"/>
      <w:bookmarkStart w:id="278" w:name="_Toc184312130"/>
      <w:bookmarkEnd w:id="278"/>
      <w:bookmarkStart w:id="279" w:name="_Toc184312128"/>
      <w:bookmarkEnd w:id="279"/>
      <w:bookmarkStart w:id="280" w:name="_Toc184308051"/>
      <w:bookmarkEnd w:id="280"/>
      <w:bookmarkStart w:id="281" w:name="_Toc184308036"/>
      <w:bookmarkEnd w:id="281"/>
      <w:bookmarkStart w:id="282" w:name="_Toc184313250"/>
      <w:bookmarkEnd w:id="282"/>
      <w:bookmarkStart w:id="283" w:name="_Toc184314468"/>
      <w:bookmarkEnd w:id="283"/>
      <w:bookmarkStart w:id="284" w:name="_Toc184314451"/>
      <w:bookmarkEnd w:id="284"/>
      <w:bookmarkStart w:id="285" w:name="_Toc184310327"/>
      <w:bookmarkEnd w:id="285"/>
      <w:bookmarkStart w:id="286" w:name="_Toc184308076"/>
      <w:bookmarkEnd w:id="286"/>
      <w:bookmarkStart w:id="287" w:name="_Toc184314412"/>
      <w:bookmarkEnd w:id="287"/>
      <w:bookmarkStart w:id="288" w:name="_Toc184314460"/>
      <w:bookmarkEnd w:id="288"/>
      <w:bookmarkStart w:id="289" w:name="_Toc184314437"/>
      <w:bookmarkEnd w:id="289"/>
      <w:bookmarkStart w:id="290" w:name="_Toc184308063"/>
      <w:bookmarkEnd w:id="290"/>
      <w:bookmarkStart w:id="291" w:name="_Toc184314464"/>
      <w:bookmarkEnd w:id="291"/>
      <w:bookmarkStart w:id="292" w:name="_Toc184312110"/>
      <w:bookmarkEnd w:id="292"/>
      <w:bookmarkStart w:id="293" w:name="_Toc184313284"/>
      <w:bookmarkEnd w:id="293"/>
      <w:bookmarkStart w:id="294" w:name="_Toc184312080"/>
      <w:bookmarkEnd w:id="294"/>
      <w:bookmarkStart w:id="295" w:name="_Toc184312136"/>
      <w:bookmarkEnd w:id="295"/>
      <w:bookmarkStart w:id="296" w:name="_Toc184312093"/>
      <w:bookmarkEnd w:id="296"/>
      <w:bookmarkStart w:id="297" w:name="_Toc184314461"/>
      <w:bookmarkEnd w:id="297"/>
      <w:bookmarkStart w:id="298" w:name="_Toc184313243"/>
      <w:bookmarkEnd w:id="298"/>
      <w:bookmarkStart w:id="299" w:name="_Toc184314480"/>
      <w:bookmarkEnd w:id="299"/>
      <w:bookmarkStart w:id="300" w:name="_Toc184314435"/>
      <w:bookmarkEnd w:id="300"/>
      <w:bookmarkStart w:id="301" w:name="_Toc184313278"/>
      <w:bookmarkEnd w:id="301"/>
      <w:bookmarkStart w:id="302" w:name="_Toc184308080"/>
      <w:bookmarkEnd w:id="302"/>
      <w:bookmarkStart w:id="303" w:name="_Toc184314471"/>
      <w:bookmarkEnd w:id="303"/>
      <w:bookmarkStart w:id="304" w:name="_Toc184312120"/>
      <w:bookmarkEnd w:id="304"/>
      <w:bookmarkStart w:id="305" w:name="_Toc184313276"/>
      <w:bookmarkEnd w:id="305"/>
      <w:bookmarkStart w:id="306" w:name="_Toc184313296"/>
      <w:bookmarkEnd w:id="306"/>
      <w:bookmarkStart w:id="307" w:name="_Toc184314457"/>
      <w:bookmarkEnd w:id="307"/>
      <w:bookmarkStart w:id="308" w:name="_Toc184308046"/>
      <w:bookmarkEnd w:id="308"/>
      <w:bookmarkStart w:id="309" w:name="_Toc184313300"/>
      <w:bookmarkEnd w:id="309"/>
      <w:bookmarkStart w:id="310" w:name="_Toc184310320"/>
      <w:bookmarkEnd w:id="310"/>
      <w:bookmarkStart w:id="311" w:name="_Toc184312090"/>
      <w:bookmarkEnd w:id="311"/>
      <w:bookmarkStart w:id="312" w:name="_Toc184310323"/>
      <w:bookmarkEnd w:id="312"/>
      <w:bookmarkStart w:id="313" w:name="_Toc184313304"/>
      <w:bookmarkEnd w:id="313"/>
      <w:bookmarkStart w:id="314" w:name="_Toc184312091"/>
      <w:bookmarkEnd w:id="314"/>
      <w:bookmarkStart w:id="315" w:name="_Toc184310331"/>
      <w:bookmarkEnd w:id="315"/>
      <w:bookmarkStart w:id="316" w:name="_Toc184314465"/>
      <w:bookmarkEnd w:id="316"/>
      <w:bookmarkStart w:id="317" w:name="_Toc184308103"/>
      <w:bookmarkEnd w:id="317"/>
      <w:bookmarkStart w:id="318" w:name="_Toc184308086"/>
      <w:bookmarkEnd w:id="318"/>
      <w:bookmarkStart w:id="319" w:name="_Toc184314452"/>
      <w:bookmarkEnd w:id="319"/>
      <w:bookmarkStart w:id="320" w:name="_Toc184308106"/>
      <w:bookmarkEnd w:id="320"/>
      <w:bookmarkStart w:id="321" w:name="_Toc184310332"/>
      <w:bookmarkEnd w:id="321"/>
      <w:bookmarkStart w:id="322" w:name="_Toc184308099"/>
      <w:bookmarkEnd w:id="322"/>
      <w:bookmarkStart w:id="323" w:name="_Toc184308068"/>
      <w:bookmarkEnd w:id="323"/>
      <w:bookmarkStart w:id="324" w:name="_Toc184312125"/>
      <w:bookmarkEnd w:id="324"/>
      <w:bookmarkStart w:id="325" w:name="_Toc184310313"/>
      <w:bookmarkEnd w:id="325"/>
      <w:bookmarkStart w:id="326" w:name="_Toc184314436"/>
      <w:bookmarkEnd w:id="326"/>
      <w:bookmarkStart w:id="327" w:name="_Toc184314424"/>
      <w:bookmarkEnd w:id="327"/>
      <w:bookmarkStart w:id="328" w:name="_Toc184313274"/>
      <w:bookmarkEnd w:id="328"/>
      <w:bookmarkStart w:id="329" w:name="_Toc184308060"/>
      <w:bookmarkEnd w:id="329"/>
      <w:bookmarkStart w:id="330" w:name="_Toc184312099"/>
      <w:bookmarkEnd w:id="330"/>
      <w:bookmarkStart w:id="331" w:name="_Toc184310328"/>
      <w:bookmarkEnd w:id="331"/>
      <w:bookmarkStart w:id="332" w:name="_Toc184313309"/>
      <w:bookmarkEnd w:id="332"/>
      <w:bookmarkStart w:id="333" w:name="_Toc184308050"/>
      <w:bookmarkEnd w:id="333"/>
      <w:bookmarkStart w:id="334" w:name="_Toc184308096"/>
      <w:bookmarkEnd w:id="334"/>
      <w:bookmarkStart w:id="335" w:name="_Toc184314469"/>
      <w:bookmarkEnd w:id="335"/>
      <w:bookmarkStart w:id="336" w:name="_Toc184313290"/>
      <w:bookmarkEnd w:id="336"/>
      <w:bookmarkStart w:id="337" w:name="_Toc184310321"/>
      <w:bookmarkEnd w:id="337"/>
      <w:bookmarkStart w:id="338" w:name="_Toc184310304"/>
      <w:bookmarkEnd w:id="338"/>
      <w:bookmarkStart w:id="339" w:name="_Toc184313298"/>
      <w:bookmarkEnd w:id="339"/>
      <w:bookmarkStart w:id="340" w:name="_Toc184314427"/>
      <w:bookmarkEnd w:id="340"/>
      <w:bookmarkStart w:id="341" w:name="_Toc184313310"/>
      <w:bookmarkEnd w:id="341"/>
      <w:bookmarkStart w:id="342" w:name="_Toc184312126"/>
      <w:bookmarkEnd w:id="342"/>
      <w:bookmarkStart w:id="343" w:name="_Toc184308093"/>
      <w:bookmarkEnd w:id="343"/>
      <w:bookmarkStart w:id="344" w:name="_Toc184308102"/>
      <w:bookmarkEnd w:id="344"/>
      <w:bookmarkStart w:id="345" w:name="_Toc184308037"/>
      <w:bookmarkEnd w:id="345"/>
      <w:bookmarkStart w:id="346" w:name="_Toc184314466"/>
      <w:bookmarkEnd w:id="346"/>
      <w:bookmarkStart w:id="347" w:name="_Toc184314476"/>
      <w:bookmarkEnd w:id="347"/>
      <w:bookmarkStart w:id="348" w:name="_Toc184310329"/>
      <w:bookmarkEnd w:id="348"/>
      <w:bookmarkStart w:id="349" w:name="_Toc184313252"/>
      <w:bookmarkEnd w:id="349"/>
      <w:bookmarkStart w:id="350" w:name="_Toc184313294"/>
      <w:bookmarkEnd w:id="350"/>
      <w:bookmarkStart w:id="351" w:name="_Toc184314481"/>
      <w:bookmarkEnd w:id="351"/>
      <w:bookmarkStart w:id="352" w:name="_Toc184312105"/>
      <w:bookmarkEnd w:id="352"/>
      <w:bookmarkStart w:id="353" w:name="_Toc184314463"/>
      <w:bookmarkEnd w:id="353"/>
      <w:bookmarkStart w:id="354" w:name="_Toc184308073"/>
      <w:bookmarkEnd w:id="354"/>
      <w:bookmarkStart w:id="355" w:name="_Toc184313248"/>
      <w:bookmarkEnd w:id="355"/>
      <w:bookmarkStart w:id="356" w:name="_Toc184313302"/>
      <w:bookmarkEnd w:id="356"/>
      <w:bookmarkStart w:id="357" w:name="_Toc184310325"/>
      <w:bookmarkEnd w:id="357"/>
      <w:bookmarkStart w:id="358" w:name="_Toc184308090"/>
      <w:bookmarkEnd w:id="358"/>
      <w:bookmarkStart w:id="359" w:name="_Toc184310277"/>
      <w:bookmarkEnd w:id="359"/>
      <w:bookmarkStart w:id="360" w:name="_Toc184313288"/>
      <w:bookmarkEnd w:id="360"/>
      <w:bookmarkStart w:id="361" w:name="_Toc184313265"/>
      <w:bookmarkEnd w:id="361"/>
      <w:bookmarkStart w:id="362" w:name="_Toc184312089"/>
      <w:bookmarkEnd w:id="362"/>
      <w:bookmarkStart w:id="363" w:name="_Toc184314423"/>
      <w:bookmarkEnd w:id="363"/>
      <w:bookmarkStart w:id="364" w:name="_Toc184314419"/>
      <w:bookmarkEnd w:id="364"/>
      <w:bookmarkStart w:id="365" w:name="_Toc184308062"/>
      <w:bookmarkEnd w:id="365"/>
      <w:bookmarkStart w:id="366" w:name="_Toc184310334"/>
      <w:bookmarkEnd w:id="366"/>
      <w:bookmarkStart w:id="367" w:name="_Toc184310307"/>
      <w:bookmarkEnd w:id="367"/>
      <w:bookmarkStart w:id="368" w:name="_Toc184314477"/>
      <w:bookmarkEnd w:id="368"/>
      <w:bookmarkStart w:id="369" w:name="_Toc184313297"/>
      <w:bookmarkEnd w:id="369"/>
      <w:bookmarkStart w:id="370" w:name="_Toc184308088"/>
      <w:bookmarkEnd w:id="370"/>
      <w:bookmarkStart w:id="371" w:name="_Toc184314421"/>
      <w:bookmarkEnd w:id="371"/>
      <w:bookmarkStart w:id="372" w:name="_Toc184313285"/>
      <w:bookmarkEnd w:id="372"/>
      <w:bookmarkStart w:id="373" w:name="_Toc184310319"/>
      <w:bookmarkEnd w:id="373"/>
      <w:bookmarkStart w:id="374" w:name="_Toc184310338"/>
      <w:bookmarkEnd w:id="374"/>
      <w:bookmarkStart w:id="375" w:name="_Toc184308077"/>
      <w:bookmarkEnd w:id="375"/>
      <w:bookmarkStart w:id="376" w:name="_Toc184308045"/>
      <w:bookmarkEnd w:id="376"/>
      <w:bookmarkStart w:id="377" w:name="_Toc184308095"/>
      <w:bookmarkEnd w:id="377"/>
      <w:bookmarkStart w:id="378" w:name="_Toc184310295"/>
      <w:bookmarkEnd w:id="378"/>
      <w:bookmarkStart w:id="379" w:name="_Toc184312134"/>
      <w:bookmarkEnd w:id="379"/>
      <w:bookmarkStart w:id="380" w:name="_Toc184308098"/>
      <w:bookmarkEnd w:id="380"/>
      <w:bookmarkStart w:id="381" w:name="_Toc184312114"/>
      <w:bookmarkEnd w:id="381"/>
      <w:bookmarkStart w:id="382" w:name="_Toc184310286"/>
      <w:bookmarkEnd w:id="382"/>
      <w:bookmarkStart w:id="383" w:name="_Toc184313289"/>
      <w:bookmarkEnd w:id="383"/>
      <w:bookmarkStart w:id="384" w:name="_Toc184310340"/>
      <w:bookmarkEnd w:id="384"/>
      <w:bookmarkStart w:id="385" w:name="_Toc184308091"/>
      <w:bookmarkEnd w:id="385"/>
      <w:bookmarkStart w:id="386" w:name="_Toc184310326"/>
      <w:bookmarkEnd w:id="386"/>
      <w:bookmarkStart w:id="387" w:name="_Toc184314422"/>
      <w:bookmarkEnd w:id="387"/>
      <w:bookmarkStart w:id="388" w:name="_Toc184314470"/>
      <w:bookmarkEnd w:id="388"/>
      <w:bookmarkStart w:id="389" w:name="_Toc184313301"/>
      <w:bookmarkEnd w:id="389"/>
      <w:bookmarkStart w:id="390" w:name="_Toc184313295"/>
      <w:bookmarkEnd w:id="390"/>
      <w:r>
        <w:rPr>
          <w:rFonts w:hint="eastAsia" w:ascii="宋体" w:hAnsi="宋体" w:cs="宋体"/>
          <w:b/>
          <w:sz w:val="36"/>
          <w:szCs w:val="36"/>
        </w:rPr>
        <w:t>评标办法</w:t>
      </w:r>
    </w:p>
    <w:p>
      <w:pPr>
        <w:spacing w:afterLines="50"/>
        <w:rPr>
          <w:rFonts w:asciiTheme="minorEastAsia" w:hAnsiTheme="minorEastAsia" w:eastAsiaTheme="minorEastAsia"/>
          <w:b/>
          <w:sz w:val="24"/>
        </w:rPr>
      </w:pPr>
      <w:r>
        <w:rPr>
          <w:rFonts w:hint="eastAsia" w:asciiTheme="minorEastAsia" w:hAnsiTheme="minorEastAsia" w:eastAsiaTheme="minorEastAsia"/>
          <w:b/>
          <w:sz w:val="24"/>
        </w:rPr>
        <w:t>一、总则</w:t>
      </w:r>
    </w:p>
    <w:p>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（一）价格分（10分）</w:t>
      </w:r>
    </w:p>
    <w:p>
      <w:pPr>
        <w:autoSpaceDE w:val="0"/>
        <w:autoSpaceDN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、价格分采用低价优先法计算，即满足招标文件要求且投标价格最低的投标报价为评标基准价，其他投标人的价格分按照下列公式计算：</w:t>
      </w:r>
    </w:p>
    <w:p>
      <w:pPr>
        <w:autoSpaceDE w:val="0"/>
        <w:autoSpaceDN w:val="0"/>
        <w:spacing w:line="276" w:lineRule="auto"/>
        <w:ind w:firstLine="437"/>
        <w:rPr>
          <w:rFonts w:asciiTheme="minorEastAsia" w:hAnsiTheme="minorEastAsia" w:eastAsiaTheme="minorEastAsia"/>
          <w:color w:val="0000FF"/>
          <w:sz w:val="24"/>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投标报价）×10</w:t>
      </w:r>
    </w:p>
    <w:p>
      <w:pPr>
        <w:autoSpaceDE w:val="0"/>
        <w:autoSpaceDN w:val="0"/>
        <w:spacing w:line="276" w:lineRule="auto"/>
        <w:ind w:firstLine="437"/>
        <w:rPr>
          <w:rFonts w:cs="宋体" w:asciiTheme="minorEastAsia" w:hAnsiTheme="minorEastAsia" w:eastAsiaTheme="minorEastAsia"/>
          <w:b/>
          <w:bCs/>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2、投标人的投标报价超过设定的上限价的作为无效标处理。</w:t>
      </w:r>
      <w:r>
        <w:rPr>
          <w:rFonts w:hint="eastAsia" w:cs="宋体" w:asciiTheme="minorEastAsia" w:hAnsiTheme="minorEastAsia" w:eastAsiaTheme="minorEastAsia"/>
          <w:b/>
          <w:bCs/>
          <w:sz w:val="24"/>
        </w:rPr>
        <w:t>本项目最高限价为：</w:t>
      </w:r>
      <w:r>
        <w:rPr>
          <w:rFonts w:hint="eastAsia" w:cs="宋体" w:asciiTheme="minorEastAsia" w:hAnsiTheme="minorEastAsia" w:eastAsiaTheme="minorEastAsia"/>
          <w:b/>
          <w:bCs/>
          <w:color w:val="FF0000"/>
          <w:sz w:val="24"/>
          <w:u w:val="single"/>
        </w:rPr>
        <w:t>110万元</w:t>
      </w:r>
    </w:p>
    <w:p>
      <w:pPr>
        <w:autoSpaceDE w:val="0"/>
        <w:autoSpaceDN w:val="0"/>
        <w:spacing w:line="276" w:lineRule="auto"/>
        <w:ind w:firstLine="437"/>
        <w:rPr>
          <w:rFonts w:asciiTheme="minorEastAsia" w:hAnsiTheme="minorEastAsia" w:eastAsiaTheme="minorEastAsia"/>
          <w:color w:val="0000FF"/>
          <w:sz w:val="24"/>
        </w:rPr>
      </w:pPr>
      <w:r>
        <w:rPr>
          <w:rFonts w:hint="eastAsia" w:cs="宋体" w:asciiTheme="minorEastAsia" w:hAnsiTheme="minorEastAsia" w:eastAsiaTheme="minorEastAsia"/>
          <w:sz w:val="24"/>
        </w:rPr>
        <w:t>3、报价是中标的一个重要因素，但最低报价不是中标的唯一依据。</w:t>
      </w:r>
    </w:p>
    <w:p>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（二）技术资信分（90分）</w:t>
      </w:r>
    </w:p>
    <w:p>
      <w:pPr>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注：技术资信分的计算</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技术资信分按照评标委员会成员的独立评分结果汇总数,以算术平均分计算，计算公式为：</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技术资信分=（评标委员会所有成员评分合计数）/（评标委员会组成人员数）</w:t>
      </w:r>
    </w:p>
    <w:p>
      <w:pPr>
        <w:spacing w:line="360" w:lineRule="auto"/>
        <w:ind w:firstLine="482" w:firstLineChars="200"/>
        <w:jc w:val="center"/>
        <w:rPr>
          <w:rFonts w:asciiTheme="minorEastAsia" w:hAnsiTheme="minorEastAsia" w:eastAsiaTheme="minorEastAsia"/>
          <w:b/>
          <w:sz w:val="24"/>
          <w:lang w:val="zh-CN"/>
        </w:rPr>
      </w:pPr>
      <w:r>
        <w:rPr>
          <w:rFonts w:hint="eastAsia" w:asciiTheme="minorEastAsia" w:hAnsiTheme="minorEastAsia" w:eastAsiaTheme="minorEastAsia"/>
          <w:b/>
          <w:sz w:val="24"/>
          <w:lang w:val="zh-CN"/>
        </w:rPr>
        <w:t>评标办法前附表</w:t>
      </w:r>
    </w:p>
    <w:tbl>
      <w:tblPr>
        <w:tblStyle w:val="62"/>
        <w:tblW w:w="10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144"/>
        <w:gridCol w:w="666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ign w:val="center"/>
          </w:tcPr>
          <w:p>
            <w:pPr>
              <w:adjustRightInd/>
              <w:spacing w:line="276" w:lineRule="auto"/>
              <w:jc w:val="center"/>
              <w:rPr>
                <w:rFonts w:cs="宋体" w:asciiTheme="minorEastAsia" w:hAnsiTheme="minorEastAsia" w:eastAsiaTheme="minorEastAsia"/>
                <w:snapToGrid w:val="0"/>
                <w:kern w:val="0"/>
                <w:sz w:val="24"/>
              </w:rPr>
            </w:pPr>
            <w:r>
              <w:rPr>
                <w:rFonts w:hint="eastAsia" w:cs="宋体" w:asciiTheme="minorEastAsia" w:hAnsiTheme="minorEastAsia" w:eastAsiaTheme="minorEastAsia"/>
                <w:b/>
                <w:bCs/>
                <w:sz w:val="24"/>
              </w:rPr>
              <w:t>序号</w:t>
            </w:r>
          </w:p>
        </w:tc>
        <w:tc>
          <w:tcPr>
            <w:tcW w:w="2144" w:type="dxa"/>
            <w:noWrap/>
            <w:vAlign w:val="center"/>
          </w:tcPr>
          <w:p>
            <w:pPr>
              <w:adjustRightInd/>
              <w:spacing w:line="276" w:lineRule="auto"/>
              <w:jc w:val="center"/>
              <w:rPr>
                <w:rFonts w:cs="宋体" w:asciiTheme="minorEastAsia" w:hAnsiTheme="minorEastAsia" w:eastAsiaTheme="minorEastAsia"/>
                <w:snapToGrid w:val="0"/>
                <w:kern w:val="0"/>
                <w:sz w:val="24"/>
              </w:rPr>
            </w:pPr>
            <w:r>
              <w:rPr>
                <w:rFonts w:hint="eastAsia" w:cs="宋体" w:asciiTheme="minorEastAsia" w:hAnsiTheme="minorEastAsia" w:eastAsiaTheme="minorEastAsia"/>
                <w:b/>
                <w:bCs/>
                <w:sz w:val="24"/>
              </w:rPr>
              <w:t>评标内容</w:t>
            </w:r>
          </w:p>
        </w:tc>
        <w:tc>
          <w:tcPr>
            <w:tcW w:w="6663" w:type="dxa"/>
            <w:noWrap/>
            <w:vAlign w:val="center"/>
          </w:tcPr>
          <w:p>
            <w:pPr>
              <w:adjustRightInd/>
              <w:spacing w:line="276" w:lineRule="auto"/>
              <w:jc w:val="center"/>
              <w:rPr>
                <w:rFonts w:cs="宋体" w:asciiTheme="minorEastAsia" w:hAnsiTheme="minorEastAsia" w:eastAsiaTheme="minorEastAsia"/>
                <w:snapToGrid w:val="0"/>
                <w:kern w:val="0"/>
                <w:sz w:val="24"/>
              </w:rPr>
            </w:pPr>
            <w:r>
              <w:rPr>
                <w:rFonts w:hint="eastAsia" w:cs="宋体" w:asciiTheme="minorEastAsia" w:hAnsiTheme="minorEastAsia" w:eastAsiaTheme="minorEastAsia"/>
                <w:b/>
                <w:bCs/>
                <w:sz w:val="24"/>
              </w:rPr>
              <w:t>评标标准</w:t>
            </w:r>
          </w:p>
        </w:tc>
        <w:tc>
          <w:tcPr>
            <w:tcW w:w="992" w:type="dxa"/>
            <w:noWrap/>
            <w:vAlign w:val="center"/>
          </w:tcPr>
          <w:p>
            <w:pPr>
              <w:adjustRightInd/>
              <w:spacing w:line="276" w:lineRule="auto"/>
              <w:jc w:val="center"/>
              <w:rPr>
                <w:rFonts w:cs="宋体" w:asciiTheme="minorEastAsia" w:hAnsiTheme="minorEastAsia" w:eastAsiaTheme="minorEastAsia"/>
                <w:snapToGrid w:val="0"/>
                <w:kern w:val="0"/>
                <w:sz w:val="24"/>
              </w:rPr>
            </w:pPr>
            <w:r>
              <w:rPr>
                <w:rFonts w:hint="eastAsia" w:cs="宋体" w:asciiTheme="minorEastAsia" w:hAnsiTheme="minorEastAsia" w:eastAsiaTheme="minorEastAsia"/>
                <w:b/>
                <w:bCs/>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144" w:type="dxa"/>
            <w:noWrap/>
            <w:vAlign w:val="center"/>
          </w:tcPr>
          <w:p>
            <w:pPr>
              <w:spacing w:line="276" w:lineRule="auto"/>
              <w:ind w:right="-20"/>
              <w:jc w:val="center"/>
              <w:rPr>
                <w:rFonts w:cs="宋体" w:asciiTheme="minorEastAsia" w:hAnsiTheme="minorEastAsia" w:eastAsiaTheme="minorEastAsia"/>
                <w:sz w:val="24"/>
                <w:lang w:val="zh-CN"/>
              </w:rPr>
            </w:pPr>
            <w:r>
              <w:rPr>
                <w:rFonts w:hint="eastAsia" w:asciiTheme="minorEastAsia" w:hAnsiTheme="minorEastAsia" w:eastAsiaTheme="minorEastAsia"/>
                <w:sz w:val="24"/>
              </w:rPr>
              <w:t>对项目招标背景与基本条件的认识</w:t>
            </w:r>
          </w:p>
        </w:tc>
        <w:tc>
          <w:tcPr>
            <w:tcW w:w="6663" w:type="dxa"/>
            <w:noWrap/>
            <w:vAlign w:val="center"/>
          </w:tcPr>
          <w:p>
            <w:pPr>
              <w:adjustRightInd/>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投标单位对项目背景、项目需求进行分析，根据建设目标和技术路线与用户需求吻合情况进行打分，基本符合项目实际情况的得基础分3.6分，最高得6分。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144" w:type="dxa"/>
            <w:noWrap/>
            <w:vAlign w:val="center"/>
          </w:tcPr>
          <w:p>
            <w:pPr>
              <w:spacing w:line="276" w:lineRule="auto"/>
              <w:ind w:right="-20"/>
              <w:jc w:val="center"/>
              <w:rPr>
                <w:rFonts w:cs="宋体" w:asciiTheme="minorEastAsia" w:hAnsiTheme="minorEastAsia" w:eastAsiaTheme="minorEastAsia"/>
                <w:sz w:val="24"/>
                <w:lang w:val="zh-CN"/>
              </w:rPr>
            </w:pPr>
            <w:r>
              <w:rPr>
                <w:rFonts w:hint="eastAsia" w:asciiTheme="minorEastAsia" w:hAnsiTheme="minorEastAsia" w:eastAsiaTheme="minorEastAsia"/>
                <w:sz w:val="24"/>
              </w:rPr>
              <w:t>对重点、难点、特点理解</w:t>
            </w:r>
          </w:p>
        </w:tc>
        <w:tc>
          <w:tcPr>
            <w:tcW w:w="6663" w:type="dxa"/>
            <w:noWrap/>
            <w:vAlign w:val="center"/>
          </w:tcPr>
          <w:p>
            <w:pPr>
              <w:adjustRightInd/>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rPr>
              <w:t>根据投标人对项目实施的重点、难点、特点详细表述及分析等情况进行评分，基本符合项目实际情况的得基础分6分，最高得10分。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7" w:type="dxa"/>
            <w:vMerge w:val="restart"/>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144" w:type="dxa"/>
            <w:vMerge w:val="restart"/>
            <w:noWrap/>
            <w:vAlign w:val="center"/>
          </w:tcPr>
          <w:p>
            <w:pPr>
              <w:spacing w:line="276" w:lineRule="auto"/>
              <w:ind w:right="-20"/>
              <w:jc w:val="center"/>
              <w:rPr>
                <w:rFonts w:cs="宋体" w:asciiTheme="minorEastAsia" w:hAnsiTheme="minorEastAsia" w:eastAsiaTheme="minorEastAsia"/>
                <w:sz w:val="24"/>
                <w:lang w:val="zh-CN"/>
              </w:rPr>
            </w:pPr>
            <w:r>
              <w:rPr>
                <w:rFonts w:hint="eastAsia" w:asciiTheme="minorEastAsia" w:hAnsiTheme="minorEastAsia" w:eastAsiaTheme="minorEastAsia"/>
                <w:sz w:val="24"/>
              </w:rPr>
              <w:t>技术分析与方案对策</w:t>
            </w:r>
          </w:p>
        </w:tc>
        <w:tc>
          <w:tcPr>
            <w:tcW w:w="6663" w:type="dxa"/>
            <w:noWrap/>
            <w:vAlign w:val="center"/>
          </w:tcPr>
          <w:p>
            <w:pPr>
              <w:snapToGrid w:val="0"/>
              <w:spacing w:line="276" w:lineRule="auto"/>
              <w:jc w:val="left"/>
              <w:rPr>
                <w:rFonts w:asciiTheme="minorEastAsia" w:hAnsiTheme="minorEastAsia" w:eastAsiaTheme="minorEastAsia"/>
                <w:sz w:val="24"/>
              </w:rPr>
            </w:pPr>
            <w:r>
              <w:rPr>
                <w:rFonts w:hint="eastAsia" w:cs="宋体" w:asciiTheme="minorEastAsia" w:hAnsiTheme="minorEastAsia" w:eastAsiaTheme="minorEastAsia"/>
                <w:sz w:val="24"/>
              </w:rPr>
              <w:t>根据投标人对本项目工作思路、技术方案内容针对性、科学性和实用性进行评分，基本符合项目实际情况的得基础分3分，最高得5分。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7" w:type="dxa"/>
            <w:vMerge w:val="continue"/>
            <w:noWrap/>
            <w:vAlign w:val="center"/>
          </w:tcPr>
          <w:p>
            <w:pPr>
              <w:spacing w:line="276" w:lineRule="auto"/>
              <w:jc w:val="center"/>
              <w:rPr>
                <w:rFonts w:cs="宋体" w:asciiTheme="minorEastAsia" w:hAnsiTheme="minorEastAsia" w:eastAsiaTheme="minorEastAsia"/>
                <w:sz w:val="24"/>
              </w:rPr>
            </w:pPr>
          </w:p>
        </w:tc>
        <w:tc>
          <w:tcPr>
            <w:tcW w:w="2144" w:type="dxa"/>
            <w:vMerge w:val="continue"/>
            <w:noWrap/>
            <w:vAlign w:val="center"/>
          </w:tcPr>
          <w:p>
            <w:pPr>
              <w:spacing w:line="276" w:lineRule="auto"/>
              <w:ind w:right="-20"/>
              <w:jc w:val="center"/>
              <w:rPr>
                <w:rFonts w:asciiTheme="minorEastAsia" w:hAnsiTheme="minorEastAsia" w:eastAsiaTheme="minorEastAsia"/>
                <w:sz w:val="24"/>
              </w:rPr>
            </w:pPr>
          </w:p>
        </w:tc>
        <w:tc>
          <w:tcPr>
            <w:tcW w:w="6663" w:type="dxa"/>
            <w:noWrap/>
            <w:vAlign w:val="center"/>
          </w:tcPr>
          <w:p>
            <w:pPr>
              <w:snapToGrid w:val="0"/>
              <w:spacing w:line="276" w:lineRule="auto"/>
              <w:jc w:val="left"/>
              <w:rPr>
                <w:rFonts w:asciiTheme="minorEastAsia" w:hAnsiTheme="minorEastAsia" w:eastAsiaTheme="minorEastAsia"/>
                <w:sz w:val="24"/>
              </w:rPr>
            </w:pPr>
            <w:r>
              <w:rPr>
                <w:rFonts w:hint="eastAsia" w:cs="宋体" w:asciiTheme="minorEastAsia" w:hAnsiTheme="minorEastAsia" w:eastAsiaTheme="minorEastAsia"/>
                <w:sz w:val="24"/>
              </w:rPr>
              <w:t>根据制定的点、线、面的调查技术路线的科学性、可行性进行打分，基本符合项目实际情况的得基础分3分，最高得5分</w:t>
            </w:r>
            <w:r>
              <w:rPr>
                <w:rFonts w:hint="eastAsia" w:asciiTheme="minorEastAsia" w:hAnsiTheme="minorEastAsia" w:eastAsiaTheme="minorEastAsia"/>
                <w:sz w:val="24"/>
              </w:rPr>
              <w:t>。</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2144" w:type="dxa"/>
            <w:noWrap/>
            <w:vAlign w:val="center"/>
          </w:tcPr>
          <w:p>
            <w:pPr>
              <w:spacing w:line="276" w:lineRule="auto"/>
              <w:ind w:right="-20"/>
              <w:jc w:val="center"/>
              <w:rPr>
                <w:rFonts w:cs="宋体" w:asciiTheme="minorEastAsia" w:hAnsiTheme="minorEastAsia" w:eastAsiaTheme="minorEastAsia"/>
                <w:sz w:val="24"/>
                <w:lang w:val="zh-CN"/>
              </w:rPr>
            </w:pPr>
            <w:r>
              <w:rPr>
                <w:rFonts w:hint="eastAsia" w:asciiTheme="minorEastAsia" w:hAnsiTheme="minorEastAsia" w:eastAsiaTheme="minorEastAsia"/>
                <w:sz w:val="24"/>
              </w:rPr>
              <w:t>装备及信息化技术运用</w:t>
            </w:r>
          </w:p>
        </w:tc>
        <w:tc>
          <w:tcPr>
            <w:tcW w:w="6663" w:type="dxa"/>
            <w:noWrap/>
            <w:vAlign w:val="center"/>
          </w:tcPr>
          <w:p>
            <w:pPr>
              <w:adjustRightInd/>
              <w:spacing w:line="276" w:lineRule="auto"/>
              <w:rPr>
                <w:rFonts w:cs="宋体" w:asciiTheme="minorEastAsia" w:hAnsiTheme="minorEastAsia" w:eastAsiaTheme="minorEastAsia"/>
                <w:sz w:val="24"/>
                <w:lang w:val="zh-CN"/>
              </w:rPr>
            </w:pPr>
            <w:r>
              <w:rPr>
                <w:rFonts w:asciiTheme="minorEastAsia" w:hAnsiTheme="minorEastAsia" w:eastAsiaTheme="minorEastAsia"/>
                <w:sz w:val="24"/>
              </w:rPr>
              <w:t>对本项目组织开展</w:t>
            </w:r>
            <w:r>
              <w:rPr>
                <w:rFonts w:hint="eastAsia" w:asciiTheme="minorEastAsia" w:hAnsiTheme="minorEastAsia" w:eastAsiaTheme="minorEastAsia"/>
                <w:sz w:val="24"/>
              </w:rPr>
              <w:t>的装备及信息化技术运用</w:t>
            </w:r>
            <w:r>
              <w:rPr>
                <w:rFonts w:asciiTheme="minorEastAsia" w:hAnsiTheme="minorEastAsia" w:eastAsiaTheme="minorEastAsia"/>
                <w:sz w:val="24"/>
              </w:rPr>
              <w:t>程度</w:t>
            </w:r>
            <w:r>
              <w:rPr>
                <w:rFonts w:hint="eastAsia" w:asciiTheme="minorEastAsia" w:hAnsiTheme="minorEastAsia" w:eastAsiaTheme="minorEastAsia"/>
                <w:sz w:val="24"/>
              </w:rPr>
              <w:t>进行评分</w:t>
            </w:r>
            <w:r>
              <w:rPr>
                <w:rFonts w:hint="eastAsia" w:cs="宋体" w:asciiTheme="minorEastAsia" w:hAnsiTheme="minorEastAsia" w:eastAsiaTheme="minorEastAsia"/>
                <w:sz w:val="24"/>
              </w:rPr>
              <w:t>, 基本符合项目实际情况的得基础分3.6分，最高得6分</w:t>
            </w:r>
            <w:r>
              <w:rPr>
                <w:rFonts w:hint="eastAsia" w:asciiTheme="minorEastAsia" w:hAnsiTheme="minorEastAsia" w:eastAsiaTheme="minorEastAsia"/>
                <w:sz w:val="24"/>
              </w:rPr>
              <w:t>。</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2144" w:type="dxa"/>
            <w:noWrap/>
            <w:vAlign w:val="center"/>
          </w:tcPr>
          <w:p>
            <w:pPr>
              <w:spacing w:line="276" w:lineRule="auto"/>
              <w:ind w:right="-20"/>
              <w:jc w:val="center"/>
              <w:rPr>
                <w:rFonts w:cs="宋体" w:asciiTheme="minorEastAsia" w:hAnsiTheme="minorEastAsia" w:eastAsiaTheme="minorEastAsia"/>
                <w:sz w:val="24"/>
                <w:lang w:val="en-GB"/>
              </w:rPr>
            </w:pPr>
            <w:r>
              <w:rPr>
                <w:rFonts w:hint="eastAsia" w:asciiTheme="minorEastAsia" w:hAnsiTheme="minorEastAsia" w:eastAsiaTheme="minorEastAsia"/>
                <w:sz w:val="24"/>
              </w:rPr>
              <w:t>进度保证措施</w:t>
            </w:r>
          </w:p>
        </w:tc>
        <w:tc>
          <w:tcPr>
            <w:tcW w:w="6663" w:type="dxa"/>
            <w:noWrap/>
            <w:vAlign w:val="center"/>
          </w:tcPr>
          <w:p>
            <w:pPr>
              <w:adjustRightInd/>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rPr>
              <w:t>根据投标人的进度实施计划、进度保证措施等内容进行打分，基本符合项目实际情况的得基础分3分，最高得5分。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2144" w:type="dxa"/>
            <w:noWrap/>
            <w:vAlign w:val="center"/>
          </w:tcPr>
          <w:p>
            <w:pPr>
              <w:spacing w:line="276" w:lineRule="auto"/>
              <w:ind w:right="-20"/>
              <w:jc w:val="center"/>
              <w:rPr>
                <w:rFonts w:cs="宋体" w:asciiTheme="minorEastAsia" w:hAnsiTheme="minorEastAsia" w:eastAsiaTheme="minorEastAsia"/>
                <w:sz w:val="24"/>
                <w:lang w:val="zh-CN"/>
              </w:rPr>
            </w:pPr>
            <w:r>
              <w:rPr>
                <w:rFonts w:hint="eastAsia" w:asciiTheme="minorEastAsia" w:hAnsiTheme="minorEastAsia" w:eastAsiaTheme="minorEastAsia"/>
                <w:sz w:val="24"/>
              </w:rPr>
              <w:t>质量保证措施</w:t>
            </w:r>
          </w:p>
        </w:tc>
        <w:tc>
          <w:tcPr>
            <w:tcW w:w="6663" w:type="dxa"/>
            <w:noWrap/>
            <w:vAlign w:val="center"/>
          </w:tcPr>
          <w:p>
            <w:pPr>
              <w:adjustRightInd/>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rPr>
              <w:t>根据投标人提供的质量控制、质量保证措施体系的合理性和先进性，由评委进行评分（须具有详细的实施内容），基本符合项目实际情况的得基础分3分，最高得5分。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2144" w:type="dxa"/>
            <w:noWrap/>
            <w:vAlign w:val="center"/>
          </w:tcPr>
          <w:p>
            <w:pPr>
              <w:spacing w:line="276" w:lineRule="auto"/>
              <w:ind w:right="-20"/>
              <w:jc w:val="center"/>
              <w:rPr>
                <w:rFonts w:cs="宋体" w:asciiTheme="minorEastAsia" w:hAnsiTheme="minorEastAsia" w:eastAsiaTheme="minorEastAsia"/>
                <w:sz w:val="24"/>
                <w:lang w:val="zh-CN"/>
              </w:rPr>
            </w:pPr>
            <w:r>
              <w:rPr>
                <w:rFonts w:hint="eastAsia" w:asciiTheme="minorEastAsia" w:hAnsiTheme="minorEastAsia" w:eastAsiaTheme="minorEastAsia"/>
                <w:sz w:val="24"/>
              </w:rPr>
              <w:t>售后服务方案</w:t>
            </w:r>
          </w:p>
        </w:tc>
        <w:tc>
          <w:tcPr>
            <w:tcW w:w="6663" w:type="dxa"/>
            <w:noWrap/>
          </w:tcPr>
          <w:p>
            <w:pPr>
              <w:adjustRightInd/>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rPr>
              <w:t>根据投标人提供的售后服务方案、售后服务承诺的可行性、完整性以及服务承诺落实的保障措施等，由评委进行评分，基本符合项目实际情况的得基础分2.4分，最高4分。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2144" w:type="dxa"/>
            <w:noWrap/>
            <w:vAlign w:val="center"/>
          </w:tcPr>
          <w:p>
            <w:pPr>
              <w:adjustRightInd/>
              <w:spacing w:line="276" w:lineRule="auto"/>
              <w:jc w:val="center"/>
              <w:rPr>
                <w:rFonts w:cs="宋体" w:asciiTheme="minorEastAsia" w:hAnsiTheme="minorEastAsia" w:eastAsiaTheme="minorEastAsia"/>
                <w:sz w:val="24"/>
                <w:lang w:val="zh-CN"/>
              </w:rPr>
            </w:pPr>
            <w:r>
              <w:rPr>
                <w:rFonts w:hint="eastAsia" w:cs="宋体" w:asciiTheme="minorEastAsia" w:hAnsiTheme="minorEastAsia" w:eastAsiaTheme="minorEastAsia"/>
                <w:sz w:val="24"/>
              </w:rPr>
              <w:t>普查成果数字化应用</w:t>
            </w:r>
          </w:p>
        </w:tc>
        <w:tc>
          <w:tcPr>
            <w:tcW w:w="6663" w:type="dxa"/>
            <w:noWrap/>
            <w:vAlign w:val="center"/>
          </w:tcPr>
          <w:p>
            <w:pPr>
              <w:adjustRightInd/>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rPr>
              <w:t>对自然灾害综合风险公路承灾体数据开展数字档案、巡查检查、评估养护、监测预警等数字化应用，根据应用方案的科学性、先进性、合理性进行评分，基本符合项目实际情况的得基础分6分，最高得10分。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2144" w:type="dxa"/>
            <w:noWrap/>
            <w:vAlign w:val="center"/>
          </w:tcPr>
          <w:p>
            <w:pPr>
              <w:spacing w:line="276" w:lineRule="auto"/>
              <w:ind w:right="-20"/>
              <w:jc w:val="center"/>
              <w:rPr>
                <w:rFonts w:cs="宋体" w:asciiTheme="minorEastAsia" w:hAnsiTheme="minorEastAsia" w:eastAsiaTheme="minorEastAsia"/>
                <w:sz w:val="24"/>
                <w:lang w:val="en-GB"/>
              </w:rPr>
            </w:pPr>
            <w:r>
              <w:rPr>
                <w:rFonts w:hint="eastAsia" w:asciiTheme="minorEastAsia" w:hAnsiTheme="minorEastAsia" w:eastAsiaTheme="minorEastAsia"/>
                <w:sz w:val="24"/>
              </w:rPr>
              <w:t>安全保证措施</w:t>
            </w:r>
          </w:p>
        </w:tc>
        <w:tc>
          <w:tcPr>
            <w:tcW w:w="6663" w:type="dxa"/>
            <w:noWrap/>
            <w:vAlign w:val="center"/>
          </w:tcPr>
          <w:p>
            <w:pPr>
              <w:adjustRightInd/>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投标人对本项目的安全保证措施进行评分。基本符合项目实际情况的得基础分3分，最高得5分。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27" w:type="dxa"/>
            <w:vMerge w:val="restart"/>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2144" w:type="dxa"/>
            <w:vMerge w:val="restart"/>
            <w:noWrap/>
            <w:vAlign w:val="center"/>
          </w:tcPr>
          <w:p>
            <w:pPr>
              <w:spacing w:line="276" w:lineRule="auto"/>
              <w:ind w:right="-20"/>
              <w:jc w:val="center"/>
              <w:rPr>
                <w:rFonts w:asciiTheme="minorEastAsia" w:hAnsiTheme="minorEastAsia" w:eastAsiaTheme="minorEastAsia"/>
                <w:sz w:val="24"/>
              </w:rPr>
            </w:pPr>
            <w:r>
              <w:rPr>
                <w:rFonts w:hint="eastAsia" w:asciiTheme="minorEastAsia" w:hAnsiTheme="minorEastAsia" w:eastAsiaTheme="minorEastAsia"/>
                <w:sz w:val="24"/>
              </w:rPr>
              <w:t>项</w:t>
            </w:r>
          </w:p>
          <w:p>
            <w:pPr>
              <w:spacing w:line="276" w:lineRule="auto"/>
              <w:ind w:right="-20"/>
              <w:jc w:val="center"/>
              <w:rPr>
                <w:rFonts w:asciiTheme="minorEastAsia" w:hAnsiTheme="minorEastAsia" w:eastAsiaTheme="minorEastAsia"/>
                <w:sz w:val="24"/>
              </w:rPr>
            </w:pPr>
            <w:r>
              <w:rPr>
                <w:rFonts w:hint="eastAsia" w:asciiTheme="minorEastAsia" w:hAnsiTheme="minorEastAsia" w:eastAsiaTheme="minorEastAsia"/>
                <w:sz w:val="24"/>
              </w:rPr>
              <w:t>目</w:t>
            </w:r>
          </w:p>
          <w:p>
            <w:pPr>
              <w:spacing w:line="276" w:lineRule="auto"/>
              <w:ind w:right="-20"/>
              <w:jc w:val="center"/>
              <w:rPr>
                <w:rFonts w:asciiTheme="minorEastAsia" w:hAnsiTheme="minorEastAsia" w:eastAsiaTheme="minorEastAsia"/>
                <w:sz w:val="24"/>
              </w:rPr>
            </w:pPr>
            <w:r>
              <w:rPr>
                <w:rFonts w:hint="eastAsia" w:asciiTheme="minorEastAsia" w:hAnsiTheme="minorEastAsia" w:eastAsiaTheme="minorEastAsia"/>
                <w:sz w:val="24"/>
              </w:rPr>
              <w:t>人</w:t>
            </w:r>
          </w:p>
          <w:p>
            <w:pPr>
              <w:spacing w:line="276" w:lineRule="auto"/>
              <w:ind w:right="-20"/>
              <w:jc w:val="center"/>
              <w:rPr>
                <w:rFonts w:asciiTheme="minorEastAsia" w:hAnsiTheme="minorEastAsia" w:eastAsiaTheme="minorEastAsia"/>
                <w:sz w:val="24"/>
              </w:rPr>
            </w:pPr>
            <w:r>
              <w:rPr>
                <w:rFonts w:hint="eastAsia" w:asciiTheme="minorEastAsia" w:hAnsiTheme="minorEastAsia" w:eastAsiaTheme="minorEastAsia"/>
                <w:sz w:val="24"/>
              </w:rPr>
              <w:t>员</w:t>
            </w:r>
          </w:p>
          <w:p>
            <w:pPr>
              <w:spacing w:line="276" w:lineRule="auto"/>
              <w:ind w:right="-20"/>
              <w:jc w:val="center"/>
              <w:rPr>
                <w:rFonts w:asciiTheme="minorEastAsia" w:hAnsiTheme="minorEastAsia" w:eastAsiaTheme="minorEastAsia"/>
                <w:sz w:val="24"/>
              </w:rPr>
            </w:pPr>
            <w:r>
              <w:rPr>
                <w:rFonts w:hint="eastAsia" w:asciiTheme="minorEastAsia" w:hAnsiTheme="minorEastAsia" w:eastAsiaTheme="minorEastAsia"/>
                <w:sz w:val="24"/>
              </w:rPr>
              <w:t>配</w:t>
            </w:r>
          </w:p>
          <w:p>
            <w:pPr>
              <w:spacing w:line="276" w:lineRule="auto"/>
              <w:ind w:right="-20"/>
              <w:jc w:val="center"/>
              <w:rPr>
                <w:rFonts w:cs="宋体" w:asciiTheme="minorEastAsia" w:hAnsiTheme="minorEastAsia" w:eastAsiaTheme="minorEastAsia"/>
                <w:sz w:val="24"/>
                <w:lang w:val="en-GB"/>
              </w:rPr>
            </w:pPr>
            <w:r>
              <w:rPr>
                <w:rFonts w:hint="eastAsia" w:asciiTheme="minorEastAsia" w:hAnsiTheme="minorEastAsia" w:eastAsiaTheme="minorEastAsia"/>
                <w:sz w:val="24"/>
              </w:rPr>
              <w:t>备</w:t>
            </w:r>
          </w:p>
        </w:tc>
        <w:tc>
          <w:tcPr>
            <w:tcW w:w="6663" w:type="dxa"/>
            <w:noWrap/>
            <w:vAlign w:val="center"/>
          </w:tcPr>
          <w:p>
            <w:pPr>
              <w:snapToGrid w:val="0"/>
              <w:spacing w:line="276" w:lineRule="auto"/>
              <w:jc w:val="left"/>
              <w:rPr>
                <w:rFonts w:asciiTheme="minorEastAsia" w:hAnsiTheme="minorEastAsia" w:eastAsiaTheme="minorEastAsia"/>
                <w:sz w:val="24"/>
              </w:rPr>
            </w:pPr>
            <w:r>
              <w:rPr>
                <w:rFonts w:asciiTheme="minorEastAsia" w:hAnsiTheme="minorEastAsia" w:eastAsiaTheme="minorEastAsia"/>
                <w:sz w:val="24"/>
              </w:rPr>
              <w:t>项目负责人：</w:t>
            </w:r>
          </w:p>
          <w:p>
            <w:pPr>
              <w:snapToGrid w:val="0"/>
              <w:spacing w:line="276"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1.具有公路工程相关专业或岩土工程或工程地质专业的副高级职称及以上的得3分，其余不得分；</w:t>
            </w:r>
          </w:p>
          <w:p>
            <w:pPr>
              <w:snapToGrid w:val="0"/>
              <w:spacing w:line="276"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2.具有注册咨询工程师（公路专业）或注册岩土工程师资格证书的得3分，其余不得分；</w:t>
            </w:r>
          </w:p>
          <w:p>
            <w:pPr>
              <w:snapToGrid w:val="0"/>
              <w:spacing w:line="276" w:lineRule="auto"/>
              <w:jc w:val="left"/>
              <w:rPr>
                <w:rFonts w:asciiTheme="minorEastAsia" w:hAnsiTheme="minorEastAsia" w:eastAsiaTheme="minorEastAsia"/>
                <w:sz w:val="24"/>
              </w:rPr>
            </w:pPr>
            <w:r>
              <w:rPr>
                <w:rFonts w:hint="eastAsia" w:cs="宋体" w:asciiTheme="minorEastAsia" w:hAnsiTheme="minorEastAsia" w:eastAsiaTheme="minorEastAsia"/>
                <w:b/>
                <w:bCs/>
                <w:sz w:val="24"/>
              </w:rPr>
              <w:t>（投标人需提供相关证书及本单位连续缴纳3个月及以上的社保证明材料扫描件，不提供不得分）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27" w:type="dxa"/>
            <w:vMerge w:val="continue"/>
            <w:noWrap/>
            <w:vAlign w:val="center"/>
          </w:tcPr>
          <w:p>
            <w:pPr>
              <w:spacing w:line="276" w:lineRule="auto"/>
              <w:jc w:val="center"/>
              <w:rPr>
                <w:rFonts w:cs="宋体" w:asciiTheme="minorEastAsia" w:hAnsiTheme="minorEastAsia" w:eastAsiaTheme="minorEastAsia"/>
                <w:sz w:val="24"/>
              </w:rPr>
            </w:pPr>
          </w:p>
        </w:tc>
        <w:tc>
          <w:tcPr>
            <w:tcW w:w="2144" w:type="dxa"/>
            <w:vMerge w:val="continue"/>
            <w:noWrap/>
            <w:vAlign w:val="center"/>
          </w:tcPr>
          <w:p>
            <w:pPr>
              <w:spacing w:line="276" w:lineRule="auto"/>
              <w:ind w:right="-20"/>
              <w:jc w:val="center"/>
              <w:rPr>
                <w:rFonts w:asciiTheme="minorEastAsia" w:hAnsiTheme="minorEastAsia" w:eastAsiaTheme="minorEastAsia"/>
                <w:sz w:val="24"/>
              </w:rPr>
            </w:pPr>
          </w:p>
        </w:tc>
        <w:tc>
          <w:tcPr>
            <w:tcW w:w="6663" w:type="dxa"/>
            <w:noWrap/>
            <w:vAlign w:val="center"/>
          </w:tcPr>
          <w:p>
            <w:pPr>
              <w:snapToGrid w:val="0"/>
              <w:spacing w:line="276" w:lineRule="auto"/>
              <w:rPr>
                <w:rFonts w:asciiTheme="minorEastAsia" w:hAnsiTheme="minorEastAsia" w:eastAsiaTheme="minorEastAsia"/>
                <w:b/>
                <w:sz w:val="24"/>
              </w:rPr>
            </w:pPr>
            <w:r>
              <w:rPr>
                <w:rFonts w:asciiTheme="minorEastAsia" w:hAnsiTheme="minorEastAsia" w:eastAsiaTheme="minorEastAsia"/>
                <w:b/>
                <w:sz w:val="24"/>
              </w:rPr>
              <w:t>项目技术负责人</w:t>
            </w:r>
            <w:r>
              <w:rPr>
                <w:rFonts w:hint="eastAsia" w:asciiTheme="minorEastAsia" w:hAnsiTheme="minorEastAsia" w:eastAsiaTheme="minorEastAsia"/>
                <w:b/>
                <w:sz w:val="24"/>
              </w:rPr>
              <w:t>：</w:t>
            </w:r>
          </w:p>
          <w:p>
            <w:pPr>
              <w:snapToGri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1.具有公路工程相关专业或工程地质相关专业的副高级职称及以上的得3分，其余不得分；</w:t>
            </w:r>
          </w:p>
          <w:p>
            <w:pPr>
              <w:snapToGri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2.具有注册咨询工程师（公路专业）或注册岩土工程师资格证书的得3分，其余不得分；</w:t>
            </w:r>
          </w:p>
          <w:p>
            <w:pPr>
              <w:snapToGrid w:val="0"/>
              <w:spacing w:line="276" w:lineRule="auto"/>
              <w:rPr>
                <w:rFonts w:asciiTheme="minorEastAsia" w:hAnsiTheme="minorEastAsia" w:eastAsiaTheme="minorEastAsia"/>
                <w:sz w:val="24"/>
              </w:rPr>
            </w:pPr>
            <w:r>
              <w:rPr>
                <w:rFonts w:hint="eastAsia" w:cs="宋体" w:asciiTheme="minorEastAsia" w:hAnsiTheme="minorEastAsia" w:eastAsiaTheme="minorEastAsia"/>
                <w:b/>
                <w:bCs/>
                <w:sz w:val="24"/>
              </w:rPr>
              <w:t>（投标人需提供相关证书及本单位连续缴纳3个月及以上的社保证明材料扫描件，不提供不得分）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27" w:type="dxa"/>
            <w:vMerge w:val="continue"/>
            <w:noWrap/>
            <w:vAlign w:val="center"/>
          </w:tcPr>
          <w:p>
            <w:pPr>
              <w:spacing w:line="276" w:lineRule="auto"/>
              <w:jc w:val="center"/>
              <w:rPr>
                <w:rFonts w:cs="宋体" w:asciiTheme="minorEastAsia" w:hAnsiTheme="minorEastAsia" w:eastAsiaTheme="minorEastAsia"/>
                <w:sz w:val="24"/>
              </w:rPr>
            </w:pPr>
          </w:p>
        </w:tc>
        <w:tc>
          <w:tcPr>
            <w:tcW w:w="2144" w:type="dxa"/>
            <w:vMerge w:val="continue"/>
            <w:noWrap/>
            <w:vAlign w:val="center"/>
          </w:tcPr>
          <w:p>
            <w:pPr>
              <w:spacing w:line="276" w:lineRule="auto"/>
              <w:ind w:right="-20"/>
              <w:jc w:val="center"/>
              <w:rPr>
                <w:rFonts w:asciiTheme="minorEastAsia" w:hAnsiTheme="minorEastAsia" w:eastAsiaTheme="minorEastAsia"/>
                <w:sz w:val="24"/>
              </w:rPr>
            </w:pPr>
          </w:p>
        </w:tc>
        <w:tc>
          <w:tcPr>
            <w:tcW w:w="6663" w:type="dxa"/>
            <w:noWrap/>
            <w:vAlign w:val="center"/>
          </w:tcPr>
          <w:p>
            <w:pPr>
              <w:snapToGrid w:val="0"/>
              <w:spacing w:line="276" w:lineRule="auto"/>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拟配备的项目组成员（项目负责人、技术负责人除外）：</w:t>
            </w:r>
          </w:p>
          <w:p>
            <w:pPr>
              <w:snapToGrid w:val="0"/>
              <w:spacing w:line="276"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1.具有公路工程相关专业或工程地质专业的工程师及以上职称每个得1分，最多得3分。</w:t>
            </w:r>
          </w:p>
          <w:p>
            <w:pPr>
              <w:pStyle w:val="26"/>
              <w:spacing w:line="276" w:lineRule="auto"/>
              <w:ind w:firstLine="0"/>
              <w:rPr>
                <w:rFonts w:cs="宋体" w:asciiTheme="minorEastAsia" w:hAnsiTheme="minorEastAsia" w:eastAsiaTheme="minorEastAsia"/>
                <w:szCs w:val="24"/>
                <w:lang w:val="en-US"/>
              </w:rPr>
            </w:pPr>
            <w:r>
              <w:rPr>
                <w:rFonts w:hint="eastAsia" w:cs="宋体" w:asciiTheme="minorEastAsia" w:hAnsiTheme="minorEastAsia" w:eastAsiaTheme="minorEastAsia"/>
                <w:szCs w:val="24"/>
              </w:rPr>
              <w:t>2、具</w:t>
            </w:r>
            <w:r>
              <w:rPr>
                <w:rFonts w:hint="eastAsia" w:cs="宋体" w:asciiTheme="minorEastAsia" w:hAnsiTheme="minorEastAsia" w:eastAsiaTheme="minorEastAsia"/>
                <w:szCs w:val="24"/>
                <w:lang w:val="en-US"/>
              </w:rPr>
              <w:t>有注册咨询工程师（公路专业）或注册岩土工程师资格证书的得2分，</w:t>
            </w:r>
            <w:r>
              <w:rPr>
                <w:rFonts w:hint="eastAsia" w:cs="宋体" w:asciiTheme="minorEastAsia" w:hAnsiTheme="minorEastAsia" w:eastAsiaTheme="minorEastAsia"/>
              </w:rPr>
              <w:t>最多得4分。</w:t>
            </w:r>
          </w:p>
          <w:p>
            <w:pPr>
              <w:pStyle w:val="26"/>
              <w:spacing w:line="276" w:lineRule="auto"/>
              <w:ind w:firstLine="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3.</w:t>
            </w:r>
            <w:r>
              <w:rPr>
                <w:rFonts w:cs="宋体" w:asciiTheme="minorEastAsia" w:hAnsiTheme="minorEastAsia" w:eastAsiaTheme="minorEastAsia"/>
                <w:szCs w:val="24"/>
                <w:lang w:val="en-US"/>
              </w:rPr>
              <w:t>具有安全评价师证书，三级的得0.5分，二级的得1分，一级的得1.5分，最多得3分。</w:t>
            </w:r>
          </w:p>
          <w:p>
            <w:pPr>
              <w:snapToGrid w:val="0"/>
              <w:spacing w:line="276" w:lineRule="auto"/>
              <w:jc w:val="left"/>
              <w:rPr>
                <w:rFonts w:asciiTheme="minorEastAsia" w:hAnsiTheme="minorEastAsia" w:eastAsiaTheme="minorEastAsia"/>
                <w:sz w:val="24"/>
              </w:rPr>
            </w:pPr>
            <w:r>
              <w:rPr>
                <w:rFonts w:hint="eastAsia" w:cs="宋体" w:asciiTheme="minorEastAsia" w:hAnsiTheme="minorEastAsia" w:eastAsiaTheme="minorEastAsia"/>
                <w:b/>
                <w:bCs/>
                <w:sz w:val="24"/>
              </w:rPr>
              <w:t>（一人多证，可累计加分，投标人需提供相关证书及本单位连续缴纳3个月及以上的社保证明材料扫描件，不提供不得分）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2144" w:type="dxa"/>
            <w:noWrap/>
            <w:vAlign w:val="center"/>
          </w:tcPr>
          <w:p>
            <w:pPr>
              <w:spacing w:line="276" w:lineRule="auto"/>
              <w:ind w:right="-20"/>
              <w:jc w:val="center"/>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业绩</w:t>
            </w:r>
          </w:p>
        </w:tc>
        <w:tc>
          <w:tcPr>
            <w:tcW w:w="6663" w:type="dxa"/>
            <w:noWrap/>
            <w:vAlign w:val="center"/>
          </w:tcPr>
          <w:p>
            <w:pPr>
              <w:snapToGrid w:val="0"/>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投标人自2020年1月1日以来承担过</w:t>
            </w:r>
            <w:r>
              <w:rPr>
                <w:rFonts w:asciiTheme="minorEastAsia" w:hAnsiTheme="minorEastAsia" w:eastAsiaTheme="minorEastAsia"/>
                <w:sz w:val="24"/>
              </w:rPr>
              <w:t>自然灾害综合风险公路承灾体普查</w:t>
            </w:r>
            <w:r>
              <w:rPr>
                <w:rFonts w:hint="eastAsia" w:asciiTheme="minorEastAsia" w:hAnsiTheme="minorEastAsia" w:eastAsiaTheme="minorEastAsia"/>
                <w:sz w:val="24"/>
              </w:rPr>
              <w:t>项目业绩，每个得0.25分，最高得1分。</w:t>
            </w:r>
          </w:p>
          <w:p>
            <w:pPr>
              <w:adjustRightInd/>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b/>
                <w:bCs/>
                <w:sz w:val="24"/>
              </w:rPr>
              <w:t>【</w:t>
            </w:r>
            <w:r>
              <w:rPr>
                <w:rFonts w:cs="宋体" w:asciiTheme="minorEastAsia" w:hAnsiTheme="minorEastAsia" w:eastAsiaTheme="minorEastAsia"/>
                <w:b/>
                <w:bCs/>
                <w:sz w:val="24"/>
              </w:rPr>
              <w:t>须提供中标通知书或合同（以合同签订时间为准），以及项目验收证明或项目业主证明，上述2样资料的</w:t>
            </w:r>
            <w:r>
              <w:rPr>
                <w:rFonts w:hint="eastAsia" w:cs="宋体" w:asciiTheme="minorEastAsia" w:hAnsiTheme="minorEastAsia" w:eastAsiaTheme="minorEastAsia"/>
                <w:b/>
                <w:bCs/>
                <w:sz w:val="24"/>
              </w:rPr>
              <w:t>扫描件</w:t>
            </w:r>
            <w:r>
              <w:rPr>
                <w:rFonts w:cs="宋体" w:asciiTheme="minorEastAsia" w:hAnsiTheme="minorEastAsia" w:eastAsiaTheme="minorEastAsia"/>
                <w:b/>
                <w:bCs/>
                <w:sz w:val="24"/>
              </w:rPr>
              <w:t>，不提供复印件不得分</w:t>
            </w:r>
            <w:r>
              <w:rPr>
                <w:rFonts w:hint="eastAsia" w:cs="宋体" w:asciiTheme="minorEastAsia" w:hAnsiTheme="minorEastAsia" w:eastAsiaTheme="minorEastAsia"/>
                <w:b/>
                <w:bCs/>
                <w:sz w:val="24"/>
              </w:rPr>
              <w:t>】。</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2144" w:type="dxa"/>
            <w:noWrap/>
            <w:vAlign w:val="center"/>
          </w:tcPr>
          <w:p>
            <w:pPr>
              <w:spacing w:line="276" w:lineRule="auto"/>
              <w:ind w:right="-20"/>
              <w:jc w:val="center"/>
              <w:rPr>
                <w:rFonts w:cs="宋体" w:asciiTheme="minorEastAsia" w:hAnsiTheme="minorEastAsia" w:eastAsiaTheme="minorEastAsia"/>
                <w:sz w:val="24"/>
                <w:lang w:val="zh-CN"/>
              </w:rPr>
            </w:pPr>
            <w:r>
              <w:rPr>
                <w:rFonts w:hint="eastAsia" w:asciiTheme="minorEastAsia" w:hAnsiTheme="minorEastAsia" w:eastAsiaTheme="minorEastAsia"/>
                <w:sz w:val="24"/>
              </w:rPr>
              <w:t>体系认证</w:t>
            </w:r>
          </w:p>
        </w:tc>
        <w:tc>
          <w:tcPr>
            <w:tcW w:w="6663" w:type="dxa"/>
            <w:noWrap/>
            <w:vAlign w:val="center"/>
          </w:tcPr>
          <w:p>
            <w:pPr>
              <w:adjustRightInd/>
              <w:spacing w:line="276" w:lineRule="auto"/>
              <w:rPr>
                <w:rFonts w:cs="宋体" w:asciiTheme="minorEastAsia" w:hAnsiTheme="minorEastAsia" w:eastAsiaTheme="minorEastAsia"/>
                <w:sz w:val="24"/>
                <w:lang w:val="zh-CN"/>
              </w:rPr>
            </w:pPr>
            <w:r>
              <w:rPr>
                <w:rFonts w:hint="eastAsia" w:asciiTheme="minorEastAsia" w:hAnsiTheme="minorEastAsia" w:eastAsiaTheme="minorEastAsia"/>
                <w:sz w:val="24"/>
              </w:rPr>
              <w:t>投标人具有质量体系认证、环境管理体系认证、职业健康安全管理体系认证、</w:t>
            </w:r>
            <w:r>
              <w:rPr>
                <w:rFonts w:asciiTheme="minorEastAsia" w:hAnsiTheme="minorEastAsia" w:eastAsiaTheme="minorEastAsia"/>
                <w:sz w:val="24"/>
              </w:rPr>
              <w:t>信息安全管理体系认证</w:t>
            </w:r>
            <w:r>
              <w:rPr>
                <w:rFonts w:hint="eastAsia" w:asciiTheme="minorEastAsia" w:hAnsiTheme="minorEastAsia" w:eastAsiaTheme="minorEastAsia"/>
                <w:sz w:val="24"/>
              </w:rPr>
              <w:t>，每项得1分，最高得4分。</w:t>
            </w:r>
            <w:r>
              <w:rPr>
                <w:rFonts w:hint="eastAsia" w:asciiTheme="minorEastAsia" w:hAnsiTheme="minorEastAsia" w:eastAsiaTheme="minorEastAsia"/>
                <w:b/>
                <w:bCs/>
                <w:sz w:val="24"/>
              </w:rPr>
              <w:t>（须提供有效期内证书扫描件，不提供不得分）。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7" w:type="dxa"/>
            <w:noWrap/>
            <w:vAlign w:val="center"/>
          </w:tcPr>
          <w:p>
            <w:pPr>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2144" w:type="dxa"/>
            <w:noWrap/>
            <w:vAlign w:val="center"/>
          </w:tcPr>
          <w:p>
            <w:pPr>
              <w:spacing w:line="276" w:lineRule="auto"/>
              <w:ind w:right="-20"/>
              <w:jc w:val="center"/>
              <w:rPr>
                <w:rFonts w:cs="宋体" w:asciiTheme="minorEastAsia" w:hAnsiTheme="minorEastAsia" w:eastAsiaTheme="minorEastAsia"/>
                <w:sz w:val="24"/>
                <w:lang w:val="en-GB"/>
              </w:rPr>
            </w:pPr>
            <w:r>
              <w:rPr>
                <w:rFonts w:hint="eastAsia" w:cs="宋体" w:asciiTheme="minorEastAsia" w:hAnsiTheme="minorEastAsia" w:eastAsiaTheme="minorEastAsia"/>
                <w:sz w:val="24"/>
                <w:lang w:val="zh-CN"/>
              </w:rPr>
              <w:t>售后服务网点</w:t>
            </w:r>
          </w:p>
        </w:tc>
        <w:tc>
          <w:tcPr>
            <w:tcW w:w="6663" w:type="dxa"/>
            <w:noWrap/>
          </w:tcPr>
          <w:p>
            <w:pPr>
              <w:adjustRightInd/>
              <w:spacing w:line="276" w:lineRule="auto"/>
              <w:rPr>
                <w:rFonts w:cs="宋体" w:asciiTheme="minorEastAsia" w:hAnsiTheme="minorEastAsia" w:eastAsiaTheme="minorEastAsia"/>
                <w:sz w:val="24"/>
                <w:lang w:val="zh-CN"/>
              </w:rPr>
            </w:pPr>
            <w:r>
              <w:rPr>
                <w:rFonts w:hint="eastAsia" w:asciiTheme="minorEastAsia" w:hAnsiTheme="minorEastAsia" w:eastAsiaTheme="minorEastAsia"/>
                <w:sz w:val="24"/>
              </w:rPr>
              <w:t>投标人承诺在桐庐县范围内设立售后服务机构的得2分，承诺在杭州其它地区设立的得1分，其余不得分。</w:t>
            </w:r>
            <w:r>
              <w:rPr>
                <w:rFonts w:hint="eastAsia" w:asciiTheme="minorEastAsia" w:hAnsiTheme="minorEastAsia" w:eastAsiaTheme="minorEastAsia"/>
                <w:b/>
                <w:bCs/>
                <w:sz w:val="24"/>
              </w:rPr>
              <w:t>（需提供承诺书并加盖公章，不提供不得分）。</w:t>
            </w:r>
          </w:p>
        </w:tc>
        <w:tc>
          <w:tcPr>
            <w:tcW w:w="992" w:type="dxa"/>
            <w:noWrap/>
            <w:vAlign w:val="center"/>
          </w:tcPr>
          <w:p>
            <w:pPr>
              <w:spacing w:line="276" w:lineRule="auto"/>
              <w:ind w:right="-2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投标人编制投标文件（商务技术文件部分【序号1-13】）时，建议按此目录（序号和内容）提供评标标准相应的商务技术资料。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ascii="宋体" w:hAnsi="宋体" w:cs="宋体"/>
          <w:b/>
          <w:sz w:val="32"/>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见第四部分评标办法。</w:t>
      </w:r>
    </w:p>
    <w:p>
      <w:pPr>
        <w:snapToGrid w:val="0"/>
        <w:spacing w:line="360" w:lineRule="auto"/>
        <w:rPr>
          <w:rFonts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5.1符合专业条件的供应商或者对招标文件作实质响应的供应商不足3家的；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5.3投标人的报价均超过了采购预算，采购人不能支付的；</w:t>
      </w:r>
    </w:p>
    <w:p>
      <w:pPr>
        <w:pStyle w:val="27"/>
        <w:snapToGrid w:val="0"/>
        <w:spacing w:line="360" w:lineRule="auto"/>
        <w:rPr>
          <w:rFonts w:cs="宋体"/>
        </w:rPr>
      </w:pPr>
      <w:r>
        <w:rPr>
          <w:rFonts w:hint="eastAsia" w:cs="宋体"/>
        </w:rPr>
        <w:t>5.4因重大变故，采购任务取消的。</w:t>
      </w:r>
    </w:p>
    <w:p>
      <w:pPr>
        <w:pStyle w:val="27"/>
        <w:snapToGrid w:val="0"/>
        <w:spacing w:line="360" w:lineRule="auto"/>
        <w:rPr>
          <w:rFonts w:cs="宋体"/>
        </w:rPr>
      </w:pPr>
      <w:r>
        <w:rPr>
          <w:rFonts w:hint="eastAsia" w:cs="宋体"/>
        </w:rPr>
        <w:t>废标后，采购机构应当将废标理由通知所有投标人。</w:t>
      </w:r>
    </w:p>
    <w:p>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7"/>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cs="宋体"/>
        </w:rPr>
      </w:pPr>
      <w:r>
        <w:rPr>
          <w:rFonts w:hint="eastAsia" w:cs="宋体"/>
        </w:rPr>
        <w:t>7.4政府采购合同已经履行，给采购人、供应商造成损失的，由责任人承担赔偿责任。</w:t>
      </w:r>
    </w:p>
    <w:p>
      <w:pPr>
        <w:pStyle w:val="27"/>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pPr>
        <w:pStyle w:val="27"/>
        <w:snapToGrid w:val="0"/>
        <w:spacing w:line="360" w:lineRule="auto"/>
        <w:ind w:firstLine="0" w:firstLineChars="0"/>
        <w:rPr>
          <w:rFonts w:cs="宋体"/>
        </w:rPr>
      </w:pPr>
    </w:p>
    <w:bookmarkEnd w:id="25"/>
    <w:p>
      <w:pPr>
        <w:spacing w:line="360" w:lineRule="auto"/>
        <w:ind w:left="720" w:leftChars="343" w:firstLine="1084" w:firstLineChars="300"/>
        <w:outlineLvl w:val="0"/>
        <w:rPr>
          <w:rFonts w:ascii="宋体" w:hAnsi="宋体" w:cs="宋体"/>
          <w:b/>
          <w:sz w:val="36"/>
          <w:szCs w:val="36"/>
        </w:rPr>
      </w:pPr>
      <w:bookmarkStart w:id="391" w:name="_Toc86217003"/>
      <w:bookmarkStart w:id="392" w:name="第五部分"/>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jc w:val="center"/>
        <w:outlineLvl w:val="0"/>
        <w:rPr>
          <w:rFonts w:ascii="宋体" w:hAnsi="宋体" w:cs="宋体"/>
          <w:b/>
          <w:sz w:val="36"/>
          <w:szCs w:val="36"/>
        </w:rPr>
        <w:sectPr>
          <w:pgSz w:w="11907" w:h="16840"/>
          <w:pgMar w:top="1440" w:right="1417" w:bottom="1440" w:left="1417" w:header="851" w:footer="850" w:gutter="0"/>
          <w:cols w:space="0" w:num="1"/>
        </w:sectPr>
      </w:pP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（仅供参考，具体以合同签订为准）</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rPr>
          <w:rFonts w:ascii="宋体" w:hAnsi="宋体" w:cs="宋体"/>
          <w:szCs w:val="24"/>
        </w:rPr>
      </w:pPr>
    </w:p>
    <w:p>
      <w:pPr>
        <w:pStyle w:val="699"/>
        <w:ind w:left="0" w:leftChars="0" w:firstLine="0" w:firstLineChars="0"/>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40" w:right="1417" w:bottom="1440" w:left="1417" w:header="851" w:footer="850" w:gutter="0"/>
          <w:cols w:space="0" w:num="1"/>
        </w:sectPr>
      </w:pPr>
    </w:p>
    <w:p>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   </w:t>
      </w:r>
      <w:r>
        <w:rPr>
          <w:rFonts w:hint="eastAsia" w:ascii="宋体" w:hAnsi="宋体" w:cs="宋体"/>
          <w:sz w:val="24"/>
        </w:rPr>
        <w:t>项目进行了采购。经评定，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288" w:lineRule="auto"/>
        <w:rPr>
          <w:rFonts w:ascii="宋体" w:hAnsi="宋体" w:cs="宋体"/>
          <w:b/>
          <w:spacing w:val="-6"/>
          <w:sz w:val="24"/>
        </w:rPr>
      </w:pPr>
      <w:r>
        <w:rPr>
          <w:rFonts w:hint="eastAsia" w:ascii="宋体" w:hAnsi="宋体" w:cs="宋体"/>
          <w:b/>
          <w:spacing w:val="-6"/>
          <w:sz w:val="24"/>
        </w:rPr>
        <w:t>第一条：服务内容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762"/>
        <w:gridCol w:w="992"/>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0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spacing w:val="-6"/>
                <w:sz w:val="24"/>
              </w:rPr>
            </w:pPr>
            <w:r>
              <w:rPr>
                <w:rFonts w:hint="eastAsia" w:ascii="宋体" w:hAnsi="宋体" w:cs="宋体"/>
                <w:spacing w:val="-6"/>
                <w:sz w:val="24"/>
              </w:rPr>
              <w:t>序号</w:t>
            </w:r>
          </w:p>
        </w:tc>
        <w:tc>
          <w:tcPr>
            <w:tcW w:w="276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spacing w:val="-6"/>
                <w:sz w:val="24"/>
              </w:rPr>
            </w:pPr>
            <w:r>
              <w:rPr>
                <w:rFonts w:hint="eastAsia" w:ascii="宋体" w:hAnsi="宋体" w:cs="宋体"/>
                <w:spacing w:val="-6"/>
                <w:sz w:val="24"/>
              </w:rPr>
              <w:t>服务内容</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spacing w:val="-6"/>
                <w:sz w:val="24"/>
              </w:rPr>
            </w:pPr>
            <w:r>
              <w:rPr>
                <w:rFonts w:hint="eastAsia" w:ascii="宋体" w:hAnsi="宋体" w:cs="宋体"/>
                <w:spacing w:val="-6"/>
                <w:sz w:val="24"/>
              </w:rPr>
              <w:t>数量</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spacing w:val="-6"/>
                <w:sz w:val="24"/>
              </w:rPr>
            </w:pPr>
            <w:r>
              <w:rPr>
                <w:rFonts w:hint="eastAsia" w:ascii="宋体" w:hAnsi="宋体" w:cs="宋体"/>
                <w:spacing w:val="-6"/>
                <w:sz w:val="24"/>
              </w:rPr>
              <w:t>金额</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spacing w:val="-6"/>
                <w:sz w:val="24"/>
              </w:rPr>
            </w:pPr>
            <w:r>
              <w:rPr>
                <w:rFonts w:hint="eastAsia" w:ascii="宋体" w:hAnsi="宋体" w:cs="宋体"/>
                <w:spacing w:val="-6"/>
                <w:sz w:val="24"/>
              </w:rPr>
              <w:t>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07"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spacing w:val="-6"/>
                <w:sz w:val="24"/>
              </w:rPr>
            </w:pPr>
            <w:r>
              <w:rPr>
                <w:rFonts w:hint="eastAsia" w:ascii="宋体" w:hAnsi="宋体" w:cs="宋体"/>
                <w:spacing w:val="-6"/>
                <w:sz w:val="24"/>
              </w:rPr>
              <w:t>1</w:t>
            </w:r>
          </w:p>
        </w:tc>
        <w:tc>
          <w:tcPr>
            <w:tcW w:w="2762" w:type="dxa"/>
            <w:tcBorders>
              <w:top w:val="single" w:color="auto" w:sz="4" w:space="0"/>
              <w:left w:val="single" w:color="auto" w:sz="4" w:space="0"/>
              <w:bottom w:val="single" w:color="auto" w:sz="4" w:space="0"/>
              <w:right w:val="single" w:color="auto" w:sz="4" w:space="0"/>
            </w:tcBorders>
            <w:noWrap/>
            <w:vAlign w:val="center"/>
          </w:tcPr>
          <w:p>
            <w:pPr>
              <w:spacing w:line="288" w:lineRule="auto"/>
              <w:ind w:left="178" w:leftChars="85"/>
              <w:jc w:val="center"/>
              <w:rPr>
                <w:rFonts w:ascii="宋体" w:hAnsi="宋体" w:cs="宋体"/>
                <w:spacing w:val="-6"/>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spacing w:val="-6"/>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spacing w:val="-6"/>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spacing w:val="-6"/>
                <w:sz w:val="24"/>
              </w:rPr>
            </w:pPr>
          </w:p>
        </w:tc>
      </w:tr>
    </w:tbl>
    <w:p>
      <w:pPr>
        <w:snapToGrid w:val="0"/>
        <w:spacing w:line="360" w:lineRule="auto"/>
        <w:ind w:firstLine="456" w:firstLineChars="200"/>
        <w:rPr>
          <w:rFonts w:ascii="宋体" w:hAnsi="宋体" w:cs="宋体"/>
          <w:spacing w:val="-6"/>
          <w:sz w:val="24"/>
        </w:rPr>
      </w:pPr>
      <w:r>
        <w:rPr>
          <w:rFonts w:hint="eastAsia" w:ascii="宋体" w:hAnsi="宋体" w:cs="宋体"/>
          <w:spacing w:val="-6"/>
          <w:sz w:val="24"/>
        </w:rPr>
        <w:t>注：投标报价应包括投标总报价是指综合费用，包括人员工资、交通、住宿、税金、保险、验收、报审过程中以及在履行本合同时的现场踏勘、资料收集、调查等的全部费用。</w:t>
      </w:r>
    </w:p>
    <w:p>
      <w:pPr>
        <w:snapToGrid w:val="0"/>
        <w:spacing w:line="360" w:lineRule="auto"/>
        <w:rPr>
          <w:rFonts w:ascii="宋体" w:hAnsi="宋体" w:cs="宋体"/>
          <w:b/>
          <w:spacing w:val="-6"/>
          <w:sz w:val="24"/>
        </w:rPr>
      </w:pPr>
      <w:r>
        <w:rPr>
          <w:rFonts w:hint="eastAsia" w:ascii="宋体" w:hAnsi="宋体" w:cs="宋体"/>
          <w:b/>
          <w:spacing w:val="-6"/>
          <w:sz w:val="24"/>
        </w:rPr>
        <w:t>第二条：服务期限：</w:t>
      </w:r>
      <w:r>
        <w:rPr>
          <w:rFonts w:hint="eastAsia" w:ascii="宋体" w:hAnsi="宋体" w:cs="宋体"/>
          <w:spacing w:val="-6"/>
          <w:sz w:val="24"/>
        </w:rPr>
        <w:t xml:space="preserve">本合同有效期限为年，具体时限自 </w:t>
      </w:r>
      <w:r>
        <w:rPr>
          <w:rFonts w:hint="eastAsia" w:ascii="宋体" w:hAnsi="宋体" w:cs="宋体"/>
          <w:spacing w:val="-6"/>
          <w:sz w:val="24"/>
        </w:rPr>
        <w:tab/>
      </w:r>
      <w:r>
        <w:rPr>
          <w:rFonts w:hint="eastAsia" w:ascii="宋体" w:hAnsi="宋体" w:cs="宋体"/>
          <w:spacing w:val="-6"/>
          <w:sz w:val="24"/>
        </w:rPr>
        <w:t>年  月  日至  年 月 日。</w:t>
      </w:r>
    </w:p>
    <w:p>
      <w:pPr>
        <w:snapToGrid w:val="0"/>
        <w:spacing w:line="360" w:lineRule="auto"/>
        <w:rPr>
          <w:rFonts w:ascii="宋体" w:hAnsi="宋体" w:cs="宋体"/>
          <w:bCs/>
          <w:spacing w:val="-6"/>
          <w:sz w:val="24"/>
        </w:rPr>
      </w:pPr>
      <w:r>
        <w:rPr>
          <w:rFonts w:hint="eastAsia" w:ascii="宋体" w:hAnsi="宋体" w:cs="宋体"/>
          <w:b/>
          <w:spacing w:val="-6"/>
          <w:sz w:val="24"/>
        </w:rPr>
        <w:t>第三条：执行技术标准：</w:t>
      </w:r>
      <w:r>
        <w:rPr>
          <w:rFonts w:hint="eastAsia" w:ascii="宋体" w:hAnsi="宋体" w:cs="宋体"/>
          <w:bCs/>
          <w:spacing w:val="-6"/>
          <w:sz w:val="24"/>
        </w:rPr>
        <w:t>提交成果必须符合国家相关规程和规范要求</w:t>
      </w:r>
    </w:p>
    <w:p>
      <w:pPr>
        <w:snapToGrid w:val="0"/>
        <w:spacing w:line="360" w:lineRule="auto"/>
        <w:rPr>
          <w:rFonts w:ascii="宋体" w:hAnsi="宋体" w:cs="宋体"/>
          <w:b/>
          <w:spacing w:val="-6"/>
          <w:sz w:val="24"/>
        </w:rPr>
      </w:pPr>
      <w:r>
        <w:rPr>
          <w:rFonts w:hint="eastAsia" w:ascii="宋体" w:hAnsi="宋体" w:cs="宋体"/>
          <w:b/>
          <w:spacing w:val="-6"/>
          <w:sz w:val="24"/>
        </w:rPr>
        <w:t>第四条：付款方式：</w:t>
      </w:r>
    </w:p>
    <w:p>
      <w:pPr>
        <w:spacing w:line="360" w:lineRule="auto"/>
        <w:ind w:firstLine="798" w:firstLineChars="350"/>
        <w:rPr>
          <w:rFonts w:ascii="宋体" w:hAnsi="宋体" w:cs="宋体"/>
          <w:spacing w:val="-6"/>
          <w:sz w:val="24"/>
        </w:rPr>
      </w:pPr>
      <w:r>
        <w:rPr>
          <w:rFonts w:hint="eastAsia" w:ascii="宋体" w:hAnsi="宋体" w:cs="宋体"/>
          <w:spacing w:val="-6"/>
          <w:sz w:val="24"/>
        </w:rPr>
        <w:t xml:space="preserve">  </w:t>
      </w:r>
    </w:p>
    <w:p>
      <w:pPr>
        <w:pStyle w:val="2"/>
      </w:pPr>
    </w:p>
    <w:p/>
    <w:p>
      <w:pPr>
        <w:pStyle w:val="2"/>
      </w:pPr>
    </w:p>
    <w:p>
      <w:pPr>
        <w:autoSpaceDE w:val="0"/>
        <w:spacing w:line="360" w:lineRule="auto"/>
        <w:ind w:firstLine="480" w:firstLineChars="200"/>
        <w:rPr>
          <w:rFonts w:ascii="宋体" w:hAnsi="宋体" w:cs="宋体"/>
          <w:kern w:val="0"/>
          <w:sz w:val="24"/>
        </w:rPr>
      </w:pPr>
      <w:r>
        <w:rPr>
          <w:rFonts w:hint="eastAsia" w:ascii="宋体" w:hAnsi="宋体" w:cs="宋体"/>
          <w:kern w:val="0"/>
          <w:sz w:val="24"/>
        </w:rPr>
        <w:t>乙方开户行名称：_____________________</w:t>
      </w:r>
    </w:p>
    <w:p>
      <w:pPr>
        <w:topLinePunct/>
        <w:spacing w:line="360" w:lineRule="auto"/>
        <w:ind w:firstLine="480" w:firstLineChars="200"/>
        <w:rPr>
          <w:rFonts w:ascii="宋体" w:hAnsi="宋体" w:cs="宋体"/>
          <w:kern w:val="0"/>
          <w:sz w:val="24"/>
        </w:rPr>
      </w:pPr>
      <w:r>
        <w:rPr>
          <w:rFonts w:hint="eastAsia" w:ascii="宋体" w:hAnsi="宋体" w:cs="宋体"/>
          <w:kern w:val="0"/>
          <w:sz w:val="24"/>
        </w:rPr>
        <w:t>开户行账号：_________________________</w:t>
      </w:r>
    </w:p>
    <w:p>
      <w:pPr>
        <w:autoSpaceDE w:val="0"/>
        <w:spacing w:line="360" w:lineRule="auto"/>
        <w:rPr>
          <w:rFonts w:ascii="宋体" w:hAnsi="宋体" w:cs="宋体"/>
          <w:b/>
          <w:sz w:val="24"/>
        </w:rPr>
      </w:pPr>
      <w:r>
        <w:rPr>
          <w:rFonts w:hint="eastAsia" w:ascii="宋体" w:hAnsi="宋体" w:cs="宋体"/>
          <w:b/>
          <w:sz w:val="24"/>
        </w:rPr>
        <w:t>第五条：履约保证金</w:t>
      </w:r>
    </w:p>
    <w:p>
      <w:pPr>
        <w:autoSpaceDE w:val="0"/>
        <w:spacing w:line="360" w:lineRule="auto"/>
        <w:ind w:firstLine="480" w:firstLineChars="200"/>
        <w:rPr>
          <w:rFonts w:ascii="宋体" w:hAnsi="宋体" w:cs="宋体"/>
          <w:b/>
          <w:sz w:val="24"/>
        </w:rPr>
      </w:pPr>
      <w:r>
        <w:rPr>
          <w:rFonts w:hint="eastAsia" w:ascii="宋体" w:hAnsi="宋体"/>
          <w:sz w:val="24"/>
        </w:rPr>
        <w:t>在签订合同前，需向采购方支付中标价2%的履约保证金。</w:t>
      </w:r>
    </w:p>
    <w:p>
      <w:pPr>
        <w:autoSpaceDE w:val="0"/>
        <w:spacing w:line="360" w:lineRule="auto"/>
        <w:rPr>
          <w:rFonts w:ascii="宋体" w:hAnsi="宋体" w:cs="宋体"/>
          <w:b/>
          <w:sz w:val="24"/>
        </w:rPr>
      </w:pPr>
      <w:r>
        <w:rPr>
          <w:rFonts w:hint="eastAsia" w:ascii="宋体" w:hAnsi="宋体" w:cs="宋体"/>
          <w:b/>
          <w:sz w:val="24"/>
        </w:rPr>
        <w:t>第六条：知识产权</w:t>
      </w:r>
    </w:p>
    <w:p>
      <w:pPr>
        <w:autoSpaceDE w:val="0"/>
        <w:spacing w:line="360" w:lineRule="auto"/>
        <w:ind w:firstLine="480" w:firstLineChars="200"/>
        <w:rPr>
          <w:rFonts w:ascii="宋体" w:hAnsi="宋体"/>
          <w:sz w:val="24"/>
        </w:rPr>
      </w:pPr>
      <w:r>
        <w:rPr>
          <w:rFonts w:hint="eastAsia" w:ascii="宋体" w:hAnsi="宋体"/>
          <w:sz w:val="24"/>
        </w:rPr>
        <w:t>乙方应保证提供服务过程中不会侵犯任何第三方的知识产权。</w:t>
      </w:r>
    </w:p>
    <w:p>
      <w:pPr>
        <w:autoSpaceDE w:val="0"/>
        <w:spacing w:line="360" w:lineRule="auto"/>
        <w:rPr>
          <w:rFonts w:ascii="宋体" w:hAnsi="宋体" w:cs="宋体"/>
          <w:b/>
          <w:sz w:val="24"/>
        </w:rPr>
      </w:pPr>
      <w:r>
        <w:rPr>
          <w:rFonts w:hint="eastAsia" w:ascii="宋体" w:hAnsi="宋体" w:cs="宋体"/>
          <w:b/>
          <w:sz w:val="24"/>
        </w:rPr>
        <w:t>第七条：转包或分包</w:t>
      </w:r>
    </w:p>
    <w:p>
      <w:pPr>
        <w:autoSpaceDE w:val="0"/>
        <w:spacing w:line="360" w:lineRule="auto"/>
        <w:ind w:firstLine="480" w:firstLineChars="200"/>
        <w:rPr>
          <w:rFonts w:ascii="宋体" w:hAnsi="宋体"/>
          <w:sz w:val="24"/>
        </w:rPr>
      </w:pPr>
      <w:r>
        <w:rPr>
          <w:rFonts w:hint="eastAsia" w:ascii="宋体" w:hAnsi="宋体"/>
          <w:sz w:val="24"/>
        </w:rPr>
        <w:t>1.本合同范围的服务，应由乙方直接供应，不得转让他人供应；</w:t>
      </w:r>
    </w:p>
    <w:p>
      <w:pPr>
        <w:autoSpaceDE w:val="0"/>
        <w:spacing w:line="360" w:lineRule="auto"/>
        <w:ind w:firstLine="480" w:firstLineChars="200"/>
        <w:rPr>
          <w:rFonts w:ascii="宋体" w:hAnsi="宋体"/>
          <w:sz w:val="24"/>
        </w:rPr>
      </w:pPr>
      <w:r>
        <w:rPr>
          <w:rFonts w:hint="eastAsia" w:ascii="宋体" w:hAnsi="宋体"/>
          <w:sz w:val="24"/>
        </w:rPr>
        <w:t>2.除非得到甲方的书面同意，乙方不得将本合同范围的服务全部或部分分包给他人供应；</w:t>
      </w:r>
    </w:p>
    <w:p>
      <w:pPr>
        <w:autoSpaceDE w:val="0"/>
        <w:spacing w:line="360" w:lineRule="auto"/>
        <w:ind w:firstLine="480" w:firstLineChars="200"/>
        <w:rPr>
          <w:rFonts w:ascii="宋体" w:hAnsi="宋体"/>
          <w:sz w:val="24"/>
        </w:rPr>
      </w:pPr>
      <w:r>
        <w:rPr>
          <w:rFonts w:hint="eastAsia" w:ascii="宋体" w:hAnsi="宋体"/>
          <w:sz w:val="24"/>
        </w:rPr>
        <w:t>3.如有转让和未经甲方同意的分包行为，甲方有权解除合同，没收履约保证金并追究乙方的违约责任。</w:t>
      </w:r>
    </w:p>
    <w:p>
      <w:pPr>
        <w:spacing w:line="360" w:lineRule="auto"/>
        <w:rPr>
          <w:rFonts w:ascii="宋体" w:hAnsi="宋体" w:cs="宋体"/>
          <w:b/>
          <w:bCs/>
          <w:sz w:val="24"/>
        </w:rPr>
      </w:pPr>
      <w:r>
        <w:rPr>
          <w:rFonts w:hint="eastAsia" w:ascii="宋体" w:hAnsi="宋体" w:cs="宋体"/>
          <w:b/>
          <w:sz w:val="24"/>
        </w:rPr>
        <w:t>第八条：</w:t>
      </w:r>
      <w:r>
        <w:rPr>
          <w:rFonts w:hint="eastAsia" w:ascii="宋体" w:hAnsi="宋体" w:cs="宋体"/>
          <w:b/>
          <w:bCs/>
          <w:sz w:val="24"/>
        </w:rPr>
        <w:t>税费</w:t>
      </w:r>
    </w:p>
    <w:p>
      <w:pPr>
        <w:autoSpaceDE w:val="0"/>
        <w:spacing w:line="360" w:lineRule="auto"/>
        <w:ind w:firstLine="480" w:firstLineChars="200"/>
        <w:rPr>
          <w:rFonts w:ascii="宋体" w:hAnsi="宋体"/>
          <w:sz w:val="24"/>
        </w:rPr>
      </w:pPr>
      <w:r>
        <w:rPr>
          <w:rFonts w:hint="eastAsia" w:ascii="宋体" w:hAnsi="宋体"/>
          <w:sz w:val="24"/>
        </w:rPr>
        <w:t>本合同执行中相关的一切税费均由乙方负担。</w:t>
      </w:r>
    </w:p>
    <w:p>
      <w:pPr>
        <w:autoSpaceDE w:val="0"/>
        <w:spacing w:line="360" w:lineRule="auto"/>
        <w:rPr>
          <w:rFonts w:ascii="宋体" w:hAnsi="宋体" w:cs="宋体"/>
          <w:b/>
          <w:sz w:val="24"/>
        </w:rPr>
      </w:pPr>
      <w:r>
        <w:rPr>
          <w:rFonts w:hint="eastAsia" w:ascii="宋体" w:hAnsi="宋体" w:cs="宋体"/>
          <w:b/>
          <w:sz w:val="24"/>
        </w:rPr>
        <w:t>第九条：验收</w:t>
      </w:r>
    </w:p>
    <w:p>
      <w:pPr>
        <w:autoSpaceDE w:val="0"/>
        <w:spacing w:line="360" w:lineRule="auto"/>
        <w:ind w:firstLine="480" w:firstLineChars="200"/>
        <w:rPr>
          <w:rFonts w:ascii="宋体" w:hAnsi="宋体"/>
          <w:sz w:val="24"/>
        </w:rPr>
      </w:pPr>
      <w:r>
        <w:rPr>
          <w:rFonts w:hint="eastAsia" w:ascii="宋体" w:hAnsi="宋体"/>
          <w:sz w:val="24"/>
        </w:rPr>
        <w:t>1、验收按国家有关的规定、规范进行。</w:t>
      </w:r>
    </w:p>
    <w:p>
      <w:pPr>
        <w:autoSpaceDE w:val="0"/>
        <w:spacing w:line="360" w:lineRule="auto"/>
        <w:ind w:firstLine="480" w:firstLineChars="200"/>
        <w:rPr>
          <w:rFonts w:ascii="宋体" w:hAnsi="宋体"/>
          <w:sz w:val="24"/>
        </w:rPr>
      </w:pPr>
      <w:r>
        <w:rPr>
          <w:rFonts w:hint="eastAsia" w:ascii="宋体" w:hAnsi="宋体"/>
          <w:sz w:val="24"/>
        </w:rPr>
        <w:t>2、验收费用由乙方承担。</w:t>
      </w:r>
    </w:p>
    <w:p>
      <w:pPr>
        <w:autoSpaceDE w:val="0"/>
        <w:spacing w:line="360" w:lineRule="auto"/>
        <w:rPr>
          <w:rFonts w:ascii="宋体" w:hAnsi="宋体" w:cs="宋体"/>
          <w:b/>
          <w:sz w:val="24"/>
        </w:rPr>
      </w:pPr>
      <w:r>
        <w:rPr>
          <w:rFonts w:hint="eastAsia" w:ascii="宋体" w:hAnsi="宋体" w:cs="宋体"/>
          <w:b/>
          <w:sz w:val="24"/>
        </w:rPr>
        <w:t>第十条：售后服务</w:t>
      </w:r>
    </w:p>
    <w:p>
      <w:pPr>
        <w:autoSpaceDE w:val="0"/>
        <w:spacing w:line="360" w:lineRule="auto"/>
        <w:ind w:firstLine="480" w:firstLineChars="200"/>
        <w:rPr>
          <w:rFonts w:ascii="宋体" w:hAnsi="宋体" w:cs="宋体"/>
          <w:b/>
          <w:sz w:val="24"/>
        </w:rPr>
      </w:pPr>
      <w:r>
        <w:rPr>
          <w:rFonts w:hint="eastAsia" w:ascii="宋体" w:hAnsi="宋体"/>
          <w:sz w:val="24"/>
        </w:rPr>
        <w:t xml:space="preserve">在服务质保期内，乙方应该确保服务范围内的质量标准符合本招标文件要求。当出现问题时，投标人应承诺在小时内响应并提出解决方案，小时之内到现场对存在问题进行处理，并提出相应措施。                                             </w:t>
      </w:r>
    </w:p>
    <w:p>
      <w:pPr>
        <w:autoSpaceDE w:val="0"/>
        <w:spacing w:line="360" w:lineRule="auto"/>
        <w:jc w:val="left"/>
        <w:rPr>
          <w:rFonts w:ascii="宋体" w:hAnsi="宋体" w:cs="宋体"/>
          <w:bCs/>
          <w:kern w:val="0"/>
          <w:sz w:val="24"/>
        </w:rPr>
      </w:pPr>
      <w:r>
        <w:rPr>
          <w:rFonts w:hint="eastAsia" w:ascii="宋体" w:hAnsi="宋体" w:cs="宋体"/>
          <w:b/>
          <w:sz w:val="24"/>
        </w:rPr>
        <w:t>第十一条：</w:t>
      </w:r>
      <w:r>
        <w:rPr>
          <w:rFonts w:hint="eastAsia" w:ascii="宋体" w:hAnsi="宋体" w:cs="宋体"/>
          <w:bCs/>
          <w:kern w:val="0"/>
          <w:sz w:val="24"/>
        </w:rPr>
        <w:t>乙方承担完成本招标项目的一切费用(包括不可预见费用)和市场风险。</w:t>
      </w:r>
    </w:p>
    <w:p>
      <w:pPr>
        <w:autoSpaceDE w:val="0"/>
        <w:spacing w:line="360" w:lineRule="auto"/>
        <w:jc w:val="left"/>
        <w:rPr>
          <w:rFonts w:ascii="仿宋" w:hAnsi="仿宋" w:eastAsia="仿宋"/>
          <w:sz w:val="24"/>
          <w:u w:val="single"/>
        </w:rPr>
      </w:pPr>
      <w:r>
        <w:rPr>
          <w:rFonts w:hint="eastAsia" w:ascii="宋体" w:hAnsi="宋体" w:cs="宋体"/>
          <w:b/>
          <w:sz w:val="24"/>
        </w:rPr>
        <w:t xml:space="preserve">第十二条：其他约定：              </w:t>
      </w:r>
    </w:p>
    <w:p>
      <w:pPr>
        <w:spacing w:line="360" w:lineRule="auto"/>
        <w:rPr>
          <w:rFonts w:ascii="宋体" w:hAnsi="宋体" w:cs="宋体"/>
          <w:b/>
          <w:bCs/>
          <w:sz w:val="24"/>
        </w:rPr>
      </w:pPr>
      <w:r>
        <w:rPr>
          <w:rFonts w:hint="eastAsia" w:ascii="宋体" w:hAnsi="宋体" w:cs="宋体"/>
          <w:b/>
          <w:sz w:val="24"/>
        </w:rPr>
        <w:t>第十三条：</w:t>
      </w:r>
      <w:r>
        <w:rPr>
          <w:rFonts w:hint="eastAsia" w:ascii="宋体" w:hAnsi="宋体" w:cs="宋体"/>
          <w:b/>
          <w:bCs/>
          <w:sz w:val="24"/>
          <w:lang w:val="zh-CN"/>
        </w:rPr>
        <w:t>甲方的责任与义务</w:t>
      </w:r>
    </w:p>
    <w:p>
      <w:pPr>
        <w:autoSpaceDE w:val="0"/>
        <w:spacing w:line="360" w:lineRule="auto"/>
        <w:ind w:firstLine="480" w:firstLineChars="200"/>
        <w:rPr>
          <w:rFonts w:ascii="宋体" w:hAnsi="宋体"/>
          <w:sz w:val="24"/>
        </w:rPr>
      </w:pPr>
      <w:r>
        <w:rPr>
          <w:rFonts w:hint="eastAsia" w:ascii="宋体" w:hAnsi="宋体"/>
          <w:sz w:val="24"/>
        </w:rPr>
        <w:t>甲方应当主要负责项目的所有外部关系的联系与协调，为乙方工作提供良好的外部条件。</w:t>
      </w:r>
    </w:p>
    <w:p>
      <w:pPr>
        <w:autoSpaceDE w:val="0"/>
        <w:spacing w:line="360" w:lineRule="auto"/>
        <w:ind w:firstLine="480" w:firstLineChars="200"/>
        <w:rPr>
          <w:rFonts w:ascii="宋体" w:hAnsi="宋体"/>
          <w:sz w:val="24"/>
        </w:rPr>
      </w:pPr>
      <w:r>
        <w:rPr>
          <w:rFonts w:hint="eastAsia" w:ascii="宋体" w:hAnsi="宋体"/>
          <w:sz w:val="24"/>
        </w:rPr>
        <w:t>甲方应当按双方约定的内容和时间，向乙方提供与项目有关的资料。</w:t>
      </w:r>
    </w:p>
    <w:p>
      <w:pPr>
        <w:autoSpaceDE w:val="0"/>
        <w:spacing w:line="360" w:lineRule="auto"/>
        <w:ind w:firstLine="480" w:firstLineChars="200"/>
        <w:rPr>
          <w:rFonts w:ascii="宋体" w:hAnsi="宋体"/>
          <w:sz w:val="24"/>
        </w:rPr>
      </w:pPr>
      <w:r>
        <w:rPr>
          <w:rFonts w:hint="eastAsia" w:ascii="宋体" w:hAnsi="宋体"/>
          <w:sz w:val="24"/>
        </w:rPr>
        <w:t>甲方应授权一名熟悉本项目情况、能迅速做出决定的项目代表，负责与乙方联系。更换代表，要提前通知乙方。</w:t>
      </w:r>
    </w:p>
    <w:p>
      <w:pPr>
        <w:autoSpaceDE w:val="0"/>
        <w:spacing w:line="360" w:lineRule="auto"/>
        <w:ind w:firstLine="480" w:firstLineChars="200"/>
        <w:rPr>
          <w:rFonts w:ascii="宋体" w:hAnsi="宋体"/>
          <w:sz w:val="24"/>
        </w:rPr>
      </w:pPr>
      <w:r>
        <w:rPr>
          <w:rFonts w:hint="eastAsia" w:ascii="宋体" w:hAnsi="宋体"/>
          <w:sz w:val="24"/>
        </w:rPr>
        <w:t>甲方有与乙方订立补充合同的签订权。</w:t>
      </w:r>
    </w:p>
    <w:p>
      <w:pPr>
        <w:spacing w:line="360" w:lineRule="auto"/>
        <w:rPr>
          <w:rFonts w:ascii="宋体" w:hAnsi="宋体" w:cs="宋体"/>
          <w:b/>
          <w:bCs/>
          <w:sz w:val="24"/>
        </w:rPr>
      </w:pPr>
      <w:r>
        <w:rPr>
          <w:rFonts w:hint="eastAsia" w:ascii="宋体" w:hAnsi="宋体" w:cs="宋体"/>
          <w:b/>
          <w:sz w:val="24"/>
        </w:rPr>
        <w:t>第十四条：</w:t>
      </w:r>
      <w:r>
        <w:rPr>
          <w:rFonts w:hint="eastAsia" w:ascii="宋体" w:hAnsi="宋体" w:cs="宋体"/>
          <w:b/>
          <w:bCs/>
          <w:sz w:val="24"/>
          <w:lang w:val="zh-CN"/>
        </w:rPr>
        <w:t>乙方的责任与义务</w:t>
      </w:r>
    </w:p>
    <w:p>
      <w:pPr>
        <w:autoSpaceDE w:val="0"/>
        <w:spacing w:line="360" w:lineRule="auto"/>
        <w:ind w:firstLine="480" w:firstLineChars="200"/>
        <w:rPr>
          <w:rFonts w:ascii="宋体" w:hAnsi="宋体"/>
          <w:sz w:val="24"/>
        </w:rPr>
      </w:pPr>
      <w:r>
        <w:rPr>
          <w:rFonts w:hint="eastAsia" w:ascii="宋体" w:hAnsi="宋体"/>
          <w:sz w:val="24"/>
        </w:rPr>
        <w:t>根据投标文件的承诺向甲方委派项目组人员。</w:t>
      </w:r>
    </w:p>
    <w:p>
      <w:pPr>
        <w:autoSpaceDE w:val="0"/>
        <w:spacing w:line="360" w:lineRule="auto"/>
        <w:ind w:firstLine="480" w:firstLineChars="200"/>
        <w:rPr>
          <w:rFonts w:ascii="宋体" w:hAnsi="宋体"/>
          <w:sz w:val="24"/>
        </w:rPr>
      </w:pPr>
      <w:r>
        <w:rPr>
          <w:rFonts w:hint="eastAsia" w:ascii="宋体" w:hAnsi="宋体"/>
          <w:sz w:val="24"/>
        </w:rPr>
        <w:t>在履行本合同义务的期间，应运用合理的技能，认真、勤奋的工作。</w:t>
      </w:r>
    </w:p>
    <w:p>
      <w:pPr>
        <w:autoSpaceDE w:val="0"/>
        <w:spacing w:line="360" w:lineRule="auto"/>
        <w:ind w:firstLine="480" w:firstLineChars="200"/>
        <w:rPr>
          <w:rFonts w:ascii="宋体" w:hAnsi="宋体"/>
          <w:sz w:val="24"/>
        </w:rPr>
      </w:pPr>
      <w:r>
        <w:rPr>
          <w:rFonts w:hint="eastAsia" w:ascii="宋体" w:hAnsi="宋体"/>
          <w:sz w:val="24"/>
        </w:rPr>
        <w:t>在本合同期内或合同终止后，未征得有关方同意，不得泄漏与本项目、本合同有关的技术、资料等，不得以任何形式侵害甲方的知识产权。</w:t>
      </w:r>
    </w:p>
    <w:p>
      <w:pPr>
        <w:autoSpaceDE w:val="0"/>
        <w:spacing w:line="360" w:lineRule="auto"/>
        <w:ind w:firstLine="480" w:firstLineChars="200"/>
        <w:rPr>
          <w:rFonts w:ascii="宋体" w:hAnsi="宋体"/>
          <w:sz w:val="24"/>
        </w:rPr>
      </w:pPr>
      <w:r>
        <w:rPr>
          <w:rFonts w:hint="eastAsia" w:ascii="宋体" w:hAnsi="宋体"/>
          <w:sz w:val="24"/>
        </w:rPr>
        <w:t>负责处理好与相关项目实施单位的协调工作。</w:t>
      </w:r>
    </w:p>
    <w:p>
      <w:pPr>
        <w:spacing w:line="360" w:lineRule="auto"/>
        <w:rPr>
          <w:rFonts w:ascii="宋体" w:hAnsi="宋体" w:cs="宋体"/>
          <w:b/>
          <w:sz w:val="24"/>
        </w:rPr>
      </w:pPr>
      <w:r>
        <w:rPr>
          <w:rFonts w:hint="eastAsia" w:ascii="宋体" w:hAnsi="宋体" w:cs="宋体"/>
          <w:b/>
          <w:sz w:val="24"/>
        </w:rPr>
        <w:t>第十五条  违约责任</w:t>
      </w:r>
    </w:p>
    <w:p>
      <w:pPr>
        <w:autoSpaceDE w:val="0"/>
        <w:spacing w:line="360" w:lineRule="auto"/>
        <w:ind w:firstLine="480" w:firstLineChars="200"/>
        <w:rPr>
          <w:rFonts w:ascii="宋体" w:hAnsi="宋体"/>
          <w:sz w:val="24"/>
        </w:rPr>
      </w:pPr>
      <w:r>
        <w:rPr>
          <w:rFonts w:hint="eastAsia" w:ascii="宋体" w:hAnsi="宋体"/>
          <w:sz w:val="24"/>
        </w:rPr>
        <w:t>1、由于乙方原因(除不可抗力外)不能按期交付合同标的，对超出交付期的每一天，乙方应按1000元/天承担违约金，在合同款支付时一次性扣除。若超出交付期十天(含十天)以上的，甲方有权终止合同，质量保证金不予退还。</w:t>
      </w:r>
    </w:p>
    <w:p>
      <w:pPr>
        <w:autoSpaceDE w:val="0"/>
        <w:spacing w:line="360" w:lineRule="auto"/>
        <w:ind w:firstLine="480" w:firstLineChars="200"/>
        <w:rPr>
          <w:rFonts w:ascii="宋体" w:hAnsi="宋体"/>
          <w:sz w:val="24"/>
        </w:rPr>
      </w:pPr>
      <w:r>
        <w:rPr>
          <w:rFonts w:hint="eastAsia" w:ascii="宋体" w:hAnsi="宋体"/>
          <w:sz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千分之五的违约金。</w:t>
      </w:r>
    </w:p>
    <w:p>
      <w:pPr>
        <w:autoSpaceDE w:val="0"/>
        <w:spacing w:line="360" w:lineRule="auto"/>
        <w:ind w:firstLine="480" w:firstLineChars="200"/>
        <w:rPr>
          <w:rFonts w:ascii="宋体" w:hAnsi="宋体"/>
          <w:sz w:val="24"/>
        </w:rPr>
      </w:pPr>
      <w:r>
        <w:rPr>
          <w:rFonts w:hint="eastAsia" w:ascii="宋体" w:hAnsi="宋体"/>
          <w:sz w:val="24"/>
        </w:rPr>
        <w:t>3、由于乙方原因导致甲方有重大损失的，责任由乙方承担，并依法追究其经济责任和法律责任。</w:t>
      </w:r>
    </w:p>
    <w:p>
      <w:pPr>
        <w:autoSpaceDE w:val="0"/>
        <w:spacing w:line="360" w:lineRule="auto"/>
        <w:jc w:val="left"/>
        <w:rPr>
          <w:rFonts w:ascii="宋体" w:hAnsi="宋体" w:cs="宋体"/>
          <w:b/>
          <w:sz w:val="24"/>
        </w:rPr>
      </w:pPr>
      <w:r>
        <w:rPr>
          <w:rFonts w:hint="eastAsia" w:ascii="宋体" w:hAnsi="宋体" w:cs="宋体"/>
          <w:b/>
          <w:sz w:val="24"/>
        </w:rPr>
        <w:t>第十六条：不可抗力事件处理</w:t>
      </w:r>
    </w:p>
    <w:p>
      <w:pPr>
        <w:autoSpaceDE w:val="0"/>
        <w:spacing w:line="360" w:lineRule="auto"/>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pPr>
        <w:autoSpaceDE w:val="0"/>
        <w:spacing w:line="360" w:lineRule="auto"/>
        <w:ind w:firstLine="480" w:firstLineChars="200"/>
        <w:rPr>
          <w:rFonts w:ascii="宋体" w:hAnsi="宋体"/>
          <w:sz w:val="24"/>
        </w:rPr>
      </w:pPr>
      <w:r>
        <w:rPr>
          <w:rFonts w:hint="eastAsia" w:ascii="宋体" w:hAnsi="宋体"/>
          <w:sz w:val="24"/>
        </w:rPr>
        <w:t>2．不可抗力事件发生后，应立即通知对方，并寄送有关权威机构出具的证明。</w:t>
      </w:r>
    </w:p>
    <w:p>
      <w:pPr>
        <w:autoSpaceDE w:val="0"/>
        <w:spacing w:line="360" w:lineRule="auto"/>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pPr>
        <w:autoSpaceDE w:val="0"/>
        <w:spacing w:line="360" w:lineRule="auto"/>
        <w:jc w:val="left"/>
        <w:rPr>
          <w:rFonts w:ascii="宋体" w:hAnsi="宋体" w:cs="宋体"/>
          <w:b/>
          <w:sz w:val="24"/>
        </w:rPr>
      </w:pPr>
      <w:r>
        <w:rPr>
          <w:rFonts w:hint="eastAsia" w:ascii="宋体" w:hAnsi="宋体" w:cs="宋体"/>
          <w:b/>
          <w:sz w:val="24"/>
        </w:rPr>
        <w:t>第十七条：争议的解决</w:t>
      </w:r>
    </w:p>
    <w:p>
      <w:pPr>
        <w:autoSpaceDE w:val="0"/>
        <w:spacing w:line="360" w:lineRule="auto"/>
        <w:ind w:firstLine="480" w:firstLineChars="200"/>
        <w:rPr>
          <w:rFonts w:ascii="宋体" w:hAnsi="宋体"/>
          <w:sz w:val="24"/>
        </w:rPr>
      </w:pPr>
      <w:r>
        <w:rPr>
          <w:rFonts w:hint="eastAsia" w:ascii="宋体" w:hAnsi="宋体"/>
          <w:sz w:val="24"/>
        </w:rPr>
        <w:t>1．因质量问题发生争议的，由甲方委托有关技术部门进行质量鉴定，该鉴定的结论甲乙双方应当接受，各方均有权直接向对方索赔，并签订书面处理协议书，报相关部门备案。</w:t>
      </w:r>
    </w:p>
    <w:p>
      <w:pPr>
        <w:autoSpaceDE w:val="0"/>
        <w:spacing w:line="360" w:lineRule="auto"/>
        <w:ind w:firstLine="480" w:firstLineChars="200"/>
        <w:rPr>
          <w:rFonts w:ascii="宋体" w:hAnsi="宋体"/>
          <w:sz w:val="24"/>
        </w:rPr>
      </w:pPr>
      <w:r>
        <w:rPr>
          <w:rFonts w:hint="eastAsia" w:ascii="宋体" w:hAnsi="宋体"/>
          <w:sz w:val="24"/>
        </w:rPr>
        <w:t>2．双方无法通过协商解决合同争议的，任何一方有权向甲方所在地经济仲裁机构提请仲裁或向人民法院提起诉讼。</w:t>
      </w:r>
    </w:p>
    <w:p>
      <w:pPr>
        <w:snapToGrid w:val="0"/>
        <w:spacing w:line="360" w:lineRule="auto"/>
        <w:ind w:right="-514" w:rightChars="-245" w:firstLine="229" w:firstLineChars="100"/>
        <w:rPr>
          <w:rFonts w:ascii="宋体" w:hAnsi="宋体" w:cs="宋体"/>
          <w:b/>
          <w:spacing w:val="-6"/>
          <w:sz w:val="24"/>
        </w:rPr>
      </w:pPr>
      <w:r>
        <w:rPr>
          <w:rFonts w:hint="eastAsia" w:ascii="宋体" w:hAnsi="宋体" w:cs="宋体"/>
          <w:b/>
          <w:spacing w:val="-6"/>
          <w:sz w:val="24"/>
        </w:rPr>
        <w:t>第十八条：合同生效</w:t>
      </w:r>
    </w:p>
    <w:p>
      <w:pPr>
        <w:snapToGrid w:val="0"/>
        <w:spacing w:line="360" w:lineRule="auto"/>
        <w:ind w:right="23" w:rightChars="11" w:firstLine="456" w:firstLineChars="200"/>
        <w:rPr>
          <w:rFonts w:ascii="宋体" w:hAnsi="宋体" w:cs="宋体"/>
          <w:spacing w:val="-6"/>
          <w:sz w:val="24"/>
        </w:rPr>
      </w:pPr>
      <w:r>
        <w:rPr>
          <w:rFonts w:hint="eastAsia" w:ascii="宋体" w:hAnsi="宋体" w:cs="宋体"/>
          <w:spacing w:val="-6"/>
          <w:sz w:val="24"/>
        </w:rPr>
        <w:t>1.合同经甲方、乙方法定代表人或授权代表签字并加盖单位公章后生效。</w:t>
      </w:r>
    </w:p>
    <w:p>
      <w:pPr>
        <w:snapToGrid w:val="0"/>
        <w:spacing w:line="360" w:lineRule="auto"/>
        <w:ind w:right="23" w:rightChars="11" w:firstLine="456" w:firstLineChars="200"/>
        <w:rPr>
          <w:rFonts w:ascii="宋体" w:hAnsi="宋体" w:cs="宋体"/>
          <w:spacing w:val="-6"/>
          <w:sz w:val="24"/>
        </w:rPr>
      </w:pPr>
      <w:r>
        <w:rPr>
          <w:rFonts w:hint="eastAsia" w:ascii="宋体" w:hAnsi="宋体" w:cs="宋体"/>
          <w:spacing w:val="-6"/>
          <w:sz w:val="24"/>
        </w:rPr>
        <w:t>2.本合同未尽事宜，遵照《中华人民共和国民法典》有关条文执行。</w:t>
      </w:r>
    </w:p>
    <w:p>
      <w:pPr>
        <w:snapToGrid w:val="0"/>
        <w:spacing w:line="360" w:lineRule="auto"/>
        <w:ind w:right="23" w:rightChars="11" w:firstLine="456" w:firstLineChars="200"/>
        <w:rPr>
          <w:rFonts w:ascii="宋体" w:hAnsi="宋体" w:cs="宋体"/>
          <w:spacing w:val="-6"/>
          <w:sz w:val="24"/>
        </w:rPr>
      </w:pPr>
      <w:r>
        <w:rPr>
          <w:rFonts w:hint="eastAsia" w:ascii="宋体" w:hAnsi="宋体" w:cs="宋体"/>
          <w:spacing w:val="-6"/>
          <w:sz w:val="24"/>
        </w:rPr>
        <w:t>3.本合同一式肆份，甲方、乙方各执贰份。</w:t>
      </w:r>
    </w:p>
    <w:p>
      <w:pPr>
        <w:snapToGrid w:val="0"/>
        <w:spacing w:line="360" w:lineRule="auto"/>
        <w:ind w:right="23" w:rightChars="11" w:firstLine="456" w:firstLineChars="200"/>
        <w:rPr>
          <w:rFonts w:ascii="宋体" w:hAnsi="宋体" w:cs="宋体"/>
          <w:spacing w:val="-6"/>
          <w:sz w:val="24"/>
        </w:rPr>
      </w:pPr>
      <w:r>
        <w:rPr>
          <w:rFonts w:hint="eastAsia" w:ascii="宋体" w:hAnsi="宋体" w:cs="宋体"/>
          <w:spacing w:val="-6"/>
          <w:sz w:val="24"/>
        </w:rPr>
        <w:t>4.相关招投标文件、询标承诺、产品配置清单等与本合同具有同等法律效力。</w:t>
      </w:r>
    </w:p>
    <w:p>
      <w:pPr>
        <w:snapToGrid w:val="0"/>
        <w:spacing w:line="360" w:lineRule="auto"/>
        <w:ind w:right="23" w:rightChars="11" w:firstLine="456" w:firstLineChars="200"/>
        <w:rPr>
          <w:rFonts w:ascii="宋体" w:hAnsi="宋体" w:cs="宋体"/>
          <w:spacing w:val="-6"/>
          <w:sz w:val="24"/>
        </w:rPr>
      </w:pPr>
      <w:r>
        <w:rPr>
          <w:rFonts w:hint="eastAsia" w:ascii="宋体" w:hAnsi="宋体" w:cs="宋体"/>
          <w:spacing w:val="-6"/>
          <w:sz w:val="24"/>
        </w:rPr>
        <w:t>甲方（公章）：                       乙方（公章）：</w:t>
      </w:r>
    </w:p>
    <w:p>
      <w:pPr>
        <w:snapToGrid w:val="0"/>
        <w:spacing w:line="360" w:lineRule="auto"/>
        <w:ind w:right="23" w:rightChars="11" w:firstLine="456" w:firstLineChars="200"/>
        <w:rPr>
          <w:rFonts w:ascii="宋体" w:hAnsi="宋体" w:cs="宋体"/>
          <w:spacing w:val="-6"/>
          <w:sz w:val="24"/>
        </w:rPr>
      </w:pPr>
      <w:r>
        <w:rPr>
          <w:rFonts w:hint="eastAsia" w:ascii="宋体" w:hAnsi="宋体" w:cs="宋体"/>
          <w:spacing w:val="-6"/>
          <w:sz w:val="24"/>
        </w:rPr>
        <w:t>法定代表人或受委托人（签字或盖章）   法定代表人或受委托人（签字或盖章）</w:t>
      </w:r>
    </w:p>
    <w:p>
      <w:pPr>
        <w:snapToGrid w:val="0"/>
        <w:spacing w:line="360" w:lineRule="auto"/>
        <w:ind w:right="23" w:rightChars="11" w:firstLine="456" w:firstLineChars="200"/>
        <w:rPr>
          <w:rFonts w:ascii="宋体" w:hAnsi="宋体" w:cs="宋体"/>
          <w:spacing w:val="-6"/>
          <w:sz w:val="24"/>
        </w:rPr>
      </w:pPr>
      <w:r>
        <w:rPr>
          <w:rFonts w:hint="eastAsia" w:ascii="宋体" w:hAnsi="宋体" w:cs="宋体"/>
          <w:spacing w:val="-6"/>
          <w:sz w:val="24"/>
        </w:rPr>
        <w:t>地址：                               地址：</w:t>
      </w:r>
    </w:p>
    <w:p>
      <w:pPr>
        <w:snapToGrid w:val="0"/>
        <w:spacing w:line="360" w:lineRule="auto"/>
        <w:ind w:right="23" w:rightChars="11" w:firstLine="456" w:firstLineChars="200"/>
        <w:rPr>
          <w:rFonts w:ascii="宋体" w:hAnsi="宋体" w:cs="宋体"/>
          <w:spacing w:val="-6"/>
          <w:sz w:val="24"/>
        </w:rPr>
      </w:pPr>
      <w:r>
        <w:rPr>
          <w:rFonts w:hint="eastAsia" w:ascii="宋体" w:hAnsi="宋体" w:cs="宋体"/>
          <w:spacing w:val="-6"/>
          <w:sz w:val="24"/>
        </w:rPr>
        <w:t>电话：                               电话：</w:t>
      </w:r>
    </w:p>
    <w:p>
      <w:pPr>
        <w:snapToGrid w:val="0"/>
        <w:spacing w:line="360" w:lineRule="auto"/>
        <w:ind w:right="23" w:rightChars="11" w:firstLine="456" w:firstLineChars="200"/>
        <w:jc w:val="right"/>
        <w:rPr>
          <w:rFonts w:ascii="宋体" w:hAnsi="宋体" w:cs="宋体"/>
          <w:spacing w:val="-6"/>
          <w:sz w:val="24"/>
        </w:rPr>
      </w:pPr>
      <w:r>
        <w:rPr>
          <w:rFonts w:hint="eastAsia" w:ascii="宋体" w:hAnsi="宋体" w:cs="宋体"/>
          <w:spacing w:val="-6"/>
          <w:sz w:val="24"/>
        </w:rPr>
        <w:t>签约时间：    年  月  日</w:t>
      </w:r>
    </w:p>
    <w:p>
      <w:pPr>
        <w:widowControl/>
        <w:overflowPunct w:val="0"/>
        <w:autoSpaceDE w:val="0"/>
        <w:autoSpaceDN w:val="0"/>
        <w:snapToGrid w:val="0"/>
        <w:spacing w:before="156" w:line="440" w:lineRule="exact"/>
        <w:jc w:val="left"/>
        <w:textAlignment w:val="baseline"/>
        <w:rPr>
          <w:rFonts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1"/>
      <w:bookmarkEnd w:id="392"/>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sz w:val="24"/>
        </w:rPr>
      </w:pPr>
    </w:p>
    <w:p>
      <w:pPr>
        <w:widowControl/>
        <w:spacing w:line="360" w:lineRule="auto"/>
        <w:ind w:left="150"/>
        <w:jc w:val="center"/>
        <w:rPr>
          <w:rFonts w:ascii="宋体" w:hAnsi="宋体" w:cs="宋体"/>
          <w:b/>
          <w:kern w:val="0"/>
          <w:sz w:val="32"/>
          <w:szCs w:val="32"/>
        </w:rPr>
      </w:pPr>
    </w:p>
    <w:p>
      <w:pPr>
        <w:pStyle w:val="25"/>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ind w:left="210" w:leftChars="100" w:firstLine="480" w:firstLineChars="200"/>
        <w:rPr>
          <w:rFonts w:ascii="宋体" w:hAnsi="宋体" w:cs="宋体"/>
          <w:sz w:val="24"/>
        </w:rPr>
      </w:pPr>
      <w:r>
        <w:rPr>
          <w:rFonts w:hint="eastAsia" w:ascii="宋体" w:hAnsi="宋体" w:cs="宋体"/>
          <w:sz w:val="24"/>
        </w:rPr>
        <w:t>2.1资格文件：</w:t>
      </w:r>
    </w:p>
    <w:p>
      <w:pPr>
        <w:snapToGrid w:val="0"/>
        <w:ind w:left="420" w:leftChars="200" w:firstLine="480" w:firstLineChars="200"/>
        <w:rPr>
          <w:rFonts w:ascii="宋体" w:hAnsi="宋体" w:cs="宋体"/>
          <w:sz w:val="24"/>
        </w:rPr>
      </w:pPr>
      <w:r>
        <w:rPr>
          <w:rFonts w:hint="eastAsia" w:ascii="宋体" w:hAnsi="宋体" w:cs="宋体"/>
          <w:sz w:val="24"/>
        </w:rPr>
        <w:t>2.1.1承诺函；</w:t>
      </w:r>
    </w:p>
    <w:p>
      <w:pPr>
        <w:snapToGrid w:val="0"/>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ind w:left="420" w:leftChars="200" w:firstLine="480" w:firstLineChars="200"/>
        <w:rPr>
          <w:rFonts w:ascii="宋体" w:hAnsi="宋体" w:cs="宋体"/>
          <w:sz w:val="24"/>
        </w:rPr>
      </w:pPr>
      <w:r>
        <w:rPr>
          <w:rFonts w:hint="eastAsia" w:ascii="宋体" w:hAnsi="宋体" w:cs="宋体"/>
          <w:sz w:val="24"/>
        </w:rPr>
        <w:t>2.2.1投标函；</w:t>
      </w:r>
    </w:p>
    <w:p>
      <w:pPr>
        <w:snapToGrid w:val="0"/>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ind w:left="420" w:leftChars="200" w:firstLine="480" w:firstLineChars="200"/>
        <w:rPr>
          <w:rFonts w:ascii="宋体" w:hAnsi="宋体" w:cs="宋体"/>
          <w:sz w:val="24"/>
        </w:rPr>
      </w:pPr>
      <w:r>
        <w:rPr>
          <w:rFonts w:hint="eastAsia" w:ascii="宋体" w:hAnsi="宋体" w:cs="宋体"/>
          <w:sz w:val="24"/>
        </w:rPr>
        <w:t>2.2.3符合性审查资料；</w:t>
      </w:r>
    </w:p>
    <w:p>
      <w:pPr>
        <w:snapToGrid w:val="0"/>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ind w:left="420" w:leftChars="200" w:firstLine="480" w:firstLineChars="200"/>
        <w:rPr>
          <w:rFonts w:ascii="宋体" w:hAnsi="宋体" w:cs="宋体"/>
          <w:sz w:val="24"/>
        </w:rPr>
      </w:pPr>
      <w:r>
        <w:rPr>
          <w:rFonts w:hint="eastAsia" w:ascii="宋体" w:hAnsi="宋体" w:cs="宋体"/>
          <w:sz w:val="24"/>
        </w:rPr>
        <w:t>2.2.5商务技术偏离表；</w:t>
      </w:r>
    </w:p>
    <w:p>
      <w:pPr>
        <w:snapToGrid w:val="0"/>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ind w:left="420" w:leftChars="200" w:firstLine="480" w:firstLineChars="200"/>
        <w:rPr>
          <w:rFonts w:ascii="宋体" w:hAnsi="宋体" w:cs="宋体"/>
          <w:sz w:val="24"/>
        </w:rPr>
      </w:pPr>
      <w:r>
        <w:rPr>
          <w:rFonts w:hint="eastAsia" w:ascii="宋体" w:hAnsi="宋体" w:cs="宋体"/>
          <w:sz w:val="24"/>
        </w:rPr>
        <w:t>2.3.1开标一览表（报价表）；</w:t>
      </w:r>
    </w:p>
    <w:p>
      <w:pPr>
        <w:snapToGrid w:val="0"/>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jc w:val="center"/>
        <w:rPr>
          <w:rFonts w:ascii="宋体" w:hAnsi="宋体" w:cs="宋体"/>
        </w:rPr>
      </w:pPr>
      <w:r>
        <w:rPr>
          <w:rFonts w:hint="eastAsia" w:ascii="宋体" w:hAnsi="宋体" w:cs="宋体"/>
          <w:b/>
          <w:kern w:val="0"/>
          <w:sz w:val="32"/>
          <w:szCs w:val="32"/>
          <w:lang w:val="zh-CN"/>
        </w:rPr>
        <w:t>授权委托书</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kern w:val="0"/>
          <w:sz w:val="24"/>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2"/>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jc w:val="cente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rPr>
                <w:rFonts w:ascii="宋体" w:hAnsi="宋体" w:cs="宋体"/>
                <w:sz w:val="24"/>
              </w:rPr>
            </w:pPr>
            <w:r>
              <w:rPr>
                <w:rFonts w:hint="eastAsia" w:ascii="宋体" w:hAnsi="宋体" w:cs="宋体"/>
                <w:sz w:val="24"/>
              </w:rPr>
              <w:t>见投标文件</w:t>
            </w:r>
          </w:p>
          <w:p>
            <w:pPr>
              <w:jc w:val="cente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spacing w:line="360" w:lineRule="auto"/>
              <w:jc w:val="center"/>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见投标文件</w:t>
            </w:r>
          </w:p>
          <w:p>
            <w:pPr>
              <w:pStyle w:val="4"/>
              <w:jc w:val="center"/>
              <w:rPr>
                <w:rFonts w:ascii="宋体" w:hAnsi="宋体" w:eastAsia="宋体" w:cs="宋体"/>
                <w:lang w:val="en-US"/>
              </w:rPr>
            </w:pPr>
            <w:r>
              <w:rPr>
                <w:rFonts w:hint="eastAsia" w:ascii="宋体" w:hAnsi="宋体" w:eastAsia="宋体" w:cs="宋体"/>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jc w:val="center"/>
              <w:rPr>
                <w:rFonts w:ascii="宋体" w:hAnsi="宋体" w:cs="宋体"/>
                <w:sz w:val="24"/>
              </w:rPr>
            </w:pPr>
            <w:r>
              <w:rPr>
                <w:rFonts w:hint="eastAsia" w:ascii="宋体" w:hAnsi="宋体" w:cs="宋体"/>
                <w:sz w:val="24"/>
              </w:rPr>
              <w:t>投标函</w:t>
            </w:r>
          </w:p>
        </w:tc>
        <w:tc>
          <w:tcPr>
            <w:tcW w:w="1418" w:type="dxa"/>
            <w:vAlign w:val="center"/>
          </w:tcPr>
          <w:p>
            <w:pPr>
              <w:jc w:val="cente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jc w:val="cente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pPr>
              <w:jc w:val="center"/>
              <w:rPr>
                <w:rFonts w:ascii="宋体" w:hAnsi="宋体" w:cs="宋体"/>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jc w:val="center"/>
        <w:rPr>
          <w:rFonts w:ascii="宋体" w:hAnsi="宋体" w:cs="宋体"/>
          <w:b/>
          <w:bCs/>
          <w:sz w:val="32"/>
          <w:szCs w:val="32"/>
        </w:rPr>
      </w:pPr>
    </w:p>
    <w:p>
      <w:pPr>
        <w:ind w:firstLine="2891" w:firstLineChars="900"/>
        <w:jc w:val="center"/>
        <w:rPr>
          <w:rFonts w:ascii="宋体" w:hAnsi="宋体" w:cs="宋体"/>
          <w:b/>
          <w:bCs/>
          <w:sz w:val="32"/>
          <w:szCs w:val="32"/>
        </w:rPr>
      </w:pPr>
    </w:p>
    <w:p>
      <w:pPr>
        <w:ind w:firstLine="2891" w:firstLineChars="900"/>
        <w:jc w:val="center"/>
        <w:rPr>
          <w:rFonts w:ascii="宋体" w:hAnsi="宋体" w:cs="宋体"/>
          <w:b/>
          <w:bCs/>
          <w:sz w:val="32"/>
          <w:szCs w:val="32"/>
        </w:rPr>
      </w:pPr>
    </w:p>
    <w:p>
      <w:pPr>
        <w:ind w:firstLine="2891" w:firstLineChars="900"/>
        <w:jc w:val="center"/>
        <w:rPr>
          <w:rFonts w:ascii="宋体" w:hAnsi="宋体" w:cs="宋体"/>
          <w:b/>
          <w:bCs/>
          <w:sz w:val="32"/>
          <w:szCs w:val="32"/>
        </w:rPr>
      </w:pPr>
    </w:p>
    <w:p>
      <w:pPr>
        <w:ind w:firstLine="2891" w:firstLineChars="900"/>
        <w:jc w:val="center"/>
        <w:rPr>
          <w:rFonts w:ascii="宋体" w:hAnsi="宋体" w:cs="宋体"/>
          <w:b/>
          <w:bCs/>
          <w:sz w:val="32"/>
          <w:szCs w:val="32"/>
        </w:rPr>
      </w:pPr>
    </w:p>
    <w:p>
      <w:pPr>
        <w:ind w:firstLine="2891" w:firstLineChars="900"/>
        <w:jc w:val="center"/>
        <w:rPr>
          <w:rFonts w:ascii="宋体" w:hAnsi="宋体" w:cs="宋体"/>
          <w:b/>
          <w:bCs/>
          <w:sz w:val="32"/>
          <w:szCs w:val="32"/>
        </w:rPr>
      </w:pPr>
    </w:p>
    <w:p>
      <w:pPr>
        <w:ind w:firstLine="2891" w:firstLineChars="900"/>
        <w:jc w:val="center"/>
        <w:rPr>
          <w:rFonts w:ascii="宋体" w:hAnsi="宋体" w:cs="宋体"/>
          <w:b/>
          <w:kern w:val="0"/>
          <w:sz w:val="32"/>
          <w:szCs w:val="32"/>
        </w:rPr>
      </w:pPr>
    </w:p>
    <w:p>
      <w:pPr>
        <w:ind w:firstLine="2891" w:firstLineChars="900"/>
        <w:jc w:val="center"/>
        <w:rPr>
          <w:rFonts w:ascii="宋体" w:hAnsi="宋体" w:cs="宋体"/>
          <w:b/>
          <w:kern w:val="0"/>
          <w:sz w:val="32"/>
          <w:szCs w:val="32"/>
        </w:rPr>
      </w:pPr>
    </w:p>
    <w:p>
      <w:pPr>
        <w:ind w:firstLine="2891" w:firstLineChars="900"/>
        <w:jc w:val="center"/>
        <w:rPr>
          <w:rFonts w:ascii="宋体" w:hAnsi="宋体" w:cs="宋体"/>
          <w:b/>
          <w:kern w:val="0"/>
          <w:sz w:val="32"/>
          <w:szCs w:val="32"/>
        </w:rPr>
      </w:pPr>
    </w:p>
    <w:p>
      <w:pPr>
        <w:ind w:firstLine="2891" w:firstLineChars="900"/>
        <w:jc w:val="center"/>
        <w:rPr>
          <w:rFonts w:ascii="宋体" w:hAnsi="宋体" w:cs="宋体"/>
          <w:b/>
          <w:kern w:val="0"/>
          <w:sz w:val="32"/>
          <w:szCs w:val="32"/>
        </w:rPr>
      </w:pPr>
    </w:p>
    <w:p>
      <w:pPr>
        <w:ind w:firstLine="2891" w:firstLineChars="900"/>
        <w:jc w:val="center"/>
        <w:rPr>
          <w:rFonts w:ascii="宋体" w:hAnsi="宋体" w:cs="宋体"/>
          <w:b/>
          <w:kern w:val="0"/>
          <w:sz w:val="32"/>
          <w:szCs w:val="32"/>
        </w:rPr>
      </w:pPr>
    </w:p>
    <w:p>
      <w:pPr>
        <w:ind w:firstLine="2891" w:firstLineChars="900"/>
        <w:jc w:val="center"/>
        <w:rPr>
          <w:rFonts w:ascii="宋体" w:hAnsi="宋体" w:cs="宋体"/>
          <w:b/>
          <w:kern w:val="0"/>
          <w:sz w:val="32"/>
          <w:szCs w:val="32"/>
        </w:rPr>
      </w:pPr>
    </w:p>
    <w:p>
      <w:pPr>
        <w:ind w:firstLine="2891" w:firstLineChars="900"/>
        <w:jc w:val="center"/>
        <w:rPr>
          <w:rFonts w:ascii="宋体" w:hAnsi="宋体" w:cs="宋体"/>
          <w:b/>
          <w:kern w:val="0"/>
          <w:sz w:val="32"/>
          <w:szCs w:val="32"/>
        </w:rPr>
      </w:pPr>
    </w:p>
    <w:p>
      <w:pPr>
        <w:ind w:firstLine="2891" w:firstLineChars="900"/>
        <w:jc w:val="center"/>
        <w:rPr>
          <w:rFonts w:ascii="宋体" w:hAnsi="宋体" w:cs="宋体"/>
          <w:b/>
          <w:kern w:val="0"/>
          <w:sz w:val="32"/>
          <w:szCs w:val="32"/>
        </w:rPr>
      </w:pPr>
    </w:p>
    <w:p>
      <w:pPr>
        <w:ind w:firstLine="2891" w:firstLineChars="900"/>
        <w:jc w:val="center"/>
        <w:rPr>
          <w:rFonts w:ascii="宋体" w:hAnsi="宋体" w:cs="宋体"/>
          <w:b/>
          <w:kern w:val="0"/>
          <w:sz w:val="32"/>
          <w:szCs w:val="32"/>
        </w:rPr>
      </w:pPr>
    </w:p>
    <w:p>
      <w:pPr>
        <w:ind w:firstLine="1911" w:firstLineChars="595"/>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8" w:type="first"/>
          <w:footerReference r:id="rId10" w:type="first"/>
          <w:headerReference r:id="rId7" w:type="default"/>
          <w:footerReference r:id="rId9" w:type="default"/>
          <w:pgSz w:w="11906" w:h="16838"/>
          <w:pgMar w:top="1440" w:right="1418" w:bottom="1440" w:left="1418" w:header="851" w:footer="992" w:gutter="0"/>
          <w:cols w:space="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4"/>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4"/>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4"/>
      <w:bookmarkStart w:id="395" w:name="OLE_LINK13"/>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16" w:type="first"/>
      <w:footerReference r:id="rId19" w:type="first"/>
      <w:headerReference r:id="rId15" w:type="default"/>
      <w:footerReference r:id="rId17" w:type="default"/>
      <w:footerReference r:id="rId18" w:type="even"/>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微软雅黑"/>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4619097"/>
      <w:docPartObj>
        <w:docPartGallery w:val="AutoText"/>
      </w:docPartObj>
    </w:sdtPr>
    <w:sdtContent>
      <w:p>
        <w:pPr>
          <w:pStyle w:val="40"/>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4619098"/>
      <w:docPartObj>
        <w:docPartGallery w:val="AutoText"/>
      </w:docPartObj>
    </w:sdtPr>
    <w:sdtContent>
      <w:p>
        <w:pPr>
          <w:pStyle w:val="4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0NjgyNzJiNmYxZjc2Yzc4YTc3MzgyNTRiZmE2O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33"/>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60C"/>
    <w:rsid w:val="00410A12"/>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6F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989"/>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0D8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42E"/>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940"/>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6E4"/>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BB5"/>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CC1"/>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617"/>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9A"/>
    <w:rsid w:val="00B72CF0"/>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8B3"/>
    <w:rsid w:val="00BB777D"/>
    <w:rsid w:val="00BB7EC0"/>
    <w:rsid w:val="00BB7F88"/>
    <w:rsid w:val="00BC0207"/>
    <w:rsid w:val="00BC089F"/>
    <w:rsid w:val="00BC0A0C"/>
    <w:rsid w:val="00BC0A5A"/>
    <w:rsid w:val="00BC0E64"/>
    <w:rsid w:val="00BC22A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99"/>
    <w:rsid w:val="00C379EF"/>
    <w:rsid w:val="00C405C8"/>
    <w:rsid w:val="00C406D4"/>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EE8"/>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EA4"/>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12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D1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CF6675"/>
    <w:rsid w:val="03DD35E4"/>
    <w:rsid w:val="04076900"/>
    <w:rsid w:val="041A5A3B"/>
    <w:rsid w:val="042311BA"/>
    <w:rsid w:val="042403D7"/>
    <w:rsid w:val="042B157A"/>
    <w:rsid w:val="044D3AE9"/>
    <w:rsid w:val="048F763B"/>
    <w:rsid w:val="049F330E"/>
    <w:rsid w:val="04AA775C"/>
    <w:rsid w:val="04AF1889"/>
    <w:rsid w:val="04F66F48"/>
    <w:rsid w:val="05251E14"/>
    <w:rsid w:val="05A16594"/>
    <w:rsid w:val="05A7762D"/>
    <w:rsid w:val="060E5941"/>
    <w:rsid w:val="06110FAF"/>
    <w:rsid w:val="06493CA7"/>
    <w:rsid w:val="065A6178"/>
    <w:rsid w:val="066F1CF3"/>
    <w:rsid w:val="068A59BD"/>
    <w:rsid w:val="06930BB8"/>
    <w:rsid w:val="07147821"/>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240F4"/>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2F2DF1"/>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4263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CB6312"/>
    <w:rsid w:val="172F2D79"/>
    <w:rsid w:val="17557BEF"/>
    <w:rsid w:val="17D349C1"/>
    <w:rsid w:val="1830729E"/>
    <w:rsid w:val="1870062C"/>
    <w:rsid w:val="18817102"/>
    <w:rsid w:val="18830A15"/>
    <w:rsid w:val="18852B28"/>
    <w:rsid w:val="188B5321"/>
    <w:rsid w:val="19932372"/>
    <w:rsid w:val="19A20DD5"/>
    <w:rsid w:val="19A47FAA"/>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073D1"/>
    <w:rsid w:val="1E3D060F"/>
    <w:rsid w:val="1E3F7D2E"/>
    <w:rsid w:val="1E4134E4"/>
    <w:rsid w:val="1E5062B3"/>
    <w:rsid w:val="1E523514"/>
    <w:rsid w:val="1E714A66"/>
    <w:rsid w:val="1E802593"/>
    <w:rsid w:val="1EA703CC"/>
    <w:rsid w:val="1EB7330C"/>
    <w:rsid w:val="1ED85A70"/>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F73C42"/>
    <w:rsid w:val="231436FB"/>
    <w:rsid w:val="233500BF"/>
    <w:rsid w:val="23377FF7"/>
    <w:rsid w:val="234D018A"/>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4D5177"/>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82B12"/>
    <w:rsid w:val="2A15033F"/>
    <w:rsid w:val="2A1662C1"/>
    <w:rsid w:val="2A1C7367"/>
    <w:rsid w:val="2A2815FA"/>
    <w:rsid w:val="2A6D6092"/>
    <w:rsid w:val="2A7D76B4"/>
    <w:rsid w:val="2AAD3CB8"/>
    <w:rsid w:val="2B437463"/>
    <w:rsid w:val="2B7807EE"/>
    <w:rsid w:val="2BBF00EC"/>
    <w:rsid w:val="2BC37CFD"/>
    <w:rsid w:val="2BD5237F"/>
    <w:rsid w:val="2BE536CE"/>
    <w:rsid w:val="2BE758D9"/>
    <w:rsid w:val="2C09049E"/>
    <w:rsid w:val="2C0A653C"/>
    <w:rsid w:val="2C191F85"/>
    <w:rsid w:val="2C841377"/>
    <w:rsid w:val="2CE82D6F"/>
    <w:rsid w:val="2D343236"/>
    <w:rsid w:val="2DC03B59"/>
    <w:rsid w:val="2DD15014"/>
    <w:rsid w:val="2DF72DE4"/>
    <w:rsid w:val="2E0220AF"/>
    <w:rsid w:val="2E4B082A"/>
    <w:rsid w:val="2E5D4E86"/>
    <w:rsid w:val="2E5D790B"/>
    <w:rsid w:val="2E9A3C18"/>
    <w:rsid w:val="2EBB0FEE"/>
    <w:rsid w:val="2EC63002"/>
    <w:rsid w:val="2F0A6B38"/>
    <w:rsid w:val="2F946CCB"/>
    <w:rsid w:val="2FD25781"/>
    <w:rsid w:val="2FFD7934"/>
    <w:rsid w:val="30546081"/>
    <w:rsid w:val="30733ACD"/>
    <w:rsid w:val="30754DF6"/>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3FD7B69"/>
    <w:rsid w:val="340D2360"/>
    <w:rsid w:val="3410665D"/>
    <w:rsid w:val="34211214"/>
    <w:rsid w:val="342E63AB"/>
    <w:rsid w:val="34694A7D"/>
    <w:rsid w:val="34950E68"/>
    <w:rsid w:val="34986E94"/>
    <w:rsid w:val="34AF62C9"/>
    <w:rsid w:val="34C5570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73C89"/>
    <w:rsid w:val="4019356B"/>
    <w:rsid w:val="40592157"/>
    <w:rsid w:val="406E1CAE"/>
    <w:rsid w:val="40A0133A"/>
    <w:rsid w:val="40BF1232"/>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4658F"/>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80B7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0E78A9"/>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8D55B7"/>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B5A23"/>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6B49B0"/>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96FA9"/>
    <w:rsid w:val="59A32035"/>
    <w:rsid w:val="59F80043"/>
    <w:rsid w:val="5A09252F"/>
    <w:rsid w:val="5A0B2778"/>
    <w:rsid w:val="5A2A7C7B"/>
    <w:rsid w:val="5A3E2560"/>
    <w:rsid w:val="5A5D3B6E"/>
    <w:rsid w:val="5A637A76"/>
    <w:rsid w:val="5A6D33BA"/>
    <w:rsid w:val="5A792B1F"/>
    <w:rsid w:val="5A874767"/>
    <w:rsid w:val="5AAD6F28"/>
    <w:rsid w:val="5AD63A24"/>
    <w:rsid w:val="5B2E1A1D"/>
    <w:rsid w:val="5B815DA7"/>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DF0F7C"/>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D5518"/>
    <w:rsid w:val="635B1DB5"/>
    <w:rsid w:val="63711FED"/>
    <w:rsid w:val="63880DDC"/>
    <w:rsid w:val="638D750D"/>
    <w:rsid w:val="63AC6CC0"/>
    <w:rsid w:val="64055776"/>
    <w:rsid w:val="64240056"/>
    <w:rsid w:val="643E143A"/>
    <w:rsid w:val="648B6EEF"/>
    <w:rsid w:val="64C158BF"/>
    <w:rsid w:val="64CE2EAA"/>
    <w:rsid w:val="653C3090"/>
    <w:rsid w:val="65767CBF"/>
    <w:rsid w:val="65854376"/>
    <w:rsid w:val="658767BE"/>
    <w:rsid w:val="65892531"/>
    <w:rsid w:val="66195831"/>
    <w:rsid w:val="662E75B1"/>
    <w:rsid w:val="66342C2E"/>
    <w:rsid w:val="663E784C"/>
    <w:rsid w:val="668B6A45"/>
    <w:rsid w:val="67157571"/>
    <w:rsid w:val="672F3F24"/>
    <w:rsid w:val="673E055F"/>
    <w:rsid w:val="67551CE3"/>
    <w:rsid w:val="679B231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24D29"/>
    <w:rsid w:val="6C8C67B7"/>
    <w:rsid w:val="6C9D744C"/>
    <w:rsid w:val="6D167928"/>
    <w:rsid w:val="6D26299B"/>
    <w:rsid w:val="6D4772EC"/>
    <w:rsid w:val="6D4C69DA"/>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072A4"/>
    <w:rsid w:val="761D08E0"/>
    <w:rsid w:val="765D347C"/>
    <w:rsid w:val="76826699"/>
    <w:rsid w:val="76C87133"/>
    <w:rsid w:val="76CD08D5"/>
    <w:rsid w:val="76DB4B92"/>
    <w:rsid w:val="77052AA4"/>
    <w:rsid w:val="77136511"/>
    <w:rsid w:val="77340A39"/>
    <w:rsid w:val="77351FD0"/>
    <w:rsid w:val="77472422"/>
    <w:rsid w:val="777F31F2"/>
    <w:rsid w:val="77D1700D"/>
    <w:rsid w:val="77E87688"/>
    <w:rsid w:val="77EC04CC"/>
    <w:rsid w:val="78775729"/>
    <w:rsid w:val="78A42DB0"/>
    <w:rsid w:val="78A656AB"/>
    <w:rsid w:val="78B2245C"/>
    <w:rsid w:val="78E172CC"/>
    <w:rsid w:val="78EA1D1F"/>
    <w:rsid w:val="7904172F"/>
    <w:rsid w:val="790F7E27"/>
    <w:rsid w:val="792A231A"/>
    <w:rsid w:val="79316829"/>
    <w:rsid w:val="79440FF5"/>
    <w:rsid w:val="797E66A9"/>
    <w:rsid w:val="79A97383"/>
    <w:rsid w:val="79DF2D87"/>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C6649"/>
    <w:rsid w:val="7E1E5218"/>
    <w:rsid w:val="7E9A4E1F"/>
    <w:rsid w:val="7EA7723A"/>
    <w:rsid w:val="7EF56FBB"/>
    <w:rsid w:val="7F0768EB"/>
    <w:rsid w:val="7F143BEC"/>
    <w:rsid w:val="7F715AF2"/>
    <w:rsid w:val="7F886E69"/>
    <w:rsid w:val="7FF50CD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2">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Balloon Text"/>
    <w:basedOn w:val="1"/>
    <w:next w:val="16"/>
    <w:link w:val="185"/>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8"/>
    <w:qFormat/>
    <w:uiPriority w:val="0"/>
    <w:pPr>
      <w:ind w:firstLine="420"/>
    </w:pPr>
    <w:rPr>
      <w:rFonts w:hAnsi="Calibri" w:cs="Times New Roman"/>
      <w:snapToGrid/>
      <w:szCs w:val="20"/>
    </w:rPr>
  </w:style>
  <w:style w:type="paragraph" w:styleId="27">
    <w:name w:val="Body Text Indent"/>
    <w:basedOn w:val="1"/>
    <w:next w:val="14"/>
    <w:link w:val="26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7"/>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2"/>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15"/>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qFormat/>
    <w:uiPriority w:val="0"/>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25"/>
    <w:qFormat/>
    <w:uiPriority w:val="0"/>
    <w:pPr>
      <w:tabs>
        <w:tab w:val="left" w:pos="2790"/>
        <w:tab w:val="left" w:pos="4230"/>
      </w:tabs>
      <w:snapToGrid w:val="0"/>
      <w:jc w:val="center"/>
      <w:outlineLvl w:val="1"/>
    </w:pPr>
    <w:rPr>
      <w:rFonts w:ascii="仿宋_GB2312" w:hAnsi="仿宋" w:eastAsia="仿宋_GB2312"/>
      <w:b/>
      <w:bCs/>
      <w:kern w:val="0"/>
      <w:sz w:val="32"/>
      <w:szCs w:val="30"/>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2"/>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87A4F-1396-4ECB-B336-217A9DF2629F}">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27295</Words>
  <Characters>28786</Characters>
  <Lines>34</Lines>
  <Paragraphs>62</Paragraphs>
  <TotalTime>3</TotalTime>
  <ScaleCrop>false</ScaleCrop>
  <LinksUpToDate>false</LinksUpToDate>
  <CharactersWithSpaces>30044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xhb*</cp:lastModifiedBy>
  <cp:lastPrinted>2022-04-13T02:32:00Z</cp:lastPrinted>
  <dcterms:modified xsi:type="dcterms:W3CDTF">2022-06-02T02:48:35Z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CF19B4C623AA40659C99556C0E73CA4E</vt:lpwstr>
  </property>
</Properties>
</file>