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20" w:beforeLines="0" w:after="120" w:afterLines="0" w:line="360" w:lineRule="auto"/>
        <w:jc w:val="center"/>
        <w:rPr>
          <w:rFonts w:hAnsi="宋体"/>
          <w:sz w:val="44"/>
          <w:szCs w:val="44"/>
        </w:rPr>
      </w:pPr>
      <w:bookmarkStart w:id="392" w:name="_GoBack"/>
      <w:bookmarkEnd w:id="392"/>
    </w:p>
    <w:p>
      <w:pPr>
        <w:spacing w:line="600" w:lineRule="exact"/>
        <w:jc w:val="center"/>
        <w:rPr>
          <w:rFonts w:hint="eastAsia" w:ascii="宋体" w:hAnsi="宋体" w:cs="宋体"/>
          <w:b/>
          <w:sz w:val="52"/>
          <w:szCs w:val="52"/>
        </w:rPr>
      </w:pPr>
      <w:r>
        <w:rPr>
          <w:rFonts w:hint="eastAsia" w:ascii="宋体" w:hAnsi="宋体" w:cs="宋体"/>
          <w:b/>
          <w:sz w:val="52"/>
          <w:szCs w:val="52"/>
        </w:rPr>
        <w:t>台州市政府采购</w:t>
      </w:r>
    </w:p>
    <w:p>
      <w:pPr>
        <w:spacing w:line="600" w:lineRule="exact"/>
        <w:jc w:val="center"/>
        <w:rPr>
          <w:rFonts w:hint="eastAsia" w:ascii="宋体" w:hAnsi="宋体" w:cs="宋体"/>
          <w:b/>
          <w:sz w:val="52"/>
          <w:szCs w:val="52"/>
        </w:rPr>
      </w:pPr>
      <w:r>
        <w:rPr>
          <w:rFonts w:hint="eastAsia" w:ascii="宋体" w:hAnsi="宋体" w:cs="宋体"/>
          <w:b/>
          <w:sz w:val="52"/>
          <w:szCs w:val="52"/>
        </w:rPr>
        <w:t>公开招标文件</w:t>
      </w:r>
    </w:p>
    <w:p>
      <w:pPr>
        <w:jc w:val="center"/>
        <w:rPr>
          <w:rFonts w:hint="eastAsia" w:ascii="宋体" w:hAnsi="宋体"/>
          <w:sz w:val="44"/>
          <w:szCs w:val="20"/>
        </w:rPr>
      </w:pPr>
    </w:p>
    <w:p>
      <w:pPr>
        <w:spacing w:before="190" w:beforeLines="50"/>
        <w:jc w:val="center"/>
        <w:rPr>
          <w:rFonts w:ascii="宋体" w:hAnsi="宋体"/>
          <w:b/>
          <w:sz w:val="48"/>
          <w:szCs w:val="48"/>
        </w:rPr>
      </w:pPr>
    </w:p>
    <w:p>
      <w:pPr>
        <w:snapToGrid w:val="0"/>
        <w:spacing w:before="190" w:beforeLines="50" w:line="360" w:lineRule="auto"/>
        <w:rPr>
          <w:rFonts w:hint="eastAsia" w:ascii="宋体" w:hAnsi="宋体"/>
          <w:sz w:val="30"/>
          <w:szCs w:val="72"/>
        </w:rPr>
      </w:pPr>
      <w:r>
        <w:rPr>
          <w:rFonts w:hint="eastAsia" w:ascii="宋体" w:hAnsi="宋体"/>
          <w:b/>
          <w:sz w:val="72"/>
          <w:szCs w:val="72"/>
        </w:rPr>
        <w:t xml:space="preserve">    </w:t>
      </w:r>
    </w:p>
    <w:p>
      <w:pPr>
        <w:pStyle w:val="18"/>
        <w:tabs>
          <w:tab w:val="left" w:pos="1620"/>
        </w:tabs>
        <w:snapToGrid w:val="0"/>
        <w:spacing w:before="120" w:beforeLines="0" w:after="120" w:afterLines="0" w:line="360" w:lineRule="auto"/>
        <w:ind w:firstLine="1175" w:firstLineChars="418"/>
        <w:rPr>
          <w:rFonts w:hint="eastAsia" w:hAnsi="宋体"/>
          <w:b/>
          <w:bCs/>
          <w:sz w:val="28"/>
        </w:rPr>
      </w:pPr>
      <w:r>
        <w:rPr>
          <w:rFonts w:hAnsi="宋体"/>
          <w:b/>
          <w:bCs/>
          <w:sz w:val="28"/>
        </w:rPr>
        <w:t>项目编号：</w:t>
      </w:r>
      <w:r>
        <w:rPr>
          <w:rFonts w:hint="eastAsia" w:hAnsi="宋体"/>
          <w:b/>
          <w:bCs/>
          <w:sz w:val="28"/>
        </w:rPr>
        <w:t>TPTZ-2020-TZ0910</w:t>
      </w:r>
    </w:p>
    <w:p>
      <w:pPr>
        <w:pStyle w:val="18"/>
        <w:tabs>
          <w:tab w:val="left" w:pos="1620"/>
        </w:tabs>
        <w:snapToGrid w:val="0"/>
        <w:spacing w:before="120" w:beforeLines="0" w:after="120" w:afterLines="0" w:line="360" w:lineRule="auto"/>
        <w:ind w:firstLine="1175" w:firstLineChars="418"/>
        <w:rPr>
          <w:rFonts w:hint="eastAsia" w:hAnsi="宋体"/>
          <w:b/>
          <w:bCs/>
          <w:sz w:val="28"/>
        </w:rPr>
      </w:pPr>
      <w:r>
        <w:rPr>
          <w:rFonts w:hint="eastAsia" w:hAnsi="宋体"/>
          <w:b/>
          <w:bCs/>
          <w:sz w:val="28"/>
        </w:rPr>
        <w:t>采购项目</w:t>
      </w:r>
      <w:r>
        <w:rPr>
          <w:rFonts w:hAnsi="宋体"/>
          <w:b/>
          <w:bCs/>
          <w:sz w:val="28"/>
        </w:rPr>
        <w:t>：</w:t>
      </w:r>
      <w:r>
        <w:rPr>
          <w:rFonts w:hint="eastAsia" w:hAnsi="宋体"/>
          <w:b/>
          <w:bCs/>
          <w:sz w:val="28"/>
        </w:rPr>
        <w:t>台州市公安局集聚区分局雪亮工程（三期）前端点位建设项目、台州市公安局集聚区分局雪亮工程（三期）后端保障服务项目</w:t>
      </w:r>
    </w:p>
    <w:p>
      <w:pPr>
        <w:pStyle w:val="18"/>
        <w:tabs>
          <w:tab w:val="left" w:pos="1620"/>
        </w:tabs>
        <w:snapToGrid w:val="0"/>
        <w:spacing w:before="120" w:beforeLines="0" w:after="120" w:afterLines="0" w:line="360" w:lineRule="auto"/>
        <w:ind w:firstLine="1175" w:firstLineChars="418"/>
        <w:rPr>
          <w:rFonts w:hAnsi="宋体"/>
          <w:b/>
          <w:bCs/>
          <w:sz w:val="28"/>
        </w:rPr>
      </w:pPr>
      <w:r>
        <w:rPr>
          <w:rFonts w:hAnsi="宋体"/>
          <w:b/>
          <w:bCs/>
          <w:sz w:val="28"/>
        </w:rPr>
        <w:t>采购单位：</w:t>
      </w:r>
      <w:r>
        <w:rPr>
          <w:rFonts w:hint="eastAsia" w:hAnsi="宋体"/>
          <w:b/>
          <w:bCs/>
          <w:sz w:val="28"/>
        </w:rPr>
        <w:t>台州市公安局集聚区分局</w:t>
      </w:r>
      <w:r>
        <w:rPr>
          <w:rFonts w:hAnsi="宋体"/>
          <w:b/>
          <w:bCs/>
          <w:sz w:val="28"/>
        </w:rPr>
        <w:t>（盖章）</w:t>
      </w:r>
    </w:p>
    <w:p>
      <w:pPr>
        <w:pStyle w:val="18"/>
        <w:tabs>
          <w:tab w:val="left" w:pos="1620"/>
        </w:tabs>
        <w:snapToGrid w:val="0"/>
        <w:spacing w:before="120" w:beforeLines="0" w:after="120" w:afterLines="0" w:line="360" w:lineRule="auto"/>
        <w:ind w:firstLine="1175" w:firstLineChars="418"/>
        <w:rPr>
          <w:rFonts w:hint="eastAsia" w:hAnsi="宋体"/>
          <w:b/>
          <w:bCs/>
          <w:sz w:val="28"/>
        </w:rPr>
      </w:pPr>
      <w:r>
        <w:rPr>
          <w:rFonts w:hint="eastAsia" w:hAnsi="宋体"/>
          <w:b/>
          <w:bCs/>
          <w:sz w:val="28"/>
        </w:rPr>
        <w:t>联系人：</w:t>
      </w:r>
      <w:r>
        <w:rPr>
          <w:rFonts w:hint="eastAsia" w:hAnsi="宋体" w:cs="宋体"/>
          <w:b/>
          <w:bCs/>
          <w:sz w:val="28"/>
        </w:rPr>
        <w:t>张先生</w:t>
      </w:r>
      <w:r>
        <w:rPr>
          <w:rFonts w:hint="eastAsia" w:hAnsi="宋体"/>
          <w:b/>
          <w:bCs/>
          <w:sz w:val="28"/>
        </w:rPr>
        <w:t xml:space="preserve">        </w:t>
      </w:r>
      <w:r>
        <w:rPr>
          <w:rFonts w:hAnsi="宋体"/>
          <w:b/>
          <w:bCs/>
          <w:sz w:val="28"/>
        </w:rPr>
        <w:t>联系电话：</w:t>
      </w:r>
      <w:r>
        <w:rPr>
          <w:rFonts w:hint="eastAsia" w:hAnsi="宋体" w:cs="宋体"/>
          <w:b/>
          <w:bCs/>
          <w:sz w:val="28"/>
        </w:rPr>
        <w:t>13666877561</w:t>
      </w:r>
    </w:p>
    <w:p>
      <w:pPr>
        <w:pStyle w:val="18"/>
        <w:tabs>
          <w:tab w:val="left" w:pos="1620"/>
        </w:tabs>
        <w:snapToGrid w:val="0"/>
        <w:spacing w:before="120" w:beforeLines="0" w:after="120" w:afterLines="0" w:line="360" w:lineRule="auto"/>
        <w:ind w:firstLine="1175" w:firstLineChars="418"/>
        <w:rPr>
          <w:rFonts w:hAnsi="宋体"/>
          <w:b/>
          <w:bCs/>
          <w:sz w:val="28"/>
        </w:rPr>
      </w:pPr>
      <w:r>
        <w:rPr>
          <w:rFonts w:hAnsi="宋体"/>
          <w:b/>
          <w:bCs/>
          <w:sz w:val="28"/>
        </w:rPr>
        <w:t>代理机构：</w:t>
      </w:r>
      <w:r>
        <w:rPr>
          <w:rFonts w:hint="eastAsia" w:hAnsi="宋体"/>
          <w:b/>
          <w:bCs/>
          <w:sz w:val="28"/>
        </w:rPr>
        <w:t>浙江天平投资咨询有限公司</w:t>
      </w:r>
      <w:r>
        <w:rPr>
          <w:rFonts w:hAnsi="宋体"/>
          <w:b/>
          <w:bCs/>
          <w:sz w:val="28"/>
        </w:rPr>
        <w:t>（盖章）</w:t>
      </w:r>
    </w:p>
    <w:p>
      <w:pPr>
        <w:pStyle w:val="18"/>
        <w:snapToGrid w:val="0"/>
        <w:spacing w:before="120" w:beforeLines="0" w:after="120" w:afterLines="0" w:line="360" w:lineRule="auto"/>
        <w:ind w:firstLine="1124" w:firstLineChars="400"/>
        <w:rPr>
          <w:rFonts w:hint="eastAsia" w:hAnsi="宋体"/>
          <w:b/>
          <w:bCs/>
          <w:sz w:val="30"/>
          <w:szCs w:val="30"/>
        </w:rPr>
      </w:pPr>
      <w:r>
        <w:rPr>
          <w:rFonts w:hAnsi="宋体"/>
          <w:b/>
          <w:bCs/>
          <w:sz w:val="28"/>
        </w:rPr>
        <w:t>代理项目负责人：</w:t>
      </w:r>
      <w:r>
        <w:rPr>
          <w:rFonts w:hint="eastAsia" w:hAnsi="宋体"/>
          <w:b/>
          <w:bCs/>
          <w:sz w:val="28"/>
        </w:rPr>
        <w:t>王橇</w:t>
      </w:r>
      <w:r>
        <w:rPr>
          <w:rFonts w:hAnsi="宋体"/>
          <w:b/>
          <w:bCs/>
          <w:sz w:val="28"/>
        </w:rPr>
        <w:t xml:space="preserve">  </w:t>
      </w:r>
      <w:r>
        <w:rPr>
          <w:rFonts w:hint="eastAsia" w:hAnsi="宋体"/>
          <w:b/>
          <w:bCs/>
          <w:sz w:val="28"/>
        </w:rPr>
        <w:t xml:space="preserve"> </w:t>
      </w:r>
      <w:r>
        <w:rPr>
          <w:rFonts w:hAnsi="宋体"/>
          <w:b/>
          <w:bCs/>
          <w:sz w:val="28"/>
        </w:rPr>
        <w:t>联系电话：</w:t>
      </w:r>
      <w:r>
        <w:rPr>
          <w:rFonts w:hint="eastAsia" w:hAnsi="宋体"/>
          <w:b/>
          <w:bCs/>
          <w:sz w:val="28"/>
        </w:rPr>
        <w:t>0576-88601313</w:t>
      </w:r>
    </w:p>
    <w:p>
      <w:pPr>
        <w:pStyle w:val="18"/>
        <w:snapToGrid w:val="0"/>
        <w:spacing w:before="120" w:beforeLines="0" w:after="120" w:afterLines="0" w:line="360" w:lineRule="auto"/>
        <w:rPr>
          <w:rFonts w:hAnsi="宋体"/>
          <w:b/>
          <w:bCs/>
          <w:sz w:val="30"/>
          <w:szCs w:val="30"/>
        </w:rPr>
      </w:pPr>
    </w:p>
    <w:p>
      <w:pPr>
        <w:pStyle w:val="18"/>
        <w:snapToGrid w:val="0"/>
        <w:spacing w:before="120" w:beforeLines="0" w:after="120" w:afterLines="0" w:line="360" w:lineRule="auto"/>
        <w:rPr>
          <w:rFonts w:hAnsi="宋体"/>
          <w:b/>
          <w:bCs/>
          <w:sz w:val="30"/>
          <w:szCs w:val="30"/>
        </w:rPr>
      </w:pPr>
    </w:p>
    <w:p>
      <w:pPr>
        <w:pStyle w:val="18"/>
        <w:snapToGrid w:val="0"/>
        <w:spacing w:before="120" w:beforeLines="0" w:after="120" w:afterLines="0" w:line="360" w:lineRule="auto"/>
        <w:rPr>
          <w:rFonts w:hAnsi="宋体"/>
          <w:b/>
          <w:bCs/>
          <w:sz w:val="30"/>
          <w:szCs w:val="30"/>
        </w:rPr>
      </w:pPr>
    </w:p>
    <w:p>
      <w:pPr>
        <w:pStyle w:val="18"/>
        <w:snapToGrid w:val="0"/>
        <w:spacing w:before="120" w:beforeLines="0" w:after="120" w:afterLines="0" w:line="360" w:lineRule="auto"/>
        <w:rPr>
          <w:rFonts w:hAnsi="宋体"/>
          <w:b/>
          <w:bCs/>
          <w:sz w:val="30"/>
          <w:szCs w:val="30"/>
        </w:rPr>
      </w:pPr>
    </w:p>
    <w:p>
      <w:pPr>
        <w:pStyle w:val="18"/>
        <w:spacing w:before="120" w:beforeLines="0" w:after="120" w:afterLines="0" w:line="360" w:lineRule="auto"/>
        <w:jc w:val="center"/>
        <w:rPr>
          <w:rFonts w:hAnsi="宋体"/>
          <w:sz w:val="44"/>
          <w:szCs w:val="44"/>
        </w:rPr>
      </w:pPr>
      <w:r>
        <w:rPr>
          <w:rFonts w:hAnsi="宋体"/>
          <w:b/>
          <w:bCs/>
          <w:w w:val="95"/>
          <w:sz w:val="30"/>
          <w:szCs w:val="30"/>
        </w:rPr>
        <w:t>二〇二〇年</w:t>
      </w:r>
      <w:r>
        <w:rPr>
          <w:rFonts w:hint="eastAsia" w:hAnsi="宋体"/>
          <w:b/>
          <w:bCs/>
          <w:w w:val="95"/>
          <w:sz w:val="30"/>
          <w:szCs w:val="30"/>
        </w:rPr>
        <w:t>九</w:t>
      </w:r>
      <w:r>
        <w:rPr>
          <w:rFonts w:hAnsi="宋体"/>
          <w:b/>
          <w:bCs/>
          <w:w w:val="95"/>
          <w:sz w:val="30"/>
          <w:szCs w:val="30"/>
        </w:rPr>
        <w:t>月</w:t>
      </w:r>
    </w:p>
    <w:p>
      <w:pPr>
        <w:pStyle w:val="18"/>
        <w:spacing w:before="120" w:beforeLines="0" w:after="120" w:afterLines="0" w:line="360" w:lineRule="auto"/>
        <w:jc w:val="center"/>
        <w:rPr>
          <w:rFonts w:hAnsi="宋体"/>
          <w:sz w:val="44"/>
          <w:szCs w:val="44"/>
        </w:rPr>
      </w:pPr>
    </w:p>
    <w:p>
      <w:pPr>
        <w:jc w:val="center"/>
        <w:rPr>
          <w:rFonts w:ascii="宋体" w:hAnsi="宋体"/>
          <w:sz w:val="48"/>
          <w:szCs w:val="56"/>
        </w:rPr>
      </w:pPr>
      <w:bookmarkStart w:id="0" w:name="_Toc32435_WPSOffice_Type1"/>
      <w:r>
        <w:rPr>
          <w:rFonts w:ascii="宋体" w:hAnsi="宋体"/>
          <w:sz w:val="48"/>
          <w:szCs w:val="56"/>
        </w:rPr>
        <w:t>目录</w:t>
      </w:r>
    </w:p>
    <w:p>
      <w:pPr>
        <w:jc w:val="center"/>
        <w:rPr>
          <w:rFonts w:ascii="宋体" w:hAnsi="宋体"/>
          <w:sz w:val="48"/>
          <w:szCs w:val="56"/>
        </w:rPr>
      </w:pPr>
    </w:p>
    <w:p>
      <w:pPr>
        <w:jc w:val="center"/>
        <w:rPr>
          <w:rFonts w:ascii="宋体" w:hAnsi="宋体"/>
          <w:sz w:val="48"/>
          <w:szCs w:val="56"/>
        </w:rPr>
      </w:pPr>
    </w:p>
    <w:p>
      <w:pPr>
        <w:pStyle w:val="78"/>
        <w:tabs>
          <w:tab w:val="right" w:leader="dot" w:pos="9356"/>
        </w:tabs>
        <w:rPr>
          <w:sz w:val="36"/>
          <w:szCs w:val="36"/>
        </w:rPr>
      </w:pPr>
      <w:r>
        <w:rPr>
          <w:sz w:val="36"/>
          <w:szCs w:val="36"/>
        </w:rPr>
        <w:fldChar w:fldCharType="begin"/>
      </w:r>
      <w:r>
        <w:rPr>
          <w:sz w:val="36"/>
          <w:szCs w:val="36"/>
        </w:rPr>
        <w:instrText xml:space="preserve"> HYPERLINK \l "第一章" </w:instrText>
      </w:r>
      <w:r>
        <w:rPr>
          <w:sz w:val="36"/>
          <w:szCs w:val="36"/>
        </w:rPr>
        <w:fldChar w:fldCharType="separate"/>
      </w:r>
      <w:r>
        <w:rPr>
          <w:rStyle w:val="42"/>
          <w:color w:val="auto"/>
          <w:sz w:val="36"/>
          <w:szCs w:val="36"/>
          <w:u w:val="none"/>
        </w:rPr>
        <w:t>第一章 公开招标采购公告</w:t>
      </w:r>
      <w:r>
        <w:rPr>
          <w:rStyle w:val="42"/>
          <w:color w:val="auto"/>
          <w:sz w:val="36"/>
          <w:szCs w:val="36"/>
          <w:u w:val="none"/>
        </w:rPr>
        <w:tab/>
      </w:r>
      <w:r>
        <w:rPr>
          <w:rStyle w:val="42"/>
          <w:color w:val="auto"/>
          <w:sz w:val="36"/>
          <w:szCs w:val="36"/>
          <w:u w:val="none"/>
        </w:rPr>
        <w:t>3</w:t>
      </w:r>
      <w:r>
        <w:rPr>
          <w:sz w:val="36"/>
          <w:szCs w:val="36"/>
        </w:rPr>
        <w:fldChar w:fldCharType="end"/>
      </w:r>
    </w:p>
    <w:p>
      <w:pPr>
        <w:pStyle w:val="78"/>
        <w:tabs>
          <w:tab w:val="right" w:leader="dot" w:pos="9356"/>
        </w:tabs>
        <w:rPr>
          <w:sz w:val="36"/>
          <w:szCs w:val="36"/>
        </w:rPr>
      </w:pPr>
      <w:r>
        <w:rPr>
          <w:sz w:val="36"/>
          <w:szCs w:val="36"/>
        </w:rPr>
        <w:fldChar w:fldCharType="begin"/>
      </w:r>
      <w:r>
        <w:rPr>
          <w:sz w:val="36"/>
          <w:szCs w:val="36"/>
        </w:rPr>
        <w:instrText xml:space="preserve"> HYPERLINK \l "第二章" </w:instrText>
      </w:r>
      <w:r>
        <w:rPr>
          <w:sz w:val="36"/>
          <w:szCs w:val="36"/>
        </w:rPr>
        <w:fldChar w:fldCharType="separate"/>
      </w:r>
      <w:r>
        <w:rPr>
          <w:rStyle w:val="43"/>
          <w:color w:val="auto"/>
          <w:sz w:val="36"/>
          <w:szCs w:val="36"/>
          <w:u w:val="none"/>
        </w:rPr>
        <w:t>第二章 招标需求</w:t>
      </w:r>
      <w:r>
        <w:rPr>
          <w:rStyle w:val="43"/>
          <w:color w:val="auto"/>
          <w:sz w:val="36"/>
          <w:szCs w:val="36"/>
          <w:u w:val="none"/>
        </w:rPr>
        <w:tab/>
      </w:r>
      <w:r>
        <w:rPr>
          <w:rStyle w:val="43"/>
          <w:rFonts w:hint="eastAsia"/>
          <w:color w:val="auto"/>
          <w:sz w:val="36"/>
          <w:szCs w:val="36"/>
          <w:u w:val="none"/>
        </w:rPr>
        <w:t>9</w:t>
      </w:r>
      <w:r>
        <w:rPr>
          <w:sz w:val="36"/>
          <w:szCs w:val="36"/>
        </w:rPr>
        <w:fldChar w:fldCharType="end"/>
      </w:r>
    </w:p>
    <w:p>
      <w:pPr>
        <w:pStyle w:val="78"/>
        <w:tabs>
          <w:tab w:val="right" w:leader="dot" w:pos="9356"/>
        </w:tabs>
        <w:rPr>
          <w:sz w:val="36"/>
          <w:szCs w:val="36"/>
        </w:rPr>
      </w:pPr>
      <w:r>
        <w:rPr>
          <w:sz w:val="36"/>
          <w:szCs w:val="36"/>
        </w:rPr>
        <w:fldChar w:fldCharType="begin"/>
      </w:r>
      <w:r>
        <w:rPr>
          <w:sz w:val="36"/>
          <w:szCs w:val="36"/>
        </w:rPr>
        <w:instrText xml:space="preserve"> HYPERLINK \l "第三章" </w:instrText>
      </w:r>
      <w:r>
        <w:rPr>
          <w:sz w:val="36"/>
          <w:szCs w:val="36"/>
        </w:rPr>
        <w:fldChar w:fldCharType="separate"/>
      </w:r>
      <w:r>
        <w:rPr>
          <w:rStyle w:val="43"/>
          <w:color w:val="auto"/>
          <w:sz w:val="36"/>
          <w:szCs w:val="36"/>
          <w:u w:val="none"/>
        </w:rPr>
        <w:t>第三章 投标人须知</w:t>
      </w:r>
      <w:r>
        <w:rPr>
          <w:rStyle w:val="43"/>
          <w:color w:val="auto"/>
          <w:sz w:val="36"/>
          <w:szCs w:val="36"/>
          <w:u w:val="none"/>
        </w:rPr>
        <w:tab/>
      </w:r>
      <w:r>
        <w:rPr>
          <w:rStyle w:val="43"/>
          <w:rFonts w:hint="eastAsia"/>
          <w:color w:val="auto"/>
          <w:sz w:val="36"/>
          <w:szCs w:val="36"/>
          <w:u w:val="none"/>
        </w:rPr>
        <w:t>1</w:t>
      </w:r>
      <w:r>
        <w:rPr>
          <w:sz w:val="36"/>
          <w:szCs w:val="36"/>
        </w:rPr>
        <w:fldChar w:fldCharType="end"/>
      </w:r>
      <w:r>
        <w:rPr>
          <w:rFonts w:hint="eastAsia"/>
          <w:sz w:val="36"/>
          <w:szCs w:val="36"/>
        </w:rPr>
        <w:t>50</w:t>
      </w:r>
    </w:p>
    <w:p>
      <w:pPr>
        <w:pStyle w:val="78"/>
        <w:tabs>
          <w:tab w:val="right" w:leader="dot" w:pos="9356"/>
        </w:tabs>
        <w:rPr>
          <w:sz w:val="36"/>
          <w:szCs w:val="36"/>
        </w:rPr>
      </w:pPr>
      <w:r>
        <w:rPr>
          <w:sz w:val="36"/>
          <w:szCs w:val="36"/>
        </w:rPr>
        <w:fldChar w:fldCharType="begin"/>
      </w:r>
      <w:r>
        <w:rPr>
          <w:sz w:val="36"/>
          <w:szCs w:val="36"/>
        </w:rPr>
        <w:instrText xml:space="preserve"> HYPERLINK \l "第四章" </w:instrText>
      </w:r>
      <w:r>
        <w:rPr>
          <w:sz w:val="36"/>
          <w:szCs w:val="36"/>
        </w:rPr>
        <w:fldChar w:fldCharType="separate"/>
      </w:r>
      <w:r>
        <w:rPr>
          <w:rStyle w:val="42"/>
          <w:color w:val="auto"/>
          <w:sz w:val="36"/>
          <w:szCs w:val="36"/>
          <w:u w:val="none"/>
        </w:rPr>
        <w:t>第四章 评标办法及评分标准</w:t>
      </w:r>
      <w:r>
        <w:rPr>
          <w:rStyle w:val="42"/>
          <w:color w:val="auto"/>
          <w:sz w:val="36"/>
          <w:szCs w:val="36"/>
          <w:u w:val="none"/>
        </w:rPr>
        <w:tab/>
      </w:r>
      <w:r>
        <w:rPr>
          <w:rStyle w:val="42"/>
          <w:rFonts w:hint="eastAsia"/>
          <w:color w:val="auto"/>
          <w:sz w:val="36"/>
          <w:szCs w:val="36"/>
          <w:u w:val="none"/>
        </w:rPr>
        <w:t>1</w:t>
      </w:r>
      <w:r>
        <w:rPr>
          <w:sz w:val="36"/>
          <w:szCs w:val="36"/>
        </w:rPr>
        <w:fldChar w:fldCharType="end"/>
      </w:r>
      <w:r>
        <w:rPr>
          <w:rFonts w:hint="eastAsia"/>
          <w:sz w:val="36"/>
          <w:szCs w:val="36"/>
        </w:rPr>
        <w:t>66</w:t>
      </w:r>
    </w:p>
    <w:p>
      <w:pPr>
        <w:pStyle w:val="78"/>
        <w:tabs>
          <w:tab w:val="right" w:leader="dot" w:pos="9356"/>
        </w:tabs>
        <w:rPr>
          <w:rFonts w:ascii="宋体" w:hAnsi="宋体"/>
          <w:sz w:val="36"/>
          <w:szCs w:val="36"/>
        </w:rPr>
      </w:pPr>
      <w:r>
        <w:rPr>
          <w:rFonts w:hint="eastAsia" w:ascii="宋体" w:hAnsi="宋体"/>
          <w:sz w:val="36"/>
          <w:szCs w:val="36"/>
        </w:rPr>
        <w:fldChar w:fldCharType="begin"/>
      </w:r>
      <w:r>
        <w:rPr>
          <w:rFonts w:hint="eastAsia" w:ascii="宋体" w:hAnsi="宋体"/>
          <w:sz w:val="36"/>
          <w:szCs w:val="36"/>
        </w:rPr>
        <w:instrText xml:space="preserve"> HYPERLINK \l "第五章" </w:instrText>
      </w:r>
      <w:r>
        <w:rPr>
          <w:rFonts w:hint="eastAsia" w:ascii="宋体" w:hAnsi="宋体"/>
          <w:sz w:val="36"/>
          <w:szCs w:val="36"/>
        </w:rPr>
        <w:fldChar w:fldCharType="separate"/>
      </w:r>
      <w:r>
        <w:rPr>
          <w:rStyle w:val="43"/>
          <w:rFonts w:hint="eastAsia" w:ascii="宋体" w:hAnsi="宋体"/>
          <w:color w:val="auto"/>
          <w:sz w:val="36"/>
          <w:szCs w:val="36"/>
          <w:u w:val="none"/>
        </w:rPr>
        <w:t>第五章 合同格式（仅参考）</w:t>
      </w:r>
      <w:r>
        <w:rPr>
          <w:rStyle w:val="43"/>
          <w:rFonts w:hint="eastAsia" w:ascii="宋体" w:hAnsi="宋体"/>
          <w:color w:val="auto"/>
          <w:sz w:val="36"/>
          <w:szCs w:val="36"/>
          <w:u w:val="none"/>
        </w:rPr>
        <w:tab/>
      </w:r>
      <w:r>
        <w:rPr>
          <w:rStyle w:val="43"/>
          <w:rFonts w:hint="eastAsia" w:ascii="宋体" w:hAnsi="宋体"/>
          <w:color w:val="auto"/>
          <w:sz w:val="36"/>
          <w:szCs w:val="36"/>
          <w:u w:val="none"/>
        </w:rPr>
        <w:t>1</w:t>
      </w:r>
      <w:r>
        <w:rPr>
          <w:rFonts w:hint="eastAsia" w:ascii="宋体" w:hAnsi="宋体"/>
          <w:sz w:val="36"/>
          <w:szCs w:val="36"/>
        </w:rPr>
        <w:fldChar w:fldCharType="end"/>
      </w:r>
      <w:r>
        <w:rPr>
          <w:rFonts w:hint="eastAsia" w:ascii="宋体" w:hAnsi="宋体"/>
          <w:sz w:val="36"/>
          <w:szCs w:val="36"/>
        </w:rPr>
        <w:t>74</w:t>
      </w:r>
    </w:p>
    <w:p>
      <w:pPr>
        <w:pStyle w:val="78"/>
        <w:tabs>
          <w:tab w:val="right" w:leader="dot" w:pos="9356"/>
        </w:tabs>
        <w:rPr>
          <w:sz w:val="36"/>
          <w:szCs w:val="36"/>
        </w:rPr>
      </w:pPr>
      <w:r>
        <w:rPr>
          <w:sz w:val="36"/>
          <w:szCs w:val="36"/>
        </w:rPr>
        <w:fldChar w:fldCharType="begin"/>
      </w:r>
      <w:r>
        <w:rPr>
          <w:sz w:val="36"/>
          <w:szCs w:val="36"/>
        </w:rPr>
        <w:instrText xml:space="preserve"> HYPERLINK \l "第六章" </w:instrText>
      </w:r>
      <w:r>
        <w:rPr>
          <w:sz w:val="36"/>
          <w:szCs w:val="36"/>
        </w:rPr>
        <w:fldChar w:fldCharType="separate"/>
      </w:r>
      <w:r>
        <w:rPr>
          <w:rStyle w:val="42"/>
          <w:color w:val="auto"/>
          <w:sz w:val="36"/>
          <w:szCs w:val="36"/>
          <w:u w:val="none"/>
        </w:rPr>
        <w:t>第六章</w:t>
      </w:r>
      <w:r>
        <w:rPr>
          <w:rStyle w:val="42"/>
          <w:rFonts w:hint="eastAsia"/>
          <w:color w:val="auto"/>
          <w:sz w:val="36"/>
          <w:szCs w:val="36"/>
          <w:u w:val="none"/>
        </w:rPr>
        <w:t xml:space="preserve"> </w:t>
      </w:r>
      <w:r>
        <w:rPr>
          <w:rStyle w:val="42"/>
          <w:color w:val="auto"/>
          <w:sz w:val="36"/>
          <w:szCs w:val="36"/>
          <w:u w:val="none"/>
        </w:rPr>
        <w:t>投标文件格式</w:t>
      </w:r>
      <w:r>
        <w:rPr>
          <w:rStyle w:val="42"/>
          <w:color w:val="auto"/>
          <w:sz w:val="36"/>
          <w:szCs w:val="36"/>
          <w:u w:val="none"/>
        </w:rPr>
        <w:tab/>
      </w:r>
      <w:r>
        <w:rPr>
          <w:rStyle w:val="42"/>
          <w:rFonts w:hint="eastAsia"/>
          <w:color w:val="auto"/>
          <w:sz w:val="36"/>
          <w:szCs w:val="36"/>
          <w:u w:val="none"/>
        </w:rPr>
        <w:t>1</w:t>
      </w:r>
      <w:r>
        <w:rPr>
          <w:sz w:val="36"/>
          <w:szCs w:val="36"/>
        </w:rPr>
        <w:fldChar w:fldCharType="end"/>
      </w:r>
      <w:r>
        <w:rPr>
          <w:rFonts w:hint="eastAsia"/>
          <w:sz w:val="36"/>
          <w:szCs w:val="36"/>
        </w:rPr>
        <w:t>77</w:t>
      </w:r>
    </w:p>
    <w:bookmarkEnd w:id="0"/>
    <w:p>
      <w:pPr>
        <w:pStyle w:val="18"/>
        <w:snapToGrid w:val="0"/>
        <w:spacing w:before="120" w:beforeLines="0" w:after="120" w:afterLines="0" w:line="240" w:lineRule="auto"/>
        <w:outlineLvl w:val="0"/>
        <w:rPr>
          <w:rFonts w:hAnsi="宋体"/>
          <w:sz w:val="30"/>
          <w:szCs w:val="30"/>
        </w:rPr>
      </w:pPr>
      <w:bookmarkStart w:id="1" w:name="_Toc10354_WPSOffice_Level1"/>
    </w:p>
    <w:p>
      <w:pPr>
        <w:pStyle w:val="18"/>
        <w:snapToGrid w:val="0"/>
        <w:spacing w:before="120" w:beforeLines="0" w:after="120" w:afterLines="0" w:line="240" w:lineRule="auto"/>
        <w:outlineLvl w:val="0"/>
        <w:rPr>
          <w:rFonts w:hAnsi="宋体"/>
          <w:sz w:val="30"/>
          <w:szCs w:val="30"/>
        </w:rPr>
      </w:pPr>
    </w:p>
    <w:p>
      <w:pPr>
        <w:pStyle w:val="18"/>
        <w:snapToGrid w:val="0"/>
        <w:spacing w:before="120" w:beforeLines="0" w:after="120" w:afterLines="0" w:line="240" w:lineRule="auto"/>
        <w:outlineLvl w:val="0"/>
        <w:rPr>
          <w:rFonts w:hAnsi="宋体"/>
          <w:sz w:val="30"/>
          <w:szCs w:val="30"/>
        </w:rPr>
      </w:pPr>
    </w:p>
    <w:p>
      <w:pPr>
        <w:pStyle w:val="18"/>
        <w:snapToGrid w:val="0"/>
        <w:spacing w:before="120" w:beforeLines="0" w:after="120" w:afterLines="0" w:line="240" w:lineRule="auto"/>
        <w:outlineLvl w:val="0"/>
        <w:rPr>
          <w:rFonts w:hAnsi="宋体"/>
          <w:sz w:val="30"/>
          <w:szCs w:val="30"/>
        </w:rPr>
      </w:pPr>
    </w:p>
    <w:p>
      <w:pPr>
        <w:pStyle w:val="18"/>
        <w:snapToGrid w:val="0"/>
        <w:spacing w:before="120" w:beforeLines="0" w:after="120" w:afterLines="0" w:line="240" w:lineRule="auto"/>
        <w:outlineLvl w:val="0"/>
        <w:rPr>
          <w:rFonts w:hAnsi="宋体"/>
          <w:sz w:val="30"/>
          <w:szCs w:val="30"/>
        </w:rPr>
      </w:pPr>
    </w:p>
    <w:p>
      <w:pPr>
        <w:pStyle w:val="18"/>
        <w:snapToGrid w:val="0"/>
        <w:spacing w:before="120" w:beforeLines="0" w:after="120" w:afterLines="0" w:line="240" w:lineRule="auto"/>
        <w:outlineLvl w:val="0"/>
        <w:rPr>
          <w:rFonts w:hAnsi="宋体"/>
          <w:sz w:val="30"/>
          <w:szCs w:val="30"/>
        </w:rPr>
      </w:pPr>
    </w:p>
    <w:p>
      <w:pPr>
        <w:pStyle w:val="18"/>
        <w:snapToGrid w:val="0"/>
        <w:spacing w:before="120" w:beforeLines="0" w:after="120" w:afterLines="0" w:line="240" w:lineRule="auto"/>
        <w:outlineLvl w:val="0"/>
        <w:rPr>
          <w:rFonts w:hAnsi="宋体"/>
          <w:sz w:val="30"/>
          <w:szCs w:val="30"/>
        </w:rPr>
      </w:pPr>
    </w:p>
    <w:p>
      <w:pPr>
        <w:pStyle w:val="18"/>
        <w:snapToGrid w:val="0"/>
        <w:spacing w:before="120" w:beforeLines="0" w:after="120" w:afterLines="0" w:line="240" w:lineRule="auto"/>
        <w:outlineLvl w:val="0"/>
        <w:rPr>
          <w:rFonts w:hAnsi="宋体"/>
          <w:sz w:val="30"/>
          <w:szCs w:val="30"/>
        </w:rPr>
      </w:pPr>
    </w:p>
    <w:p>
      <w:pPr>
        <w:pStyle w:val="18"/>
        <w:snapToGrid w:val="0"/>
        <w:spacing w:before="120" w:beforeLines="0" w:after="120" w:afterLines="0" w:line="240" w:lineRule="auto"/>
        <w:outlineLvl w:val="0"/>
        <w:rPr>
          <w:rFonts w:hAnsi="宋体"/>
          <w:sz w:val="30"/>
          <w:szCs w:val="30"/>
        </w:rPr>
      </w:pPr>
    </w:p>
    <w:p>
      <w:pPr>
        <w:pStyle w:val="18"/>
        <w:snapToGrid w:val="0"/>
        <w:spacing w:before="120" w:beforeLines="0" w:after="120" w:afterLines="0" w:line="240" w:lineRule="auto"/>
        <w:outlineLvl w:val="0"/>
        <w:rPr>
          <w:rFonts w:hAnsi="宋体"/>
          <w:sz w:val="30"/>
          <w:szCs w:val="30"/>
        </w:rPr>
      </w:pPr>
    </w:p>
    <w:p>
      <w:pPr>
        <w:pStyle w:val="18"/>
        <w:snapToGrid w:val="0"/>
        <w:spacing w:before="120" w:beforeLines="0" w:after="120" w:afterLines="0" w:line="240" w:lineRule="auto"/>
        <w:outlineLvl w:val="0"/>
        <w:rPr>
          <w:rFonts w:hAnsi="宋体"/>
          <w:sz w:val="30"/>
          <w:szCs w:val="30"/>
        </w:rPr>
      </w:pPr>
    </w:p>
    <w:p>
      <w:pPr>
        <w:pStyle w:val="18"/>
        <w:snapToGrid w:val="0"/>
        <w:spacing w:before="120" w:beforeLines="0" w:after="120" w:afterLines="0" w:line="240" w:lineRule="auto"/>
        <w:outlineLvl w:val="0"/>
        <w:rPr>
          <w:rFonts w:hAnsi="宋体"/>
          <w:sz w:val="30"/>
          <w:szCs w:val="30"/>
        </w:rPr>
      </w:pPr>
    </w:p>
    <w:p>
      <w:pPr>
        <w:pStyle w:val="18"/>
        <w:snapToGrid w:val="0"/>
        <w:spacing w:before="120" w:beforeLines="0" w:after="120" w:afterLines="0" w:line="240" w:lineRule="auto"/>
        <w:outlineLvl w:val="0"/>
        <w:rPr>
          <w:rFonts w:hAnsi="宋体"/>
          <w:sz w:val="30"/>
          <w:szCs w:val="30"/>
        </w:rPr>
      </w:pPr>
    </w:p>
    <w:p>
      <w:pPr>
        <w:pStyle w:val="18"/>
        <w:snapToGrid w:val="0"/>
        <w:spacing w:before="120" w:beforeLines="0" w:after="120" w:afterLines="0" w:line="240" w:lineRule="auto"/>
        <w:jc w:val="center"/>
        <w:outlineLvl w:val="0"/>
        <w:rPr>
          <w:rFonts w:hAnsi="宋体"/>
          <w:sz w:val="30"/>
          <w:szCs w:val="30"/>
        </w:rPr>
      </w:pPr>
      <w:bookmarkStart w:id="2" w:name="第一章"/>
      <w:r>
        <w:rPr>
          <w:rFonts w:hAnsi="宋体"/>
          <w:sz w:val="30"/>
          <w:szCs w:val="30"/>
        </w:rPr>
        <w:t>第一章  公开招标采购公告</w:t>
      </w:r>
      <w:bookmarkEnd w:id="1"/>
      <w:bookmarkEnd w:id="2"/>
      <w:r>
        <w:fldChar w:fldCharType="begin"/>
      </w:r>
      <w:r>
        <w:rPr>
          <w:rFonts w:hAnsi="宋体"/>
          <w:sz w:val="30"/>
          <w:szCs w:val="30"/>
        </w:rPr>
        <w:instrText xml:space="preserve"> XE "第一章  公开招标采购公告" </w:instrText>
      </w:r>
      <w:r>
        <w:rPr>
          <w:rFonts w:hAnsi="宋体"/>
          <w:sz w:val="30"/>
          <w:szCs w:val="30"/>
        </w:rPr>
        <w:fldChar w:fldCharType="end"/>
      </w:r>
      <w:r>
        <w:fldChar w:fldCharType="begin"/>
      </w:r>
      <w:r>
        <w:rPr>
          <w:rFonts w:hAnsi="宋体"/>
          <w:sz w:val="30"/>
          <w:szCs w:val="30"/>
        </w:rPr>
        <w:instrText xml:space="preserve"> XE "第一章  公开招标采购公告" </w:instrText>
      </w:r>
      <w:r>
        <w:rPr>
          <w:rFonts w:hAnsi="宋体"/>
          <w:sz w:val="30"/>
          <w:szCs w:val="30"/>
        </w:rPr>
        <w:fldChar w:fldCharType="end"/>
      </w:r>
      <w:r>
        <w:fldChar w:fldCharType="begin"/>
      </w:r>
      <w:r>
        <w:rPr>
          <w:rFonts w:hAnsi="宋体"/>
          <w:sz w:val="30"/>
          <w:szCs w:val="30"/>
        </w:rPr>
        <w:instrText xml:space="preserve"> XE "第一章  公开招标采购公告" </w:instrText>
      </w:r>
      <w:r>
        <w:rPr>
          <w:rFonts w:hAnsi="宋体"/>
          <w:sz w:val="30"/>
          <w:szCs w:val="30"/>
        </w:rPr>
        <w:fldChar w:fldCharType="end"/>
      </w:r>
      <w:r>
        <w:fldChar w:fldCharType="begin"/>
      </w:r>
      <w:r>
        <w:rPr>
          <w:rFonts w:hAnsi="宋体"/>
          <w:sz w:val="30"/>
          <w:szCs w:val="30"/>
        </w:rPr>
        <w:instrText xml:space="preserve"> XE "</w:instrText>
      </w:r>
      <w:r>
        <w:instrText xml:space="preserve">第一章  公开招标采购公告</w:instrText>
      </w:r>
      <w:r>
        <w:rPr>
          <w:rFonts w:hAnsi="宋体"/>
          <w:sz w:val="30"/>
          <w:szCs w:val="30"/>
        </w:rPr>
        <w:instrText xml:space="preserve">" </w:instrText>
      </w:r>
      <w:r>
        <w:rPr>
          <w:rFonts w:hAnsi="宋体"/>
          <w:sz w:val="30"/>
          <w:szCs w:val="30"/>
        </w:rPr>
        <w:fldChar w:fldCharType="end"/>
      </w:r>
    </w:p>
    <w:p>
      <w:pPr>
        <w:pStyle w:val="106"/>
        <w:widowControl w:val="0"/>
        <w:spacing w:after="0" w:afterLines="0" w:line="360" w:lineRule="auto"/>
        <w:ind w:firstLine="480"/>
        <w:rPr>
          <w:rFonts w:ascii="宋体" w:hAnsi="宋体"/>
          <w:szCs w:val="24"/>
        </w:rPr>
      </w:pPr>
      <w:r>
        <w:rPr>
          <w:rFonts w:hint="eastAsia" w:ascii="宋体" w:hAnsi="宋体"/>
          <w:szCs w:val="24"/>
        </w:rPr>
        <w:t>根据《中华人民共和国政府采购法》、《政府采购货物和服务招标投标管理办法》等规定，现就</w:t>
      </w:r>
      <w:r>
        <w:rPr>
          <w:rFonts w:hint="eastAsia" w:ascii="宋体" w:hAnsi="宋体"/>
          <w:szCs w:val="24"/>
          <w:u w:val="single"/>
        </w:rPr>
        <w:t xml:space="preserve"> 台州市公安局集聚区分局雪亮工程（三期）前端点位建设项目、台州市公安局集聚区分局雪亮工程（三期）后端保障服务项目</w:t>
      </w:r>
      <w:r>
        <w:rPr>
          <w:rFonts w:ascii="宋体" w:hAnsi="宋体"/>
          <w:szCs w:val="24"/>
        </w:rPr>
        <w:t>进行公开招标采购，</w:t>
      </w:r>
      <w:r>
        <w:rPr>
          <w:rFonts w:hint="eastAsia" w:ascii="宋体" w:hAnsi="宋体"/>
          <w:szCs w:val="24"/>
        </w:rPr>
        <w:t>欢迎能提供本服务的供应商前来投标：</w:t>
      </w:r>
    </w:p>
    <w:p>
      <w:pPr>
        <w:pStyle w:val="18"/>
        <w:tabs>
          <w:tab w:val="left" w:pos="1620"/>
        </w:tabs>
        <w:snapToGrid w:val="0"/>
        <w:spacing w:before="0" w:beforeLines="0" w:after="0" w:afterLines="0" w:line="360" w:lineRule="auto"/>
        <w:ind w:firstLine="482" w:firstLineChars="200"/>
        <w:rPr>
          <w:rFonts w:hint="eastAsia" w:hAnsi="宋体"/>
          <w:b/>
          <w:bCs/>
          <w:sz w:val="28"/>
        </w:rPr>
      </w:pPr>
      <w:r>
        <w:rPr>
          <w:rFonts w:hint="eastAsia" w:hAnsi="宋体" w:cs="Arial"/>
          <w:b/>
        </w:rPr>
        <w:t>一、项目编号：TPTZ-2020-TZ0910</w:t>
      </w:r>
    </w:p>
    <w:p>
      <w:pPr>
        <w:snapToGrid w:val="0"/>
        <w:spacing w:line="360" w:lineRule="auto"/>
        <w:ind w:firstLine="480" w:firstLineChars="200"/>
        <w:rPr>
          <w:rFonts w:ascii="宋体" w:hAnsi="宋体" w:cs="Arial"/>
          <w:sz w:val="24"/>
          <w:szCs w:val="20"/>
        </w:rPr>
      </w:pPr>
      <w:r>
        <w:rPr>
          <w:rFonts w:hint="eastAsia" w:ascii="宋体" w:hAnsi="宋体" w:cs="Arial"/>
          <w:sz w:val="24"/>
        </w:rPr>
        <w:t>二、</w:t>
      </w:r>
      <w:r>
        <w:rPr>
          <w:rFonts w:hint="eastAsia" w:ascii="宋体" w:hAnsi="宋体" w:cs="Arial"/>
          <w:b/>
          <w:sz w:val="24"/>
        </w:rPr>
        <w:t>采购组织类型：</w:t>
      </w:r>
      <w:r>
        <w:rPr>
          <w:rFonts w:hint="eastAsia" w:ascii="宋体" w:hAnsi="宋体" w:cs="Arial"/>
          <w:sz w:val="24"/>
        </w:rPr>
        <w:t>分散采购委托代理</w:t>
      </w:r>
    </w:p>
    <w:p>
      <w:pPr>
        <w:snapToGrid w:val="0"/>
        <w:spacing w:line="360" w:lineRule="auto"/>
        <w:ind w:firstLine="482" w:firstLineChars="200"/>
        <w:rPr>
          <w:rFonts w:ascii="宋体" w:hAnsi="宋体" w:cs="Arial"/>
          <w:sz w:val="24"/>
          <w:szCs w:val="20"/>
        </w:rPr>
      </w:pPr>
      <w:r>
        <w:rPr>
          <w:rFonts w:hint="eastAsia" w:ascii="宋体" w:hAnsi="宋体" w:cs="Arial"/>
          <w:b/>
          <w:sz w:val="24"/>
        </w:rPr>
        <w:t>三、采购方式：</w:t>
      </w:r>
      <w:r>
        <w:rPr>
          <w:rFonts w:hint="eastAsia" w:ascii="宋体" w:hAnsi="宋体" w:cs="Arial"/>
          <w:sz w:val="24"/>
        </w:rPr>
        <w:t>公开招标</w:t>
      </w:r>
    </w:p>
    <w:p>
      <w:pPr>
        <w:snapToGrid w:val="0"/>
        <w:spacing w:line="360" w:lineRule="auto"/>
        <w:ind w:firstLine="482" w:firstLineChars="200"/>
        <w:rPr>
          <w:rFonts w:hint="eastAsia" w:ascii="宋体" w:hAnsi="宋体" w:cs="Arial"/>
          <w:b/>
          <w:bCs/>
          <w:sz w:val="24"/>
        </w:rPr>
      </w:pPr>
      <w:r>
        <w:rPr>
          <w:rFonts w:hint="eastAsia" w:ascii="宋体" w:hAnsi="宋体" w:cs="Arial"/>
          <w:b/>
          <w:sz w:val="24"/>
        </w:rPr>
        <w:t>四、</w:t>
      </w:r>
      <w:r>
        <w:rPr>
          <w:rFonts w:hint="eastAsia" w:ascii="宋体" w:hAnsi="宋体" w:cs="Arial"/>
          <w:b/>
          <w:bCs/>
          <w:sz w:val="24"/>
        </w:rPr>
        <w:t>采购内容及数量</w:t>
      </w:r>
    </w:p>
    <w:tbl>
      <w:tblPr>
        <w:tblStyle w:val="37"/>
        <w:tblW w:w="9960"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689"/>
        <w:gridCol w:w="1742"/>
        <w:gridCol w:w="1135"/>
        <w:gridCol w:w="388"/>
        <w:gridCol w:w="475"/>
        <w:gridCol w:w="1250"/>
        <w:gridCol w:w="1550"/>
        <w:gridCol w:w="1420"/>
        <w:gridCol w:w="1311"/>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17"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标段号</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项目名称</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简要技术要求</w:t>
            </w:r>
          </w:p>
        </w:tc>
        <w:tc>
          <w:tcPr>
            <w:tcW w:w="388"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数量</w:t>
            </w:r>
          </w:p>
        </w:tc>
        <w:tc>
          <w:tcPr>
            <w:tcW w:w="475"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单位</w:t>
            </w:r>
          </w:p>
        </w:tc>
        <w:tc>
          <w:tcPr>
            <w:tcW w:w="125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预算及最高投标限价</w:t>
            </w:r>
          </w:p>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（万元）</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服务准入验收时间/交货期/建设期</w:t>
            </w:r>
          </w:p>
        </w:tc>
        <w:tc>
          <w:tcPr>
            <w:tcW w:w="142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服务运营期限</w:t>
            </w:r>
          </w:p>
        </w:tc>
        <w:tc>
          <w:tcPr>
            <w:tcW w:w="1311"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服务地点</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963"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cs="宋体"/>
                <w:color w:val="auto"/>
              </w:rPr>
            </w:pPr>
            <w:r>
              <w:rPr>
                <w:rFonts w:hint="eastAsia" w:cs="宋体"/>
                <w:color w:val="auto"/>
                <w:kern w:val="2"/>
                <w:lang w:bidi="ar"/>
              </w:rPr>
              <w:t>一</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rPr>
              <w:t>台州市公安局集聚区分局雪亮工程（三期）前端点位建设项目</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具体内容见第二章招标需求</w:t>
            </w:r>
          </w:p>
        </w:tc>
        <w:tc>
          <w:tcPr>
            <w:tcW w:w="388"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1</w:t>
            </w:r>
          </w:p>
        </w:tc>
        <w:tc>
          <w:tcPr>
            <w:tcW w:w="475"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项</w:t>
            </w:r>
          </w:p>
        </w:tc>
        <w:tc>
          <w:tcPr>
            <w:tcW w:w="125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5年合计935万</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 xml:space="preserve">服务准入验收时间：中标通知书签发之日后90天 </w:t>
            </w:r>
          </w:p>
        </w:tc>
        <w:tc>
          <w:tcPr>
            <w:tcW w:w="142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自系统终验合格且整体交付使用之日起60个月</w:t>
            </w:r>
          </w:p>
        </w:tc>
        <w:tc>
          <w:tcPr>
            <w:tcW w:w="1311" w:type="dxa"/>
            <w:tcBorders>
              <w:top w:val="single" w:color="auto" w:sz="4" w:space="0"/>
              <w:left w:val="single" w:color="auto" w:sz="4" w:space="0"/>
              <w:bottom w:val="single" w:color="auto" w:sz="4" w:space="0"/>
              <w:right w:val="single" w:color="auto" w:sz="4" w:space="0"/>
            </w:tcBorders>
            <w:noWrap w:val="0"/>
            <w:vAlign w:val="center"/>
          </w:tcPr>
          <w:p>
            <w:pPr>
              <w:pStyle w:val="2"/>
              <w:ind w:firstLine="0" w:firstLineChars="0"/>
              <w:jc w:val="center"/>
              <w:rPr>
                <w:rFonts w:hint="eastAsia" w:ascii="宋体" w:hAnsi="宋体" w:cs="宋体"/>
              </w:rPr>
            </w:pPr>
            <w:r>
              <w:rPr>
                <w:rFonts w:hint="eastAsia" w:ascii="宋体" w:hAnsi="宋体" w:cs="宋体"/>
              </w:rPr>
              <w:t>台州市公安局集聚区分局指定地点</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963"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cs="宋体"/>
                <w:color w:val="auto"/>
              </w:rPr>
            </w:pPr>
            <w:r>
              <w:rPr>
                <w:rFonts w:hint="eastAsia" w:cs="宋体"/>
                <w:color w:val="auto"/>
                <w:kern w:val="2"/>
                <w:lang w:bidi="ar"/>
              </w:rPr>
              <w:t>二</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rPr>
              <w:t>台州市公安局集聚区分局雪亮工程（三期）后端保障服务项目</w:t>
            </w:r>
          </w:p>
        </w:tc>
        <w:tc>
          <w:tcPr>
            <w:tcW w:w="1135"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具体内容见第二章招标需求</w:t>
            </w:r>
          </w:p>
        </w:tc>
        <w:tc>
          <w:tcPr>
            <w:tcW w:w="388"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1</w:t>
            </w:r>
          </w:p>
        </w:tc>
        <w:tc>
          <w:tcPr>
            <w:tcW w:w="475"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项</w:t>
            </w:r>
          </w:p>
        </w:tc>
        <w:tc>
          <w:tcPr>
            <w:tcW w:w="125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5年合计365万</w:t>
            </w:r>
          </w:p>
        </w:tc>
        <w:tc>
          <w:tcPr>
            <w:tcW w:w="155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交货期：中标通知书签发之日起20天内；建设期：中标通知书签发之日起30天内</w:t>
            </w:r>
          </w:p>
        </w:tc>
        <w:tc>
          <w:tcPr>
            <w:tcW w:w="142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kern w:val="2"/>
                <w:lang w:bidi="ar"/>
              </w:rPr>
              <w:t>自系统终验合格且整体交付使用之日起60个月</w:t>
            </w:r>
          </w:p>
        </w:tc>
        <w:tc>
          <w:tcPr>
            <w:tcW w:w="1311" w:type="dxa"/>
            <w:tcBorders>
              <w:top w:val="single" w:color="auto" w:sz="4" w:space="0"/>
              <w:left w:val="single" w:color="auto" w:sz="4" w:space="0"/>
              <w:bottom w:val="single" w:color="auto" w:sz="4" w:space="0"/>
              <w:right w:val="single" w:color="auto" w:sz="4" w:space="0"/>
            </w:tcBorders>
            <w:noWrap w:val="0"/>
            <w:vAlign w:val="center"/>
          </w:tcPr>
          <w:p>
            <w:pPr>
              <w:pStyle w:val="2"/>
              <w:ind w:firstLine="0" w:firstLineChars="0"/>
              <w:jc w:val="center"/>
              <w:rPr>
                <w:rFonts w:hint="eastAsia" w:ascii="宋体" w:hAnsi="宋体" w:cs="宋体"/>
              </w:rPr>
            </w:pPr>
            <w:r>
              <w:rPr>
                <w:rFonts w:hint="eastAsia" w:ascii="宋体" w:hAnsi="宋体" w:cs="宋体"/>
              </w:rPr>
              <w:t>台州市公安局集聚区分局指定地点</w:t>
            </w:r>
          </w:p>
        </w:tc>
      </w:tr>
    </w:tbl>
    <w:p>
      <w:pPr>
        <w:pStyle w:val="32"/>
        <w:spacing w:before="0" w:beforeAutospacing="0" w:after="0" w:afterAutospacing="0" w:line="360" w:lineRule="auto"/>
        <w:rPr>
          <w:rFonts w:hint="eastAsia" w:cs="Arial"/>
          <w:b/>
          <w:bCs/>
          <w:color w:val="auto"/>
        </w:rPr>
      </w:pPr>
      <w:r>
        <w:rPr>
          <w:rFonts w:cs="Arial"/>
          <w:b/>
          <w:bCs/>
          <w:color w:val="auto"/>
        </w:rPr>
        <w:t>采购标段数：</w:t>
      </w:r>
      <w:r>
        <w:rPr>
          <w:rFonts w:hint="eastAsia" w:cs="Arial"/>
          <w:b/>
          <w:bCs/>
          <w:color w:val="auto"/>
        </w:rPr>
        <w:t>2个标段（参加多个标段投标的投标人必须对每个标段单独递交投标文件）</w:t>
      </w:r>
    </w:p>
    <w:p>
      <w:pPr>
        <w:snapToGrid w:val="0"/>
        <w:spacing w:line="360" w:lineRule="auto"/>
        <w:ind w:firstLine="482" w:firstLineChars="200"/>
        <w:rPr>
          <w:rFonts w:ascii="宋体" w:hAnsi="宋体" w:cs="Arial"/>
          <w:b/>
          <w:bCs/>
          <w:sz w:val="24"/>
          <w:szCs w:val="20"/>
        </w:rPr>
      </w:pPr>
      <w:r>
        <w:rPr>
          <w:rFonts w:hint="eastAsia" w:ascii="宋体" w:hAnsi="宋体" w:cs="Arial"/>
          <w:b/>
          <w:sz w:val="24"/>
        </w:rPr>
        <w:t>五</w:t>
      </w:r>
      <w:r>
        <w:rPr>
          <w:rFonts w:hint="eastAsia" w:ascii="宋体" w:hAnsi="宋体" w:cs="Arial"/>
          <w:sz w:val="24"/>
        </w:rPr>
        <w:t>、</w:t>
      </w:r>
      <w:r>
        <w:rPr>
          <w:rFonts w:hint="eastAsia" w:ascii="宋体" w:hAnsi="宋体" w:cs="Arial"/>
          <w:b/>
          <w:bCs/>
          <w:sz w:val="24"/>
        </w:rPr>
        <w:t>合格投标人的资格要求：</w:t>
      </w:r>
    </w:p>
    <w:p>
      <w:pPr>
        <w:snapToGrid w:val="0"/>
        <w:spacing w:line="360" w:lineRule="auto"/>
        <w:ind w:firstLine="540" w:firstLineChars="225"/>
        <w:rPr>
          <w:rFonts w:hint="eastAsia" w:ascii="宋体" w:hAnsi="宋体" w:cs="宋体"/>
          <w:sz w:val="24"/>
        </w:rPr>
      </w:pPr>
      <w:r>
        <w:rPr>
          <w:rFonts w:hint="eastAsia" w:ascii="宋体" w:hAnsi="宋体" w:cs="宋体"/>
          <w:sz w:val="24"/>
        </w:rPr>
        <w:t>1.符合《中华人民共和国政府采购法》第二十二条要求：1）具有独立承担民事责任的能力；2）具有良好的商业信誉和健全的财务会计制度；3）具有履行合同所必需的设备和专业技术能力；4）有依法缴纳税收和社会保障资金的良好记录；5）参加政府采购活动前三年，在经营活动中没有重大违法记录；6）法律、行政法规规定的其他条件。</w:t>
      </w:r>
    </w:p>
    <w:p>
      <w:pPr>
        <w:snapToGrid w:val="0"/>
        <w:spacing w:line="360" w:lineRule="auto"/>
        <w:ind w:firstLine="480" w:firstLineChars="200"/>
        <w:rPr>
          <w:rFonts w:hint="eastAsia" w:ascii="宋体" w:hAnsi="宋体" w:cs="宋体"/>
          <w:sz w:val="24"/>
        </w:rPr>
      </w:pPr>
      <w:r>
        <w:rPr>
          <w:rFonts w:hint="eastAsia" w:ascii="宋体" w:hAnsi="宋体" w:cs="宋体"/>
          <w:sz w:val="24"/>
        </w:rPr>
        <w:t>2.未被“信用中国”（www.creditchina.gov.cn）、中国政府采购网（www.ccgp.gov.cn）列入失信被执行人、重大税收违法案件当事人名单、政府采购严重违法失信行为记录名单。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宋体" w:hAnsi="宋体" w:cs="宋体"/>
          <w:sz w:val="24"/>
        </w:rPr>
      </w:pPr>
      <w:r>
        <w:rPr>
          <w:rFonts w:hint="eastAsia" w:ascii="宋体" w:hAnsi="宋体" w:cs="宋体"/>
          <w:sz w:val="24"/>
          <w:lang w:val="en-US" w:eastAsia="zh-CN" w:bidi="ar"/>
        </w:rPr>
        <w:t>3</w:t>
      </w:r>
      <w:r>
        <w:rPr>
          <w:rFonts w:hint="eastAsia" w:ascii="宋体" w:hAnsi="宋体" w:cs="宋体"/>
          <w:sz w:val="24"/>
          <w:lang w:bidi="ar"/>
        </w:rPr>
        <w:t>.本项目不接受联合体投标。</w:t>
      </w:r>
    </w:p>
    <w:p>
      <w:pPr>
        <w:snapToGrid w:val="0"/>
        <w:spacing w:line="360" w:lineRule="auto"/>
        <w:ind w:firstLine="542" w:firstLineChars="225"/>
        <w:rPr>
          <w:rFonts w:hint="eastAsia" w:ascii="宋体" w:hAnsi="宋体" w:cs="Arial"/>
          <w:b/>
          <w:bCs/>
          <w:sz w:val="24"/>
        </w:rPr>
      </w:pPr>
      <w:r>
        <w:rPr>
          <w:rFonts w:hint="eastAsia" w:ascii="宋体" w:hAnsi="宋体" w:cs="Arial"/>
          <w:b/>
          <w:bCs/>
          <w:sz w:val="24"/>
        </w:rPr>
        <w:t>六、</w:t>
      </w:r>
      <w:r>
        <w:rPr>
          <w:rFonts w:hint="eastAsia" w:ascii="宋体" w:hAnsi="宋体" w:cs="宋体"/>
          <w:b/>
          <w:bCs/>
          <w:sz w:val="24"/>
        </w:rPr>
        <w:t>采购文件的获取</w:t>
      </w:r>
      <w:r>
        <w:rPr>
          <w:rFonts w:hint="eastAsia" w:ascii="宋体" w:hAnsi="宋体" w:cs="Arial"/>
          <w:b/>
          <w:bCs/>
          <w:sz w:val="24"/>
        </w:rPr>
        <w:t>：</w:t>
      </w:r>
    </w:p>
    <w:p>
      <w:pPr>
        <w:snapToGrid w:val="0"/>
        <w:spacing w:line="360" w:lineRule="auto"/>
        <w:ind w:firstLine="540" w:firstLineChars="225"/>
        <w:rPr>
          <w:rFonts w:hint="eastAsia" w:ascii="宋体" w:hAnsi="宋体" w:cs="宋体"/>
          <w:sz w:val="24"/>
        </w:rPr>
      </w:pPr>
      <w:r>
        <w:rPr>
          <w:rFonts w:hint="eastAsia" w:ascii="宋体" w:hAnsi="宋体" w:cs="宋体"/>
          <w:sz w:val="24"/>
        </w:rPr>
        <w:t>1.获取时间：公告发布时间至投标截止时间。</w:t>
      </w:r>
    </w:p>
    <w:p>
      <w:pPr>
        <w:snapToGrid w:val="0"/>
        <w:spacing w:line="360" w:lineRule="auto"/>
        <w:ind w:firstLine="540" w:firstLineChars="225"/>
        <w:rPr>
          <w:rFonts w:hint="eastAsia" w:ascii="宋体" w:hAnsi="宋体" w:cs="宋体"/>
          <w:sz w:val="24"/>
        </w:rPr>
      </w:pPr>
      <w:r>
        <w:rPr>
          <w:rFonts w:hint="eastAsia" w:ascii="宋体" w:hAnsi="宋体" w:cs="宋体"/>
          <w:sz w:val="24"/>
        </w:rPr>
        <w:t>2.获取地址：浙江政府采购云平台（http://www.zcygov.cn）（简称“政釆云平台”）。</w:t>
      </w:r>
    </w:p>
    <w:p>
      <w:pPr>
        <w:snapToGrid w:val="0"/>
        <w:spacing w:line="360" w:lineRule="auto"/>
        <w:ind w:firstLine="540" w:firstLineChars="225"/>
        <w:rPr>
          <w:rFonts w:hint="eastAsia" w:ascii="宋体" w:hAnsi="宋体" w:cs="宋体"/>
          <w:sz w:val="24"/>
        </w:rPr>
      </w:pPr>
      <w:r>
        <w:rPr>
          <w:rFonts w:hint="eastAsia" w:ascii="宋体" w:hAnsi="宋体" w:cs="宋体"/>
          <w:sz w:val="24"/>
        </w:rPr>
        <w:t>3.获取采购文件方式：在线获取。投标人在政釆云平台进行网上报名后可免费下载。</w:t>
      </w:r>
    </w:p>
    <w:p>
      <w:pPr>
        <w:snapToGrid w:val="0"/>
        <w:spacing w:line="360" w:lineRule="auto"/>
        <w:ind w:firstLine="540" w:firstLineChars="225"/>
        <w:rPr>
          <w:rFonts w:hint="eastAsia" w:ascii="宋体" w:hAnsi="宋体" w:cs="宋体"/>
          <w:sz w:val="24"/>
        </w:rPr>
      </w:pPr>
      <w:r>
        <w:rPr>
          <w:rFonts w:hint="eastAsia" w:ascii="宋体" w:hAnsi="宋体" w:cs="宋体"/>
          <w:sz w:val="24"/>
        </w:rPr>
        <w:t>4.标书售价(元)：无。</w:t>
      </w:r>
    </w:p>
    <w:p>
      <w:pPr>
        <w:snapToGrid w:val="0"/>
        <w:spacing w:line="360" w:lineRule="auto"/>
        <w:ind w:firstLine="540" w:firstLineChars="225"/>
        <w:rPr>
          <w:rFonts w:hint="eastAsia" w:ascii="宋体" w:hAnsi="宋体" w:cs="宋体"/>
          <w:sz w:val="24"/>
        </w:rPr>
      </w:pPr>
      <w:r>
        <w:rPr>
          <w:rFonts w:hint="eastAsia" w:ascii="宋体" w:hAnsi="宋体" w:cs="宋体"/>
          <w:sz w:val="24"/>
        </w:rPr>
        <w:t>5.获取采购文件时应提供以下材料：无，按政釆云系统要求进行获取。</w:t>
      </w:r>
    </w:p>
    <w:p>
      <w:pPr>
        <w:snapToGrid w:val="0"/>
        <w:spacing w:line="360" w:lineRule="auto"/>
        <w:ind w:firstLine="540" w:firstLineChars="225"/>
        <w:rPr>
          <w:rFonts w:hint="eastAsia" w:ascii="宋体" w:hAnsi="宋体" w:cs="宋体"/>
          <w:sz w:val="24"/>
        </w:rPr>
      </w:pPr>
      <w:r>
        <w:rPr>
          <w:rFonts w:hint="eastAsia" w:ascii="宋体" w:hAnsi="宋体" w:cs="宋体"/>
          <w:sz w:val="24"/>
        </w:rPr>
        <w:t>备注：招标公告附件内的采购文件（或采购需求）仅供阅览使用，供应商只有在“政府采购云平台”完成获取采购文件申请并下载了采购文件后才视作依法获取采购文件（法律法规所指的供应商获取采购文件时间以供应商完成获取采购文件申请后下载采购文件的时间为准）。仅需浏览采购文件的供应商可点击“游客，浏览采购文件”直接下载采购文件浏览，如需参加项目投标，请供应商按上述要求获取采购文件，如未在政采云系统内完成相关流程，采购组织机构将拒绝非报名供应商的投标文件，引起的投标无效责任自负。</w:t>
      </w:r>
    </w:p>
    <w:p>
      <w:pPr>
        <w:snapToGrid w:val="0"/>
        <w:spacing w:line="360" w:lineRule="auto"/>
        <w:ind w:firstLine="482" w:firstLineChars="200"/>
        <w:rPr>
          <w:rFonts w:ascii="宋体" w:hAnsi="宋体" w:cs="Arial"/>
          <w:sz w:val="24"/>
          <w:szCs w:val="20"/>
        </w:rPr>
      </w:pPr>
      <w:r>
        <w:rPr>
          <w:rFonts w:hint="eastAsia" w:ascii="宋体" w:hAnsi="宋体" w:cs="Arial"/>
          <w:b/>
          <w:bCs/>
          <w:sz w:val="24"/>
        </w:rPr>
        <w:t>七、</w:t>
      </w:r>
      <w:r>
        <w:rPr>
          <w:rFonts w:hint="eastAsia" w:ascii="宋体" w:hAnsi="宋体" w:cs="宋体"/>
          <w:b/>
          <w:bCs/>
          <w:sz w:val="24"/>
        </w:rPr>
        <w:t>投标截止时间、响应文件递交截止时间及投标开始时间、地点</w:t>
      </w:r>
      <w:r>
        <w:rPr>
          <w:rFonts w:hint="eastAsia" w:ascii="宋体" w:hAnsi="宋体" w:cs="Arial"/>
          <w:sz w:val="24"/>
        </w:rPr>
        <w:t>：</w:t>
      </w:r>
    </w:p>
    <w:p>
      <w:pPr>
        <w:snapToGrid w:val="0"/>
        <w:spacing w:line="360" w:lineRule="auto"/>
        <w:ind w:firstLine="540" w:firstLineChars="225"/>
        <w:rPr>
          <w:rFonts w:hint="eastAsia" w:ascii="宋体" w:hAnsi="宋体" w:cs="宋体"/>
          <w:sz w:val="24"/>
        </w:rPr>
      </w:pPr>
      <w:r>
        <w:rPr>
          <w:rFonts w:hint="eastAsia" w:ascii="宋体" w:hAnsi="宋体" w:cs="宋体"/>
          <w:sz w:val="24"/>
        </w:rPr>
        <w:t>投标截止时间：以浙江政府采购网发布的本项目招标公告为准</w:t>
      </w:r>
    </w:p>
    <w:p>
      <w:pPr>
        <w:snapToGrid w:val="0"/>
        <w:spacing w:line="360" w:lineRule="auto"/>
        <w:ind w:firstLine="540" w:firstLineChars="225"/>
        <w:rPr>
          <w:rFonts w:hint="eastAsia" w:ascii="宋体" w:hAnsi="宋体" w:cs="宋体"/>
          <w:sz w:val="24"/>
        </w:rPr>
      </w:pPr>
      <w:r>
        <w:rPr>
          <w:rFonts w:hint="eastAsia" w:ascii="宋体" w:hAnsi="宋体" w:cs="宋体"/>
          <w:sz w:val="24"/>
        </w:rPr>
        <w:t>投标地址：通过政釆云平台实行在线投标响应。</w:t>
      </w:r>
    </w:p>
    <w:p>
      <w:pPr>
        <w:snapToGrid w:val="0"/>
        <w:spacing w:line="360" w:lineRule="auto"/>
        <w:ind w:firstLine="540" w:firstLineChars="225"/>
        <w:rPr>
          <w:rFonts w:hint="eastAsia" w:ascii="宋体" w:hAnsi="宋体" w:cs="宋体"/>
          <w:sz w:val="24"/>
        </w:rPr>
      </w:pPr>
      <w:r>
        <w:rPr>
          <w:rFonts w:hint="eastAsia" w:ascii="宋体" w:hAnsi="宋体" w:cs="宋体"/>
          <w:sz w:val="24"/>
        </w:rPr>
        <w:t>开标时间：以浙江政府采购网发布的本项目招标公告为准</w:t>
      </w:r>
    </w:p>
    <w:p>
      <w:pPr>
        <w:snapToGrid w:val="0"/>
        <w:spacing w:line="360" w:lineRule="auto"/>
        <w:ind w:firstLine="540" w:firstLineChars="225"/>
        <w:rPr>
          <w:rFonts w:hint="eastAsia" w:ascii="宋体" w:hAnsi="宋体"/>
          <w:sz w:val="24"/>
        </w:rPr>
      </w:pPr>
      <w:r>
        <w:rPr>
          <w:rFonts w:hint="eastAsia" w:ascii="宋体" w:hAnsi="宋体" w:cs="宋体"/>
          <w:sz w:val="24"/>
        </w:rPr>
        <w:t>开标地址：通过政釆云平台实行在线开标。</w:t>
      </w:r>
    </w:p>
    <w:p>
      <w:pPr>
        <w:snapToGrid w:val="0"/>
        <w:spacing w:line="360" w:lineRule="auto"/>
        <w:ind w:firstLine="482" w:firstLineChars="200"/>
        <w:jc w:val="left"/>
        <w:rPr>
          <w:rFonts w:ascii="宋体" w:hAnsi="宋体" w:cs="Arial"/>
          <w:sz w:val="24"/>
          <w:szCs w:val="20"/>
        </w:rPr>
      </w:pPr>
      <w:r>
        <w:rPr>
          <w:rFonts w:hint="eastAsia" w:ascii="宋体" w:hAnsi="宋体" w:cs="Arial"/>
          <w:b/>
          <w:bCs/>
          <w:sz w:val="24"/>
        </w:rPr>
        <w:t>八、</w:t>
      </w:r>
      <w:r>
        <w:rPr>
          <w:rFonts w:hint="eastAsia" w:ascii="宋体" w:hAnsi="宋体" w:cs="宋体"/>
          <w:b/>
          <w:bCs/>
          <w:sz w:val="24"/>
        </w:rPr>
        <w:t>投标保证金：</w:t>
      </w:r>
    </w:p>
    <w:p>
      <w:pPr>
        <w:snapToGrid w:val="0"/>
        <w:spacing w:line="360" w:lineRule="auto"/>
        <w:ind w:firstLine="540" w:firstLineChars="225"/>
        <w:rPr>
          <w:rFonts w:ascii="宋体" w:hAnsi="宋体"/>
          <w:sz w:val="24"/>
          <w:szCs w:val="20"/>
        </w:rPr>
      </w:pPr>
      <w:r>
        <w:rPr>
          <w:rFonts w:hint="eastAsia" w:ascii="宋体" w:hAnsi="宋体" w:cs="宋体"/>
          <w:sz w:val="24"/>
        </w:rPr>
        <w:t>根据《浙江省财政厅关于明确政府采购保证金管理工作的通知》（浙财采监〔2019〕5号）相关规定，本项目不设置投标保证金。</w:t>
      </w:r>
    </w:p>
    <w:p>
      <w:pPr>
        <w:snapToGrid w:val="0"/>
        <w:spacing w:line="360" w:lineRule="auto"/>
        <w:ind w:firstLine="482" w:firstLineChars="200"/>
        <w:rPr>
          <w:rFonts w:ascii="宋体" w:hAnsi="宋体" w:cs="Arial"/>
          <w:sz w:val="24"/>
          <w:szCs w:val="20"/>
        </w:rPr>
      </w:pPr>
      <w:r>
        <w:rPr>
          <w:rFonts w:hint="eastAsia" w:ascii="宋体" w:hAnsi="宋体" w:cs="Arial"/>
          <w:b/>
          <w:bCs/>
          <w:sz w:val="24"/>
        </w:rPr>
        <w:t>九、</w:t>
      </w:r>
      <w:r>
        <w:rPr>
          <w:rFonts w:hint="eastAsia" w:ascii="宋体" w:hAnsi="宋体" w:cs="宋体"/>
          <w:b/>
          <w:bCs/>
          <w:sz w:val="24"/>
        </w:rPr>
        <w:t>相关注意事项：</w:t>
      </w:r>
    </w:p>
    <w:p>
      <w:pPr>
        <w:snapToGrid w:val="0"/>
        <w:spacing w:line="360" w:lineRule="auto"/>
        <w:ind w:firstLine="540" w:firstLineChars="225"/>
        <w:rPr>
          <w:rFonts w:hint="eastAsia" w:ascii="宋体" w:hAnsi="宋体" w:cs="宋体"/>
          <w:sz w:val="24"/>
        </w:rPr>
      </w:pPr>
      <w:r>
        <w:rPr>
          <w:rFonts w:hint="eastAsia" w:ascii="宋体" w:hAnsi="宋体" w:cs="宋体"/>
          <w:sz w:val="24"/>
        </w:rPr>
        <w:t>1、</w:t>
      </w:r>
      <w:r>
        <w:rPr>
          <w:rFonts w:hint="eastAsia" w:ascii="宋体" w:hAnsi="宋体" w:cs="宋体"/>
          <w:b/>
          <w:bCs/>
          <w:sz w:val="24"/>
        </w:rPr>
        <w:t>本项目公告期限为五个工作日。</w:t>
      </w:r>
      <w:r>
        <w:rPr>
          <w:rFonts w:hint="eastAsia" w:ascii="宋体" w:hAnsi="宋体" w:cs="宋体"/>
          <w:sz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napToGrid w:val="0"/>
        <w:spacing w:line="360" w:lineRule="auto"/>
        <w:ind w:firstLine="540" w:firstLineChars="225"/>
        <w:rPr>
          <w:rFonts w:hint="eastAsia" w:ascii="宋体" w:hAnsi="宋体" w:cs="宋体"/>
          <w:sz w:val="24"/>
        </w:rPr>
      </w:pPr>
      <w:r>
        <w:rPr>
          <w:rFonts w:hint="eastAsia" w:ascii="宋体" w:hAnsi="宋体" w:cs="宋体"/>
          <w:sz w:val="24"/>
        </w:rPr>
        <w:t>2、采购项目需要落实的政府采购政策：详见采购文件。</w:t>
      </w:r>
    </w:p>
    <w:p>
      <w:pPr>
        <w:snapToGrid w:val="0"/>
        <w:spacing w:line="360" w:lineRule="auto"/>
        <w:ind w:firstLine="540" w:firstLineChars="225"/>
        <w:rPr>
          <w:rFonts w:hint="eastAsia" w:ascii="宋体" w:hAnsi="宋体" w:cs="宋体"/>
          <w:sz w:val="24"/>
        </w:rPr>
      </w:pPr>
      <w:r>
        <w:rPr>
          <w:rFonts w:hint="eastAsia" w:ascii="宋体" w:hAnsi="宋体" w:cs="宋体"/>
          <w:sz w:val="24"/>
        </w:rPr>
        <w:t>3. 其他事项：</w:t>
      </w:r>
    </w:p>
    <w:p>
      <w:pPr>
        <w:snapToGrid w:val="0"/>
        <w:spacing w:line="360" w:lineRule="auto"/>
        <w:ind w:firstLine="540" w:firstLineChars="225"/>
        <w:rPr>
          <w:rFonts w:hint="eastAsia" w:ascii="宋体" w:hAnsi="宋体" w:cs="宋体"/>
          <w:sz w:val="24"/>
        </w:rPr>
      </w:pPr>
      <w:r>
        <w:rPr>
          <w:rFonts w:hint="eastAsia" w:ascii="宋体" w:hAnsi="宋体" w:cs="宋体"/>
          <w:sz w:val="24"/>
        </w:rPr>
        <w:t>（1）请各投标供应商及时办理浙江政府采购网“政府采购供应商注册”入库手续。</w:t>
      </w:r>
    </w:p>
    <w:p>
      <w:pPr>
        <w:snapToGrid w:val="0"/>
        <w:spacing w:line="360" w:lineRule="auto"/>
        <w:ind w:firstLine="540" w:firstLineChars="225"/>
        <w:rPr>
          <w:rFonts w:hint="eastAsia" w:ascii="宋体" w:hAnsi="宋体" w:cs="宋体"/>
          <w:sz w:val="24"/>
        </w:rPr>
      </w:pPr>
      <w:r>
        <w:rPr>
          <w:rFonts w:hint="eastAsia" w:ascii="宋体" w:hAnsi="宋体" w:cs="宋体"/>
          <w:sz w:val="24"/>
        </w:rPr>
        <w:t>（2）投标供应商信用信息查询渠道及截止时点、信用信息查询记录和证据留存的具体方式、信用信息的使用规则：</w:t>
      </w:r>
    </w:p>
    <w:p>
      <w:pPr>
        <w:snapToGrid w:val="0"/>
        <w:spacing w:line="360" w:lineRule="auto"/>
        <w:ind w:firstLine="540" w:firstLineChars="225"/>
        <w:rPr>
          <w:rFonts w:hint="eastAsia" w:ascii="宋体" w:hAnsi="宋体" w:cs="宋体"/>
          <w:sz w:val="24"/>
        </w:rPr>
      </w:pPr>
      <w:r>
        <w:rPr>
          <w:rFonts w:hint="eastAsia" w:ascii="宋体" w:hAnsi="宋体" w:cs="宋体"/>
          <w:sz w:val="24"/>
        </w:rPr>
        <w:t>1）查询渠道：信用中国（网址：http://www.creditchina.gov.cn）、中国政府采购网(网址：http://www.ccgp.gov.cn）。</w:t>
      </w:r>
    </w:p>
    <w:p>
      <w:pPr>
        <w:snapToGrid w:val="0"/>
        <w:spacing w:line="360" w:lineRule="auto"/>
        <w:ind w:firstLine="540" w:firstLineChars="225"/>
        <w:rPr>
          <w:rFonts w:hint="eastAsia" w:ascii="宋体" w:hAnsi="宋体" w:cs="宋体"/>
          <w:sz w:val="24"/>
        </w:rPr>
      </w:pPr>
      <w:r>
        <w:rPr>
          <w:rFonts w:hint="eastAsia" w:ascii="宋体" w:hAnsi="宋体" w:cs="宋体"/>
          <w:sz w:val="24"/>
        </w:rPr>
        <w:t>2）截止时点：开标后评标前。</w:t>
      </w:r>
    </w:p>
    <w:p>
      <w:pPr>
        <w:snapToGrid w:val="0"/>
        <w:spacing w:line="360" w:lineRule="auto"/>
        <w:ind w:firstLine="540" w:firstLineChars="225"/>
        <w:rPr>
          <w:rFonts w:hint="eastAsia" w:ascii="宋体" w:hAnsi="宋体" w:cs="宋体"/>
          <w:sz w:val="24"/>
        </w:rPr>
      </w:pPr>
      <w:r>
        <w:rPr>
          <w:rFonts w:hint="eastAsia" w:ascii="宋体" w:hAnsi="宋体" w:cs="宋体"/>
          <w:sz w:val="24"/>
        </w:rPr>
        <w:t>3）信用信息查询记录和证据留存的具体方式：由采购组织机构在规定查询时间内打印信用信息查询记录并归入项目档案。</w:t>
      </w:r>
    </w:p>
    <w:p>
      <w:pPr>
        <w:snapToGrid w:val="0"/>
        <w:spacing w:line="360" w:lineRule="auto"/>
        <w:ind w:firstLine="540" w:firstLineChars="225"/>
        <w:rPr>
          <w:rFonts w:hint="eastAsia" w:ascii="宋体" w:hAnsi="宋体" w:cs="宋体"/>
          <w:sz w:val="24"/>
        </w:rPr>
      </w:pPr>
      <w:r>
        <w:rPr>
          <w:rFonts w:hint="eastAsia" w:ascii="宋体" w:hAnsi="宋体" w:cs="宋体"/>
          <w:sz w:val="24"/>
        </w:rPr>
        <w:t>4）使用规则：对列入失信被执行人、重大税收违法案件当事人名单、政府采购严重违法失信行为记录名单及其他不符合《中华人民共和国政府采购法》第二十二条规定条件的供应商，将被拒绝其参与政府采购活动，其投标文件作无效标处理。</w:t>
      </w:r>
    </w:p>
    <w:p>
      <w:pPr>
        <w:snapToGrid w:val="0"/>
        <w:spacing w:line="360" w:lineRule="auto"/>
        <w:ind w:firstLine="540" w:firstLineChars="225"/>
        <w:rPr>
          <w:rFonts w:hint="eastAsia" w:ascii="宋体" w:hAnsi="宋体" w:cs="宋体"/>
          <w:sz w:val="24"/>
        </w:rPr>
      </w:pPr>
      <w:r>
        <w:rPr>
          <w:rFonts w:hint="eastAsia" w:ascii="宋体" w:hAnsi="宋体" w:cs="宋体"/>
          <w:sz w:val="24"/>
        </w:rPr>
        <w:t>（3）本项目实行电子采购，采用电子投标文件。若供应商参与投标，自行承担投标一切费用。</w:t>
      </w:r>
    </w:p>
    <w:p>
      <w:pPr>
        <w:snapToGrid w:val="0"/>
        <w:spacing w:line="360" w:lineRule="auto"/>
        <w:ind w:firstLine="540" w:firstLineChars="225"/>
        <w:rPr>
          <w:rFonts w:hint="eastAsia" w:ascii="宋体" w:hAnsi="宋体" w:cs="宋体"/>
          <w:sz w:val="24"/>
        </w:rPr>
      </w:pPr>
      <w:r>
        <w:rPr>
          <w:rFonts w:hint="eastAsia" w:ascii="宋体" w:hAnsi="宋体" w:cs="宋体"/>
          <w:sz w:val="24"/>
        </w:rPr>
        <w:t>（4）标前准备：各供应商在开标前确保成为浙江政府采购网正式注册供应商，并完成CA数字证书办理（使用“政采云电子交易客户端”需要提前申领CA数字证书，申领流程请自行前往“浙江政府采购网-下载专区-电子交易客户端-CA驱动和申领流程”进行查阅）。因未注册入库、未办理CA数字证书等原因造成无法投标或投标失败等后果由供应商自行承担。完成CA数字证书办理时间较长，建议各潜在供应商抓紧时间办理。</w:t>
      </w:r>
    </w:p>
    <w:p>
      <w:pPr>
        <w:snapToGrid w:val="0"/>
        <w:spacing w:line="360" w:lineRule="auto"/>
        <w:ind w:firstLine="540" w:firstLineChars="225"/>
        <w:rPr>
          <w:rFonts w:hint="eastAsia" w:ascii="宋体" w:hAnsi="宋体" w:cs="宋体"/>
          <w:sz w:val="24"/>
        </w:rPr>
      </w:pPr>
      <w:r>
        <w:rPr>
          <w:rFonts w:hint="eastAsia" w:ascii="宋体" w:hAnsi="宋体" w:cs="宋体"/>
          <w:sz w:val="24"/>
        </w:rPr>
        <w:t>（5）电子投标文件编制、递交、解密等：</w:t>
      </w:r>
    </w:p>
    <w:p>
      <w:pPr>
        <w:snapToGrid w:val="0"/>
        <w:spacing w:line="360" w:lineRule="auto"/>
        <w:ind w:firstLine="540" w:firstLineChars="225"/>
        <w:rPr>
          <w:rFonts w:hint="eastAsia" w:ascii="宋体" w:hAnsi="宋体" w:cs="宋体"/>
          <w:sz w:val="24"/>
        </w:rPr>
      </w:pPr>
      <w:r>
        <w:rPr>
          <w:rFonts w:hint="eastAsia" w:ascii="宋体" w:hAnsi="宋体" w:cs="宋体"/>
          <w:sz w:val="24"/>
        </w:rPr>
        <w:t>1）应按照本项目招标文件和政采云平台的要求，通过“政采云电子交易客户端”编制、加密投标文件，并按要求上传递交投标文件。供应商未按规定加密和递交的投标文件，“政府采购云平台”将予以拒收。供应商在使用系统进行投标的过程中遇到涉及平台使用的任何问题，可致电政采云平台技术支持热线咨询，联系方式：400-881-7190。</w:t>
      </w:r>
    </w:p>
    <w:p>
      <w:pPr>
        <w:snapToGrid w:val="0"/>
        <w:spacing w:line="360" w:lineRule="auto"/>
        <w:ind w:firstLine="540" w:firstLineChars="225"/>
        <w:rPr>
          <w:rFonts w:hint="eastAsia" w:ascii="宋体" w:hAnsi="宋体" w:cs="宋体"/>
          <w:sz w:val="24"/>
        </w:rPr>
      </w:pPr>
      <w:r>
        <w:rPr>
          <w:rFonts w:hint="eastAsia" w:ascii="宋体" w:hAnsi="宋体" w:cs="宋体"/>
          <w:sz w:val="24"/>
        </w:rPr>
        <w:t>2）投标人通过政采云平台电子投标工具制作投标文件，电子投标工具请供应商自行前往浙江政府采购网下载并安装，具体为“浙江政府采购网-下载专区-电子交易客户端”进行下载，电子投标文件制作具体流程详见政采云平台供应商项目采购的电子招投标操作指南。</w:t>
      </w:r>
    </w:p>
    <w:p>
      <w:pPr>
        <w:snapToGrid w:val="0"/>
        <w:spacing w:line="360" w:lineRule="auto"/>
        <w:ind w:firstLine="540" w:firstLineChars="225"/>
        <w:rPr>
          <w:rFonts w:hint="eastAsia" w:ascii="宋体" w:hAnsi="宋体" w:cs="宋体"/>
          <w:sz w:val="24"/>
        </w:rPr>
      </w:pPr>
      <w:r>
        <w:rPr>
          <w:rFonts w:hint="eastAsia" w:ascii="宋体" w:hAnsi="宋体" w:cs="宋体"/>
          <w:sz w:val="24"/>
        </w:rPr>
        <w:t>3）建议供应商提前上传电子投标文件，以便在上传时遇到技术问题，有充足的时间请教平台的技术人员（投标供应商应当在投标截止时间前，将生成的“电子加密投标文件”上传递交至“政釆云平台”。投标截止时间以后上传递交的投标文件将被拒收）。</w:t>
      </w:r>
    </w:p>
    <w:p>
      <w:pPr>
        <w:snapToGrid w:val="0"/>
        <w:spacing w:line="360" w:lineRule="auto"/>
        <w:ind w:firstLine="240" w:firstLineChars="100"/>
        <w:rPr>
          <w:rFonts w:hint="eastAsia" w:ascii="宋体" w:hAnsi="宋体" w:cs="宋体"/>
          <w:sz w:val="24"/>
        </w:rPr>
      </w:pPr>
      <w:r>
        <w:rPr>
          <w:rFonts w:hint="eastAsia" w:ascii="宋体" w:hAnsi="宋体" w:cs="宋体"/>
          <w:sz w:val="24"/>
        </w:rPr>
        <w:t>4）本次招标将于规定时间在政釆云平台实行在线开标，请在开标当日规定解密时间内将投标文件完成解密（用CA驱动锁插入电脑及账号登入政釆云平台按时解密）。供应商在投标截止时间前请将备份电子投标文件（存储在U盘中）送达（或邮寄）至采购代理机构处,地址及电话见下方联系方式，备份电子投标文件单独密封包装，包装袋封面应标明项目名称、供应商名称，封口应加盖单位公章。若邮寄的，再装入邮寄袋，逾期或不符合规定的备份电子投标文件恕不接受，供应商自行对邮寄的备份电子投标文件完整性和快递过程中的一切问题负责，以快递送达时间为准，建议供应商提前快递，采用EMS或顺丰快递等方式，不接受到付的快递。投标文件未按时完成解密，供应商提供了备份电子投标文件的，以备份电子投标文件作为依据，未提供备份电子投标文件的，视为放弃投标处理。按时完成解密的，其备份电子投标文件自动失效。</w:t>
      </w:r>
    </w:p>
    <w:p>
      <w:pPr>
        <w:snapToGrid w:val="0"/>
        <w:spacing w:line="360" w:lineRule="auto"/>
        <w:ind w:firstLine="241" w:firstLineChars="100"/>
        <w:rPr>
          <w:rFonts w:ascii="宋体" w:hAnsi="宋体" w:cs="Arial"/>
          <w:b/>
          <w:sz w:val="24"/>
          <w:szCs w:val="20"/>
        </w:rPr>
      </w:pPr>
      <w:r>
        <w:rPr>
          <w:rFonts w:hint="eastAsia" w:ascii="宋体" w:hAnsi="宋体" w:cs="Arial"/>
          <w:b/>
          <w:sz w:val="24"/>
        </w:rPr>
        <w:t>十、其他：</w:t>
      </w:r>
    </w:p>
    <w:p>
      <w:pPr>
        <w:snapToGrid w:val="0"/>
        <w:spacing w:line="360" w:lineRule="auto"/>
        <w:ind w:firstLine="540" w:firstLineChars="225"/>
        <w:rPr>
          <w:rFonts w:hint="eastAsia" w:ascii="宋体" w:hAnsi="宋体" w:cs="宋体"/>
          <w:sz w:val="24"/>
        </w:rPr>
      </w:pPr>
      <w:r>
        <w:rPr>
          <w:rFonts w:hint="eastAsia" w:ascii="宋体" w:hAnsi="宋体" w:cs="宋体"/>
          <w:sz w:val="24"/>
        </w:rPr>
        <w:t>1、采购代理机构名称：浙江天平投资咨询有限公司</w:t>
      </w:r>
    </w:p>
    <w:p>
      <w:pPr>
        <w:snapToGrid w:val="0"/>
        <w:spacing w:line="360" w:lineRule="auto"/>
        <w:ind w:firstLine="540" w:firstLineChars="225"/>
        <w:rPr>
          <w:rFonts w:hint="eastAsia" w:ascii="宋体" w:hAnsi="宋体" w:cs="宋体"/>
          <w:sz w:val="24"/>
        </w:rPr>
      </w:pPr>
      <w:r>
        <w:rPr>
          <w:rFonts w:hint="eastAsia" w:ascii="宋体" w:hAnsi="宋体" w:cs="宋体"/>
          <w:sz w:val="24"/>
        </w:rPr>
        <w:t>联系人：王先生</w:t>
      </w:r>
    </w:p>
    <w:p>
      <w:pPr>
        <w:snapToGrid w:val="0"/>
        <w:spacing w:line="360" w:lineRule="auto"/>
        <w:ind w:firstLine="540" w:firstLineChars="225"/>
        <w:rPr>
          <w:rFonts w:hint="eastAsia" w:ascii="宋体" w:hAnsi="宋体" w:cs="宋体"/>
          <w:sz w:val="24"/>
        </w:rPr>
      </w:pPr>
      <w:r>
        <w:rPr>
          <w:rFonts w:hint="eastAsia" w:ascii="宋体" w:hAnsi="宋体" w:cs="宋体"/>
          <w:sz w:val="24"/>
        </w:rPr>
        <w:t>联系电话：0576-88601313</w:t>
      </w:r>
    </w:p>
    <w:p>
      <w:pPr>
        <w:snapToGrid w:val="0"/>
        <w:spacing w:line="360" w:lineRule="auto"/>
        <w:ind w:firstLine="540" w:firstLineChars="225"/>
        <w:rPr>
          <w:rFonts w:hint="eastAsia" w:ascii="宋体" w:hAnsi="宋体" w:cs="宋体"/>
          <w:sz w:val="24"/>
        </w:rPr>
      </w:pPr>
      <w:r>
        <w:rPr>
          <w:rFonts w:hint="eastAsia" w:ascii="宋体" w:hAnsi="宋体" w:cs="宋体"/>
          <w:sz w:val="24"/>
        </w:rPr>
        <w:t>代理机构质疑联系人：李张勇</w:t>
      </w:r>
    </w:p>
    <w:p>
      <w:pPr>
        <w:snapToGrid w:val="0"/>
        <w:spacing w:line="360" w:lineRule="auto"/>
        <w:ind w:firstLine="540" w:firstLineChars="225"/>
        <w:rPr>
          <w:rFonts w:hint="eastAsia" w:ascii="宋体" w:hAnsi="宋体" w:cs="宋体"/>
          <w:sz w:val="24"/>
        </w:rPr>
      </w:pPr>
      <w:r>
        <w:rPr>
          <w:rFonts w:hint="eastAsia" w:ascii="宋体" w:hAnsi="宋体" w:cs="宋体"/>
          <w:sz w:val="24"/>
        </w:rPr>
        <w:t xml:space="preserve">联系电话：0576-88601313（受理供应商注册、中标结果相关质疑及答复） </w:t>
      </w:r>
    </w:p>
    <w:p>
      <w:pPr>
        <w:snapToGrid w:val="0"/>
        <w:spacing w:line="360" w:lineRule="auto"/>
        <w:ind w:firstLine="540" w:firstLineChars="225"/>
        <w:rPr>
          <w:rFonts w:hint="eastAsia" w:ascii="宋体" w:hAnsi="宋体" w:cs="宋体"/>
          <w:sz w:val="24"/>
        </w:rPr>
      </w:pPr>
      <w:r>
        <w:rPr>
          <w:rFonts w:hint="eastAsia" w:ascii="宋体" w:hAnsi="宋体" w:cs="宋体"/>
          <w:sz w:val="24"/>
        </w:rPr>
        <w:t>地址：浙江省台州市椒江区亿嘉路101号华中大厦2单元2003室</w:t>
      </w:r>
    </w:p>
    <w:p>
      <w:pPr>
        <w:snapToGrid w:val="0"/>
        <w:spacing w:line="360" w:lineRule="auto"/>
        <w:ind w:firstLine="540" w:firstLineChars="225"/>
        <w:rPr>
          <w:rFonts w:hint="eastAsia" w:ascii="宋体" w:hAnsi="宋体" w:cs="宋体"/>
          <w:sz w:val="24"/>
        </w:rPr>
      </w:pPr>
      <w:r>
        <w:rPr>
          <w:rFonts w:hint="eastAsia" w:ascii="宋体" w:hAnsi="宋体" w:cs="宋体"/>
          <w:sz w:val="24"/>
        </w:rPr>
        <w:t>2、采购人名称：台州市公安局集聚区分局</w:t>
      </w:r>
    </w:p>
    <w:p>
      <w:pPr>
        <w:snapToGrid w:val="0"/>
        <w:spacing w:line="360" w:lineRule="auto"/>
        <w:ind w:firstLine="540" w:firstLineChars="225"/>
        <w:rPr>
          <w:rFonts w:hint="eastAsia" w:ascii="宋体" w:hAnsi="宋体" w:cs="宋体"/>
          <w:sz w:val="24"/>
        </w:rPr>
      </w:pPr>
      <w:r>
        <w:rPr>
          <w:rFonts w:hint="eastAsia" w:ascii="宋体" w:hAnsi="宋体" w:cs="宋体"/>
          <w:sz w:val="24"/>
        </w:rPr>
        <w:t>采购单位联系人： 张先生</w:t>
      </w:r>
    </w:p>
    <w:p>
      <w:pPr>
        <w:snapToGrid w:val="0"/>
        <w:spacing w:line="360" w:lineRule="auto"/>
        <w:ind w:firstLine="540" w:firstLineChars="225"/>
        <w:rPr>
          <w:rFonts w:hint="eastAsia" w:ascii="宋体" w:hAnsi="宋体" w:cs="宋体"/>
          <w:sz w:val="24"/>
        </w:rPr>
      </w:pPr>
      <w:r>
        <w:rPr>
          <w:rFonts w:hint="eastAsia" w:ascii="宋体" w:hAnsi="宋体" w:cs="宋体"/>
          <w:sz w:val="24"/>
        </w:rPr>
        <w:t>联系电话： 13666877561</w:t>
      </w:r>
    </w:p>
    <w:p>
      <w:pPr>
        <w:snapToGrid w:val="0"/>
        <w:spacing w:line="360" w:lineRule="auto"/>
        <w:ind w:firstLine="540" w:firstLineChars="225"/>
        <w:rPr>
          <w:rFonts w:hint="eastAsia" w:ascii="宋体" w:hAnsi="宋体" w:cs="宋体"/>
          <w:sz w:val="24"/>
        </w:rPr>
      </w:pPr>
      <w:r>
        <w:rPr>
          <w:rFonts w:hint="eastAsia" w:ascii="宋体" w:hAnsi="宋体" w:cs="宋体"/>
          <w:sz w:val="24"/>
        </w:rPr>
        <w:t>地址： 浙江省台州市椒江区启航路666号</w:t>
      </w:r>
    </w:p>
    <w:p>
      <w:pPr>
        <w:snapToGrid w:val="0"/>
        <w:spacing w:line="360" w:lineRule="auto"/>
        <w:ind w:firstLine="540" w:firstLineChars="225"/>
        <w:rPr>
          <w:rFonts w:hint="eastAsia" w:ascii="宋体" w:hAnsi="宋体" w:cs="宋体"/>
          <w:sz w:val="24"/>
        </w:rPr>
      </w:pPr>
      <w:r>
        <w:rPr>
          <w:rFonts w:hint="eastAsia" w:ascii="宋体" w:hAnsi="宋体" w:cs="宋体"/>
          <w:sz w:val="24"/>
        </w:rPr>
        <w:t>3、同级政府采购监督管理部门名称：台州市财政局采监处</w:t>
      </w:r>
    </w:p>
    <w:p>
      <w:pPr>
        <w:snapToGrid w:val="0"/>
        <w:spacing w:line="360" w:lineRule="auto"/>
        <w:ind w:firstLine="540" w:firstLineChars="225"/>
        <w:rPr>
          <w:rFonts w:hint="eastAsia" w:ascii="宋体" w:hAnsi="宋体" w:cs="宋体"/>
          <w:sz w:val="24"/>
        </w:rPr>
      </w:pPr>
      <w:r>
        <w:rPr>
          <w:rFonts w:hint="eastAsia" w:ascii="宋体" w:hAnsi="宋体" w:cs="宋体"/>
          <w:sz w:val="24"/>
        </w:rPr>
        <w:t>联系人：张先生       </w:t>
      </w:r>
    </w:p>
    <w:p>
      <w:pPr>
        <w:snapToGrid w:val="0"/>
        <w:spacing w:line="360" w:lineRule="auto"/>
        <w:ind w:firstLine="540" w:firstLineChars="225"/>
        <w:rPr>
          <w:rFonts w:hint="eastAsia" w:ascii="宋体" w:hAnsi="宋体" w:cs="宋体"/>
          <w:sz w:val="24"/>
        </w:rPr>
      </w:pPr>
      <w:r>
        <w:rPr>
          <w:rFonts w:hint="eastAsia" w:ascii="宋体" w:hAnsi="宋体" w:cs="宋体"/>
          <w:sz w:val="24"/>
        </w:rPr>
        <w:t>监督投诉电话：0576-88206705</w:t>
      </w:r>
    </w:p>
    <w:p>
      <w:pPr>
        <w:snapToGrid w:val="0"/>
        <w:spacing w:line="360" w:lineRule="auto"/>
        <w:ind w:firstLine="540" w:firstLineChars="225"/>
        <w:rPr>
          <w:rFonts w:hint="eastAsia" w:ascii="宋体" w:hAnsi="宋体" w:cs="宋体"/>
          <w:sz w:val="24"/>
        </w:rPr>
      </w:pPr>
      <w:r>
        <w:rPr>
          <w:rFonts w:hint="eastAsia" w:ascii="宋体" w:hAnsi="宋体" w:cs="宋体"/>
          <w:sz w:val="24"/>
        </w:rPr>
        <w:t>地址：台州经济开发区纬一路天元大厦</w:t>
      </w:r>
    </w:p>
    <w:p>
      <w:pPr>
        <w:pStyle w:val="8"/>
        <w:spacing w:line="360" w:lineRule="auto"/>
        <w:ind w:left="476" w:leftChars="170" w:firstLine="0"/>
      </w:pPr>
      <w:r>
        <w:rPr>
          <w:rFonts w:hint="eastAsia" w:ascii="宋体" w:hAnsi="宋体" w:cs="宋体"/>
          <w:b/>
          <w:bCs/>
          <w:sz w:val="24"/>
          <w:szCs w:val="24"/>
        </w:rPr>
        <w:t>4、银行（中标项目贷款咨询）</w:t>
      </w:r>
      <w:r>
        <w:rPr>
          <w:rFonts w:hint="eastAsia" w:ascii="宋体" w:hAnsi="宋体" w:cs="宋体"/>
          <w:b/>
          <w:sz w:val="24"/>
          <w:szCs w:val="24"/>
        </w:rPr>
        <w:br w:type="textWrapping"/>
      </w:r>
      <w:r>
        <w:rPr>
          <w:rFonts w:ascii="宋体" w:hAnsi="宋体" w:cs="宋体"/>
          <w:sz w:val="24"/>
          <w:szCs w:val="24"/>
        </w:rPr>
        <w:t>中标人可根据项目情况及自身需求向以下银行申请企业贷款，利率从优。</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1334"/>
        <w:gridCol w:w="1688"/>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银行</w:t>
            </w:r>
          </w:p>
        </w:tc>
        <w:tc>
          <w:tcPr>
            <w:tcW w:w="1334" w:type="dxa"/>
            <w:noWrap w:val="0"/>
            <w:vAlign w:val="center"/>
          </w:tcPr>
          <w:p>
            <w:pPr>
              <w:jc w:val="center"/>
              <w:rPr>
                <w:rFonts w:hint="eastAsia" w:ascii="宋体" w:hAnsi="宋体" w:cs="宋体"/>
                <w:sz w:val="24"/>
              </w:rPr>
            </w:pPr>
            <w:r>
              <w:rPr>
                <w:rFonts w:hint="eastAsia" w:ascii="宋体" w:hAnsi="宋体" w:cs="宋体"/>
                <w:sz w:val="24"/>
              </w:rPr>
              <w:t>贷款年利率</w:t>
            </w:r>
          </w:p>
        </w:tc>
        <w:tc>
          <w:tcPr>
            <w:tcW w:w="1688" w:type="dxa"/>
            <w:noWrap w:val="0"/>
            <w:vAlign w:val="center"/>
          </w:tcPr>
          <w:p>
            <w:pPr>
              <w:jc w:val="center"/>
              <w:rPr>
                <w:rFonts w:hint="eastAsia" w:ascii="宋体" w:hAnsi="宋体" w:cs="宋体"/>
                <w:sz w:val="24"/>
              </w:rPr>
            </w:pPr>
            <w:r>
              <w:rPr>
                <w:rFonts w:hint="eastAsia" w:ascii="宋体" w:hAnsi="宋体" w:cs="宋体"/>
                <w:sz w:val="24"/>
              </w:rPr>
              <w:t>联系人</w:t>
            </w:r>
          </w:p>
        </w:tc>
        <w:tc>
          <w:tcPr>
            <w:tcW w:w="2131" w:type="dxa"/>
            <w:noWrap w:val="0"/>
            <w:vAlign w:val="center"/>
          </w:tcPr>
          <w:p>
            <w:pPr>
              <w:jc w:val="center"/>
              <w:rPr>
                <w:rFonts w:hint="eastAsia" w:ascii="宋体" w:hAnsi="宋体" w:cs="宋体"/>
                <w:sz w:val="24"/>
              </w:rPr>
            </w:pPr>
            <w:r>
              <w:rPr>
                <w:rFonts w:hint="eastAsia" w:ascii="宋体" w:hAnsi="宋体" w:cs="宋体"/>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中国工商银行</w:t>
            </w:r>
          </w:p>
        </w:tc>
        <w:tc>
          <w:tcPr>
            <w:tcW w:w="1334" w:type="dxa"/>
            <w:noWrap w:val="0"/>
            <w:vAlign w:val="center"/>
          </w:tcPr>
          <w:p>
            <w:pPr>
              <w:jc w:val="center"/>
              <w:rPr>
                <w:rFonts w:hint="eastAsia" w:ascii="宋体" w:hAnsi="宋体" w:cs="宋体"/>
                <w:sz w:val="24"/>
              </w:rPr>
            </w:pPr>
            <w:r>
              <w:rPr>
                <w:rFonts w:hint="eastAsia" w:ascii="宋体" w:hAnsi="宋体" w:cs="宋体"/>
                <w:sz w:val="24"/>
              </w:rPr>
              <w:t>3.8%起</w:t>
            </w:r>
          </w:p>
        </w:tc>
        <w:tc>
          <w:tcPr>
            <w:tcW w:w="1688" w:type="dxa"/>
            <w:noWrap w:val="0"/>
            <w:vAlign w:val="center"/>
          </w:tcPr>
          <w:p>
            <w:pPr>
              <w:jc w:val="center"/>
              <w:rPr>
                <w:rFonts w:hint="eastAsia" w:ascii="宋体" w:hAnsi="宋体" w:cs="宋体"/>
                <w:sz w:val="24"/>
              </w:rPr>
            </w:pPr>
            <w:r>
              <w:rPr>
                <w:rFonts w:hint="eastAsia" w:ascii="宋体" w:hAnsi="宋体" w:cs="宋体"/>
                <w:sz w:val="24"/>
              </w:rPr>
              <w:t>王霖</w:t>
            </w:r>
          </w:p>
        </w:tc>
        <w:tc>
          <w:tcPr>
            <w:tcW w:w="2131" w:type="dxa"/>
            <w:noWrap w:val="0"/>
            <w:vAlign w:val="center"/>
          </w:tcPr>
          <w:p>
            <w:pPr>
              <w:jc w:val="center"/>
              <w:rPr>
                <w:rFonts w:hint="eastAsia" w:ascii="宋体" w:hAnsi="宋体" w:cs="宋体"/>
                <w:sz w:val="24"/>
              </w:rPr>
            </w:pPr>
            <w:r>
              <w:rPr>
                <w:rFonts w:hint="eastAsia" w:ascii="宋体" w:hAnsi="宋体" w:cs="宋体"/>
                <w:sz w:val="24"/>
              </w:rPr>
              <w:t>88588246  13857654562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中国农业银行</w:t>
            </w:r>
          </w:p>
        </w:tc>
        <w:tc>
          <w:tcPr>
            <w:tcW w:w="1334" w:type="dxa"/>
            <w:noWrap w:val="0"/>
            <w:vAlign w:val="center"/>
          </w:tcPr>
          <w:p>
            <w:pPr>
              <w:jc w:val="center"/>
              <w:rPr>
                <w:rFonts w:hint="eastAsia" w:ascii="宋体" w:hAnsi="宋体" w:cs="宋体"/>
                <w:sz w:val="24"/>
              </w:rPr>
            </w:pPr>
            <w:r>
              <w:rPr>
                <w:rFonts w:hint="eastAsia" w:ascii="宋体" w:hAnsi="宋体" w:cs="宋体"/>
                <w:sz w:val="24"/>
              </w:rPr>
              <w:t>3.8%起</w:t>
            </w:r>
          </w:p>
        </w:tc>
        <w:tc>
          <w:tcPr>
            <w:tcW w:w="1688" w:type="dxa"/>
            <w:noWrap w:val="0"/>
            <w:vAlign w:val="center"/>
          </w:tcPr>
          <w:p>
            <w:pPr>
              <w:jc w:val="center"/>
              <w:rPr>
                <w:rFonts w:hint="eastAsia" w:ascii="宋体" w:hAnsi="宋体" w:cs="宋体"/>
                <w:sz w:val="24"/>
              </w:rPr>
            </w:pPr>
            <w:r>
              <w:rPr>
                <w:rFonts w:hint="eastAsia" w:ascii="宋体" w:hAnsi="宋体" w:cs="宋体"/>
                <w:sz w:val="24"/>
              </w:rPr>
              <w:t>龚盛</w:t>
            </w:r>
          </w:p>
        </w:tc>
        <w:tc>
          <w:tcPr>
            <w:tcW w:w="2131" w:type="dxa"/>
            <w:noWrap w:val="0"/>
            <w:vAlign w:val="center"/>
          </w:tcPr>
          <w:p>
            <w:pPr>
              <w:jc w:val="center"/>
              <w:rPr>
                <w:rFonts w:hint="eastAsia" w:ascii="宋体" w:hAnsi="宋体" w:cs="宋体"/>
                <w:sz w:val="24"/>
              </w:rPr>
            </w:pPr>
            <w:r>
              <w:rPr>
                <w:rFonts w:hint="eastAsia" w:ascii="宋体" w:hAnsi="宋体" w:cs="宋体"/>
                <w:sz w:val="24"/>
              </w:rPr>
              <w:t>15858682216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中国建设银行</w:t>
            </w:r>
          </w:p>
        </w:tc>
        <w:tc>
          <w:tcPr>
            <w:tcW w:w="1334" w:type="dxa"/>
            <w:noWrap w:val="0"/>
            <w:vAlign w:val="center"/>
          </w:tcPr>
          <w:p>
            <w:pPr>
              <w:jc w:val="center"/>
              <w:rPr>
                <w:rFonts w:hint="eastAsia" w:ascii="宋体" w:hAnsi="宋体" w:cs="宋体"/>
                <w:sz w:val="24"/>
              </w:rPr>
            </w:pPr>
            <w:r>
              <w:rPr>
                <w:rFonts w:hint="eastAsia" w:ascii="宋体" w:hAnsi="宋体" w:cs="宋体"/>
                <w:sz w:val="24"/>
              </w:rPr>
              <w:t>3.8%起</w:t>
            </w:r>
          </w:p>
        </w:tc>
        <w:tc>
          <w:tcPr>
            <w:tcW w:w="1688" w:type="dxa"/>
            <w:noWrap w:val="0"/>
            <w:vAlign w:val="center"/>
          </w:tcPr>
          <w:p>
            <w:pPr>
              <w:jc w:val="center"/>
              <w:rPr>
                <w:rFonts w:hint="eastAsia" w:ascii="宋体" w:hAnsi="宋体" w:cs="宋体"/>
                <w:sz w:val="24"/>
              </w:rPr>
            </w:pPr>
            <w:r>
              <w:rPr>
                <w:rFonts w:hint="eastAsia" w:ascii="宋体" w:hAnsi="宋体" w:cs="宋体"/>
                <w:sz w:val="24"/>
              </w:rPr>
              <w:t>梅晶晶</w:t>
            </w:r>
          </w:p>
        </w:tc>
        <w:tc>
          <w:tcPr>
            <w:tcW w:w="2131" w:type="dxa"/>
            <w:noWrap w:val="0"/>
            <w:vAlign w:val="center"/>
          </w:tcPr>
          <w:p>
            <w:pPr>
              <w:jc w:val="center"/>
              <w:rPr>
                <w:rFonts w:hint="eastAsia" w:ascii="宋体" w:hAnsi="宋体" w:cs="宋体"/>
                <w:sz w:val="24"/>
              </w:rPr>
            </w:pPr>
            <w:r>
              <w:rPr>
                <w:rFonts w:hint="eastAsia" w:ascii="宋体" w:hAnsi="宋体" w:cs="宋体"/>
                <w:sz w:val="24"/>
              </w:rPr>
              <w:t>88525339</w:t>
            </w:r>
          </w:p>
          <w:p>
            <w:pPr>
              <w:jc w:val="center"/>
              <w:rPr>
                <w:rFonts w:ascii="宋体" w:hAnsi="宋体" w:cs="宋体"/>
                <w:sz w:val="24"/>
              </w:rPr>
            </w:pPr>
            <w:r>
              <w:rPr>
                <w:rFonts w:hint="eastAsia" w:ascii="宋体" w:hAnsi="宋体" w:cs="宋体"/>
                <w:sz w:val="24"/>
              </w:rPr>
              <w:t>13736585303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中国银行</w:t>
            </w:r>
          </w:p>
        </w:tc>
        <w:tc>
          <w:tcPr>
            <w:tcW w:w="1334" w:type="dxa"/>
            <w:noWrap w:val="0"/>
            <w:vAlign w:val="center"/>
          </w:tcPr>
          <w:p>
            <w:pPr>
              <w:jc w:val="center"/>
              <w:rPr>
                <w:rFonts w:hint="eastAsia" w:ascii="宋体" w:hAnsi="宋体" w:cs="宋体"/>
                <w:sz w:val="24"/>
              </w:rPr>
            </w:pPr>
            <w:r>
              <w:rPr>
                <w:rFonts w:hint="eastAsia" w:ascii="宋体" w:hAnsi="宋体" w:cs="宋体"/>
                <w:sz w:val="24"/>
              </w:rPr>
              <w:t>3.75%起</w:t>
            </w:r>
          </w:p>
        </w:tc>
        <w:tc>
          <w:tcPr>
            <w:tcW w:w="1688" w:type="dxa"/>
            <w:noWrap w:val="0"/>
            <w:vAlign w:val="center"/>
          </w:tcPr>
          <w:p>
            <w:pPr>
              <w:jc w:val="center"/>
              <w:rPr>
                <w:rFonts w:hint="eastAsia" w:ascii="宋体" w:hAnsi="宋体" w:cs="宋体"/>
                <w:sz w:val="24"/>
              </w:rPr>
            </w:pPr>
            <w:r>
              <w:rPr>
                <w:rFonts w:hint="eastAsia" w:ascii="宋体" w:hAnsi="宋体" w:cs="宋体"/>
                <w:sz w:val="24"/>
              </w:rPr>
              <w:t>任茜</w:t>
            </w:r>
          </w:p>
        </w:tc>
        <w:tc>
          <w:tcPr>
            <w:tcW w:w="2131" w:type="dxa"/>
            <w:noWrap w:val="0"/>
            <w:vAlign w:val="center"/>
          </w:tcPr>
          <w:p>
            <w:pPr>
              <w:jc w:val="center"/>
              <w:rPr>
                <w:rFonts w:hint="eastAsia" w:ascii="宋体" w:hAnsi="宋体" w:cs="宋体"/>
                <w:sz w:val="24"/>
              </w:rPr>
            </w:pPr>
            <w:r>
              <w:rPr>
                <w:rFonts w:hint="eastAsia" w:ascii="宋体" w:hAnsi="宋体" w:cs="宋体"/>
                <w:sz w:val="24"/>
              </w:rPr>
              <w:t>13857695378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浦发银行台州分行</w:t>
            </w:r>
          </w:p>
        </w:tc>
        <w:tc>
          <w:tcPr>
            <w:tcW w:w="1334" w:type="dxa"/>
            <w:noWrap w:val="0"/>
            <w:vAlign w:val="center"/>
          </w:tcPr>
          <w:p>
            <w:pPr>
              <w:jc w:val="center"/>
              <w:rPr>
                <w:rFonts w:ascii="宋体" w:hAnsi="宋体" w:cs="宋体"/>
                <w:sz w:val="24"/>
              </w:rPr>
            </w:pPr>
            <w:r>
              <w:rPr>
                <w:rFonts w:hint="eastAsia" w:ascii="宋体" w:hAnsi="宋体" w:cs="宋体"/>
                <w:sz w:val="24"/>
              </w:rPr>
              <w:t>4.05%起</w:t>
            </w:r>
          </w:p>
        </w:tc>
        <w:tc>
          <w:tcPr>
            <w:tcW w:w="1688" w:type="dxa"/>
            <w:noWrap w:val="0"/>
            <w:vAlign w:val="center"/>
          </w:tcPr>
          <w:p>
            <w:pPr>
              <w:jc w:val="center"/>
              <w:rPr>
                <w:rFonts w:hint="eastAsia" w:ascii="宋体" w:hAnsi="宋体" w:cs="宋体"/>
                <w:sz w:val="24"/>
              </w:rPr>
            </w:pPr>
            <w:r>
              <w:rPr>
                <w:rFonts w:hint="eastAsia" w:ascii="宋体" w:hAnsi="宋体" w:cs="宋体"/>
                <w:sz w:val="24"/>
              </w:rPr>
              <w:t>王渊</w:t>
            </w:r>
          </w:p>
        </w:tc>
        <w:tc>
          <w:tcPr>
            <w:tcW w:w="2131" w:type="dxa"/>
            <w:noWrap w:val="0"/>
            <w:vAlign w:val="center"/>
          </w:tcPr>
          <w:p>
            <w:pPr>
              <w:jc w:val="center"/>
              <w:rPr>
                <w:rFonts w:ascii="宋体" w:hAnsi="宋体" w:cs="宋体"/>
                <w:sz w:val="24"/>
              </w:rPr>
            </w:pPr>
            <w:r>
              <w:rPr>
                <w:rFonts w:hint="eastAsia" w:ascii="宋体" w:hAnsi="宋体" w:cs="宋体"/>
                <w:sz w:val="24"/>
              </w:rPr>
              <w:t>13616676319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浦发银行椒江分行</w:t>
            </w:r>
          </w:p>
        </w:tc>
        <w:tc>
          <w:tcPr>
            <w:tcW w:w="1334" w:type="dxa"/>
            <w:noWrap w:val="0"/>
            <w:vAlign w:val="center"/>
          </w:tcPr>
          <w:p>
            <w:pPr>
              <w:jc w:val="center"/>
              <w:rPr>
                <w:rFonts w:hint="eastAsia" w:ascii="宋体" w:hAnsi="宋体" w:cs="宋体"/>
                <w:sz w:val="24"/>
              </w:rPr>
            </w:pPr>
            <w:r>
              <w:rPr>
                <w:rFonts w:hint="eastAsia" w:ascii="宋体" w:hAnsi="宋体" w:cs="宋体"/>
                <w:sz w:val="24"/>
              </w:rPr>
              <w:t>4.05%起</w:t>
            </w:r>
          </w:p>
        </w:tc>
        <w:tc>
          <w:tcPr>
            <w:tcW w:w="1688" w:type="dxa"/>
            <w:noWrap w:val="0"/>
            <w:vAlign w:val="center"/>
          </w:tcPr>
          <w:p>
            <w:pPr>
              <w:jc w:val="center"/>
              <w:rPr>
                <w:rFonts w:hint="eastAsia" w:ascii="宋体" w:hAnsi="宋体" w:cs="宋体"/>
                <w:sz w:val="24"/>
              </w:rPr>
            </w:pPr>
            <w:r>
              <w:rPr>
                <w:rFonts w:hint="eastAsia" w:ascii="宋体" w:hAnsi="宋体" w:cs="宋体"/>
                <w:sz w:val="24"/>
              </w:rPr>
              <w:t>孙瑞华</w:t>
            </w:r>
          </w:p>
        </w:tc>
        <w:tc>
          <w:tcPr>
            <w:tcW w:w="2131" w:type="dxa"/>
            <w:noWrap w:val="0"/>
            <w:vAlign w:val="center"/>
          </w:tcPr>
          <w:p>
            <w:pPr>
              <w:jc w:val="center"/>
              <w:rPr>
                <w:rFonts w:ascii="宋体" w:hAnsi="宋体" w:cs="宋体"/>
                <w:sz w:val="24"/>
              </w:rPr>
            </w:pPr>
            <w:r>
              <w:rPr>
                <w:rFonts w:hint="eastAsia" w:ascii="宋体" w:hAnsi="宋体" w:cs="宋体"/>
                <w:sz w:val="24"/>
              </w:rPr>
              <w:t>13857688081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交通银行台州分行</w:t>
            </w:r>
          </w:p>
        </w:tc>
        <w:tc>
          <w:tcPr>
            <w:tcW w:w="1334" w:type="dxa"/>
            <w:noWrap w:val="0"/>
            <w:vAlign w:val="center"/>
          </w:tcPr>
          <w:p>
            <w:pPr>
              <w:jc w:val="center"/>
              <w:rPr>
                <w:rFonts w:hint="eastAsia" w:ascii="宋体" w:hAnsi="宋体" w:cs="宋体"/>
                <w:sz w:val="24"/>
              </w:rPr>
            </w:pPr>
            <w:r>
              <w:rPr>
                <w:rFonts w:hint="eastAsia" w:ascii="宋体" w:hAnsi="宋体" w:cs="宋体"/>
                <w:sz w:val="24"/>
              </w:rPr>
              <w:t>3.75%起</w:t>
            </w:r>
          </w:p>
        </w:tc>
        <w:tc>
          <w:tcPr>
            <w:tcW w:w="1688" w:type="dxa"/>
            <w:noWrap w:val="0"/>
            <w:vAlign w:val="center"/>
          </w:tcPr>
          <w:p>
            <w:pPr>
              <w:jc w:val="center"/>
              <w:rPr>
                <w:rFonts w:hint="eastAsia" w:ascii="宋体" w:hAnsi="宋体" w:cs="宋体"/>
                <w:sz w:val="24"/>
              </w:rPr>
            </w:pPr>
            <w:r>
              <w:rPr>
                <w:rFonts w:hint="eastAsia" w:ascii="宋体" w:hAnsi="宋体" w:cs="宋体"/>
                <w:sz w:val="24"/>
              </w:rPr>
              <w:t>周翔宇</w:t>
            </w:r>
          </w:p>
        </w:tc>
        <w:tc>
          <w:tcPr>
            <w:tcW w:w="2131" w:type="dxa"/>
            <w:noWrap w:val="0"/>
            <w:vAlign w:val="center"/>
          </w:tcPr>
          <w:p>
            <w:pPr>
              <w:jc w:val="center"/>
              <w:rPr>
                <w:rFonts w:ascii="宋体" w:hAnsi="宋体" w:cs="宋体"/>
                <w:sz w:val="24"/>
              </w:rPr>
            </w:pPr>
            <w:r>
              <w:rPr>
                <w:rFonts w:hint="eastAsia" w:ascii="宋体" w:hAnsi="宋体" w:cs="宋体"/>
                <w:sz w:val="24"/>
              </w:rPr>
              <w:t>13867697018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招商银行台州分行</w:t>
            </w:r>
          </w:p>
        </w:tc>
        <w:tc>
          <w:tcPr>
            <w:tcW w:w="1334" w:type="dxa"/>
            <w:noWrap w:val="0"/>
            <w:vAlign w:val="center"/>
          </w:tcPr>
          <w:p>
            <w:pPr>
              <w:jc w:val="center"/>
              <w:rPr>
                <w:rFonts w:ascii="宋体" w:hAnsi="宋体" w:cs="宋体"/>
                <w:sz w:val="24"/>
              </w:rPr>
            </w:pPr>
            <w:r>
              <w:rPr>
                <w:rFonts w:hint="eastAsia" w:ascii="宋体" w:hAnsi="宋体" w:cs="宋体"/>
                <w:sz w:val="24"/>
              </w:rPr>
              <w:t>4.32%起</w:t>
            </w:r>
          </w:p>
        </w:tc>
        <w:tc>
          <w:tcPr>
            <w:tcW w:w="1688" w:type="dxa"/>
            <w:noWrap w:val="0"/>
            <w:vAlign w:val="center"/>
          </w:tcPr>
          <w:p>
            <w:pPr>
              <w:jc w:val="center"/>
              <w:rPr>
                <w:rFonts w:hint="eastAsia" w:ascii="宋体" w:hAnsi="宋体" w:cs="宋体"/>
                <w:sz w:val="24"/>
              </w:rPr>
            </w:pPr>
            <w:r>
              <w:rPr>
                <w:rFonts w:hint="eastAsia" w:ascii="宋体" w:hAnsi="宋体" w:cs="宋体"/>
                <w:sz w:val="24"/>
              </w:rPr>
              <w:t>王海玲</w:t>
            </w:r>
          </w:p>
        </w:tc>
        <w:tc>
          <w:tcPr>
            <w:tcW w:w="2131" w:type="dxa"/>
            <w:noWrap w:val="0"/>
            <w:vAlign w:val="center"/>
          </w:tcPr>
          <w:p>
            <w:pPr>
              <w:jc w:val="center"/>
              <w:rPr>
                <w:rFonts w:ascii="宋体" w:hAnsi="宋体" w:cs="宋体"/>
                <w:sz w:val="24"/>
              </w:rPr>
            </w:pPr>
            <w:r>
              <w:rPr>
                <w:rFonts w:hint="eastAsia" w:ascii="宋体" w:hAnsi="宋体" w:cs="宋体"/>
                <w:sz w:val="24"/>
              </w:rPr>
              <w:t>13566413827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浙商银行台州分行</w:t>
            </w:r>
          </w:p>
        </w:tc>
        <w:tc>
          <w:tcPr>
            <w:tcW w:w="1334" w:type="dxa"/>
            <w:noWrap w:val="0"/>
            <w:vAlign w:val="center"/>
          </w:tcPr>
          <w:p>
            <w:pPr>
              <w:jc w:val="center"/>
              <w:rPr>
                <w:rFonts w:ascii="宋体" w:hAnsi="宋体" w:cs="宋体"/>
                <w:sz w:val="24"/>
              </w:rPr>
            </w:pPr>
            <w:r>
              <w:rPr>
                <w:rFonts w:hint="eastAsia" w:ascii="宋体" w:hAnsi="宋体" w:cs="宋体"/>
                <w:sz w:val="24"/>
              </w:rPr>
              <w:t>5.01%起</w:t>
            </w:r>
          </w:p>
        </w:tc>
        <w:tc>
          <w:tcPr>
            <w:tcW w:w="1688" w:type="dxa"/>
            <w:noWrap w:val="0"/>
            <w:vAlign w:val="center"/>
          </w:tcPr>
          <w:p>
            <w:pPr>
              <w:jc w:val="center"/>
              <w:rPr>
                <w:rFonts w:hint="eastAsia" w:ascii="宋体" w:hAnsi="宋体" w:cs="宋体"/>
                <w:sz w:val="24"/>
              </w:rPr>
            </w:pPr>
            <w:r>
              <w:rPr>
                <w:rFonts w:hint="eastAsia" w:ascii="宋体" w:hAnsi="宋体" w:cs="宋体"/>
                <w:sz w:val="24"/>
              </w:rPr>
              <w:t>章涉漪</w:t>
            </w:r>
          </w:p>
        </w:tc>
        <w:tc>
          <w:tcPr>
            <w:tcW w:w="2131" w:type="dxa"/>
            <w:noWrap w:val="0"/>
            <w:vAlign w:val="center"/>
          </w:tcPr>
          <w:p>
            <w:pPr>
              <w:jc w:val="center"/>
              <w:rPr>
                <w:rFonts w:hint="eastAsia" w:ascii="宋体" w:hAnsi="宋体" w:cs="宋体"/>
                <w:sz w:val="24"/>
              </w:rPr>
            </w:pPr>
            <w:r>
              <w:rPr>
                <w:rFonts w:hint="eastAsia" w:ascii="宋体" w:hAnsi="宋体" w:cs="宋体"/>
                <w:sz w:val="24"/>
              </w:rPr>
              <w:t>81880185</w:t>
            </w:r>
          </w:p>
          <w:p>
            <w:pPr>
              <w:jc w:val="center"/>
              <w:rPr>
                <w:rFonts w:ascii="宋体" w:hAnsi="宋体" w:cs="宋体"/>
                <w:sz w:val="24"/>
              </w:rPr>
            </w:pPr>
            <w:r>
              <w:rPr>
                <w:rFonts w:hint="eastAsia" w:ascii="宋体" w:hAnsi="宋体" w:cs="宋体"/>
                <w:sz w:val="24"/>
              </w:rPr>
              <w:t>13606681262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中信银行台州分行</w:t>
            </w:r>
          </w:p>
        </w:tc>
        <w:tc>
          <w:tcPr>
            <w:tcW w:w="1334" w:type="dxa"/>
            <w:noWrap w:val="0"/>
            <w:vAlign w:val="center"/>
          </w:tcPr>
          <w:p>
            <w:pPr>
              <w:jc w:val="center"/>
              <w:rPr>
                <w:rFonts w:ascii="宋体" w:hAnsi="宋体" w:cs="宋体"/>
                <w:sz w:val="24"/>
              </w:rPr>
            </w:pPr>
            <w:r>
              <w:rPr>
                <w:rFonts w:hint="eastAsia" w:ascii="宋体" w:hAnsi="宋体" w:cs="宋体"/>
                <w:sz w:val="24"/>
              </w:rPr>
              <w:t>4.15%起</w:t>
            </w:r>
          </w:p>
        </w:tc>
        <w:tc>
          <w:tcPr>
            <w:tcW w:w="1688" w:type="dxa"/>
            <w:noWrap w:val="0"/>
            <w:vAlign w:val="center"/>
          </w:tcPr>
          <w:p>
            <w:pPr>
              <w:jc w:val="center"/>
              <w:rPr>
                <w:rFonts w:hint="eastAsia" w:ascii="宋体" w:hAnsi="宋体" w:cs="宋体"/>
                <w:sz w:val="24"/>
              </w:rPr>
            </w:pPr>
            <w:r>
              <w:rPr>
                <w:rFonts w:hint="eastAsia" w:ascii="宋体" w:hAnsi="宋体" w:cs="宋体"/>
                <w:sz w:val="24"/>
              </w:rPr>
              <w:t>陈金园</w:t>
            </w:r>
          </w:p>
        </w:tc>
        <w:tc>
          <w:tcPr>
            <w:tcW w:w="2131" w:type="dxa"/>
            <w:noWrap w:val="0"/>
            <w:vAlign w:val="center"/>
          </w:tcPr>
          <w:p>
            <w:pPr>
              <w:jc w:val="center"/>
              <w:rPr>
                <w:rFonts w:ascii="宋体" w:hAnsi="宋体" w:cs="宋体"/>
                <w:sz w:val="24"/>
              </w:rPr>
            </w:pPr>
            <w:r>
              <w:rPr>
                <w:rFonts w:hint="eastAsia" w:ascii="宋体" w:hAnsi="宋体" w:cs="宋体"/>
                <w:sz w:val="24"/>
              </w:rPr>
              <w:t>13586052161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华夏银行台州分行</w:t>
            </w:r>
          </w:p>
        </w:tc>
        <w:tc>
          <w:tcPr>
            <w:tcW w:w="1334" w:type="dxa"/>
            <w:noWrap w:val="0"/>
            <w:vAlign w:val="center"/>
          </w:tcPr>
          <w:p>
            <w:pPr>
              <w:jc w:val="center"/>
              <w:rPr>
                <w:rFonts w:ascii="宋体" w:hAnsi="宋体" w:cs="宋体"/>
                <w:sz w:val="24"/>
              </w:rPr>
            </w:pPr>
            <w:r>
              <w:rPr>
                <w:rFonts w:hint="eastAsia" w:ascii="宋体" w:hAnsi="宋体" w:cs="宋体"/>
                <w:sz w:val="24"/>
              </w:rPr>
              <w:t>4.5%起</w:t>
            </w:r>
          </w:p>
        </w:tc>
        <w:tc>
          <w:tcPr>
            <w:tcW w:w="1688" w:type="dxa"/>
            <w:noWrap w:val="0"/>
            <w:vAlign w:val="center"/>
          </w:tcPr>
          <w:p>
            <w:pPr>
              <w:jc w:val="center"/>
              <w:rPr>
                <w:rFonts w:hint="eastAsia" w:ascii="宋体" w:hAnsi="宋体" w:cs="宋体"/>
                <w:sz w:val="24"/>
              </w:rPr>
            </w:pPr>
            <w:r>
              <w:rPr>
                <w:rFonts w:hint="eastAsia" w:ascii="宋体" w:hAnsi="宋体" w:cs="宋体"/>
                <w:sz w:val="24"/>
              </w:rPr>
              <w:t>邱明达</w:t>
            </w:r>
          </w:p>
        </w:tc>
        <w:tc>
          <w:tcPr>
            <w:tcW w:w="2131" w:type="dxa"/>
            <w:noWrap w:val="0"/>
            <w:vAlign w:val="center"/>
          </w:tcPr>
          <w:p>
            <w:pPr>
              <w:jc w:val="center"/>
              <w:rPr>
                <w:rFonts w:hint="eastAsia" w:ascii="宋体" w:hAnsi="宋体" w:cs="宋体"/>
                <w:sz w:val="24"/>
              </w:rPr>
            </w:pPr>
            <w:r>
              <w:rPr>
                <w:rFonts w:hint="eastAsia" w:ascii="宋体" w:hAnsi="宋体" w:cs="宋体"/>
                <w:sz w:val="24"/>
              </w:rPr>
              <w:t>81871518</w:t>
            </w:r>
          </w:p>
          <w:p>
            <w:pPr>
              <w:jc w:val="center"/>
              <w:rPr>
                <w:rFonts w:ascii="宋体" w:hAnsi="宋体" w:cs="宋体"/>
                <w:sz w:val="24"/>
              </w:rPr>
            </w:pPr>
            <w:r>
              <w:rPr>
                <w:rFonts w:hint="eastAsia" w:ascii="宋体" w:hAnsi="宋体" w:cs="宋体"/>
                <w:sz w:val="24"/>
              </w:rPr>
              <w:t>13736252233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泰隆银行开发区支行</w:t>
            </w:r>
          </w:p>
        </w:tc>
        <w:tc>
          <w:tcPr>
            <w:tcW w:w="1334" w:type="dxa"/>
            <w:noWrap w:val="0"/>
            <w:vAlign w:val="center"/>
          </w:tcPr>
          <w:p>
            <w:pPr>
              <w:jc w:val="center"/>
              <w:rPr>
                <w:rFonts w:ascii="宋体" w:hAnsi="宋体" w:cs="宋体"/>
                <w:sz w:val="24"/>
              </w:rPr>
            </w:pPr>
            <w:r>
              <w:rPr>
                <w:rFonts w:hint="eastAsia" w:ascii="宋体" w:hAnsi="宋体" w:cs="宋体"/>
                <w:sz w:val="24"/>
              </w:rPr>
              <w:t>5.6%起</w:t>
            </w:r>
          </w:p>
        </w:tc>
        <w:tc>
          <w:tcPr>
            <w:tcW w:w="1688" w:type="dxa"/>
            <w:noWrap w:val="0"/>
            <w:vAlign w:val="center"/>
          </w:tcPr>
          <w:p>
            <w:pPr>
              <w:jc w:val="center"/>
              <w:rPr>
                <w:rFonts w:hint="eastAsia" w:ascii="宋体" w:hAnsi="宋体" w:cs="宋体"/>
                <w:sz w:val="24"/>
              </w:rPr>
            </w:pPr>
            <w:r>
              <w:rPr>
                <w:rFonts w:hint="eastAsia" w:ascii="宋体" w:hAnsi="宋体" w:cs="宋体"/>
                <w:sz w:val="24"/>
              </w:rPr>
              <w:t>梁宛莉</w:t>
            </w:r>
          </w:p>
        </w:tc>
        <w:tc>
          <w:tcPr>
            <w:tcW w:w="2131" w:type="dxa"/>
            <w:noWrap w:val="0"/>
            <w:vAlign w:val="center"/>
          </w:tcPr>
          <w:p>
            <w:pPr>
              <w:jc w:val="center"/>
              <w:rPr>
                <w:rFonts w:ascii="宋体" w:hAnsi="宋体" w:cs="宋体"/>
                <w:sz w:val="24"/>
              </w:rPr>
            </w:pPr>
            <w:r>
              <w:rPr>
                <w:rFonts w:hint="eastAsia" w:ascii="宋体" w:hAnsi="宋体" w:cs="宋体"/>
                <w:sz w:val="24"/>
              </w:rPr>
              <w:t>13306869100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民泰银行椒江支行</w:t>
            </w:r>
          </w:p>
        </w:tc>
        <w:tc>
          <w:tcPr>
            <w:tcW w:w="1334" w:type="dxa"/>
            <w:noWrap w:val="0"/>
            <w:vAlign w:val="center"/>
          </w:tcPr>
          <w:p>
            <w:pPr>
              <w:jc w:val="center"/>
              <w:rPr>
                <w:rFonts w:ascii="宋体" w:hAnsi="宋体" w:cs="宋体"/>
                <w:sz w:val="24"/>
              </w:rPr>
            </w:pPr>
            <w:r>
              <w:rPr>
                <w:rFonts w:hint="eastAsia" w:ascii="宋体" w:hAnsi="宋体" w:cs="宋体"/>
                <w:sz w:val="24"/>
              </w:rPr>
              <w:t>5.8%起</w:t>
            </w:r>
          </w:p>
        </w:tc>
        <w:tc>
          <w:tcPr>
            <w:tcW w:w="1688" w:type="dxa"/>
            <w:noWrap w:val="0"/>
            <w:vAlign w:val="center"/>
          </w:tcPr>
          <w:p>
            <w:pPr>
              <w:jc w:val="center"/>
              <w:rPr>
                <w:rFonts w:hint="eastAsia" w:ascii="宋体" w:hAnsi="宋体" w:cs="宋体"/>
                <w:sz w:val="24"/>
              </w:rPr>
            </w:pPr>
            <w:r>
              <w:rPr>
                <w:rFonts w:hint="eastAsia" w:ascii="宋体" w:hAnsi="宋体" w:cs="宋体"/>
                <w:sz w:val="24"/>
              </w:rPr>
              <w:t>陈慧珠</w:t>
            </w:r>
          </w:p>
        </w:tc>
        <w:tc>
          <w:tcPr>
            <w:tcW w:w="2131" w:type="dxa"/>
            <w:noWrap w:val="0"/>
            <w:vAlign w:val="center"/>
          </w:tcPr>
          <w:p>
            <w:pPr>
              <w:jc w:val="center"/>
              <w:rPr>
                <w:rFonts w:ascii="宋体" w:hAnsi="宋体" w:cs="宋体"/>
                <w:sz w:val="24"/>
              </w:rPr>
            </w:pPr>
            <w:r>
              <w:rPr>
                <w:rFonts w:hint="eastAsia" w:ascii="宋体" w:hAnsi="宋体" w:cs="宋体"/>
                <w:sz w:val="24"/>
              </w:rPr>
              <w:t>13857699669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绍兴银行台州分行</w:t>
            </w:r>
          </w:p>
        </w:tc>
        <w:tc>
          <w:tcPr>
            <w:tcW w:w="1334" w:type="dxa"/>
            <w:noWrap w:val="0"/>
            <w:vAlign w:val="center"/>
          </w:tcPr>
          <w:p>
            <w:pPr>
              <w:jc w:val="center"/>
              <w:rPr>
                <w:rFonts w:ascii="宋体" w:hAnsi="宋体" w:cs="宋体"/>
                <w:sz w:val="24"/>
              </w:rPr>
            </w:pPr>
            <w:r>
              <w:rPr>
                <w:rFonts w:hint="eastAsia" w:ascii="宋体" w:hAnsi="宋体" w:cs="宋体"/>
                <w:sz w:val="24"/>
              </w:rPr>
              <w:t>5.1%起</w:t>
            </w:r>
          </w:p>
        </w:tc>
        <w:tc>
          <w:tcPr>
            <w:tcW w:w="1688" w:type="dxa"/>
            <w:noWrap w:val="0"/>
            <w:vAlign w:val="center"/>
          </w:tcPr>
          <w:p>
            <w:pPr>
              <w:jc w:val="center"/>
              <w:rPr>
                <w:rFonts w:hint="eastAsia" w:ascii="宋体" w:hAnsi="宋体" w:cs="宋体"/>
                <w:sz w:val="24"/>
              </w:rPr>
            </w:pPr>
            <w:r>
              <w:rPr>
                <w:rFonts w:hint="eastAsia" w:ascii="宋体" w:hAnsi="宋体" w:cs="宋体"/>
                <w:sz w:val="24"/>
              </w:rPr>
              <w:t>郭庭斌</w:t>
            </w:r>
          </w:p>
        </w:tc>
        <w:tc>
          <w:tcPr>
            <w:tcW w:w="2131" w:type="dxa"/>
            <w:noWrap w:val="0"/>
            <w:vAlign w:val="center"/>
          </w:tcPr>
          <w:p>
            <w:pPr>
              <w:jc w:val="center"/>
              <w:rPr>
                <w:rFonts w:ascii="宋体" w:hAnsi="宋体" w:cs="宋体"/>
                <w:sz w:val="24"/>
              </w:rPr>
            </w:pPr>
            <w:r>
              <w:rPr>
                <w:rFonts w:hint="eastAsia" w:ascii="宋体" w:hAnsi="宋体" w:cs="宋体"/>
                <w:sz w:val="24"/>
              </w:rPr>
              <w:t>15958633119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温州银行台州分行</w:t>
            </w:r>
          </w:p>
        </w:tc>
        <w:tc>
          <w:tcPr>
            <w:tcW w:w="1334" w:type="dxa"/>
            <w:noWrap w:val="0"/>
            <w:vAlign w:val="center"/>
          </w:tcPr>
          <w:p>
            <w:pPr>
              <w:jc w:val="center"/>
              <w:rPr>
                <w:rFonts w:ascii="宋体" w:hAnsi="宋体" w:cs="宋体"/>
                <w:sz w:val="24"/>
              </w:rPr>
            </w:pPr>
            <w:r>
              <w:rPr>
                <w:rFonts w:hint="eastAsia" w:ascii="宋体" w:hAnsi="宋体" w:cs="宋体"/>
                <w:sz w:val="24"/>
              </w:rPr>
              <w:t>4.55%起</w:t>
            </w:r>
          </w:p>
        </w:tc>
        <w:tc>
          <w:tcPr>
            <w:tcW w:w="1688" w:type="dxa"/>
            <w:noWrap w:val="0"/>
            <w:vAlign w:val="center"/>
          </w:tcPr>
          <w:p>
            <w:pPr>
              <w:jc w:val="center"/>
              <w:rPr>
                <w:rFonts w:hint="eastAsia" w:ascii="宋体" w:hAnsi="宋体" w:cs="宋体"/>
                <w:sz w:val="24"/>
              </w:rPr>
            </w:pPr>
            <w:r>
              <w:rPr>
                <w:rFonts w:hint="eastAsia" w:ascii="宋体" w:hAnsi="宋体" w:cs="宋体"/>
                <w:sz w:val="24"/>
              </w:rPr>
              <w:t>王晓波</w:t>
            </w:r>
          </w:p>
        </w:tc>
        <w:tc>
          <w:tcPr>
            <w:tcW w:w="2131" w:type="dxa"/>
            <w:noWrap w:val="0"/>
            <w:vAlign w:val="center"/>
          </w:tcPr>
          <w:p>
            <w:pPr>
              <w:jc w:val="center"/>
              <w:rPr>
                <w:rFonts w:ascii="宋体" w:hAnsi="宋体" w:cs="宋体"/>
                <w:sz w:val="24"/>
              </w:rPr>
            </w:pPr>
            <w:r>
              <w:rPr>
                <w:rFonts w:hint="eastAsia" w:ascii="宋体" w:hAnsi="宋体" w:cs="宋体"/>
                <w:sz w:val="24"/>
              </w:rPr>
              <w:t>15824005475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平安银行台州分行</w:t>
            </w:r>
          </w:p>
        </w:tc>
        <w:tc>
          <w:tcPr>
            <w:tcW w:w="1334" w:type="dxa"/>
            <w:noWrap w:val="0"/>
            <w:vAlign w:val="center"/>
          </w:tcPr>
          <w:p>
            <w:pPr>
              <w:jc w:val="center"/>
              <w:rPr>
                <w:rFonts w:ascii="宋体" w:hAnsi="宋体" w:cs="宋体"/>
                <w:sz w:val="24"/>
              </w:rPr>
            </w:pPr>
            <w:r>
              <w:rPr>
                <w:rFonts w:hint="eastAsia" w:ascii="宋体" w:hAnsi="宋体" w:cs="宋体"/>
                <w:sz w:val="24"/>
              </w:rPr>
              <w:t>6.53%起</w:t>
            </w:r>
          </w:p>
        </w:tc>
        <w:tc>
          <w:tcPr>
            <w:tcW w:w="1688" w:type="dxa"/>
            <w:noWrap w:val="0"/>
            <w:vAlign w:val="center"/>
          </w:tcPr>
          <w:p>
            <w:pPr>
              <w:jc w:val="center"/>
              <w:rPr>
                <w:rFonts w:hint="eastAsia" w:ascii="宋体" w:hAnsi="宋体" w:cs="宋体"/>
                <w:sz w:val="24"/>
              </w:rPr>
            </w:pPr>
            <w:r>
              <w:rPr>
                <w:rFonts w:hint="eastAsia" w:ascii="宋体" w:hAnsi="宋体" w:cs="宋体"/>
                <w:sz w:val="24"/>
              </w:rPr>
              <w:t>李俊丽</w:t>
            </w:r>
          </w:p>
        </w:tc>
        <w:tc>
          <w:tcPr>
            <w:tcW w:w="2131" w:type="dxa"/>
            <w:noWrap w:val="0"/>
            <w:vAlign w:val="center"/>
          </w:tcPr>
          <w:p>
            <w:pPr>
              <w:jc w:val="center"/>
              <w:rPr>
                <w:rFonts w:ascii="宋体" w:hAnsi="宋体" w:cs="宋体"/>
                <w:sz w:val="24"/>
              </w:rPr>
            </w:pPr>
            <w:r>
              <w:rPr>
                <w:rFonts w:hint="eastAsia" w:ascii="宋体" w:hAnsi="宋体" w:cs="宋体"/>
                <w:sz w:val="24"/>
              </w:rPr>
              <w:t>15906861025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宁波银行台州分行</w:t>
            </w:r>
          </w:p>
        </w:tc>
        <w:tc>
          <w:tcPr>
            <w:tcW w:w="1334" w:type="dxa"/>
            <w:noWrap w:val="0"/>
            <w:vAlign w:val="center"/>
          </w:tcPr>
          <w:p>
            <w:pPr>
              <w:jc w:val="center"/>
              <w:rPr>
                <w:rFonts w:ascii="宋体" w:hAnsi="宋体" w:cs="宋体"/>
                <w:sz w:val="24"/>
              </w:rPr>
            </w:pPr>
            <w:r>
              <w:rPr>
                <w:rFonts w:hint="eastAsia" w:ascii="宋体" w:hAnsi="宋体" w:cs="宋体"/>
                <w:sz w:val="24"/>
              </w:rPr>
              <w:t>4.35%起</w:t>
            </w:r>
          </w:p>
        </w:tc>
        <w:tc>
          <w:tcPr>
            <w:tcW w:w="1688" w:type="dxa"/>
            <w:noWrap w:val="0"/>
            <w:vAlign w:val="center"/>
          </w:tcPr>
          <w:p>
            <w:pPr>
              <w:jc w:val="center"/>
              <w:rPr>
                <w:rFonts w:hint="eastAsia" w:ascii="宋体" w:hAnsi="宋体" w:cs="宋体"/>
                <w:sz w:val="24"/>
              </w:rPr>
            </w:pPr>
            <w:r>
              <w:rPr>
                <w:rFonts w:hint="eastAsia" w:ascii="宋体" w:hAnsi="宋体" w:cs="宋体"/>
                <w:sz w:val="24"/>
              </w:rPr>
              <w:t>戴莉丽</w:t>
            </w:r>
          </w:p>
        </w:tc>
        <w:tc>
          <w:tcPr>
            <w:tcW w:w="2131" w:type="dxa"/>
            <w:noWrap w:val="0"/>
            <w:vAlign w:val="center"/>
          </w:tcPr>
          <w:p>
            <w:pPr>
              <w:jc w:val="center"/>
              <w:rPr>
                <w:rFonts w:ascii="宋体" w:hAnsi="宋体" w:cs="宋体"/>
                <w:sz w:val="24"/>
              </w:rPr>
            </w:pPr>
            <w:r>
              <w:rPr>
                <w:rFonts w:hint="eastAsia" w:ascii="宋体" w:hAnsi="宋体" w:cs="宋体"/>
                <w:sz w:val="24"/>
              </w:rPr>
              <w:t>13566627207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金华银行台州分行</w:t>
            </w:r>
          </w:p>
        </w:tc>
        <w:tc>
          <w:tcPr>
            <w:tcW w:w="1334" w:type="dxa"/>
            <w:noWrap w:val="0"/>
            <w:vAlign w:val="center"/>
          </w:tcPr>
          <w:p>
            <w:pPr>
              <w:jc w:val="center"/>
              <w:rPr>
                <w:rFonts w:ascii="宋体" w:hAnsi="宋体" w:cs="宋体"/>
                <w:sz w:val="24"/>
              </w:rPr>
            </w:pPr>
            <w:r>
              <w:rPr>
                <w:rFonts w:hint="eastAsia" w:ascii="宋体" w:hAnsi="宋体" w:cs="宋体"/>
                <w:sz w:val="24"/>
              </w:rPr>
              <w:t>4.05%起</w:t>
            </w:r>
          </w:p>
        </w:tc>
        <w:tc>
          <w:tcPr>
            <w:tcW w:w="1688" w:type="dxa"/>
            <w:noWrap w:val="0"/>
            <w:vAlign w:val="center"/>
          </w:tcPr>
          <w:p>
            <w:pPr>
              <w:jc w:val="center"/>
              <w:rPr>
                <w:rFonts w:hint="eastAsia" w:ascii="宋体" w:hAnsi="宋体" w:cs="宋体"/>
                <w:sz w:val="24"/>
              </w:rPr>
            </w:pPr>
            <w:r>
              <w:rPr>
                <w:rFonts w:hint="eastAsia" w:ascii="宋体" w:hAnsi="宋体" w:cs="宋体"/>
                <w:sz w:val="24"/>
              </w:rPr>
              <w:t>金雪婷</w:t>
            </w:r>
          </w:p>
        </w:tc>
        <w:tc>
          <w:tcPr>
            <w:tcW w:w="2131" w:type="dxa"/>
            <w:noWrap w:val="0"/>
            <w:vAlign w:val="center"/>
          </w:tcPr>
          <w:p>
            <w:pPr>
              <w:jc w:val="center"/>
              <w:rPr>
                <w:rFonts w:hint="eastAsia" w:ascii="宋体" w:hAnsi="宋体" w:cs="宋体"/>
                <w:sz w:val="24"/>
              </w:rPr>
            </w:pPr>
            <w:r>
              <w:rPr>
                <w:rFonts w:hint="eastAsia" w:ascii="宋体" w:hAnsi="宋体" w:cs="宋体"/>
                <w:sz w:val="24"/>
              </w:rPr>
              <w:t>81886670</w:t>
            </w:r>
          </w:p>
          <w:p>
            <w:pPr>
              <w:jc w:val="center"/>
              <w:rPr>
                <w:rFonts w:ascii="宋体" w:hAnsi="宋体" w:cs="宋体"/>
                <w:sz w:val="24"/>
              </w:rPr>
            </w:pPr>
            <w:r>
              <w:rPr>
                <w:rFonts w:hint="eastAsia" w:ascii="宋体" w:hAnsi="宋体" w:cs="宋体"/>
                <w:sz w:val="24"/>
              </w:rPr>
              <w:t>15968661569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台州银行</w:t>
            </w:r>
          </w:p>
        </w:tc>
        <w:tc>
          <w:tcPr>
            <w:tcW w:w="1334" w:type="dxa"/>
            <w:noWrap w:val="0"/>
            <w:vAlign w:val="center"/>
          </w:tcPr>
          <w:p>
            <w:pPr>
              <w:jc w:val="center"/>
              <w:rPr>
                <w:rFonts w:hint="eastAsia" w:ascii="宋体" w:hAnsi="宋体" w:cs="宋体"/>
                <w:sz w:val="24"/>
              </w:rPr>
            </w:pPr>
            <w:r>
              <w:rPr>
                <w:rFonts w:hint="eastAsia" w:ascii="宋体" w:hAnsi="宋体" w:cs="宋体"/>
                <w:sz w:val="24"/>
              </w:rPr>
              <w:t>5.6%起</w:t>
            </w:r>
          </w:p>
        </w:tc>
        <w:tc>
          <w:tcPr>
            <w:tcW w:w="1688" w:type="dxa"/>
            <w:noWrap w:val="0"/>
            <w:vAlign w:val="center"/>
          </w:tcPr>
          <w:p>
            <w:pPr>
              <w:jc w:val="center"/>
              <w:rPr>
                <w:rFonts w:hint="eastAsia" w:ascii="宋体" w:hAnsi="宋体" w:cs="宋体"/>
                <w:sz w:val="24"/>
              </w:rPr>
            </w:pPr>
            <w:r>
              <w:rPr>
                <w:rFonts w:hint="eastAsia" w:ascii="宋体" w:hAnsi="宋体" w:cs="宋体"/>
                <w:sz w:val="24"/>
              </w:rPr>
              <w:t>洪婷</w:t>
            </w:r>
          </w:p>
        </w:tc>
        <w:tc>
          <w:tcPr>
            <w:tcW w:w="2131" w:type="dxa"/>
            <w:noWrap w:val="0"/>
            <w:vAlign w:val="center"/>
          </w:tcPr>
          <w:p>
            <w:pPr>
              <w:jc w:val="center"/>
              <w:rPr>
                <w:rFonts w:ascii="宋体" w:hAnsi="宋体" w:cs="宋体"/>
                <w:sz w:val="24"/>
              </w:rPr>
            </w:pPr>
            <w:r>
              <w:rPr>
                <w:rFonts w:hint="eastAsia" w:ascii="宋体" w:hAnsi="宋体" w:cs="宋体"/>
                <w:sz w:val="24"/>
              </w:rPr>
              <w:t>15858624999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9" w:type="dxa"/>
            <w:noWrap w:val="0"/>
            <w:vAlign w:val="center"/>
          </w:tcPr>
          <w:p>
            <w:pPr>
              <w:jc w:val="center"/>
              <w:rPr>
                <w:rFonts w:hint="eastAsia" w:ascii="宋体" w:hAnsi="宋体" w:cs="宋体"/>
                <w:sz w:val="24"/>
              </w:rPr>
            </w:pPr>
            <w:r>
              <w:rPr>
                <w:rFonts w:hint="eastAsia" w:ascii="宋体" w:hAnsi="宋体" w:cs="宋体"/>
                <w:sz w:val="24"/>
              </w:rPr>
              <w:t>邮储银行台州分行</w:t>
            </w:r>
          </w:p>
        </w:tc>
        <w:tc>
          <w:tcPr>
            <w:tcW w:w="1334" w:type="dxa"/>
            <w:noWrap w:val="0"/>
            <w:vAlign w:val="center"/>
          </w:tcPr>
          <w:p>
            <w:pPr>
              <w:jc w:val="center"/>
              <w:rPr>
                <w:rFonts w:ascii="宋体" w:hAnsi="宋体" w:cs="宋体"/>
                <w:sz w:val="24"/>
              </w:rPr>
            </w:pPr>
            <w:r>
              <w:rPr>
                <w:rFonts w:hint="eastAsia" w:ascii="宋体" w:hAnsi="宋体" w:cs="宋体"/>
                <w:sz w:val="24"/>
              </w:rPr>
              <w:t>3.85%起</w:t>
            </w:r>
          </w:p>
        </w:tc>
        <w:tc>
          <w:tcPr>
            <w:tcW w:w="1688" w:type="dxa"/>
            <w:noWrap w:val="0"/>
            <w:vAlign w:val="center"/>
          </w:tcPr>
          <w:p>
            <w:pPr>
              <w:jc w:val="center"/>
              <w:rPr>
                <w:rFonts w:ascii="宋体" w:hAnsi="宋体" w:cs="宋体"/>
                <w:sz w:val="24"/>
              </w:rPr>
            </w:pPr>
            <w:r>
              <w:rPr>
                <w:rFonts w:hint="eastAsia" w:ascii="宋体" w:hAnsi="宋体" w:cs="宋体"/>
                <w:sz w:val="24"/>
              </w:rPr>
              <w:t>董庆</w:t>
            </w:r>
          </w:p>
        </w:tc>
        <w:tc>
          <w:tcPr>
            <w:tcW w:w="2131" w:type="dxa"/>
            <w:noWrap w:val="0"/>
            <w:vAlign w:val="center"/>
          </w:tcPr>
          <w:p>
            <w:pPr>
              <w:jc w:val="center"/>
              <w:rPr>
                <w:rFonts w:hint="eastAsia" w:ascii="宋体" w:hAnsi="宋体" w:cs="宋体"/>
                <w:sz w:val="24"/>
              </w:rPr>
            </w:pPr>
            <w:r>
              <w:rPr>
                <w:rFonts w:hint="eastAsia" w:ascii="宋体" w:hAnsi="宋体" w:cs="宋体"/>
                <w:sz w:val="24"/>
              </w:rPr>
              <w:t>81888982</w:t>
            </w:r>
          </w:p>
          <w:p>
            <w:pPr>
              <w:jc w:val="center"/>
              <w:rPr>
                <w:rFonts w:ascii="宋体" w:hAnsi="宋体" w:cs="宋体"/>
                <w:sz w:val="24"/>
              </w:rPr>
            </w:pPr>
            <w:r>
              <w:rPr>
                <w:rFonts w:hint="eastAsia" w:ascii="宋体" w:hAnsi="宋体" w:cs="宋体"/>
                <w:sz w:val="24"/>
              </w:rPr>
              <w:t>18957683735</w:t>
            </w:r>
          </w:p>
        </w:tc>
      </w:tr>
    </w:tbl>
    <w:p>
      <w:pPr>
        <w:snapToGrid w:val="0"/>
        <w:spacing w:line="360" w:lineRule="auto"/>
        <w:ind w:firstLine="540" w:firstLineChars="225"/>
        <w:rPr>
          <w:rFonts w:hint="eastAsia" w:ascii="宋体" w:hAnsi="宋体" w:cs="宋体"/>
          <w:sz w:val="24"/>
        </w:rPr>
      </w:pPr>
      <w:r>
        <w:rPr>
          <w:rFonts w:hint="eastAsia" w:ascii="宋体" w:hAnsi="宋体" w:cs="宋体"/>
          <w:sz w:val="24"/>
        </w:rPr>
        <w:t xml:space="preserve">                                    </w:t>
      </w:r>
    </w:p>
    <w:p>
      <w:pPr>
        <w:snapToGrid w:val="0"/>
        <w:spacing w:line="360" w:lineRule="auto"/>
        <w:ind w:firstLine="540" w:firstLineChars="225"/>
        <w:rPr>
          <w:rFonts w:hint="eastAsia" w:ascii="宋体" w:hAnsi="宋体" w:cs="宋体"/>
          <w:sz w:val="24"/>
        </w:rPr>
      </w:pPr>
      <w:r>
        <w:rPr>
          <w:rFonts w:hint="eastAsia" w:ascii="宋体" w:hAnsi="宋体" w:cs="宋体"/>
          <w:sz w:val="24"/>
        </w:rPr>
        <w:t xml:space="preserve">                                            浙江天平投资咨询有限公司</w:t>
      </w:r>
    </w:p>
    <w:p>
      <w:pPr>
        <w:snapToGrid w:val="0"/>
        <w:spacing w:line="360" w:lineRule="auto"/>
        <w:ind w:firstLine="540" w:firstLineChars="225"/>
        <w:jc w:val="right"/>
        <w:rPr>
          <w:rFonts w:hint="eastAsia" w:ascii="宋体" w:hAnsi="宋体" w:cs="宋体"/>
          <w:sz w:val="24"/>
        </w:rPr>
      </w:pPr>
      <w:r>
        <w:rPr>
          <w:rFonts w:hint="eastAsia" w:ascii="宋体" w:hAnsi="宋体" w:cs="宋体"/>
          <w:sz w:val="24"/>
        </w:rPr>
        <w:t>2020年9月</w:t>
      </w:r>
    </w:p>
    <w:p>
      <w:pPr>
        <w:pStyle w:val="18"/>
        <w:tabs>
          <w:tab w:val="left" w:pos="1620"/>
        </w:tabs>
        <w:snapToGrid w:val="0"/>
        <w:spacing w:before="120" w:beforeLines="0" w:after="120" w:afterLines="0"/>
        <w:jc w:val="center"/>
        <w:rPr>
          <w:rFonts w:hint="eastAsia" w:hAnsi="宋体"/>
          <w:sz w:val="36"/>
          <w:szCs w:val="36"/>
        </w:rPr>
      </w:pPr>
      <w:bookmarkStart w:id="3" w:name="_Toc18554_WPSOffice_Level1"/>
      <w:bookmarkStart w:id="4" w:name="第二章"/>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p>
    <w:p>
      <w:pPr>
        <w:pStyle w:val="18"/>
        <w:tabs>
          <w:tab w:val="left" w:pos="1620"/>
        </w:tabs>
        <w:snapToGrid w:val="0"/>
        <w:spacing w:before="120" w:beforeLines="0" w:after="120" w:afterLines="0"/>
        <w:jc w:val="center"/>
        <w:rPr>
          <w:rFonts w:hint="eastAsia" w:hAnsi="宋体"/>
          <w:sz w:val="36"/>
          <w:szCs w:val="36"/>
        </w:rPr>
      </w:pPr>
      <w:r>
        <w:rPr>
          <w:rFonts w:hint="eastAsia" w:hAnsi="宋体"/>
          <w:sz w:val="36"/>
          <w:szCs w:val="36"/>
        </w:rPr>
        <w:t xml:space="preserve">第二章  </w:t>
      </w:r>
      <w:r>
        <w:rPr>
          <w:rFonts w:hint="eastAsia" w:hAnsi="宋体"/>
          <w:bCs/>
          <w:sz w:val="36"/>
          <w:szCs w:val="36"/>
        </w:rPr>
        <w:t>招</w:t>
      </w:r>
      <w:r>
        <w:rPr>
          <w:rFonts w:hint="eastAsia" w:hAnsi="宋体"/>
          <w:sz w:val="36"/>
          <w:szCs w:val="36"/>
        </w:rPr>
        <w:t>标需求</w:t>
      </w:r>
      <w:bookmarkEnd w:id="3"/>
      <w:bookmarkEnd w:id="4"/>
    </w:p>
    <w:p>
      <w:pPr>
        <w:tabs>
          <w:tab w:val="left" w:pos="8280"/>
        </w:tabs>
        <w:autoSpaceDE w:val="0"/>
        <w:autoSpaceDN w:val="0"/>
        <w:spacing w:line="360" w:lineRule="auto"/>
        <w:ind w:right="25" w:firstLine="482"/>
        <w:rPr>
          <w:rFonts w:hint="eastAsia" w:ascii="宋体" w:hAnsi="宋体" w:cs="宋体"/>
          <w:sz w:val="24"/>
        </w:rPr>
      </w:pPr>
      <w:r>
        <w:rPr>
          <w:rFonts w:hint="eastAsia" w:ascii="宋体" w:hAnsi="宋体" w:cs="宋体"/>
          <w:b/>
          <w:sz w:val="24"/>
        </w:rPr>
        <w:t>招标项目一览表</w:t>
      </w:r>
    </w:p>
    <w:p>
      <w:pPr>
        <w:tabs>
          <w:tab w:val="left" w:pos="8280"/>
        </w:tabs>
        <w:autoSpaceDE w:val="0"/>
        <w:autoSpaceDN w:val="0"/>
        <w:spacing w:line="360" w:lineRule="auto"/>
        <w:ind w:right="25" w:firstLine="480"/>
        <w:rPr>
          <w:rFonts w:hint="eastAsia" w:ascii="宋体" w:hAnsi="宋体" w:cs="宋体"/>
          <w:sz w:val="24"/>
        </w:rPr>
      </w:pPr>
      <w:r>
        <w:rPr>
          <w:rFonts w:hint="eastAsia" w:ascii="宋体" w:hAnsi="宋体" w:cs="宋体"/>
          <w:sz w:val="24"/>
        </w:rPr>
        <w:t>本次招标共</w:t>
      </w:r>
      <w:r>
        <w:rPr>
          <w:rFonts w:hint="eastAsia" w:ascii="宋体" w:hAnsi="宋体" w:cs="宋体"/>
          <w:sz w:val="24"/>
          <w:u w:val="single"/>
        </w:rPr>
        <w:t>二</w:t>
      </w:r>
      <w:r>
        <w:rPr>
          <w:rFonts w:hint="eastAsia" w:ascii="宋体" w:hAnsi="宋体" w:cs="宋体"/>
          <w:sz w:val="24"/>
        </w:rPr>
        <w:t>个标段，具体内容如下表：</w:t>
      </w:r>
    </w:p>
    <w:tbl>
      <w:tblPr>
        <w:tblStyle w:val="37"/>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3577"/>
        <w:gridCol w:w="1044"/>
        <w:gridCol w:w="1266"/>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354" w:type="dxa"/>
            <w:tcBorders>
              <w:top w:val="single" w:color="auto" w:sz="4" w:space="0"/>
              <w:left w:val="single" w:color="auto" w:sz="4" w:space="0"/>
              <w:bottom w:val="single" w:color="auto" w:sz="4" w:space="0"/>
              <w:right w:val="single" w:color="auto" w:sz="4" w:space="0"/>
            </w:tcBorders>
            <w:noWrap w:val="0"/>
            <w:vAlign w:val="center"/>
          </w:tcPr>
          <w:p>
            <w:pPr>
              <w:tabs>
                <w:tab w:val="left" w:pos="8280"/>
              </w:tabs>
              <w:autoSpaceDE w:val="0"/>
              <w:autoSpaceDN w:val="0"/>
              <w:spacing w:line="360" w:lineRule="auto"/>
              <w:ind w:right="25"/>
              <w:jc w:val="center"/>
              <w:rPr>
                <w:rFonts w:hint="eastAsia" w:ascii="宋体" w:hAnsi="宋体" w:cs="宋体"/>
                <w:b/>
                <w:sz w:val="24"/>
              </w:rPr>
            </w:pPr>
            <w:r>
              <w:rPr>
                <w:rFonts w:hint="eastAsia" w:ascii="宋体" w:hAnsi="宋体" w:cs="宋体"/>
                <w:b/>
                <w:sz w:val="24"/>
              </w:rPr>
              <w:t>标段号</w:t>
            </w:r>
          </w:p>
        </w:tc>
        <w:tc>
          <w:tcPr>
            <w:tcW w:w="3577" w:type="dxa"/>
            <w:tcBorders>
              <w:top w:val="single" w:color="auto" w:sz="4" w:space="0"/>
              <w:left w:val="single" w:color="auto" w:sz="4" w:space="0"/>
              <w:bottom w:val="single" w:color="auto" w:sz="4" w:space="0"/>
              <w:right w:val="single" w:color="auto" w:sz="4" w:space="0"/>
            </w:tcBorders>
            <w:noWrap w:val="0"/>
            <w:vAlign w:val="center"/>
          </w:tcPr>
          <w:p>
            <w:pPr>
              <w:tabs>
                <w:tab w:val="left" w:pos="8280"/>
              </w:tabs>
              <w:autoSpaceDE w:val="0"/>
              <w:autoSpaceDN w:val="0"/>
              <w:spacing w:line="360" w:lineRule="auto"/>
              <w:ind w:right="25"/>
              <w:jc w:val="center"/>
              <w:rPr>
                <w:rFonts w:hint="eastAsia" w:ascii="宋体" w:hAnsi="宋体" w:cs="宋体"/>
                <w:b/>
                <w:sz w:val="24"/>
              </w:rPr>
            </w:pPr>
            <w:r>
              <w:rPr>
                <w:rFonts w:hint="eastAsia" w:ascii="宋体" w:hAnsi="宋体" w:cs="宋体"/>
                <w:b/>
                <w:sz w:val="24"/>
              </w:rPr>
              <w:t>项目名称</w:t>
            </w:r>
          </w:p>
        </w:tc>
        <w:tc>
          <w:tcPr>
            <w:tcW w:w="1044" w:type="dxa"/>
            <w:tcBorders>
              <w:top w:val="single" w:color="auto" w:sz="4" w:space="0"/>
              <w:left w:val="single" w:color="auto" w:sz="4" w:space="0"/>
              <w:bottom w:val="single" w:color="auto" w:sz="4" w:space="0"/>
              <w:right w:val="single" w:color="auto" w:sz="4" w:space="0"/>
            </w:tcBorders>
            <w:noWrap w:val="0"/>
            <w:vAlign w:val="center"/>
          </w:tcPr>
          <w:p>
            <w:pPr>
              <w:tabs>
                <w:tab w:val="left" w:pos="8280"/>
              </w:tabs>
              <w:autoSpaceDE w:val="0"/>
              <w:autoSpaceDN w:val="0"/>
              <w:spacing w:line="360" w:lineRule="auto"/>
              <w:ind w:right="25"/>
              <w:jc w:val="center"/>
              <w:rPr>
                <w:rFonts w:hint="eastAsia" w:ascii="宋体" w:hAnsi="宋体" w:cs="宋体"/>
                <w:b/>
                <w:sz w:val="24"/>
              </w:rPr>
            </w:pPr>
            <w:r>
              <w:rPr>
                <w:rFonts w:hint="eastAsia" w:ascii="宋体" w:hAnsi="宋体" w:cs="宋体"/>
                <w:b/>
                <w:sz w:val="24"/>
              </w:rPr>
              <w:t>数量</w:t>
            </w:r>
          </w:p>
        </w:tc>
        <w:tc>
          <w:tcPr>
            <w:tcW w:w="1266" w:type="dxa"/>
            <w:tcBorders>
              <w:top w:val="single" w:color="auto" w:sz="4" w:space="0"/>
              <w:left w:val="single" w:color="auto" w:sz="4" w:space="0"/>
              <w:bottom w:val="single" w:color="auto" w:sz="4" w:space="0"/>
              <w:right w:val="single" w:color="auto" w:sz="4" w:space="0"/>
            </w:tcBorders>
            <w:noWrap w:val="0"/>
            <w:vAlign w:val="center"/>
          </w:tcPr>
          <w:p>
            <w:pPr>
              <w:tabs>
                <w:tab w:val="left" w:pos="8280"/>
              </w:tabs>
              <w:autoSpaceDE w:val="0"/>
              <w:autoSpaceDN w:val="0"/>
              <w:spacing w:line="360" w:lineRule="auto"/>
              <w:ind w:right="25"/>
              <w:jc w:val="center"/>
              <w:rPr>
                <w:rFonts w:hint="eastAsia" w:ascii="宋体" w:hAnsi="宋体" w:cs="宋体"/>
                <w:b/>
                <w:sz w:val="24"/>
              </w:rPr>
            </w:pPr>
            <w:r>
              <w:rPr>
                <w:rFonts w:hint="eastAsia" w:ascii="宋体" w:hAnsi="宋体" w:cs="宋体"/>
                <w:b/>
                <w:sz w:val="24"/>
              </w:rPr>
              <w:t>单位</w:t>
            </w:r>
          </w:p>
        </w:tc>
        <w:tc>
          <w:tcPr>
            <w:tcW w:w="2116" w:type="dxa"/>
            <w:tcBorders>
              <w:top w:val="single" w:color="auto" w:sz="4" w:space="0"/>
              <w:left w:val="single" w:color="auto" w:sz="4" w:space="0"/>
              <w:bottom w:val="single" w:color="auto" w:sz="4" w:space="0"/>
              <w:right w:val="single" w:color="auto" w:sz="4" w:space="0"/>
            </w:tcBorders>
            <w:noWrap w:val="0"/>
            <w:vAlign w:val="center"/>
          </w:tcPr>
          <w:p>
            <w:pPr>
              <w:tabs>
                <w:tab w:val="left" w:pos="8280"/>
              </w:tabs>
              <w:autoSpaceDE w:val="0"/>
              <w:autoSpaceDN w:val="0"/>
              <w:spacing w:line="360" w:lineRule="auto"/>
              <w:ind w:right="25"/>
              <w:jc w:val="center"/>
              <w:rPr>
                <w:rFonts w:hint="eastAsia" w:ascii="宋体" w:hAnsi="宋体" w:cs="宋体"/>
                <w:b/>
                <w:sz w:val="24"/>
              </w:rPr>
            </w:pPr>
            <w:r>
              <w:rPr>
                <w:rFonts w:hint="eastAsia" w:ascii="宋体" w:hAnsi="宋体" w:cs="宋体"/>
                <w:b/>
                <w:sz w:val="24"/>
              </w:rPr>
              <w:t>预算及最高投标限价（万元）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135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sz w:val="24"/>
              </w:rPr>
            </w:pPr>
            <w:r>
              <w:rPr>
                <w:rFonts w:hint="eastAsia" w:ascii="宋体" w:hAnsi="宋体" w:cs="宋体"/>
                <w:sz w:val="24"/>
              </w:rPr>
              <w:t>一</w:t>
            </w:r>
          </w:p>
        </w:tc>
        <w:tc>
          <w:tcPr>
            <w:tcW w:w="3577"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rPr>
              <w:t>台州市公安局集聚区分局雪亮工程（三期）前端点位建设项目</w:t>
            </w:r>
          </w:p>
        </w:tc>
        <w:tc>
          <w:tcPr>
            <w:tcW w:w="104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cs="宋体"/>
                <w:sz w:val="24"/>
              </w:rPr>
            </w:pPr>
            <w:r>
              <w:rPr>
                <w:rFonts w:hint="eastAsia" w:ascii="宋体" w:hAnsi="宋体" w:cs="宋体"/>
                <w:sz w:val="24"/>
              </w:rPr>
              <w:t>1</w:t>
            </w:r>
          </w:p>
        </w:tc>
        <w:tc>
          <w:tcPr>
            <w:tcW w:w="126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cs="宋体"/>
                <w:sz w:val="24"/>
              </w:rPr>
            </w:pPr>
            <w:r>
              <w:rPr>
                <w:rFonts w:hint="eastAsia" w:ascii="宋体" w:hAnsi="宋体" w:cs="宋体"/>
                <w:sz w:val="24"/>
              </w:rPr>
              <w:t>项</w:t>
            </w:r>
          </w:p>
        </w:tc>
        <w:tc>
          <w:tcPr>
            <w:tcW w:w="211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cs="宋体"/>
                <w:sz w:val="24"/>
              </w:rPr>
            </w:pPr>
            <w:r>
              <w:rPr>
                <w:rFonts w:hint="eastAsia" w:ascii="宋体" w:hAnsi="宋体" w:cs="宋体"/>
                <w:sz w:val="24"/>
              </w:rP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jc w:val="center"/>
        </w:trPr>
        <w:tc>
          <w:tcPr>
            <w:tcW w:w="135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sz w:val="24"/>
              </w:rPr>
            </w:pPr>
            <w:r>
              <w:rPr>
                <w:rFonts w:hint="eastAsia" w:ascii="宋体" w:hAnsi="宋体" w:cs="宋体"/>
                <w:sz w:val="24"/>
              </w:rPr>
              <w:t>二</w:t>
            </w:r>
          </w:p>
        </w:tc>
        <w:tc>
          <w:tcPr>
            <w:tcW w:w="3577"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line="360" w:lineRule="auto"/>
              <w:jc w:val="center"/>
              <w:rPr>
                <w:rFonts w:hint="eastAsia" w:cs="宋体"/>
                <w:color w:val="auto"/>
              </w:rPr>
            </w:pPr>
            <w:r>
              <w:rPr>
                <w:rFonts w:hint="eastAsia" w:cs="宋体"/>
                <w:color w:val="auto"/>
              </w:rPr>
              <w:t>台州市公安局集聚区分局雪亮工程（三期）后端保障服务项目</w:t>
            </w:r>
          </w:p>
        </w:tc>
        <w:tc>
          <w:tcPr>
            <w:tcW w:w="104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cs="宋体"/>
                <w:sz w:val="24"/>
              </w:rPr>
            </w:pPr>
            <w:r>
              <w:rPr>
                <w:rFonts w:hint="eastAsia" w:ascii="宋体" w:hAnsi="宋体" w:cs="宋体"/>
                <w:sz w:val="24"/>
              </w:rPr>
              <w:t>1</w:t>
            </w:r>
          </w:p>
        </w:tc>
        <w:tc>
          <w:tcPr>
            <w:tcW w:w="126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cs="宋体"/>
                <w:sz w:val="24"/>
              </w:rPr>
            </w:pPr>
            <w:r>
              <w:rPr>
                <w:rFonts w:hint="eastAsia" w:ascii="宋体" w:hAnsi="宋体" w:cs="宋体"/>
                <w:sz w:val="24"/>
              </w:rPr>
              <w:t>项</w:t>
            </w:r>
          </w:p>
        </w:tc>
        <w:tc>
          <w:tcPr>
            <w:tcW w:w="211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宋体" w:hAnsi="宋体" w:cs="宋体"/>
                <w:sz w:val="24"/>
              </w:rPr>
            </w:pPr>
            <w:r>
              <w:rPr>
                <w:rFonts w:hint="eastAsia" w:ascii="宋体" w:hAnsi="宋体" w:cs="宋体"/>
                <w:sz w:val="24"/>
              </w:rPr>
              <w:t>365</w:t>
            </w:r>
          </w:p>
        </w:tc>
      </w:tr>
    </w:tbl>
    <w:p>
      <w:pPr>
        <w:pStyle w:val="90"/>
        <w:spacing w:line="360" w:lineRule="auto"/>
        <w:rPr>
          <w:rFonts w:hint="eastAsia" w:cs="宋体"/>
          <w:b/>
          <w:bCs/>
          <w:szCs w:val="28"/>
        </w:rPr>
      </w:pPr>
      <w:r>
        <w:rPr>
          <w:rFonts w:hint="eastAsia" w:cs="宋体"/>
          <w:b/>
          <w:bCs/>
          <w:szCs w:val="28"/>
        </w:rPr>
        <w:t>标段一</w:t>
      </w:r>
    </w:p>
    <w:p>
      <w:pPr>
        <w:pStyle w:val="90"/>
        <w:spacing w:line="360" w:lineRule="auto"/>
        <w:rPr>
          <w:rFonts w:hint="eastAsia" w:cs="宋体"/>
          <w:snapToGrid w:val="0"/>
          <w:sz w:val="24"/>
        </w:rPr>
      </w:pPr>
      <w:r>
        <w:rPr>
          <w:rFonts w:hint="eastAsia" w:cs="宋体"/>
          <w:snapToGrid w:val="0"/>
          <w:sz w:val="24"/>
        </w:rPr>
        <w:t>台州市公安局台州市公安局集聚区分局雪亮工程（三期）前端点位建设项目，服务期限为60个月，从终验合格且整体交付使用之日起算。由中标单位全权负责前端设备建设（含杆件、基础及取电施工）、中间网络传输链路、数据存储、安全边界、电力保障、机房保障以及平台数据接入和运营维护。</w:t>
      </w:r>
    </w:p>
    <w:p>
      <w:pPr>
        <w:pStyle w:val="90"/>
        <w:spacing w:line="360" w:lineRule="auto"/>
        <w:rPr>
          <w:rFonts w:hint="eastAsia" w:cs="宋体"/>
          <w:snapToGrid w:val="0"/>
          <w:sz w:val="24"/>
        </w:rPr>
      </w:pPr>
      <w:r>
        <w:rPr>
          <w:rFonts w:hint="eastAsia" w:cs="宋体"/>
          <w:snapToGrid w:val="0"/>
          <w:sz w:val="24"/>
        </w:rPr>
        <w:t>本期项目位于台州市湾新区，结合现场环境和实战需求，选取较为有利的监控点位，结合新技术和新产品选择合适的摄像机（尽可能根据监控范围内的环境照度，保证夜间的监控图像效果，确保夜间的监控图像质量），切实做到对监控点位的全覆盖。</w:t>
      </w:r>
    </w:p>
    <w:p>
      <w:pPr>
        <w:pStyle w:val="90"/>
        <w:spacing w:line="360" w:lineRule="auto"/>
        <w:rPr>
          <w:rFonts w:hint="eastAsia" w:cs="宋体"/>
          <w:b/>
          <w:bCs/>
          <w:snapToGrid w:val="0"/>
          <w:sz w:val="24"/>
        </w:rPr>
      </w:pPr>
      <w:r>
        <w:rPr>
          <w:rFonts w:hint="eastAsia" w:cs="宋体"/>
          <w:b/>
          <w:bCs/>
          <w:snapToGrid w:val="0"/>
          <w:sz w:val="24"/>
        </w:rPr>
        <w:t>2020年新建高清视频监控620路（596个高清摄像头），包含24套400万以上像素全局多射摄像机，251套400万以上像素高清枪机监控摄像机，10套400万以上像素高清球机，232套400万以上像素高清人脸监控摄像机，79套 900万星光单元。</w:t>
      </w:r>
    </w:p>
    <w:p>
      <w:pPr>
        <w:pStyle w:val="90"/>
        <w:spacing w:line="360" w:lineRule="auto"/>
        <w:rPr>
          <w:rFonts w:hint="eastAsia" w:cs="宋体"/>
          <w:b/>
          <w:bCs/>
          <w:snapToGrid w:val="0"/>
          <w:sz w:val="24"/>
        </w:rPr>
      </w:pPr>
      <w:r>
        <w:rPr>
          <w:rFonts w:hint="eastAsia" w:cs="宋体"/>
          <w:b/>
          <w:bCs/>
          <w:snapToGrid w:val="0"/>
          <w:sz w:val="24"/>
        </w:rPr>
        <w:t>新建监控网络要求：自行组网千兆链路，需提供前端不少于8口的硬件设备及相配套的机房网络设备。</w:t>
      </w:r>
    </w:p>
    <w:p>
      <w:pPr>
        <w:spacing w:line="360" w:lineRule="auto"/>
        <w:ind w:firstLine="480"/>
        <w:rPr>
          <w:rFonts w:hint="eastAsia" w:ascii="宋体" w:hAnsi="宋体" w:cs="宋体"/>
          <w:b/>
          <w:iCs/>
          <w:snapToGrid w:val="0"/>
          <w:sz w:val="24"/>
        </w:rPr>
      </w:pPr>
      <w:r>
        <w:rPr>
          <w:rFonts w:hint="eastAsia" w:ascii="宋体" w:hAnsi="宋体" w:cs="宋体"/>
          <w:b/>
          <w:iCs/>
          <w:snapToGrid w:val="0"/>
          <w:sz w:val="24"/>
        </w:rPr>
        <w:t>中标通知书签发之日起算，两个月内完成336套监控上线（以集聚区雪亮中心平台为准），三个月内完成620套监控上线（以集聚区雪亮中心平台为准），否则从履约保证金中扣除违约金10万元。</w:t>
      </w:r>
    </w:p>
    <w:p>
      <w:pPr>
        <w:pStyle w:val="90"/>
        <w:spacing w:line="360" w:lineRule="auto"/>
        <w:rPr>
          <w:rFonts w:hint="eastAsia" w:cs="宋体"/>
          <w:snapToGrid w:val="0"/>
          <w:sz w:val="24"/>
        </w:rPr>
      </w:pPr>
      <w:r>
        <w:rPr>
          <w:rFonts w:hint="eastAsia" w:cs="宋体"/>
          <w:snapToGrid w:val="0"/>
          <w:sz w:val="24"/>
        </w:rPr>
        <w:t>台州市公安局集聚区分局作为运营服务购买方，每月根据中标单位提供的服务详细报表和监理部门提供的的检查情况表格作为服务提供的依据，采用延期服务的模式保障项目的总服务期。</w:t>
      </w:r>
    </w:p>
    <w:p>
      <w:pPr>
        <w:pStyle w:val="90"/>
        <w:spacing w:line="360" w:lineRule="auto"/>
        <w:rPr>
          <w:rFonts w:hint="eastAsia" w:cs="宋体"/>
          <w:snapToGrid w:val="0"/>
          <w:sz w:val="24"/>
        </w:rPr>
      </w:pPr>
      <w:r>
        <w:rPr>
          <w:rFonts w:hint="eastAsia" w:cs="宋体"/>
          <w:snapToGrid w:val="0"/>
          <w:sz w:val="24"/>
        </w:rPr>
        <w:t>同时，中标单位全权负责系统点位的日常维护与故障修复等工作。在服务总数的5%以内因移址产生的施工费或5%以内因利旧改造数量的接入费用投标人在投标报价中考虑，超过5%的双方协商解决，需增加设备的按设备投标报价支付。</w:t>
      </w:r>
    </w:p>
    <w:p>
      <w:pPr>
        <w:pStyle w:val="90"/>
        <w:spacing w:line="360" w:lineRule="auto"/>
        <w:rPr>
          <w:rFonts w:hint="eastAsia" w:cs="宋体"/>
          <w:b/>
          <w:szCs w:val="28"/>
        </w:rPr>
      </w:pPr>
      <w:r>
        <w:rPr>
          <w:rFonts w:hint="eastAsia" w:cs="宋体"/>
          <w:b/>
          <w:szCs w:val="28"/>
        </w:rPr>
        <w:t>标段二</w:t>
      </w:r>
    </w:p>
    <w:p>
      <w:pPr>
        <w:pStyle w:val="90"/>
        <w:spacing w:line="360" w:lineRule="auto"/>
        <w:rPr>
          <w:rFonts w:hint="eastAsia" w:cs="宋体"/>
          <w:b/>
          <w:sz w:val="24"/>
        </w:rPr>
      </w:pPr>
      <w:r>
        <w:rPr>
          <w:rFonts w:hint="eastAsia" w:cs="宋体"/>
          <w:sz w:val="24"/>
        </w:rPr>
        <w:t>台州市公安局集聚区分局雪亮工程（三期）后端保障服务项目，</w:t>
      </w:r>
      <w:r>
        <w:rPr>
          <w:rFonts w:hint="eastAsia" w:cs="宋体"/>
          <w:snapToGrid w:val="0"/>
          <w:sz w:val="24"/>
        </w:rPr>
        <w:t>该项目是“台州市公安局台州市公安局集聚区分局雪亮工程（三期）前端点位建设项目”的辅助配套工程，用于实现集聚区分局雪亮工程人脸视频分析、视频服务转发，满足网络的等保要求等功能，并满足集聚区分局的相关要求。</w:t>
      </w:r>
    </w:p>
    <w:p>
      <w:pPr>
        <w:pStyle w:val="90"/>
        <w:spacing w:line="360" w:lineRule="auto"/>
        <w:rPr>
          <w:rFonts w:hint="eastAsia" w:cs="宋体"/>
          <w:b/>
          <w:sz w:val="24"/>
        </w:rPr>
      </w:pPr>
      <w:r>
        <w:rPr>
          <w:rFonts w:hint="eastAsia" w:cs="宋体"/>
          <w:b/>
          <w:sz w:val="24"/>
        </w:rPr>
        <w:t>本项目标一属交钥匙项目，</w:t>
      </w:r>
      <w:r>
        <w:rPr>
          <w:rFonts w:hint="eastAsia" w:cs="宋体"/>
          <w:b/>
          <w:snapToGrid w:val="0"/>
          <w:sz w:val="24"/>
        </w:rPr>
        <w:t>中标单位</w:t>
      </w:r>
      <w:r>
        <w:rPr>
          <w:rFonts w:hint="eastAsia" w:cs="宋体"/>
          <w:b/>
          <w:sz w:val="24"/>
        </w:rPr>
        <w:t>要考虑实现标书需求的所有费用，对标书中未体现，但又是提供服务所必须的设备，中标单位必须自行增加设备，同时，</w:t>
      </w:r>
      <w:r>
        <w:rPr>
          <w:rFonts w:hint="eastAsia" w:cs="宋体"/>
          <w:b/>
          <w:snapToGrid w:val="0"/>
          <w:sz w:val="24"/>
        </w:rPr>
        <w:t>中标单位</w:t>
      </w:r>
      <w:r>
        <w:rPr>
          <w:rFonts w:hint="eastAsia" w:cs="宋体"/>
          <w:b/>
          <w:sz w:val="24"/>
        </w:rPr>
        <w:t>需对服务项目建设及运营期间的安全责任问题全权负责，投标的报价包含实现标书的所有功能及安全保障工作，采购人不再另外增加费用，本期雪亮工程在维护期60个月结束后，设备产权归属由采购人决定，承包方无条件配合。</w:t>
      </w:r>
    </w:p>
    <w:p>
      <w:pPr>
        <w:pStyle w:val="90"/>
        <w:spacing w:line="360" w:lineRule="auto"/>
        <w:rPr>
          <w:rFonts w:hint="eastAsia" w:cs="宋体"/>
          <w:b/>
          <w:sz w:val="24"/>
        </w:rPr>
      </w:pPr>
      <w:r>
        <w:rPr>
          <w:rFonts w:hint="eastAsia" w:cs="宋体"/>
          <w:b/>
          <w:sz w:val="24"/>
        </w:rPr>
        <w:t>本项目标二属于购买设备项目，设备产权归属为采购人。</w:t>
      </w:r>
    </w:p>
    <w:p>
      <w:pP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32"/>
        <w:widowControl w:val="0"/>
        <w:spacing w:before="0" w:beforeAutospacing="0" w:after="0" w:afterAutospacing="0" w:line="360" w:lineRule="auto"/>
        <w:ind w:firstLine="126" w:firstLineChars="45"/>
        <w:jc w:val="both"/>
        <w:rPr>
          <w:rFonts w:hint="eastAsia" w:cs="宋体"/>
          <w:b/>
          <w:color w:val="auto"/>
          <w:sz w:val="28"/>
          <w:szCs w:val="28"/>
        </w:rPr>
      </w:pPr>
      <w:bookmarkStart w:id="5" w:name="_Toc478734911"/>
      <w:bookmarkEnd w:id="5"/>
      <w:bookmarkStart w:id="6" w:name="_Toc47900836"/>
      <w:bookmarkEnd w:id="6"/>
      <w:bookmarkStart w:id="7" w:name="_Toc478735717"/>
      <w:bookmarkEnd w:id="7"/>
      <w:bookmarkStart w:id="8" w:name="_Toc404613256"/>
      <w:r>
        <w:rPr>
          <w:rFonts w:hint="eastAsia" w:cs="宋体"/>
          <w:b/>
          <w:color w:val="auto"/>
          <w:sz w:val="28"/>
          <w:szCs w:val="28"/>
          <w:lang w:bidi="ar"/>
        </w:rPr>
        <w:t>标段一、二</w:t>
      </w:r>
      <w:bookmarkEnd w:id="8"/>
    </w:p>
    <w:p>
      <w:pPr>
        <w:pStyle w:val="3"/>
        <w:widowControl/>
        <w:numPr>
          <w:ilvl w:val="0"/>
          <w:numId w:val="3"/>
        </w:numPr>
        <w:spacing w:before="0" w:after="0" w:line="360" w:lineRule="auto"/>
        <w:ind w:left="431" w:hanging="431"/>
        <w:jc w:val="center"/>
        <w:rPr>
          <w:rFonts w:hint="eastAsia" w:ascii="宋体" w:hAnsi="宋体" w:cs="宋体"/>
          <w:sz w:val="36"/>
          <w:szCs w:val="36"/>
        </w:rPr>
      </w:pPr>
      <w:r>
        <w:rPr>
          <w:rFonts w:hint="eastAsia" w:ascii="宋体" w:hAnsi="宋体" w:cs="宋体"/>
          <w:sz w:val="36"/>
          <w:szCs w:val="36"/>
        </w:rPr>
        <w:t>总体建设方案</w:t>
      </w:r>
    </w:p>
    <w:p>
      <w:pPr>
        <w:pStyle w:val="4"/>
        <w:keepNext w:val="0"/>
        <w:keepLines w:val="0"/>
        <w:widowControl/>
        <w:numPr>
          <w:ilvl w:val="1"/>
          <w:numId w:val="3"/>
        </w:numPr>
        <w:spacing w:line="360" w:lineRule="auto"/>
        <w:ind w:left="578" w:hanging="578"/>
        <w:rPr>
          <w:rFonts w:hint="eastAsia" w:ascii="宋体" w:hAnsi="宋体" w:eastAsia="宋体" w:cs="宋体"/>
          <w:sz w:val="24"/>
          <w:szCs w:val="24"/>
        </w:rPr>
      </w:pPr>
      <w:bookmarkStart w:id="9" w:name="_Toc47900837"/>
      <w:bookmarkEnd w:id="9"/>
      <w:r>
        <w:rPr>
          <w:rFonts w:hint="eastAsia" w:ascii="宋体" w:hAnsi="宋体" w:eastAsia="宋体" w:cs="宋体"/>
          <w:sz w:val="24"/>
          <w:szCs w:val="24"/>
        </w:rPr>
        <w:t>建设内容</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1、集聚区分局根据治安复杂情况、警力分布状况、经济发展状况，在集聚设立一总监控中心，监控中心内设置综合平台。整体网络建成后要通过集聚区分局公安局中心机房与已有天网视频系统实现互联互通。</w:t>
      </w:r>
      <w:bookmarkStart w:id="10" w:name="_Hlk47434660"/>
      <w:r>
        <w:rPr>
          <w:rFonts w:hint="eastAsia" w:ascii="宋体" w:hAnsi="宋体" w:cs="宋体"/>
          <w:kern w:val="0"/>
          <w:sz w:val="24"/>
          <w:lang w:bidi="ar"/>
        </w:rPr>
        <w:t>项目</w:t>
      </w:r>
      <w:bookmarkEnd w:id="10"/>
      <w:r>
        <w:rPr>
          <w:rFonts w:hint="eastAsia" w:ascii="宋体" w:hAnsi="宋体" w:cs="宋体"/>
          <w:kern w:val="0"/>
          <w:sz w:val="24"/>
          <w:lang w:bidi="ar"/>
        </w:rPr>
        <w:t>新建1040个摄像机，2019年新建420个摄像机，其中动态人像卡口抓拍机160个，普通高清视频监控（含高清车辆卡口抓拍机）260个；2020年新建高清视频监控620路（596个高清摄像头），包含24套400万以上像素全局多射摄像机，251套400万以上像素高清枪机监控摄像机，10套400万以上像素高清球机，232套400万以上像素高清人脸监控摄像机，79套 900万星光单元。本次智能设备（人脸+卡口）占比60%。</w:t>
      </w:r>
    </w:p>
    <w:p>
      <w:pPr>
        <w:adjustRightInd w:val="0"/>
        <w:spacing w:line="360" w:lineRule="auto"/>
        <w:ind w:firstLine="472" w:firstLineChars="197"/>
        <w:textAlignment w:val="baseline"/>
        <w:rPr>
          <w:rFonts w:hint="eastAsia" w:ascii="宋体" w:hAnsi="宋体" w:cs="宋体"/>
          <w:sz w:val="24"/>
        </w:rPr>
      </w:pPr>
      <w:r>
        <w:rPr>
          <w:rFonts w:hint="eastAsia" w:ascii="宋体" w:hAnsi="宋体" w:cs="宋体"/>
          <w:kern w:val="0"/>
          <w:sz w:val="24"/>
          <w:lang w:bidi="ar"/>
        </w:rPr>
        <w:t>2、网络系统部分：由运营商自行组网，可按集聚区实际情况或按辖区进行汇聚，各汇聚节点通过万兆光纤组建环网，运营商核心机房与各汇聚节点通过万兆光纤组网，组建星型网络。运营商核心机房与集聚区分局公安局雪亮工程管理机房及指定机房通过双万兆光纤联通。根据实际需要，各汇聚节点需铺设万兆光纤到当地派出所/警务区机房；前端设备支持多VLAN配置。</w:t>
      </w:r>
    </w:p>
    <w:p>
      <w:pPr>
        <w:autoSpaceDE w:val="0"/>
        <w:autoSpaceDN w:val="0"/>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3、存储平台：所有枪机、卡口录像存储时间不低于30天，人脸摄像机录像存储时间不低于30天，特殊重点安保单位监控录像存储时间不低于90天；所有摄像机抓拍照片必须按摄像机最高像素照片进行抓拍。照片存储时间不低于半年，过车记录保存时间不低于3年，操作日志保存时间不低于3年。</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机房要求：本项目所涉及的服务平台、交换机设备、存储平台等设备，全部安置在运营商机房。另外根据网络及设备的实际部署情况，运营商可根据自身要求自行设立相应的汇聚/核心机房。所有机房以及机房内所有相关设备均由投标人负责，本采购不限定/提供设备清单。机房必须提供充足的UPS电源或通信直流供电系统供应（按照各机房部署设备总用电量的1.3倍以上进行预留，且保证后备供电时间不少于4小时）、足够的制冷能力和相对宽裕的设备安装机柜空间，且按标准接地/防雷/防水，安装消防设施；提供集中控制的动力环境监控系统。此外，还必须提供符合社会视频监控要求的全网交换设备，即满足要求的各汇聚/核心机房之间的交换网络设备、以及机房与前端设备的传输网络设备。</w:t>
      </w:r>
    </w:p>
    <w:p>
      <w:pPr>
        <w:adjustRightInd w:val="0"/>
        <w:spacing w:line="360" w:lineRule="auto"/>
        <w:ind w:firstLine="472" w:firstLineChars="197"/>
        <w:textAlignment w:val="baseline"/>
        <w:rPr>
          <w:rFonts w:hint="eastAsia" w:ascii="宋体" w:hAnsi="宋体" w:cs="宋体"/>
          <w:sz w:val="24"/>
        </w:rPr>
      </w:pPr>
      <w:r>
        <w:rPr>
          <w:rFonts w:hint="eastAsia" w:ascii="宋体" w:hAnsi="宋体" w:cs="宋体"/>
          <w:kern w:val="0"/>
          <w:sz w:val="24"/>
          <w:lang w:bidi="ar"/>
        </w:rPr>
        <w:t>5、系统具有数据自动上传功能，前端所有摄像机应配置不低于64G高速SD卡或TF卡，并采用自动循环覆盖的数据存储机制，当存储达到最大储存容量时，自动进行循环覆盖。当前端摄像机至后端中心机房之间的专线网络故障导致数据传输中断后，系统将继续在存储介质中临时存储数据，并在网络恢复后自动断点续传回后端平台和存储。所有前端摄像机、存储、智能机箱、网络设备和系统设备等都具有时钟同步和主动校时功能，24h内设备的计时误差不超过1s。所有抓拍图片过车数据上传到台州市局入库时间不得超过10s。</w:t>
      </w:r>
    </w:p>
    <w:p>
      <w:pPr>
        <w:autoSpaceDE w:val="0"/>
        <w:autoSpaceDN w:val="0"/>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6、平台结构及存储系统建设，所有枪机、球机、卡口录像存储时间不低于30天，人脸摄像机录像存储时间不低于30天，特殊重点**安保单位监控录像存储时间不低于90天；所有摄像机抓拍照片必须按摄像机最高像素照片进行抓拍。车辆抓拍照片存储时间不低于180年，所有车辆抓拍照片都需叠加前排驾驶员和副驾驶员小扣图，过车记录保存时间不低于3年，操作日志保存时间不低于3年。（</w:t>
      </w:r>
      <w:r>
        <w:rPr>
          <w:rFonts w:hint="eastAsia" w:ascii="宋体" w:hAnsi="宋体" w:cs="宋体"/>
          <w:b/>
          <w:kern w:val="0"/>
          <w:sz w:val="24"/>
          <w:lang w:bidi="ar"/>
        </w:rPr>
        <w:t>详细方案参照方案第3.19节，平台结构及存储系统建设</w:t>
      </w:r>
      <w:r>
        <w:rPr>
          <w:rFonts w:hint="eastAsia" w:ascii="宋体" w:hAnsi="宋体" w:cs="宋体"/>
          <w:kern w:val="0"/>
          <w:sz w:val="24"/>
          <w:lang w:bidi="ar"/>
        </w:rPr>
        <w:t>）</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7、人脸平台建设，集聚区人脸系统从天网一期开始，建设前端人脸摄像机110个，2019年人脸授权160个,本期建设图片授权240个,根据实际需求进行增加。场景图、小人脸、结构化信息、特征值数据可通过与市局对接，实现向市局汇聚平台汇聚，完成路人数据的上传和存储。（</w:t>
      </w:r>
      <w:r>
        <w:rPr>
          <w:rFonts w:hint="eastAsia" w:ascii="宋体" w:hAnsi="宋体" w:cs="宋体"/>
          <w:b/>
          <w:kern w:val="0"/>
          <w:sz w:val="24"/>
          <w:lang w:bidi="ar"/>
        </w:rPr>
        <w:t>详细方案参照方案第4节，人脸识别系统建设</w:t>
      </w:r>
      <w:r>
        <w:rPr>
          <w:rFonts w:hint="eastAsia" w:ascii="宋体" w:hAnsi="宋体" w:cs="宋体"/>
          <w:kern w:val="0"/>
          <w:sz w:val="24"/>
          <w:lang w:bidi="ar"/>
        </w:rPr>
        <w:t>）</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8、安全平台建设，</w:t>
      </w:r>
      <w:bookmarkStart w:id="11" w:name="_Hlk482736203"/>
      <w:r>
        <w:rPr>
          <w:rFonts w:hint="eastAsia" w:ascii="宋体" w:hAnsi="宋体" w:cs="宋体"/>
          <w:kern w:val="0"/>
          <w:sz w:val="24"/>
          <w:lang w:bidi="ar"/>
        </w:rPr>
        <w:t>基于已有的雪亮工程项目建设的感知和大数据分析平台，做好相应的系统扩容，添加部分安全设备，保证全网纳入安全监控体系。</w:t>
      </w:r>
      <w:bookmarkEnd w:id="11"/>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对于日志分析系统，要求必须实现超过180天的全档案存储，确保能对180天以内的任意一天任意一个设备提供准确的操作记录查询；对全日志分析要求能提供预警等分析功能，至少实现在无人员介入的情况下，提供持续的威胁防御或威胁洞察力的功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对于服务器主机、网络设备、存储设备、中间件及应用系统、主流数据库、虚拟化平台等能够进行实时监测，保证能对多个隔离网络的上述各类系统做实时管控并实现检测数据的汇总、分析。</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对于漏洞扫描，提供的规则信息库必须是最新的（更新周期不得大于1个月）；要求在每个月对集聚区分局范围内的服务器、网络设备、上网终端设备进行安全漏洞扫描，并同时要求提供各操作系统的安全补丁分发服务。（</w:t>
      </w:r>
      <w:r>
        <w:rPr>
          <w:rFonts w:hint="eastAsia" w:ascii="宋体" w:hAnsi="宋体" w:cs="宋体"/>
          <w:b/>
          <w:kern w:val="0"/>
          <w:sz w:val="24"/>
          <w:lang w:bidi="ar"/>
        </w:rPr>
        <w:t>详细方案参照方案第5节，信息安全系统建设</w:t>
      </w:r>
      <w:r>
        <w:rPr>
          <w:rFonts w:hint="eastAsia" w:ascii="宋体" w:hAnsi="宋体" w:cs="宋体"/>
          <w:kern w:val="0"/>
          <w:sz w:val="24"/>
          <w:lang w:bidi="ar"/>
        </w:rPr>
        <w:t>）</w:t>
      </w:r>
    </w:p>
    <w:p>
      <w:pPr>
        <w:pStyle w:val="4"/>
        <w:keepNext w:val="0"/>
        <w:keepLines w:val="0"/>
        <w:widowControl/>
        <w:numPr>
          <w:ilvl w:val="1"/>
          <w:numId w:val="3"/>
        </w:numPr>
        <w:spacing w:line="360" w:lineRule="auto"/>
        <w:rPr>
          <w:rFonts w:hint="eastAsia" w:ascii="宋体" w:hAnsi="宋体" w:eastAsia="宋体" w:cs="宋体"/>
          <w:sz w:val="24"/>
          <w:szCs w:val="24"/>
        </w:rPr>
      </w:pPr>
      <w:bookmarkStart w:id="12" w:name="_Toc47900838"/>
      <w:bookmarkEnd w:id="12"/>
      <w:bookmarkStart w:id="13" w:name="_Toc478735718"/>
      <w:bookmarkEnd w:id="13"/>
      <w:bookmarkStart w:id="14" w:name="_Toc478734912"/>
      <w:r>
        <w:rPr>
          <w:rFonts w:hint="eastAsia" w:ascii="宋体" w:hAnsi="宋体" w:eastAsia="宋体" w:cs="宋体"/>
          <w:sz w:val="24"/>
          <w:szCs w:val="24"/>
        </w:rPr>
        <w:t>建设总体目标</w:t>
      </w:r>
      <w:bookmarkEnd w:id="14"/>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集聚区分局“雪亮工程”建设紧密围绕“建设、联网、应用、管控”的建设任务，到十三五实现“全域覆盖、全网共享、全时可用、全程可控”的总体目标，全面建成涵盖市、乡镇（街道）、村（社区）三级公共安全视频监控联网共享综治应用平台体系，实现视频图像信息交换共享平台按需联通、视频资源有效整合，建设视频监控联网共享应用统一门户，并紧密结合台州湾新区城市总体发展规划，以视频技术，提升公共安全、城市管理、环境保护、交通疏导、风险监测、应急处置等各领域精细化治理水平，促进实现社会治理的现代化。，</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重点公共区域视频监控建设实现无盲区，覆盖率达到100%，新建摄像机高清率打高100%；</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重点行业、领域涉及公共区域的视频监控建设实现覆盖率达到100%，新建摄像机高清率达到100%；</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省市县际车辆卡口建设覆盖率达到100%；</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重要路段、路口及重点场所出入口关键部位人脸抓拍卡口覆盖率达到100%；</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政府投资建设的老旧摄像机升级改造，实现更换率、高清率达到100%；</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城镇居民小区出入口、农村改革出入口视频监控建设覆盖率达100%；</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重点公共区域和重点行业、领域涉及公共区域的无线射频基站建设覆盖率达到100%。</w:t>
      </w:r>
    </w:p>
    <w:p>
      <w:pPr>
        <w:pStyle w:val="4"/>
        <w:keepNext w:val="0"/>
        <w:keepLines w:val="0"/>
        <w:widowControl/>
        <w:numPr>
          <w:ilvl w:val="1"/>
          <w:numId w:val="3"/>
        </w:numPr>
        <w:spacing w:line="360" w:lineRule="auto"/>
        <w:rPr>
          <w:rFonts w:hint="eastAsia" w:ascii="宋体" w:hAnsi="宋体" w:eastAsia="宋体" w:cs="宋体"/>
          <w:sz w:val="24"/>
          <w:szCs w:val="24"/>
        </w:rPr>
      </w:pPr>
      <w:bookmarkStart w:id="15" w:name="_Toc47900839"/>
      <w:bookmarkEnd w:id="15"/>
      <w:bookmarkStart w:id="16" w:name="_Toc478734913"/>
      <w:bookmarkEnd w:id="16"/>
      <w:bookmarkStart w:id="17" w:name="_Toc478735719"/>
      <w:r>
        <w:rPr>
          <w:rFonts w:hint="eastAsia" w:ascii="宋体" w:hAnsi="宋体" w:eastAsia="宋体" w:cs="宋体"/>
          <w:sz w:val="24"/>
          <w:szCs w:val="24"/>
        </w:rPr>
        <w:t>建设任务</w:t>
      </w:r>
      <w:bookmarkEnd w:id="17"/>
    </w:p>
    <w:p>
      <w:pPr>
        <w:pStyle w:val="5"/>
        <w:numPr>
          <w:ilvl w:val="2"/>
          <w:numId w:val="3"/>
        </w:numPr>
        <w:spacing w:before="190" w:after="190"/>
        <w:rPr>
          <w:rFonts w:hint="eastAsia" w:ascii="宋体" w:hAnsi="宋体" w:cs="宋体"/>
          <w:szCs w:val="24"/>
        </w:rPr>
      </w:pPr>
      <w:bookmarkStart w:id="18" w:name="_Toc478734914"/>
      <w:bookmarkEnd w:id="18"/>
      <w:bookmarkStart w:id="19" w:name="_Toc47900840"/>
      <w:bookmarkEnd w:id="19"/>
      <w:bookmarkStart w:id="20" w:name="_Toc478735720"/>
      <w:r>
        <w:rPr>
          <w:rFonts w:hint="eastAsia" w:ascii="宋体" w:hAnsi="宋体" w:cs="宋体"/>
          <w:szCs w:val="24"/>
        </w:rPr>
        <w:t>本期前端点位建设任务</w:t>
      </w:r>
      <w:bookmarkEnd w:id="20"/>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围绕国家九部委总体目标全域覆盖的任务，重点公共区域、部位视频监控覆盖率达到100%，新建、改建高清摄像机比例达到100%；重点行业、领域的重要部位视频监控覆盖率达到100%；，依据“圈、块、格、线、点”、犯罪地理学意义上的“防卫空间理论”和城市功能区域相结合的点位部署方法、结合案事件发案率、人口密度、重点单位分布密度、科学制定制市我市 “雪亮工程”的点位建设任务：</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1、村居（社区）公共区域及出入口的高清点位建设</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针对台州湾新区所</w:t>
      </w:r>
      <w:r>
        <w:rPr>
          <w:rFonts w:hint="eastAsia" w:ascii="宋体" w:hAnsi="宋体" w:cs="宋体"/>
          <w:kern w:val="0"/>
          <w:sz w:val="24"/>
          <w:shd w:val="clear" w:color="auto" w:fill="FFFFFF"/>
          <w:lang w:bidi="ar"/>
        </w:rPr>
        <w:t>有行政村，居（社区居委会）</w:t>
      </w:r>
      <w:r>
        <w:rPr>
          <w:rFonts w:hint="eastAsia" w:ascii="宋体" w:hAnsi="宋体" w:cs="宋体"/>
          <w:kern w:val="0"/>
          <w:sz w:val="24"/>
          <w:lang w:bidi="ar"/>
        </w:rPr>
        <w:t>的情况进行摸底调查，进一步完善视频监控的建设。</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2、结构化人脸卡口点位建设</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完善台州湾新区分局治安防控圈，建设市际、主要道路及高速出入口卡口及车内人脸抓拍系统。</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3、人脸识别点位建设</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根据台州集聚区公安分局人像项目建设技术规范，决定在以下区域建设人脸图像采集点位。</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重点公共场所：包括车站、码头、医院（中心卫生院以上）、学校、影院等。</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人员密集型区域：网吧、影院、旅馆、饭店、ktv、邮寄递、公交站、租赁汽车行业等餐饮购物消费休闲聚集地；</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行人通行要道：如城郊结合部、治安复杂或外来人员集居村村口、城镇人流通行要道（人行道）、新民小区门口、步行街街口、大型综合市场进出口、人行道口等；</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重点**区域：如供水、供电、党政军机关等；易制毒、易制爆物品所在地等。</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车辆密集区域：与交警形成补充、结合统一进布署等。</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4、高空瞭望系统建设</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根据台州湾新区分局的地形结构，和城市布局新建高空瞭望视频监控主要由交警部分进行建设。</w:t>
      </w:r>
    </w:p>
    <w:p>
      <w:pPr>
        <w:pStyle w:val="5"/>
        <w:numPr>
          <w:ilvl w:val="2"/>
          <w:numId w:val="3"/>
        </w:numPr>
        <w:spacing w:before="190" w:after="190"/>
        <w:rPr>
          <w:rFonts w:hint="eastAsia" w:ascii="宋体" w:hAnsi="宋体" w:cs="宋体"/>
          <w:szCs w:val="24"/>
        </w:rPr>
      </w:pPr>
      <w:bookmarkStart w:id="21" w:name="_Toc478734915"/>
      <w:bookmarkEnd w:id="21"/>
      <w:bookmarkStart w:id="22" w:name="_Toc47900841"/>
      <w:bookmarkEnd w:id="22"/>
      <w:bookmarkStart w:id="23" w:name="_Toc478735721"/>
      <w:r>
        <w:rPr>
          <w:rFonts w:hint="eastAsia" w:ascii="宋体" w:hAnsi="宋体" w:cs="宋体"/>
          <w:szCs w:val="24"/>
        </w:rPr>
        <w:t>网络交换设备扩容建设任务</w:t>
      </w:r>
      <w:bookmarkEnd w:id="23"/>
    </w:p>
    <w:p>
      <w:pPr>
        <w:pStyle w:val="100"/>
        <w:widowControl/>
        <w:ind w:firstLine="480"/>
        <w:rPr>
          <w:rFonts w:cs="宋体"/>
        </w:rPr>
      </w:pPr>
      <w:r>
        <w:rPr>
          <w:rFonts w:cs="宋体"/>
        </w:rPr>
        <w:t>本项目进行数字视频专网的针对性扩容，包括核心交换机、汇聚交换机、接入交换机、光端机设备等，采用运营商网络租赁模式，租赁周期5年，传输设备在租赁期间由运营商提供。在本期项目建设中需根据前端监控点的数量进行主干光纤、传输网络和监控点位至公安局的传输链路建设，实现前段点位到公共安全视频监控侦查作战平台的接入。</w:t>
      </w:r>
    </w:p>
    <w:p>
      <w:pPr>
        <w:pStyle w:val="100"/>
        <w:widowControl/>
        <w:ind w:firstLine="480"/>
        <w:rPr>
          <w:rFonts w:cs="宋体"/>
        </w:rPr>
      </w:pPr>
      <w:r>
        <w:rPr>
          <w:rFonts w:cs="宋体"/>
        </w:rPr>
        <w:t>主要建设内容包括：建设前端点到运营商通信基站，传至数据中心的核心交换机，并充分利用前期的传输网络，升级网络带宽，扩容公安视频专网。</w:t>
      </w:r>
    </w:p>
    <w:p>
      <w:pPr>
        <w:pStyle w:val="5"/>
        <w:numPr>
          <w:ilvl w:val="2"/>
          <w:numId w:val="3"/>
        </w:numPr>
        <w:spacing w:before="190" w:after="190"/>
        <w:rPr>
          <w:rFonts w:hint="eastAsia" w:ascii="宋体" w:hAnsi="宋体" w:cs="宋体"/>
          <w:szCs w:val="24"/>
        </w:rPr>
      </w:pPr>
      <w:bookmarkStart w:id="24" w:name="_Toc478734916"/>
      <w:bookmarkEnd w:id="24"/>
      <w:bookmarkStart w:id="25" w:name="_Toc478735722"/>
      <w:bookmarkEnd w:id="25"/>
      <w:bookmarkStart w:id="26" w:name="_Toc47900842"/>
      <w:r>
        <w:rPr>
          <w:rFonts w:hint="eastAsia" w:ascii="宋体" w:hAnsi="宋体" w:cs="宋体"/>
          <w:szCs w:val="24"/>
        </w:rPr>
        <w:t>视频应用建设任务</w:t>
      </w:r>
      <w:bookmarkEnd w:id="26"/>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本项目规划部署人脸识别系统建设，在整个台州湾新区内主要出入口、码头、车站、等人流量集中地，外来人口聚集地部署人脸卡口人像，对车辆内部人脸和道路上行人面部特征进行捕捉对比分析。</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部署高空瞭望系统（交警部门建设），实现台州湾新区综合情况布控掌握，对各种台风、洪水、人群集聚等态势做到第一是掌握，促进**指挥、应急调度等治安维稳工作的顺利有效开展。</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本项目新建的前端设备和软件平台要求能无缝接入集聚区公安分局指定平台系统。</w:t>
      </w:r>
    </w:p>
    <w:p>
      <w:pPr>
        <w:pStyle w:val="5"/>
        <w:numPr>
          <w:ilvl w:val="2"/>
          <w:numId w:val="3"/>
        </w:numPr>
        <w:spacing w:before="190" w:after="190"/>
        <w:rPr>
          <w:rFonts w:hint="eastAsia" w:ascii="宋体" w:hAnsi="宋体" w:cs="宋体"/>
          <w:szCs w:val="24"/>
        </w:rPr>
      </w:pPr>
      <w:bookmarkStart w:id="27" w:name="_Toc478734917"/>
      <w:bookmarkEnd w:id="27"/>
      <w:bookmarkStart w:id="28" w:name="_Toc47900843"/>
      <w:bookmarkEnd w:id="28"/>
      <w:bookmarkStart w:id="29" w:name="_Toc478735723"/>
      <w:r>
        <w:rPr>
          <w:rFonts w:hint="eastAsia" w:ascii="宋体" w:hAnsi="宋体" w:cs="宋体"/>
          <w:szCs w:val="24"/>
        </w:rPr>
        <w:t>视频管控建设任务</w:t>
      </w:r>
      <w:bookmarkEnd w:id="29"/>
    </w:p>
    <w:p>
      <w:pPr>
        <w:pStyle w:val="32"/>
        <w:widowControl w:val="0"/>
        <w:numPr>
          <w:ilvl w:val="0"/>
          <w:numId w:val="4"/>
        </w:numPr>
        <w:spacing w:before="0" w:beforeAutospacing="0" w:after="0" w:afterAutospacing="0" w:line="360" w:lineRule="auto"/>
        <w:jc w:val="both"/>
        <w:rPr>
          <w:rFonts w:hint="eastAsia" w:cs="宋体"/>
          <w:b/>
          <w:color w:val="auto"/>
        </w:rPr>
      </w:pPr>
      <w:r>
        <w:rPr>
          <w:rFonts w:hint="eastAsia" w:cs="宋体"/>
          <w:b/>
          <w:color w:val="auto"/>
          <w:lang w:bidi="ar"/>
        </w:rPr>
        <w:t>全市统一运维平台</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在“双网双平台”中部署一套运维平台对全市视频资源进行维护管理，成立服务热线或手机客户端，对全市视频资源进行故障申报受理、维修服务、派单，视频运维平台对全市视频资源的软硬件资产规范化管理，设备运行状态的可视化管理、指标化监测、智能化故障定位和敏感信息识别，视频质量诊断、故障处理工单的电子化流转和统一的考核评价，从而达到提升信息化系统运营效率和管理水平，保障视频资源核心系统的安全、有序、稳定和高效运转。</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集聚区分局“雪亮工程”视频资源联网共享项目，引进社会力量参与系统运维，充分利用运营商（电信、移动、联通、广电）覆盖全市到村级售后服务力量，成立统一运维热线或手机APP等报修手段，全民参与，方便报修、追溯、确保故障能够及时发现、及时处理。</w:t>
      </w:r>
    </w:p>
    <w:p>
      <w:pPr>
        <w:pStyle w:val="32"/>
        <w:widowControl w:val="0"/>
        <w:numPr>
          <w:ilvl w:val="0"/>
          <w:numId w:val="4"/>
        </w:numPr>
        <w:spacing w:before="0" w:beforeAutospacing="0" w:after="0" w:afterAutospacing="0" w:line="360" w:lineRule="auto"/>
        <w:jc w:val="both"/>
        <w:rPr>
          <w:rFonts w:hint="eastAsia" w:cs="宋体"/>
          <w:b/>
          <w:color w:val="auto"/>
        </w:rPr>
      </w:pPr>
      <w:r>
        <w:rPr>
          <w:rFonts w:hint="eastAsia" w:cs="宋体"/>
          <w:b/>
          <w:color w:val="auto"/>
          <w:lang w:bidi="ar"/>
        </w:rPr>
        <w:t>统一安全管理平台</w:t>
      </w:r>
    </w:p>
    <w:p>
      <w:pPr>
        <w:adjustRightInd w:val="0"/>
        <w:spacing w:after="190" w:afterLines="50"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通过统一安全管理平台提供统一的基础安全服务技术架构，使新的应用可以很容易的接受安全系统管理。通过该平台对各应用系统进行集中管理，为各个应用系统提供统一的身份认证、统一物联网接入、统一的数据审计，提升整个信息化平台系统的安全性和可管理能力。</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根据集聚区分局公安实际业务需要，为达到视频监控专网“全程可控”的安全建设目标，建设基于大数据分析的安全态势感知平台系统，打造以主机日志、中间件日志、应用日志、安全设备日志以及网络日志和安全事件综合分析为核心的数据分析能力，针对安全事件进行已知威胁和未知威胁检测，及时感知全网威胁和攻击趋势;</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建设安全事件的全生命周期跟踪处理机制和分析模型，实现安全事件溯源、安全处置工单跟踪；并累计安全事件的特征，合并分析之后扩充至本地威胁情报库，实现未知安全威胁的发现。从真正意义上实现将传统的安全防护转变为具有智能自学习能力的数据自动安全分析、预警与处置一体化的整体企业网络安全态势感知运营平台。通过数据安全态势感知平台的建设，形成一套可监控“雪亮工程”安全运行状况的管控平台， 以分析安全威胁、把控态势为总体目标，达到提前预警、防范、处置，为突发安全事件及时有效处置打下坚实基础。</w:t>
      </w:r>
    </w:p>
    <w:p>
      <w:pPr>
        <w:adjustRightInd w:val="0"/>
        <w:spacing w:after="190" w:afterLines="50"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 xml:space="preserve"> </w:t>
      </w:r>
    </w:p>
    <w:p>
      <w:pPr>
        <w:pStyle w:val="32"/>
        <w:widowControl w:val="0"/>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 xml:space="preserve"> </w:t>
      </w:r>
    </w:p>
    <w:p>
      <w:pPr>
        <w:pStyle w:val="32"/>
        <w:widowControl w:val="0"/>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 xml:space="preserve"> </w:t>
      </w:r>
    </w:p>
    <w:p>
      <w:pPr>
        <w:rPr>
          <w:rFonts w:hint="eastAsia" w:ascii="宋体" w:hAnsi="宋体" w:cs="宋体"/>
          <w:sz w:val="24"/>
        </w:rPr>
        <w:sectPr>
          <w:headerReference r:id="rId3" w:type="first"/>
          <w:footerReference r:id="rId4" w:type="default"/>
          <w:footnotePr>
            <w:numRestart w:val="eachPage"/>
          </w:footnotePr>
          <w:endnotePr>
            <w:numRestart w:val="eachSect"/>
          </w:endnotePr>
          <w:pgSz w:w="11907" w:h="16840"/>
          <w:pgMar w:top="1701" w:right="1418" w:bottom="1418" w:left="1418" w:header="851" w:footer="992" w:gutter="0"/>
          <w:pgBorders w:offsetFrom="page">
            <w:top w:val="none" w:sz="0" w:space="0"/>
            <w:left w:val="none" w:sz="0" w:space="0"/>
            <w:bottom w:val="none" w:sz="0" w:space="0"/>
            <w:right w:val="none" w:sz="0" w:space="0"/>
          </w:pgBorders>
          <w:cols w:space="720" w:num="1"/>
          <w:docGrid w:type="lines" w:linePitch="381" w:charSpace="-6554"/>
        </w:sectPr>
      </w:pPr>
    </w:p>
    <w:p>
      <w:pPr>
        <w:pStyle w:val="4"/>
        <w:keepNext w:val="0"/>
        <w:keepLines w:val="0"/>
        <w:widowControl/>
        <w:numPr>
          <w:ilvl w:val="1"/>
          <w:numId w:val="3"/>
        </w:numPr>
        <w:rPr>
          <w:rFonts w:hint="eastAsia" w:ascii="宋体" w:hAnsi="宋体" w:eastAsia="宋体" w:cs="宋体"/>
          <w:sz w:val="24"/>
          <w:szCs w:val="24"/>
        </w:rPr>
      </w:pPr>
      <w:bookmarkStart w:id="30" w:name="_Toc478734919"/>
      <w:bookmarkEnd w:id="30"/>
      <w:bookmarkStart w:id="31" w:name="_Toc478735725"/>
      <w:bookmarkEnd w:id="31"/>
      <w:bookmarkStart w:id="32" w:name="_Toc47900844"/>
      <w:r>
        <w:rPr>
          <w:rFonts w:hint="eastAsia" w:ascii="宋体" w:hAnsi="宋体" w:eastAsia="宋体" w:cs="宋体"/>
          <w:sz w:val="24"/>
          <w:szCs w:val="24"/>
        </w:rPr>
        <w:t>技术总体框架</w:t>
      </w:r>
      <w:bookmarkEnd w:id="32"/>
    </w:p>
    <w:p>
      <w:pPr>
        <w:adjustRightInd w:val="0"/>
        <w:spacing w:line="360" w:lineRule="auto"/>
        <w:jc w:val="center"/>
        <w:textAlignment w:val="baseline"/>
        <w:rPr>
          <w:rFonts w:hint="eastAsia" w:ascii="宋体" w:hAnsi="宋体" w:cs="宋体"/>
          <w:sz w:val="24"/>
        </w:rPr>
      </w:pPr>
      <w:r>
        <w:rPr>
          <w:kern w:val="0"/>
          <w:sz w:val="24"/>
          <w:lang w:bidi="ar"/>
        </w:rPr>
        <w:drawing>
          <wp:inline distT="0" distB="0" distL="114300" distR="114300">
            <wp:extent cx="6105525" cy="4953000"/>
            <wp:effectExtent l="0" t="0" r="9525" b="0"/>
            <wp:docPr id="1"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3" descr="IMG_256"/>
                    <pic:cNvPicPr>
                      <a:picLocks noChangeAspect="1"/>
                    </pic:cNvPicPr>
                  </pic:nvPicPr>
                  <pic:blipFill>
                    <a:blip r:embed="rId9"/>
                    <a:stretch>
                      <a:fillRect/>
                    </a:stretch>
                  </pic:blipFill>
                  <pic:spPr>
                    <a:xfrm>
                      <a:off x="0" y="0"/>
                      <a:ext cx="6105525" cy="4953000"/>
                    </a:xfrm>
                    <a:prstGeom prst="rect">
                      <a:avLst/>
                    </a:prstGeom>
                    <a:noFill/>
                    <a:ln>
                      <a:noFill/>
                    </a:ln>
                  </pic:spPr>
                </pic:pic>
              </a:graphicData>
            </a:graphic>
          </wp:inline>
        </w:drawing>
      </w:r>
      <w:r>
        <w:rPr>
          <w:rFonts w:hint="eastAsia" w:ascii="宋体" w:hAnsi="宋体" w:cs="宋体"/>
          <w:kern w:val="0"/>
          <w:sz w:val="24"/>
          <w:lang w:bidi="ar"/>
        </w:rPr>
        <w:t xml:space="preserve"> </w:t>
      </w:r>
    </w:p>
    <w:p>
      <w:pPr>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图3.3-1 总体框架</w:t>
      </w:r>
    </w:p>
    <w:p>
      <w:pPr>
        <w:numPr>
          <w:ilvl w:val="0"/>
          <w:numId w:val="5"/>
        </w:numPr>
        <w:adjustRightInd w:val="0"/>
        <w:spacing w:line="360" w:lineRule="auto"/>
        <w:ind w:hanging="995"/>
        <w:textAlignment w:val="baseline"/>
        <w:rPr>
          <w:rFonts w:hint="eastAsia" w:ascii="宋体" w:hAnsi="宋体" w:cs="宋体"/>
          <w:b/>
          <w:sz w:val="24"/>
        </w:rPr>
      </w:pPr>
      <w:r>
        <w:rPr>
          <w:rFonts w:hint="eastAsia" w:ascii="宋体" w:hAnsi="宋体" w:cs="宋体"/>
          <w:b/>
          <w:kern w:val="0"/>
          <w:sz w:val="24"/>
          <w:lang w:bidi="ar"/>
        </w:rPr>
        <w:t>感知层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感知层联网全大市的视频前端设备--通过运营商专线、视频专网、政务网整合公安一二类视频资源、政府部门视频资源、行业视频资源等，并利用运营商资源通过专线和互联网整合涉及到公共安全区域和重点场所的社会面视频资源。</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在感知层除了整合已建视频资源，系统将成为集聚区分局的物联数据汇聚平台，场景以公共安全区域为主。通过本次对网络的整合之利，将首先汇聚以公安、交通应用为主的MAC数据、RFID数据、门禁、报警、卡口抓拍、人脸抓拍等数据资源，并制定数据格式规范和接入标准化规范，在应用上首先实现视频轨迹和物联数据的多维融合联动，实现录像和物联数据的关联查询。</w:t>
      </w:r>
    </w:p>
    <w:p>
      <w:pPr>
        <w:numPr>
          <w:ilvl w:val="0"/>
          <w:numId w:val="5"/>
        </w:numPr>
        <w:adjustRightInd w:val="0"/>
        <w:spacing w:line="360" w:lineRule="auto"/>
        <w:ind w:hanging="995"/>
        <w:textAlignment w:val="baseline"/>
        <w:rPr>
          <w:rFonts w:hint="eastAsia" w:ascii="宋体" w:hAnsi="宋体" w:cs="宋体"/>
          <w:b/>
          <w:sz w:val="24"/>
        </w:rPr>
      </w:pPr>
      <w:r>
        <w:rPr>
          <w:rFonts w:hint="eastAsia" w:ascii="宋体" w:hAnsi="宋体" w:cs="宋体"/>
          <w:b/>
          <w:kern w:val="0"/>
          <w:sz w:val="24"/>
          <w:lang w:bidi="ar"/>
        </w:rPr>
        <w:t>传输层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网络层主要指用于集聚区分局视频资源汇聚和传输的网络。主要涉及电子政务网、公安视频专网、各行业、各局自建网络、运营商专网、互联网等其它网络，构筑以电子政务视频专网为中心的架构，并可以汇聚和发布不同网络的视频、物联感知数据。</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在不同网络之间将通过边界/网闸/防火墙等系统做符合国家建设标准规范要求的安全隔离。</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（1）感知层（前端）：在统一数据标准和接口标准的前提下，感知联网的视频前端设备，包括一二三类视频资源点位，除视频外还包括车辆卡口数据、人脸卡口数据、MAC数据、RFID数据等信息采集设备。</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（2）传输层：公共安全视频专网接入公安自建点位，政府/行业专网整合接入政府部门视频资源、行业视频资源等，并利用互联网整合涉及到公共安全区域和重点场所的社会面视频资源。</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（3）数据支撑层：以现有公共安全视频监控侦查作战平台为基础，整合各类视频监控资源，提供5000路视频接入能力，完善基础数据库建设。</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应用及展示层：建设大数据中心、大视频中心、综治大联动中心，整合110、政府12345等社会应急热线的联网运行，逐步实现视频资源一个中心调用，政务数据一个中心流转，把三中心建成台州湾新区管委会政府应急指挥的“大脑”、服务民生的“心脏”。</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5）支撑体系：雪亮工程是一项综合的系统工程，除了应用系统建设外，还需要配套运维及安全体系保障，保障项目的安全稳定运行。集聚区分局一级重点保障前端点位运维，安全服务由台州市局统一规划建设。</w:t>
      </w:r>
    </w:p>
    <w:p>
      <w:pPr>
        <w:rPr>
          <w:rFonts w:hint="eastAsia" w:ascii="宋体" w:hAnsi="宋体" w:cs="宋体"/>
          <w:sz w:val="24"/>
        </w:rPr>
        <w:sectPr>
          <w:footnotePr>
            <w:numRestart w:val="eachPage"/>
          </w:footnotePr>
          <w:endnotePr>
            <w:numRestart w:val="eachSect"/>
          </w:endnotePr>
          <w:pgSz w:w="11907" w:h="16840"/>
          <w:pgMar w:top="1701" w:right="1418" w:bottom="1418" w:left="1418" w:header="851" w:footer="992" w:gutter="0"/>
          <w:pgBorders w:offsetFrom="page">
            <w:top w:val="none" w:sz="0" w:space="0"/>
            <w:left w:val="none" w:sz="0" w:space="0"/>
            <w:bottom w:val="none" w:sz="0" w:space="0"/>
            <w:right w:val="none" w:sz="0" w:space="0"/>
          </w:pgBorders>
          <w:cols w:space="720" w:num="1"/>
          <w:docGrid w:type="lines" w:linePitch="381" w:charSpace="-6554"/>
        </w:sectPr>
      </w:pPr>
    </w:p>
    <w:p>
      <w:pPr>
        <w:pStyle w:val="4"/>
        <w:keepNext w:val="0"/>
        <w:keepLines w:val="0"/>
        <w:widowControl/>
        <w:numPr>
          <w:ilvl w:val="1"/>
          <w:numId w:val="3"/>
        </w:numPr>
        <w:spacing w:line="360" w:lineRule="auto"/>
        <w:rPr>
          <w:rFonts w:hint="eastAsia" w:ascii="宋体" w:hAnsi="宋体" w:eastAsia="宋体" w:cs="宋体"/>
          <w:sz w:val="24"/>
          <w:szCs w:val="24"/>
        </w:rPr>
      </w:pPr>
      <w:bookmarkStart w:id="33" w:name="_Toc47900845"/>
      <w:bookmarkEnd w:id="33"/>
      <w:r>
        <w:rPr>
          <w:rFonts w:hint="eastAsia" w:ascii="宋体" w:hAnsi="宋体" w:eastAsia="宋体" w:cs="宋体"/>
          <w:sz w:val="24"/>
          <w:szCs w:val="24"/>
        </w:rPr>
        <w:t>网络架构</w:t>
      </w:r>
    </w:p>
    <w:p>
      <w:pPr>
        <w:adjustRightInd w:val="0"/>
        <w:spacing w:line="360" w:lineRule="auto"/>
        <w:ind w:firstLine="480" w:firstLineChars="200"/>
        <w:jc w:val="center"/>
        <w:textAlignment w:val="baseline"/>
        <w:rPr>
          <w:rFonts w:hint="eastAsia" w:ascii="宋体" w:hAnsi="宋体" w:cs="宋体"/>
          <w:b/>
          <w:sz w:val="24"/>
        </w:rPr>
      </w:pPr>
      <w:r>
        <w:rPr>
          <w:kern w:val="0"/>
          <w:sz w:val="24"/>
          <w:lang w:bidi="ar"/>
        </w:rPr>
        <w:drawing>
          <wp:inline distT="0" distB="0" distL="114300" distR="114300">
            <wp:extent cx="7896225" cy="4514850"/>
            <wp:effectExtent l="0" t="0" r="9525" b="0"/>
            <wp:docPr id="2" name="图片 7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4" descr="IMG_257"/>
                    <pic:cNvPicPr>
                      <a:picLocks noChangeAspect="1"/>
                    </pic:cNvPicPr>
                  </pic:nvPicPr>
                  <pic:blipFill>
                    <a:blip r:embed="rId10"/>
                    <a:stretch>
                      <a:fillRect/>
                    </a:stretch>
                  </pic:blipFill>
                  <pic:spPr>
                    <a:xfrm>
                      <a:off x="0" y="0"/>
                      <a:ext cx="7896225" cy="4514850"/>
                    </a:xfrm>
                    <a:prstGeom prst="rect">
                      <a:avLst/>
                    </a:prstGeom>
                    <a:noFill/>
                    <a:ln>
                      <a:noFill/>
                    </a:ln>
                  </pic:spPr>
                </pic:pic>
              </a:graphicData>
            </a:graphic>
          </wp:inline>
        </w:drawing>
      </w:r>
      <w:r>
        <w:rPr>
          <w:rFonts w:hint="eastAsia" w:ascii="宋体" w:hAnsi="宋体" w:cs="宋体"/>
          <w:kern w:val="0"/>
          <w:sz w:val="24"/>
          <w:lang w:bidi="ar"/>
        </w:rPr>
        <w:t xml:space="preserve"> </w:t>
      </w:r>
    </w:p>
    <w:p>
      <w:pPr>
        <w:adjustRightInd w:val="0"/>
        <w:spacing w:line="360" w:lineRule="auto"/>
        <w:ind w:firstLine="482" w:firstLineChars="200"/>
        <w:jc w:val="center"/>
        <w:textAlignment w:val="baseline"/>
        <w:rPr>
          <w:rFonts w:hint="eastAsia" w:ascii="宋体" w:hAnsi="宋体" w:cs="宋体"/>
          <w:b/>
          <w:sz w:val="24"/>
        </w:rPr>
      </w:pPr>
      <w:r>
        <w:rPr>
          <w:rFonts w:hint="eastAsia" w:ascii="宋体" w:hAnsi="宋体" w:cs="宋体"/>
          <w:b/>
          <w:kern w:val="0"/>
          <w:sz w:val="24"/>
          <w:lang w:bidi="ar"/>
        </w:rPr>
        <w:t xml:space="preserve"> </w:t>
      </w:r>
    </w:p>
    <w:p>
      <w:pPr>
        <w:rPr>
          <w:rFonts w:hint="eastAsia" w:ascii="宋体" w:hAnsi="宋体" w:cs="宋体"/>
          <w:sz w:val="24"/>
        </w:rPr>
        <w:sectPr>
          <w:footnotePr>
            <w:numRestart w:val="eachPage"/>
          </w:footnotePr>
          <w:endnotePr>
            <w:numRestart w:val="eachSect"/>
          </w:endnotePr>
          <w:pgSz w:w="16840" w:h="11907" w:orient="landscape"/>
          <w:pgMar w:top="1418" w:right="1701" w:bottom="1418" w:left="1418" w:header="851" w:footer="992" w:gutter="0"/>
          <w:pgBorders w:offsetFrom="page">
            <w:top w:val="none" w:sz="0" w:space="0"/>
            <w:left w:val="none" w:sz="0" w:space="0"/>
            <w:bottom w:val="none" w:sz="0" w:space="0"/>
            <w:right w:val="none" w:sz="0" w:space="0"/>
          </w:pgBorders>
          <w:cols w:space="720" w:num="1"/>
          <w:docGrid w:type="lines" w:linePitch="381" w:charSpace="-6554"/>
        </w:sectPr>
      </w:pPr>
    </w:p>
    <w:p>
      <w:pPr>
        <w:pStyle w:val="4"/>
        <w:keepNext w:val="0"/>
        <w:keepLines w:val="0"/>
        <w:widowControl/>
        <w:numPr>
          <w:ilvl w:val="1"/>
          <w:numId w:val="3"/>
        </w:numPr>
        <w:spacing w:before="0" w:after="0" w:line="360" w:lineRule="auto"/>
        <w:ind w:left="140" w:leftChars="50"/>
        <w:rPr>
          <w:rFonts w:hint="eastAsia" w:ascii="宋体" w:hAnsi="宋体" w:eastAsia="宋体" w:cs="宋体"/>
          <w:sz w:val="24"/>
          <w:szCs w:val="24"/>
        </w:rPr>
      </w:pPr>
      <w:bookmarkStart w:id="34" w:name="_Toc47900846"/>
      <w:bookmarkEnd w:id="34"/>
      <w:bookmarkStart w:id="35" w:name="_Toc267319811"/>
      <w:bookmarkEnd w:id="35"/>
      <w:bookmarkStart w:id="36" w:name="_Toc501911685"/>
      <w:bookmarkEnd w:id="36"/>
      <w:bookmarkStart w:id="37" w:name="_Toc251756095"/>
      <w:bookmarkEnd w:id="37"/>
      <w:bookmarkStart w:id="38" w:name="_Toc430108809"/>
      <w:bookmarkEnd w:id="38"/>
      <w:bookmarkStart w:id="39" w:name="_Toc358369255"/>
      <w:r>
        <w:rPr>
          <w:rFonts w:hint="eastAsia" w:ascii="宋体" w:hAnsi="宋体" w:eastAsia="宋体" w:cs="宋体"/>
          <w:sz w:val="24"/>
          <w:szCs w:val="24"/>
        </w:rPr>
        <w:t>系统的安全性、保密性</w:t>
      </w:r>
      <w:bookmarkEnd w:id="39"/>
    </w:p>
    <w:p>
      <w:pPr>
        <w:adjustRightInd w:val="0"/>
        <w:spacing w:line="360" w:lineRule="auto"/>
        <w:ind w:left="140" w:leftChars="50" w:firstLine="480" w:firstLineChars="200"/>
        <w:textAlignment w:val="baseline"/>
        <w:rPr>
          <w:rFonts w:hint="eastAsia" w:ascii="宋体" w:hAnsi="宋体" w:cs="宋体"/>
          <w:sz w:val="24"/>
        </w:rPr>
      </w:pPr>
      <w:r>
        <w:rPr>
          <w:rFonts w:hint="eastAsia" w:ascii="宋体" w:hAnsi="宋体" w:cs="宋体"/>
          <w:kern w:val="0"/>
          <w:sz w:val="24"/>
          <w:lang w:bidi="ar"/>
        </w:rPr>
        <w:t>整个公安视频专网信息系统安全的问题，是系统建设中一个优先考虑的关键，所以整个系统数据要充分安全，要严格实行操作按级管理，对关键数据实施特殊保护，各种操作要做好记录，便于查找。网络建设需符合公安部的有关规定，充分考虑网络的安全性。应充分考虑误操作的出现及解决。</w:t>
      </w:r>
    </w:p>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各系统组成、功能及技术要求</w:t>
      </w:r>
    </w:p>
    <w:p>
      <w:pPr>
        <w:pStyle w:val="4"/>
        <w:keepNext w:val="0"/>
        <w:keepLines w:val="0"/>
        <w:widowControl/>
        <w:numPr>
          <w:ilvl w:val="1"/>
          <w:numId w:val="3"/>
        </w:numPr>
        <w:rPr>
          <w:rFonts w:hint="eastAsia" w:ascii="宋体" w:hAnsi="宋体" w:eastAsia="宋体" w:cs="宋体"/>
          <w:sz w:val="24"/>
          <w:szCs w:val="24"/>
        </w:rPr>
      </w:pPr>
      <w:bookmarkStart w:id="40" w:name="_Toc47900847"/>
      <w:bookmarkEnd w:id="40"/>
      <w:r>
        <w:rPr>
          <w:rFonts w:hint="eastAsia" w:ascii="宋体" w:hAnsi="宋体" w:eastAsia="宋体" w:cs="宋体"/>
          <w:sz w:val="24"/>
          <w:szCs w:val="24"/>
        </w:rPr>
        <w:t>前端监控点确定依据</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前端监控的布点安装地点、监控目标不同，视频监控资源的重要性也不同。为了有效利用警力和设备资源，工程实施单位应对已勘察前端点位进行基础开挖前的复查与核实，按重要程度不同进行分类管理和配置。</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A类点：指覆盖主要干道、要害部位、人流密集区域、案件多发地段等的摄像头。此类监控图像必须接入公安视频监控专网，由市局分控中心进行24小时实时监控和录像记录，掌控社会面治安动态，并保证在突发事件发生时，集聚区公安分局和台州市局能够调用现场实时图像信息进行指挥和调度。A类点安装在以下需公安机关实时直接掌控的重点部位：</w:t>
      </w:r>
    </w:p>
    <w:p>
      <w:pPr>
        <w:numPr>
          <w:ilvl w:val="0"/>
          <w:numId w:val="6"/>
        </w:numPr>
        <w:adjustRightIn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容易发生群体性事件的重点敏感区域：市、乡镇党政机关、电台电视台、金融单位、高等院校等的出入口及周边需要关注的关键部位。</w:t>
      </w:r>
    </w:p>
    <w:p>
      <w:pPr>
        <w:numPr>
          <w:ilvl w:val="0"/>
          <w:numId w:val="6"/>
        </w:numPr>
        <w:adjustRightIn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交通枢纽及主要交通干线沿线，包含二个部分：一是人员出入口，即市级治安关卡、汽车站、码头出入口等公共场所出入口。二是车辆出入口，即市级治安辖区交界地带的街道、路口等。</w:t>
      </w:r>
    </w:p>
    <w:p>
      <w:pPr>
        <w:numPr>
          <w:ilvl w:val="0"/>
          <w:numId w:val="6"/>
        </w:numPr>
        <w:adjustRightIn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重要警卫目标、通讯枢纽和内部重点部位。</w:t>
      </w:r>
    </w:p>
    <w:p>
      <w:pPr>
        <w:numPr>
          <w:ilvl w:val="0"/>
          <w:numId w:val="6"/>
        </w:numPr>
        <w:adjustRightIn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治安管理重点、难点区域和易发案区域：举行大型体育比赛、展览、文艺演出等活动的举办地点，案件高发的治安要点，各类重点专业市场，公共复杂场所等。</w:t>
      </w:r>
    </w:p>
    <w:p>
      <w:pPr>
        <w:numPr>
          <w:ilvl w:val="0"/>
          <w:numId w:val="6"/>
        </w:numPr>
        <w:adjustRightIn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公安机关需要重点监控的其他区域。</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B类点：指覆盖次要干道、重点部位、治安要点、人员聚集地、案件易发地段等的摄像头。此类监控图像也必须接入公安视频监控专网，由市局分控中心根据本辖区治安实际，进行实时监控或录像备查，掌控社会面治安动态，并保证在突发事件发生时，各级公安机关能够调用现场实时图像信息进行指挥和调度。B类点主要安装在以下地段：</w:t>
      </w:r>
    </w:p>
    <w:p>
      <w:pPr>
        <w:numPr>
          <w:ilvl w:val="0"/>
          <w:numId w:val="7"/>
        </w:numPr>
        <w:adjustRightIn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乡际出入口防控：乡际治安卡点、各乡镇（街道）之间结合地带的道路、路口等。</w:t>
      </w:r>
    </w:p>
    <w:p>
      <w:pPr>
        <w:numPr>
          <w:ilvl w:val="0"/>
          <w:numId w:val="7"/>
        </w:numPr>
        <w:adjustRightIn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 xml:space="preserve">学校、工业园区及所属生活区的出入口、主要路段、公众使用区域等。  </w:t>
      </w:r>
    </w:p>
    <w:p>
      <w:pPr>
        <w:numPr>
          <w:ilvl w:val="0"/>
          <w:numId w:val="7"/>
        </w:numPr>
        <w:adjustRightIn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 xml:space="preserve">市政公园、旅游景点、文化广场的出入口、主要路段、人流密集区等。 </w:t>
      </w:r>
    </w:p>
    <w:p>
      <w:pPr>
        <w:numPr>
          <w:ilvl w:val="0"/>
          <w:numId w:val="7"/>
        </w:numPr>
        <w:adjustRightIn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 xml:space="preserve">大型商业区主要街道、人员密集区、重点建筑出入口、门前广场等人员密集区等。 </w:t>
      </w:r>
    </w:p>
    <w:p>
      <w:pPr>
        <w:numPr>
          <w:ilvl w:val="0"/>
          <w:numId w:val="7"/>
        </w:numPr>
        <w:adjustRightIn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 xml:space="preserve">公交站台出入口、人行天桥、立交桥底、公路桥、过街隧道出入口等治安复杂场所。 </w:t>
      </w:r>
    </w:p>
    <w:p>
      <w:pPr>
        <w:numPr>
          <w:ilvl w:val="0"/>
          <w:numId w:val="7"/>
        </w:numPr>
        <w:adjustRightIn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机动车辆路面集中停放点：集中停放的路段（小区、公园、医院、大型商场附近，以及运营货车夜间乱停放路段等）、咪表停车路段、露天停车场等。</w:t>
      </w:r>
    </w:p>
    <w:p>
      <w:pPr>
        <w:numPr>
          <w:ilvl w:val="0"/>
          <w:numId w:val="7"/>
        </w:numPr>
        <w:adjustRightIn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重点单位、重要场所：金融单位、旅业单位、娱乐场所、中小型体育场馆、文化场馆、工厂、油站、发电厂、自来水厂、水库、各类专业市场以及高层楼宇等消防重点单位的出入口及周边需要关注的关键部位等。</w:t>
      </w:r>
    </w:p>
    <w:p>
      <w:pPr>
        <w:numPr>
          <w:ilvl w:val="0"/>
          <w:numId w:val="7"/>
        </w:numPr>
        <w:adjustRightIn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其他需要监控的区域。</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C类点：指一般道路、治安盲点、偏僻地段、公用电话亭、街巷死角等区域。为保证在突发事件发生时，公安机关能够调用现场实时图像信息进行指挥和调度，也可在已勘察前端点位的基础上调整、补充。</w:t>
      </w:r>
    </w:p>
    <w:p>
      <w:pPr>
        <w:pStyle w:val="4"/>
        <w:keepNext w:val="0"/>
        <w:keepLines w:val="0"/>
        <w:widowControl/>
        <w:numPr>
          <w:ilvl w:val="1"/>
          <w:numId w:val="3"/>
        </w:numPr>
        <w:rPr>
          <w:rFonts w:hint="eastAsia" w:ascii="宋体" w:hAnsi="宋体" w:eastAsia="宋体" w:cs="宋体"/>
          <w:sz w:val="24"/>
          <w:szCs w:val="24"/>
        </w:rPr>
      </w:pPr>
      <w:bookmarkStart w:id="41" w:name="_Toc501911686"/>
      <w:bookmarkEnd w:id="41"/>
      <w:bookmarkStart w:id="42" w:name="_Toc47900848"/>
      <w:r>
        <w:rPr>
          <w:rFonts w:hint="eastAsia" w:ascii="宋体" w:hAnsi="宋体" w:eastAsia="宋体" w:cs="宋体"/>
          <w:sz w:val="24"/>
          <w:szCs w:val="24"/>
        </w:rPr>
        <w:t>布点原则</w:t>
      </w:r>
      <w:bookmarkEnd w:id="42"/>
    </w:p>
    <w:p>
      <w:pPr>
        <w:pStyle w:val="32"/>
        <w:widowControl w:val="0"/>
        <w:numPr>
          <w:ilvl w:val="0"/>
          <w:numId w:val="8"/>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布点原则：</w:t>
      </w:r>
    </w:p>
    <w:p>
      <w:pPr>
        <w:pStyle w:val="32"/>
        <w:widowControl w:val="0"/>
        <w:spacing w:before="0" w:beforeAutospacing="0" w:after="0" w:afterAutospacing="0" w:line="360" w:lineRule="auto"/>
        <w:ind w:firstLine="480"/>
        <w:jc w:val="both"/>
        <w:rPr>
          <w:rFonts w:hint="eastAsia" w:cs="宋体"/>
          <w:color w:val="auto"/>
        </w:rPr>
      </w:pPr>
      <w:r>
        <w:rPr>
          <w:rFonts w:hint="eastAsia" w:cs="宋体"/>
          <w:color w:val="auto"/>
          <w:lang w:bidi="ar"/>
        </w:rPr>
        <w:t>依据“圈、块、格、线、点”、犯罪地理学意义上的“防卫空间理论”和城市功能区域相结合的点位部署方法、结合案事件发案率、人口密度、重点单位分布密度、科学制定制本期项目的视频监控点位布设，</w:t>
      </w:r>
      <w:r>
        <w:rPr>
          <w:rFonts w:hint="eastAsia" w:cs="宋体"/>
          <w:color w:val="auto"/>
          <w:kern w:val="2"/>
          <w:lang w:bidi="ar"/>
        </w:rPr>
        <w:t>根据不同位置要求配置不同的摄像机，建立一套各点位相互补充、相互配合的、“看得见、看得清、管得住、管得牢”的层次化、网格化的联合防控体系。</w:t>
      </w:r>
    </w:p>
    <w:tbl>
      <w:tblPr>
        <w:tblStyle w:val="37"/>
        <w:tblW w:w="840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3393"/>
        <w:gridCol w:w="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圈</w:t>
            </w:r>
          </w:p>
        </w:tc>
        <w:tc>
          <w:tcPr>
            <w:tcW w:w="3451"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台州湾新区防控大圈</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XX村出口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single" w:color="auto" w:sz="4" w:space="0"/>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主城区防控圈加核心区</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XX路出口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restart"/>
            <w:tcBorders>
              <w:top w:val="nil"/>
              <w:left w:val="single" w:color="auto" w:sz="4" w:space="0"/>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块</w:t>
            </w:r>
          </w:p>
        </w:tc>
        <w:tc>
          <w:tcPr>
            <w:tcW w:w="3451"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乡镇防控块</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（相邻两乡镇讨论，避免重复建设）</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XX乡与XX乡进出处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主城区防控块</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（相邻两街道讨论，避免重复建设）</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XX街道与XX街道进出处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restart"/>
            <w:tcBorders>
              <w:top w:val="nil"/>
              <w:left w:val="single" w:color="auto" w:sz="4" w:space="0"/>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格</w:t>
            </w:r>
          </w:p>
        </w:tc>
        <w:tc>
          <w:tcPr>
            <w:tcW w:w="3451"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主城区格</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（相邻两社区讨论，避免重复建设）</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XX社区与XX社区进出处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乡村格</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（相邻两村庄讨论，避免重复建设）</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XX村与XX村进出处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restart"/>
            <w:tcBorders>
              <w:top w:val="nil"/>
              <w:left w:val="single" w:color="auto" w:sz="4" w:space="0"/>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线</w:t>
            </w: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境内高速出入口</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XX高速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vMerge w:val="restart"/>
            <w:tcBorders>
              <w:top w:val="nil"/>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国省县乡道主干道（乡镇界）</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（相邻两乡镇讨论，避免重复建设）</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XX省道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vMerge w:val="continue"/>
            <w:tcBorders>
              <w:top w:val="nil"/>
              <w:left w:val="nil"/>
              <w:bottom w:val="single" w:color="auto" w:sz="4" w:space="0"/>
              <w:right w:val="single" w:color="auto" w:sz="4" w:space="0"/>
            </w:tcBorders>
            <w:noWrap/>
            <w:vAlign w:val="center"/>
          </w:tcPr>
          <w:p>
            <w:pPr>
              <w:rPr>
                <w:rFonts w:ascii="Times New Roman" w:hAnsi="Times New Roman" w:cs="Times New Roman"/>
                <w:sz w:val="20"/>
                <w:szCs w:val="20"/>
              </w:rPr>
            </w:pP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XX县道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vMerge w:val="continue"/>
            <w:tcBorders>
              <w:top w:val="nil"/>
              <w:left w:val="nil"/>
              <w:bottom w:val="single" w:color="auto" w:sz="4" w:space="0"/>
              <w:right w:val="single" w:color="auto" w:sz="4" w:space="0"/>
            </w:tcBorders>
            <w:noWrap/>
            <w:vAlign w:val="center"/>
          </w:tcPr>
          <w:p>
            <w:pPr>
              <w:rPr>
                <w:rFonts w:ascii="Times New Roman" w:hAnsi="Times New Roman" w:cs="Times New Roman"/>
                <w:sz w:val="20"/>
                <w:szCs w:val="20"/>
              </w:rPr>
            </w:pP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XX乡道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vMerge w:val="restart"/>
            <w:tcBorders>
              <w:top w:val="nil"/>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交通站点主要进出线路</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高铁站出租车、社会车辆进出线路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汽车站出租车、社会车辆进出线路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客运码头出租车、社会车辆进出线路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restart"/>
            <w:tcBorders>
              <w:top w:val="nil"/>
              <w:left w:val="single" w:color="auto" w:sz="4" w:space="0"/>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点（下列各单位的大门口）</w:t>
            </w: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医院</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学校</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幼儿园</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政府机关</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图书馆</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体育场</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村委会</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村公共活动场所</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高铁站</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汽车站</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枢纽公交车站</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网吧</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宾馆酒店</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KTV、酒吧等娱乐场所</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客运码头</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加油站</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大型商场超市</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广场</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自来水厂</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变电站</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高空瞭望点</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覆盖城区主要道路，安装在楼顶、山顶铁塔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restart"/>
            <w:tcBorders>
              <w:top w:val="nil"/>
              <w:left w:val="single" w:color="auto" w:sz="4" w:space="0"/>
              <w:bottom w:val="single" w:color="auto" w:sz="4" w:space="0"/>
              <w:right w:val="single" w:color="auto" w:sz="4" w:space="0"/>
            </w:tcBorders>
            <w:noWrap/>
            <w:vAlign w:val="center"/>
          </w:tcPr>
          <w:p>
            <w:pPr>
              <w:widowControl/>
              <w:adjustRightInd w:val="0"/>
              <w:spacing w:line="360" w:lineRule="auto"/>
              <w:ind w:firstLine="480" w:firstLineChars="200"/>
              <w:jc w:val="center"/>
              <w:textAlignment w:val="baseline"/>
              <w:rPr>
                <w:rFonts w:hint="eastAsia" w:ascii="宋体" w:hAnsi="宋体" w:cs="宋体"/>
                <w:sz w:val="24"/>
              </w:rPr>
            </w:pPr>
            <w:r>
              <w:rPr>
                <w:rFonts w:hint="eastAsia" w:ascii="宋体" w:hAnsi="宋体" w:cs="宋体"/>
                <w:kern w:val="0"/>
                <w:sz w:val="24"/>
                <w:lang w:bidi="ar"/>
              </w:rPr>
              <w:t>人脸卡口</w:t>
            </w: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高铁站出入口</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汽车站出入口</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医院出入口</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商场超市出入口</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小区出入口</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网吧出入口</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银行窗口</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宾馆酒店前台</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vMerge w:val="continue"/>
            <w:tcBorders>
              <w:top w:val="nil"/>
              <w:left w:val="single" w:color="auto" w:sz="4" w:space="0"/>
              <w:bottom w:val="single" w:color="auto" w:sz="4" w:space="0"/>
              <w:right w:val="single" w:color="auto" w:sz="4" w:space="0"/>
            </w:tcBorders>
            <w:noWrap/>
            <w:vAlign w:val="center"/>
          </w:tcPr>
          <w:p>
            <w:pPr>
              <w:rPr>
                <w:rFonts w:ascii="Times New Roman" w:hAnsi="Times New Roman" w:cs="Times New Roman"/>
                <w:sz w:val="20"/>
                <w:szCs w:val="20"/>
              </w:rPr>
            </w:pPr>
          </w:p>
        </w:tc>
        <w:tc>
          <w:tcPr>
            <w:tcW w:w="3451"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KTV、酒吧出入口</w:t>
            </w:r>
          </w:p>
        </w:tc>
        <w:tc>
          <w:tcPr>
            <w:tcW w:w="4110" w:type="dxa"/>
            <w:tcBorders>
              <w:top w:val="single" w:color="auto" w:sz="4" w:space="0"/>
              <w:left w:val="nil"/>
              <w:bottom w:val="single" w:color="auto" w:sz="4" w:space="0"/>
              <w:right w:val="single" w:color="auto" w:sz="4" w:space="0"/>
            </w:tcBorders>
            <w:noWrap/>
            <w:vAlign w:val="center"/>
          </w:tcPr>
          <w:p>
            <w:pPr>
              <w:widowControl/>
              <w:adjustRightInd w:val="0"/>
              <w:spacing w:line="360" w:lineRule="auto"/>
              <w:textAlignment w:val="baseline"/>
              <w:rPr>
                <w:rFonts w:hint="eastAsia" w:ascii="宋体" w:hAnsi="宋体" w:cs="宋体"/>
                <w:sz w:val="24"/>
              </w:rPr>
            </w:pPr>
          </w:p>
        </w:tc>
      </w:tr>
    </w:tbl>
    <w:p>
      <w:pPr>
        <w:pStyle w:val="32"/>
        <w:widowControl w:val="0"/>
        <w:numPr>
          <w:ilvl w:val="0"/>
          <w:numId w:val="8"/>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设置要求：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经过“圈、块、格、线”防控位置断面的所有机动车辆、非机动车辆、行人都要有效捕捉；</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机动车道：要具有车辆抓拍功能（同位置同监控区域交警已经建设的公安不用再建，避免浪费），车内人脸抓拍工能；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机动车辅道：要具有车辆抓拍功能，并对自行车、摩托车、电动车、三轮车、行人具有智能分析抓拍功能；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非机动车道（沿街商铺门前道）要能对自行车、摩托车、电动车、三轮车、行人具有智能分析抓拍功能。</w:t>
      </w:r>
    </w:p>
    <w:p>
      <w:pPr>
        <w:pStyle w:val="32"/>
        <w:widowControl w:val="0"/>
        <w:numPr>
          <w:ilvl w:val="0"/>
          <w:numId w:val="8"/>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防控圈建设</w:t>
      </w:r>
    </w:p>
    <w:p>
      <w:pPr>
        <w:pStyle w:val="32"/>
        <w:widowControl w:val="0"/>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 xml:space="preserve"> </w:t>
      </w:r>
    </w:p>
    <w:p>
      <w:pPr>
        <w:pStyle w:val="4"/>
        <w:keepNext w:val="0"/>
        <w:keepLines w:val="0"/>
        <w:widowControl/>
        <w:numPr>
          <w:ilvl w:val="1"/>
          <w:numId w:val="3"/>
        </w:numPr>
        <w:rPr>
          <w:rFonts w:hint="eastAsia" w:ascii="宋体" w:hAnsi="宋体" w:eastAsia="宋体" w:cs="宋体"/>
          <w:sz w:val="24"/>
          <w:szCs w:val="24"/>
        </w:rPr>
      </w:pPr>
      <w:bookmarkStart w:id="43" w:name="_Toc501911687"/>
      <w:bookmarkEnd w:id="43"/>
      <w:bookmarkStart w:id="44" w:name="_Toc47900849"/>
      <w:r>
        <w:rPr>
          <w:rFonts w:hint="eastAsia" w:ascii="宋体" w:hAnsi="宋体" w:eastAsia="宋体" w:cs="宋体"/>
          <w:sz w:val="24"/>
          <w:szCs w:val="24"/>
        </w:rPr>
        <w:t>前端摄像机使用场景</w:t>
      </w:r>
      <w:bookmarkEnd w:id="44"/>
    </w:p>
    <w:p>
      <w:pPr>
        <w:adjustRightInd w:val="0"/>
        <w:spacing w:line="360" w:lineRule="auto"/>
        <w:ind w:firstLine="360" w:firstLineChars="150"/>
        <w:textAlignment w:val="baseline"/>
        <w:rPr>
          <w:rFonts w:hint="eastAsia" w:ascii="宋体" w:hAnsi="宋体" w:cs="宋体"/>
          <w:sz w:val="24"/>
        </w:rPr>
      </w:pPr>
      <w:r>
        <w:rPr>
          <w:rFonts w:hint="eastAsia" w:ascii="宋体" w:hAnsi="宋体" w:cs="宋体"/>
          <w:kern w:val="0"/>
          <w:sz w:val="24"/>
          <w:lang w:bidi="ar"/>
        </w:rPr>
        <w:t>本期前端摄像机的主要应用场景（典型照片）如下所示：</w:t>
      </w:r>
    </w:p>
    <w:p>
      <w:pPr>
        <w:pStyle w:val="5"/>
        <w:numPr>
          <w:ilvl w:val="2"/>
          <w:numId w:val="3"/>
        </w:numPr>
        <w:spacing w:before="163" w:after="163"/>
        <w:rPr>
          <w:rFonts w:hint="eastAsia" w:ascii="宋体" w:hAnsi="宋体" w:cs="宋体"/>
          <w:szCs w:val="24"/>
        </w:rPr>
      </w:pPr>
      <w:bookmarkStart w:id="45" w:name="_Toc47900850"/>
      <w:bookmarkEnd w:id="45"/>
      <w:r>
        <w:rPr>
          <w:rFonts w:hint="eastAsia" w:ascii="宋体" w:hAnsi="宋体" w:cs="宋体"/>
          <w:szCs w:val="24"/>
        </w:rPr>
        <w:t>治安监控枪机</w:t>
      </w:r>
    </w:p>
    <w:p>
      <w:pPr>
        <w:adjustRightInd w:val="0"/>
        <w:spacing w:line="360" w:lineRule="auto"/>
        <w:ind w:firstLine="360" w:firstLineChars="150"/>
        <w:textAlignment w:val="baseline"/>
        <w:rPr>
          <w:rFonts w:hint="eastAsia" w:ascii="宋体" w:hAnsi="宋体" w:cs="宋体"/>
          <w:sz w:val="24"/>
        </w:rPr>
      </w:pPr>
      <w:r>
        <w:rPr>
          <w:rFonts w:hint="eastAsia" w:ascii="宋体" w:hAnsi="宋体" w:cs="宋体"/>
          <w:kern w:val="0"/>
          <w:sz w:val="24"/>
          <w:lang w:bidi="ar"/>
        </w:rPr>
        <w:t>道路场景</w:t>
      </w:r>
    </w:p>
    <w:p>
      <w:pPr>
        <w:adjustRightInd w:val="0"/>
        <w:spacing w:line="360" w:lineRule="auto"/>
        <w:jc w:val="center"/>
        <w:textAlignment w:val="baseline"/>
        <w:rPr>
          <w:rFonts w:hint="eastAsia" w:ascii="宋体" w:hAnsi="宋体" w:cs="宋体"/>
          <w:sz w:val="24"/>
        </w:rPr>
      </w:pPr>
      <w:r>
        <w:rPr>
          <w:rFonts w:hint="eastAsia" w:ascii="宋体" w:hAnsi="宋体" w:cs="宋体"/>
          <w:sz w:val="24"/>
        </w:rPr>
        <w:drawing>
          <wp:inline distT="0" distB="0" distL="114300" distR="114300">
            <wp:extent cx="3521710" cy="4498975"/>
            <wp:effectExtent l="0" t="0" r="2540" b="15875"/>
            <wp:docPr id="3" name="图片 27" descr="微信图片_2020092316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 descr="微信图片_20200923164434"/>
                    <pic:cNvPicPr>
                      <a:picLocks noChangeAspect="1"/>
                    </pic:cNvPicPr>
                  </pic:nvPicPr>
                  <pic:blipFill>
                    <a:blip r:embed="rId11"/>
                    <a:stretch>
                      <a:fillRect/>
                    </a:stretch>
                  </pic:blipFill>
                  <pic:spPr>
                    <a:xfrm>
                      <a:off x="0" y="0"/>
                      <a:ext cx="3521710" cy="4498975"/>
                    </a:xfrm>
                    <a:prstGeom prst="rect">
                      <a:avLst/>
                    </a:prstGeom>
                    <a:noFill/>
                    <a:ln>
                      <a:noFill/>
                    </a:ln>
                  </pic:spPr>
                </pic:pic>
              </a:graphicData>
            </a:graphic>
          </wp:inline>
        </w:drawing>
      </w:r>
      <w:r>
        <w:rPr>
          <w:rFonts w:hint="eastAsia" w:ascii="宋体" w:hAnsi="宋体" w:cs="宋体"/>
          <w:kern w:val="0"/>
          <w:sz w:val="24"/>
          <w:lang w:bidi="ar"/>
        </w:rPr>
        <w:t xml:space="preserve"> </w:t>
      </w:r>
    </w:p>
    <w:p>
      <w:pPr>
        <w:rPr>
          <w:rFonts w:hint="eastAsia" w:ascii="宋体" w:hAnsi="宋体" w:cs="宋体"/>
          <w:sz w:val="24"/>
        </w:rPr>
        <w:sectPr>
          <w:footnotePr>
            <w:numRestart w:val="eachPage"/>
          </w:footnotePr>
          <w:endnotePr>
            <w:numRestart w:val="eachSect"/>
          </w:endnotePr>
          <w:pgSz w:w="11906" w:h="16838"/>
          <w:pgMar w:top="1440" w:right="1797" w:bottom="1440" w:left="1797" w:header="851" w:footer="992" w:gutter="0"/>
          <w:pgBorders w:offsetFrom="page">
            <w:top w:val="none" w:sz="0" w:space="0"/>
            <w:left w:val="none" w:sz="0" w:space="0"/>
            <w:bottom w:val="none" w:sz="0" w:space="0"/>
            <w:right w:val="none" w:sz="0" w:space="0"/>
          </w:pgBorders>
          <w:cols w:space="720" w:num="1"/>
          <w:docGrid w:type="lines" w:linePitch="326" w:charSpace="-6554"/>
        </w:sectPr>
      </w:pPr>
    </w:p>
    <w:p>
      <w:pPr>
        <w:pStyle w:val="5"/>
        <w:numPr>
          <w:ilvl w:val="2"/>
          <w:numId w:val="3"/>
        </w:numPr>
        <w:spacing w:before="163" w:after="163"/>
        <w:rPr>
          <w:rFonts w:hint="eastAsia" w:ascii="宋体" w:hAnsi="宋体" w:cs="宋体"/>
          <w:szCs w:val="24"/>
        </w:rPr>
      </w:pPr>
      <w:bookmarkStart w:id="46" w:name="_Toc47900851"/>
      <w:bookmarkEnd w:id="46"/>
      <w:r>
        <w:rPr>
          <w:rFonts w:hint="eastAsia" w:ascii="宋体" w:hAnsi="宋体" w:cs="宋体"/>
          <w:szCs w:val="24"/>
        </w:rPr>
        <w:t>卡口抓拍机</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应用场景：机动车道</w:t>
      </w:r>
    </w:p>
    <w:p>
      <w:pPr>
        <w:adjustRightInd w:val="0"/>
        <w:spacing w:line="360" w:lineRule="auto"/>
        <w:ind w:firstLine="480" w:firstLineChars="200"/>
        <w:jc w:val="center"/>
        <w:textAlignment w:val="baseline"/>
        <w:rPr>
          <w:rFonts w:hint="eastAsia" w:ascii="宋体" w:hAnsi="宋体" w:cs="宋体"/>
          <w:sz w:val="24"/>
        </w:rPr>
      </w:pPr>
      <w:r>
        <w:rPr>
          <w:kern w:val="0"/>
          <w:sz w:val="24"/>
          <w:lang w:bidi="ar"/>
        </w:rPr>
        <w:drawing>
          <wp:inline distT="0" distB="0" distL="114300" distR="114300">
            <wp:extent cx="5362575" cy="4314825"/>
            <wp:effectExtent l="0" t="0" r="9525" b="9525"/>
            <wp:docPr id="4" name="图片 7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5" descr="IMG_258"/>
                    <pic:cNvPicPr>
                      <a:picLocks noChangeAspect="1"/>
                    </pic:cNvPicPr>
                  </pic:nvPicPr>
                  <pic:blipFill>
                    <a:blip r:embed="rId12"/>
                    <a:stretch>
                      <a:fillRect/>
                    </a:stretch>
                  </pic:blipFill>
                  <pic:spPr>
                    <a:xfrm>
                      <a:off x="0" y="0"/>
                      <a:ext cx="5362575" cy="4314825"/>
                    </a:xfrm>
                    <a:prstGeom prst="rect">
                      <a:avLst/>
                    </a:prstGeom>
                    <a:noFill/>
                    <a:ln>
                      <a:noFill/>
                    </a:ln>
                  </pic:spPr>
                </pic:pic>
              </a:graphicData>
            </a:graphic>
          </wp:inline>
        </w:drawing>
      </w:r>
      <w:r>
        <w:rPr>
          <w:rFonts w:hint="eastAsia" w:ascii="宋体" w:hAnsi="宋体" w:cs="宋体"/>
          <w:kern w:val="0"/>
          <w:sz w:val="24"/>
          <w:lang w:bidi="ar"/>
        </w:rPr>
        <w:t xml:space="preserve"> </w:t>
      </w:r>
    </w:p>
    <w:p>
      <w:pPr>
        <w:pStyle w:val="5"/>
        <w:numPr>
          <w:ilvl w:val="2"/>
          <w:numId w:val="3"/>
        </w:numPr>
        <w:spacing w:before="163" w:after="163"/>
        <w:rPr>
          <w:rFonts w:hint="eastAsia" w:ascii="宋体" w:hAnsi="宋体" w:cs="宋体"/>
          <w:szCs w:val="24"/>
        </w:rPr>
      </w:pPr>
      <w:bookmarkStart w:id="47" w:name="_Toc47900852"/>
      <w:bookmarkEnd w:id="47"/>
      <w:r>
        <w:rPr>
          <w:rFonts w:hint="eastAsia" w:ascii="宋体" w:hAnsi="宋体" w:cs="宋体"/>
          <w:szCs w:val="24"/>
        </w:rPr>
        <w:t>人脸识别及采集</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应用场景：汽车站、商场门口、公园、人行道、医院入口</w:t>
      </w:r>
    </w:p>
    <w:p>
      <w:pPr>
        <w:adjustRightInd w:val="0"/>
        <w:spacing w:line="360" w:lineRule="auto"/>
        <w:ind w:firstLine="480" w:firstLineChars="200"/>
        <w:jc w:val="center"/>
        <w:textAlignment w:val="baseline"/>
        <w:rPr>
          <w:rFonts w:hint="eastAsia" w:ascii="宋体" w:hAnsi="宋体" w:cs="宋体"/>
          <w:sz w:val="24"/>
        </w:rPr>
      </w:pPr>
      <w:r>
        <w:rPr>
          <w:rFonts w:hint="eastAsia" w:ascii="宋体" w:hAnsi="宋体" w:cs="宋体"/>
          <w:kern w:val="0"/>
          <w:sz w:val="24"/>
          <w:lang w:bidi="ar"/>
        </w:rPr>
        <w:t xml:space="preserve"> </w:t>
      </w:r>
    </w:p>
    <w:p>
      <w:pPr>
        <w:adjustRightInd w:val="0"/>
        <w:spacing w:line="360" w:lineRule="auto"/>
        <w:ind w:firstLine="480" w:firstLineChars="200"/>
        <w:jc w:val="center"/>
        <w:textAlignment w:val="baseline"/>
        <w:rPr>
          <w:rFonts w:hint="eastAsia" w:ascii="宋体" w:hAnsi="宋体" w:cs="宋体"/>
          <w:sz w:val="24"/>
        </w:rPr>
      </w:pPr>
      <w:r>
        <w:rPr>
          <w:kern w:val="0"/>
          <w:sz w:val="24"/>
          <w:lang w:bidi="ar"/>
        </w:rPr>
        <w:drawing>
          <wp:inline distT="0" distB="0" distL="114300" distR="114300">
            <wp:extent cx="5486400" cy="3914775"/>
            <wp:effectExtent l="0" t="0" r="0" b="9525"/>
            <wp:docPr id="5" name="图片 7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6" descr="IMG_259"/>
                    <pic:cNvPicPr>
                      <a:picLocks noChangeAspect="1"/>
                    </pic:cNvPicPr>
                  </pic:nvPicPr>
                  <pic:blipFill>
                    <a:blip r:embed="rId13"/>
                    <a:stretch>
                      <a:fillRect/>
                    </a:stretch>
                  </pic:blipFill>
                  <pic:spPr>
                    <a:xfrm>
                      <a:off x="0" y="0"/>
                      <a:ext cx="5486400" cy="3914775"/>
                    </a:xfrm>
                    <a:prstGeom prst="rect">
                      <a:avLst/>
                    </a:prstGeom>
                    <a:noFill/>
                    <a:ln>
                      <a:noFill/>
                    </a:ln>
                  </pic:spPr>
                </pic:pic>
              </a:graphicData>
            </a:graphic>
          </wp:inline>
        </w:drawing>
      </w:r>
      <w:r>
        <w:rPr>
          <w:rFonts w:hint="eastAsia" w:ascii="宋体" w:hAnsi="宋体" w:cs="宋体"/>
          <w:kern w:val="0"/>
          <w:sz w:val="24"/>
          <w:lang w:bidi="ar"/>
        </w:rPr>
        <w:t xml:space="preserve"> </w:t>
      </w:r>
    </w:p>
    <w:p>
      <w:pPr>
        <w:adjustRightInd w:val="0"/>
        <w:spacing w:line="360" w:lineRule="auto"/>
        <w:ind w:firstLine="480" w:firstLineChars="200"/>
        <w:jc w:val="center"/>
        <w:textAlignment w:val="baseline"/>
        <w:rPr>
          <w:rFonts w:hint="eastAsia" w:ascii="宋体" w:hAnsi="宋体" w:cs="宋体"/>
          <w:sz w:val="24"/>
        </w:rPr>
      </w:pPr>
      <w:r>
        <w:rPr>
          <w:kern w:val="0"/>
          <w:sz w:val="24"/>
          <w:lang w:bidi="ar"/>
        </w:rPr>
        <w:drawing>
          <wp:inline distT="0" distB="0" distL="114300" distR="114300">
            <wp:extent cx="5476875" cy="4152900"/>
            <wp:effectExtent l="0" t="0" r="9525" b="0"/>
            <wp:docPr id="6" name="图片 7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7" descr="IMG_260"/>
                    <pic:cNvPicPr>
                      <a:picLocks noChangeAspect="1"/>
                    </pic:cNvPicPr>
                  </pic:nvPicPr>
                  <pic:blipFill>
                    <a:blip r:embed="rId14"/>
                    <a:stretch>
                      <a:fillRect/>
                    </a:stretch>
                  </pic:blipFill>
                  <pic:spPr>
                    <a:xfrm>
                      <a:off x="0" y="0"/>
                      <a:ext cx="5476875" cy="4152900"/>
                    </a:xfrm>
                    <a:prstGeom prst="rect">
                      <a:avLst/>
                    </a:prstGeom>
                    <a:noFill/>
                    <a:ln>
                      <a:noFill/>
                    </a:ln>
                  </pic:spPr>
                </pic:pic>
              </a:graphicData>
            </a:graphic>
          </wp:inline>
        </w:drawing>
      </w:r>
    </w:p>
    <w:p>
      <w:pPr>
        <w:pStyle w:val="4"/>
        <w:keepNext w:val="0"/>
        <w:keepLines w:val="0"/>
        <w:widowControl/>
        <w:numPr>
          <w:ilvl w:val="1"/>
          <w:numId w:val="3"/>
        </w:numPr>
        <w:rPr>
          <w:rFonts w:hint="eastAsia" w:ascii="宋体" w:hAnsi="宋体" w:eastAsia="宋体" w:cs="宋体"/>
          <w:sz w:val="24"/>
          <w:szCs w:val="24"/>
        </w:rPr>
      </w:pPr>
      <w:bookmarkStart w:id="48" w:name="_Toc47900853"/>
      <w:bookmarkEnd w:id="48"/>
      <w:r>
        <w:rPr>
          <w:rFonts w:hint="eastAsia" w:ascii="宋体" w:hAnsi="宋体" w:eastAsia="宋体" w:cs="宋体"/>
          <w:sz w:val="24"/>
          <w:szCs w:val="24"/>
        </w:rPr>
        <w:t>作用概述</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1、街面防控</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街面是违法犯罪分子作案出入的必经之地，为进一步做好“街面防控”工作，在街面防控上实现“见警力、见警车、见警灯、见监控、见报警标识”。通过建设治安监控系统、高清治安卡口系统、移动车载取证系统、移动单兵作战系统，采取人员盯守防范、雪亮定点防范、GPS定位防范、视频图像跟踪防范等措施，织密防范网络，实现技防和人防的结合，严控街面阵地。</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2、道路防控</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建设道路防控三层电子监控包围圈，通过部署高清卡口监控系统、电子警察抓拍系统或综合卡式电警系统，全面记录通行车辆信息，做到“车辆留牌号、违章能查出、犯罪能取证、轨迹能刻画”。</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第一道包围圈为位于城区外围的主要出入口；</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第二道包围圈为位于城区外环路和市内主次干道交叉口；</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第三道包围圈为城区的主要路段及路口。</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3、社区防控</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居民住宅区的出入口是安防重点区域，人员、车辆进出频繁，通过在重点住宅小区出入口通道建设出入口控制系统、卡口抓拍系统、人脸抓拍系统，做到“人过留影”，“车过留痕”，同时对社区内重点部位实施全天候、全方位24小时监控，以实现社区的安全管理。</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4、阵地防控</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网吧、旅店等场所是犯罪分子经常会出入的场所，通过系统与网吧、旅店二代身份证信息采集系统的对接，实现图片信息采集与身份信息获取。阵地防控建设以信息化建设为支撑，通过全面采集录入“人、地、物、时间”等信息，着力构建无缝隙、全覆盖、全时空的现代化阵地防控体系。</w:t>
      </w:r>
    </w:p>
    <w:p>
      <w:pPr>
        <w:pStyle w:val="4"/>
        <w:keepNext w:val="0"/>
        <w:keepLines w:val="0"/>
        <w:widowControl/>
        <w:numPr>
          <w:ilvl w:val="1"/>
          <w:numId w:val="3"/>
        </w:numPr>
        <w:rPr>
          <w:rFonts w:hint="eastAsia" w:ascii="宋体" w:hAnsi="宋体" w:eastAsia="宋体" w:cs="宋体"/>
          <w:sz w:val="24"/>
          <w:szCs w:val="24"/>
        </w:rPr>
      </w:pPr>
      <w:bookmarkStart w:id="49" w:name="_Toc47900854"/>
      <w:bookmarkEnd w:id="49"/>
      <w:r>
        <w:rPr>
          <w:rFonts w:hint="eastAsia" w:ascii="宋体" w:hAnsi="宋体" w:eastAsia="宋体" w:cs="宋体"/>
          <w:sz w:val="24"/>
          <w:szCs w:val="24"/>
        </w:rPr>
        <w:t>本期前端点位建设规模</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本期2020年新建高清视频监控620路（596个高清摄像头），包含24套400万以上像素全局多射摄像机，251套400万以上像素高清枪机监控摄像机，10套400万以上像素高清球机，232套400万以上像素高清人脸监控摄像机，79套 900万星光单元。本次智能设备（人脸+卡口）占比60%。总表如下所示：</w:t>
      </w:r>
    </w:p>
    <w:tbl>
      <w:tblPr>
        <w:tblStyle w:val="37"/>
        <w:tblW w:w="9217" w:type="dxa"/>
        <w:tblInd w:w="0" w:type="dxa"/>
        <w:tblLayout w:type="fixed"/>
        <w:tblCellMar>
          <w:top w:w="0" w:type="dxa"/>
          <w:left w:w="108" w:type="dxa"/>
          <w:bottom w:w="0" w:type="dxa"/>
          <w:right w:w="108" w:type="dxa"/>
        </w:tblCellMar>
      </w:tblPr>
      <w:tblGrid>
        <w:gridCol w:w="578"/>
        <w:gridCol w:w="977"/>
        <w:gridCol w:w="1077"/>
        <w:gridCol w:w="1152"/>
        <w:gridCol w:w="1152"/>
        <w:gridCol w:w="1224"/>
        <w:gridCol w:w="966"/>
        <w:gridCol w:w="877"/>
        <w:gridCol w:w="870"/>
        <w:gridCol w:w="344"/>
      </w:tblGrid>
      <w:tr>
        <w:tblPrEx>
          <w:tblCellMar>
            <w:top w:w="0" w:type="dxa"/>
            <w:left w:w="108" w:type="dxa"/>
            <w:bottom w:w="0" w:type="dxa"/>
            <w:right w:w="108" w:type="dxa"/>
          </w:tblCellMar>
        </w:tblPrEx>
        <w:trPr>
          <w:gridAfter w:val="1"/>
          <w:wAfter w:w="344" w:type="dxa"/>
          <w:trHeight w:val="624" w:hRule="atLeast"/>
        </w:trPr>
        <w:tc>
          <w:tcPr>
            <w:tcW w:w="578"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序号</w:t>
            </w:r>
          </w:p>
        </w:tc>
        <w:tc>
          <w:tcPr>
            <w:tcW w:w="977" w:type="dxa"/>
            <w:vMerge w:val="restart"/>
            <w:tcBorders>
              <w:top w:val="single" w:color="auto" w:sz="4" w:space="0"/>
              <w:left w:val="nil"/>
              <w:bottom w:val="single" w:color="auto"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地区</w:t>
            </w:r>
          </w:p>
        </w:tc>
        <w:tc>
          <w:tcPr>
            <w:tcW w:w="7318" w:type="dxa"/>
            <w:gridSpan w:val="7"/>
            <w:vMerge w:val="restart"/>
            <w:tcBorders>
              <w:top w:val="single" w:color="auto" w:sz="4" w:space="0"/>
              <w:left w:val="nil"/>
              <w:bottom w:val="single" w:color="000000" w:sz="4" w:space="0"/>
              <w:right w:val="single" w:color="auto" w:sz="4" w:space="0"/>
            </w:tcBorders>
            <w:shd w:val="clear" w:color="auto" w:fill="FFFFFF"/>
            <w:noWrap/>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摄像机类型</w:t>
            </w:r>
          </w:p>
        </w:tc>
      </w:tr>
      <w:tr>
        <w:tblPrEx>
          <w:tblCellMar>
            <w:top w:w="0" w:type="dxa"/>
            <w:left w:w="108" w:type="dxa"/>
            <w:bottom w:w="0" w:type="dxa"/>
            <w:right w:w="108" w:type="dxa"/>
          </w:tblCellMar>
        </w:tblPrEx>
        <w:trPr>
          <w:trHeight w:val="259" w:hRule="atLeast"/>
        </w:trPr>
        <w:tc>
          <w:tcPr>
            <w:tcW w:w="57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ascii="Times New Roman" w:hAnsi="Times New Roman" w:cs="Times New Roman"/>
                <w:sz w:val="20"/>
                <w:szCs w:val="20"/>
              </w:rPr>
            </w:pPr>
          </w:p>
        </w:tc>
        <w:tc>
          <w:tcPr>
            <w:tcW w:w="977" w:type="dxa"/>
            <w:vMerge w:val="continue"/>
            <w:tcBorders>
              <w:top w:val="single" w:color="auto" w:sz="4" w:space="0"/>
              <w:left w:val="nil"/>
              <w:bottom w:val="single" w:color="auto" w:sz="4" w:space="0"/>
              <w:right w:val="single" w:color="auto" w:sz="4" w:space="0"/>
            </w:tcBorders>
            <w:shd w:val="clear" w:color="auto" w:fill="auto"/>
            <w:noWrap w:val="0"/>
            <w:vAlign w:val="center"/>
          </w:tcPr>
          <w:p>
            <w:pPr>
              <w:rPr>
                <w:rFonts w:ascii="Times New Roman" w:hAnsi="Times New Roman" w:cs="Times New Roman"/>
                <w:sz w:val="20"/>
                <w:szCs w:val="20"/>
              </w:rPr>
            </w:pPr>
          </w:p>
        </w:tc>
        <w:tc>
          <w:tcPr>
            <w:tcW w:w="7318" w:type="dxa"/>
            <w:gridSpan w:val="7"/>
            <w:vMerge w:val="continue"/>
            <w:tcBorders>
              <w:top w:val="single" w:color="auto" w:sz="4" w:space="0"/>
              <w:left w:val="nil"/>
              <w:bottom w:val="single" w:color="000000" w:sz="4" w:space="0"/>
              <w:right w:val="single" w:color="auto" w:sz="4" w:space="0"/>
            </w:tcBorders>
            <w:shd w:val="clear" w:color="auto" w:fill="FFFFFF"/>
            <w:noWrap/>
            <w:vAlign w:val="center"/>
          </w:tcPr>
          <w:p>
            <w:pPr>
              <w:rPr>
                <w:rFonts w:ascii="Times New Roman" w:hAnsi="Times New Roman" w:cs="Times New Roman"/>
                <w:sz w:val="20"/>
                <w:szCs w:val="20"/>
              </w:rPr>
            </w:pPr>
          </w:p>
        </w:tc>
        <w:tc>
          <w:tcPr>
            <w:tcW w:w="344" w:type="dxa"/>
            <w:tcBorders>
              <w:top w:val="nil"/>
              <w:left w:val="nil"/>
              <w:bottom w:val="nil"/>
              <w:right w:val="nil"/>
            </w:tcBorders>
            <w:noWrap/>
            <w:vAlign w:val="bottom"/>
          </w:tcPr>
          <w:p>
            <w:pPr>
              <w:widowControl/>
              <w:adjustRightInd w:val="0"/>
              <w:spacing w:line="360" w:lineRule="auto"/>
              <w:jc w:val="center"/>
              <w:textAlignment w:val="baseline"/>
              <w:rPr>
                <w:rFonts w:hint="eastAsia" w:ascii="宋体" w:hAnsi="宋体" w:cs="宋体"/>
                <w:sz w:val="24"/>
              </w:rPr>
            </w:pPr>
          </w:p>
        </w:tc>
      </w:tr>
      <w:tr>
        <w:tblPrEx>
          <w:tblCellMar>
            <w:top w:w="0" w:type="dxa"/>
            <w:left w:w="108" w:type="dxa"/>
            <w:bottom w:w="0" w:type="dxa"/>
            <w:right w:w="108" w:type="dxa"/>
          </w:tblCellMar>
        </w:tblPrEx>
        <w:trPr>
          <w:trHeight w:val="324" w:hRule="atLeast"/>
        </w:trPr>
        <w:tc>
          <w:tcPr>
            <w:tcW w:w="57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ascii="Times New Roman" w:hAnsi="Times New Roman" w:cs="Times New Roman"/>
                <w:sz w:val="20"/>
                <w:szCs w:val="20"/>
              </w:rPr>
            </w:pPr>
          </w:p>
        </w:tc>
        <w:tc>
          <w:tcPr>
            <w:tcW w:w="977" w:type="dxa"/>
            <w:vMerge w:val="continue"/>
            <w:tcBorders>
              <w:top w:val="single" w:color="auto" w:sz="4" w:space="0"/>
              <w:left w:val="nil"/>
              <w:bottom w:val="single" w:color="auto" w:sz="4" w:space="0"/>
              <w:right w:val="single" w:color="auto" w:sz="4" w:space="0"/>
            </w:tcBorders>
            <w:shd w:val="clear" w:color="auto" w:fill="auto"/>
            <w:noWrap w:val="0"/>
            <w:vAlign w:val="center"/>
          </w:tcPr>
          <w:p>
            <w:pPr>
              <w:rPr>
                <w:rFonts w:ascii="Times New Roman" w:hAnsi="Times New Roman" w:cs="Times New Roman"/>
                <w:sz w:val="20"/>
                <w:szCs w:val="20"/>
              </w:rPr>
            </w:pPr>
          </w:p>
        </w:tc>
        <w:tc>
          <w:tcPr>
            <w:tcW w:w="3381" w:type="dxa"/>
            <w:gridSpan w:val="3"/>
            <w:tcBorders>
              <w:top w:val="single" w:color="auto" w:sz="4" w:space="0"/>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高清</w:t>
            </w:r>
          </w:p>
        </w:tc>
        <w:tc>
          <w:tcPr>
            <w:tcW w:w="1224" w:type="dxa"/>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人脸</w:t>
            </w:r>
          </w:p>
        </w:tc>
        <w:tc>
          <w:tcPr>
            <w:tcW w:w="966" w:type="dxa"/>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车辆卡口</w:t>
            </w:r>
          </w:p>
        </w:tc>
        <w:tc>
          <w:tcPr>
            <w:tcW w:w="877" w:type="dxa"/>
            <w:vMerge w:val="restar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摄像头合计</w:t>
            </w:r>
          </w:p>
        </w:tc>
        <w:tc>
          <w:tcPr>
            <w:tcW w:w="870" w:type="dxa"/>
            <w:vMerge w:val="restar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点位合计</w:t>
            </w:r>
          </w:p>
        </w:tc>
        <w:tc>
          <w:tcPr>
            <w:tcW w:w="344" w:type="dxa"/>
            <w:tcBorders>
              <w:top w:val="nil"/>
              <w:left w:val="nil"/>
              <w:bottom w:val="nil"/>
              <w:right w:val="nil"/>
            </w:tcBorders>
            <w:noWrap w:val="0"/>
            <w:vAlign w:val="center"/>
          </w:tcPr>
          <w:p>
            <w:pPr>
              <w:widowControl/>
              <w:adjustRightInd w:val="0"/>
              <w:spacing w:line="360" w:lineRule="auto"/>
              <w:jc w:val="left"/>
              <w:textAlignment w:val="baseline"/>
              <w:rPr>
                <w:rFonts w:hint="eastAsia" w:ascii="宋体" w:hAnsi="宋体" w:cs="宋体"/>
                <w:sz w:val="24"/>
              </w:rPr>
            </w:pPr>
          </w:p>
        </w:tc>
      </w:tr>
      <w:tr>
        <w:tblPrEx>
          <w:tblCellMar>
            <w:top w:w="0" w:type="dxa"/>
            <w:left w:w="108" w:type="dxa"/>
            <w:bottom w:w="0" w:type="dxa"/>
            <w:right w:w="108" w:type="dxa"/>
          </w:tblCellMar>
        </w:tblPrEx>
        <w:trPr>
          <w:trHeight w:val="518" w:hRule="atLeast"/>
        </w:trPr>
        <w:tc>
          <w:tcPr>
            <w:tcW w:w="57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ascii="Times New Roman" w:hAnsi="Times New Roman" w:cs="Times New Roman"/>
                <w:sz w:val="20"/>
                <w:szCs w:val="20"/>
              </w:rPr>
            </w:pPr>
          </w:p>
        </w:tc>
        <w:tc>
          <w:tcPr>
            <w:tcW w:w="977" w:type="dxa"/>
            <w:vMerge w:val="continue"/>
            <w:tcBorders>
              <w:top w:val="single" w:color="auto" w:sz="4" w:space="0"/>
              <w:left w:val="nil"/>
              <w:bottom w:val="single" w:color="auto" w:sz="4" w:space="0"/>
              <w:right w:val="single" w:color="auto" w:sz="4" w:space="0"/>
            </w:tcBorders>
            <w:shd w:val="clear" w:color="auto" w:fill="auto"/>
            <w:noWrap w:val="0"/>
            <w:vAlign w:val="center"/>
          </w:tcPr>
          <w:p>
            <w:pPr>
              <w:rPr>
                <w:rFonts w:ascii="Times New Roman" w:hAnsi="Times New Roman" w:cs="Times New Roman"/>
                <w:sz w:val="20"/>
                <w:szCs w:val="20"/>
              </w:rPr>
            </w:pPr>
          </w:p>
        </w:tc>
        <w:tc>
          <w:tcPr>
            <w:tcW w:w="1077" w:type="dxa"/>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400W全局</w:t>
            </w:r>
          </w:p>
        </w:tc>
        <w:tc>
          <w:tcPr>
            <w:tcW w:w="1152" w:type="dxa"/>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IP400W枪</w:t>
            </w:r>
          </w:p>
        </w:tc>
        <w:tc>
          <w:tcPr>
            <w:tcW w:w="1152" w:type="dxa"/>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IP400W球</w:t>
            </w:r>
          </w:p>
        </w:tc>
        <w:tc>
          <w:tcPr>
            <w:tcW w:w="1224" w:type="dxa"/>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IP400W 枪</w:t>
            </w:r>
          </w:p>
        </w:tc>
        <w:tc>
          <w:tcPr>
            <w:tcW w:w="966" w:type="dxa"/>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IP 900W</w:t>
            </w:r>
          </w:p>
        </w:tc>
        <w:tc>
          <w:tcPr>
            <w:tcW w:w="877" w:type="dxa"/>
            <w:vMerge w:val="continue"/>
            <w:tcBorders>
              <w:top w:val="nil"/>
              <w:left w:val="nil"/>
              <w:bottom w:val="single" w:color="auto" w:sz="4" w:space="0"/>
              <w:right w:val="single" w:color="auto" w:sz="4" w:space="0"/>
            </w:tcBorders>
            <w:shd w:val="clear" w:color="auto" w:fill="FFFFFF"/>
            <w:noWrap w:val="0"/>
            <w:vAlign w:val="center"/>
          </w:tcPr>
          <w:p>
            <w:pPr>
              <w:rPr>
                <w:rFonts w:ascii="Times New Roman" w:hAnsi="Times New Roman" w:cs="Times New Roman"/>
                <w:sz w:val="20"/>
                <w:szCs w:val="20"/>
              </w:rPr>
            </w:pPr>
          </w:p>
        </w:tc>
        <w:tc>
          <w:tcPr>
            <w:tcW w:w="870" w:type="dxa"/>
            <w:vMerge w:val="continue"/>
            <w:tcBorders>
              <w:top w:val="nil"/>
              <w:left w:val="nil"/>
              <w:bottom w:val="single" w:color="auto" w:sz="4" w:space="0"/>
              <w:right w:val="single" w:color="auto" w:sz="4" w:space="0"/>
            </w:tcBorders>
            <w:shd w:val="clear" w:color="auto" w:fill="FFFFFF"/>
            <w:noWrap w:val="0"/>
            <w:vAlign w:val="center"/>
          </w:tcPr>
          <w:p>
            <w:pPr>
              <w:rPr>
                <w:rFonts w:ascii="Times New Roman" w:hAnsi="Times New Roman" w:cs="Times New Roman"/>
                <w:sz w:val="20"/>
                <w:szCs w:val="20"/>
              </w:rPr>
            </w:pPr>
          </w:p>
        </w:tc>
        <w:tc>
          <w:tcPr>
            <w:tcW w:w="344" w:type="dxa"/>
            <w:tcBorders>
              <w:top w:val="nil"/>
              <w:left w:val="nil"/>
              <w:bottom w:val="nil"/>
              <w:right w:val="nil"/>
            </w:tcBorders>
            <w:noWrap w:val="0"/>
            <w:vAlign w:val="center"/>
          </w:tcPr>
          <w:p>
            <w:pPr>
              <w:widowControl/>
              <w:adjustRightInd w:val="0"/>
              <w:spacing w:line="360" w:lineRule="auto"/>
              <w:jc w:val="left"/>
              <w:textAlignment w:val="baseline"/>
              <w:rPr>
                <w:rFonts w:hint="eastAsia" w:ascii="宋体" w:hAnsi="宋体" w:cs="宋体"/>
                <w:sz w:val="24"/>
              </w:rPr>
            </w:pPr>
          </w:p>
        </w:tc>
      </w:tr>
      <w:tr>
        <w:tblPrEx>
          <w:tblCellMar>
            <w:top w:w="0" w:type="dxa"/>
            <w:left w:w="108" w:type="dxa"/>
            <w:bottom w:w="0" w:type="dxa"/>
            <w:right w:w="108" w:type="dxa"/>
          </w:tblCellMar>
        </w:tblPrEx>
        <w:trPr>
          <w:trHeight w:val="836" w:hRule="atLeast"/>
        </w:trPr>
        <w:tc>
          <w:tcPr>
            <w:tcW w:w="578" w:type="dxa"/>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c>
          <w:tcPr>
            <w:tcW w:w="977"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区东</w:t>
            </w:r>
          </w:p>
        </w:tc>
        <w:tc>
          <w:tcPr>
            <w:tcW w:w="1077"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10</w:t>
            </w:r>
          </w:p>
        </w:tc>
        <w:tc>
          <w:tcPr>
            <w:tcW w:w="1152"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83</w:t>
            </w:r>
          </w:p>
        </w:tc>
        <w:tc>
          <w:tcPr>
            <w:tcW w:w="1152"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w:t>
            </w:r>
          </w:p>
        </w:tc>
        <w:tc>
          <w:tcPr>
            <w:tcW w:w="1224"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149</w:t>
            </w:r>
          </w:p>
        </w:tc>
        <w:tc>
          <w:tcPr>
            <w:tcW w:w="966"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6</w:t>
            </w:r>
          </w:p>
        </w:tc>
        <w:tc>
          <w:tcPr>
            <w:tcW w:w="877"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250</w:t>
            </w:r>
          </w:p>
        </w:tc>
        <w:tc>
          <w:tcPr>
            <w:tcW w:w="870"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106</w:t>
            </w:r>
          </w:p>
        </w:tc>
        <w:tc>
          <w:tcPr>
            <w:tcW w:w="344" w:type="dxa"/>
            <w:tcBorders>
              <w:top w:val="nil"/>
              <w:left w:val="nil"/>
              <w:bottom w:val="nil"/>
              <w:right w:val="nil"/>
            </w:tcBorders>
            <w:noWrap w:val="0"/>
            <w:vAlign w:val="center"/>
          </w:tcPr>
          <w:p>
            <w:pPr>
              <w:widowControl/>
              <w:adjustRightInd w:val="0"/>
              <w:spacing w:line="360" w:lineRule="auto"/>
              <w:jc w:val="left"/>
              <w:textAlignment w:val="baseline"/>
              <w:rPr>
                <w:rFonts w:hint="eastAsia" w:ascii="宋体" w:hAnsi="宋体" w:cs="宋体"/>
                <w:sz w:val="24"/>
              </w:rPr>
            </w:pPr>
          </w:p>
        </w:tc>
      </w:tr>
      <w:tr>
        <w:tblPrEx>
          <w:tblCellMar>
            <w:top w:w="0" w:type="dxa"/>
            <w:left w:w="108" w:type="dxa"/>
            <w:bottom w:w="0" w:type="dxa"/>
            <w:right w:w="108" w:type="dxa"/>
          </w:tblCellMar>
        </w:tblPrEx>
        <w:trPr>
          <w:trHeight w:val="836" w:hRule="atLeast"/>
        </w:trPr>
        <w:tc>
          <w:tcPr>
            <w:tcW w:w="578" w:type="dxa"/>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w:t>
            </w:r>
          </w:p>
        </w:tc>
        <w:tc>
          <w:tcPr>
            <w:tcW w:w="977"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三甲</w:t>
            </w:r>
          </w:p>
        </w:tc>
        <w:tc>
          <w:tcPr>
            <w:tcW w:w="1077"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14</w:t>
            </w:r>
          </w:p>
        </w:tc>
        <w:tc>
          <w:tcPr>
            <w:tcW w:w="1152"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147</w:t>
            </w:r>
          </w:p>
        </w:tc>
        <w:tc>
          <w:tcPr>
            <w:tcW w:w="1152"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8</w:t>
            </w:r>
          </w:p>
        </w:tc>
        <w:tc>
          <w:tcPr>
            <w:tcW w:w="1224"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78</w:t>
            </w:r>
          </w:p>
        </w:tc>
        <w:tc>
          <w:tcPr>
            <w:tcW w:w="966"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47</w:t>
            </w:r>
          </w:p>
        </w:tc>
        <w:tc>
          <w:tcPr>
            <w:tcW w:w="877"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294</w:t>
            </w:r>
          </w:p>
        </w:tc>
        <w:tc>
          <w:tcPr>
            <w:tcW w:w="870"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106</w:t>
            </w:r>
          </w:p>
        </w:tc>
        <w:tc>
          <w:tcPr>
            <w:tcW w:w="344" w:type="dxa"/>
            <w:tcBorders>
              <w:top w:val="nil"/>
              <w:left w:val="nil"/>
              <w:bottom w:val="nil"/>
              <w:right w:val="nil"/>
            </w:tcBorders>
            <w:noWrap w:val="0"/>
            <w:vAlign w:val="center"/>
          </w:tcPr>
          <w:p>
            <w:pPr>
              <w:widowControl/>
              <w:adjustRightInd w:val="0"/>
              <w:spacing w:line="360" w:lineRule="auto"/>
              <w:jc w:val="left"/>
              <w:textAlignment w:val="baseline"/>
              <w:rPr>
                <w:rFonts w:hint="eastAsia" w:ascii="宋体" w:hAnsi="宋体" w:cs="宋体"/>
                <w:sz w:val="24"/>
              </w:rPr>
            </w:pPr>
          </w:p>
        </w:tc>
      </w:tr>
      <w:tr>
        <w:tblPrEx>
          <w:tblCellMar>
            <w:top w:w="0" w:type="dxa"/>
            <w:left w:w="108" w:type="dxa"/>
            <w:bottom w:w="0" w:type="dxa"/>
            <w:right w:w="108" w:type="dxa"/>
          </w:tblCellMar>
        </w:tblPrEx>
        <w:trPr>
          <w:trHeight w:val="836" w:hRule="atLeast"/>
        </w:trPr>
        <w:tc>
          <w:tcPr>
            <w:tcW w:w="578" w:type="dxa"/>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w:t>
            </w:r>
          </w:p>
        </w:tc>
        <w:tc>
          <w:tcPr>
            <w:tcW w:w="977"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月湖</w:t>
            </w:r>
          </w:p>
        </w:tc>
        <w:tc>
          <w:tcPr>
            <w:tcW w:w="1077"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0</w:t>
            </w:r>
          </w:p>
        </w:tc>
        <w:tc>
          <w:tcPr>
            <w:tcW w:w="1152"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21</w:t>
            </w:r>
          </w:p>
        </w:tc>
        <w:tc>
          <w:tcPr>
            <w:tcW w:w="1152"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0</w:t>
            </w:r>
          </w:p>
        </w:tc>
        <w:tc>
          <w:tcPr>
            <w:tcW w:w="1224"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5</w:t>
            </w:r>
          </w:p>
        </w:tc>
        <w:tc>
          <w:tcPr>
            <w:tcW w:w="966"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26</w:t>
            </w:r>
          </w:p>
        </w:tc>
        <w:tc>
          <w:tcPr>
            <w:tcW w:w="877"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52</w:t>
            </w:r>
          </w:p>
        </w:tc>
        <w:tc>
          <w:tcPr>
            <w:tcW w:w="870"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18</w:t>
            </w:r>
          </w:p>
        </w:tc>
        <w:tc>
          <w:tcPr>
            <w:tcW w:w="344" w:type="dxa"/>
            <w:tcBorders>
              <w:top w:val="nil"/>
              <w:left w:val="nil"/>
              <w:bottom w:val="nil"/>
              <w:right w:val="nil"/>
            </w:tcBorders>
            <w:noWrap w:val="0"/>
            <w:vAlign w:val="center"/>
          </w:tcPr>
          <w:p>
            <w:pPr>
              <w:widowControl/>
              <w:adjustRightInd w:val="0"/>
              <w:spacing w:line="360" w:lineRule="auto"/>
              <w:jc w:val="left"/>
              <w:textAlignment w:val="baseline"/>
              <w:rPr>
                <w:rFonts w:hint="eastAsia" w:ascii="宋体" w:hAnsi="宋体" w:cs="宋体"/>
                <w:sz w:val="24"/>
              </w:rPr>
            </w:pPr>
          </w:p>
        </w:tc>
      </w:tr>
      <w:tr>
        <w:tblPrEx>
          <w:tblCellMar>
            <w:top w:w="0" w:type="dxa"/>
            <w:left w:w="108" w:type="dxa"/>
            <w:bottom w:w="0" w:type="dxa"/>
            <w:right w:w="108" w:type="dxa"/>
          </w:tblCellMar>
        </w:tblPrEx>
        <w:trPr>
          <w:trHeight w:val="464" w:hRule="atLeast"/>
        </w:trPr>
        <w:tc>
          <w:tcPr>
            <w:tcW w:w="578" w:type="dxa"/>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Z</w:t>
            </w:r>
          </w:p>
        </w:tc>
        <w:tc>
          <w:tcPr>
            <w:tcW w:w="977"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总计</w:t>
            </w:r>
          </w:p>
        </w:tc>
        <w:tc>
          <w:tcPr>
            <w:tcW w:w="1077" w:type="dxa"/>
            <w:tcBorders>
              <w:top w:val="nil"/>
              <w:left w:val="nil"/>
              <w:bottom w:val="single" w:color="auto" w:sz="4" w:space="0"/>
              <w:right w:val="single" w:color="auto" w:sz="4" w:space="0"/>
            </w:tcBorders>
            <w:noWrap/>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24</w:t>
            </w:r>
          </w:p>
        </w:tc>
        <w:tc>
          <w:tcPr>
            <w:tcW w:w="1152" w:type="dxa"/>
            <w:tcBorders>
              <w:top w:val="nil"/>
              <w:left w:val="nil"/>
              <w:bottom w:val="single" w:color="auto" w:sz="4" w:space="0"/>
              <w:right w:val="single" w:color="auto" w:sz="4" w:space="0"/>
            </w:tcBorders>
            <w:noWrap/>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251</w:t>
            </w:r>
          </w:p>
        </w:tc>
        <w:tc>
          <w:tcPr>
            <w:tcW w:w="1152" w:type="dxa"/>
            <w:tcBorders>
              <w:top w:val="nil"/>
              <w:left w:val="nil"/>
              <w:bottom w:val="single" w:color="auto" w:sz="4" w:space="0"/>
              <w:right w:val="single" w:color="auto" w:sz="4" w:space="0"/>
            </w:tcBorders>
            <w:noWrap/>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10</w:t>
            </w:r>
          </w:p>
        </w:tc>
        <w:tc>
          <w:tcPr>
            <w:tcW w:w="1224" w:type="dxa"/>
            <w:tcBorders>
              <w:top w:val="nil"/>
              <w:left w:val="nil"/>
              <w:bottom w:val="single" w:color="auto" w:sz="4" w:space="0"/>
              <w:right w:val="single" w:color="auto" w:sz="4" w:space="0"/>
            </w:tcBorders>
            <w:noWrap/>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232</w:t>
            </w:r>
          </w:p>
        </w:tc>
        <w:tc>
          <w:tcPr>
            <w:tcW w:w="966" w:type="dxa"/>
            <w:tcBorders>
              <w:top w:val="nil"/>
              <w:left w:val="nil"/>
              <w:bottom w:val="single" w:color="auto" w:sz="4" w:space="0"/>
              <w:right w:val="single" w:color="auto" w:sz="4" w:space="0"/>
            </w:tcBorders>
            <w:noWrap/>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79</w:t>
            </w:r>
          </w:p>
        </w:tc>
        <w:tc>
          <w:tcPr>
            <w:tcW w:w="877" w:type="dxa"/>
            <w:tcBorders>
              <w:top w:val="nil"/>
              <w:left w:val="nil"/>
              <w:bottom w:val="single" w:color="auto" w:sz="4" w:space="0"/>
              <w:right w:val="single" w:color="auto" w:sz="4" w:space="0"/>
            </w:tcBorders>
            <w:noWrap/>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596</w:t>
            </w:r>
          </w:p>
        </w:tc>
        <w:tc>
          <w:tcPr>
            <w:tcW w:w="870" w:type="dxa"/>
            <w:tcBorders>
              <w:top w:val="nil"/>
              <w:left w:val="nil"/>
              <w:bottom w:val="single" w:color="auto" w:sz="4" w:space="0"/>
              <w:right w:val="single" w:color="auto" w:sz="4" w:space="0"/>
            </w:tcBorders>
            <w:noWrap/>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230</w:t>
            </w:r>
          </w:p>
        </w:tc>
        <w:tc>
          <w:tcPr>
            <w:tcW w:w="344" w:type="dxa"/>
            <w:tcBorders>
              <w:top w:val="nil"/>
              <w:left w:val="nil"/>
              <w:bottom w:val="nil"/>
              <w:right w:val="nil"/>
            </w:tcBorders>
            <w:noWrap w:val="0"/>
            <w:vAlign w:val="center"/>
          </w:tcPr>
          <w:p>
            <w:pPr>
              <w:widowControl/>
              <w:adjustRightInd w:val="0"/>
              <w:spacing w:line="360" w:lineRule="auto"/>
              <w:jc w:val="left"/>
              <w:textAlignment w:val="baseline"/>
              <w:rPr>
                <w:rFonts w:hint="eastAsia" w:ascii="宋体" w:hAnsi="宋体" w:cs="宋体"/>
                <w:sz w:val="24"/>
              </w:rPr>
            </w:pPr>
          </w:p>
        </w:tc>
      </w:tr>
    </w:tbl>
    <w:p>
      <w:pPr>
        <w:pStyle w:val="32"/>
        <w:widowControl w:val="0"/>
        <w:spacing w:before="120" w:beforeAutospacing="0" w:after="120" w:afterAutospacing="0" w:line="360" w:lineRule="auto"/>
        <w:ind w:firstLine="479" w:firstLineChars="199"/>
        <w:jc w:val="both"/>
        <w:rPr>
          <w:rFonts w:hint="eastAsia" w:cs="宋体"/>
          <w:b/>
          <w:color w:val="auto"/>
          <w:kern w:val="2"/>
        </w:rPr>
      </w:pPr>
      <w:r>
        <w:rPr>
          <w:rFonts w:hint="eastAsia" w:cs="宋体"/>
          <w:b/>
          <w:color w:val="auto"/>
          <w:kern w:val="2"/>
          <w:lang w:bidi="ar"/>
        </w:rPr>
        <w:t>本期项目建设的具体点位信息表见附件。</w:t>
      </w:r>
    </w:p>
    <w:p>
      <w:pPr>
        <w:pStyle w:val="4"/>
        <w:keepNext w:val="0"/>
        <w:keepLines w:val="0"/>
        <w:numPr>
          <w:ilvl w:val="1"/>
          <w:numId w:val="3"/>
        </w:numPr>
        <w:spacing w:line="360" w:lineRule="auto"/>
        <w:ind w:left="1134" w:hanging="1134"/>
        <w:rPr>
          <w:rFonts w:hint="eastAsia" w:ascii="宋体" w:hAnsi="宋体" w:eastAsia="宋体" w:cs="宋体"/>
          <w:sz w:val="24"/>
          <w:szCs w:val="24"/>
        </w:rPr>
      </w:pPr>
      <w:bookmarkStart w:id="50" w:name="_Toc499102828"/>
      <w:bookmarkEnd w:id="50"/>
      <w:bookmarkStart w:id="51" w:name="_Toc47900855"/>
      <w:r>
        <w:rPr>
          <w:rFonts w:hint="eastAsia" w:ascii="宋体" w:hAnsi="宋体" w:eastAsia="宋体" w:cs="宋体"/>
          <w:sz w:val="24"/>
          <w:szCs w:val="24"/>
        </w:rPr>
        <w:t>视频监控系统设计</w:t>
      </w:r>
      <w:bookmarkEnd w:id="51"/>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视频监控系统是雪亮工程设计必需的重要子系统，也是主要的数据采集子系统。台州湾新区在经过多期“天网工程”等项目的建设后，在各街道、乡镇的重点企事业单位门口、主干道路、公共活动区域、人流密集区、客货运等关键场所均安装了监控摄像机，“平安城市”已初具规模。</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本期雪亮工程(2020年)需新建400万高清枪机251台、400万高清球机10台,400万人脸抓拍摄像机232台，900W卡口摄像机79台。</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系统架构设计</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前端摄像机采集监控区域的视频信息后，通过传输设备将视频信号传输到指挥中心数据机房进行集中存储。系统结构图如下图所示：</w:t>
      </w:r>
    </w:p>
    <w:p>
      <w:pPr>
        <w:pStyle w:val="32"/>
        <w:widowControl w:val="0"/>
        <w:spacing w:before="120" w:beforeAutospacing="0" w:after="120" w:afterAutospacing="0" w:line="360" w:lineRule="auto"/>
        <w:jc w:val="center"/>
        <w:rPr>
          <w:rFonts w:hint="eastAsia" w:cs="宋体"/>
          <w:color w:val="auto"/>
          <w:kern w:val="2"/>
        </w:rPr>
      </w:pPr>
      <w:r>
        <w:rPr>
          <w:rFonts w:ascii="Times New Roman" w:hAnsi="Times New Roman"/>
          <w:color w:val="auto"/>
          <w:kern w:val="2"/>
          <w:lang w:bidi="ar"/>
        </w:rPr>
        <w:drawing>
          <wp:inline distT="0" distB="0" distL="114300" distR="114300">
            <wp:extent cx="5181600" cy="2247900"/>
            <wp:effectExtent l="0" t="0" r="0" b="0"/>
            <wp:docPr id="7" name="图片 7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8" descr="IMG_261"/>
                    <pic:cNvPicPr>
                      <a:picLocks noChangeAspect="1"/>
                    </pic:cNvPicPr>
                  </pic:nvPicPr>
                  <pic:blipFill>
                    <a:blip r:embed="rId15"/>
                    <a:stretch>
                      <a:fillRect/>
                    </a:stretch>
                  </pic:blipFill>
                  <pic:spPr>
                    <a:xfrm>
                      <a:off x="0" y="0"/>
                      <a:ext cx="5181600" cy="2247900"/>
                    </a:xfrm>
                    <a:prstGeom prst="rect">
                      <a:avLst/>
                    </a:prstGeom>
                    <a:noFill/>
                    <a:ln>
                      <a:noFill/>
                    </a:ln>
                  </pic:spPr>
                </pic:pic>
              </a:graphicData>
            </a:graphic>
          </wp:inline>
        </w:drawing>
      </w:r>
      <w:r>
        <w:rPr>
          <w:rFonts w:hint="eastAsia" w:cs="宋体"/>
          <w:color w:val="auto"/>
          <w:kern w:val="2"/>
          <w:lang w:bidi="ar"/>
        </w:rPr>
        <w:t xml:space="preserve"> </w:t>
      </w:r>
    </w:p>
    <w:p>
      <w:pPr>
        <w:pStyle w:val="32"/>
        <w:widowControl w:val="0"/>
        <w:spacing w:before="120" w:beforeAutospacing="0" w:after="120" w:afterAutospacing="0" w:line="360" w:lineRule="auto"/>
        <w:jc w:val="center"/>
        <w:rPr>
          <w:rFonts w:hint="eastAsia" w:cs="宋体"/>
          <w:color w:val="auto"/>
          <w:kern w:val="2"/>
        </w:rPr>
      </w:pPr>
      <w:r>
        <w:rPr>
          <w:rFonts w:hint="eastAsia" w:cs="宋体"/>
          <w:color w:val="auto"/>
          <w:kern w:val="2"/>
          <w:lang w:bidi="ar"/>
        </w:rPr>
        <w:t>系统架构图</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视频监控前端主要由摄像机、镜头、护罩、支架和补光灯等功能单元组成：</w:t>
      </w:r>
    </w:p>
    <w:p>
      <w:pPr>
        <w:pStyle w:val="32"/>
        <w:widowControl w:val="0"/>
        <w:spacing w:before="0" w:beforeAutospacing="0" w:after="0" w:afterAutospacing="0" w:line="360" w:lineRule="auto"/>
        <w:ind w:firstLine="480"/>
        <w:jc w:val="both"/>
        <w:rPr>
          <w:rFonts w:hint="eastAsia" w:cs="宋体"/>
          <w:color w:val="auto"/>
        </w:rPr>
      </w:pPr>
      <w:r>
        <w:rPr>
          <w:rFonts w:hint="eastAsia" w:cs="宋体"/>
          <w:color w:val="auto"/>
          <w:lang w:bidi="ar"/>
        </w:rPr>
        <w:t>前端监控点的编码设备完成监控信号的视音频输入，把采集到的图像信号、音频信号（如摄像机、麦克风等视音频源信号）进行数字化和压缩编码，形成IP数据包，利用网络传送到指定的目的地址。作为大量前端路面部署的设备，设备必须采用高性能设备，产品温湿度范围和工业防护设计，符合社会动态治安监控系统路面部署的要求，提供强大的图像编码能力，保障高质量的图像效果；支持标准的通信协议和视频编码方式，灵活的业务及调试接口，满足工程实施能够做到因地制宜。</w:t>
      </w:r>
    </w:p>
    <w:p>
      <w:pPr>
        <w:pStyle w:val="32"/>
        <w:widowControl w:val="0"/>
        <w:spacing w:before="0" w:beforeAutospacing="0" w:after="0" w:afterAutospacing="0" w:line="360" w:lineRule="auto"/>
        <w:ind w:firstLine="480"/>
        <w:jc w:val="both"/>
        <w:rPr>
          <w:rFonts w:hint="eastAsia" w:cs="宋体"/>
          <w:color w:val="auto"/>
        </w:rPr>
      </w:pPr>
      <w:r>
        <w:rPr>
          <w:rFonts w:hint="eastAsia" w:cs="宋体"/>
          <w:color w:val="auto"/>
          <w:lang w:bidi="ar"/>
        </w:rPr>
        <w:t>1、摄像机</w:t>
      </w:r>
    </w:p>
    <w:p>
      <w:pPr>
        <w:pStyle w:val="32"/>
        <w:widowControl w:val="0"/>
        <w:spacing w:before="0" w:beforeAutospacing="0" w:after="0" w:afterAutospacing="0" w:line="360" w:lineRule="auto"/>
        <w:ind w:firstLine="480"/>
        <w:jc w:val="both"/>
        <w:rPr>
          <w:rFonts w:hint="eastAsia" w:cs="宋体"/>
          <w:color w:val="auto"/>
        </w:rPr>
      </w:pPr>
      <w:r>
        <w:rPr>
          <w:rFonts w:hint="eastAsia" w:cs="宋体"/>
          <w:color w:val="auto"/>
          <w:lang w:bidi="ar"/>
        </w:rPr>
        <w:t>视频监控前端重要组成设备，用于视频图像的采集，主要分为高清网络枪机和高清网络球机，根据应用场合采用不同的摄像机，合理配置以满足图像采集的效果要求与经济性要求。</w:t>
      </w:r>
    </w:p>
    <w:p>
      <w:pPr>
        <w:pStyle w:val="32"/>
        <w:widowControl w:val="0"/>
        <w:spacing w:before="0" w:beforeAutospacing="0" w:after="0" w:afterAutospacing="0" w:line="360" w:lineRule="auto"/>
        <w:ind w:firstLine="480"/>
        <w:jc w:val="both"/>
        <w:rPr>
          <w:rFonts w:hint="eastAsia" w:cs="宋体"/>
          <w:color w:val="auto"/>
        </w:rPr>
      </w:pPr>
      <w:r>
        <w:rPr>
          <w:rFonts w:hint="eastAsia" w:cs="宋体"/>
          <w:color w:val="auto"/>
          <w:lang w:bidi="ar"/>
        </w:rPr>
        <w:t>2、镜头</w:t>
      </w:r>
    </w:p>
    <w:p>
      <w:pPr>
        <w:pStyle w:val="32"/>
        <w:widowControl w:val="0"/>
        <w:spacing w:before="0" w:beforeAutospacing="0" w:after="0" w:afterAutospacing="0" w:line="360" w:lineRule="auto"/>
        <w:ind w:firstLine="480"/>
        <w:jc w:val="both"/>
        <w:rPr>
          <w:rFonts w:hint="eastAsia" w:cs="宋体"/>
          <w:color w:val="auto"/>
        </w:rPr>
      </w:pPr>
      <w:r>
        <w:rPr>
          <w:rFonts w:hint="eastAsia" w:cs="宋体"/>
          <w:color w:val="auto"/>
          <w:lang w:bidi="ar"/>
        </w:rPr>
        <w:t>根据摄像机分辨率的不同，镜头分为普通和高清镜头，根据监控距离和摄像机的类型选配合适的镜头，球型摄像机自带镜头。</w:t>
      </w:r>
    </w:p>
    <w:p>
      <w:pPr>
        <w:pStyle w:val="32"/>
        <w:widowControl w:val="0"/>
        <w:spacing w:before="0" w:beforeAutospacing="0" w:after="0" w:afterAutospacing="0" w:line="360" w:lineRule="auto"/>
        <w:ind w:firstLine="480"/>
        <w:jc w:val="both"/>
        <w:rPr>
          <w:rFonts w:hint="eastAsia" w:cs="宋体"/>
          <w:color w:val="auto"/>
        </w:rPr>
      </w:pPr>
      <w:r>
        <w:rPr>
          <w:rFonts w:hint="eastAsia" w:cs="宋体"/>
          <w:color w:val="auto"/>
          <w:lang w:bidi="ar"/>
        </w:rPr>
        <w:t>3、护罩</w:t>
      </w:r>
    </w:p>
    <w:p>
      <w:pPr>
        <w:pStyle w:val="32"/>
        <w:widowControl w:val="0"/>
        <w:spacing w:before="0" w:beforeAutospacing="0" w:after="0" w:afterAutospacing="0" w:line="360" w:lineRule="auto"/>
        <w:ind w:firstLine="480"/>
        <w:jc w:val="both"/>
        <w:rPr>
          <w:rFonts w:hint="eastAsia" w:cs="宋体"/>
          <w:color w:val="auto"/>
        </w:rPr>
      </w:pPr>
      <w:r>
        <w:rPr>
          <w:rFonts w:hint="eastAsia" w:cs="宋体"/>
          <w:color w:val="auto"/>
          <w:lang w:bidi="ar"/>
        </w:rPr>
        <w:t>护罩是使摄像机在有灰尘、雨水、高低温等情况下正常使用的防护装置，根据摄像机机型采用不同的护罩，每个摄像机配置一个护罩，球型摄像机自带护罩。</w:t>
      </w:r>
    </w:p>
    <w:p>
      <w:pPr>
        <w:pStyle w:val="32"/>
        <w:widowControl w:val="0"/>
        <w:spacing w:before="0" w:beforeAutospacing="0" w:after="0" w:afterAutospacing="0" w:line="360" w:lineRule="auto"/>
        <w:ind w:firstLine="480"/>
        <w:jc w:val="both"/>
        <w:rPr>
          <w:rFonts w:hint="eastAsia" w:cs="宋体"/>
          <w:color w:val="auto"/>
        </w:rPr>
      </w:pPr>
      <w:r>
        <w:rPr>
          <w:rFonts w:hint="eastAsia" w:cs="宋体"/>
          <w:color w:val="auto"/>
          <w:lang w:bidi="ar"/>
        </w:rPr>
        <w:t>4、支架</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支架是摄像机安装固定的重要组件，根据摄像机安装的位置，可以合理选择壁装支架或吊装支架。</w:t>
      </w:r>
    </w:p>
    <w:p>
      <w:pPr>
        <w:pStyle w:val="4"/>
        <w:keepNext w:val="0"/>
        <w:keepLines w:val="0"/>
        <w:numPr>
          <w:ilvl w:val="1"/>
          <w:numId w:val="3"/>
        </w:numPr>
        <w:spacing w:line="360" w:lineRule="auto"/>
        <w:ind w:left="1134" w:hanging="1134"/>
        <w:rPr>
          <w:rFonts w:hint="eastAsia" w:ascii="宋体" w:hAnsi="宋体" w:eastAsia="宋体" w:cs="宋体"/>
          <w:sz w:val="24"/>
          <w:szCs w:val="24"/>
        </w:rPr>
      </w:pPr>
      <w:bookmarkStart w:id="52" w:name="_Toc47900856"/>
      <w:bookmarkEnd w:id="52"/>
      <w:r>
        <w:rPr>
          <w:rFonts w:hint="eastAsia" w:ascii="宋体" w:hAnsi="宋体" w:eastAsia="宋体" w:cs="宋体"/>
          <w:sz w:val="24"/>
          <w:szCs w:val="24"/>
        </w:rPr>
        <w:t>人脸识别系统设计</w:t>
      </w:r>
    </w:p>
    <w:p>
      <w:pPr>
        <w:pStyle w:val="5"/>
        <w:keepNext w:val="0"/>
        <w:keepLines w:val="0"/>
        <w:widowControl w:val="0"/>
        <w:numPr>
          <w:ilvl w:val="2"/>
          <w:numId w:val="3"/>
        </w:numPr>
        <w:spacing w:before="163" w:after="163" w:line="413" w:lineRule="auto"/>
        <w:ind w:left="0" w:firstLine="0"/>
        <w:rPr>
          <w:rFonts w:hint="eastAsia" w:ascii="宋体" w:hAnsi="宋体" w:cs="宋体"/>
          <w:szCs w:val="24"/>
        </w:rPr>
      </w:pPr>
      <w:bookmarkStart w:id="53" w:name="_Toc486909286"/>
      <w:bookmarkEnd w:id="53"/>
      <w:bookmarkStart w:id="54" w:name="_Toc47900857"/>
      <w:bookmarkEnd w:id="54"/>
      <w:bookmarkStart w:id="55" w:name="_Toc517378409"/>
      <w:bookmarkEnd w:id="55"/>
      <w:bookmarkStart w:id="56" w:name="_Toc485200406"/>
      <w:bookmarkEnd w:id="56"/>
      <w:bookmarkStart w:id="57" w:name="_Toc5548"/>
      <w:r>
        <w:rPr>
          <w:rFonts w:hint="eastAsia" w:ascii="宋体" w:hAnsi="宋体" w:cs="宋体"/>
          <w:szCs w:val="24"/>
        </w:rPr>
        <w:t>总体要求</w:t>
      </w:r>
      <w:bookmarkEnd w:id="57"/>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人脸图像采集设备安装应满足GB50348-2004的第3章要求，选择在进出闸机、通道、扶梯或门口位置面向人员行进方向正面安装，环境光照条件良好，目标人人脸区域视场空间XYZ不宜过大（如下图），其人脸图像应满足识别要求；可视门禁系统等相似视频人脸图像采集设备与通常的视频人脸图像采集设备相比安装要求有其特殊性。</w:t>
      </w:r>
    </w:p>
    <w:tbl>
      <w:tblPr>
        <w:tblStyle w:val="37"/>
        <w:tblW w:w="0" w:type="auto"/>
        <w:jc w:val="center"/>
        <w:tblCellSpacing w:w="0" w:type="dxa"/>
        <w:tblLayout w:type="autofit"/>
        <w:tblCellMar>
          <w:top w:w="0" w:type="dxa"/>
          <w:left w:w="0" w:type="dxa"/>
          <w:bottom w:w="0" w:type="dxa"/>
          <w:right w:w="0" w:type="dxa"/>
        </w:tblCellMar>
      </w:tblPr>
      <w:tblGrid>
        <w:gridCol w:w="6"/>
        <w:gridCol w:w="7605"/>
      </w:tblGrid>
      <w:tr>
        <w:tblPrEx>
          <w:tblCellMar>
            <w:top w:w="0" w:type="dxa"/>
            <w:left w:w="0" w:type="dxa"/>
            <w:bottom w:w="0" w:type="dxa"/>
            <w:right w:w="0" w:type="dxa"/>
          </w:tblCellMar>
        </w:tblPrEx>
        <w:trPr>
          <w:gridAfter w:val="1"/>
          <w:wAfter w:w="0" w:type="auto"/>
          <w:tblCellSpacing w:w="0" w:type="dxa"/>
          <w:jc w:val="center"/>
        </w:trPr>
        <w:tc>
          <w:tcPr>
            <w:tcW w:w="6" w:type="dxa"/>
            <w:noWrap w:val="0"/>
            <w:vAlign w:val="center"/>
          </w:tcPr>
          <w:p>
            <w:pPr>
              <w:rPr>
                <w:rFonts w:hint="eastAsia" w:ascii="宋体"/>
                <w:sz w:val="24"/>
              </w:rPr>
            </w:pPr>
          </w:p>
        </w:tc>
      </w:tr>
      <w:tr>
        <w:tblPrEx>
          <w:tblCellMar>
            <w:top w:w="0" w:type="dxa"/>
            <w:left w:w="0" w:type="dxa"/>
            <w:bottom w:w="0" w:type="dxa"/>
            <w:right w:w="0" w:type="dxa"/>
          </w:tblCellMar>
        </w:tblPrEx>
        <w:trPr>
          <w:tblCellSpacing w:w="0" w:type="dxa"/>
          <w:jc w:val="center"/>
        </w:trPr>
        <w:tc>
          <w:tcPr>
            <w:tcW w:w="0" w:type="auto"/>
            <w:noWrap w:val="0"/>
            <w:vAlign w:val="center"/>
          </w:tcPr>
          <w:p>
            <w:pPr>
              <w:rPr>
                <w:rFonts w:hint="eastAsia" w:ascii="宋体"/>
                <w:sz w:val="24"/>
              </w:rPr>
            </w:pPr>
          </w:p>
        </w:tc>
        <w:tc>
          <w:tcPr>
            <w:tcW w:w="0" w:type="auto"/>
            <w:noWrap w:val="0"/>
            <w:vAlign w:val="center"/>
          </w:tcPr>
          <w:p>
            <w:pPr>
              <w:widowControl/>
              <w:jc w:val="left"/>
            </w:pPr>
            <w:r>
              <w:rPr>
                <w:rFonts w:ascii="宋体" w:hAnsi="宋体" w:cs="宋体"/>
                <w:kern w:val="0"/>
                <w:sz w:val="24"/>
                <w:lang w:bidi="ar"/>
              </w:rPr>
              <w:drawing>
                <wp:inline distT="0" distB="0" distL="114300" distR="114300">
                  <wp:extent cx="4829175" cy="2743200"/>
                  <wp:effectExtent l="0" t="0" r="9525" b="0"/>
                  <wp:docPr id="8" name="图片 7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9" descr="IMG_262"/>
                          <pic:cNvPicPr>
                            <a:picLocks noChangeAspect="1"/>
                          </pic:cNvPicPr>
                        </pic:nvPicPr>
                        <pic:blipFill>
                          <a:blip r:embed="rId16"/>
                          <a:stretch>
                            <a:fillRect/>
                          </a:stretch>
                        </pic:blipFill>
                        <pic:spPr>
                          <a:xfrm>
                            <a:off x="0" y="0"/>
                            <a:ext cx="4829175" cy="2743200"/>
                          </a:xfrm>
                          <a:prstGeom prst="rect">
                            <a:avLst/>
                          </a:prstGeom>
                          <a:noFill/>
                          <a:ln>
                            <a:noFill/>
                          </a:ln>
                        </pic:spPr>
                      </pic:pic>
                    </a:graphicData>
                  </a:graphic>
                </wp:inline>
              </w:drawing>
            </w:r>
          </w:p>
        </w:tc>
      </w:tr>
    </w:tbl>
    <w:p>
      <w:pPr>
        <w:adjustRightInd w:val="0"/>
        <w:spacing w:line="400" w:lineRule="exact"/>
        <w:ind w:firstLine="480" w:firstLineChars="200"/>
        <w:jc w:val="center"/>
        <w:textAlignment w:val="baseline"/>
        <w:rPr>
          <w:rFonts w:hint="eastAsia" w:ascii="宋体" w:hAnsi="宋体" w:cs="宋体"/>
          <w:sz w:val="24"/>
        </w:rPr>
      </w:pPr>
      <w:r>
        <w:rPr>
          <w:rFonts w:hint="eastAsia" w:ascii="宋体" w:hAnsi="宋体" w:cs="宋体"/>
          <w:kern w:val="0"/>
          <w:sz w:val="24"/>
          <w:lang w:bidi="ar"/>
        </w:rPr>
        <w:t xml:space="preserve"> </w:t>
      </w:r>
    </w:p>
    <w:p>
      <w:pPr>
        <w:adjustRightInd w:val="0"/>
        <w:spacing w:line="400" w:lineRule="exact"/>
        <w:ind w:firstLine="480" w:firstLineChars="200"/>
        <w:jc w:val="center"/>
        <w:textAlignment w:val="baseline"/>
        <w:rPr>
          <w:rFonts w:hint="eastAsia" w:ascii="宋体" w:hAnsi="宋体" w:cs="宋体"/>
          <w:sz w:val="24"/>
        </w:rPr>
      </w:pPr>
      <w:r>
        <w:rPr>
          <w:rFonts w:hint="eastAsia" w:ascii="宋体" w:hAnsi="宋体" w:cs="宋体"/>
          <w:kern w:val="0"/>
          <w:sz w:val="24"/>
          <w:lang w:bidi="ar"/>
        </w:rPr>
        <w:t>图：视频人脸图像采集设备与目标人相互位置示意图</w:t>
      </w:r>
    </w:p>
    <w:p>
      <w:pPr>
        <w:pStyle w:val="5"/>
        <w:keepNext w:val="0"/>
        <w:keepLines w:val="0"/>
        <w:widowControl w:val="0"/>
        <w:numPr>
          <w:ilvl w:val="2"/>
          <w:numId w:val="3"/>
        </w:numPr>
        <w:spacing w:before="163" w:after="163" w:line="413" w:lineRule="auto"/>
        <w:ind w:left="0" w:firstLine="0"/>
        <w:rPr>
          <w:rFonts w:hint="eastAsia" w:ascii="宋体" w:hAnsi="宋体" w:cs="宋体"/>
          <w:szCs w:val="24"/>
        </w:rPr>
      </w:pPr>
      <w:bookmarkStart w:id="58" w:name="_Toc486909287"/>
      <w:bookmarkEnd w:id="58"/>
      <w:bookmarkStart w:id="59" w:name="_Toc517378410"/>
      <w:bookmarkEnd w:id="59"/>
      <w:bookmarkStart w:id="60" w:name="_Toc1897"/>
      <w:bookmarkEnd w:id="60"/>
      <w:bookmarkStart w:id="61" w:name="_Toc47900858"/>
      <w:bookmarkEnd w:id="61"/>
      <w:bookmarkStart w:id="62" w:name="_Toc485200407"/>
      <w:r>
        <w:rPr>
          <w:rFonts w:hint="eastAsia" w:ascii="宋体" w:hAnsi="宋体" w:cs="宋体"/>
          <w:szCs w:val="24"/>
        </w:rPr>
        <w:t>采集环境</w:t>
      </w:r>
      <w:bookmarkEnd w:id="62"/>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位置</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通常的视频人脸图像采集设备安装高度和俯仰角度范围如下，以满足GA/T 1325-2017中4.1.1的要求，对漏报无专门要求的场景可采用上限位置安装，视场内应避免有遮挡目标人的物体：</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距地面安装高度H1应不高于6000mm，宜在2200mm到3000mm之间；</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采集设备光轴与水平线俯仰角度A应不大于20°，宜在0°到10°之间；</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照明</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目标人周围区域漫反射，无闪烁，人脸区域光照均匀，无明显高光或反差，采集设备应避免强光直射或逆光安装，确需逆光安装时，应降低人脸区域对比度。具体要求是，面部区域正面光照强度100lux及以上，左右侧光照强度差不超过一倍，背面光照强度不超过正面光照强度的两倍。在光照不理想时，需要保证低照度下的成像质量。</w:t>
      </w:r>
    </w:p>
    <w:p>
      <w:pPr>
        <w:pStyle w:val="5"/>
        <w:keepNext w:val="0"/>
        <w:keepLines w:val="0"/>
        <w:widowControl w:val="0"/>
        <w:numPr>
          <w:ilvl w:val="2"/>
          <w:numId w:val="3"/>
        </w:numPr>
        <w:spacing w:before="163" w:after="163" w:line="413" w:lineRule="auto"/>
        <w:ind w:left="0" w:firstLine="0"/>
        <w:rPr>
          <w:rFonts w:hint="eastAsia" w:ascii="宋体" w:hAnsi="宋体" w:cs="宋体"/>
          <w:szCs w:val="24"/>
        </w:rPr>
      </w:pPr>
      <w:bookmarkStart w:id="63" w:name="_Toc486909288"/>
      <w:bookmarkEnd w:id="63"/>
      <w:bookmarkStart w:id="64" w:name="_Toc29746"/>
      <w:bookmarkEnd w:id="64"/>
      <w:bookmarkStart w:id="65" w:name="_Toc517378411"/>
      <w:bookmarkEnd w:id="65"/>
      <w:bookmarkStart w:id="66" w:name="_Toc485200408"/>
      <w:bookmarkEnd w:id="66"/>
      <w:bookmarkStart w:id="67" w:name="_Toc47900859"/>
      <w:r>
        <w:rPr>
          <w:rFonts w:hint="eastAsia" w:ascii="宋体" w:hAnsi="宋体" w:cs="宋体"/>
          <w:szCs w:val="24"/>
        </w:rPr>
        <w:t>视频</w:t>
      </w:r>
      <w:bookmarkEnd w:id="67"/>
      <w:r>
        <w:rPr>
          <w:rFonts w:hint="eastAsia" w:ascii="宋体" w:hAnsi="宋体" w:cs="宋体"/>
          <w:szCs w:val="24"/>
        </w:rPr>
        <w:t>采集设备</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采集器</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视频人脸图像采集器满足GA/T 1325-2017 安全防范人脸识别应用频图像采集规范</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像素数：不少于1920*1080，长宽为16:9</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采集帧率：不少于25帧/秒；</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快门调节：最低速度小于百分之一秒；</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响应范围：宽动态，高灵敏度；</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具有人脸检测的采集器应具有人脸图像优选功能，同时应具有输出一张最佳人脸图像功能。</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功能要求</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支持人脸小图输出</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采集设备支持人脸图像输出，图片输出标准符合本规范以下标准要求:</w:t>
      </w:r>
    </w:p>
    <w:p>
      <w:pPr>
        <w:numPr>
          <w:ilvl w:val="0"/>
          <w:numId w:val="9"/>
        </w:num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 xml:space="preserve">视频文件格式：AVI、MPEG； </w:t>
      </w:r>
    </w:p>
    <w:p>
      <w:pPr>
        <w:numPr>
          <w:ilvl w:val="0"/>
          <w:numId w:val="9"/>
        </w:num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 xml:space="preserve">图像文件格式：JPEG； </w:t>
      </w:r>
    </w:p>
    <w:p>
      <w:pPr>
        <w:numPr>
          <w:ilvl w:val="0"/>
          <w:numId w:val="9"/>
        </w:num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 xml:space="preserve">人脸区域占图片面积3/4以上，图片大小建议为20K到80K之间； </w:t>
      </w:r>
    </w:p>
    <w:p>
      <w:pPr>
        <w:numPr>
          <w:ilvl w:val="0"/>
          <w:numId w:val="9"/>
        </w:num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 xml:space="preserve">压缩编码类型：H.264 </w:t>
      </w:r>
    </w:p>
    <w:p>
      <w:pPr>
        <w:numPr>
          <w:ilvl w:val="0"/>
          <w:numId w:val="9"/>
        </w:num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压缩比：宜不小于95%。</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人脸区域自动曝光</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采集设备支持人脸区域曝光。曝光补偿模式时，当在预览画面中识别到人脸时，采集设备按照参考亮度值自动调整人脸亮度（人脸亮度值越大，预览画面越亮），保证在逆光环境下抓拍高质量的人脸图片。</w:t>
      </w:r>
    </w:p>
    <w:p>
      <w:pPr>
        <w:pStyle w:val="5"/>
        <w:keepNext w:val="0"/>
        <w:keepLines w:val="0"/>
        <w:widowControl w:val="0"/>
        <w:numPr>
          <w:ilvl w:val="2"/>
          <w:numId w:val="3"/>
        </w:numPr>
        <w:spacing w:before="163" w:after="163" w:line="413" w:lineRule="auto"/>
        <w:ind w:left="0" w:firstLine="0"/>
        <w:rPr>
          <w:rFonts w:hint="eastAsia" w:ascii="宋体" w:hAnsi="宋体" w:cs="宋体"/>
          <w:szCs w:val="24"/>
        </w:rPr>
      </w:pPr>
      <w:bookmarkStart w:id="68" w:name="_Toc486909289"/>
      <w:bookmarkEnd w:id="68"/>
      <w:bookmarkStart w:id="69" w:name="_Toc517378412"/>
      <w:bookmarkEnd w:id="69"/>
      <w:bookmarkStart w:id="70" w:name="_Toc472072428"/>
      <w:bookmarkEnd w:id="70"/>
      <w:bookmarkStart w:id="71" w:name="_Toc32587"/>
      <w:bookmarkEnd w:id="71"/>
      <w:bookmarkStart w:id="72" w:name="_Toc47900860"/>
      <w:r>
        <w:rPr>
          <w:rFonts w:hint="eastAsia" w:ascii="宋体" w:hAnsi="宋体" w:cs="宋体"/>
          <w:szCs w:val="24"/>
        </w:rPr>
        <w:t>图像质量</w:t>
      </w:r>
      <w:bookmarkEnd w:id="72"/>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人脸图像质量符合以下要求：</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a)</w:t>
      </w:r>
      <w:r>
        <w:rPr>
          <w:rFonts w:hint="eastAsia" w:ascii="宋体" w:hAnsi="宋体" w:cs="宋体"/>
          <w:kern w:val="0"/>
          <w:sz w:val="24"/>
          <w:lang w:bidi="ar"/>
        </w:rPr>
        <w:tab/>
      </w:r>
      <w:r>
        <w:rPr>
          <w:rFonts w:hint="eastAsia" w:ascii="宋体" w:hAnsi="宋体" w:cs="宋体"/>
          <w:kern w:val="0"/>
          <w:sz w:val="24"/>
          <w:lang w:bidi="ar"/>
        </w:rPr>
        <w:t xml:space="preserve">两眼间距：两眼间距不小于40像素，建议60像素以上； </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b)</w:t>
      </w:r>
      <w:r>
        <w:rPr>
          <w:rFonts w:hint="eastAsia" w:ascii="宋体" w:hAnsi="宋体" w:cs="宋体"/>
          <w:kern w:val="0"/>
          <w:sz w:val="24"/>
          <w:lang w:bidi="ar"/>
        </w:rPr>
        <w:tab/>
      </w:r>
      <w:r>
        <w:rPr>
          <w:rFonts w:hint="eastAsia" w:ascii="宋体" w:hAnsi="宋体" w:cs="宋体"/>
          <w:kern w:val="0"/>
          <w:sz w:val="24"/>
          <w:lang w:bidi="ar"/>
        </w:rPr>
        <w:t xml:space="preserve">人脸姿态角度：水平转动角不超过±30°、俯仰角不超过±20°、倾斜角不超过±30°；建议水平转动角不超过±15°、俯仰角不超过±10°、倾斜角不超过±20°，宜配合有辅助措施保证人脸角度满足要求； </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c)</w:t>
      </w:r>
      <w:r>
        <w:rPr>
          <w:rFonts w:hint="eastAsia" w:ascii="宋体" w:hAnsi="宋体" w:cs="宋体"/>
          <w:kern w:val="0"/>
          <w:sz w:val="24"/>
          <w:lang w:bidi="ar"/>
        </w:rPr>
        <w:tab/>
      </w:r>
      <w:r>
        <w:rPr>
          <w:rFonts w:hint="eastAsia" w:ascii="宋体" w:hAnsi="宋体" w:cs="宋体"/>
          <w:kern w:val="0"/>
          <w:sz w:val="24"/>
          <w:lang w:bidi="ar"/>
        </w:rPr>
        <w:t>分辨率ф：不小于100dpi；</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d)</w:t>
      </w:r>
      <w:r>
        <w:rPr>
          <w:rFonts w:hint="eastAsia" w:ascii="宋体" w:hAnsi="宋体" w:cs="宋体"/>
          <w:kern w:val="0"/>
          <w:sz w:val="24"/>
          <w:lang w:bidi="ar"/>
        </w:rPr>
        <w:tab/>
      </w:r>
      <w:r>
        <w:rPr>
          <w:rFonts w:hint="eastAsia" w:ascii="宋体" w:hAnsi="宋体" w:cs="宋体"/>
          <w:kern w:val="0"/>
          <w:sz w:val="24"/>
          <w:lang w:bidi="ar"/>
        </w:rPr>
        <w:t xml:space="preserve">灰度：动态灰度范围不小于180级或24位真彩色； </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e)</w:t>
      </w:r>
      <w:r>
        <w:rPr>
          <w:rFonts w:hint="eastAsia" w:ascii="宋体" w:hAnsi="宋体" w:cs="宋体"/>
          <w:kern w:val="0"/>
          <w:sz w:val="24"/>
          <w:lang w:bidi="ar"/>
        </w:rPr>
        <w:tab/>
      </w:r>
      <w:r>
        <w:rPr>
          <w:rFonts w:hint="eastAsia" w:ascii="宋体" w:hAnsi="宋体" w:cs="宋体"/>
          <w:kern w:val="0"/>
          <w:sz w:val="24"/>
          <w:lang w:bidi="ar"/>
        </w:rPr>
        <w:t xml:space="preserve">清晰度：人脸清晰，无阴阳脸，无明显拖尾、抖动等运动模糊； </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f)</w:t>
      </w:r>
      <w:r>
        <w:rPr>
          <w:rFonts w:hint="eastAsia" w:ascii="宋体" w:hAnsi="宋体" w:cs="宋体"/>
          <w:kern w:val="0"/>
          <w:sz w:val="24"/>
          <w:lang w:bidi="ar"/>
        </w:rPr>
        <w:tab/>
      </w:r>
      <w:r>
        <w:rPr>
          <w:rFonts w:hint="eastAsia" w:ascii="宋体" w:hAnsi="宋体" w:cs="宋体"/>
          <w:kern w:val="0"/>
          <w:sz w:val="24"/>
          <w:lang w:bidi="ar"/>
        </w:rPr>
        <w:t>噪波：图像无明显噪波；</w:t>
      </w:r>
    </w:p>
    <w:p>
      <w:pPr>
        <w:adjustRightInd w:val="0"/>
        <w:spacing w:line="360" w:lineRule="auto"/>
        <w:ind w:left="496" w:leftChars="177" w:firstLine="480" w:firstLineChars="200"/>
        <w:textAlignment w:val="baseline"/>
        <w:rPr>
          <w:rFonts w:hint="eastAsia" w:ascii="宋体" w:hAnsi="宋体" w:cs="宋体"/>
          <w:sz w:val="24"/>
        </w:rPr>
      </w:pPr>
      <w:r>
        <w:rPr>
          <w:rFonts w:hint="eastAsia" w:ascii="宋体" w:hAnsi="宋体" w:cs="宋体"/>
          <w:kern w:val="0"/>
          <w:sz w:val="24"/>
          <w:lang w:bidi="ar"/>
        </w:rPr>
        <w:t>g)</w:t>
      </w:r>
      <w:r>
        <w:rPr>
          <w:rFonts w:hint="eastAsia" w:ascii="宋体" w:hAnsi="宋体" w:cs="宋体"/>
          <w:kern w:val="0"/>
          <w:sz w:val="24"/>
          <w:lang w:bidi="ar"/>
        </w:rPr>
        <w:tab/>
      </w:r>
      <w:r>
        <w:rPr>
          <w:rFonts w:hint="eastAsia" w:ascii="宋体" w:hAnsi="宋体" w:cs="宋体"/>
          <w:kern w:val="0"/>
          <w:sz w:val="24"/>
          <w:lang w:bidi="ar"/>
        </w:rPr>
        <w:t>光照：前光照不低于100lux，行人左右侧光照强度差不超过一倍，行人背面光照强度不超过正面光照强度的两倍。如果现场的光线不满足上述任意一条要求，则需要通过遮挡光或者补光的方法优化现场的光照条件。</w:t>
      </w:r>
    </w:p>
    <w:p>
      <w:pPr>
        <w:pStyle w:val="4"/>
        <w:keepNext w:val="0"/>
        <w:keepLines w:val="0"/>
        <w:numPr>
          <w:ilvl w:val="1"/>
          <w:numId w:val="3"/>
        </w:numPr>
        <w:spacing w:line="360" w:lineRule="auto"/>
        <w:ind w:left="1134" w:hanging="1134"/>
        <w:rPr>
          <w:rFonts w:hint="eastAsia" w:ascii="宋体" w:hAnsi="宋体" w:eastAsia="宋体" w:cs="宋体"/>
          <w:sz w:val="24"/>
          <w:szCs w:val="24"/>
        </w:rPr>
      </w:pPr>
      <w:bookmarkStart w:id="73" w:name="_Toc499102829"/>
      <w:bookmarkEnd w:id="73"/>
      <w:bookmarkStart w:id="74" w:name="_Toc47900861"/>
      <w:r>
        <w:rPr>
          <w:rFonts w:hint="eastAsia" w:ascii="宋体" w:hAnsi="宋体" w:eastAsia="宋体" w:cs="宋体"/>
          <w:sz w:val="24"/>
          <w:szCs w:val="24"/>
        </w:rPr>
        <w:t>卡口抓拍系统设计</w:t>
      </w:r>
      <w:bookmarkEnd w:id="74"/>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为了实现对台州湾新区境内过往车辆的精细化管控目的，本次项目在已有道路卡口系统的基础上，采用科学的布建理论，结合实际的应用需求，合理设置卡口系统的部署位置，严密编织好以卡口系统为基础的车辆布控网。</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本次雪亮工程需新建结构化高清900万卡口抓拍摄像机，建设一个点位，这将这条路的横段面卡住，只要经过此点位，无论人、车、物都能留下痕迹；原则上是建一卡口点位，卡住一条路。</w:t>
      </w:r>
    </w:p>
    <w:p>
      <w:pPr>
        <w:pStyle w:val="5"/>
        <w:numPr>
          <w:ilvl w:val="2"/>
          <w:numId w:val="3"/>
        </w:numPr>
        <w:spacing w:before="163" w:after="163"/>
        <w:ind w:left="0" w:firstLine="0"/>
        <w:jc w:val="left"/>
        <w:rPr>
          <w:rFonts w:hint="eastAsia" w:ascii="宋体" w:hAnsi="宋体" w:cs="宋体"/>
          <w:szCs w:val="24"/>
        </w:rPr>
      </w:pPr>
      <w:bookmarkStart w:id="75" w:name="_Toc47900862"/>
      <w:bookmarkEnd w:id="75"/>
      <w:r>
        <w:rPr>
          <w:rFonts w:hint="eastAsia" w:ascii="宋体" w:hAnsi="宋体" w:cs="宋体"/>
          <w:szCs w:val="24"/>
        </w:rPr>
        <w:t>前端架构设计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视频卡口系统主要由前端数据采集子系统、网络传输子系统、中心管理子系统等部分组成。前端数据采集子系统通过视频跟踪和分析技术获取车辆的经过时间、速度、图片、车牌号码、车身颜色等数据。数据通过网络传输子系统传输到中心管理子系统。中心管理子系统对数据进行集中管理、存储、共享等处理。</w:t>
      </w:r>
    </w:p>
    <w:p>
      <w:pPr>
        <w:adjustRightInd w:val="0"/>
        <w:spacing w:line="360" w:lineRule="auto"/>
        <w:ind w:right="480"/>
        <w:jc w:val="center"/>
        <w:textAlignment w:val="baseline"/>
        <w:rPr>
          <w:rFonts w:hint="eastAsia" w:ascii="宋体" w:hAnsi="宋体" w:cs="宋体"/>
          <w:sz w:val="24"/>
        </w:rPr>
      </w:pPr>
      <w:r>
        <w:rPr>
          <w:kern w:val="0"/>
          <w:sz w:val="24"/>
          <w:lang w:bidi="ar"/>
        </w:rPr>
        <w:drawing>
          <wp:inline distT="0" distB="0" distL="114300" distR="114300">
            <wp:extent cx="5486400" cy="2933700"/>
            <wp:effectExtent l="0" t="0" r="0" b="0"/>
            <wp:docPr id="9" name="图片 8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0" descr="IMG_263"/>
                    <pic:cNvPicPr>
                      <a:picLocks noChangeAspect="1"/>
                    </pic:cNvPicPr>
                  </pic:nvPicPr>
                  <pic:blipFill>
                    <a:blip r:embed="rId17"/>
                    <a:stretch>
                      <a:fillRect/>
                    </a:stretch>
                  </pic:blipFill>
                  <pic:spPr>
                    <a:xfrm>
                      <a:off x="0" y="0"/>
                      <a:ext cx="5486400" cy="2933700"/>
                    </a:xfrm>
                    <a:prstGeom prst="rect">
                      <a:avLst/>
                    </a:prstGeom>
                    <a:noFill/>
                    <a:ln>
                      <a:noFill/>
                    </a:ln>
                  </pic:spPr>
                </pic:pic>
              </a:graphicData>
            </a:graphic>
          </wp:inline>
        </w:drawing>
      </w:r>
      <w:r>
        <w:rPr>
          <w:rFonts w:hint="eastAsia" w:ascii="宋体" w:hAnsi="宋体" w:cs="宋体"/>
          <w:kern w:val="0"/>
          <w:sz w:val="24"/>
          <w:lang w:bidi="ar"/>
        </w:rPr>
        <w:t xml:space="preserve"> </w:t>
      </w:r>
    </w:p>
    <w:p>
      <w:pPr>
        <w:adjustRightInd w:val="0"/>
        <w:spacing w:line="360" w:lineRule="auto"/>
        <w:ind w:right="480"/>
        <w:jc w:val="center"/>
        <w:textAlignment w:val="baseline"/>
        <w:rPr>
          <w:rFonts w:hint="eastAsia" w:ascii="宋体" w:hAnsi="宋体" w:cs="宋体"/>
          <w:sz w:val="24"/>
        </w:rPr>
      </w:pPr>
      <w:r>
        <w:rPr>
          <w:rFonts w:hint="eastAsia" w:ascii="宋体" w:hAnsi="宋体" w:cs="宋体"/>
          <w:kern w:val="0"/>
          <w:sz w:val="24"/>
          <w:lang w:bidi="ar"/>
        </w:rPr>
        <w:t>系统架构图</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系统主要由以下功能单元组成：</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目标检测、图像采集识别单元：含卡口抓拍单元和补光单元；卡口抓拍单元内设置全画面检测算法，完成机动车、非机动车、行人检测功能；补光单元中完成环境和抓拍补光；</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（1）前端控制主机：</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网络传输单元：含光纤收发器。</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目标检测、图像采集识别单元</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车辆检测、图像采集识别单元由卡口抓拍单元加补光单元组成。</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卡口抓拍单元集高清视频采集、高清视频处理等核心功能于一体，900万像素高清抓拍相机有效像素达到4096（H） *2160（V），支持1~2车道抓拍，所拍摄的图片能清晰的分辨车牌号码、车牌颜色、车辆类型、人员脸部特征等，车牌识别率能否保证取决于车牌在照片中所占像素的多少，本系统所采用的号牌识别算法能够在车牌横向像素点不小于120时保证号牌识别的准确率95%以上。</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卡口抓拍单元集成视频检测功能，采用视频检测算法完成机动车、非机动车、行人的目标检测及抓拍，同时输出高清照片和车牌识别数据，具备强光（逆、顺）抑制功能，减弱白天日光对卡口抓拍单元和夜间机动车大灯对卡口抓拍单元拍照的影响，从所拍照片上能清晰呈现机动车正面全貌和车牌特征，并完成前端数据处理及上传。</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卡口抓拍单元与补光单元安装在同一根立杆挑臂上，减少立杆数量和投资费用，减少后期设备污物清理难度。</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卡口系统前端数据（图片和过车信息）可以在抓拍单元内部就地备份存储，并上传到中心管理平台。当网络传输通道故障情况下，前端控制主机控制抓拍单元可以暂存车辆通行数据，当通信恢复以后，临时存储的数据能自动续传，补录到中心管理平台集中存储。续传策略有两种可选：历史数据优先上传、最新数据优先上传。</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（2）网络传输单元：</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网络传输单元主要由路口光纤收发器以及光纤等资源组成，实现卡口前端子系统与中心平台之间的互联互通。</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 xml:space="preserve"> （3）中心平台：</w:t>
      </w:r>
    </w:p>
    <w:p>
      <w:pPr>
        <w:pStyle w:val="32"/>
        <w:widowControl w:val="0"/>
        <w:spacing w:before="120" w:beforeAutospacing="0" w:after="120" w:afterAutospacing="0" w:line="360" w:lineRule="auto"/>
        <w:ind w:left="720"/>
        <w:jc w:val="both"/>
        <w:rPr>
          <w:rFonts w:hint="eastAsia" w:cs="宋体"/>
          <w:color w:val="auto"/>
          <w:kern w:val="2"/>
        </w:rPr>
      </w:pPr>
      <w:r>
        <w:rPr>
          <w:rFonts w:hint="eastAsia" w:cs="宋体"/>
          <w:color w:val="auto"/>
          <w:kern w:val="2"/>
          <w:lang w:bidi="ar"/>
        </w:rPr>
        <w:t>本项目新建的前端设备要求能无缝接入集聚区分局指定平台。</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（3）系统技术要求：</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系统前端采用900万像素高清CCD或CMOS网络摄像机，采用集图像采集、图像处理和车牌识别于一体，在图片抓拍后可直接进行车牌识别，并实现全景录像；</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系统采用视频检测模式检测车辆，施工安装、调试维护方便，不会破坏路面，不会影响交通；</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系统采用全画面视频分析技术，提升对混合车道机动车、非机动车、行人目标的捕获率，同时实现对目标分类管理（行人、二轮车、小型车、大型车）；</w:t>
      </w:r>
    </w:p>
    <w:p>
      <w:pPr>
        <w:pStyle w:val="5"/>
        <w:numPr>
          <w:ilvl w:val="2"/>
          <w:numId w:val="3"/>
        </w:numPr>
        <w:spacing w:before="163" w:after="163"/>
        <w:ind w:left="0" w:firstLine="0"/>
        <w:jc w:val="left"/>
        <w:rPr>
          <w:rFonts w:hint="eastAsia" w:ascii="宋体" w:hAnsi="宋体" w:cs="宋体"/>
          <w:szCs w:val="24"/>
        </w:rPr>
      </w:pPr>
      <w:bookmarkStart w:id="76" w:name="_Toc47900863"/>
      <w:bookmarkEnd w:id="76"/>
      <w:r>
        <w:rPr>
          <w:rFonts w:hint="eastAsia" w:ascii="宋体" w:hAnsi="宋体" w:cs="宋体"/>
          <w:szCs w:val="24"/>
        </w:rPr>
        <w:t>系统功能要求</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系统功能及性能规划严格按照公安部颁标准《公路车辆智能监测记录系统通用技术条件》（GA/T 497-2009）中的有关规定执行，并合理应用科技进步成果提升整体系统性能，同时根据公安交警部门的具体业务应用需求，对数据进行深度挖掘，实现具有行业针对性的业务功能扩展。系统具有公安部检测中心出具的《公路车辆智能检测记录系统》检测报告。具体功能设计如下：</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（1）车辆捕获功能</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能够对经过的所有车辆和车内人像进行捕获，除了正常行驶的车辆外，系统还可以捕获逆行、超速等违章车辆和人员人像，以及压、骑线车辆。</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（2）非机动车、行人捕获功能</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系统要实现对非机动车、行人较高的捕获，通过学习建立道路背景模型，将当前帧图像与背景模型进行背景差分得到运动前景像素点，然后对这些运动目标的纹理和边缘信息进行分析，以实现对目标的抓拍及识别。</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（3）</w:t>
      </w:r>
      <w:bookmarkStart w:id="77" w:name="_Toc306642171"/>
      <w:bookmarkEnd w:id="77"/>
      <w:bookmarkStart w:id="78" w:name="_Toc401326300"/>
      <w:bookmarkEnd w:id="78"/>
      <w:bookmarkStart w:id="79" w:name="_Toc306797937"/>
      <w:bookmarkEnd w:id="79"/>
      <w:bookmarkStart w:id="80" w:name="_Toc399396642"/>
      <w:r>
        <w:rPr>
          <w:rFonts w:hint="eastAsia" w:cs="宋体"/>
          <w:b/>
          <w:color w:val="auto"/>
          <w:kern w:val="2"/>
          <w:lang w:bidi="ar"/>
        </w:rPr>
        <w:t>高清图像记录功能</w:t>
      </w:r>
      <w:bookmarkEnd w:id="80"/>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系统对通过检测区域的车辆记录一张高清图片，对黑名单车辆和人员等违法记录两个不同时刻的两张高清全图片。所记录的图像能清晰地反映车辆的特征、车内前排驾乘人员的脸部特征及衣着面貌、行驶车道、周围环境等。</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图片编码符合ISO/IEC 15444:2000的要求，以JPEG格式存储于前端终端设备或SD卡内，并同时上传至中心进行存储。</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系统记录的车辆信息除车辆图像信息外，还包括车辆的通行信息，如时间（精确到0.1秒）、地点、车速、限速、方向、号牌号码、号牌颜色、车身颜色等。</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（4）全天候高清成像</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图像抓拍时能不受雨、雪、雾等天气、环境光和相临车道通行车辆的影响。在环境无雾包括雨雪天气下，监控区域内规范行驶的车辆被记录的图片能清晰看清车辆前部所有特征、车内驾驶员、副驾驶位置情况，还能看清车辆类型、颜色和所载货物等。</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（5）号牌自动识别功能</w:t>
      </w:r>
    </w:p>
    <w:p>
      <w:pPr>
        <w:pStyle w:val="32"/>
        <w:widowControl w:val="0"/>
        <w:spacing w:before="163" w:beforeLines="50" w:beforeAutospacing="0" w:line="360" w:lineRule="auto"/>
        <w:ind w:firstLine="480" w:firstLineChars="200"/>
        <w:jc w:val="both"/>
        <w:rPr>
          <w:rFonts w:hint="eastAsia" w:cs="宋体"/>
          <w:color w:val="auto"/>
        </w:rPr>
      </w:pPr>
      <w:r>
        <w:rPr>
          <w:rFonts w:hint="eastAsia" w:cs="宋体"/>
          <w:color w:val="auto"/>
          <w:lang w:bidi="ar"/>
        </w:rPr>
        <w:t>对通过的所有车辆进行车辆号码识别、号牌颜色识别、车身颜色及车型等自动识别。</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1）号牌结构识别</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系统能识别的号牌结构包括：</w:t>
      </w:r>
    </w:p>
    <w:p>
      <w:pPr>
        <w:pStyle w:val="32"/>
        <w:widowControl w:val="0"/>
        <w:spacing w:before="163" w:beforeLines="50" w:beforeAutospacing="0" w:line="360" w:lineRule="auto"/>
        <w:ind w:firstLine="480"/>
        <w:jc w:val="both"/>
        <w:rPr>
          <w:rFonts w:hint="eastAsia" w:cs="宋体"/>
          <w:color w:val="auto"/>
        </w:rPr>
      </w:pPr>
      <w:r>
        <w:rPr>
          <w:rFonts w:hint="eastAsia" w:cs="宋体"/>
          <w:color w:val="auto"/>
          <w:lang w:bidi="ar"/>
        </w:rPr>
        <w:t>单排字符结构的号牌，如军队用小型汽车号牌、GA36-2007中的小型汽车号牌、港澳入出境车号牌、教练汽车号牌等；</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武警用小型汽车号牌；</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警用汽车号牌；</w:t>
      </w:r>
    </w:p>
    <w:p>
      <w:pPr>
        <w:pStyle w:val="32"/>
        <w:widowControl w:val="0"/>
        <w:spacing w:before="163" w:beforeLines="50" w:beforeAutospacing="0" w:line="360" w:lineRule="auto"/>
        <w:ind w:firstLine="480"/>
        <w:jc w:val="both"/>
        <w:rPr>
          <w:rFonts w:hint="eastAsia" w:cs="宋体"/>
          <w:color w:val="auto"/>
        </w:rPr>
      </w:pPr>
      <w:r>
        <w:rPr>
          <w:rFonts w:hint="eastAsia" w:cs="宋体"/>
          <w:color w:val="auto"/>
          <w:lang w:bidi="ar"/>
        </w:rPr>
        <w:t>双排字符结构的号牌，如军用大型汽车号牌、军用摩托车号牌、武警用大型汽车号牌、GA36-2007中的大型汽车号牌、挂车号牌、低速汽车号牌、摩托车号牌等。</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2）号牌字符识别</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识别的字符包括:</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①数字：0~9；</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②字母：A~Z；</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③省、自治区、直辖市简称：京、津、晋、冀、蒙、辽、吉、黑、沪、苏、浙、皖、闽、赣、鲁、豫、鄂、湘、粤、桂、琼、川、贵、云、藏、陕、甘、青、宁、新、渝；</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④2012式军牌用字符：字头如V、H、K、B、N、G、J、S、L、C，字头号如A、B、C、D、K、P等，间隔符如“■”；</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⑤号牌分类用汉字：警、学、领、试、挂、港、澳、超、使；</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⑥武警号牌特殊字符：WJ、00~34、练。</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3）号牌颜色识别</w:t>
      </w:r>
    </w:p>
    <w:p>
      <w:pPr>
        <w:pStyle w:val="32"/>
        <w:widowControl w:val="0"/>
        <w:spacing w:before="163" w:beforeLines="50" w:beforeAutospacing="0" w:line="360" w:lineRule="auto"/>
        <w:ind w:firstLine="480"/>
        <w:jc w:val="both"/>
        <w:rPr>
          <w:rFonts w:hint="eastAsia" w:cs="宋体"/>
          <w:color w:val="auto"/>
        </w:rPr>
      </w:pPr>
      <w:r>
        <w:rPr>
          <w:rFonts w:hint="eastAsia" w:cs="宋体"/>
          <w:color w:val="auto"/>
          <w:lang w:bidi="ar"/>
        </w:rPr>
        <w:t>系统能识别蓝、黄、白、黑、绿五种底色的机动车号牌。系统采用车牌颜色和视频检测技术结合的方法对车辆进行分型。对于民用车来说，蓝颜色车牌表示的是小型车辆，而黄颜色车牌表示的是大型车辆。因此，我们首先利用车牌颜色判断车辆类型，对于无法根据车牌颜色判别车型或者无法判断车牌颜色的情况，利用图像分析技术来辅助区分车辆的类型。</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4）车辆号牌识别</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号牌识别信息包含号牌结构、号牌字符、号牌颜色等信息。</w:t>
      </w:r>
    </w:p>
    <w:p>
      <w:pPr>
        <w:pStyle w:val="32"/>
        <w:widowControl w:val="0"/>
        <w:spacing w:before="163" w:beforeLines="50" w:beforeAutospacing="0" w:line="360" w:lineRule="auto"/>
        <w:ind w:left="425"/>
        <w:jc w:val="both"/>
        <w:rPr>
          <w:rFonts w:hint="eastAsia" w:cs="宋体"/>
          <w:color w:val="auto"/>
        </w:rPr>
      </w:pPr>
      <w:r>
        <w:rPr>
          <w:rFonts w:hint="eastAsia" w:cs="宋体"/>
          <w:color w:val="auto"/>
          <w:lang w:bidi="ar"/>
        </w:rPr>
        <w:t>系统识别的车牌类型部分示例：</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ascii="Times New Roman" w:hAnsi="Times New Roman"/>
          <w:color w:val="auto"/>
          <w:kern w:val="2"/>
          <w:lang w:bidi="ar"/>
        </w:rPr>
        <w:drawing>
          <wp:inline distT="0" distB="0" distL="114300" distR="114300">
            <wp:extent cx="5581650" cy="2990850"/>
            <wp:effectExtent l="0" t="0" r="0" b="0"/>
            <wp:docPr id="10" name="图片 8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1" descr="IMG_264"/>
                    <pic:cNvPicPr>
                      <a:picLocks noChangeAspect="1"/>
                    </pic:cNvPicPr>
                  </pic:nvPicPr>
                  <pic:blipFill>
                    <a:blip r:embed="rId18"/>
                    <a:stretch>
                      <a:fillRect/>
                    </a:stretch>
                  </pic:blipFill>
                  <pic:spPr>
                    <a:xfrm>
                      <a:off x="0" y="0"/>
                      <a:ext cx="5581650" cy="2990850"/>
                    </a:xfrm>
                    <a:prstGeom prst="rect">
                      <a:avLst/>
                    </a:prstGeom>
                    <a:noFill/>
                    <a:ln>
                      <a:noFill/>
                    </a:ln>
                  </pic:spPr>
                </pic:pic>
              </a:graphicData>
            </a:graphic>
          </wp:inline>
        </w:drawing>
      </w:r>
      <w:r>
        <w:rPr>
          <w:rFonts w:hint="eastAsia" w:cs="宋体"/>
          <w:color w:val="auto"/>
          <w:kern w:val="2"/>
          <w:lang w:bidi="ar"/>
        </w:rPr>
        <w:t xml:space="preserve"> </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（6）车身颜色识别功能</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lang w:bidi="ar"/>
        </w:rPr>
        <w:t>系统可自动对车身深浅和颜色进行识别，可供用户根据车身颜色来查询通行车辆，为公安稽查和刑侦案件侦破提供了科技新手段。系统可自动区分出车辆为深色车辆还是浅色车辆；并识别出10种常见车身颜色，10种颜色包括：白、黑、红、黄、灰、蓝、绿、粉、紫、棕。</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（7）</w:t>
      </w:r>
      <w:r>
        <w:rPr>
          <w:rFonts w:hint="eastAsia" w:cs="宋体"/>
          <w:color w:val="auto"/>
          <w:lang w:bidi="ar"/>
        </w:rPr>
        <w:t>车型识别</w:t>
      </w:r>
      <w:r>
        <w:rPr>
          <w:rFonts w:hint="eastAsia" w:cs="宋体"/>
          <w:b/>
          <w:color w:val="auto"/>
          <w:kern w:val="2"/>
          <w:lang w:bidi="ar"/>
        </w:rPr>
        <w:t>功能</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lang w:bidi="ar"/>
        </w:rPr>
        <w:t>系统在实时记录通行车辆图像的同时，具备车型识别功能</w:t>
      </w:r>
      <w:r>
        <w:rPr>
          <w:rFonts w:hint="eastAsia" w:cs="宋体"/>
          <w:color w:val="auto"/>
          <w:kern w:val="2"/>
          <w:lang w:bidi="ar"/>
        </w:rPr>
        <w:t>。</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（8）安全带、打电话识别功能</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系统要求能实现对机动车驾驶人员是否系安全带、开车打电话识别功能。</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（9）人脸检测抓拍功能</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系统要自动检测抓拍的高清图像，使用高效的人脸检测算法，配合先进的决策策略，实时定位出其中含人脸信息的区域，实现智能化的人脸检测、抓拍和人脸抠图。</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（10）图像防篡改功能</w:t>
      </w:r>
    </w:p>
    <w:p>
      <w:pPr>
        <w:pStyle w:val="32"/>
        <w:widowControl w:val="0"/>
        <w:spacing w:before="120" w:beforeAutospacing="0" w:after="120" w:afterAutospacing="0" w:line="360" w:lineRule="auto"/>
        <w:ind w:firstLine="480" w:firstLineChars="200"/>
        <w:jc w:val="both"/>
        <w:rPr>
          <w:rFonts w:hint="eastAsia" w:cs="宋体"/>
          <w:color w:val="auto"/>
          <w:kern w:val="2"/>
        </w:rPr>
      </w:pPr>
      <w:r>
        <w:rPr>
          <w:rFonts w:hint="eastAsia" w:cs="宋体"/>
          <w:color w:val="auto"/>
          <w:kern w:val="2"/>
          <w:lang w:bidi="ar"/>
        </w:rPr>
        <w:t>系统记录的原始图像信息具备防篡改功能，避免在传输、存储、处理等过程中被人为篡改。</w:t>
      </w:r>
    </w:p>
    <w:p>
      <w:pPr>
        <w:pStyle w:val="32"/>
        <w:widowControl w:val="0"/>
        <w:spacing w:before="120" w:beforeAutospacing="0" w:after="120" w:afterAutospacing="0" w:line="360" w:lineRule="auto"/>
        <w:ind w:firstLine="482" w:firstLineChars="200"/>
        <w:jc w:val="both"/>
        <w:rPr>
          <w:rFonts w:hint="eastAsia" w:cs="宋体"/>
          <w:b/>
          <w:color w:val="auto"/>
          <w:kern w:val="2"/>
        </w:rPr>
      </w:pPr>
      <w:r>
        <w:rPr>
          <w:rFonts w:hint="eastAsia" w:cs="宋体"/>
          <w:b/>
          <w:color w:val="auto"/>
          <w:kern w:val="2"/>
          <w:lang w:bidi="ar"/>
        </w:rPr>
        <w:t>（11）网络远程维护功能</w:t>
      </w:r>
    </w:p>
    <w:p>
      <w:pPr>
        <w:adjustRightInd w:val="0"/>
        <w:spacing w:line="360" w:lineRule="auto"/>
        <w:ind w:left="1" w:firstLine="480" w:firstLineChars="200"/>
        <w:textAlignment w:val="baseline"/>
        <w:rPr>
          <w:rFonts w:hint="eastAsia" w:ascii="宋体" w:hAnsi="宋体" w:cs="宋体"/>
          <w:sz w:val="24"/>
        </w:rPr>
      </w:pPr>
      <w:r>
        <w:rPr>
          <w:rFonts w:hint="eastAsia" w:ascii="宋体" w:hAnsi="宋体" w:cs="宋体"/>
          <w:kern w:val="0"/>
          <w:sz w:val="24"/>
          <w:lang w:bidi="ar"/>
        </w:rPr>
        <w:t>系统预留了时间校正接口、参数设置接口、运行情况的诊断接口和恢复接口，可对前端设备进行设置、调试及维护。管理员可以实时查看前端设备的运行状态。可通过网络实现远程维护、远程设置和远程升级等功能。</w:t>
      </w:r>
    </w:p>
    <w:p>
      <w:pPr>
        <w:adjustRightInd w:val="0"/>
        <w:spacing w:line="360" w:lineRule="auto"/>
        <w:ind w:firstLine="482" w:firstLineChars="200"/>
        <w:textAlignment w:val="baseline"/>
        <w:rPr>
          <w:rFonts w:hint="eastAsia" w:ascii="宋体" w:hAnsi="宋体" w:cs="宋体"/>
          <w:b/>
          <w:sz w:val="24"/>
        </w:rPr>
      </w:pPr>
      <w:bookmarkStart w:id="81" w:name="_Toc399396659"/>
      <w:bookmarkEnd w:id="81"/>
      <w:bookmarkStart w:id="82" w:name="_Toc306642182"/>
      <w:bookmarkEnd w:id="82"/>
      <w:bookmarkStart w:id="83" w:name="_Toc306797948"/>
      <w:r>
        <w:rPr>
          <w:rFonts w:hint="eastAsia" w:ascii="宋体" w:hAnsi="宋体" w:cs="宋体"/>
          <w:b/>
          <w:sz w:val="24"/>
          <w:lang w:bidi="ar"/>
        </w:rPr>
        <w:t>（12）数据传输与断点续传功能</w:t>
      </w:r>
      <w:bookmarkEnd w:id="83"/>
    </w:p>
    <w:p>
      <w:pPr>
        <w:adjustRightInd w:val="0"/>
        <w:spacing w:before="120"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系统支持多种方式的数据传输：可通过FTP或TCP/IP协议将车辆图片、违法图片、车辆通过信息（时间、地点、车牌号码、车身颜色等）、设备监测数据等上传到中心管理系统；也可在中心通过网络调用或下载操控前端设备存储的数据。</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系统支持数据的断点续传：如因网络中断或其它故障，数据无法上传至管理中心时，可暂时将数据存储在前端，待网络恢复后前端存储设备自动上传网络中断期间的数据至管理中心。</w:t>
      </w:r>
    </w:p>
    <w:p>
      <w:pPr>
        <w:pStyle w:val="4"/>
        <w:keepNext w:val="0"/>
        <w:keepLines w:val="0"/>
        <w:numPr>
          <w:ilvl w:val="1"/>
          <w:numId w:val="3"/>
        </w:numPr>
        <w:spacing w:line="360" w:lineRule="auto"/>
        <w:ind w:left="1134" w:hanging="1134"/>
        <w:rPr>
          <w:rFonts w:hint="eastAsia" w:ascii="宋体" w:hAnsi="宋体" w:eastAsia="宋体" w:cs="宋体"/>
          <w:sz w:val="24"/>
          <w:szCs w:val="24"/>
        </w:rPr>
      </w:pPr>
      <w:bookmarkStart w:id="84" w:name="_Toc499102832"/>
      <w:bookmarkEnd w:id="84"/>
      <w:bookmarkStart w:id="85" w:name="_Toc47900864"/>
      <w:bookmarkEnd w:id="85"/>
      <w:bookmarkStart w:id="86" w:name="_Toc318823785"/>
      <w:bookmarkEnd w:id="86"/>
      <w:bookmarkStart w:id="87" w:name="_Toc342209359"/>
      <w:bookmarkEnd w:id="87"/>
      <w:bookmarkStart w:id="88" w:name="_Toc355772603"/>
      <w:bookmarkEnd w:id="88"/>
      <w:bookmarkStart w:id="89" w:name="_Toc318824028"/>
      <w:bookmarkEnd w:id="89"/>
      <w:bookmarkStart w:id="90" w:name="_Toc355771173"/>
      <w:bookmarkEnd w:id="90"/>
      <w:bookmarkStart w:id="91" w:name="_Toc355772904"/>
      <w:r>
        <w:rPr>
          <w:rFonts w:hint="eastAsia" w:ascii="宋体" w:hAnsi="宋体" w:eastAsia="宋体" w:cs="宋体"/>
          <w:sz w:val="24"/>
          <w:szCs w:val="24"/>
        </w:rPr>
        <w:t>前端产品选型要求</w:t>
      </w:r>
      <w:bookmarkEnd w:id="91"/>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shd w:val="clear" w:color="auto" w:fill="FFFFFF"/>
          <w:lang w:bidi="ar"/>
        </w:rPr>
        <w:t>随着科技的发展，核心算法的突破，在</w:t>
      </w:r>
      <w:r>
        <w:rPr>
          <w:rStyle w:val="66"/>
          <w:rFonts w:hint="eastAsia" w:ascii="宋体" w:hAnsi="宋体" w:cs="宋体"/>
          <w:sz w:val="24"/>
          <w:shd w:val="clear" w:color="auto" w:fill="FFFFFF"/>
          <w:lang w:bidi="ar"/>
        </w:rPr>
        <w:t>公安实战应用</w:t>
      </w:r>
      <w:r>
        <w:rPr>
          <w:rFonts w:hint="eastAsia" w:ascii="宋体" w:hAnsi="宋体" w:cs="宋体"/>
          <w:kern w:val="0"/>
          <w:sz w:val="24"/>
          <w:shd w:val="clear" w:color="auto" w:fill="FFFFFF"/>
          <w:lang w:bidi="ar"/>
        </w:rPr>
        <w:t>中，视频大数据就需要</w:t>
      </w:r>
      <w:r>
        <w:rPr>
          <w:rStyle w:val="66"/>
          <w:rFonts w:hint="eastAsia" w:ascii="宋体" w:hAnsi="宋体" w:cs="宋体"/>
          <w:sz w:val="24"/>
          <w:shd w:val="clear" w:color="auto" w:fill="FFFFFF"/>
          <w:lang w:bidi="ar"/>
        </w:rPr>
        <w:t>视频结构化技术</w:t>
      </w:r>
      <w:r>
        <w:rPr>
          <w:rFonts w:hint="eastAsia" w:ascii="宋体" w:hAnsi="宋体" w:cs="宋体"/>
          <w:kern w:val="0"/>
          <w:sz w:val="24"/>
          <w:shd w:val="clear" w:color="auto" w:fill="FFFFFF"/>
          <w:lang w:bidi="ar"/>
        </w:rPr>
        <w:t>将视频内容中的重要信息进行结构化提取，利用它对视频内容按照语义关系，采用时空分割、特征提取、对象识别、深度学习等处理手段，组织成可供计算机和人理解的文本信息或可视化图形信息，从而实现视频数据向有效情报的一次转化，为此，</w:t>
      </w:r>
      <w:r>
        <w:rPr>
          <w:rFonts w:hint="eastAsia" w:ascii="宋体" w:hAnsi="宋体" w:cs="宋体"/>
          <w:b/>
          <w:kern w:val="0"/>
          <w:sz w:val="24"/>
          <w:shd w:val="clear" w:color="auto" w:fill="FFFFFF"/>
          <w:lang w:bidi="ar"/>
        </w:rPr>
        <w:t>本期雪亮工程前端部分采用结构化摄像机，人脸枪机部分摄像机镜头全部采用自动聚焦、变倍镜头。</w:t>
      </w:r>
    </w:p>
    <w:p>
      <w:pPr>
        <w:pStyle w:val="5"/>
        <w:numPr>
          <w:ilvl w:val="2"/>
          <w:numId w:val="3"/>
        </w:numPr>
        <w:spacing w:before="163" w:after="163"/>
        <w:ind w:left="0" w:firstLine="0"/>
        <w:jc w:val="left"/>
        <w:rPr>
          <w:rFonts w:hint="eastAsia" w:ascii="宋体" w:hAnsi="宋体" w:cs="宋体"/>
          <w:szCs w:val="24"/>
        </w:rPr>
      </w:pPr>
      <w:bookmarkStart w:id="92" w:name="_Toc47900865"/>
      <w:bookmarkEnd w:id="92"/>
      <w:r>
        <w:rPr>
          <w:rFonts w:hint="eastAsia" w:ascii="宋体" w:hAnsi="宋体" w:cs="宋体"/>
          <w:szCs w:val="24"/>
        </w:rPr>
        <w:t>普通点位监控摄像机的选择</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视频监控网设计均采用结构化的高清网络摄像机，都必须具备云卡口功能，支持人脸、人体、车辆识别功能，支持H.264和H.265格式编码，帧率不小于25帧/秒。本项目视频监控网前端类型分为400万枪机，本项目的高清球机可根据需要在夜间光条件较差的环境下可以考虑预置位补光。</w:t>
      </w:r>
    </w:p>
    <w:p>
      <w:pPr>
        <w:pStyle w:val="32"/>
        <w:widowControl w:val="0"/>
        <w:spacing w:before="120" w:beforeAutospacing="0" w:after="120" w:afterAutospacing="0" w:line="360" w:lineRule="auto"/>
        <w:ind w:firstLine="482" w:firstLineChars="200"/>
        <w:jc w:val="both"/>
        <w:rPr>
          <w:rFonts w:hint="eastAsia" w:cs="宋体"/>
          <w:color w:val="auto"/>
          <w:kern w:val="2"/>
        </w:rPr>
      </w:pPr>
      <w:r>
        <w:rPr>
          <w:rFonts w:hint="eastAsia" w:cs="宋体"/>
          <w:b/>
          <w:color w:val="auto"/>
          <w:kern w:val="2"/>
          <w:lang w:bidi="ar"/>
        </w:rPr>
        <w:t>应用范围：</w:t>
      </w:r>
      <w:r>
        <w:rPr>
          <w:rFonts w:hint="eastAsia" w:cs="宋体"/>
          <w:color w:val="auto"/>
          <w:kern w:val="2"/>
          <w:lang w:bidi="ar"/>
        </w:rPr>
        <w:t>主要应用于监控案件高发地段机动车道、非机动车道、人行道，城市次干道、人员复杂场所、大型党政机关、企事业单位、大型商场、学校、社区等主要道路、场所上通行的机动车辆、非机动车辆、行人；对机动车、自行车、摩托车、电动车驾驶人及行人进行固定范围监控和图片抓拍，要求能辨识体貌特征和所持（载）物品。可根据现场实际场景，特殊安装要求的地方选择高清球机灵活安装。</w:t>
      </w:r>
    </w:p>
    <w:p>
      <w:pPr>
        <w:pStyle w:val="6"/>
        <w:widowControl/>
        <w:numPr>
          <w:ilvl w:val="3"/>
          <w:numId w:val="3"/>
        </w:numPr>
        <w:ind w:left="0" w:firstLine="562"/>
        <w:rPr>
          <w:rFonts w:hint="eastAsia" w:ascii="宋体" w:hAnsi="宋体" w:cs="宋体"/>
          <w:sz w:val="24"/>
        </w:rPr>
      </w:pPr>
      <w:bookmarkStart w:id="93" w:name="_Toc47900866"/>
      <w:bookmarkEnd w:id="93"/>
      <w:r>
        <w:rPr>
          <w:rFonts w:hint="eastAsia" w:ascii="宋体" w:hAnsi="宋体" w:cs="宋体"/>
          <w:sz w:val="24"/>
        </w:rPr>
        <w:t>高清枪机选点要求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前端摄像机对监控目标的图像信息采集，是监控系统的原始信号源，其定位设置、设备质量及图像可辨识度决定着整个系统的功能与性能水平。具体选点要求如下：</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1、枪机的位置、区域及数量，应根据辖区社会治安实际情况和业务需求，经认真勘察、分析、论证后，避免出现安装位置上有</w:t>
      </w:r>
      <w:r>
        <w:rPr>
          <w:rFonts w:hint="eastAsia" w:ascii="宋体" w:hAnsi="宋体" w:cs="宋体"/>
          <w:spacing w:val="-5"/>
          <w:kern w:val="0"/>
          <w:sz w:val="24"/>
          <w:lang w:bidi="ar"/>
        </w:rPr>
        <w:t>“灯下黑”情况出现，</w:t>
      </w:r>
      <w:r>
        <w:rPr>
          <w:rFonts w:hint="eastAsia" w:ascii="宋体" w:hAnsi="宋体" w:cs="宋体"/>
          <w:kern w:val="0"/>
          <w:sz w:val="24"/>
          <w:lang w:bidi="ar"/>
        </w:rPr>
        <w:t>按照“先重点，后一般”的原则确定。</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2、应根据被监视对象和治安特点分别采取全天候、多方位、固定方式对目标进行实时、有效、清晰的监视。</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3、应根据监控现场环境和监控范围合理地选择枪机，并配置合适的镜头等，保证对监控区域的有效覆盖。</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4、应坚持实用、可靠，结合治安监控的需求，研究枪机的点位设置、功能状况、环境适应性要求、技术要求，保证视频图像采集的质量，采集清晰、实时、实用的图像，为实战提供可靠线索和证据。</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5、每个枪机都必须配置一台全景LED补光灯，补光灯安装时应侧打光。补光后的图像色彩还原性应保持原始场景特征,符合DB33/T 334标准6.2.2.3条款对显示或回放图像的要求。补光目标区域的平均最低照度宜应高于5Lux；满足当监控目标距离摄像机22米距离时，图像画面一般显色性Ra&gt;90，能识别目标特征及真实颜色。同时枪机内部自带补光灯，在特殊情况下可以选择开启。</w:t>
      </w:r>
    </w:p>
    <w:p>
      <w:pPr>
        <w:pStyle w:val="6"/>
        <w:widowControl/>
        <w:numPr>
          <w:ilvl w:val="0"/>
          <w:numId w:val="10"/>
        </w:numPr>
        <w:rPr>
          <w:rFonts w:hint="eastAsia" w:ascii="宋体" w:hAnsi="宋体" w:cs="宋体"/>
          <w:b/>
          <w:sz w:val="24"/>
        </w:rPr>
      </w:pPr>
      <w:bookmarkStart w:id="94" w:name="_Toc47900867"/>
      <w:bookmarkEnd w:id="94"/>
      <w:r>
        <w:rPr>
          <w:rFonts w:hint="eastAsia" w:ascii="宋体" w:hAnsi="宋体" w:cs="宋体"/>
          <w:b/>
          <w:sz w:val="24"/>
        </w:rPr>
        <w:t>400万超星光高清网络摄像机（详细参数见附件）</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400万超星光高清网络枪机(含400万以上高清镜头在护罩内含网络防雷保护器、电源、护罩及杆装支架，含64G高速SD卡或TF卡)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传感器类型：1/1.8"ProgressiveScanCMOS；</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分辨率：不低于2560×1440@30fps；靶面尺寸不小于1/1.8英寸；</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设备采用深度学习智能芯片；</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镜头：11～40mm/16mm</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视频压缩标准：H.265/H.264/MPEG4/MJPEG</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支持车辆抓拍并自动识别车牌号码，机非人检测，车型，车身颜色，安全带，人脸抠图，遮阳板等车辆特征识别；</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支持新能源车牌识别功能、支持子品牌识别功能；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支持逆行抓拍功能，全天的捕获率和识别准确率均不小于99%；</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空拍和重拍的图像≤1%；</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通讯接口：1个RJ45 10M/100M/1000M 自适应网口，1个RS485接口，1个RS232接口</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外部接口：1对音频输入，2路IO输入接口，1路IO输出接口(可以作为报警输入、输出，补光灯控制接口)；</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含网络防雷（或者摄像机内置）、32G CLASS 10 高速SD卡、室外双层防护罩、高清镜头、电源适配器、安装万向节、防水软管；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☆支持车辆抓拍，支持人脸抓拍；</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☆提供不小于投标最高像素的抓拍图片；</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☆根据业务需求进行200万至投标最高像素视频流输出自行配置（码流：2-8M）</w:t>
      </w:r>
    </w:p>
    <w:p>
      <w:pPr>
        <w:pStyle w:val="6"/>
        <w:widowControl/>
        <w:numPr>
          <w:ilvl w:val="0"/>
          <w:numId w:val="10"/>
        </w:numPr>
        <w:rPr>
          <w:rFonts w:hint="eastAsia" w:ascii="宋体" w:hAnsi="宋体" w:cs="宋体"/>
          <w:b/>
          <w:sz w:val="24"/>
        </w:rPr>
      </w:pPr>
      <w:bookmarkStart w:id="95" w:name="_Toc47900868"/>
      <w:bookmarkEnd w:id="95"/>
      <w:r>
        <w:rPr>
          <w:rFonts w:hint="eastAsia" w:ascii="宋体" w:hAnsi="宋体" w:cs="宋体"/>
          <w:b/>
          <w:sz w:val="24"/>
        </w:rPr>
        <w:t>400万网络高速智能球机（详细参数见附件）</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像素：不低于400万像素，网络高速智能球机；</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分辨率：不低于2560×1440@30fps；靶面尺寸不小于1/1.8英寸；</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至少支持三码流技术；</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防护等级：不低于IP66</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低照度：支持最低照度不高于彩色0.0005 lx，黑白0.0001 lx。</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焦距：至少满足6-208mm，不低于30倍光学变倍，不低于16倍数字变倍；支持音频、报警；</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支持3D数字降噪、不低于106dB超宽动态、光学透雾、强光抑制、电子防抖；水平键控速度最大300°/s，垂直键控速度最大不低于180°/s，垂直范围-20°~90°；</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视频压缩至少支持H.265/H.264/MJPEG；最大支持256GB Micro SD（即为TF卡）卡；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电源：AC24V，60W max；</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区域入侵侦测、越界侦测、进入区域侦测、离开区域侦测、徘徊侦测、人员聚集侦测、快速移动侦测、物品遗留侦测、物品拿取侦测、音频异常侦测、视频遮挡侦测；支持车牌捕获及检索、多场景巡航检测；支持人脸检测、车牌识别、机非人识别：机动车、非机动车、行人，行为检测；</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支持新能源车牌识别功能、支持子品牌识别功能；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☆采用深度学习算法，内置智能芯片，提供公安部检测报告或承诺书；</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☆提供不低于投标最高像素的抓拍图片；</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☆根据业务需求可配置200万至投标最高像素视频流输出（码流：2-8M）</w:t>
      </w:r>
    </w:p>
    <w:p>
      <w:pPr>
        <w:pStyle w:val="6"/>
        <w:widowControl/>
        <w:numPr>
          <w:ilvl w:val="3"/>
          <w:numId w:val="3"/>
        </w:numPr>
        <w:rPr>
          <w:rFonts w:hint="eastAsia" w:ascii="宋体" w:hAnsi="宋体" w:cs="宋体"/>
          <w:sz w:val="24"/>
        </w:rPr>
      </w:pPr>
      <w:bookmarkStart w:id="96" w:name="_Toc47900869"/>
      <w:bookmarkEnd w:id="96"/>
      <w:r>
        <w:rPr>
          <w:rFonts w:hint="eastAsia" w:ascii="宋体" w:hAnsi="宋体" w:cs="宋体"/>
          <w:sz w:val="24"/>
        </w:rPr>
        <w:t>LED补光灯</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20颗进口晶元白光LED灯珠，金属外壳；</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光源颜色：白色；色温：正白光，6000-6700K；</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光束角度：10、15、20、30、45、90度可选；</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亮度调节：支持10-100范围内频闪亮度调节，支持10-100范围内亮度调节</w:t>
      </w:r>
      <w:bookmarkStart w:id="97" w:name="OLE_LINK5"/>
      <w:r>
        <w:rPr>
          <w:rFonts w:hint="eastAsia" w:ascii="宋体" w:hAnsi="宋体" w:cs="宋体"/>
          <w:kern w:val="0"/>
          <w:sz w:val="24"/>
          <w:lang w:bidi="ar"/>
        </w:rPr>
        <w:t>；</w:t>
      </w:r>
      <w:bookmarkEnd w:id="97"/>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电源适应性： AC80V~AC275V；</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发光方式：支持频闪自动倍频、持续发光二种发光方式；</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温度适应性：-40±3</w:t>
      </w:r>
      <w:bookmarkStart w:id="98" w:name="OLE_LINK12"/>
      <w:r>
        <w:rPr>
          <w:rFonts w:hint="eastAsia" w:ascii="宋体" w:hAnsi="宋体" w:cs="宋体"/>
          <w:kern w:val="0"/>
          <w:sz w:val="24"/>
          <w:lang w:bidi="ar"/>
        </w:rPr>
        <w:t>°C</w:t>
      </w:r>
      <w:bookmarkEnd w:id="98"/>
      <w:r>
        <w:rPr>
          <w:rFonts w:hint="eastAsia" w:ascii="宋体" w:hAnsi="宋体" w:cs="宋体"/>
          <w:kern w:val="0"/>
          <w:sz w:val="24"/>
          <w:lang w:bidi="ar"/>
        </w:rPr>
        <w:t>～+85±2°C；</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频闪功能：具有自动倍频、自闪、跟随、自动频闪（外部摄像机触发）功能，支持</w:t>
      </w:r>
      <w:bookmarkStart w:id="99" w:name="OLE_LINK7"/>
      <w:bookmarkEnd w:id="99"/>
      <w:bookmarkStart w:id="100" w:name="OLE_LINK6"/>
      <w:bookmarkEnd w:id="100"/>
      <w:bookmarkStart w:id="101" w:name="OLE_LINK8"/>
      <w:r>
        <w:rPr>
          <w:rFonts w:hint="eastAsia" w:ascii="宋体" w:hAnsi="宋体" w:cs="宋体"/>
          <w:kern w:val="0"/>
          <w:sz w:val="24"/>
          <w:lang w:bidi="ar"/>
        </w:rPr>
        <w:t>200us-4000us</w:t>
      </w:r>
      <w:bookmarkEnd w:id="101"/>
      <w:r>
        <w:rPr>
          <w:rFonts w:hint="eastAsia" w:ascii="宋体" w:hAnsi="宋体" w:cs="宋体"/>
          <w:kern w:val="0"/>
          <w:sz w:val="24"/>
          <w:lang w:bidi="ar"/>
        </w:rPr>
        <w:t>范围内频闪时长调节，支持1-20范围内倍频数调节，可关闭倍频以及50Hz锁频；</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shd w:val="clear" w:color="auto" w:fill="FFFFFF"/>
          <w:lang w:bidi="ar"/>
        </w:rPr>
        <w:t>保护功能：当补光装置功率高于60W或在常亮和爆闪模式下温度高于70</w:t>
      </w:r>
      <w:r>
        <w:rPr>
          <w:rFonts w:hint="eastAsia" w:ascii="宋体" w:hAnsi="宋体" w:cs="宋体"/>
          <w:kern w:val="0"/>
          <w:sz w:val="24"/>
          <w:lang w:bidi="ar"/>
        </w:rPr>
        <w:t>°C时进行自我保护，补光装置自动灭灯；</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级联功能：可多个补光装置级联使用；</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shd w:val="clear" w:color="auto" w:fill="FFFFFF"/>
          <w:lang w:bidi="ar"/>
        </w:rPr>
        <w:t>☆光衰减自动检测功能：系统集成智能算法，自动判断发光体光衰，通过内部功率提升自动补偿衰减亮度，保证长时间工作照度充足</w:t>
      </w:r>
      <w:r>
        <w:rPr>
          <w:rFonts w:hint="eastAsia" w:ascii="宋体" w:hAnsi="宋体" w:cs="宋体"/>
          <w:kern w:val="0"/>
          <w:sz w:val="24"/>
          <w:lang w:bidi="ar"/>
        </w:rPr>
        <w:t>。</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☆支持远程控制和远程状态显示功能，具有远程亮度可调节、开启、关闭等功能，提供承诺书；</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☆支持后台软件平台批量显示状态和远程控制功能，支持与公安现有运维平台无缝对接，提供承诺书；</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☆产品需提供公安部的检测报告。</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（包括服务期内当光衰减大于30%或造成图片、视频数据成像效果不符合招标要求及相关国家标准的应当免费更换）。</w:t>
      </w:r>
    </w:p>
    <w:p>
      <w:pPr>
        <w:pStyle w:val="5"/>
        <w:numPr>
          <w:ilvl w:val="2"/>
          <w:numId w:val="3"/>
        </w:numPr>
        <w:spacing w:before="163" w:after="163"/>
        <w:ind w:left="0" w:firstLine="0"/>
        <w:jc w:val="left"/>
        <w:rPr>
          <w:rFonts w:hint="eastAsia" w:ascii="宋体" w:hAnsi="宋体" w:cs="宋体"/>
          <w:szCs w:val="24"/>
        </w:rPr>
      </w:pPr>
      <w:bookmarkStart w:id="102" w:name="_Toc47900870"/>
      <w:bookmarkEnd w:id="102"/>
      <w:r>
        <w:rPr>
          <w:rFonts w:hint="eastAsia" w:ascii="宋体" w:hAnsi="宋体" w:cs="宋体"/>
          <w:szCs w:val="24"/>
        </w:rPr>
        <w:t>人脸抓拍点位摄像机的选择</w:t>
      </w:r>
    </w:p>
    <w:p>
      <w:pPr>
        <w:adjustRightInd w:val="0"/>
        <w:spacing w:line="360" w:lineRule="auto"/>
        <w:ind w:firstLine="482" w:firstLineChars="200"/>
        <w:textAlignment w:val="baseline"/>
        <w:rPr>
          <w:rFonts w:hint="eastAsia" w:ascii="宋体" w:hAnsi="宋体" w:cs="宋体"/>
          <w:sz w:val="24"/>
        </w:rPr>
      </w:pPr>
      <w:r>
        <w:rPr>
          <w:rFonts w:hint="eastAsia" w:ascii="宋体" w:hAnsi="宋体" w:cs="宋体"/>
          <w:b/>
          <w:kern w:val="0"/>
          <w:sz w:val="24"/>
          <w:lang w:bidi="ar"/>
        </w:rPr>
        <w:t>应用范围：</w:t>
      </w:r>
      <w:r>
        <w:rPr>
          <w:rFonts w:hint="eastAsia" w:ascii="宋体" w:hAnsi="宋体" w:cs="宋体"/>
          <w:kern w:val="0"/>
          <w:sz w:val="24"/>
          <w:lang w:bidi="ar"/>
        </w:rPr>
        <w:t>人脸识别系统又称动态人像卡口系统，主要用于重点场所、重点区域、重点单位入口或通道出入口安装人像卡口抓拍机，通过抓拍人脸，将人像图片推送到后台进行处理、分析和研判等功能。</w:t>
      </w:r>
    </w:p>
    <w:p>
      <w:pPr>
        <w:pStyle w:val="6"/>
        <w:widowControl/>
        <w:numPr>
          <w:ilvl w:val="3"/>
          <w:numId w:val="3"/>
        </w:numPr>
        <w:ind w:left="0" w:firstLine="562"/>
        <w:rPr>
          <w:rFonts w:hint="eastAsia" w:ascii="宋体" w:hAnsi="宋体" w:cs="宋体"/>
          <w:sz w:val="24"/>
        </w:rPr>
      </w:pPr>
      <w:bookmarkStart w:id="103" w:name="_Toc47900871"/>
      <w:bookmarkEnd w:id="103"/>
      <w:r>
        <w:rPr>
          <w:rFonts w:hint="eastAsia" w:ascii="宋体" w:hAnsi="宋体" w:cs="宋体"/>
          <w:sz w:val="24"/>
        </w:rPr>
        <w:t>人脸抓拍选点要求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在“食、宿、行、销、乐”等各场所部位，分期布建全市人像数据采集点，将人像数据的采集、结构化、存储、比对分析等有效的整合为一个平台，打造覆盖全市的“人像数据一张网”，实现对城市各个触角的安全管控。利用先进的图像识别技术、分布式计算架构、大数据分析方法，建成以人像大数据采集为基础、服务实战为目的的新一代人像情报研判平台，将人工智能融与安防技术相结合，应用于实战技法，从而实现真正的“科技强警”。因此点位选择上也有相应的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1、人脸摄像机主要是安装在人员复杂的出入口、重要场所的出入口、主要区域、人流复杂场所等，并且方向朝外。</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2、部分不利安装的场景、距离较远的点位可以选择人脸球机进行安装。</w:t>
      </w:r>
    </w:p>
    <w:p>
      <w:pPr>
        <w:pStyle w:val="6"/>
        <w:widowControl/>
        <w:numPr>
          <w:ilvl w:val="0"/>
          <w:numId w:val="11"/>
        </w:numPr>
        <w:rPr>
          <w:rFonts w:hint="eastAsia" w:ascii="宋体" w:hAnsi="宋体" w:cs="宋体"/>
          <w:b/>
          <w:sz w:val="24"/>
        </w:rPr>
      </w:pPr>
      <w:bookmarkStart w:id="104" w:name="_Toc47900872"/>
      <w:bookmarkEnd w:id="104"/>
      <w:r>
        <w:rPr>
          <w:rFonts w:hint="eastAsia" w:ascii="宋体" w:hAnsi="宋体" w:cs="宋体"/>
          <w:b/>
          <w:sz w:val="24"/>
        </w:rPr>
        <w:t>400万结构化高清网络人脸枪机（详细参数见附件）</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400万结构化高清网络人脸枪机(含400万以上高清镜头在护罩内含网络防雷保护器、电源、护罩及杆装支架，含64G高速SD卡或TF卡)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像素：不低于400万星光级1/2” CMOS护罩一体化网络摄像机</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最低照度:彩色:0.0005 Lux @(F1.2,AGC ON)；黑白:0.0001Lux @(F1.2,AGC ON)</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或最低照度彩色：0.12 lux,F1.5，黑/白：0.02 lux</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变焦镜头:15-40mm</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视频压缩标准:H.265/H.264 / MJPEG</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宽动态不小于106dB</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至少支持三码流技术；</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防护等级：不低于IP66</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人脸抓拍：支持对运动人脸进行检测、跟踪、抓拍、评分、筛选，输出最优的人脸抓图，最多同时检测30张人脸。</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事件检测：越界侦测,区域入侵侦测,进入/离开区域侦测,徘徊侦测,人员聚集侦测,快速运动侦测,物品遗留/拿取侦测</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感兴趣区域:ROI支持三码流分别设置4个固定区域、全画面动态人脸跟踪</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存储功能:支持Micro SD（即为TF卡）/SDHC /SDXC卡(128G)断网本地存储</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智能报警:移动侦测,遮挡报警</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接口:1对音频输入(Mic in/Line in)/输出外部接口、1个RJ45 10M / 100M /1000M自适应以太网口,1个RS-485接口，至少1路报警输入、1路报警输出；根据实际环境进行补光；</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深度学习算法，内置智能芯片;</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☆支持人脸抓拍和车辆抓拍(侧重于人脸抓拍)；</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☆提供不小于投标最高像素的抓拍图片；</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☆根据业务需求进行200万至投标最高像素视频流输出自行配置（码流：2-8M）</w:t>
      </w:r>
    </w:p>
    <w:p>
      <w:pPr>
        <w:pStyle w:val="5"/>
        <w:numPr>
          <w:ilvl w:val="2"/>
          <w:numId w:val="3"/>
        </w:numPr>
        <w:spacing w:before="163" w:after="163"/>
        <w:ind w:left="0" w:firstLine="0"/>
        <w:jc w:val="left"/>
        <w:rPr>
          <w:rFonts w:hint="eastAsia" w:ascii="宋体" w:hAnsi="宋体" w:cs="宋体"/>
          <w:szCs w:val="24"/>
        </w:rPr>
      </w:pPr>
      <w:bookmarkStart w:id="105" w:name="_Toc47900874"/>
      <w:bookmarkEnd w:id="105"/>
      <w:r>
        <w:rPr>
          <w:rFonts w:hint="eastAsia" w:ascii="宋体" w:hAnsi="宋体" w:cs="宋体"/>
          <w:szCs w:val="24"/>
        </w:rPr>
        <w:t>卡口抓拍单元选择</w:t>
      </w:r>
    </w:p>
    <w:p>
      <w:pPr>
        <w:adjustRightInd w:val="0"/>
        <w:spacing w:line="360" w:lineRule="auto"/>
        <w:ind w:firstLine="482" w:firstLineChars="200"/>
        <w:textAlignment w:val="baseline"/>
        <w:rPr>
          <w:rFonts w:hint="eastAsia" w:ascii="宋体" w:hAnsi="宋体" w:cs="宋体"/>
          <w:sz w:val="24"/>
        </w:rPr>
      </w:pPr>
      <w:r>
        <w:rPr>
          <w:rFonts w:hint="eastAsia" w:ascii="宋体" w:hAnsi="宋体" w:cs="宋体"/>
          <w:b/>
          <w:kern w:val="0"/>
          <w:sz w:val="24"/>
          <w:lang w:bidi="ar"/>
        </w:rPr>
        <w:t>应用范围：</w:t>
      </w:r>
      <w:r>
        <w:rPr>
          <w:rFonts w:hint="eastAsia" w:ascii="宋体" w:hAnsi="宋体" w:cs="宋体"/>
          <w:kern w:val="0"/>
          <w:sz w:val="24"/>
          <w:lang w:bidi="ar"/>
        </w:rPr>
        <w:t>主要应用于城区主要道路路段或路口，对机动车、自行车、摩托车、电动车驾驶人进行抓拍识别，要求能辨识车牌号码、车身颜色和驾驶员面部特征。</w:t>
      </w:r>
    </w:p>
    <w:p>
      <w:pPr>
        <w:adjustRightInd w:val="0"/>
        <w:spacing w:line="360" w:lineRule="auto"/>
        <w:ind w:firstLine="482" w:firstLineChars="200"/>
        <w:textAlignment w:val="baseline"/>
        <w:rPr>
          <w:rFonts w:hint="eastAsia" w:ascii="宋体" w:hAnsi="宋体" w:cs="宋体"/>
          <w:sz w:val="24"/>
        </w:rPr>
      </w:pPr>
      <w:r>
        <w:rPr>
          <w:rFonts w:hint="eastAsia" w:ascii="宋体" w:hAnsi="宋体" w:cs="宋体"/>
          <w:b/>
          <w:kern w:val="0"/>
          <w:sz w:val="24"/>
          <w:lang w:bidi="ar"/>
        </w:rPr>
        <w:t>技术要求：</w:t>
      </w:r>
      <w:r>
        <w:rPr>
          <w:rFonts w:hint="eastAsia" w:ascii="宋体" w:hAnsi="宋体" w:cs="宋体"/>
          <w:kern w:val="0"/>
          <w:sz w:val="24"/>
          <w:lang w:bidi="ar"/>
        </w:rPr>
        <w:t>高清卡口抓拍单元要求采用高密度集成技术，ISP成像控制、补光灯联动信号输出、车牌号码识别、车身颜色识别、视频辅助触发等关键技术均应集成在抓拍单元中，保障前端系统的稳定高效运行。高清卡口抓拍单元直接输出高清抓拍图片、车牌识别数据和全景高清录像，所拍照片能清晰呈现机动车正面全貌、车牌及司乘人员面部特征。每1-2条机动车道可采用1台900万高清卡口抓拍单元（分辨率4096 (H)×2160 (V），实现7×24小时不间断抓拍功能。</w:t>
      </w:r>
    </w:p>
    <w:p>
      <w:pPr>
        <w:pStyle w:val="6"/>
        <w:widowControl/>
        <w:rPr>
          <w:rFonts w:hint="eastAsia" w:ascii="宋体" w:hAnsi="宋体" w:cs="宋体"/>
          <w:b/>
          <w:sz w:val="24"/>
        </w:rPr>
      </w:pPr>
      <w:bookmarkStart w:id="106" w:name="_Toc47900875"/>
      <w:bookmarkEnd w:id="106"/>
      <w:r>
        <w:rPr>
          <w:rFonts w:hint="eastAsia" w:ascii="宋体" w:hAnsi="宋体" w:cs="宋体"/>
          <w:b/>
          <w:sz w:val="24"/>
        </w:rPr>
        <w:t>(一)900万高清卡口抓拍单元（详细参数见附件）</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900万像素视频抓拍机( 含百万像素镜头、网络防雷保护器、电源、护罩及64G高速SD卡或TF卡)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视频分辨率≥4096×2160@25fps，采用GMOS传感器,靶面≥1英寸；</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低照度：彩色：≤0.0005lx，黑白：≤0.0003lx；</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图片分辨率4096*2160；</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视频压缩至少支持H.265/H.264/MJPEG；</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防护等级：不低于IP66</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支持主副驾驶员人脸检测功能，主驾驶员人脸抠图率≥95%，副驾驶人脸抠图率≥90%；</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支持同时对行人、机动车和非机动车的人脸检测并抠图功能；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具有不同分辨率图像设置功能、实时网络数字视频监控功能，视频识别功能，符合人脸识别系统的识读要求；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支持车牌识别、视频触发、车身颜色识别、车型识别、车标识别、安全带、年检标志、子品牌识别；</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支持车型检测，识别准确率白天≥97%，晚上≥95%；</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图片支持前端存储，断电续传、保证链路故障时数据不丢失；</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支持新能源车牌识别功能，识别准确率白天≥97%，晚上≥95%；</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支持驾驶员行车时打电话动作的检测；</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摄像机（带内置偏振镜）、室外双层防护罩、内置补光灯、网络防雷器、电源适配器、安装万向节、防水软管、含不低于64G 高速SD卡或TF卡等</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☆采用智能学习芯片，支持智能学习，提供公安部检测报告或承诺书；</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☆提供不小于投标最高像素的抓拍图片；</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☆根据业务需求可配置200万至投标最高像素视频流输出（码流：2-8M）。</w:t>
      </w:r>
    </w:p>
    <w:p>
      <w:pPr>
        <w:pStyle w:val="6"/>
        <w:widowControl/>
        <w:numPr>
          <w:ilvl w:val="3"/>
          <w:numId w:val="3"/>
        </w:numPr>
        <w:ind w:left="0" w:firstLine="562"/>
        <w:rPr>
          <w:rFonts w:hint="eastAsia" w:ascii="宋体" w:hAnsi="宋体" w:cs="宋体"/>
          <w:sz w:val="24"/>
        </w:rPr>
      </w:pPr>
      <w:bookmarkStart w:id="107" w:name="_Toc47900876"/>
      <w:bookmarkEnd w:id="107"/>
      <w:r>
        <w:rPr>
          <w:rFonts w:hint="eastAsia" w:ascii="宋体" w:hAnsi="宋体" w:cs="宋体"/>
          <w:sz w:val="24"/>
        </w:rPr>
        <w:t>卡口闪光灯</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单车道气体爆闪灯，单次闪光能量≥200J，白天可看清前排司乘人员面部特征；</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回电时间＜67ms，支持5V电平量触发(可选开关量)；</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有效补光距离16m～25m；</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工作环境-25～+70℃(-40℃内均可安全使用/有衰减)；</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具有脉冲保护功能，屏蔽≥3Hz持续性的脉冲信号(闪15次后进入1次/S的微闪光提示状态，复原时间为10S)；闪光次数≥2000万次；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配带光栅，可有效减少周边光污染；</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要求具备符合GA/T1202-2014《交通技术监控成像补光装置通用技术规范》的检测报告；</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☆支持后台软件平台批量显示状态和远程控制功能，支持与公安现有运维平台无缝对接，提供承诺书；</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☆产品需提供公安部的检测报告。</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（包括服务期内当光衰减大于30%或造成图片、视频数据成像效果不符合招标要求及相关国家标准的应当免费更换）</w:t>
      </w:r>
    </w:p>
    <w:p>
      <w:pPr>
        <w:pStyle w:val="6"/>
        <w:widowControl/>
        <w:numPr>
          <w:ilvl w:val="3"/>
          <w:numId w:val="3"/>
        </w:numPr>
        <w:ind w:left="0" w:firstLine="562"/>
        <w:rPr>
          <w:rFonts w:hint="eastAsia" w:ascii="宋体" w:hAnsi="宋体" w:cs="宋体"/>
          <w:sz w:val="24"/>
        </w:rPr>
      </w:pPr>
      <w:bookmarkStart w:id="108" w:name="_Toc47900877"/>
      <w:bookmarkEnd w:id="108"/>
      <w:r>
        <w:rPr>
          <w:rFonts w:hint="eastAsia" w:ascii="宋体" w:hAnsi="宋体" w:cs="宋体"/>
          <w:sz w:val="24"/>
        </w:rPr>
        <w:t>卡口LED补光灯</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色温范围：≤7000K；最佳补光距离：18m～25m；</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触发频率：50Hz~120 Hz，触发占空比1%~39%；</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支持环境亮度检测，低照度下自动开启；</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支持通过特定相机和平台批量远程控制亮度等级及补光灯点亮/熄灭；</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至少支持1路RS485/RS232控制或1路频闪输入/输出接口；</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支持多台LED灯串口同时并入相机接口；</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LED灯珠要求采用进口品牌；集成数字式照度传感器，具备自动光感功能，光敏控制，与时间双配合;具有亮度可调节功能。20m处光斑的照度不得超过40Lx；</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工作电压：AC176V-264V；功率≤60W；工作温度-40℃～+70℃；工作湿度 10%～90%；</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防护等级不低于IP66；</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支持环境亮度阀值可调；</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亮补光灯采用内置自动光控设计，环境低照度下自动开启；</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有效减少光污染；</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☆支持远程控制和远程状态显示功能，具有远程亮度可调节、开启、关闭等功能，提供承诺书；</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☆支持后台软件平台批量显示状态和远程控制功能，支持与公安现有运维平台无缝对接，提供承诺书；</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☆产品需提供公安部的检测报告。</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（包括服务期内当光衰减大于30%或造成图片、视频数据成像效果不符合招标要求及相关国家标准的应当免费更换）。</w:t>
      </w:r>
    </w:p>
    <w:p>
      <w:pPr>
        <w:pStyle w:val="4"/>
        <w:keepNext w:val="0"/>
        <w:keepLines w:val="0"/>
        <w:widowControl/>
        <w:numPr>
          <w:ilvl w:val="1"/>
          <w:numId w:val="3"/>
        </w:numPr>
        <w:spacing w:line="360" w:lineRule="auto"/>
        <w:rPr>
          <w:rFonts w:hint="eastAsia" w:ascii="宋体" w:hAnsi="宋体" w:eastAsia="宋体" w:cs="宋体"/>
          <w:sz w:val="24"/>
          <w:szCs w:val="24"/>
        </w:rPr>
      </w:pPr>
      <w:bookmarkStart w:id="109" w:name="_Toc501911692"/>
      <w:bookmarkEnd w:id="109"/>
      <w:bookmarkStart w:id="110" w:name="_Toc47900878"/>
      <w:bookmarkEnd w:id="110"/>
      <w:r>
        <w:rPr>
          <w:rFonts w:hint="eastAsia" w:ascii="宋体" w:hAnsi="宋体" w:eastAsia="宋体" w:cs="宋体"/>
          <w:sz w:val="24"/>
          <w:szCs w:val="24"/>
        </w:rPr>
        <w:t>配套设计方案</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11" w:name="_Toc430108820"/>
      <w:bookmarkEnd w:id="111"/>
      <w:bookmarkStart w:id="112" w:name="_Toc501911693"/>
      <w:bookmarkEnd w:id="112"/>
      <w:bookmarkStart w:id="113" w:name="_Toc47900879"/>
      <w:r>
        <w:rPr>
          <w:rFonts w:hint="eastAsia" w:ascii="宋体" w:hAnsi="宋体" w:cs="宋体"/>
          <w:szCs w:val="24"/>
        </w:rPr>
        <w:t>立杆设计</w:t>
      </w:r>
      <w:bookmarkEnd w:id="113"/>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监控点根据现场实际情况，可采用立杆安装、抱箍安装、壁挂安装以及吊杆安装等方式。其中抱箍、壁挂支架以及吊杆支架有成套产品，根据现场选择符合要求的产品即可。监控立杆设计需要考虑整体杆件的设计、立杆材质、杆型、焊接工艺、表面处理以及杆体颜色等。</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每个路口根据现场实际情况，确定立杆长度、基础大小和管线长度等，应尽量保证抓拍用摄像机设在抓拍车道的中央上方。</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立杆、基础应符合DB33/T 502—2004建设标准，立杆的长臂杆高度根据现场实际情况而定，横臂杆长度根据路面宽度而定，整根杆(含基础)及其上配件应能抗台风袭击和行驶车辆的碰撞。立柱、法兰盘、抱箍、抱箍底衬、柱帽、加劲肋及连接螺栓、螺母、垫圈等钢铁件采用热浸镀锌进行防锈处理，所有的对接焊缝和贴角焊缝，其厚度和强度应与被焊构件相等，焊缝应打磨光滑。使用过程中不会倾斜或倒塌。</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根据点位摄像头数量和架设方向的不同采用L型、T型和多角立杆。</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没有立杆安装条件的巷口可以设置挑杆或者在非私有建筑的墙面进行安装。</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 xml:space="preserve">监控立杆原则上设置在人行道上，部分不具备条件的位置需要设置在绿化带或者线路跨越非机动车道的需要通过道路、绿化部门的审核。 </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具体点位根据实地情况选择其他规格的立杆。</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在立杆施工前需要做好以下工作：</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安装时要做好安全工作，必要时请当地交警协助操作指挥交通；</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准备施工车辆，需要准备可运载杆体的平板货车和5吨以上的起重吊车；</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清理地笼钢挡板上平面的水泥残留物，检查主筋螺纹是否完好、洁净；</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备齐杆体连接用的配件，准备一些杆体抄平用的垫铁；</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备齐专用工具和材料，如扳手、水平尺、钢丝绳、大绳、镀锌铁线等。</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立杆时，宜按以下顺序操作：</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把杆体和横臂在地面摆放整齐，杆体底座法兰正对地笼。</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把电缆沿杆体、横臂穿出，在横臂头处预留余量并盘好。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把杆体与横臂用紧固件连接紧固，安装立杆顶帽。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用吊车把杆体吊起，并在横臂头处绑一根铁线，在地面需人工调整横臂安装方向。</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把杆体底座法兰坐到地笼法兰盘上，安装地座螺丝、紧固。</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用水平尺测量杆体各方向垂度，在两法兰间塞入垫铁反复调整杆体垂度，使杆体各方向保持与水平面垂直。</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检查底脚螺丝紧固程度。杆体底脚螺丝需用加长杆扳手紧固，不允许有任何松动。</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安装立杆检查孔盖。</w:t>
      </w:r>
    </w:p>
    <w:p>
      <w:pPr>
        <w:adjustRightInd w:val="0"/>
        <w:spacing w:line="360" w:lineRule="auto"/>
        <w:ind w:firstLine="482" w:firstLineChars="200"/>
        <w:textAlignment w:val="baseline"/>
        <w:rPr>
          <w:rFonts w:hint="eastAsia" w:ascii="宋体" w:hAnsi="宋体" w:cs="宋体"/>
          <w:sz w:val="24"/>
        </w:rPr>
      </w:pPr>
      <w:r>
        <w:rPr>
          <w:rFonts w:hint="eastAsia" w:ascii="宋体" w:hAnsi="宋体" w:cs="宋体"/>
          <w:b/>
          <w:kern w:val="0"/>
          <w:sz w:val="24"/>
          <w:lang w:bidi="ar"/>
        </w:rPr>
        <w:t>需能抗16级台风，根据实际情况选择不同的类型杆和基础及施工方式。</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立杆效果图如下所示：</w:t>
      </w:r>
    </w:p>
    <w:p>
      <w:pPr>
        <w:adjustRightInd w:val="0"/>
        <w:spacing w:line="360" w:lineRule="auto"/>
        <w:ind w:firstLine="480" w:firstLineChars="200"/>
        <w:textAlignment w:val="baseline"/>
        <w:rPr>
          <w:rFonts w:hint="eastAsia" w:ascii="宋体" w:hAnsi="宋体" w:cs="宋体"/>
          <w:sz w:val="24"/>
        </w:rPr>
      </w:pPr>
      <w:r>
        <w:rPr>
          <w:kern w:val="0"/>
          <w:sz w:val="24"/>
          <w:lang w:bidi="ar"/>
        </w:rPr>
        <w:drawing>
          <wp:inline distT="0" distB="0" distL="114300" distR="114300">
            <wp:extent cx="5410200" cy="4057650"/>
            <wp:effectExtent l="0" t="0" r="0" b="0"/>
            <wp:docPr id="11" name="图片 8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2" descr="IMG_265"/>
                    <pic:cNvPicPr>
                      <a:picLocks noChangeAspect="1"/>
                    </pic:cNvPicPr>
                  </pic:nvPicPr>
                  <pic:blipFill>
                    <a:blip r:embed="rId19"/>
                    <a:stretch>
                      <a:fillRect/>
                    </a:stretch>
                  </pic:blipFill>
                  <pic:spPr>
                    <a:xfrm>
                      <a:off x="0" y="0"/>
                      <a:ext cx="5410200" cy="4057650"/>
                    </a:xfrm>
                    <a:prstGeom prst="rect">
                      <a:avLst/>
                    </a:prstGeom>
                    <a:noFill/>
                    <a:ln>
                      <a:noFill/>
                    </a:ln>
                  </pic:spPr>
                </pic:pic>
              </a:graphicData>
            </a:graphic>
          </wp:inline>
        </w:drawing>
      </w:r>
      <w:r>
        <w:rPr>
          <w:rFonts w:hint="eastAsia" w:ascii="宋体" w:hAnsi="宋体" w:cs="宋体"/>
          <w:kern w:val="0"/>
          <w:sz w:val="24"/>
          <w:lang w:bidi="ar"/>
        </w:rPr>
        <w:t xml:space="preserve"> </w:t>
      </w:r>
    </w:p>
    <w:p>
      <w:pPr>
        <w:pStyle w:val="5"/>
        <w:numPr>
          <w:ilvl w:val="2"/>
          <w:numId w:val="3"/>
        </w:numPr>
        <w:spacing w:before="163" w:after="163"/>
        <w:rPr>
          <w:rFonts w:hint="eastAsia" w:ascii="宋体" w:hAnsi="宋体" w:cs="宋体"/>
          <w:szCs w:val="24"/>
        </w:rPr>
      </w:pPr>
      <w:bookmarkStart w:id="114" w:name="_Toc47900880"/>
      <w:bookmarkEnd w:id="114"/>
      <w:r>
        <w:rPr>
          <w:rFonts w:hint="eastAsia" w:ascii="宋体" w:hAnsi="宋体" w:cs="宋体"/>
          <w:szCs w:val="24"/>
        </w:rPr>
        <w:t>监控立杆技术要求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1、应注明杆件钢材、生产厂家、型号规格等；杆件的材质要求为国标Q235钢板经模压形成，杆件所有焊缝无烧穿、夹渣、气孔等，焊接后敲清焊渣，打磨飞溅物，校正杆件的焊接变形，杆件整体热镀锌处理。柱 、法兰盘、抱箍、抱箍底衬、柱帽、加劲肋及连接螺栓、螺母、垫圈等钢铁件，采用热浸镀锌进行防锈处理，立杆、悬臂采用双面焊，所有的对接焊缝和贴角焊缝，其厚度和强度应与被焊构件相等，焊缝应打磨光滑、无烧穿、夹渣、气孔等。前端常规卡口杆件的立杆应贴高强级别的反光膜（高度≥1.5米）,防止杆件被撞及提醒驾驶人、行人避让。</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长挑臂监控杆件，主、副杆（横挑杆）为八角形锥形镀锌钢管，副杆≤4米采用114mm等径杆，对接处采用自动焊接，具体参数如下；</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①2米≥副杆长度≥1米的杆件，主杆的高度不低于8米，主杆下（内）口径不小于350mm，上（内）口径不小于300mm，壁厚≥8mm；副杆114mm等径杆，壁厚≥4mm；底盘法兰底平面直径≥600mm，钢板厚度≥22 mm，法兰底盘与主杆的支撑板（五边直角梯形）≥8块，高度≥200 mm，厚度≥16mm，梯形上部份≥50mm，下部分≥110mm；主杆与副杆的法兰盘尺寸≥450mm*450mm，厚度不小于20mm，支撑板（直角三角形）≥8块，高度≥200 mm，厚度≥16mm，直角三角形底边长度≥100mm，固定螺帽须热镀锌。（注：所有杆件需一次成型不得嫁接。）</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②15米≥副杆长度≥13米的杆件，主杆的高度不低于7.5米，主杆下（内）口径不小于370 mm，上（内）口径不小于320 mm，壁厚≥8mm；副杆大头（内）口径不小于320 mm，小头（内）口径不小于100 mm，壁厚≥5mm；底盘法兰底平面直径≥700mm，钢板厚度≥22 mm，法兰底盘与主杆的支撑板（五边直角梯形）≥8块，高度≥300 mm，厚度≥16mm，梯形上部份≥50mm，下部分≥150mm；主杆与副杆的法兰盘尺寸≥520mm*520mm，厚度不小于30mm，支撑板（直角三角形）≥8块，高度≥250 mm，厚度≥16mm，直角三角形底边长度≥100mm，固定螺帽须热镀锌。（注：主杆和副杆之间需设置斜拉线，所有杆件需一次成型不得嫁接。）</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③12米≥副杆长度≥10米的杆件，主杆的高度不低于6.3米，主杆下（内）口径不小于350 mm，上（内）口径不小于300 mm，壁厚≥8mm；副杆大头（内）口径不小于280 mm，小头（内）口径不小于100 mm，壁厚≥5mm；底盘法兰底平面直径≥600mm，钢板厚度≥22 mm，法兰底盘与主杆的支撑板（五边直角梯形）≥8块，高度≥250 mm，厚度≥16mm，梯形上部份≥50mm，下部分≥110mm；主杆与副杆的法兰盘尺寸≥500mm*500mm，厚度不小于25mm，支撑板（直角三角形）≥8块，高度≥200 mm，厚度≥16mm，直角三角形底边长度≥100mm，固定螺帽须热镀锌。（注：所有杆件需一次成型不得嫁接。）</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④9米≥副杆长度≥7米的杆件，主杆的高度不低于6.3米，主杆下（内）口径不小于350 mm，上（内）口径不小于300mm，壁厚≥8mm；副杆大头（内）口径不小于240 mm，小头（内）口径不小于100 mm，壁厚≥5mm；底盘法兰底平面直径≥600mm，钢板厚度≥22 mm，法兰底盘与主杆的支撑板（五边直角梯形）≥8块，高度≥200 mm，厚度≥16mm，梯形上部份≥50mm，下部分≥110mm；主杆与副杆的法兰盘尺寸≥450mm*450mm，厚度不小于20mm，支撑板（直角三角形）≥8块，高度≥200 mm，厚度≥16mm，直角三角形底边长度≥100mm，固定螺帽须热镀锌。（注：所有杆件需一次成型不得嫁接。）</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⑤6米≥副杆长度≥5米的杆件，主杆的高度不低于6.3米，主杆下（内）口径不小于280 mm，上（内）口径不小于250 mm，壁厚≥6mm；副杆大头（内）口径不小于190 mm，小头（内）口径不小于100 mm，壁厚≥5mm；底盘法兰底平面直径≥600mm，钢板厚度≥20 mm，法兰底盘与主杆的支撑板（五边直角梯形）≥6块，高度≥200 mm，厚度≥16mm，梯形上部份≥30mm，下部分≥100mm；主杆与副杆的法兰盘尺寸≥400mm*400mm，厚度不小于20mm，支撑板（直角三角形）≥8块，高度≥200 mm，厚度≥16mm，直角三角形底边长度≥100mm，固定螺帽须热镀锌。（注：所有杆件需一次成型不得嫁接。）</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⑥4米≥副杆长度≥1米的杆件，主杆的高度不低于6.3米（部分为5米），主杆下（内）口径不小于230mm，上（内）口径不小于150 mm，壁厚≥5mm；副杆114mm等径杆，壁厚≥4mm；底盘法兰底平面直径≥450mm，钢板厚度≥20 mm，法兰底盘与主杆的支撑板（五边直角梯形）≥6块，高度≥150 mm，厚度≥16mm，梯形上部份≥10mm，下部分≥80mm；主杆与副杆的法兰盘直径尺寸≥350mm，厚度不小于16mm，支撑板（直角三角形）≥4块，高度≥200 mm，厚度≥16mm，直角三角形底边长度≥100mm，固定螺帽须热镀锌。（注：所有杆件需一次成型不得嫁接。）</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⑦5米≥副杆长度≥4米的杆件，主杆高度为4米，主杆下（内）口径不小于230mm，上（内）口径不小于150 mm，壁厚≥5mm；副杆114mm等径杆，壁厚≥4mm；底盘法兰底平面直径≥450mm，钢板厚度≥20 mm，法兰底盘与主杆的支撑板（五边直角梯形）≥6块，高度≥150 mm，厚度≥16mm，梯形上部份≥10mm，下部分≥80mm；主杆与副杆的法兰盘直径尺寸≥350mm，厚度不小于16mm，支撑板（直角三角形）≥4块，高度≥200 mm，厚度≥16mm，直角三角形底边长度≥100mm，固定螺帽须热镀锌。（注：所有杆件需一次成型不得嫁接。）</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⑧3米≥副杆长度≥1米的杆件，主杆高度不高于4米，主杆140mm等径杆，壁厚≥5mm；副杆114mm等径杆，壁厚≥4mm；底盘法兰底平面直径≥450mm，钢板厚度≥20 mm，法兰底盘与主杆的支撑板（五边直角梯形）≥6块，高度≥150 mm，厚度≥16mm，梯形上部份≥10mm，下部分≥80mm；主杆与副杆的法兰盘直径尺寸≥350mm，厚度不小于16mm，支撑板（直角三角形）≥4块，高度≥200 mm，厚度≥16mm，直角三角形底边长度≥100mm，固定螺帽须热镀锌。（注：所有杆件需一次成型不得嫁接。）</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中标方应在上述参数的基础上，出具钢结构设计资质盖章的杆件详细构造图。</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监控杆件须整体热镀锌，镀锌层厚度≥85um，抗风等级达16级，抗风能力≥55m/s，抗震等级：8级地震。按国家最新标准版本《碳素结构钢》、《电气装置安装工程电缆线路施工及验收规范》、《钢结构工程施工及验收规范》、《钢筋混凝土工程施工验收规范》等相关规范进行施工。</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3、监控杆颜色为镀锌银色。</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外形结构及规格：监控杆应采用简洁、流畅的线条，美观大方、与城市其它建筑搭配和谐；副杆造型应根据实际情况设计，流线平直，杆体圆滑平顺；监控杆采用主杆与副杆螺栓固定连接的方式，防雷装置紧靠摄像机或者用全屏蔽方式引线至设备箱内防雷装置，以确保防雷效果；监控杆规格种类较多，设计时应根据现场情况确定，提供相关设计图纸供客户选择并经过确认后实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5、钢材选用：</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钢材选择考虑的因素有：</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①结构或构件的重要性；</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②荷载的种类（静，动）；</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③连接方法；</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④工作条件（温度，腐蚀等）；</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⑤钢材厚度。</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钢材根据化学成分和冲击韧性的不同划分为 A、B、C、D 共 4 个质量等级，按字母顺序由 A 到 D，表示质量等级由低到高。除 A 级外，其它三个级别的含碳量均在0.20％以下，焊接性能也很好。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钢杆可以采用优质高强度热扎卷板结钢材。结构用钢不得影响材料和机械性能的裂纹、分层、重皮、夹渣等缺陷麻点或划痕的深度不得大于钢材厚度负公差的1/2，且不应大于0.5mm。需厂家提供钢材的材质检测报告。</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杆件和基础尺寸规格由投标人聘请具有相应资质的设计单位根据参数要求和现场勘查情况自行设计（采样）。根据当地实际情况，监控杆和基础按照当地的地质情况和抗风等级进行设计，能够满足受力要求，并提供杆体强度的受力计算书，相关费用自行考虑。</w:t>
      </w:r>
    </w:p>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6、其他要求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①新立杆处窨井和电缆沟开挖完成后，底层必须先铺一层10厘米的细沙后再敷设管路，手孔井内预埋管路必须伸出井壁至少10厘米，线缆敷设完毕后必须进行封堵。</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②横杆连接法兰的紧固件必须采用镀锌材料且双螺母固定，强度要达到安全使用要求，安装完成后根据需要涂刷防锈漆和银粉漆，底盘法兰紧固件施工完毕后必须涂刷黄油后用混凝土进行封装，封装表面必须均匀平滑，高度于周围路面齐平或略高。</w:t>
      </w:r>
    </w:p>
    <w:p>
      <w:pPr>
        <w:adjustRightInd w:val="0"/>
        <w:spacing w:line="360" w:lineRule="auto"/>
        <w:ind w:firstLine="484" w:firstLineChars="202"/>
        <w:textAlignment w:val="baseline"/>
        <w:rPr>
          <w:rFonts w:hint="eastAsia" w:ascii="宋体" w:hAnsi="宋体" w:cs="宋体"/>
          <w:sz w:val="24"/>
        </w:rPr>
      </w:pPr>
      <w:r>
        <w:rPr>
          <w:rFonts w:hint="eastAsia" w:ascii="宋体" w:hAnsi="宋体" w:cs="宋体"/>
          <w:kern w:val="0"/>
          <w:sz w:val="24"/>
          <w:lang w:bidi="ar"/>
        </w:rPr>
        <w:t>③杆件采用的钢材应符合国标的要求。</w:t>
      </w:r>
    </w:p>
    <w:p>
      <w:pPr>
        <w:adjustRightInd w:val="0"/>
        <w:spacing w:line="360" w:lineRule="auto"/>
        <w:ind w:firstLine="484" w:firstLineChars="202"/>
        <w:textAlignment w:val="baseline"/>
        <w:rPr>
          <w:rFonts w:hint="eastAsia" w:ascii="宋体" w:hAnsi="宋体" w:cs="宋体"/>
          <w:sz w:val="24"/>
        </w:rPr>
      </w:pPr>
      <w:r>
        <w:rPr>
          <w:rFonts w:hint="eastAsia" w:ascii="宋体" w:hAnsi="宋体" w:cs="宋体"/>
          <w:kern w:val="0"/>
          <w:sz w:val="24"/>
          <w:lang w:bidi="ar"/>
        </w:rPr>
        <w:t>④机箱悬挂处或设备安装位置应留有出线孔。</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⑤杆体距地面0.3m～0.5m处应留有穿线孔，并在杆体内留有接地端子。孔的上方焊接防水檐，配备盖板和固定螺钉。应使用不小于3mm厚的钢板作盖板，用螺钉固定在杆体上。</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人脸图像采集设备架设要求</w:t>
      </w:r>
    </w:p>
    <w:p>
      <w:pPr>
        <w:pStyle w:val="32"/>
        <w:autoSpaceDE w:val="0"/>
        <w:autoSpaceDN w:val="0"/>
        <w:spacing w:before="0" w:beforeAutospacing="0" w:after="0" w:afterAutospacing="0" w:line="360" w:lineRule="auto"/>
        <w:ind w:firstLine="480" w:firstLineChars="200"/>
        <w:jc w:val="both"/>
        <w:rPr>
          <w:rFonts w:hint="eastAsia" w:cs="宋体"/>
          <w:color w:val="auto"/>
        </w:rPr>
      </w:pPr>
      <w:r>
        <w:rPr>
          <w:rFonts w:hint="eastAsia" w:cs="宋体"/>
          <w:color w:val="auto"/>
          <w:lang w:bidi="ar"/>
        </w:rPr>
        <w:t>人脸图像采集设备安装应满足GB50348-2004的要求，选择在进出闸机、通道、扶梯或门口位置面向人员行进方向正面安装，环境光照条件良好，目标人人脸区域视场空间XYZ不宜过大（如图1），其人脸图像应满足识别要求；可视门禁系统等相似视频人脸图像采集设备与通常的视频人脸图像采集设备相比安装要求有其特殊性。</w:t>
      </w:r>
    </w:p>
    <w:tbl>
      <w:tblPr>
        <w:tblStyle w:val="37"/>
        <w:tblW w:w="0" w:type="auto"/>
        <w:jc w:val="center"/>
        <w:tblCellSpacing w:w="0" w:type="dxa"/>
        <w:tblLayout w:type="autofit"/>
        <w:tblCellMar>
          <w:top w:w="0" w:type="dxa"/>
          <w:left w:w="0" w:type="dxa"/>
          <w:bottom w:w="0" w:type="dxa"/>
          <w:right w:w="0" w:type="dxa"/>
        </w:tblCellMar>
      </w:tblPr>
      <w:tblGrid>
        <w:gridCol w:w="6"/>
        <w:gridCol w:w="7605"/>
      </w:tblGrid>
      <w:tr>
        <w:tblPrEx>
          <w:tblCellMar>
            <w:top w:w="0" w:type="dxa"/>
            <w:left w:w="0" w:type="dxa"/>
            <w:bottom w:w="0" w:type="dxa"/>
            <w:right w:w="0" w:type="dxa"/>
          </w:tblCellMar>
        </w:tblPrEx>
        <w:trPr>
          <w:gridAfter w:val="1"/>
          <w:wAfter w:w="0" w:type="auto"/>
          <w:tblCellSpacing w:w="0" w:type="dxa"/>
          <w:jc w:val="center"/>
        </w:trPr>
        <w:tc>
          <w:tcPr>
            <w:tcW w:w="6" w:type="dxa"/>
            <w:noWrap w:val="0"/>
            <w:vAlign w:val="center"/>
          </w:tcPr>
          <w:p>
            <w:pPr>
              <w:rPr>
                <w:rFonts w:hint="eastAsia" w:ascii="宋体"/>
                <w:sz w:val="24"/>
              </w:rPr>
            </w:pPr>
          </w:p>
        </w:tc>
      </w:tr>
      <w:tr>
        <w:tblPrEx>
          <w:tblCellMar>
            <w:top w:w="0" w:type="dxa"/>
            <w:left w:w="0" w:type="dxa"/>
            <w:bottom w:w="0" w:type="dxa"/>
            <w:right w:w="0" w:type="dxa"/>
          </w:tblCellMar>
        </w:tblPrEx>
        <w:trPr>
          <w:tblCellSpacing w:w="0" w:type="dxa"/>
          <w:jc w:val="center"/>
        </w:trPr>
        <w:tc>
          <w:tcPr>
            <w:tcW w:w="0" w:type="auto"/>
            <w:noWrap w:val="0"/>
            <w:vAlign w:val="center"/>
          </w:tcPr>
          <w:p>
            <w:pPr>
              <w:rPr>
                <w:rFonts w:hint="eastAsia" w:ascii="宋体"/>
                <w:sz w:val="24"/>
              </w:rPr>
            </w:pPr>
          </w:p>
        </w:tc>
        <w:tc>
          <w:tcPr>
            <w:tcW w:w="0" w:type="auto"/>
            <w:noWrap w:val="0"/>
            <w:vAlign w:val="center"/>
          </w:tcPr>
          <w:p>
            <w:pPr>
              <w:widowControl/>
              <w:jc w:val="left"/>
            </w:pPr>
            <w:r>
              <w:rPr>
                <w:rFonts w:ascii="宋体" w:hAnsi="宋体" w:cs="宋体"/>
                <w:kern w:val="0"/>
                <w:sz w:val="24"/>
                <w:lang w:bidi="ar"/>
              </w:rPr>
              <w:drawing>
                <wp:inline distT="0" distB="0" distL="114300" distR="114300">
                  <wp:extent cx="4829175" cy="2743200"/>
                  <wp:effectExtent l="0" t="0" r="9525" b="0"/>
                  <wp:docPr id="12" name="图片 8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3" descr="IMG_266"/>
                          <pic:cNvPicPr>
                            <a:picLocks noChangeAspect="1"/>
                          </pic:cNvPicPr>
                        </pic:nvPicPr>
                        <pic:blipFill>
                          <a:blip r:embed="rId16"/>
                          <a:stretch>
                            <a:fillRect/>
                          </a:stretch>
                        </pic:blipFill>
                        <pic:spPr>
                          <a:xfrm>
                            <a:off x="0" y="0"/>
                            <a:ext cx="4829175" cy="2743200"/>
                          </a:xfrm>
                          <a:prstGeom prst="rect">
                            <a:avLst/>
                          </a:prstGeom>
                          <a:noFill/>
                          <a:ln>
                            <a:noFill/>
                          </a:ln>
                        </pic:spPr>
                      </pic:pic>
                    </a:graphicData>
                  </a:graphic>
                </wp:inline>
              </w:drawing>
            </w:r>
          </w:p>
        </w:tc>
      </w:tr>
    </w:tbl>
    <w:p>
      <w:pPr>
        <w:adjustRightInd w:val="0"/>
        <w:spacing w:line="400" w:lineRule="exact"/>
        <w:ind w:firstLine="480" w:firstLineChars="200"/>
        <w:jc w:val="center"/>
        <w:textAlignment w:val="baseline"/>
        <w:rPr>
          <w:rFonts w:hint="eastAsia" w:ascii="宋体" w:hAnsi="宋体" w:cs="宋体"/>
          <w:sz w:val="24"/>
        </w:rPr>
      </w:pPr>
      <w:r>
        <w:rPr>
          <w:rFonts w:hint="eastAsia" w:ascii="宋体" w:hAnsi="宋体" w:cs="宋体"/>
          <w:kern w:val="0"/>
          <w:sz w:val="24"/>
          <w:lang w:bidi="ar"/>
        </w:rPr>
        <w:t xml:space="preserve"> </w:t>
      </w:r>
    </w:p>
    <w:p>
      <w:pPr>
        <w:adjustRightInd w:val="0"/>
        <w:spacing w:line="400" w:lineRule="exact"/>
        <w:ind w:firstLine="480" w:firstLineChars="200"/>
        <w:jc w:val="center"/>
        <w:textAlignment w:val="baseline"/>
        <w:rPr>
          <w:rFonts w:hint="eastAsia" w:ascii="宋体" w:hAnsi="宋体" w:cs="宋体"/>
          <w:sz w:val="24"/>
        </w:rPr>
      </w:pPr>
      <w:r>
        <w:rPr>
          <w:rFonts w:hint="eastAsia" w:ascii="宋体" w:hAnsi="宋体" w:cs="宋体"/>
          <w:kern w:val="0"/>
          <w:sz w:val="24"/>
          <w:lang w:bidi="ar"/>
        </w:rPr>
        <w:t>图 视频人脸图像采集设备与目标人相互位置示意图</w:t>
      </w:r>
    </w:p>
    <w:p>
      <w:pPr>
        <w:pStyle w:val="32"/>
        <w:autoSpaceDE w:val="0"/>
        <w:autoSpaceDN w:val="0"/>
        <w:spacing w:before="0" w:beforeAutospacing="0" w:after="0" w:afterAutospacing="0" w:line="360" w:lineRule="auto"/>
        <w:ind w:firstLine="482" w:firstLineChars="200"/>
        <w:jc w:val="both"/>
        <w:rPr>
          <w:rFonts w:hint="eastAsia" w:cs="宋体"/>
          <w:b/>
          <w:color w:val="auto"/>
        </w:rPr>
      </w:pPr>
      <w:bookmarkStart w:id="115" w:name="_Toc486426075"/>
      <w:bookmarkEnd w:id="115"/>
      <w:bookmarkStart w:id="116" w:name="_Toc1375"/>
      <w:r>
        <w:rPr>
          <w:rFonts w:hint="eastAsia" w:cs="宋体"/>
          <w:b/>
          <w:color w:val="auto"/>
          <w:lang w:bidi="ar"/>
        </w:rPr>
        <w:t>采集</w:t>
      </w:r>
      <w:bookmarkEnd w:id="116"/>
      <w:r>
        <w:rPr>
          <w:rFonts w:hint="eastAsia" w:cs="宋体"/>
          <w:b/>
          <w:color w:val="auto"/>
          <w:lang w:bidi="ar"/>
        </w:rPr>
        <w:t>环境和采集设备应满足台州集聚区公安分局人像项目建设技术规范</w:t>
      </w:r>
    </w:p>
    <w:p>
      <w:pPr>
        <w:adjustRightInd w:val="0"/>
        <w:spacing w:line="360" w:lineRule="auto"/>
        <w:ind w:right="-67" w:rightChars="-24" w:firstLine="480" w:firstLineChars="200"/>
        <w:jc w:val="center"/>
        <w:textAlignment w:val="baseline"/>
        <w:rPr>
          <w:rFonts w:hint="eastAsia" w:ascii="宋体" w:hAnsi="宋体" w:cs="宋体"/>
          <w:sz w:val="24"/>
        </w:rPr>
      </w:pPr>
      <w:r>
        <w:rPr>
          <w:kern w:val="0"/>
          <w:sz w:val="24"/>
          <w:lang w:bidi="ar"/>
        </w:rPr>
        <w:drawing>
          <wp:inline distT="0" distB="0" distL="114300" distR="114300">
            <wp:extent cx="3352800" cy="1866900"/>
            <wp:effectExtent l="0" t="0" r="0" b="0"/>
            <wp:docPr id="13" name="图片 8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4" descr="IMG_267"/>
                    <pic:cNvPicPr>
                      <a:picLocks noChangeAspect="1"/>
                    </pic:cNvPicPr>
                  </pic:nvPicPr>
                  <pic:blipFill>
                    <a:blip r:embed="rId20"/>
                    <a:stretch>
                      <a:fillRect/>
                    </a:stretch>
                  </pic:blipFill>
                  <pic:spPr>
                    <a:xfrm>
                      <a:off x="0" y="0"/>
                      <a:ext cx="3352800" cy="1866900"/>
                    </a:xfrm>
                    <a:prstGeom prst="rect">
                      <a:avLst/>
                    </a:prstGeom>
                    <a:noFill/>
                    <a:ln>
                      <a:noFill/>
                    </a:ln>
                  </pic:spPr>
                </pic:pic>
              </a:graphicData>
            </a:graphic>
          </wp:inline>
        </w:drawing>
      </w:r>
      <w:r>
        <w:rPr>
          <w:rFonts w:hint="eastAsia" w:ascii="宋体" w:hAnsi="宋体" w:cs="宋体"/>
          <w:kern w:val="0"/>
          <w:sz w:val="24"/>
          <w:lang w:bidi="ar"/>
        </w:rPr>
        <w:t xml:space="preserve"> </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如果制高点监控无合适的安装位置，可考虑建设铁塔。铁塔建设要求为角钢结构铁塔，由承台式钢筋混凝土结构基础、角钢结构塔身、平台、爬梯、馈线安装架、防雷系统等部分构成。铁塔的整体构件连接方式采用螺栓连接，节段之间方式连接，使节段间连接更加牢固规范（如图）。连接方式采用外包角钢螺栓连接，本段腹杆与上段主杆之间采用双螺栓加连接板。</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17" w:name="_Toc501911694"/>
      <w:bookmarkEnd w:id="117"/>
      <w:bookmarkStart w:id="118" w:name="_Toc47900881"/>
      <w:r>
        <w:rPr>
          <w:rFonts w:hint="eastAsia" w:ascii="宋体" w:hAnsi="宋体" w:cs="宋体"/>
          <w:szCs w:val="24"/>
        </w:rPr>
        <w:t>立杆基础设计</w:t>
      </w:r>
      <w:bookmarkEnd w:id="118"/>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立杆基础灌筑技术指标如下：</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1.基础深度应至少达到1500mm；</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2.底部直径应≥1m；</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3.基础中心放入直径25mm /PE管，与过渡窨井相连；</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4.基础采用商砼C20灌筑；</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5.混凝土养护时间，不宜少于28天，具体参照《水工混凝土施工规范》（5144-2001）《水泥混凝土路面施工技术规范》（JTG F30-2003）、《混凝土结构工程施工及验收规范》（GB50204-92）。</w:t>
      </w:r>
    </w:p>
    <w:p>
      <w:pPr>
        <w:adjustRightInd w:val="0"/>
        <w:spacing w:line="360" w:lineRule="auto"/>
        <w:ind w:firstLine="480" w:firstLineChars="200"/>
        <w:textAlignment w:val="baseline"/>
        <w:rPr>
          <w:rFonts w:hint="eastAsia" w:ascii="宋体" w:hAnsi="宋体" w:cs="宋体"/>
          <w:sz w:val="24"/>
        </w:rPr>
      </w:pPr>
      <w:r>
        <w:rPr>
          <w:kern w:val="0"/>
          <w:sz w:val="24"/>
          <w:lang w:bidi="ar"/>
        </w:rPr>
        <w:drawing>
          <wp:inline distT="0" distB="0" distL="114300" distR="114300">
            <wp:extent cx="5419725" cy="3228975"/>
            <wp:effectExtent l="0" t="0" r="9525" b="9525"/>
            <wp:docPr id="14" name="图片 8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5" descr="IMG_268"/>
                    <pic:cNvPicPr>
                      <a:picLocks noChangeAspect="1"/>
                    </pic:cNvPicPr>
                  </pic:nvPicPr>
                  <pic:blipFill>
                    <a:blip r:embed="rId21"/>
                    <a:stretch>
                      <a:fillRect/>
                    </a:stretch>
                  </pic:blipFill>
                  <pic:spPr>
                    <a:xfrm>
                      <a:off x="0" y="0"/>
                      <a:ext cx="5419725" cy="3228975"/>
                    </a:xfrm>
                    <a:prstGeom prst="rect">
                      <a:avLst/>
                    </a:prstGeom>
                    <a:noFill/>
                    <a:ln>
                      <a:noFill/>
                    </a:ln>
                  </pic:spPr>
                </pic:pic>
              </a:graphicData>
            </a:graphic>
          </wp:inline>
        </w:drawing>
      </w:r>
      <w:r>
        <w:rPr>
          <w:rFonts w:hint="eastAsia" w:ascii="宋体" w:hAnsi="宋体" w:cs="宋体"/>
          <w:kern w:val="0"/>
          <w:sz w:val="24"/>
          <w:lang w:bidi="ar"/>
        </w:rPr>
        <w:t xml:space="preserve"> </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基础笼大样图参考</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19" w:name="_Toc47900882"/>
      <w:bookmarkEnd w:id="119"/>
      <w:r>
        <w:rPr>
          <w:rFonts w:hint="eastAsia" w:ascii="宋体" w:hAnsi="宋体" w:cs="宋体"/>
          <w:szCs w:val="24"/>
        </w:rPr>
        <w:t>普通箱设计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1、设备箱的设计遵循以下主要技术性能指标：</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①环境要求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工作温度：-35℃～+60℃，相对湿度：≤85%（+30℃），大气压强：70~106Kpa；</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②引入电压：交流220V±15%</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③温控器性能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符合JB/T3751-1997《双金属温度控制器》标准，开关特性：35℃关43℃开，精度±3℃；</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④ODF性能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插入损耗≤0.3dB，回波损耗≥60dB；</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 xml:space="preserve">       ⑤尺寸：500×450×250箱体材质不锈钢201，箱体厚度≥1mm箱门板厚度≥1.2mm。</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2、内置要求：风机1只，温控仪（可调控温度）1只，装于顶部封板上；GN-A03插座1只，正泰牌DZ47 2P32A：1只，正泰牌DZ47 2P16A：2只，浪涌保护器（WY1-C/40-2P）1只，熔接盘装于底板上，位于上部；光缆固定架1只（装于背部）；托板1块（可活动），装于4根立柱上；存储盒（20mm深）1只位于门上，箱体顶部需做防雨帽，进线孔数量须4个，孔径40mm，孔接头M40*1.5，有胶套保护；开门处加密封条，具备防盗装置和带防水锁扣。</w:t>
      </w:r>
    </w:p>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3、防护等级不低于IP54；</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4、箱体表面要求静电喷塑，箱体具有防水、防尘、通风散热、抗紫外线（防老化）、防盗、防锈、耐酸碱腐蚀等处理。</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5、箱体底板必须冲孔，均匀分布，利于散热和排水；箱体左右两侧上部中央开散热孔，要求使用冲孔或百页式，并设有过滤装置；</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6、设备箱必须固定牢固；箱体进线孔必须有胶套保护，防止各种线缆被挂伤，进出线口需带防水锁扣；箱体应该有防盗措施；箱体应有充足的安装空间，方便设备安装维护；箱体门框部位必须配备防水密封圈。</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7、箱体有适当位置可安装接地铜条或铜排，有接地固定位置。</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8、箱体应贴上机柜的各种功能标签以便维护。箱体正面中间上面印有警徽和雪亮工程字样，箱体正面左下角印有6位区域对象码和维修报障联系电话，箱体正面右下角印有中标单位名称或标识，箱体侧面可印施工编号，箱体其他地方不能有任何标识和字体。</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20" w:name="_Toc47900883"/>
      <w:bookmarkEnd w:id="120"/>
      <w:r>
        <w:rPr>
          <w:rFonts w:hint="eastAsia" w:ascii="宋体" w:hAnsi="宋体" w:cs="宋体"/>
          <w:szCs w:val="24"/>
        </w:rPr>
        <w:t>设备箱安装要求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1、箱体的安装必须牢固稳定，具有防风和抗震措施；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2、前端箱一般采用杆装或壁装的安装方式。采用杆装或借杆安装方式的，箱体底部距离地面高度≥3米，箱体正面与立杆主支臂方向相背，机箱安装应稳固。</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3、防晒保护：由于机柜内需要放置通信设备，机柜内温度不能过高，机柜需要有一定的防晒保护，同时可以为机柜设置遮阳板，减少机柜直接受到暴晒；</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4、防湿保护：设备在露天能经受雨水，防护等级不低于IP54，电气和设备不会因为漏雨水造成短路；</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5、防尘保护：在机柜进风口和出风口处安装防尘过滤网，定期清除过滤网上灰尘，以防滤网堵塞引起机柜排热就失效；</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6、挂式机柜的承载体必须坚固（如：建筑承重墙、柱等），具有长期稳定性；挂设后不得有影响美观的明显几何偏差；挂式机箱装于室外时，应装有遮阳板。</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7、设备箱内需留足够空间提供给供电部门安装电表、远程抄表、漏电保护、空开或闸刀等。</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8、所有机箱箱体应贴上各种功能标签以便维护。箱体正面中间上面印有警徽和雪亮工程字样，箱体正面左下角印有6位区域对象码和维修报障联系电话，箱体正面右下角印有中标单位名称或标识，箱体侧面可印施工编号，箱体其他地方不能有任何标识和字体。</w:t>
      </w:r>
    </w:p>
    <w:p>
      <w:pPr>
        <w:pStyle w:val="6"/>
        <w:widowControl/>
        <w:numPr>
          <w:ilvl w:val="3"/>
          <w:numId w:val="3"/>
        </w:numPr>
        <w:ind w:left="0" w:firstLine="562"/>
        <w:rPr>
          <w:rFonts w:hint="eastAsia" w:ascii="宋体" w:hAnsi="宋体" w:cs="宋体"/>
          <w:sz w:val="24"/>
        </w:rPr>
      </w:pPr>
      <w:bookmarkStart w:id="121" w:name="_Toc47900884"/>
      <w:bookmarkEnd w:id="121"/>
      <w:r>
        <w:rPr>
          <w:rFonts w:hint="eastAsia" w:ascii="宋体" w:hAnsi="宋体" w:cs="宋体"/>
          <w:sz w:val="24"/>
        </w:rPr>
        <w:t>前端设备箱安装设计</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 xml:space="preserve"> </w:t>
      </w:r>
    </w:p>
    <w:p>
      <w:pPr>
        <w:adjustRightInd w:val="0"/>
        <w:spacing w:line="360" w:lineRule="auto"/>
        <w:jc w:val="center"/>
        <w:textAlignment w:val="baseline"/>
        <w:rPr>
          <w:rFonts w:hint="eastAsia" w:ascii="宋体" w:hAnsi="宋体" w:cs="宋体"/>
          <w:sz w:val="24"/>
        </w:rPr>
      </w:pPr>
      <w:r>
        <w:rPr>
          <w:kern w:val="0"/>
          <w:sz w:val="24"/>
          <w:lang w:bidi="ar"/>
        </w:rPr>
        <w:drawing>
          <wp:inline distT="0" distB="0" distL="114300" distR="114300">
            <wp:extent cx="5353050" cy="6029325"/>
            <wp:effectExtent l="0" t="0" r="0" b="9525"/>
            <wp:docPr id="15" name="图片 8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6" descr="IMG_269"/>
                    <pic:cNvPicPr>
                      <a:picLocks noChangeAspect="1"/>
                    </pic:cNvPicPr>
                  </pic:nvPicPr>
                  <pic:blipFill>
                    <a:blip r:embed="rId22"/>
                    <a:stretch>
                      <a:fillRect/>
                    </a:stretch>
                  </pic:blipFill>
                  <pic:spPr>
                    <a:xfrm>
                      <a:off x="0" y="0"/>
                      <a:ext cx="5353050" cy="6029325"/>
                    </a:xfrm>
                    <a:prstGeom prst="rect">
                      <a:avLst/>
                    </a:prstGeom>
                    <a:noFill/>
                    <a:ln>
                      <a:noFill/>
                    </a:ln>
                  </pic:spPr>
                </pic:pic>
              </a:graphicData>
            </a:graphic>
          </wp:inline>
        </w:drawing>
      </w:r>
      <w:r>
        <w:rPr>
          <w:rFonts w:hint="eastAsia" w:ascii="宋体" w:hAnsi="宋体" w:cs="宋体"/>
          <w:kern w:val="0"/>
          <w:sz w:val="24"/>
          <w:lang w:bidi="ar"/>
        </w:rPr>
        <w:t xml:space="preserve"> </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 xml:space="preserve"> </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22" w:name="_Toc47900885"/>
      <w:bookmarkEnd w:id="122"/>
      <w:r>
        <w:rPr>
          <w:rFonts w:hint="eastAsia" w:ascii="宋体" w:hAnsi="宋体" w:cs="宋体"/>
          <w:szCs w:val="24"/>
        </w:rPr>
        <w:t>箱及材料质量要求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1、箱体安装时，抱箍材料必须采用热镀锌材料，热镀锌材料板厚度不应小于2mm，连接螺栓、螺母、垫圈等钢铁件采用304不锈钢制作。</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2、☆取电线材质，网线材质（采用成品线），控制线材质，参考不低于设计出具的统计表。</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23" w:name="_Toc47900886"/>
      <w:bookmarkEnd w:id="123"/>
      <w:r>
        <w:rPr>
          <w:rFonts w:hint="eastAsia" w:ascii="宋体" w:hAnsi="宋体" w:cs="宋体"/>
          <w:szCs w:val="24"/>
        </w:rPr>
        <w:t>取电要求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取电应包含取电接驳点报审或协调工作电源接驳点不在同杆位置取电的应设置配电箱，配电箱设置在接驳点处，配电箱至设备机箱之间采用套管连接、并提取电源接驳点至配电箱和设备机箱之间电源线缆及连接。取电要求为：</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电压：AC 220V±10%；</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频率：50Hz±2Hz；</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额定功率：应至少满足单个点位设备正常工作所需的额定功率,并另提供100%容量冗余。</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稳定性：应达到常年稳定正常供电，因电气故障等原因年平均断电时间不超过1小时。</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☆取电电源线不低于RVV3*2.5国标线（具体型号参考设计统计），架空电源线需要套管处理</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24" w:name="_Toc501911696"/>
      <w:bookmarkEnd w:id="124"/>
      <w:bookmarkStart w:id="125" w:name="_Toc430108822"/>
      <w:bookmarkEnd w:id="125"/>
      <w:bookmarkStart w:id="126" w:name="_Toc47900887"/>
      <w:r>
        <w:rPr>
          <w:rFonts w:hint="eastAsia" w:ascii="宋体" w:hAnsi="宋体" w:cs="宋体"/>
          <w:szCs w:val="24"/>
        </w:rPr>
        <w:t>补光设计</w:t>
      </w:r>
      <w:bookmarkEnd w:id="126"/>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辅助光源应选择稳定的连续照明灯，光源类型参照GAT1202-2014-《交通技术监控成像补光装置通用技术规范》，所有环境补光设备不得影响驾驶人行驶安全。补光设备不得单独使用小角度正向集中补光，应使用大角度整体环境补光，照度达到6000Lux以上，必需避免光污染。</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现有技术中所用的补光灯都是固定工作功率，会造成能源的浪费；后台管理人员无法获知当前补光灯是否发生故障，只能通过调取夜间录像，或者实地查看来实现；对已坏的补光灯，无法及时维修，造成夜间录像无法使用。因此补光设备需具备后端集中管理平台，状态参数可在线查询，远程可关闭或开启、设备故障自动远程实时报警功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补光部分要求：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1、摄像机布点时应考虑最大限度利用已有光源。</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2、治安监控应使用稳定的连续照明设备，不得使用高频、频闪等设备。</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3、辅助光源安装位置宜高于摄像机安装位置并保持一定距离。</w:t>
      </w:r>
    </w:p>
    <w:p>
      <w:pPr>
        <w:pStyle w:val="4"/>
        <w:keepNext w:val="0"/>
        <w:keepLines w:val="0"/>
        <w:widowControl/>
        <w:numPr>
          <w:ilvl w:val="1"/>
          <w:numId w:val="3"/>
        </w:numPr>
        <w:rPr>
          <w:rFonts w:hint="eastAsia" w:ascii="宋体" w:hAnsi="宋体" w:eastAsia="宋体" w:cs="宋体"/>
          <w:sz w:val="24"/>
          <w:szCs w:val="24"/>
        </w:rPr>
      </w:pPr>
      <w:bookmarkStart w:id="127" w:name="_Toc501911689"/>
      <w:bookmarkEnd w:id="127"/>
      <w:bookmarkStart w:id="128" w:name="_Toc47900888"/>
      <w:bookmarkEnd w:id="128"/>
      <w:bookmarkStart w:id="129" w:name="_Toc494287911"/>
      <w:r>
        <w:rPr>
          <w:rFonts w:hint="eastAsia" w:ascii="宋体" w:hAnsi="宋体" w:eastAsia="宋体" w:cs="宋体"/>
          <w:sz w:val="24"/>
          <w:szCs w:val="24"/>
        </w:rPr>
        <w:t>设备安全性要求</w:t>
      </w:r>
      <w:bookmarkEnd w:id="129"/>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前端监控设备如摄像机、设备箱等均须具备良好的安全性。</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1、智能温控系统：带有加热板和温控风扇，可根据外界环境的变化，调节前端设备温湿度，延长使用寿命。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2、良好的防水功能：防护等级≥IP54，支持高级别的防水功能，以适应恶劣的户外环境。</w:t>
      </w:r>
    </w:p>
    <w:p>
      <w:pPr>
        <w:adjustRightInd w:val="0"/>
        <w:spacing w:line="360" w:lineRule="auto"/>
        <w:ind w:firstLine="480" w:firstLineChars="200"/>
        <w:jc w:val="left"/>
        <w:textAlignment w:val="baseline"/>
        <w:rPr>
          <w:rFonts w:hint="eastAsia" w:ascii="宋体" w:hAnsi="宋体" w:cs="宋体"/>
          <w:sz w:val="24"/>
        </w:rPr>
      </w:pPr>
      <w:r>
        <w:rPr>
          <w:rFonts w:hint="eastAsia" w:ascii="宋体" w:hAnsi="宋体" w:cs="宋体"/>
          <w:kern w:val="0"/>
          <w:sz w:val="24"/>
          <w:lang w:bidi="ar"/>
        </w:rPr>
        <w:t>3、防暴功能：采用抗震加固设计，可选用铝合金结构持久耐用，抗高强度冲击的外壳；采用专为城市监控报警联动设计的产品，可以有效防范恶意破坏。</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防雷功能：室外前端设备应有防雷接地。立杆应有防直击雷措施，室外前端设备（摄像机、电源、解码器、云台及摄像机快门联动装置等）应有过流过压雷电浪涌保护装置；应具备接地防雷装置并保证前端设备做好等电位联接，防雷接地电阻宜≤10Ω。接地电阻宜≤10Ω，当土壤电阻率大于2000Ω/m以上时，可放宽到20Ω。多台摄像机共地时应尽量保证接地线当量长度相等并单点接地。</w:t>
      </w:r>
    </w:p>
    <w:p>
      <w:pPr>
        <w:pStyle w:val="4"/>
        <w:keepNext w:val="0"/>
        <w:keepLines w:val="0"/>
        <w:widowControl/>
        <w:numPr>
          <w:ilvl w:val="1"/>
          <w:numId w:val="3"/>
        </w:numPr>
        <w:rPr>
          <w:rFonts w:hint="eastAsia" w:ascii="宋体" w:hAnsi="宋体" w:eastAsia="宋体" w:cs="宋体"/>
          <w:sz w:val="24"/>
          <w:szCs w:val="24"/>
        </w:rPr>
      </w:pPr>
      <w:bookmarkStart w:id="130" w:name="_Toc47900889"/>
      <w:bookmarkEnd w:id="130"/>
      <w:r>
        <w:rPr>
          <w:rFonts w:hint="eastAsia" w:ascii="宋体" w:hAnsi="宋体" w:eastAsia="宋体" w:cs="宋体"/>
          <w:sz w:val="24"/>
          <w:szCs w:val="24"/>
        </w:rPr>
        <w:t>网络系统架构</w:t>
      </w:r>
    </w:p>
    <w:p>
      <w:pPr>
        <w:adjustRightInd w:val="0"/>
        <w:spacing w:line="360" w:lineRule="auto"/>
        <w:textAlignment w:val="baseline"/>
        <w:rPr>
          <w:rFonts w:hint="eastAsia" w:ascii="宋体" w:hAnsi="宋体" w:cs="宋体"/>
          <w:sz w:val="24"/>
        </w:rPr>
      </w:pPr>
      <w:r>
        <w:rPr>
          <w:kern w:val="0"/>
          <w:sz w:val="24"/>
          <w:lang w:bidi="ar"/>
        </w:rPr>
        <w:drawing>
          <wp:inline distT="0" distB="0" distL="114300" distR="114300">
            <wp:extent cx="5762625" cy="3295650"/>
            <wp:effectExtent l="0" t="0" r="9525" b="0"/>
            <wp:docPr id="16" name="图片 8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7" descr="IMG_270"/>
                    <pic:cNvPicPr>
                      <a:picLocks noChangeAspect="1"/>
                    </pic:cNvPicPr>
                  </pic:nvPicPr>
                  <pic:blipFill>
                    <a:blip r:embed="rId23"/>
                    <a:stretch>
                      <a:fillRect/>
                    </a:stretch>
                  </pic:blipFill>
                  <pic:spPr>
                    <a:xfrm>
                      <a:off x="0" y="0"/>
                      <a:ext cx="5762625" cy="3295650"/>
                    </a:xfrm>
                    <a:prstGeom prst="rect">
                      <a:avLst/>
                    </a:prstGeom>
                    <a:noFill/>
                    <a:ln>
                      <a:noFill/>
                    </a:ln>
                  </pic:spPr>
                </pic:pic>
              </a:graphicData>
            </a:graphic>
          </wp:inline>
        </w:drawing>
      </w:r>
      <w:r>
        <w:rPr>
          <w:rFonts w:hint="eastAsia" w:ascii="宋体" w:hAnsi="宋体" w:cs="宋体"/>
          <w:kern w:val="0"/>
          <w:sz w:val="24"/>
          <w:lang w:bidi="ar"/>
        </w:rPr>
        <w:t xml:space="preserve"> </w:t>
      </w:r>
    </w:p>
    <w:p>
      <w:pPr>
        <w:adjustRightInd w:val="0"/>
        <w:spacing w:line="360" w:lineRule="auto"/>
        <w:ind w:firstLine="480" w:firstLineChars="200"/>
        <w:jc w:val="center"/>
        <w:textAlignment w:val="baseline"/>
        <w:rPr>
          <w:rFonts w:hint="eastAsia" w:ascii="宋体" w:hAnsi="宋体" w:cs="宋体"/>
          <w:sz w:val="24"/>
        </w:rPr>
      </w:pPr>
      <w:r>
        <w:rPr>
          <w:rFonts w:hint="eastAsia" w:ascii="宋体" w:hAnsi="宋体" w:cs="宋体"/>
          <w:kern w:val="0"/>
          <w:sz w:val="24"/>
          <w:lang w:bidi="ar"/>
        </w:rPr>
        <w:t>本网络架构图仅供参考，中标人根据参数要求结合自身实际组网。</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31" w:name="_Toc47900890"/>
      <w:bookmarkEnd w:id="131"/>
      <w:r>
        <w:rPr>
          <w:rFonts w:hint="eastAsia" w:ascii="宋体" w:hAnsi="宋体" w:cs="宋体"/>
          <w:szCs w:val="24"/>
        </w:rPr>
        <w:t>公安视频专网技术要求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1、在省、市、县（或辖区）三级建设公安视频专网，实现对各类治安监控、交通监控、卡口系统、车载监控、单兵装备和社会面等视频图像资源的接入、传输、共享、管理与应用；</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2、公安视频专网通过“视频安全接入系统”和“边界安全接入平台”与公安信息网相连；</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3、公安视频专网建设与管理模式参照公安信息网的建设与管理模式，实行分级建设与管理，公安视频专网应覆盖至所有市、县指挥中心和派出所监控中心；</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4、公安视频专网应支持IP协议，传输层应支持TCP和UDP协议，市、县（或辖区）二级视频专网主干网带宽不低于10000Mbps；</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5、公安视频专网的网络性能指标（网络时延、时延抖动、丢包率、包误差率）应达到YD/T 1171中规定的0级服务质量等级,网络时延上限值为150ms；时延抖动上限值为50ms；丢包率上限值为1x10</w:t>
      </w:r>
      <w:r>
        <w:rPr>
          <w:rFonts w:hint="eastAsia" w:ascii="宋体" w:hAnsi="宋体" w:cs="宋体"/>
          <w:kern w:val="0"/>
          <w:sz w:val="24"/>
          <w:vertAlign w:val="superscript"/>
          <w:lang w:bidi="ar"/>
        </w:rPr>
        <w:t>-3</w:t>
      </w:r>
      <w:r>
        <w:rPr>
          <w:rFonts w:hint="eastAsia" w:ascii="宋体" w:hAnsi="宋体" w:cs="宋体"/>
          <w:kern w:val="0"/>
          <w:sz w:val="24"/>
          <w:lang w:bidi="ar"/>
        </w:rPr>
        <w:t>；包误差率上限值为1x10</w:t>
      </w:r>
      <w:r>
        <w:rPr>
          <w:rFonts w:hint="eastAsia" w:ascii="宋体" w:hAnsi="宋体" w:cs="宋体"/>
          <w:kern w:val="0"/>
          <w:sz w:val="24"/>
          <w:vertAlign w:val="superscript"/>
          <w:lang w:bidi="ar"/>
        </w:rPr>
        <w:t>-4</w:t>
      </w:r>
      <w:r>
        <w:rPr>
          <w:rFonts w:hint="eastAsia" w:ascii="宋体" w:hAnsi="宋体" w:cs="宋体"/>
          <w:kern w:val="0"/>
          <w:sz w:val="24"/>
          <w:lang w:bidi="ar"/>
        </w:rPr>
        <w:t>；</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6、单一运营商的视频接入网传输链路可以直接接入公安视频专网，多个运营商的视频接入网汇聚及移动视频终端需通过防火墙再接入公安视频专网；</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7、政府面视频专网和社会面视频专网上的视频监控系统须经安全设备与公安视频专网相连，只允许合法视频数据及控制信令通过，对非法入侵行为进行实时阻断及溯源。</w:t>
      </w:r>
    </w:p>
    <w:p>
      <w:pPr>
        <w:pStyle w:val="89"/>
        <w:widowControl/>
        <w:spacing w:line="360" w:lineRule="auto"/>
        <w:ind w:firstLine="480"/>
        <w:rPr>
          <w:rFonts w:hint="eastAsia" w:ascii="宋体" w:hAnsi="宋体" w:cs="宋体"/>
        </w:rPr>
      </w:pPr>
      <w:r>
        <w:rPr>
          <w:rFonts w:hint="eastAsia" w:ascii="宋体" w:hAnsi="宋体" w:cs="宋体"/>
        </w:rPr>
        <w:t>8、前端视频监控摄像机、卡口抓拍单元等智能终端通过安全检查后接入公安视频专网，宜采用协议白名单等过滤机制，允许合法IP终端设备接入视频专网，实时阻断非法数据、非法用户的接入。</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32" w:name="_Toc47900891"/>
      <w:bookmarkEnd w:id="132"/>
      <w:r>
        <w:rPr>
          <w:rFonts w:hint="eastAsia" w:ascii="宋体" w:hAnsi="宋体" w:cs="宋体"/>
          <w:szCs w:val="24"/>
        </w:rPr>
        <w:t>机房之间的交换网络</w:t>
      </w:r>
    </w:p>
    <w:p>
      <w:pPr>
        <w:adjustRightInd w:val="0"/>
        <w:spacing w:line="360" w:lineRule="auto"/>
        <w:ind w:firstLine="480" w:firstLineChars="200"/>
        <w:textAlignment w:val="baseline"/>
        <w:rPr>
          <w:rFonts w:hint="eastAsia" w:ascii="宋体" w:hAnsi="宋体" w:cs="宋体"/>
          <w:sz w:val="24"/>
        </w:rPr>
      </w:pPr>
      <w:r>
        <w:rPr>
          <w:kern w:val="0"/>
          <w:sz w:val="24"/>
          <w:lang w:bidi="ar"/>
        </w:rPr>
        <w:drawing>
          <wp:inline distT="0" distB="0" distL="114300" distR="114300">
            <wp:extent cx="5486400" cy="2333625"/>
            <wp:effectExtent l="0" t="0" r="0" b="9525"/>
            <wp:docPr id="17" name="图片 8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8" descr="IMG_271"/>
                    <pic:cNvPicPr>
                      <a:picLocks noChangeAspect="1"/>
                    </pic:cNvPicPr>
                  </pic:nvPicPr>
                  <pic:blipFill>
                    <a:blip r:embed="rId24"/>
                    <a:stretch>
                      <a:fillRect/>
                    </a:stretch>
                  </pic:blipFill>
                  <pic:spPr>
                    <a:xfrm>
                      <a:off x="0" y="0"/>
                      <a:ext cx="5486400" cy="2333625"/>
                    </a:xfrm>
                    <a:prstGeom prst="rect">
                      <a:avLst/>
                    </a:prstGeom>
                    <a:noFill/>
                    <a:ln>
                      <a:noFill/>
                    </a:ln>
                  </pic:spPr>
                </pic:pic>
              </a:graphicData>
            </a:graphic>
          </wp:inline>
        </w:drawing>
      </w:r>
      <w:r>
        <w:rPr>
          <w:rFonts w:hint="eastAsia" w:ascii="宋体" w:hAnsi="宋体" w:cs="宋体"/>
          <w:kern w:val="0"/>
          <w:sz w:val="24"/>
          <w:lang w:bidi="ar"/>
        </w:rPr>
        <w:t xml:space="preserve"> </w:t>
      </w:r>
    </w:p>
    <w:p>
      <w:pPr>
        <w:adjustRightInd w:val="0"/>
        <w:spacing w:line="360" w:lineRule="auto"/>
        <w:ind w:firstLine="420" w:firstLineChars="175"/>
        <w:jc w:val="center"/>
        <w:textAlignment w:val="baseline"/>
        <w:rPr>
          <w:rFonts w:hint="eastAsia" w:ascii="宋体" w:hAnsi="宋体" w:cs="宋体"/>
          <w:sz w:val="24"/>
        </w:rPr>
      </w:pPr>
      <w:r>
        <w:rPr>
          <w:rFonts w:hint="eastAsia" w:ascii="宋体" w:hAnsi="宋体" w:cs="宋体"/>
          <w:kern w:val="0"/>
          <w:sz w:val="24"/>
          <w:lang w:bidi="ar"/>
        </w:rPr>
        <w:t>交换网络连接示意图</w:t>
      </w:r>
    </w:p>
    <w:p>
      <w:pPr>
        <w:pStyle w:val="89"/>
        <w:widowControl/>
        <w:spacing w:line="360" w:lineRule="auto"/>
        <w:ind w:firstLine="480"/>
        <w:rPr>
          <w:rFonts w:hint="eastAsia" w:ascii="宋体" w:hAnsi="宋体" w:cs="宋体"/>
        </w:rPr>
      </w:pPr>
      <w:r>
        <w:rPr>
          <w:rFonts w:hint="eastAsia" w:ascii="宋体" w:hAnsi="宋体" w:cs="宋体"/>
        </w:rPr>
        <w:t>各汇聚机房配备一台汇聚交换机，用于接入前端设备的传输网络；运营商自行设定一个核心交换机房，保证核心机房交换机和各汇聚机房交换机之间实现万兆光纤互联，同时要求核心机房交换机与公安局网络机房实现双万兆光纤互联且与集聚区分局社会视频监控中心机房实现双万兆光纤互联；各汇聚机房之间通过万兆光纤形成一个或多个环形网络。</w:t>
      </w:r>
    </w:p>
    <w:p>
      <w:pPr>
        <w:pStyle w:val="89"/>
        <w:widowControl/>
        <w:spacing w:line="360" w:lineRule="auto"/>
        <w:ind w:firstLine="480"/>
        <w:rPr>
          <w:rFonts w:hint="eastAsia" w:ascii="宋体" w:hAnsi="宋体" w:cs="宋体"/>
        </w:rPr>
      </w:pPr>
      <w:r>
        <w:rPr>
          <w:rFonts w:hint="eastAsia" w:ascii="宋体" w:hAnsi="宋体" w:cs="宋体"/>
        </w:rPr>
        <w:t>为保证后期监控系统运行，所有交换机之间的互联必须采用交换机原厂光纤模块，不得采用光纤收发器设备。</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33" w:name="_Toc47900892"/>
      <w:bookmarkEnd w:id="133"/>
      <w:r>
        <w:rPr>
          <w:rFonts w:hint="eastAsia" w:ascii="宋体" w:hAnsi="宋体" w:cs="宋体"/>
          <w:szCs w:val="24"/>
        </w:rPr>
        <w:t>机房与前端设备的传输网络技术要求</w:t>
      </w:r>
    </w:p>
    <w:p>
      <w:pPr>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本次项目由运营商自行组网，前端采用不低于千兆链路上传，后端采用光模块的方式接入运营商汇聚机房，运营商机房再通过双万兆光纤接入到集聚区分局公安局中心机房或指定机房。</w:t>
      </w:r>
    </w:p>
    <w:p>
      <w:pPr>
        <w:pStyle w:val="89"/>
        <w:widowControl/>
        <w:spacing w:line="360" w:lineRule="auto"/>
        <w:ind w:firstLine="480"/>
        <w:rPr>
          <w:rFonts w:hint="eastAsia" w:ascii="宋体" w:hAnsi="宋体" w:cs="宋体"/>
        </w:rPr>
      </w:pPr>
      <w:r>
        <w:rPr>
          <w:rFonts w:hint="eastAsia" w:ascii="宋体" w:hAnsi="宋体" w:cs="宋体"/>
        </w:rPr>
        <w:t>前端视频图像采集设备到后端机房交换机之间的传输网络包括传输光缆、光转换设备、前端汇聚/分线设备、尾纤跳线等由投标人自行负责。为保证网络畅通，减少断网事故发生，中标运营商应加强各辖区和后端机房间环路建设。</w:t>
      </w:r>
    </w:p>
    <w:p>
      <w:pPr>
        <w:pStyle w:val="89"/>
        <w:widowControl/>
        <w:spacing w:line="360" w:lineRule="auto"/>
        <w:ind w:firstLine="480"/>
        <w:rPr>
          <w:rFonts w:hint="eastAsia" w:ascii="宋体" w:hAnsi="宋体" w:cs="宋体"/>
          <w:b/>
        </w:rPr>
      </w:pPr>
      <w:r>
        <w:rPr>
          <w:rFonts w:hint="eastAsia" w:ascii="宋体" w:hAnsi="宋体" w:cs="宋体"/>
        </w:rPr>
        <w:t>☆</w:t>
      </w:r>
      <w:r>
        <w:rPr>
          <w:rFonts w:hint="eastAsia" w:ascii="宋体" w:hAnsi="宋体" w:cs="宋体"/>
          <w:b/>
        </w:rPr>
        <w:t>前端裸光纤组网，点位采用不低于1光千兆8电百兆光端机或交换机，支持基于端口的VLAN功能，前端网络汇聚点汇聚不得低于千兆，单一千兆链路汇聚摄像头不能超过10个，不得人为设置上传下载上限。（前端不允许有无线功能,所有电口都需开放，后期不得产生任何其它费用，满足其它公安业务的网络需求。）</w:t>
      </w:r>
    </w:p>
    <w:p>
      <w:pPr>
        <w:pStyle w:val="89"/>
        <w:widowControl/>
        <w:spacing w:line="360" w:lineRule="auto"/>
        <w:ind w:firstLineChars="0"/>
        <w:rPr>
          <w:rFonts w:hint="eastAsia" w:ascii="宋体" w:hAnsi="宋体" w:cs="宋体"/>
        </w:rPr>
      </w:pPr>
      <w:r>
        <w:rPr>
          <w:rFonts w:hint="eastAsia" w:ascii="宋体" w:hAnsi="宋体" w:cs="宋体"/>
        </w:rPr>
        <w:t>前端视频图像采集设备到后端机房交换机之间的传输网络包括传输光缆、光转换设备、前端汇聚/分线设备、尾纤跳线等；允许投标人采用裸光纤方式组网。</w:t>
      </w:r>
    </w:p>
    <w:p>
      <w:pPr>
        <w:pStyle w:val="89"/>
        <w:widowControl/>
        <w:spacing w:line="360" w:lineRule="auto"/>
        <w:ind w:firstLineChars="0"/>
        <w:rPr>
          <w:rFonts w:hint="eastAsia" w:ascii="宋体" w:hAnsi="宋体" w:cs="宋体"/>
        </w:rPr>
      </w:pPr>
      <w:r>
        <w:rPr>
          <w:rFonts w:hint="eastAsia" w:ascii="宋体" w:hAnsi="宋体" w:cs="宋体"/>
        </w:rPr>
        <w:t>采用裸光纤方式组网，则要求自行增加汇聚交换机相应数量的扩展板卡来实现接口数增加。</w:t>
      </w:r>
    </w:p>
    <w:p>
      <w:pPr>
        <w:pStyle w:val="89"/>
        <w:widowControl/>
        <w:spacing w:line="360" w:lineRule="auto"/>
        <w:ind w:firstLineChars="0"/>
        <w:rPr>
          <w:rFonts w:hint="eastAsia" w:ascii="宋体" w:hAnsi="宋体" w:cs="宋体"/>
        </w:rPr>
      </w:pPr>
      <w:r>
        <w:rPr>
          <w:rFonts w:hint="eastAsia" w:ascii="宋体" w:hAnsi="宋体" w:cs="宋体"/>
        </w:rPr>
        <w:t>机房与前端设备的传输网络必须提供相应的网络管控软件，至少包含以下功能：</w:t>
      </w:r>
    </w:p>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1、图形化显示网络拓扑和链路通断状态，支持拓扑自动生成、设备接入发现；</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2、支持设备接入安全认证，未经授权的设备无法接入网络；可实现通过MAC地址、用户名、端口等方式的接入安全认证；</w:t>
      </w:r>
    </w:p>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3、提供多级用户管理，不同用户具有不同权限，支持操作日志，日常操作可回溯；</w:t>
      </w:r>
    </w:p>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4、提供SDK开发包，支持标准SNMP网管，支持二次开发；</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5、设备支持端口白名单管理，网络数据量大，带宽有限情况下，首先保障白名单中的端口视频无卡顿；</w:t>
      </w:r>
    </w:p>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6、上行访问控制功能，可实现对上行访问行为管控，对非法或可疑访问进行屏蔽；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7、冗余端口关闭功能，无设备接入的端口，可关闭，当检测到有设备接入且通过安全评估后启动端口；</w:t>
      </w:r>
    </w:p>
    <w:p>
      <w:pPr>
        <w:pStyle w:val="89"/>
        <w:widowControl/>
        <w:spacing w:line="360" w:lineRule="auto"/>
        <w:ind w:firstLine="480"/>
        <w:rPr>
          <w:rFonts w:hint="eastAsia" w:ascii="宋体" w:hAnsi="宋体" w:cs="宋体"/>
        </w:rPr>
      </w:pPr>
      <w:r>
        <w:rPr>
          <w:rFonts w:hint="eastAsia" w:ascii="宋体" w:hAnsi="宋体" w:cs="宋体"/>
        </w:rPr>
        <w:t>8、MAC地址过滤功能，可对接入的设备MAC地址进行识别，对可疑MAC地址进行屏蔽。</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34" w:name="_Toc47900893"/>
      <w:bookmarkEnd w:id="134"/>
      <w:r>
        <w:rPr>
          <w:rFonts w:hint="eastAsia" w:ascii="宋体" w:hAnsi="宋体" w:cs="宋体"/>
          <w:szCs w:val="24"/>
        </w:rPr>
        <w:t>前端设备网络安全接入及数据安全要求</w:t>
      </w:r>
    </w:p>
    <w:p>
      <w:pPr>
        <w:pStyle w:val="89"/>
        <w:widowControl/>
        <w:spacing w:line="360" w:lineRule="auto"/>
        <w:ind w:firstLine="480"/>
        <w:rPr>
          <w:rFonts w:hint="eastAsia" w:ascii="宋体" w:hAnsi="宋体" w:cs="宋体"/>
        </w:rPr>
      </w:pPr>
      <w:r>
        <w:rPr>
          <w:rFonts w:hint="eastAsia" w:ascii="宋体" w:hAnsi="宋体" w:cs="宋体"/>
        </w:rPr>
        <w:t>监控设备和系统必须严格遵循《公安信息通信网边界接入平台安全规范》（公科信[2011]5号）接入公安信息网络，数据必须符合公安保密安全要求，数据未经业主同意不能挪作他用。</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35" w:name="_Toc47900894"/>
      <w:bookmarkEnd w:id="135"/>
      <w:r>
        <w:rPr>
          <w:rFonts w:hint="eastAsia" w:ascii="宋体" w:hAnsi="宋体" w:cs="宋体"/>
          <w:szCs w:val="24"/>
        </w:rPr>
        <w:t>机房与前端设备的传输网络技术要求</w:t>
      </w:r>
    </w:p>
    <w:p>
      <w:pPr>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1、前端千兆上传到各辖区汇聚。</w:t>
      </w:r>
    </w:p>
    <w:p>
      <w:pPr>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2、各辖区汇聚以万兆链路与核心进行组网，并要求自行进行环网组建，保证辖区发生网络链路故障时还可以提供不间断链路服务，保证网络畅通。</w:t>
      </w:r>
    </w:p>
    <w:p>
      <w:pPr>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3、提供双万兆链路方式公安局或指定机房进行连接。</w:t>
      </w:r>
    </w:p>
    <w:p>
      <w:pPr>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4、交换机传输设备都需具备MPLS协议，支持基于端口的VLAN。(附件、详见相应交换机参数表)</w:t>
      </w:r>
    </w:p>
    <w:p>
      <w:pPr>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5、本项目所有未尽事宜由中标单位自行考虑，合理配置，所有网络交换设备应该与核心品牌保持一致。</w:t>
      </w:r>
    </w:p>
    <w:p>
      <w:pPr>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6、为保证网络畅通，减少断网事故发生，中标运营商应加强后端机房间环路建设。</w:t>
      </w:r>
    </w:p>
    <w:p>
      <w:pPr>
        <w:pStyle w:val="4"/>
        <w:keepNext w:val="0"/>
        <w:keepLines w:val="0"/>
        <w:widowControl/>
        <w:numPr>
          <w:ilvl w:val="1"/>
          <w:numId w:val="3"/>
        </w:numPr>
        <w:rPr>
          <w:rFonts w:hint="eastAsia" w:ascii="宋体" w:hAnsi="宋体" w:eastAsia="宋体" w:cs="宋体"/>
          <w:sz w:val="24"/>
          <w:szCs w:val="24"/>
        </w:rPr>
      </w:pPr>
      <w:bookmarkStart w:id="136" w:name="_Toc47900895"/>
      <w:bookmarkEnd w:id="136"/>
      <w:bookmarkStart w:id="137" w:name="OLE_LINK1"/>
      <w:r>
        <w:rPr>
          <w:rFonts w:hint="eastAsia" w:ascii="宋体" w:hAnsi="宋体" w:eastAsia="宋体" w:cs="宋体"/>
          <w:sz w:val="24"/>
          <w:szCs w:val="24"/>
        </w:rPr>
        <w:t>平台结构及存储平台建设</w:t>
      </w:r>
      <w:bookmarkEnd w:id="137"/>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38" w:name="_Toc47900896"/>
      <w:bookmarkEnd w:id="138"/>
      <w:r>
        <w:rPr>
          <w:rFonts w:hint="eastAsia" w:ascii="宋体" w:hAnsi="宋体" w:cs="宋体"/>
          <w:szCs w:val="24"/>
        </w:rPr>
        <w:t>存储配置及功能</w:t>
      </w:r>
    </w:p>
    <w:p>
      <w:pPr>
        <w:pStyle w:val="6"/>
        <w:widowControl/>
        <w:numPr>
          <w:ilvl w:val="3"/>
          <w:numId w:val="3"/>
        </w:numPr>
        <w:ind w:left="0" w:firstLine="562"/>
        <w:rPr>
          <w:rFonts w:hint="eastAsia" w:ascii="宋体" w:hAnsi="宋体" w:cs="宋体"/>
          <w:sz w:val="24"/>
        </w:rPr>
      </w:pPr>
      <w:bookmarkStart w:id="139" w:name="_Toc47900897"/>
      <w:bookmarkEnd w:id="139"/>
      <w:r>
        <w:rPr>
          <w:rFonts w:hint="eastAsia" w:ascii="宋体" w:hAnsi="宋体" w:cs="宋体"/>
          <w:sz w:val="24"/>
        </w:rPr>
        <w:t>系统概述</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在视频监控领域的十余年间，历经模拟监控、数字监控和网络监控，一直致力于为客户提供专业的一体化视频监控解决方案。结合现在监控市场的应用需求，推出了存储设备嵌入平台软件的整体解决方案。</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存储单元不仅仅是独立的存储，而是与平台和设备紧密相连，实现了集录像、浏览、下载、回放、联网等功能于一体的网络视频监控存储系统。系统主要由硬件平台和存储软件模块组成，并根据智能化监控的应用需求，融合对车牌识别、人脸识别等业务数据的存储。</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网络存储产品是基于IP网络的海量存储系统，为用户提供高性价比、稳定可靠的媒体数据存储，专门应用于视频监控行业。根据不同的应用场景，有多个产品系列可供选择。所有系列均根据视频监控媒体存储的特点（写多读少、基本无修改、数据量大、稳定性要求高等）进行特殊优化处理。</w:t>
      </w:r>
    </w:p>
    <w:p>
      <w:pPr>
        <w:pStyle w:val="89"/>
        <w:widowControl/>
        <w:spacing w:line="360" w:lineRule="auto"/>
        <w:ind w:firstLine="480"/>
        <w:rPr>
          <w:rFonts w:hint="eastAsia" w:ascii="宋体" w:hAnsi="宋体" w:cs="宋体"/>
        </w:rPr>
      </w:pPr>
      <w:r>
        <w:rPr>
          <w:rFonts w:hint="eastAsia" w:ascii="宋体" w:hAnsi="宋体" w:cs="宋体"/>
        </w:rPr>
        <w:t>均采用模块化设计，冗余电源，冗余风扇，部分型号采用冗余控制器，支持热插拔。所有产品型号均支持nView平台统一网管。系统内部数据采用块式组织，无文件系统，永无碎片。可方便实现录像的快放、慢放、拖放、单帧放，还支持秒级定位与秒级时移回放。</w:t>
      </w:r>
    </w:p>
    <w:p>
      <w:pPr>
        <w:pStyle w:val="6"/>
        <w:widowControl/>
        <w:numPr>
          <w:ilvl w:val="3"/>
          <w:numId w:val="3"/>
        </w:numPr>
        <w:rPr>
          <w:rFonts w:hint="eastAsia" w:ascii="宋体" w:hAnsi="宋体" w:cs="宋体"/>
          <w:sz w:val="24"/>
        </w:rPr>
      </w:pPr>
      <w:bookmarkStart w:id="140" w:name="_Toc47900898"/>
      <w:bookmarkEnd w:id="140"/>
      <w:r>
        <w:rPr>
          <w:rFonts w:hint="eastAsia" w:ascii="宋体" w:hAnsi="宋体" w:cs="宋体"/>
          <w:sz w:val="24"/>
        </w:rPr>
        <w:t>系统组成</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1.存储主机+存储存储软件模块  2.企业级6T硬盘</w:t>
      </w:r>
    </w:p>
    <w:p>
      <w:pPr>
        <w:pStyle w:val="6"/>
        <w:widowControl/>
        <w:numPr>
          <w:ilvl w:val="3"/>
          <w:numId w:val="3"/>
        </w:numPr>
        <w:rPr>
          <w:rFonts w:hint="eastAsia" w:ascii="宋体" w:hAnsi="宋体" w:cs="宋体"/>
          <w:sz w:val="24"/>
        </w:rPr>
      </w:pPr>
      <w:bookmarkStart w:id="141" w:name="_Toc47900899"/>
      <w:bookmarkEnd w:id="141"/>
      <w:r>
        <w:rPr>
          <w:rFonts w:hint="eastAsia" w:ascii="宋体" w:hAnsi="宋体" w:cs="宋体"/>
          <w:sz w:val="24"/>
        </w:rPr>
        <w:t>系统拓扑图</w:t>
      </w:r>
    </w:p>
    <w:p>
      <w:pPr>
        <w:adjustRightInd w:val="0"/>
        <w:spacing w:line="360" w:lineRule="auto"/>
        <w:ind w:firstLine="480" w:firstLineChars="200"/>
        <w:textAlignment w:val="baseline"/>
        <w:rPr>
          <w:rFonts w:hint="eastAsia" w:ascii="宋体" w:hAnsi="宋体" w:cs="宋体"/>
          <w:sz w:val="24"/>
        </w:rPr>
      </w:pPr>
      <w:r>
        <w:rPr>
          <w:kern w:val="0"/>
          <w:sz w:val="24"/>
          <w:lang w:bidi="ar"/>
        </w:rPr>
        <w:drawing>
          <wp:inline distT="0" distB="0" distL="114300" distR="114300">
            <wp:extent cx="5705475" cy="2743200"/>
            <wp:effectExtent l="0" t="0" r="9525" b="0"/>
            <wp:docPr id="18" name="图片 8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9" descr="IMG_272"/>
                    <pic:cNvPicPr>
                      <a:picLocks noChangeAspect="1"/>
                    </pic:cNvPicPr>
                  </pic:nvPicPr>
                  <pic:blipFill>
                    <a:blip r:embed="rId25"/>
                    <a:stretch>
                      <a:fillRect/>
                    </a:stretch>
                  </pic:blipFill>
                  <pic:spPr>
                    <a:xfrm>
                      <a:off x="0" y="0"/>
                      <a:ext cx="5705475" cy="2743200"/>
                    </a:xfrm>
                    <a:prstGeom prst="rect">
                      <a:avLst/>
                    </a:prstGeom>
                    <a:noFill/>
                    <a:ln>
                      <a:noFill/>
                    </a:ln>
                  </pic:spPr>
                </pic:pic>
              </a:graphicData>
            </a:graphic>
          </wp:inline>
        </w:drawing>
      </w:r>
      <w:r>
        <w:rPr>
          <w:rFonts w:hint="eastAsia" w:ascii="宋体" w:hAnsi="宋体" w:cs="宋体"/>
          <w:kern w:val="0"/>
          <w:sz w:val="24"/>
          <w:lang w:bidi="ar"/>
        </w:rPr>
        <w:t xml:space="preserve"> </w:t>
      </w:r>
    </w:p>
    <w:p>
      <w:pPr>
        <w:pStyle w:val="6"/>
        <w:widowControl/>
        <w:numPr>
          <w:ilvl w:val="3"/>
          <w:numId w:val="3"/>
        </w:numPr>
        <w:rPr>
          <w:rFonts w:hint="eastAsia" w:ascii="宋体" w:hAnsi="宋体" w:cs="宋体"/>
          <w:sz w:val="24"/>
        </w:rPr>
      </w:pPr>
      <w:bookmarkStart w:id="142" w:name="_Toc47900900"/>
      <w:bookmarkEnd w:id="142"/>
      <w:r>
        <w:rPr>
          <w:rFonts w:hint="eastAsia" w:ascii="宋体" w:hAnsi="宋体" w:cs="宋体"/>
          <w:sz w:val="24"/>
        </w:rPr>
        <w:t>系统配置原则</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录像存储计算原则：本次采用4U24盘位存储设备（含24块6TB企业级硬盘），考虑数据的安全性需占用1块硬盘做RAID5、2块用于热备，总共有效盘为21块，单台设备总有效空间为0.9×6TB×21块=113.4TB。</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本次项目录像存储总量计算（考虑到案件、**等录像冻结，总容量留有5%冗余）,普通视频（含人脸）录像存储30天，**重点安保点录像存储90天，图片存储时间不得低于1年，过车记录和操作日志存储时间不得低于3年。从录像系统安全性考虑，另外考虑10+1备份模式。</w:t>
      </w:r>
    </w:p>
    <w:p>
      <w:pPr>
        <w:pStyle w:val="6"/>
        <w:widowControl/>
        <w:numPr>
          <w:ilvl w:val="3"/>
          <w:numId w:val="3"/>
        </w:numPr>
        <w:rPr>
          <w:rFonts w:hint="eastAsia" w:ascii="宋体" w:hAnsi="宋体" w:cs="宋体"/>
          <w:sz w:val="24"/>
        </w:rPr>
      </w:pPr>
      <w:bookmarkStart w:id="143" w:name="_Toc47900901"/>
      <w:bookmarkEnd w:id="143"/>
      <w:r>
        <w:rPr>
          <w:rFonts w:hint="eastAsia" w:ascii="宋体" w:hAnsi="宋体" w:cs="宋体"/>
          <w:sz w:val="24"/>
        </w:rPr>
        <w:t>系统实现功能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1、存储支持读写属性配置，对于一些突发情况时需要对整台存储进行保护时，可方便配置“只读”属性。对于重要的录像，系统支持冻结功能，防止循环录像时对重要录像数据的覆盖。</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前端设备优先直接连接存储进行录像，如果设备直接访问存储不通时，系统将通过媒体转发服务进行录像存储。在用户访问存储的录像时（回放、下载），系统优先选择用户直接连接存储；如果用户和存储之间链路不通，系统将通过媒体转发服务器进行自动路由。</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3、系统具有RAID保护机制，并支持“N+M”集群部署，具有较高的稳定性和可靠性,应具有一定容量的自动冗余备份能力。一旦检测到主用存储故障时，录像将直接切换到备用存储。在主用存储恢复后，重新切换相应录像。</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设备正在录像时，如果由于线路或平台的原因导致连接中断。存储设备具有掉电保护功能，掉电时录像数据不会丢失和损坏，恢复供电后能自动进入正常工作状态；支持直写，在与流媒体转发服务断线情况下能保持存储功能不受影响；避免长期循环复写产生的 文件碎片问题。</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5、系统支持录像在线剪辑功能，用户在可以随意标记和记录感兴趣的录像片段。这些片段可以进行编辑，回放和下载。支持快速定位、回放和下载满足业务应用需求；支持录像锁定/解锁，保障重要数据不被覆盖。存储支持系统统一网管，系统的录像情况、运行状态一目了然。</w:t>
      </w:r>
    </w:p>
    <w:p>
      <w:pPr>
        <w:pStyle w:val="6"/>
        <w:widowControl/>
        <w:numPr>
          <w:ilvl w:val="3"/>
          <w:numId w:val="3"/>
        </w:numPr>
        <w:rPr>
          <w:rFonts w:hint="eastAsia" w:ascii="宋体" w:hAnsi="宋体" w:cs="宋体"/>
          <w:sz w:val="24"/>
        </w:rPr>
      </w:pPr>
      <w:bookmarkStart w:id="144" w:name="_Toc47900902"/>
      <w:bookmarkEnd w:id="144"/>
      <w:r>
        <w:rPr>
          <w:rFonts w:hint="eastAsia" w:ascii="宋体" w:hAnsi="宋体" w:cs="宋体"/>
          <w:sz w:val="24"/>
        </w:rPr>
        <w:t>雪亮工程期存储计算依据</w:t>
      </w:r>
    </w:p>
    <w:p>
      <w:pPr>
        <w:autoSpaceDE w:val="0"/>
        <w:autoSpaceDN w:val="0"/>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人脸和其它点位录像30天计算。</w:t>
      </w:r>
    </w:p>
    <w:p>
      <w:pPr>
        <w:autoSpaceDE w:val="0"/>
        <w:autoSpaceDN w:val="0"/>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按每车道日均6000辆流量估算；</w:t>
      </w:r>
    </w:p>
    <w:p>
      <w:pPr>
        <w:autoSpaceDE w:val="0"/>
        <w:autoSpaceDN w:val="0"/>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400万摄像机输出照片文件平均大小600K、900万摄像机输出照片文件平均大小1024K测算</w:t>
      </w:r>
    </w:p>
    <w:p>
      <w:pPr>
        <w:autoSpaceDE w:val="0"/>
        <w:autoSpaceDN w:val="0"/>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图片存储180天。</w:t>
      </w:r>
    </w:p>
    <w:p>
      <w:pPr>
        <w:autoSpaceDE w:val="0"/>
        <w:autoSpaceDN w:val="0"/>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冗余15%(含特殊安保点位90天存储）</w:t>
      </w:r>
    </w:p>
    <w:p>
      <w:pPr>
        <w:autoSpaceDE w:val="0"/>
        <w:autoSpaceDN w:val="0"/>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每台24块6T硬盘算</w:t>
      </w:r>
    </w:p>
    <w:p>
      <w:pPr>
        <w:autoSpaceDE w:val="0"/>
        <w:autoSpaceDN w:val="0"/>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视频存储和图片存储放中心机房</w:t>
      </w:r>
    </w:p>
    <w:p>
      <w:pPr>
        <w:pStyle w:val="4"/>
        <w:keepNext w:val="0"/>
        <w:keepLines w:val="0"/>
        <w:widowControl/>
        <w:numPr>
          <w:ilvl w:val="1"/>
          <w:numId w:val="3"/>
        </w:numPr>
        <w:rPr>
          <w:rFonts w:hint="eastAsia" w:ascii="宋体" w:hAnsi="宋体" w:eastAsia="宋体" w:cs="宋体"/>
          <w:sz w:val="24"/>
          <w:szCs w:val="24"/>
        </w:rPr>
      </w:pPr>
      <w:bookmarkStart w:id="145" w:name="_Toc47900903"/>
      <w:bookmarkEnd w:id="145"/>
      <w:r>
        <w:rPr>
          <w:rFonts w:hint="eastAsia" w:ascii="宋体" w:hAnsi="宋体" w:eastAsia="宋体" w:cs="宋体"/>
          <w:sz w:val="24"/>
          <w:szCs w:val="24"/>
        </w:rPr>
        <w:t>机房建设</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46" w:name="_Toc47900904"/>
      <w:bookmarkEnd w:id="146"/>
      <w:r>
        <w:rPr>
          <w:rFonts w:hint="eastAsia" w:ascii="宋体" w:hAnsi="宋体" w:cs="宋体"/>
          <w:szCs w:val="24"/>
        </w:rPr>
        <w:t>总体要求</w:t>
      </w:r>
    </w:p>
    <w:p>
      <w:pPr>
        <w:pStyle w:val="89"/>
        <w:widowControl/>
        <w:spacing w:line="360" w:lineRule="auto"/>
        <w:ind w:firstLine="480"/>
        <w:rPr>
          <w:rFonts w:hint="eastAsia" w:ascii="宋体" w:hAnsi="宋体" w:cs="宋体"/>
        </w:rPr>
      </w:pPr>
      <w:r>
        <w:rPr>
          <w:rFonts w:hint="eastAsia" w:ascii="宋体" w:hAnsi="宋体" w:cs="宋体"/>
        </w:rPr>
        <w:t>为保证社会视频监控系统的安全可靠地运行，机房要求至少符合以下标准：</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《标准电子计算机机房设计规范》（GB50174-1993）</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《电气装置安装工程接地装置施工及验收规范》（GB50169-1992）</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《计算机场地通用规范》（GB/T2887）</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《民用闭路监视电视系统工程技术规范》（GB 50198）</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《数据中心设计规范》（GB 50174-2017）</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47" w:name="_Toc47900905"/>
      <w:bookmarkEnd w:id="147"/>
      <w:r>
        <w:rPr>
          <w:rFonts w:hint="eastAsia" w:ascii="宋体" w:hAnsi="宋体" w:cs="宋体"/>
          <w:szCs w:val="24"/>
        </w:rPr>
        <w:t>环境要求</w:t>
      </w:r>
    </w:p>
    <w:p>
      <w:pPr>
        <w:pStyle w:val="89"/>
        <w:widowControl/>
        <w:spacing w:line="360" w:lineRule="auto"/>
        <w:ind w:firstLine="480"/>
        <w:rPr>
          <w:rFonts w:hint="eastAsia" w:ascii="宋体" w:hAnsi="宋体" w:cs="宋体"/>
        </w:rPr>
      </w:pPr>
      <w:r>
        <w:rPr>
          <w:rFonts w:hint="eastAsia" w:ascii="宋体" w:hAnsi="宋体" w:cs="宋体"/>
        </w:rPr>
        <w:t>1、温度15℃-24℃；</w:t>
      </w:r>
    </w:p>
    <w:p>
      <w:pPr>
        <w:pStyle w:val="89"/>
        <w:widowControl/>
        <w:spacing w:line="360" w:lineRule="auto"/>
        <w:ind w:firstLine="480"/>
        <w:rPr>
          <w:rFonts w:hint="eastAsia" w:ascii="宋体" w:hAnsi="宋体" w:cs="宋体"/>
        </w:rPr>
      </w:pPr>
      <w:r>
        <w:rPr>
          <w:rFonts w:hint="eastAsia" w:ascii="宋体" w:hAnsi="宋体" w:cs="宋体"/>
        </w:rPr>
        <w:t>2、湿度40%～55%，不凝露；</w:t>
      </w:r>
    </w:p>
    <w:p>
      <w:pPr>
        <w:pStyle w:val="89"/>
        <w:widowControl/>
        <w:spacing w:line="360" w:lineRule="auto"/>
        <w:ind w:firstLine="480"/>
        <w:rPr>
          <w:rFonts w:hint="eastAsia" w:ascii="宋体" w:hAnsi="宋体" w:cs="宋体"/>
        </w:rPr>
      </w:pPr>
      <w:r>
        <w:rPr>
          <w:rFonts w:hint="eastAsia" w:ascii="宋体" w:hAnsi="宋体" w:cs="宋体"/>
        </w:rPr>
        <w:t>3、主机房内正常照明不应低于300Lux；</w:t>
      </w:r>
    </w:p>
    <w:p>
      <w:pPr>
        <w:pStyle w:val="89"/>
        <w:widowControl/>
        <w:spacing w:line="360" w:lineRule="auto"/>
        <w:ind w:firstLine="480"/>
        <w:rPr>
          <w:rFonts w:hint="eastAsia" w:ascii="宋体" w:hAnsi="宋体" w:cs="宋体"/>
        </w:rPr>
      </w:pPr>
      <w:r>
        <w:rPr>
          <w:rFonts w:hint="eastAsia" w:ascii="宋体" w:hAnsi="宋体" w:cs="宋体"/>
        </w:rPr>
        <w:t>4、机房内无线电干扰场强不大于126dB（µV/m）。</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48" w:name="_Toc47900906"/>
      <w:bookmarkEnd w:id="148"/>
      <w:r>
        <w:rPr>
          <w:rFonts w:hint="eastAsia" w:ascii="宋体" w:hAnsi="宋体" w:cs="宋体"/>
          <w:szCs w:val="24"/>
        </w:rPr>
        <w:t>供电要求</w:t>
      </w:r>
    </w:p>
    <w:p>
      <w:pPr>
        <w:pStyle w:val="89"/>
        <w:widowControl/>
        <w:spacing w:line="360" w:lineRule="auto"/>
        <w:ind w:firstLine="480"/>
        <w:rPr>
          <w:rFonts w:hint="eastAsia" w:ascii="宋体" w:hAnsi="宋体" w:cs="宋体"/>
        </w:rPr>
      </w:pPr>
      <w:r>
        <w:rPr>
          <w:rFonts w:hint="eastAsia" w:ascii="宋体" w:hAnsi="宋体" w:cs="宋体"/>
        </w:rPr>
        <w:t>1、机房应独立供电，设备供电和空调照明供电必须分为两个独立回路；</w:t>
      </w:r>
    </w:p>
    <w:p>
      <w:pPr>
        <w:pStyle w:val="89"/>
        <w:widowControl/>
        <w:spacing w:line="360" w:lineRule="auto"/>
        <w:ind w:firstLine="480"/>
        <w:rPr>
          <w:rFonts w:hint="eastAsia" w:ascii="宋体" w:hAnsi="宋体" w:cs="宋体"/>
        </w:rPr>
      </w:pPr>
      <w:r>
        <w:rPr>
          <w:rFonts w:hint="eastAsia" w:ascii="宋体" w:hAnsi="宋体" w:cs="宋体"/>
        </w:rPr>
        <w:t>2、应配备不间断供电系统（UPS或通信直流供电系统），采用双回路供电和备用发电设备的机房，UPS系统或通信直流供电系统设计后备时间不小于4小时；按本次规划的设备总用电量的1.3倍以上进行预留；</w:t>
      </w:r>
    </w:p>
    <w:p>
      <w:pPr>
        <w:pStyle w:val="89"/>
        <w:widowControl/>
        <w:spacing w:line="360" w:lineRule="auto"/>
        <w:ind w:left="560" w:leftChars="200" w:firstLine="0" w:firstLineChars="0"/>
        <w:rPr>
          <w:rFonts w:hint="eastAsia" w:ascii="宋体" w:hAnsi="宋体" w:cs="宋体"/>
        </w:rPr>
      </w:pPr>
      <w:r>
        <w:rPr>
          <w:rFonts w:hint="eastAsia" w:ascii="宋体" w:hAnsi="宋体" w:cs="宋体"/>
        </w:rPr>
        <w:t xml:space="preserve">3、稳态电压偏移范围±5％；稳态频率偏移范围±0.5Hz；电压波形畸变率不大于5%。 </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49" w:name="_Toc47900907"/>
      <w:bookmarkEnd w:id="149"/>
      <w:r>
        <w:rPr>
          <w:rFonts w:hint="eastAsia" w:ascii="宋体" w:hAnsi="宋体" w:cs="宋体"/>
          <w:szCs w:val="24"/>
        </w:rPr>
        <w:t>接地电阻</w:t>
      </w:r>
    </w:p>
    <w:p>
      <w:pPr>
        <w:pStyle w:val="89"/>
        <w:widowControl/>
        <w:spacing w:line="360" w:lineRule="auto"/>
        <w:ind w:firstLine="480"/>
        <w:rPr>
          <w:rFonts w:hint="eastAsia" w:ascii="宋体" w:hAnsi="宋体" w:cs="宋体"/>
        </w:rPr>
      </w:pPr>
      <w:r>
        <w:rPr>
          <w:rFonts w:hint="eastAsia" w:ascii="宋体" w:hAnsi="宋体" w:cs="宋体"/>
        </w:rPr>
        <w:t>机房的防雷和接地设计，应满足人身安全及电子信息系统正常运行的要求，并应符合现行国家标准。联合接地电阻不大于1Ω；安全保护接地电阻不大于4Ω；防雷接地电阻不大于4Ω。</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50" w:name="_Toc47900908"/>
      <w:bookmarkEnd w:id="150"/>
      <w:r>
        <w:rPr>
          <w:rFonts w:hint="eastAsia" w:ascii="宋体" w:hAnsi="宋体" w:cs="宋体"/>
          <w:szCs w:val="24"/>
        </w:rPr>
        <w:t>消防要求</w:t>
      </w:r>
    </w:p>
    <w:p>
      <w:pPr>
        <w:pStyle w:val="89"/>
        <w:widowControl/>
        <w:spacing w:line="360" w:lineRule="auto"/>
        <w:ind w:firstLine="480"/>
        <w:rPr>
          <w:rFonts w:hint="eastAsia" w:ascii="宋体" w:hAnsi="宋体" w:cs="宋体"/>
        </w:rPr>
      </w:pPr>
      <w:r>
        <w:rPr>
          <w:rFonts w:hint="eastAsia" w:ascii="宋体" w:hAnsi="宋体" w:cs="宋体"/>
        </w:rPr>
        <w:t>消防应符合国家消防规范的有关规定，机房应当具有相应的消防灭火系统，并具有火灾报警系统，且火灾报警系统应与灭火系统联动。</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51" w:name="_Toc47900909"/>
      <w:bookmarkEnd w:id="151"/>
      <w:r>
        <w:rPr>
          <w:rFonts w:hint="eastAsia" w:ascii="宋体" w:hAnsi="宋体" w:cs="宋体"/>
          <w:szCs w:val="24"/>
        </w:rPr>
        <w:t>动力环境监控系统</w:t>
      </w:r>
    </w:p>
    <w:p>
      <w:pPr>
        <w:pStyle w:val="89"/>
        <w:widowControl/>
        <w:spacing w:line="360" w:lineRule="auto"/>
        <w:ind w:firstLine="482"/>
        <w:rPr>
          <w:rFonts w:hint="eastAsia" w:ascii="宋体" w:hAnsi="宋体" w:cs="宋体"/>
          <w:b/>
        </w:rPr>
      </w:pPr>
      <w:r>
        <w:rPr>
          <w:rFonts w:hint="eastAsia" w:ascii="宋体" w:hAnsi="宋体" w:cs="宋体"/>
          <w:b/>
        </w:rPr>
        <w:t>具有动力环境监控系统，对机房的温度、湿度、电力供应、设备运行状态等进行及时监控；全部机房的监控系统需实现集中控制。</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52" w:name="_Toc47900910"/>
      <w:bookmarkEnd w:id="152"/>
      <w:r>
        <w:rPr>
          <w:rFonts w:hint="eastAsia" w:ascii="宋体" w:hAnsi="宋体" w:cs="宋体"/>
          <w:szCs w:val="24"/>
        </w:rPr>
        <w:t>汇聚/核心网络设备</w:t>
      </w:r>
    </w:p>
    <w:p>
      <w:pPr>
        <w:pStyle w:val="89"/>
        <w:widowControl/>
        <w:spacing w:line="360" w:lineRule="auto"/>
        <w:ind w:firstLine="480"/>
        <w:rPr>
          <w:rFonts w:hint="eastAsia" w:ascii="宋体" w:hAnsi="宋体" w:cs="宋体"/>
        </w:rPr>
      </w:pPr>
      <w:r>
        <w:rPr>
          <w:rFonts w:hint="eastAsia" w:ascii="宋体" w:hAnsi="宋体" w:cs="宋体"/>
        </w:rPr>
        <w:t>机房提供的核心/汇聚网络设备必须达到以下要求：</w:t>
      </w:r>
    </w:p>
    <w:tbl>
      <w:tblPr>
        <w:tblStyle w:val="37"/>
        <w:tblW w:w="856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3"/>
        <w:gridCol w:w="99"/>
        <w:gridCol w:w="7"/>
        <w:gridCol w:w="74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66" w:type="dxa"/>
            <w:gridSpan w:val="4"/>
            <w:tcBorders>
              <w:top w:val="single" w:color="auto" w:sz="12" w:space="0"/>
              <w:left w:val="single" w:color="auto" w:sz="12" w:space="0"/>
              <w:bottom w:val="single" w:color="auto" w:sz="4" w:space="0"/>
              <w:right w:val="single" w:color="auto" w:sz="12" w:space="0"/>
            </w:tcBorders>
            <w:noWrap w:val="0"/>
            <w:vAlign w:val="center"/>
          </w:tcPr>
          <w:p>
            <w:pPr>
              <w:pStyle w:val="89"/>
              <w:widowControl/>
              <w:ind w:firstLine="0" w:firstLineChars="0"/>
              <w:jc w:val="center"/>
              <w:rPr>
                <w:rFonts w:hint="eastAsia" w:ascii="宋体" w:hAnsi="宋体" w:cs="宋体"/>
              </w:rPr>
            </w:pPr>
            <w:r>
              <w:rPr>
                <w:rFonts w:hint="eastAsia" w:ascii="宋体" w:hAnsi="宋体" w:cs="宋体"/>
                <w:b/>
              </w:rPr>
              <w:t>核心交换设备参数要求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93" w:type="dxa"/>
            <w:tcBorders>
              <w:top w:val="single" w:color="auto" w:sz="4" w:space="0"/>
              <w:left w:val="single" w:color="auto" w:sz="12" w:space="0"/>
              <w:bottom w:val="single" w:color="auto" w:sz="4" w:space="0"/>
              <w:right w:val="single" w:color="auto" w:sz="4" w:space="0"/>
            </w:tcBorders>
            <w:noWrap w:val="0"/>
            <w:vAlign w:val="center"/>
          </w:tcPr>
          <w:p>
            <w:pPr>
              <w:adjustRightInd w:val="0"/>
              <w:spacing w:line="360" w:lineRule="auto"/>
              <w:textAlignment w:val="baseline"/>
              <w:rPr>
                <w:rFonts w:hint="eastAsia" w:ascii="宋体" w:hAnsi="宋体" w:cs="宋体"/>
                <w:b/>
                <w:sz w:val="24"/>
              </w:rPr>
            </w:pPr>
            <w:r>
              <w:rPr>
                <w:rFonts w:hint="eastAsia" w:ascii="宋体" w:hAnsi="宋体" w:cs="宋体"/>
                <w:b/>
                <w:kern w:val="0"/>
                <w:sz w:val="24"/>
                <w:lang w:bidi="ar"/>
              </w:rPr>
              <w:t xml:space="preserve">指标项 </w:t>
            </w:r>
          </w:p>
        </w:tc>
        <w:tc>
          <w:tcPr>
            <w:tcW w:w="7573" w:type="dxa"/>
            <w:gridSpan w:val="3"/>
            <w:tcBorders>
              <w:top w:val="single" w:color="auto" w:sz="4" w:space="0"/>
              <w:left w:val="single" w:color="auto" w:sz="4" w:space="0"/>
              <w:bottom w:val="single" w:color="auto" w:sz="4" w:space="0"/>
              <w:right w:val="single" w:color="auto" w:sz="12" w:space="0"/>
            </w:tcBorders>
            <w:noWrap w:val="0"/>
            <w:vAlign w:val="center"/>
          </w:tcPr>
          <w:p>
            <w:pPr>
              <w:adjustRightInd w:val="0"/>
              <w:spacing w:line="360" w:lineRule="auto"/>
              <w:ind w:firstLine="482" w:firstLineChars="200"/>
              <w:jc w:val="center"/>
              <w:textAlignment w:val="baseline"/>
              <w:rPr>
                <w:rFonts w:hint="eastAsia" w:ascii="宋体" w:hAnsi="宋体" w:cs="宋体"/>
                <w:b/>
                <w:sz w:val="24"/>
              </w:rPr>
            </w:pPr>
            <w:r>
              <w:rPr>
                <w:rFonts w:hint="eastAsia" w:ascii="宋体" w:hAnsi="宋体" w:cs="宋体"/>
                <w:b/>
                <w:kern w:val="0"/>
                <w:sz w:val="24"/>
                <w:lang w:bidi="ar"/>
              </w:rPr>
              <w:t xml:space="preserve"> 参数要求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tcBorders>
              <w:top w:val="single" w:color="auto" w:sz="4" w:space="0"/>
              <w:left w:val="single" w:color="auto" w:sz="12" w:space="0"/>
              <w:bottom w:val="single" w:color="auto" w:sz="4" w:space="0"/>
              <w:right w:val="single" w:color="auto" w:sz="4" w:space="0"/>
            </w:tcBorders>
            <w:noWrap w:val="0"/>
            <w:vAlign w:val="center"/>
          </w:tcPr>
          <w:p>
            <w:pPr>
              <w:pStyle w:val="89"/>
              <w:widowControl/>
              <w:spacing w:before="163" w:after="163"/>
              <w:ind w:firstLine="0" w:firstLineChars="0"/>
              <w:jc w:val="center"/>
              <w:rPr>
                <w:rFonts w:hint="eastAsia" w:ascii="宋体" w:hAnsi="宋体" w:cs="宋体"/>
              </w:rPr>
            </w:pPr>
            <w:r>
              <w:rPr>
                <w:rFonts w:hint="eastAsia" w:ascii="宋体" w:hAnsi="宋体" w:cs="宋体"/>
              </w:rPr>
              <w:t>基本要求</w:t>
            </w:r>
          </w:p>
        </w:tc>
        <w:tc>
          <w:tcPr>
            <w:tcW w:w="7573" w:type="dxa"/>
            <w:gridSpan w:val="3"/>
            <w:tcBorders>
              <w:top w:val="single" w:color="auto" w:sz="4" w:space="0"/>
              <w:left w:val="single" w:color="auto" w:sz="4" w:space="0"/>
              <w:bottom w:val="single" w:color="auto" w:sz="4" w:space="0"/>
              <w:right w:val="single" w:color="auto" w:sz="12" w:space="0"/>
            </w:tcBorders>
            <w:noWrap w:val="0"/>
            <w:vAlign w:val="center"/>
          </w:tcPr>
          <w:p>
            <w:p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CLOS架构，主控引擎模块≥2；独立交换网板≥2；业务插槽4～6槽；最大交换容量≥100Tbps；最大转发能力≥24000Mpps；支持FCoE接口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tcBorders>
              <w:top w:val="nil"/>
              <w:left w:val="single" w:color="auto" w:sz="12" w:space="0"/>
              <w:bottom w:val="single" w:color="auto" w:sz="4" w:space="0"/>
              <w:right w:val="single" w:color="auto" w:sz="4" w:space="0"/>
            </w:tcBorders>
            <w:noWrap w:val="0"/>
            <w:vAlign w:val="center"/>
          </w:tcPr>
          <w:p>
            <w:pPr>
              <w:pStyle w:val="89"/>
              <w:widowControl/>
              <w:spacing w:before="163" w:after="163"/>
              <w:ind w:firstLine="0" w:firstLineChars="0"/>
              <w:jc w:val="center"/>
              <w:rPr>
                <w:rFonts w:hint="eastAsia" w:ascii="宋体" w:hAnsi="宋体" w:cs="宋体"/>
              </w:rPr>
            </w:pPr>
            <w:r>
              <w:rPr>
                <w:rFonts w:hint="eastAsia" w:ascii="宋体" w:hAnsi="宋体" w:cs="宋体"/>
              </w:rPr>
              <w:t>本次配备</w:t>
            </w:r>
          </w:p>
        </w:tc>
        <w:tc>
          <w:tcPr>
            <w:tcW w:w="7573" w:type="dxa"/>
            <w:gridSpan w:val="3"/>
            <w:tcBorders>
              <w:top w:val="single" w:color="auto" w:sz="4" w:space="0"/>
              <w:left w:val="single" w:color="auto" w:sz="4" w:space="0"/>
              <w:bottom w:val="single" w:color="auto" w:sz="4" w:space="0"/>
              <w:right w:val="single" w:color="auto" w:sz="12" w:space="0"/>
            </w:tcBorders>
            <w:noWrap w:val="0"/>
            <w:vAlign w:val="center"/>
          </w:tcPr>
          <w:p>
            <w:p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满配主控和独立交换网板；满配风扇，满配冗余电源；配备两块独立万兆光纤接口板卡，每个板卡不少于20个可用万兆光纤接口，且支持三层VxLAN 网关；另外配备独立板卡，提供千兆电口和千兆光口（不包括主控板卡、交换板卡和万兆板卡上的同类接口数量）；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tcBorders>
              <w:top w:val="nil"/>
              <w:left w:val="single" w:color="auto" w:sz="12"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573" w:type="dxa"/>
            <w:gridSpan w:val="3"/>
            <w:tcBorders>
              <w:top w:val="single" w:color="auto" w:sz="4" w:space="0"/>
              <w:left w:val="single" w:color="auto" w:sz="4" w:space="0"/>
              <w:bottom w:val="single" w:color="auto" w:sz="4" w:space="0"/>
              <w:right w:val="single" w:color="auto" w:sz="12"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本次配置的所有光口需配备相应的光模块，其中千兆的需配备单芯单模光模块（MPO光纤两端不同波长光模块均要配置，各一半）；另外提供双机虚拟化专用模块及线缆，实施双机虚拟化堆叠并保证每个板卡最后可用业务万兆接口总数不得少于20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tcBorders>
              <w:top w:val="single" w:color="auto" w:sz="4" w:space="0"/>
              <w:left w:val="single" w:color="auto" w:sz="12" w:space="0"/>
              <w:bottom w:val="single" w:color="auto" w:sz="4" w:space="0"/>
              <w:right w:val="single" w:color="auto" w:sz="4" w:space="0"/>
            </w:tcBorders>
            <w:noWrap w:val="0"/>
            <w:vAlign w:val="center"/>
          </w:tcPr>
          <w:p>
            <w:pPr>
              <w:pStyle w:val="89"/>
              <w:widowControl/>
              <w:spacing w:before="163" w:after="163"/>
              <w:ind w:firstLine="0" w:firstLineChars="0"/>
              <w:jc w:val="center"/>
              <w:rPr>
                <w:rFonts w:hint="eastAsia" w:ascii="宋体" w:hAnsi="宋体" w:cs="宋体"/>
              </w:rPr>
            </w:pPr>
            <w:r>
              <w:rPr>
                <w:rFonts w:hint="eastAsia" w:ascii="宋体" w:hAnsi="宋体" w:cs="宋体"/>
              </w:rPr>
              <w:t>其它要求</w:t>
            </w:r>
          </w:p>
        </w:tc>
        <w:tc>
          <w:tcPr>
            <w:tcW w:w="7573" w:type="dxa"/>
            <w:gridSpan w:val="3"/>
            <w:tcBorders>
              <w:top w:val="single" w:color="auto" w:sz="4" w:space="0"/>
              <w:left w:val="single" w:color="auto" w:sz="4" w:space="0"/>
              <w:bottom w:val="single" w:color="auto" w:sz="4" w:space="0"/>
              <w:right w:val="single" w:color="auto" w:sz="12" w:space="0"/>
            </w:tcBorders>
            <w:noWrap w:val="0"/>
            <w:vAlign w:val="center"/>
          </w:tcPr>
          <w:p>
            <w:pPr>
              <w:pStyle w:val="89"/>
              <w:widowControl/>
              <w:ind w:firstLine="0" w:firstLineChars="0"/>
              <w:jc w:val="left"/>
              <w:rPr>
                <w:rFonts w:hint="eastAsia" w:ascii="宋体" w:hAnsi="宋体" w:cs="宋体"/>
              </w:rPr>
            </w:pPr>
            <w:r>
              <w:rPr>
                <w:rFonts w:hint="eastAsia" w:ascii="宋体" w:hAnsi="宋体" w:cs="宋体"/>
              </w:rPr>
              <w:t>支持802.1x，支持MAC认证，支持radius、portal认证，以及无感知认证，能与第三方AAA认证服务器做radius,portal交互；能与现有的深澜认证系统无缝对接。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tcBorders>
              <w:top w:val="single" w:color="auto" w:sz="4" w:space="0"/>
              <w:left w:val="single" w:color="auto" w:sz="12"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573" w:type="dxa"/>
            <w:gridSpan w:val="3"/>
            <w:tcBorders>
              <w:top w:val="single" w:color="auto" w:sz="4" w:space="0"/>
              <w:left w:val="single" w:color="auto" w:sz="4" w:space="0"/>
              <w:bottom w:val="single" w:color="auto" w:sz="4" w:space="0"/>
              <w:right w:val="single" w:color="auto" w:sz="12" w:space="0"/>
            </w:tcBorders>
            <w:noWrap w:val="0"/>
            <w:vAlign w:val="center"/>
          </w:tcPr>
          <w:p>
            <w:pPr>
              <w:pStyle w:val="89"/>
              <w:widowControl/>
              <w:ind w:firstLine="0" w:firstLineChars="0"/>
              <w:jc w:val="left"/>
              <w:rPr>
                <w:rFonts w:hint="eastAsia" w:ascii="宋体" w:hAnsi="宋体" w:cs="宋体"/>
              </w:rPr>
            </w:pPr>
            <w:r>
              <w:rPr>
                <w:rFonts w:hint="eastAsia" w:ascii="宋体" w:hAnsi="宋体" w:cs="宋体"/>
              </w:rPr>
              <w:t>支持BFD，BFD for VRRP/BGP/IS-IS/OSPF/RSVP/LDP/RIP/静态路由；支持NSF/GR for OSFP/BGP/IS-IS；支持OPENFLOW 1.3标准；支持L3 MPLS VPN；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tcBorders>
              <w:top w:val="single" w:color="auto" w:sz="4" w:space="0"/>
              <w:left w:val="single" w:color="auto" w:sz="12"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573" w:type="dxa"/>
            <w:gridSpan w:val="3"/>
            <w:tcBorders>
              <w:top w:val="single" w:color="auto" w:sz="4" w:space="0"/>
              <w:left w:val="single" w:color="auto" w:sz="4" w:space="0"/>
              <w:bottom w:val="single" w:color="auto" w:sz="4" w:space="0"/>
              <w:right w:val="single" w:color="auto" w:sz="12" w:space="0"/>
            </w:tcBorders>
            <w:noWrap w:val="0"/>
            <w:vAlign w:val="center"/>
          </w:tcPr>
          <w:p>
            <w:pPr>
              <w:pStyle w:val="89"/>
              <w:widowControl/>
              <w:ind w:firstLine="0" w:firstLineChars="0"/>
              <w:jc w:val="left"/>
              <w:rPr>
                <w:rFonts w:hint="eastAsia" w:ascii="宋体" w:hAnsi="宋体" w:cs="宋体"/>
              </w:rPr>
            </w:pPr>
            <w:r>
              <w:rPr>
                <w:rFonts w:hint="eastAsia" w:ascii="宋体" w:hAnsi="宋体" w:cs="宋体"/>
              </w:rPr>
              <w:t>支持静态路由、RIP、OSPF、IS-IS、BGP4等；支持IPv4和IPv6双协议栈；支持IPv4向IPv6的过渡技术，包括：IPv6手工隧道、6to4隧道、ISATAP隧道、GRE隧道、IPv4兼容自动配置隧道；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566" w:type="dxa"/>
            <w:gridSpan w:val="4"/>
            <w:tcBorders>
              <w:top w:val="single" w:color="auto" w:sz="4" w:space="0"/>
              <w:left w:val="single" w:color="auto" w:sz="12" w:space="0"/>
              <w:bottom w:val="single" w:color="auto" w:sz="4" w:space="0"/>
              <w:right w:val="single" w:color="auto" w:sz="12" w:space="0"/>
            </w:tcBorders>
            <w:noWrap w:val="0"/>
            <w:vAlign w:val="center"/>
          </w:tcPr>
          <w:p>
            <w:pPr>
              <w:pStyle w:val="89"/>
              <w:widowControl/>
              <w:ind w:firstLine="0" w:firstLineChars="0"/>
              <w:jc w:val="center"/>
              <w:rPr>
                <w:rFonts w:hint="eastAsia" w:ascii="宋体" w:hAnsi="宋体" w:cs="宋体"/>
              </w:rPr>
            </w:pPr>
            <w:r>
              <w:rPr>
                <w:rFonts w:hint="eastAsia" w:ascii="宋体" w:hAnsi="宋体" w:cs="宋体"/>
                <w:b/>
              </w:rPr>
              <w:t>汇聚层交换设备参数要求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92" w:type="dxa"/>
            <w:gridSpan w:val="2"/>
            <w:tcBorders>
              <w:top w:val="single" w:color="auto" w:sz="4" w:space="0"/>
              <w:left w:val="single" w:color="auto" w:sz="12" w:space="0"/>
              <w:bottom w:val="single" w:color="auto" w:sz="4" w:space="0"/>
              <w:right w:val="single" w:color="auto" w:sz="4" w:space="0"/>
            </w:tcBorders>
            <w:noWrap w:val="0"/>
            <w:vAlign w:val="center"/>
          </w:tcPr>
          <w:p>
            <w:pPr>
              <w:adjustRightInd w:val="0"/>
              <w:spacing w:line="360" w:lineRule="auto"/>
              <w:textAlignment w:val="baseline"/>
              <w:rPr>
                <w:rFonts w:hint="eastAsia" w:ascii="宋体" w:hAnsi="宋体" w:cs="宋体"/>
                <w:b/>
                <w:sz w:val="24"/>
              </w:rPr>
            </w:pPr>
            <w:r>
              <w:rPr>
                <w:rFonts w:hint="eastAsia" w:ascii="宋体" w:hAnsi="宋体" w:cs="宋体"/>
                <w:b/>
                <w:kern w:val="0"/>
                <w:sz w:val="24"/>
                <w:lang w:bidi="ar"/>
              </w:rPr>
              <w:t xml:space="preserve">指标项 </w:t>
            </w:r>
          </w:p>
        </w:tc>
        <w:tc>
          <w:tcPr>
            <w:tcW w:w="7474" w:type="dxa"/>
            <w:gridSpan w:val="2"/>
            <w:tcBorders>
              <w:top w:val="single" w:color="auto" w:sz="4" w:space="0"/>
              <w:left w:val="single" w:color="auto" w:sz="4" w:space="0"/>
              <w:bottom w:val="single" w:color="auto" w:sz="4" w:space="0"/>
              <w:right w:val="single" w:color="auto" w:sz="12" w:space="0"/>
            </w:tcBorders>
            <w:noWrap w:val="0"/>
            <w:vAlign w:val="center"/>
          </w:tcPr>
          <w:p>
            <w:pPr>
              <w:adjustRightInd w:val="0"/>
              <w:spacing w:line="360" w:lineRule="auto"/>
              <w:ind w:firstLine="482" w:firstLineChars="200"/>
              <w:jc w:val="center"/>
              <w:textAlignment w:val="baseline"/>
              <w:rPr>
                <w:rFonts w:hint="eastAsia" w:ascii="宋体" w:hAnsi="宋体" w:cs="宋体"/>
                <w:b/>
                <w:sz w:val="24"/>
              </w:rPr>
            </w:pPr>
            <w:r>
              <w:rPr>
                <w:rFonts w:hint="eastAsia" w:ascii="宋体" w:hAnsi="宋体" w:cs="宋体"/>
                <w:b/>
                <w:kern w:val="0"/>
                <w:sz w:val="24"/>
                <w:lang w:bidi="ar"/>
              </w:rPr>
              <w:t xml:space="preserve"> 参数要求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gridSpan w:val="3"/>
            <w:tcBorders>
              <w:top w:val="single" w:color="auto" w:sz="4" w:space="0"/>
              <w:left w:val="single" w:color="auto" w:sz="12" w:space="0"/>
              <w:bottom w:val="single" w:color="auto" w:sz="4" w:space="0"/>
              <w:right w:val="single" w:color="auto" w:sz="4" w:space="0"/>
            </w:tcBorders>
            <w:noWrap w:val="0"/>
            <w:vAlign w:val="center"/>
          </w:tcPr>
          <w:p>
            <w:pPr>
              <w:pStyle w:val="89"/>
              <w:widowControl/>
              <w:ind w:firstLine="0" w:firstLineChars="0"/>
              <w:jc w:val="center"/>
              <w:rPr>
                <w:rFonts w:hint="eastAsia" w:ascii="宋体" w:hAnsi="宋体" w:cs="宋体"/>
              </w:rPr>
            </w:pPr>
            <w:r>
              <w:rPr>
                <w:rFonts w:hint="eastAsia" w:ascii="宋体" w:hAnsi="宋体" w:cs="宋体"/>
              </w:rPr>
              <w:t>基本要求</w:t>
            </w:r>
          </w:p>
        </w:tc>
        <w:tc>
          <w:tcPr>
            <w:tcW w:w="7467" w:type="dxa"/>
            <w:tcBorders>
              <w:top w:val="single" w:color="auto" w:sz="4" w:space="0"/>
              <w:left w:val="single" w:color="auto" w:sz="4" w:space="0"/>
              <w:bottom w:val="single" w:color="auto" w:sz="4" w:space="0"/>
              <w:right w:val="single" w:color="auto" w:sz="12" w:space="0"/>
            </w:tcBorders>
            <w:noWrap w:val="0"/>
            <w:vAlign w:val="center"/>
          </w:tcPr>
          <w:p>
            <w:pPr>
              <w:pStyle w:val="89"/>
              <w:widowControl/>
              <w:ind w:firstLine="0" w:firstLineChars="0"/>
              <w:jc w:val="left"/>
              <w:rPr>
                <w:rFonts w:hint="eastAsia" w:ascii="宋体" w:hAnsi="宋体" w:cs="宋体"/>
              </w:rPr>
            </w:pPr>
            <w:r>
              <w:rPr>
                <w:rFonts w:hint="eastAsia" w:ascii="宋体" w:hAnsi="宋体" w:cs="宋体"/>
              </w:rPr>
              <w:t>与核心交换机同一品牌；模块化双电源；模块化双风扇，前/后通风；最大交换容量≥5Tbps；最大转发能力≥200Mpps；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gridSpan w:val="3"/>
            <w:vMerge w:val="restart"/>
            <w:tcBorders>
              <w:top w:val="single" w:color="auto" w:sz="4" w:space="0"/>
              <w:left w:val="single" w:color="auto" w:sz="12" w:space="0"/>
              <w:bottom w:val="single" w:color="auto" w:sz="4" w:space="0"/>
              <w:right w:val="single" w:color="auto" w:sz="4" w:space="0"/>
            </w:tcBorders>
            <w:noWrap w:val="0"/>
            <w:vAlign w:val="center"/>
          </w:tcPr>
          <w:p>
            <w:pPr>
              <w:pStyle w:val="89"/>
              <w:widowControl/>
              <w:ind w:firstLine="0" w:firstLineChars="0"/>
              <w:jc w:val="center"/>
              <w:rPr>
                <w:rFonts w:hint="eastAsia" w:ascii="宋体" w:hAnsi="宋体" w:cs="宋体"/>
              </w:rPr>
            </w:pPr>
            <w:r>
              <w:rPr>
                <w:rFonts w:hint="eastAsia" w:ascii="宋体" w:hAnsi="宋体" w:cs="宋体"/>
              </w:rPr>
              <w:t>本次配置</w:t>
            </w:r>
          </w:p>
        </w:tc>
        <w:tc>
          <w:tcPr>
            <w:tcW w:w="7467" w:type="dxa"/>
            <w:tcBorders>
              <w:top w:val="single" w:color="auto" w:sz="4" w:space="0"/>
              <w:left w:val="single" w:color="auto" w:sz="4" w:space="0"/>
              <w:bottom w:val="single" w:color="auto" w:sz="4" w:space="0"/>
              <w:right w:val="single" w:color="auto" w:sz="12" w:space="0"/>
            </w:tcBorders>
            <w:noWrap w:val="0"/>
            <w:vAlign w:val="center"/>
          </w:tcPr>
          <w:p>
            <w:pPr>
              <w:pStyle w:val="89"/>
              <w:widowControl/>
              <w:ind w:firstLine="0" w:firstLineChars="0"/>
              <w:jc w:val="left"/>
              <w:rPr>
                <w:rFonts w:hint="eastAsia" w:ascii="宋体" w:hAnsi="宋体" w:cs="宋体"/>
              </w:rPr>
            </w:pPr>
            <w:r>
              <w:rPr>
                <w:rFonts w:hint="eastAsia" w:ascii="宋体" w:hAnsi="宋体" w:cs="宋体"/>
              </w:rPr>
              <w:t>不少于4个SFP端口，不少于4个10/100/1000Base-T端口，不少于4个万兆SFP+口，具有Slot扩展插槽；（Combo端口不得重复计数）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gridSpan w:val="3"/>
            <w:vMerge w:val="continue"/>
            <w:tcBorders>
              <w:top w:val="single" w:color="auto" w:sz="4" w:space="0"/>
              <w:left w:val="single" w:color="auto" w:sz="12"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467" w:type="dxa"/>
            <w:tcBorders>
              <w:top w:val="single" w:color="auto" w:sz="4" w:space="0"/>
              <w:left w:val="single" w:color="auto" w:sz="4" w:space="0"/>
              <w:bottom w:val="single" w:color="auto" w:sz="4" w:space="0"/>
              <w:right w:val="single" w:color="auto" w:sz="12" w:space="0"/>
            </w:tcBorders>
            <w:noWrap w:val="0"/>
            <w:vAlign w:val="center"/>
          </w:tcPr>
          <w:p>
            <w:pPr>
              <w:pStyle w:val="89"/>
              <w:widowControl/>
              <w:ind w:firstLine="0" w:firstLineChars="0"/>
              <w:rPr>
                <w:rFonts w:hint="eastAsia" w:ascii="宋体" w:hAnsi="宋体" w:cs="宋体"/>
              </w:rPr>
            </w:pPr>
            <w:r>
              <w:rPr>
                <w:rFonts w:hint="eastAsia" w:ascii="宋体" w:hAnsi="宋体" w:cs="宋体"/>
              </w:rPr>
              <w:t>满配千兆BIDI单芯单模光模块（MPO光纤两端不同波长光模块均要配置，各一半），满配万兆单模模块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gridSpan w:val="3"/>
            <w:vMerge w:val="restart"/>
            <w:tcBorders>
              <w:top w:val="single" w:color="auto" w:sz="4" w:space="0"/>
              <w:left w:val="single" w:color="auto" w:sz="12" w:space="0"/>
              <w:bottom w:val="single" w:color="auto" w:sz="4" w:space="0"/>
              <w:right w:val="single" w:color="auto" w:sz="4" w:space="0"/>
            </w:tcBorders>
            <w:noWrap w:val="0"/>
            <w:vAlign w:val="center"/>
          </w:tcPr>
          <w:p>
            <w:pPr>
              <w:pStyle w:val="89"/>
              <w:widowControl/>
              <w:ind w:firstLine="0" w:firstLineChars="0"/>
              <w:jc w:val="center"/>
              <w:rPr>
                <w:rFonts w:hint="eastAsia" w:ascii="宋体" w:hAnsi="宋体" w:cs="宋体"/>
              </w:rPr>
            </w:pPr>
            <w:r>
              <w:rPr>
                <w:rFonts w:hint="eastAsia" w:ascii="宋体" w:hAnsi="宋体" w:cs="宋体"/>
              </w:rPr>
              <w:t>其它要求</w:t>
            </w:r>
          </w:p>
        </w:tc>
        <w:tc>
          <w:tcPr>
            <w:tcW w:w="7467" w:type="dxa"/>
            <w:tcBorders>
              <w:top w:val="single" w:color="auto" w:sz="4" w:space="0"/>
              <w:left w:val="single" w:color="auto" w:sz="4" w:space="0"/>
              <w:bottom w:val="single" w:color="auto" w:sz="4" w:space="0"/>
              <w:right w:val="single" w:color="auto" w:sz="12" w:space="0"/>
            </w:tcBorders>
            <w:noWrap w:val="0"/>
            <w:vAlign w:val="center"/>
          </w:tcPr>
          <w:p>
            <w:p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支持MPLS、MPLS VPN；支持IPv4静态路由、RIP V1/V2、OSPF、BGP；支持IPv6静态路由、RIPng、OSPFv3、BGP4+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99" w:type="dxa"/>
            <w:gridSpan w:val="3"/>
            <w:vMerge w:val="continue"/>
            <w:tcBorders>
              <w:top w:val="single" w:color="auto" w:sz="4" w:space="0"/>
              <w:left w:val="single" w:color="auto" w:sz="12"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467" w:type="dxa"/>
            <w:tcBorders>
              <w:top w:val="single" w:color="auto" w:sz="4" w:space="0"/>
              <w:left w:val="single" w:color="auto" w:sz="4" w:space="0"/>
              <w:bottom w:val="single" w:color="auto" w:sz="12" w:space="0"/>
              <w:right w:val="single" w:color="auto" w:sz="12" w:space="0"/>
            </w:tcBorders>
            <w:noWrap w:val="0"/>
            <w:vAlign w:val="center"/>
          </w:tcPr>
          <w:p>
            <w:pPr>
              <w:pStyle w:val="89"/>
              <w:widowControl/>
              <w:ind w:firstLine="0" w:firstLineChars="0"/>
              <w:rPr>
                <w:rFonts w:hint="eastAsia" w:ascii="宋体" w:hAnsi="宋体" w:cs="宋体"/>
              </w:rPr>
            </w:pPr>
            <w:r>
              <w:rPr>
                <w:rFonts w:hint="eastAsia" w:ascii="宋体" w:hAnsi="宋体" w:cs="宋体"/>
              </w:rPr>
              <w:t>支持802.1ae Macsec安全加密，实现MAC层安全加密，包括用户数据加密、数据帧完整性检查及数据源真实性校验。无需软件授权</w:t>
            </w:r>
          </w:p>
        </w:tc>
      </w:tr>
    </w:tbl>
    <w:p>
      <w:pPr>
        <w:pStyle w:val="89"/>
        <w:widowControl/>
        <w:spacing w:line="360" w:lineRule="auto"/>
        <w:ind w:firstLine="480"/>
        <w:rPr>
          <w:rFonts w:hint="eastAsia" w:ascii="宋体" w:hAnsi="宋体" w:cs="宋体"/>
        </w:rPr>
      </w:pPr>
      <w:r>
        <w:rPr>
          <w:rFonts w:hint="eastAsia" w:ascii="宋体" w:hAnsi="宋体" w:cs="宋体"/>
        </w:rPr>
        <w:t xml:space="preserve"> </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53" w:name="_Toc47900911"/>
      <w:bookmarkEnd w:id="153"/>
      <w:r>
        <w:rPr>
          <w:rFonts w:hint="eastAsia" w:ascii="宋体" w:hAnsi="宋体" w:cs="宋体"/>
          <w:szCs w:val="24"/>
        </w:rPr>
        <w:t>雪亮工程独立机房要求（建议）</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1、机房基本布局(图型参考)：</w:t>
      </w:r>
    </w:p>
    <w:p>
      <w:pPr>
        <w:pStyle w:val="89"/>
        <w:widowControl/>
        <w:spacing w:line="360" w:lineRule="auto"/>
        <w:ind w:firstLine="480"/>
        <w:rPr>
          <w:rFonts w:hint="eastAsia" w:ascii="宋体" w:hAnsi="宋体" w:cs="宋体"/>
        </w:rPr>
      </w:pPr>
      <w:r>
        <w:drawing>
          <wp:inline distT="0" distB="0" distL="114300" distR="114300">
            <wp:extent cx="5143500" cy="3324225"/>
            <wp:effectExtent l="0" t="0" r="0" b="9525"/>
            <wp:docPr id="19" name="图片 9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0" descr="IMG_273"/>
                    <pic:cNvPicPr>
                      <a:picLocks noChangeAspect="1"/>
                    </pic:cNvPicPr>
                  </pic:nvPicPr>
                  <pic:blipFill>
                    <a:blip r:embed="rId26"/>
                    <a:stretch>
                      <a:fillRect/>
                    </a:stretch>
                  </pic:blipFill>
                  <pic:spPr>
                    <a:xfrm>
                      <a:off x="0" y="0"/>
                      <a:ext cx="5143500" cy="3324225"/>
                    </a:xfrm>
                    <a:prstGeom prst="rect">
                      <a:avLst/>
                    </a:prstGeom>
                    <a:noFill/>
                    <a:ln>
                      <a:noFill/>
                    </a:ln>
                  </pic:spPr>
                </pic:pic>
              </a:graphicData>
            </a:graphic>
          </wp:inline>
        </w:drawing>
      </w:r>
      <w:r>
        <w:rPr>
          <w:rFonts w:hint="eastAsia" w:ascii="宋体" w:hAnsi="宋体" w:cs="宋体"/>
        </w:rPr>
        <w:t xml:space="preserve"> </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2、机柜以及冷通道</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所有材料均符合机房消防、阻燃等要求，整体方案设计满足消防等规范的要求；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机柜含托板、垂直理线架、接地汇流条、安装辅材等。</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所有面板可支持单独拆卸和拼装功能；机柜采用专用的机柜并柜连接件，支持无需拆卸机柜门情况下实现机柜并柜功能。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机柜静态承载能力≥1000kg；机柜顶板承重能力≥110kg；机柜托板承重能力≥110kg。</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所有接线端子、插座、保护装置等电气部件均符合国家相关电气安全标准，质量可靠；其中插座、接线端子和过流、短路保护装置满足国家3C认证。</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3、空气调节系统</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单台机房专用精密空调总制冷量：标定是在室内环境温度为24℃，50%的室外环境温湿度下测定。其必须满足要求，从而保证制冷效率。具有加湿和保证空气洁净功能。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机组须携带RS485通信接口，提供通信协议，并配合大楼监控人员实现机房空调的监控连接。</w:t>
      </w:r>
    </w:p>
    <w:p>
      <w:pPr>
        <w:pStyle w:val="5"/>
        <w:keepNext w:val="0"/>
        <w:keepLines w:val="0"/>
        <w:widowControl w:val="0"/>
        <w:numPr>
          <w:ilvl w:val="2"/>
          <w:numId w:val="3"/>
        </w:numPr>
        <w:spacing w:beforeLines="0" w:afterLines="0" w:line="360" w:lineRule="auto"/>
        <w:ind w:left="1429"/>
        <w:rPr>
          <w:rFonts w:hint="eastAsia" w:ascii="宋体" w:hAnsi="宋体" w:cs="宋体"/>
          <w:szCs w:val="24"/>
        </w:rPr>
      </w:pPr>
      <w:bookmarkStart w:id="154" w:name="_Toc47900912"/>
      <w:bookmarkEnd w:id="154"/>
      <w:r>
        <w:rPr>
          <w:rFonts w:hint="eastAsia" w:ascii="宋体" w:hAnsi="宋体" w:cs="宋体"/>
          <w:szCs w:val="24"/>
        </w:rPr>
        <w:t>其他要求</w:t>
      </w:r>
    </w:p>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机房面积、空调容量、供配电容量等应充分考虑今后系统扩展要求；</w:t>
      </w:r>
    </w:p>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其他网络设备要求见“网络系统架构”部分。</w:t>
      </w:r>
    </w:p>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机柜不少于30个，规格：2000*1000*800。</w:t>
      </w:r>
    </w:p>
    <w:p>
      <w:pPr>
        <w:pStyle w:val="3"/>
        <w:widowControl/>
        <w:numPr>
          <w:ilvl w:val="0"/>
          <w:numId w:val="3"/>
        </w:numPr>
        <w:spacing w:before="0" w:after="0" w:line="579" w:lineRule="auto"/>
        <w:ind w:left="431" w:hanging="431"/>
        <w:jc w:val="center"/>
        <w:rPr>
          <w:rFonts w:hint="eastAsia" w:ascii="宋体" w:hAnsi="宋体" w:cs="宋体"/>
          <w:sz w:val="28"/>
          <w:szCs w:val="28"/>
        </w:rPr>
      </w:pPr>
      <w:bookmarkStart w:id="155" w:name="_Toc494287927"/>
      <w:bookmarkEnd w:id="155"/>
      <w:bookmarkStart w:id="156" w:name="_Toc47900913"/>
      <w:r>
        <w:rPr>
          <w:rFonts w:hint="eastAsia" w:ascii="宋体" w:hAnsi="宋体" w:cs="宋体"/>
          <w:sz w:val="28"/>
          <w:szCs w:val="28"/>
        </w:rPr>
        <w:t>人脸分析平台识别系统</w:t>
      </w:r>
      <w:bookmarkEnd w:id="156"/>
      <w:r>
        <w:rPr>
          <w:rFonts w:hint="eastAsia" w:ascii="宋体" w:hAnsi="宋体" w:cs="宋体"/>
          <w:sz w:val="28"/>
          <w:szCs w:val="28"/>
        </w:rPr>
        <w:t>建设</w:t>
      </w:r>
    </w:p>
    <w:p>
      <w:pPr>
        <w:pStyle w:val="5"/>
        <w:numPr>
          <w:ilvl w:val="2"/>
          <w:numId w:val="3"/>
        </w:numPr>
        <w:spacing w:before="163" w:after="163"/>
        <w:rPr>
          <w:rFonts w:hint="eastAsia" w:ascii="宋体" w:hAnsi="宋体" w:cs="宋体"/>
          <w:szCs w:val="24"/>
        </w:rPr>
      </w:pPr>
      <w:bookmarkStart w:id="157" w:name="_Toc47900914"/>
      <w:bookmarkEnd w:id="157"/>
      <w:bookmarkStart w:id="158" w:name="_Toc494287928"/>
      <w:r>
        <w:rPr>
          <w:rFonts w:hint="eastAsia" w:ascii="宋体" w:hAnsi="宋体" w:cs="宋体"/>
          <w:szCs w:val="24"/>
        </w:rPr>
        <w:t>系统概述</w:t>
      </w:r>
      <w:bookmarkEnd w:id="158"/>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系统以人脸识别为核心，包括人证核验和人体识别扩展应用。人脸识别系统采用世界先进的人脸识别算法，通过海量人脸数据训练，大幅提升人脸数据采集效率与人脸特征提取能力，在人脸识别比对应用方面有较高的准确性。</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人脸识别平台采用分布式集群架构，计算节点可根据实际需求线性扩展，满足爆发式增长的业务需求。结合公安行业业务应用，实现动态黑名单布控和静态大库检索等各项功能，在公安业务应用中实现对目标人员的事先预防和事中管控、事后追踪查询的立体化人员现代化管控方式，满足现阶段公安各部门对人员管控需求。人体分析系统实现对行人的体貌特征的分析，结合人脸识别，可实现更精确的对人员的定位和查询。人证核验系统可利用多种形式的核验设备，对人员的身份证件和持有人进行核验，实现主动核查目标人员身份的功能，并可通过人员照片、身份证信息等进行布控，对嫌疑人员进行排查。</w:t>
      </w:r>
    </w:p>
    <w:p>
      <w:pPr>
        <w:pStyle w:val="5"/>
        <w:numPr>
          <w:ilvl w:val="2"/>
          <w:numId w:val="3"/>
        </w:numPr>
        <w:spacing w:before="163" w:after="163"/>
        <w:rPr>
          <w:rFonts w:hint="eastAsia" w:ascii="宋体" w:hAnsi="宋体" w:cs="宋体"/>
          <w:szCs w:val="24"/>
        </w:rPr>
      </w:pPr>
      <w:bookmarkStart w:id="159" w:name="_Toc47900915"/>
      <w:bookmarkEnd w:id="159"/>
      <w:bookmarkStart w:id="160" w:name="_Toc494287929"/>
      <w:r>
        <w:rPr>
          <w:rFonts w:hint="eastAsia" w:ascii="宋体" w:hAnsi="宋体" w:cs="宋体"/>
          <w:szCs w:val="24"/>
        </w:rPr>
        <w:t>系统结构</w:t>
      </w:r>
      <w:bookmarkEnd w:id="160"/>
    </w:p>
    <w:p>
      <w:pPr>
        <w:pStyle w:val="6"/>
        <w:widowControl/>
        <w:numPr>
          <w:ilvl w:val="3"/>
          <w:numId w:val="3"/>
        </w:numPr>
        <w:ind w:left="0" w:firstLine="562"/>
        <w:rPr>
          <w:rFonts w:hint="eastAsia" w:ascii="宋体" w:hAnsi="宋体" w:cs="宋体"/>
          <w:sz w:val="24"/>
        </w:rPr>
      </w:pPr>
      <w:bookmarkStart w:id="161" w:name="_Toc47900916"/>
      <w:bookmarkEnd w:id="161"/>
      <w:r>
        <w:rPr>
          <w:rFonts w:hint="eastAsia" w:ascii="宋体" w:hAnsi="宋体" w:cs="宋体"/>
          <w:sz w:val="24"/>
        </w:rPr>
        <w:t>网络架构</w:t>
      </w:r>
    </w:p>
    <w:p>
      <w:pPr>
        <w:pStyle w:val="32"/>
        <w:widowControl w:val="0"/>
        <w:spacing w:before="0" w:beforeAutospacing="0" w:after="0" w:afterAutospacing="0" w:line="360" w:lineRule="auto"/>
        <w:ind w:firstLine="480" w:firstLineChars="200"/>
        <w:jc w:val="both"/>
        <w:rPr>
          <w:rFonts w:hint="eastAsia" w:cs="宋体"/>
          <w:color w:val="auto"/>
          <w:kern w:val="2"/>
        </w:rPr>
      </w:pPr>
      <w:r>
        <w:rPr>
          <w:rFonts w:hint="eastAsia" w:cs="宋体"/>
          <w:color w:val="auto"/>
          <w:kern w:val="2"/>
          <w:lang w:bidi="ar"/>
        </w:rPr>
        <w:t>本次建设采用动态视频流和图片流相结合的方式，在重点卡口采用视频流，提升比对性能，在其他卡口采用图片流，节省建设成本。</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 xml:space="preserve"> </w:t>
      </w:r>
    </w:p>
    <w:p>
      <w:pPr>
        <w:pStyle w:val="32"/>
        <w:autoSpaceDE w:val="0"/>
        <w:autoSpaceDN w:val="0"/>
        <w:spacing w:before="0" w:beforeAutospacing="0" w:after="0" w:afterAutospacing="0"/>
        <w:jc w:val="center"/>
        <w:rPr>
          <w:rFonts w:hint="eastAsia" w:cs="宋体"/>
          <w:color w:val="auto"/>
        </w:rPr>
      </w:pPr>
      <w:r>
        <w:rPr>
          <w:rFonts w:hint="eastAsia" w:hAnsi="Calibri"/>
          <w:color w:val="auto"/>
          <w:sz w:val="21"/>
          <w:szCs w:val="21"/>
          <w:lang w:bidi="ar"/>
        </w:rPr>
        <w:drawing>
          <wp:inline distT="0" distB="0" distL="114300" distR="114300">
            <wp:extent cx="5276850" cy="2752725"/>
            <wp:effectExtent l="0" t="0" r="0" b="9525"/>
            <wp:docPr id="20" name="图片 9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1" descr="IMG_274"/>
                    <pic:cNvPicPr>
                      <a:picLocks noChangeAspect="1"/>
                    </pic:cNvPicPr>
                  </pic:nvPicPr>
                  <pic:blipFill>
                    <a:blip r:embed="rId27"/>
                    <a:stretch>
                      <a:fillRect/>
                    </a:stretch>
                  </pic:blipFill>
                  <pic:spPr>
                    <a:xfrm>
                      <a:off x="0" y="0"/>
                      <a:ext cx="5276850" cy="2752725"/>
                    </a:xfrm>
                    <a:prstGeom prst="rect">
                      <a:avLst/>
                    </a:prstGeom>
                    <a:noFill/>
                    <a:ln>
                      <a:noFill/>
                    </a:ln>
                  </pic:spPr>
                </pic:pic>
              </a:graphicData>
            </a:graphic>
          </wp:inline>
        </w:drawing>
      </w:r>
      <w:r>
        <w:rPr>
          <w:rFonts w:hint="eastAsia" w:cs="宋体"/>
          <w:color w:val="auto"/>
          <w:lang w:bidi="ar"/>
        </w:rPr>
        <w:t xml:space="preserve"> </w:t>
      </w:r>
    </w:p>
    <w:p>
      <w:pPr>
        <w:pStyle w:val="32"/>
        <w:widowControl w:val="0"/>
        <w:spacing w:before="0" w:beforeAutospacing="0" w:after="0" w:afterAutospacing="0" w:line="360" w:lineRule="auto"/>
        <w:ind w:firstLine="480" w:firstLineChars="200"/>
        <w:jc w:val="both"/>
        <w:rPr>
          <w:rFonts w:hint="eastAsia" w:cs="宋体"/>
          <w:color w:val="auto"/>
          <w:kern w:val="2"/>
        </w:rPr>
      </w:pPr>
      <w:r>
        <w:rPr>
          <w:rFonts w:hint="eastAsia" w:cs="宋体"/>
          <w:color w:val="auto"/>
          <w:kern w:val="2"/>
          <w:lang w:bidi="ar"/>
        </w:rPr>
        <w:t>本系统根据《浙江省公安机关人像比对应用系统建设技术规范》建设。</w:t>
      </w:r>
    </w:p>
    <w:p>
      <w:pPr>
        <w:pStyle w:val="32"/>
        <w:widowControl w:val="0"/>
        <w:spacing w:before="0" w:beforeAutospacing="0" w:after="0" w:afterAutospacing="0" w:line="360" w:lineRule="auto"/>
        <w:ind w:firstLine="480" w:firstLineChars="200"/>
        <w:jc w:val="both"/>
        <w:rPr>
          <w:rFonts w:hint="eastAsia" w:cs="宋体"/>
          <w:color w:val="auto"/>
          <w:kern w:val="2"/>
        </w:rPr>
      </w:pPr>
      <w:r>
        <w:rPr>
          <w:rFonts w:hint="eastAsia" w:cs="宋体"/>
          <w:color w:val="auto"/>
          <w:kern w:val="2"/>
          <w:lang w:bidi="ar"/>
        </w:rPr>
        <w:t>从前端视频流或图片流中采集人脸图像数据，经过人像特征抽取服务，生成过人人脸图片、过人场景图片、过人特征码。过人人脸图片、特征码及结构数据上传至市级系统（视频专网），经市级系统整合后穿过内外网安全交互平台进入市级系统（公安网）。</w:t>
      </w:r>
    </w:p>
    <w:p>
      <w:pPr>
        <w:pStyle w:val="32"/>
        <w:widowControl w:val="0"/>
        <w:spacing w:before="0" w:beforeAutospacing="0" w:after="0" w:afterAutospacing="0" w:line="360" w:lineRule="auto"/>
        <w:ind w:firstLine="480" w:firstLineChars="200"/>
        <w:jc w:val="both"/>
        <w:rPr>
          <w:rFonts w:hint="eastAsia" w:cs="宋体"/>
          <w:color w:val="auto"/>
          <w:kern w:val="2"/>
        </w:rPr>
      </w:pPr>
      <w:r>
        <w:rPr>
          <w:rFonts w:hint="eastAsia" w:cs="宋体"/>
          <w:color w:val="auto"/>
          <w:kern w:val="2"/>
          <w:lang w:bidi="ar"/>
        </w:rPr>
        <w:t>市局根据《浙江省公安机关人像比对应用系统建设技术规范》要求将人脸图片、特征码、结构数据等信息上传到省厅实现全省人像数据汇聚。</w:t>
      </w:r>
    </w:p>
    <w:p>
      <w:pPr>
        <w:pStyle w:val="6"/>
        <w:widowControl/>
        <w:numPr>
          <w:ilvl w:val="3"/>
          <w:numId w:val="3"/>
        </w:numPr>
        <w:ind w:left="0" w:firstLine="562"/>
        <w:rPr>
          <w:rFonts w:hint="eastAsia" w:ascii="宋体" w:hAnsi="宋体" w:cs="宋体"/>
          <w:sz w:val="24"/>
        </w:rPr>
      </w:pPr>
      <w:bookmarkStart w:id="162" w:name="_Toc47900917"/>
      <w:bookmarkEnd w:id="162"/>
      <w:r>
        <w:rPr>
          <w:rFonts w:hint="eastAsia" w:ascii="宋体" w:hAnsi="宋体" w:cs="宋体"/>
          <w:sz w:val="24"/>
        </w:rPr>
        <w:t>软件架构</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依据系统架构图的设计，软件平台的设计需要解决如下几个问题：大规模视频输入下的存储和计算，跨平台资源配置，跨网的部署，数据安全和隐私保护、PGIS等第三方警务应用平台的对接。因此，人像综合应用平台软件架构如下：</w:t>
      </w:r>
    </w:p>
    <w:p>
      <w:pPr>
        <w:adjustRightInd w:val="0"/>
        <w:spacing w:line="360" w:lineRule="auto"/>
        <w:jc w:val="center"/>
        <w:textAlignment w:val="baseline"/>
        <w:rPr>
          <w:rFonts w:hint="eastAsia" w:ascii="宋体" w:hAnsi="宋体" w:cs="宋体"/>
          <w:sz w:val="24"/>
        </w:rPr>
      </w:pPr>
      <w:r>
        <w:rPr>
          <w:kern w:val="0"/>
          <w:sz w:val="24"/>
          <w:lang w:bidi="ar"/>
        </w:rPr>
        <w:drawing>
          <wp:inline distT="0" distB="0" distL="114300" distR="114300">
            <wp:extent cx="4467225" cy="2943225"/>
            <wp:effectExtent l="0" t="0" r="0" b="9525"/>
            <wp:docPr id="21" name="图片 9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2" descr="IMG_275"/>
                    <pic:cNvPicPr>
                      <a:picLocks noChangeAspect="1"/>
                    </pic:cNvPicPr>
                  </pic:nvPicPr>
                  <pic:blipFill>
                    <a:blip r:embed="rId28"/>
                    <a:stretch>
                      <a:fillRect/>
                    </a:stretch>
                  </pic:blipFill>
                  <pic:spPr>
                    <a:xfrm>
                      <a:off x="0" y="0"/>
                      <a:ext cx="4467225" cy="2943225"/>
                    </a:xfrm>
                    <a:prstGeom prst="rect">
                      <a:avLst/>
                    </a:prstGeom>
                    <a:noFill/>
                    <a:ln>
                      <a:noFill/>
                    </a:ln>
                  </pic:spPr>
                </pic:pic>
              </a:graphicData>
            </a:graphic>
          </wp:inline>
        </w:drawing>
      </w:r>
      <w:r>
        <w:rPr>
          <w:rFonts w:hint="eastAsia" w:ascii="宋体" w:hAnsi="宋体" w:cs="宋体"/>
          <w:kern w:val="0"/>
          <w:sz w:val="24"/>
          <w:lang w:bidi="ar"/>
        </w:rPr>
        <w:t xml:space="preserve"> </w:t>
      </w:r>
    </w:p>
    <w:p>
      <w:pPr>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图：软件架构</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 xml:space="preserve"> </w:t>
      </w:r>
    </w:p>
    <w:p>
      <w:pPr>
        <w:pStyle w:val="5"/>
        <w:numPr>
          <w:ilvl w:val="2"/>
          <w:numId w:val="3"/>
        </w:numPr>
        <w:spacing w:before="163" w:after="163"/>
        <w:rPr>
          <w:rFonts w:hint="eastAsia" w:ascii="宋体" w:hAnsi="宋体" w:cs="宋体"/>
          <w:szCs w:val="24"/>
        </w:rPr>
      </w:pPr>
      <w:bookmarkStart w:id="163" w:name="_Toc47900918"/>
      <w:bookmarkEnd w:id="163"/>
      <w:bookmarkStart w:id="164" w:name="_Toc494287930"/>
      <w:r>
        <w:rPr>
          <w:rFonts w:hint="eastAsia" w:ascii="宋体" w:hAnsi="宋体" w:cs="宋体"/>
          <w:szCs w:val="24"/>
        </w:rPr>
        <w:t>功能设计</w:t>
      </w:r>
      <w:bookmarkEnd w:id="164"/>
    </w:p>
    <w:p>
      <w:pPr>
        <w:adjustRightInd w:val="0"/>
        <w:spacing w:before="120" w:after="120"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根据公安人脸识别应用要求，其主要功能包括：</w:t>
      </w:r>
    </w:p>
    <w:p>
      <w:pPr>
        <w:adjustRightInd w:val="0"/>
        <w:spacing w:before="120" w:after="120" w:line="360" w:lineRule="auto"/>
        <w:ind w:firstLine="482" w:firstLineChars="200"/>
        <w:textAlignment w:val="baseline"/>
        <w:rPr>
          <w:rFonts w:hint="eastAsia" w:ascii="宋体" w:hAnsi="宋体" w:cs="宋体"/>
          <w:sz w:val="24"/>
        </w:rPr>
      </w:pPr>
      <w:r>
        <w:rPr>
          <w:rFonts w:hint="eastAsia" w:ascii="宋体" w:hAnsi="宋体" w:cs="宋体"/>
          <w:b/>
          <w:kern w:val="0"/>
          <w:sz w:val="24"/>
          <w:lang w:bidi="ar"/>
        </w:rPr>
        <w:t>实时监控</w:t>
      </w:r>
    </w:p>
    <w:p>
      <w:pPr>
        <w:adjustRightInd w:val="0"/>
        <w:spacing w:before="120" w:after="120"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支持从各种视频中实时抓取分析视频中的人员信息，并与布控人员信息库进行实时比对联动报警，通知相关人员快速进行处理。</w:t>
      </w:r>
    </w:p>
    <w:p>
      <w:pPr>
        <w:adjustRightInd w:val="0"/>
        <w:spacing w:before="120" w:after="120"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人像检索</w:t>
      </w:r>
    </w:p>
    <w:p>
      <w:pPr>
        <w:adjustRightInd w:val="0"/>
        <w:spacing w:before="120" w:after="120"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基于构建的多种人像资源信息库，实现输入人像信息的特征提取及检索比对，查找在库人员的身份信息，实现输入人员信息的核实。</w:t>
      </w:r>
    </w:p>
    <w:p>
      <w:pPr>
        <w:adjustRightInd w:val="0"/>
        <w:spacing w:before="120" w:after="120"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人脸日志检索</w:t>
      </w:r>
    </w:p>
    <w:p>
      <w:pPr>
        <w:adjustRightInd w:val="0"/>
        <w:spacing w:before="120" w:after="120"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基于监控捕获的人员照片，根据监测摄像机位置、照片属性信息、抓拍时间等信息，提供历史人像识别信息的检索与定位查看能力。</w:t>
      </w:r>
    </w:p>
    <w:p>
      <w:pPr>
        <w:adjustRightInd w:val="0"/>
        <w:spacing w:before="120" w:after="120"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人员库管理</w:t>
      </w:r>
    </w:p>
    <w:p>
      <w:pPr>
        <w:adjustRightInd w:val="0"/>
        <w:spacing w:before="120" w:after="120"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按照不同人员性质、不同业务应用目标，构建不同人像资源信息库，实现人像图片及属性信息的统一管理与维护能力，满足人像布控、静态人像大库检索等查询分析应用需求。</w:t>
      </w:r>
    </w:p>
    <w:p>
      <w:pPr>
        <w:pStyle w:val="6"/>
        <w:widowControl/>
        <w:numPr>
          <w:ilvl w:val="3"/>
          <w:numId w:val="3"/>
        </w:numPr>
        <w:ind w:left="0" w:firstLine="562"/>
        <w:rPr>
          <w:rFonts w:hint="eastAsia" w:ascii="宋体" w:hAnsi="宋体" w:cs="宋体"/>
          <w:sz w:val="24"/>
        </w:rPr>
      </w:pPr>
      <w:bookmarkStart w:id="165" w:name="_Toc494287931"/>
      <w:bookmarkEnd w:id="165"/>
      <w:bookmarkStart w:id="166" w:name="_Toc47900919"/>
      <w:r>
        <w:rPr>
          <w:rFonts w:hint="eastAsia" w:ascii="宋体" w:hAnsi="宋体" w:cs="宋体"/>
          <w:sz w:val="24"/>
        </w:rPr>
        <w:t>业务库</w:t>
      </w:r>
      <w:bookmarkEnd w:id="166"/>
      <w:r>
        <w:rPr>
          <w:rFonts w:hint="eastAsia" w:ascii="宋体" w:hAnsi="宋体" w:cs="宋体"/>
          <w:sz w:val="24"/>
        </w:rPr>
        <w:t>设计</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人像信息资源管理</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建立本地人像信息资源库，完善人像资源信息。</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目前公安机关已建立人口信息系统、出租屋及流动人口信息系统（居住证系统）、情报系统、警综系统、在逃人员系统、旅业系统、出入境管理系统等，有大量的人员基本信息及照片，因此可根据常住人口、流动人口、重点人员、在逃人员的基本信息及照片，组建相应的人像基础数据库，为开展公安人像智能识别业务应用、深化人像治安行政管理、精确打击犯罪和情报分析研判，提供数据支撑。</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布控人员实时监控检测</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针对在逃人员、涉案人员、黑名单人员等布控人员，构建基于实时视频的实时抓拍照片比对检测服务，实现布控人员的实时报警。</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目前城市主要干道、重点管理区域及公共场已经建立了大量的视频监控终端，通过对干道卡口、重点监管区域及公共场所中的各类视频信息进行分析处理，提供视频人像信息的采集捕获抓图，同时与重点布防布控人像信息库实时比对，对比中人像进行实时报警提醒。</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身份查重、清理</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构建针对户籍及身份证件信息查重、核实、清理服务，查找多重身份人员。</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查重主要是指对大量的人口身份信息进行检索以发现是否存在“同人不同身份”及“同身份不同人”的情况，以协助人口业务部门进行数据清理整顿。基于构建的人像资料信息库，通过N:N查重比对，一次性完成常住人口存量数据的库内查重比对，生成非单一身份照片对信息，在此基础上进一步清查，对户籍等证件信息及相片数据质量存在的历史问题进行全面摸排和清理。</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人员库碰撞比对</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构建多个人员信息库碰撞比对分析处理服务，分析查找在逃人员。</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目前人员流动性大，部分涉案在逃人员跨省、全区域流窜作案。通过将重点布控人员信息库与常驻人口库、流动人口库等人像数据信息进行比对，批量碰撞，挖掘“漂白”身份的重点人员等线索信息，提交有关部门进行调查、抓捕，以震慑犯罪人员，降低社会治安安全隐患。</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 xml:space="preserve"> </w:t>
      </w:r>
    </w:p>
    <w:p>
      <w:pPr>
        <w:pStyle w:val="6"/>
        <w:widowControl/>
        <w:numPr>
          <w:ilvl w:val="3"/>
          <w:numId w:val="3"/>
        </w:numPr>
        <w:ind w:left="0" w:firstLine="562"/>
        <w:rPr>
          <w:rFonts w:hint="eastAsia" w:ascii="宋体" w:hAnsi="宋体" w:cs="宋体"/>
          <w:sz w:val="24"/>
        </w:rPr>
      </w:pPr>
      <w:bookmarkStart w:id="167" w:name="_Toc517378395"/>
      <w:bookmarkEnd w:id="167"/>
      <w:bookmarkStart w:id="168" w:name="_Toc47900920"/>
      <w:r>
        <w:rPr>
          <w:rFonts w:hint="eastAsia" w:ascii="宋体" w:hAnsi="宋体" w:cs="宋体"/>
          <w:sz w:val="24"/>
        </w:rPr>
        <w:t>动态应用</w:t>
      </w:r>
      <w:bookmarkEnd w:id="168"/>
      <w:r>
        <w:rPr>
          <w:rFonts w:hint="eastAsia" w:ascii="宋体" w:hAnsi="宋体" w:cs="宋体"/>
          <w:sz w:val="24"/>
        </w:rPr>
        <w:t>功能</w:t>
      </w:r>
    </w:p>
    <w:p>
      <w:pPr>
        <w:adjustRightInd w:val="0"/>
        <w:spacing w:before="120" w:after="120" w:line="360" w:lineRule="auto"/>
        <w:ind w:firstLine="482" w:firstLineChars="200"/>
        <w:textAlignment w:val="baseline"/>
        <w:rPr>
          <w:rFonts w:hint="eastAsia" w:ascii="宋体" w:hAnsi="宋体" w:cs="宋体"/>
          <w:b/>
          <w:sz w:val="24"/>
        </w:rPr>
      </w:pPr>
      <w:bookmarkStart w:id="169" w:name="_Toc5060"/>
      <w:bookmarkEnd w:id="169"/>
      <w:bookmarkStart w:id="170" w:name="_Toc517378396"/>
      <w:r>
        <w:rPr>
          <w:rFonts w:hint="eastAsia" w:ascii="宋体" w:hAnsi="宋体" w:cs="宋体"/>
          <w:b/>
          <w:kern w:val="0"/>
          <w:sz w:val="24"/>
          <w:lang w:bidi="ar"/>
        </w:rPr>
        <w:t>人像卡口功能</w:t>
      </w:r>
      <w:bookmarkEnd w:id="170"/>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人像卡口功能指依托特定场所，如交通枢纽安检口、重要场馆通道等卡口点位设置人像卡口，对所有通过该卡口点位的人脸进行抓拍、记录与处理的功能。</w:t>
      </w:r>
    </w:p>
    <w:p>
      <w:pPr>
        <w:adjustRightInd w:val="0"/>
        <w:spacing w:before="120" w:after="120" w:line="360" w:lineRule="auto"/>
        <w:ind w:firstLine="482" w:firstLineChars="200"/>
        <w:textAlignment w:val="baseline"/>
        <w:rPr>
          <w:rFonts w:hint="eastAsia" w:ascii="宋体" w:hAnsi="宋体" w:cs="宋体"/>
          <w:b/>
          <w:sz w:val="24"/>
        </w:rPr>
      </w:pPr>
      <w:bookmarkStart w:id="171" w:name="_Toc517378397"/>
      <w:bookmarkEnd w:id="171"/>
      <w:bookmarkStart w:id="172" w:name="_Toc19385"/>
      <w:r>
        <w:rPr>
          <w:rFonts w:hint="eastAsia" w:ascii="宋体" w:hAnsi="宋体" w:cs="宋体"/>
          <w:b/>
          <w:kern w:val="0"/>
          <w:sz w:val="24"/>
          <w:lang w:bidi="ar"/>
        </w:rPr>
        <w:t>实时抓拍功能</w:t>
      </w:r>
      <w:bookmarkEnd w:id="172"/>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实时抓拍指的是系统自动检测并截取视频流中人脸图像的功能。系统支持摄像机与人脸抓拍相机两种前端输入方式，其中，视频流支持H.264与GB/T28181两种视频编码标准。系统把路人最清晰的一帧人脸照片保存到人像库中形成路人库。</w:t>
      </w:r>
    </w:p>
    <w:p>
      <w:pPr>
        <w:adjustRightInd w:val="0"/>
        <w:spacing w:before="120" w:after="120" w:line="360" w:lineRule="auto"/>
        <w:ind w:firstLine="482" w:firstLineChars="200"/>
        <w:textAlignment w:val="baseline"/>
        <w:rPr>
          <w:rFonts w:hint="eastAsia" w:ascii="宋体" w:hAnsi="宋体" w:cs="宋体"/>
          <w:b/>
          <w:sz w:val="24"/>
        </w:rPr>
      </w:pPr>
      <w:bookmarkStart w:id="173" w:name="_Toc6605"/>
      <w:bookmarkEnd w:id="173"/>
      <w:bookmarkStart w:id="174" w:name="_Toc517378398"/>
      <w:r>
        <w:rPr>
          <w:rFonts w:hint="eastAsia" w:ascii="宋体" w:hAnsi="宋体" w:cs="宋体"/>
          <w:b/>
          <w:kern w:val="0"/>
          <w:sz w:val="24"/>
          <w:lang w:bidi="ar"/>
        </w:rPr>
        <w:t>结构化信息识别功能</w:t>
      </w:r>
      <w:bookmarkEnd w:id="174"/>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系统可识别人脸的结构化信息，并存在路人人像库中。支持通过结构化信息对路人库进行筛选，方便实战中找到特定类型的路人。系统同时支持图片流及视频流的结构化识别，结构化信息包括性别、年龄、维族人、戴眼镜等。</w:t>
      </w:r>
    </w:p>
    <w:p>
      <w:pPr>
        <w:adjustRightInd w:val="0"/>
        <w:spacing w:before="120" w:after="120" w:line="360" w:lineRule="auto"/>
        <w:ind w:firstLine="482" w:firstLineChars="200"/>
        <w:textAlignment w:val="baseline"/>
        <w:rPr>
          <w:rFonts w:hint="eastAsia" w:ascii="宋体" w:hAnsi="宋体" w:cs="宋体"/>
          <w:b/>
          <w:sz w:val="24"/>
        </w:rPr>
      </w:pPr>
      <w:bookmarkStart w:id="175" w:name="_Toc517378399"/>
      <w:bookmarkEnd w:id="175"/>
      <w:bookmarkStart w:id="176" w:name="_Toc30919"/>
      <w:r>
        <w:rPr>
          <w:rFonts w:hint="eastAsia" w:ascii="宋体" w:hAnsi="宋体" w:cs="宋体"/>
          <w:b/>
          <w:kern w:val="0"/>
          <w:sz w:val="24"/>
          <w:lang w:bidi="ar"/>
        </w:rPr>
        <w:t>路人检索功能</w:t>
      </w:r>
      <w:bookmarkEnd w:id="176"/>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前端人像采集设备捕获的人脸照片存储在一个人像数据库中，该数据库被称作路人库。路人检索是指将一张查询照与路人库中所有图片进行逐一比对，获得路人库中与查询照最相似的人像序列。</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用户通过路人库检索获得目标的出现频率及出行特征。用户上传一张人像照片，在路人库中进行检索，获得目标人的所有人脸抓拍信息，进而分析其出行特征。</w:t>
      </w:r>
    </w:p>
    <w:p>
      <w:pPr>
        <w:adjustRightInd w:val="0"/>
        <w:spacing w:before="120" w:after="120" w:line="360" w:lineRule="auto"/>
        <w:ind w:firstLine="482" w:firstLineChars="200"/>
        <w:textAlignment w:val="baseline"/>
        <w:rPr>
          <w:rFonts w:hint="eastAsia" w:ascii="宋体" w:hAnsi="宋体" w:cs="宋体"/>
          <w:b/>
          <w:sz w:val="24"/>
        </w:rPr>
      </w:pPr>
      <w:bookmarkStart w:id="177" w:name="_Toc27626"/>
      <w:bookmarkEnd w:id="177"/>
      <w:bookmarkStart w:id="178" w:name="_Toc517378400"/>
      <w:r>
        <w:rPr>
          <w:rFonts w:hint="eastAsia" w:ascii="宋体" w:hAnsi="宋体" w:cs="宋体"/>
          <w:b/>
          <w:kern w:val="0"/>
          <w:sz w:val="24"/>
          <w:lang w:bidi="ar"/>
        </w:rPr>
        <w:t>离线视频分析</w:t>
      </w:r>
      <w:bookmarkEnd w:id="178"/>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系统支持对离线视频文件进行分析，截取出视频中出现的所有人脸照片。离线视频分析结果会存在对应的人像库中，支持对该人像库进行检索、布控等操作。系统支持以下视频格式分析：ts，mpeg，wmv，mp4，wav，avi，asf，mpg，vob，mp3，以上视频格式均为H.264编码格式。</w:t>
      </w:r>
    </w:p>
    <w:p>
      <w:pPr>
        <w:adjustRightInd w:val="0"/>
        <w:spacing w:before="120" w:after="120" w:line="360" w:lineRule="auto"/>
        <w:ind w:firstLine="482" w:firstLineChars="200"/>
        <w:textAlignment w:val="baseline"/>
        <w:rPr>
          <w:rFonts w:hint="eastAsia" w:ascii="宋体" w:hAnsi="宋体" w:cs="宋体"/>
          <w:b/>
          <w:sz w:val="24"/>
        </w:rPr>
      </w:pPr>
      <w:bookmarkStart w:id="179" w:name="_Toc9717"/>
      <w:bookmarkEnd w:id="179"/>
      <w:bookmarkStart w:id="180" w:name="_Toc517378401"/>
      <w:r>
        <w:rPr>
          <w:rFonts w:hint="eastAsia" w:ascii="宋体" w:hAnsi="宋体" w:cs="宋体"/>
          <w:b/>
          <w:kern w:val="0"/>
          <w:sz w:val="24"/>
          <w:lang w:bidi="ar"/>
        </w:rPr>
        <w:t>布控报警功能</w:t>
      </w:r>
      <w:bookmarkEnd w:id="180"/>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布控报警指当布控人员出现在布控摄像头画面中时，系统立即进行报警的功能。主要应用在地铁站、火车站、商场、网吧、宾馆、移动性展馆入口等人员流动性大的场景。</w:t>
      </w:r>
    </w:p>
    <w:p>
      <w:pPr>
        <w:adjustRightInd w:val="0"/>
        <w:spacing w:line="360" w:lineRule="auto"/>
        <w:ind w:firstLine="480" w:firstLineChars="200"/>
        <w:jc w:val="center"/>
        <w:textAlignment w:val="baseline"/>
        <w:rPr>
          <w:rFonts w:hint="eastAsia" w:ascii="宋体" w:hAnsi="宋体" w:cs="宋体"/>
          <w:sz w:val="24"/>
        </w:rPr>
      </w:pPr>
      <w:r>
        <w:rPr>
          <w:kern w:val="0"/>
          <w:sz w:val="24"/>
          <w:lang w:bidi="ar"/>
        </w:rPr>
        <w:drawing>
          <wp:inline distT="0" distB="0" distL="114300" distR="114300">
            <wp:extent cx="4733925" cy="2657475"/>
            <wp:effectExtent l="0" t="0" r="9525" b="9525"/>
            <wp:docPr id="22" name="图片 9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3" descr="IMG_276"/>
                    <pic:cNvPicPr>
                      <a:picLocks noChangeAspect="1"/>
                    </pic:cNvPicPr>
                  </pic:nvPicPr>
                  <pic:blipFill>
                    <a:blip r:embed="rId29"/>
                    <a:stretch>
                      <a:fillRect/>
                    </a:stretch>
                  </pic:blipFill>
                  <pic:spPr>
                    <a:xfrm>
                      <a:off x="0" y="0"/>
                      <a:ext cx="4733925" cy="2657475"/>
                    </a:xfrm>
                    <a:prstGeom prst="rect">
                      <a:avLst/>
                    </a:prstGeom>
                    <a:noFill/>
                    <a:ln>
                      <a:noFill/>
                    </a:ln>
                  </pic:spPr>
                </pic:pic>
              </a:graphicData>
            </a:graphic>
          </wp:inline>
        </w:drawing>
      </w:r>
      <w:r>
        <w:rPr>
          <w:rFonts w:hint="eastAsia" w:ascii="宋体" w:hAnsi="宋体" w:cs="宋体"/>
          <w:kern w:val="0"/>
          <w:sz w:val="24"/>
          <w:lang w:bidi="ar"/>
        </w:rPr>
        <w:t xml:space="preserve"> </w:t>
      </w:r>
    </w:p>
    <w:p>
      <w:pPr>
        <w:adjustRightInd w:val="0"/>
        <w:spacing w:line="360" w:lineRule="auto"/>
        <w:ind w:firstLine="480" w:firstLineChars="200"/>
        <w:jc w:val="center"/>
        <w:textAlignment w:val="baseline"/>
        <w:rPr>
          <w:rFonts w:hint="eastAsia" w:ascii="宋体" w:hAnsi="宋体" w:cs="宋体"/>
          <w:sz w:val="24"/>
        </w:rPr>
      </w:pPr>
      <w:r>
        <w:rPr>
          <w:rFonts w:hint="eastAsia" w:ascii="宋体" w:hAnsi="宋体" w:cs="宋体"/>
          <w:kern w:val="0"/>
          <w:sz w:val="24"/>
          <w:lang w:bidi="ar"/>
        </w:rPr>
        <w:t>图：布控报警界面</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系统支持三十万量级的人像库布控，支持查看任意时间段内的抓拍和报警信息，同时支持导出报警信息。布控报警任务可以根据实际情况，如：布控对象数量、布控对象重要性、警力配置、报警信息保密性等，灵活设置报警阈值以及布控报警任务类型。</w:t>
      </w:r>
    </w:p>
    <w:p>
      <w:pPr>
        <w:pStyle w:val="6"/>
        <w:widowControl/>
        <w:numPr>
          <w:ilvl w:val="3"/>
          <w:numId w:val="3"/>
        </w:numPr>
        <w:ind w:left="0" w:firstLine="562"/>
        <w:rPr>
          <w:rFonts w:hint="eastAsia" w:ascii="宋体" w:hAnsi="宋体" w:cs="宋体"/>
          <w:sz w:val="24"/>
        </w:rPr>
      </w:pPr>
      <w:bookmarkStart w:id="181" w:name="_Toc517378402"/>
      <w:bookmarkEnd w:id="181"/>
      <w:bookmarkStart w:id="182" w:name="_Toc47900921"/>
      <w:r>
        <w:rPr>
          <w:rFonts w:hint="eastAsia" w:ascii="宋体" w:hAnsi="宋体" w:cs="宋体"/>
          <w:sz w:val="24"/>
        </w:rPr>
        <w:t>系统管理功能</w:t>
      </w:r>
      <w:bookmarkEnd w:id="182"/>
    </w:p>
    <w:p>
      <w:pPr>
        <w:adjustRightInd w:val="0"/>
        <w:spacing w:before="120" w:after="120" w:line="360" w:lineRule="auto"/>
        <w:ind w:firstLine="482" w:firstLineChars="200"/>
        <w:textAlignment w:val="baseline"/>
        <w:rPr>
          <w:rFonts w:hint="eastAsia" w:ascii="宋体" w:hAnsi="宋体" w:cs="宋体"/>
          <w:b/>
          <w:sz w:val="24"/>
        </w:rPr>
      </w:pPr>
      <w:bookmarkStart w:id="183" w:name="_Toc29003"/>
      <w:bookmarkEnd w:id="183"/>
      <w:bookmarkStart w:id="184" w:name="_Toc517378403"/>
      <w:r>
        <w:rPr>
          <w:rFonts w:hint="eastAsia" w:ascii="宋体" w:hAnsi="宋体" w:cs="宋体"/>
          <w:b/>
          <w:kern w:val="0"/>
          <w:sz w:val="24"/>
          <w:lang w:bidi="ar"/>
        </w:rPr>
        <w:t>人像库管理</w:t>
      </w:r>
      <w:bookmarkEnd w:id="184"/>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支持对人像库的基础管理功能，如：人像库分类、人像库的增删改查、导入图片进度查看、操作日志查看和库中人像的增删改查等功能。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人像库数据作为系统最重要的资源，需要对其进行极精细的管控。系统支持全维度的人像库权限控制及详尽的操作记录，如：人像库创建时间、最近一次被编辑的时间、用户当日剩余查询次数、最近被访问的日志、最近一月库被检索的次数、共享集群累计检索申请次数、共享集群累计检索次数、外部集群对此人像库的各操作权限详细情况（可读、可见、检索、导图、打标签、布控、编辑、删除）以及该人像库被用于布控的情况（布控名称、报警接收情况、视频源、布控人、布控时间）等等。</w:t>
      </w:r>
    </w:p>
    <w:p>
      <w:pPr>
        <w:adjustRightInd w:val="0"/>
        <w:spacing w:line="360" w:lineRule="auto"/>
        <w:ind w:firstLine="480" w:firstLineChars="200"/>
        <w:textAlignment w:val="baseline"/>
        <w:rPr>
          <w:rFonts w:hint="eastAsia" w:ascii="宋体" w:hAnsi="宋体" w:cs="宋体"/>
          <w:sz w:val="24"/>
        </w:rPr>
      </w:pPr>
      <w:r>
        <w:rPr>
          <w:kern w:val="0"/>
          <w:sz w:val="24"/>
          <w:lang w:bidi="ar"/>
        </w:rPr>
        <w:drawing>
          <wp:inline distT="0" distB="0" distL="114300" distR="114300">
            <wp:extent cx="4705350" cy="2447925"/>
            <wp:effectExtent l="0" t="0" r="0" b="9525"/>
            <wp:docPr id="23" name="图片 94"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4" descr="IMG_277"/>
                    <pic:cNvPicPr>
                      <a:picLocks noChangeAspect="1"/>
                    </pic:cNvPicPr>
                  </pic:nvPicPr>
                  <pic:blipFill>
                    <a:blip r:embed="rId30"/>
                    <a:stretch>
                      <a:fillRect/>
                    </a:stretch>
                  </pic:blipFill>
                  <pic:spPr>
                    <a:xfrm>
                      <a:off x="0" y="0"/>
                      <a:ext cx="4705350" cy="2447925"/>
                    </a:xfrm>
                    <a:prstGeom prst="rect">
                      <a:avLst/>
                    </a:prstGeom>
                    <a:noFill/>
                    <a:ln>
                      <a:noFill/>
                    </a:ln>
                  </pic:spPr>
                </pic:pic>
              </a:graphicData>
            </a:graphic>
          </wp:inline>
        </w:drawing>
      </w:r>
      <w:r>
        <w:rPr>
          <w:rFonts w:hint="eastAsia" w:ascii="宋体" w:hAnsi="宋体" w:cs="宋体"/>
          <w:kern w:val="0"/>
          <w:sz w:val="24"/>
          <w:lang w:bidi="ar"/>
        </w:rPr>
        <w:t xml:space="preserve"> </w:t>
      </w:r>
    </w:p>
    <w:p>
      <w:pPr>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图：人像库管理界面</w:t>
      </w:r>
    </w:p>
    <w:p>
      <w:pPr>
        <w:adjustRightInd w:val="0"/>
        <w:spacing w:before="120" w:after="120" w:line="360" w:lineRule="auto"/>
        <w:ind w:firstLine="482" w:firstLineChars="200"/>
        <w:textAlignment w:val="baseline"/>
        <w:rPr>
          <w:rFonts w:hint="eastAsia" w:ascii="宋体" w:hAnsi="宋体" w:cs="宋体"/>
          <w:b/>
          <w:sz w:val="24"/>
        </w:rPr>
      </w:pPr>
      <w:bookmarkStart w:id="185" w:name="_Toc22363"/>
      <w:bookmarkEnd w:id="185"/>
      <w:bookmarkStart w:id="186" w:name="_Toc517378404"/>
      <w:r>
        <w:rPr>
          <w:rFonts w:hint="eastAsia" w:ascii="宋体" w:hAnsi="宋体" w:cs="宋体"/>
          <w:b/>
          <w:kern w:val="0"/>
          <w:sz w:val="24"/>
          <w:lang w:bidi="ar"/>
        </w:rPr>
        <w:t>摄像头管理</w:t>
      </w:r>
      <w:bookmarkEnd w:id="186"/>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支持对摄像头的增删改查等基础管理功能。支持摄像头分区管理及多级分区，以树状列表形式在应用网站上进行展示，支持在PGIS地图上展示摄像头分布。</w:t>
      </w:r>
    </w:p>
    <w:p>
      <w:pPr>
        <w:adjustRightInd w:val="0"/>
        <w:spacing w:before="120" w:after="120" w:line="360" w:lineRule="auto"/>
        <w:ind w:firstLine="482" w:firstLineChars="200"/>
        <w:textAlignment w:val="baseline"/>
        <w:rPr>
          <w:rFonts w:hint="eastAsia" w:ascii="宋体" w:hAnsi="宋体" w:cs="宋体"/>
          <w:b/>
          <w:sz w:val="24"/>
        </w:rPr>
      </w:pPr>
      <w:bookmarkStart w:id="187" w:name="_Toc26498"/>
      <w:bookmarkEnd w:id="187"/>
      <w:bookmarkStart w:id="188" w:name="_Toc517378405"/>
      <w:r>
        <w:rPr>
          <w:rFonts w:hint="eastAsia" w:ascii="宋体" w:hAnsi="宋体" w:cs="宋体"/>
          <w:b/>
          <w:kern w:val="0"/>
          <w:sz w:val="24"/>
          <w:lang w:bidi="ar"/>
        </w:rPr>
        <w:t>离线视频管理</w:t>
      </w:r>
      <w:bookmarkEnd w:id="188"/>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离线视频管理包括：查看离线视频分析结果、启动/结束离线视频分析、设置离线视频参数、删除离线视频。</w:t>
      </w:r>
    </w:p>
    <w:p>
      <w:pPr>
        <w:adjustRightInd w:val="0"/>
        <w:spacing w:before="120" w:after="120" w:line="360" w:lineRule="auto"/>
        <w:ind w:firstLine="482" w:firstLineChars="200"/>
        <w:textAlignment w:val="baseline"/>
        <w:rPr>
          <w:rFonts w:hint="eastAsia" w:ascii="宋体" w:hAnsi="宋体" w:cs="宋体"/>
          <w:b/>
          <w:sz w:val="24"/>
        </w:rPr>
      </w:pPr>
      <w:bookmarkStart w:id="189" w:name="_Toc6453"/>
      <w:bookmarkEnd w:id="189"/>
      <w:bookmarkStart w:id="190" w:name="_Toc517378406"/>
      <w:r>
        <w:rPr>
          <w:rFonts w:hint="eastAsia" w:ascii="宋体" w:hAnsi="宋体" w:cs="宋体"/>
          <w:b/>
          <w:kern w:val="0"/>
          <w:sz w:val="24"/>
          <w:lang w:bidi="ar"/>
        </w:rPr>
        <w:t>部门管理</w:t>
      </w:r>
      <w:bookmarkEnd w:id="190"/>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系统支持对用户分部门进行管理，支持新建/删除部门，支持建立多级部门，并按树状结构显示。</w:t>
      </w:r>
    </w:p>
    <w:p>
      <w:pPr>
        <w:adjustRightInd w:val="0"/>
        <w:spacing w:before="120" w:after="120" w:line="360" w:lineRule="auto"/>
        <w:ind w:firstLine="482" w:firstLineChars="200"/>
        <w:textAlignment w:val="baseline"/>
        <w:rPr>
          <w:rFonts w:hint="eastAsia" w:ascii="宋体" w:hAnsi="宋体" w:cs="宋体"/>
          <w:b/>
          <w:sz w:val="24"/>
        </w:rPr>
      </w:pPr>
      <w:bookmarkStart w:id="191" w:name="_Toc517378407"/>
      <w:bookmarkEnd w:id="191"/>
      <w:bookmarkStart w:id="192" w:name="_Toc8727"/>
      <w:r>
        <w:rPr>
          <w:rFonts w:hint="eastAsia" w:ascii="宋体" w:hAnsi="宋体" w:cs="宋体"/>
          <w:b/>
          <w:kern w:val="0"/>
          <w:sz w:val="24"/>
          <w:lang w:bidi="ar"/>
        </w:rPr>
        <w:t>用户管理</w:t>
      </w:r>
      <w:bookmarkEnd w:id="192"/>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支持对用户的增删改查等基础管理功能。系统支持数万规模用户体系，并拥有完善、灵活的用户权限系统，满足公安系统对权限分配精确到个人的业务需求。系统进行跨集群对接时，可以自动合并集群组织结构关系，大大提升系统对接效率。</w:t>
      </w:r>
    </w:p>
    <w:p>
      <w:pPr>
        <w:pStyle w:val="3"/>
        <w:widowControl/>
        <w:numPr>
          <w:ilvl w:val="0"/>
          <w:numId w:val="3"/>
        </w:numPr>
        <w:jc w:val="center"/>
        <w:rPr>
          <w:rFonts w:hint="eastAsia" w:ascii="宋体" w:hAnsi="宋体" w:cs="宋体"/>
          <w:sz w:val="24"/>
          <w:szCs w:val="24"/>
        </w:rPr>
      </w:pPr>
      <w:bookmarkStart w:id="193" w:name="_Toc497053430"/>
      <w:bookmarkEnd w:id="193"/>
      <w:bookmarkStart w:id="194" w:name="_Toc494468732"/>
      <w:bookmarkEnd w:id="194"/>
      <w:bookmarkStart w:id="195" w:name="_Toc494287951"/>
      <w:bookmarkEnd w:id="195"/>
      <w:bookmarkStart w:id="196" w:name="_Toc47900922"/>
      <w:bookmarkEnd w:id="196"/>
      <w:bookmarkStart w:id="197" w:name="_Toc501911734"/>
      <w:r>
        <w:rPr>
          <w:rFonts w:hint="eastAsia" w:ascii="宋体" w:hAnsi="宋体" w:cs="宋体"/>
          <w:sz w:val="24"/>
          <w:szCs w:val="24"/>
        </w:rPr>
        <w:t>网络安全平台系统建设</w:t>
      </w:r>
      <w:bookmarkEnd w:id="197"/>
    </w:p>
    <w:p>
      <w:pPr>
        <w:pStyle w:val="4"/>
        <w:keepNext w:val="0"/>
        <w:keepLines w:val="0"/>
        <w:widowControl/>
        <w:numPr>
          <w:ilvl w:val="1"/>
          <w:numId w:val="3"/>
        </w:numPr>
        <w:rPr>
          <w:rFonts w:hint="eastAsia" w:ascii="宋体" w:hAnsi="宋体" w:eastAsia="宋体" w:cs="宋体"/>
          <w:sz w:val="24"/>
          <w:szCs w:val="24"/>
        </w:rPr>
      </w:pPr>
      <w:bookmarkStart w:id="198" w:name="_Toc10730432"/>
      <w:bookmarkEnd w:id="198"/>
      <w:bookmarkStart w:id="199" w:name="_Toc47186712"/>
      <w:bookmarkEnd w:id="199"/>
      <w:bookmarkStart w:id="200" w:name="_Toc47900923"/>
      <w:r>
        <w:rPr>
          <w:rFonts w:hint="eastAsia" w:ascii="宋体" w:hAnsi="宋体" w:eastAsia="宋体" w:cs="宋体"/>
          <w:sz w:val="24"/>
          <w:szCs w:val="24"/>
        </w:rPr>
        <w:t>公安网络安全风险分析</w:t>
      </w:r>
      <w:bookmarkEnd w:id="200"/>
    </w:p>
    <w:p>
      <w:pPr>
        <w:pStyle w:val="5"/>
        <w:numPr>
          <w:ilvl w:val="2"/>
          <w:numId w:val="3"/>
        </w:numPr>
        <w:spacing w:before="163" w:after="163"/>
        <w:rPr>
          <w:rFonts w:hint="eastAsia" w:ascii="宋体" w:hAnsi="宋体" w:cs="宋体"/>
          <w:szCs w:val="24"/>
        </w:rPr>
      </w:pPr>
      <w:bookmarkStart w:id="201" w:name="_Toc47900924"/>
      <w:bookmarkEnd w:id="201"/>
      <w:bookmarkStart w:id="202" w:name="_Toc47186713"/>
      <w:bookmarkEnd w:id="202"/>
      <w:bookmarkStart w:id="203" w:name="_Toc10318"/>
      <w:r>
        <w:rPr>
          <w:rFonts w:hint="eastAsia" w:ascii="宋体" w:hAnsi="宋体" w:cs="宋体"/>
          <w:szCs w:val="24"/>
        </w:rPr>
        <w:t>缺乏整体安全规划</w:t>
      </w:r>
      <w:bookmarkEnd w:id="203"/>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由于目前公安网络是以县级为单位建设，系统还缺乏全局性的信息安全体系规划，存在前端设备弱口令、明文传输、非法访问、病毒传播、安全管理缺失等问题，给公安网络安全带来很大的安全风险。</w:t>
      </w:r>
    </w:p>
    <w:p>
      <w:pPr>
        <w:pStyle w:val="5"/>
        <w:numPr>
          <w:ilvl w:val="2"/>
          <w:numId w:val="3"/>
        </w:numPr>
        <w:spacing w:before="163" w:after="163"/>
        <w:rPr>
          <w:rFonts w:hint="eastAsia" w:ascii="宋体" w:hAnsi="宋体" w:cs="宋体"/>
          <w:szCs w:val="24"/>
        </w:rPr>
      </w:pPr>
      <w:bookmarkStart w:id="204" w:name="_Toc20466"/>
      <w:bookmarkEnd w:id="204"/>
      <w:bookmarkStart w:id="205" w:name="_Toc47186714"/>
      <w:bookmarkEnd w:id="205"/>
      <w:bookmarkStart w:id="206" w:name="_Toc47900925"/>
      <w:r>
        <w:rPr>
          <w:rFonts w:hint="eastAsia" w:ascii="宋体" w:hAnsi="宋体" w:cs="宋体"/>
          <w:szCs w:val="24"/>
        </w:rPr>
        <w:t>缺乏安全防护措施</w:t>
      </w:r>
      <w:bookmarkEnd w:id="206"/>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公安专网与视频专网、政务网网络边界互联缺乏规范的技术防护。在内部网络，前端设备、终端、网络、主机、应用系统基本为裸奔状态，仅有系统用户密码认证等简单的安全措施。面对越来越复杂的APT攻击、黑客入侵、内部非法人员的渗透，网络极易被攻破，极易造成视频监控设备被控、敏感数据泄漏、网络不可用等安全风险。</w:t>
      </w:r>
    </w:p>
    <w:p>
      <w:pPr>
        <w:pStyle w:val="5"/>
        <w:numPr>
          <w:ilvl w:val="2"/>
          <w:numId w:val="3"/>
        </w:numPr>
        <w:spacing w:before="163" w:after="163"/>
        <w:rPr>
          <w:rFonts w:hint="eastAsia" w:ascii="宋体" w:hAnsi="宋体" w:cs="宋体"/>
          <w:szCs w:val="24"/>
        </w:rPr>
      </w:pPr>
      <w:bookmarkStart w:id="207" w:name="_Toc47186715"/>
      <w:bookmarkEnd w:id="207"/>
      <w:bookmarkStart w:id="208" w:name="_Toc4737"/>
      <w:bookmarkEnd w:id="208"/>
      <w:bookmarkStart w:id="209" w:name="_Toc47900926"/>
      <w:r>
        <w:rPr>
          <w:rFonts w:hint="eastAsia" w:ascii="宋体" w:hAnsi="宋体" w:cs="宋体"/>
          <w:szCs w:val="24"/>
        </w:rPr>
        <w:t>缺乏访问控制管理</w:t>
      </w:r>
      <w:bookmarkEnd w:id="209"/>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公安网络是个规模较大的网络，其中视频专网包含大量的视频监控设备、业务系统等，客户端也分布比较广泛，公安内网存在大量服务器，并直接与上级单位连接，中间缺少安全防护设备，在整个公安网络内应存在不同的安全等级，不同业务单元，不同授权访问范围，在网络访问控制上存在访问控制关系不严格的情况，可能带来内部安全问题，也方便入侵者扩大攻击范围。</w:t>
      </w:r>
    </w:p>
    <w:p>
      <w:pPr>
        <w:pStyle w:val="5"/>
        <w:numPr>
          <w:ilvl w:val="2"/>
          <w:numId w:val="3"/>
        </w:numPr>
        <w:spacing w:before="163" w:after="163"/>
        <w:rPr>
          <w:rFonts w:hint="eastAsia" w:ascii="宋体" w:hAnsi="宋体" w:cs="宋体"/>
          <w:szCs w:val="24"/>
        </w:rPr>
      </w:pPr>
      <w:bookmarkStart w:id="210" w:name="_Toc10928"/>
      <w:bookmarkEnd w:id="210"/>
      <w:bookmarkStart w:id="211" w:name="_Toc47186716"/>
      <w:bookmarkEnd w:id="211"/>
      <w:bookmarkStart w:id="212" w:name="_Toc47900927"/>
      <w:r>
        <w:rPr>
          <w:rFonts w:hint="eastAsia" w:ascii="宋体" w:hAnsi="宋体" w:cs="宋体"/>
          <w:szCs w:val="24"/>
        </w:rPr>
        <w:t>缺乏安全态势管控</w:t>
      </w:r>
      <w:bookmarkEnd w:id="212"/>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网络的建设过程中，对于安全决策者、安全管理者正在面临着资产看不见、风险理不清、资产管不住、流程跑不顺、责任查不出的难题。对于管理者而言，需要对全网或相关业务信息系统的整体安全运行状况有一个直观的了解、清晰的掌控，能获悉当前的安全态势、攻击分布、防护缺陷，需要掌握安全防护体系建设能力和管理能力。</w:t>
      </w:r>
    </w:p>
    <w:p>
      <w:pPr>
        <w:pStyle w:val="4"/>
        <w:keepNext w:val="0"/>
        <w:keepLines w:val="0"/>
        <w:widowControl/>
        <w:numPr>
          <w:ilvl w:val="1"/>
          <w:numId w:val="3"/>
        </w:numPr>
        <w:rPr>
          <w:rFonts w:hint="eastAsia" w:ascii="宋体" w:hAnsi="宋体" w:eastAsia="宋体" w:cs="宋体"/>
          <w:sz w:val="24"/>
          <w:szCs w:val="24"/>
        </w:rPr>
      </w:pPr>
      <w:bookmarkStart w:id="213" w:name="_Toc47186721"/>
      <w:bookmarkEnd w:id="213"/>
      <w:bookmarkStart w:id="214" w:name="_Toc47900939"/>
      <w:r>
        <w:rPr>
          <w:rFonts w:hint="eastAsia" w:ascii="宋体" w:hAnsi="宋体" w:eastAsia="宋体" w:cs="宋体"/>
          <w:sz w:val="24"/>
          <w:szCs w:val="24"/>
        </w:rPr>
        <w:t>网络安全</w:t>
      </w:r>
      <w:bookmarkEnd w:id="214"/>
      <w:r>
        <w:rPr>
          <w:rFonts w:hint="eastAsia" w:ascii="宋体" w:hAnsi="宋体" w:eastAsia="宋体" w:cs="宋体"/>
          <w:sz w:val="24"/>
          <w:szCs w:val="24"/>
        </w:rPr>
        <w:t>系统总体规划</w:t>
      </w:r>
    </w:p>
    <w:p>
      <w:pPr>
        <w:pStyle w:val="5"/>
        <w:numPr>
          <w:ilvl w:val="2"/>
          <w:numId w:val="3"/>
        </w:numPr>
        <w:spacing w:before="163" w:after="163"/>
        <w:rPr>
          <w:rFonts w:hint="eastAsia" w:ascii="宋体" w:hAnsi="宋体" w:cs="宋体"/>
          <w:szCs w:val="24"/>
        </w:rPr>
      </w:pPr>
      <w:bookmarkStart w:id="215" w:name="_Toc47186722"/>
      <w:bookmarkEnd w:id="215"/>
      <w:bookmarkStart w:id="216" w:name="_Toc523092738"/>
      <w:bookmarkEnd w:id="216"/>
      <w:bookmarkStart w:id="217" w:name="_Toc47900940"/>
      <w:r>
        <w:rPr>
          <w:rFonts w:hint="eastAsia" w:ascii="宋体" w:hAnsi="宋体" w:cs="宋体"/>
          <w:szCs w:val="24"/>
        </w:rPr>
        <w:t>设计思路</w:t>
      </w:r>
      <w:bookmarkEnd w:id="217"/>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依据国家信息安全等级保护制度和信息保障技术框架，根据“雪亮工程”的宗旨、意义、目标，通过系统在不同阶段的需求、业务特性及应用重点，采用层次化与区域化相结合的安全体系设计方法，帮助构建一套覆盖全面、重点突出、节约成本、持续运行的安全防御体系。</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根据安全保障体系的设计思路，安全域保护的设计与实施通过以下步骤进行：</w:t>
      </w:r>
    </w:p>
    <w:p>
      <w:pPr>
        <w:pStyle w:val="89"/>
        <w:widowControl/>
        <w:numPr>
          <w:ilvl w:val="0"/>
          <w:numId w:val="12"/>
        </w:numPr>
        <w:spacing w:line="360" w:lineRule="auto"/>
        <w:ind w:firstLineChars="0"/>
        <w:rPr>
          <w:rFonts w:hint="eastAsia" w:ascii="宋体" w:hAnsi="宋体" w:cs="宋体"/>
        </w:rPr>
      </w:pPr>
      <w:r>
        <w:rPr>
          <w:rFonts w:hint="eastAsia" w:ascii="宋体" w:hAnsi="宋体" w:cs="宋体"/>
          <w:b/>
        </w:rPr>
        <w:t>安全域设计</w:t>
      </w:r>
      <w:r>
        <w:rPr>
          <w:rFonts w:hint="eastAsia" w:ascii="宋体" w:hAnsi="宋体" w:cs="宋体"/>
        </w:rPr>
        <w:t>：通过分析系统业务流程、功能模块，根据安全域划分原则设计系统安全域架构。通过安全域设计将系统分解为多个层次，为下一步安全保障体系框架设计提供基础框架；</w:t>
      </w:r>
    </w:p>
    <w:p>
      <w:pPr>
        <w:pStyle w:val="89"/>
        <w:widowControl/>
        <w:numPr>
          <w:ilvl w:val="0"/>
          <w:numId w:val="12"/>
        </w:numPr>
        <w:spacing w:line="360" w:lineRule="auto"/>
        <w:ind w:firstLineChars="0"/>
        <w:rPr>
          <w:rFonts w:hint="eastAsia" w:ascii="宋体" w:hAnsi="宋体" w:cs="宋体"/>
        </w:rPr>
      </w:pPr>
      <w:r>
        <w:rPr>
          <w:rFonts w:hint="eastAsia" w:ascii="宋体" w:hAnsi="宋体" w:cs="宋体"/>
          <w:b/>
        </w:rPr>
        <w:t>安全保障体系框架设计</w:t>
      </w:r>
      <w:r>
        <w:rPr>
          <w:rFonts w:hint="eastAsia" w:ascii="宋体" w:hAnsi="宋体" w:cs="宋体"/>
        </w:rPr>
        <w:t>：根据安全域框架，设计系统各个层次的安全保障体系框架（包括策略、组织、技术和运作），各层次的安全保障体系框架形成系统整体的安全保障体系框架；</w:t>
      </w:r>
    </w:p>
    <w:p>
      <w:pPr>
        <w:pStyle w:val="89"/>
        <w:widowControl/>
        <w:numPr>
          <w:ilvl w:val="0"/>
          <w:numId w:val="12"/>
        </w:numPr>
        <w:spacing w:line="360" w:lineRule="auto"/>
        <w:ind w:firstLineChars="0"/>
        <w:rPr>
          <w:rFonts w:hint="eastAsia" w:ascii="宋体" w:hAnsi="宋体" w:cs="宋体"/>
        </w:rPr>
      </w:pPr>
      <w:r>
        <w:rPr>
          <w:rFonts w:hint="eastAsia" w:ascii="宋体" w:hAnsi="宋体" w:cs="宋体"/>
          <w:b/>
        </w:rPr>
        <w:t>确定安全域安全要求</w:t>
      </w:r>
      <w:r>
        <w:rPr>
          <w:rFonts w:hint="eastAsia" w:ascii="宋体" w:hAnsi="宋体" w:cs="宋体"/>
        </w:rPr>
        <w:t>：参照国家相关等级保护安全要求，设计等级安全指标库。通过安全域适用安全等级选择方法确定系统各区域等级，明确各安全域所需采用的安全指标；</w:t>
      </w:r>
    </w:p>
    <w:p>
      <w:pPr>
        <w:pStyle w:val="89"/>
        <w:widowControl/>
        <w:numPr>
          <w:ilvl w:val="0"/>
          <w:numId w:val="12"/>
        </w:numPr>
        <w:spacing w:line="360" w:lineRule="auto"/>
        <w:ind w:firstLineChars="0"/>
        <w:rPr>
          <w:rFonts w:hint="eastAsia" w:ascii="宋体" w:hAnsi="宋体" w:cs="宋体"/>
        </w:rPr>
      </w:pPr>
      <w:r>
        <w:rPr>
          <w:rFonts w:hint="eastAsia" w:ascii="宋体" w:hAnsi="宋体" w:cs="宋体"/>
          <w:b/>
        </w:rPr>
        <w:t>评估现状</w:t>
      </w:r>
      <w:r>
        <w:rPr>
          <w:rFonts w:hint="eastAsia" w:ascii="宋体" w:hAnsi="宋体" w:cs="宋体"/>
        </w:rPr>
        <w:t>：根据各区域安全要求确定各安全等级的评估内容，根据国家相关风险评估方法，对系统各层次安全域进行有针对性的风险评估。通过风险评估，可以明确各层次安全域相应等级的安全差距，为下一步安全技术解决方案设计和安全管理建设提供依据；</w:t>
      </w:r>
    </w:p>
    <w:p>
      <w:pPr>
        <w:pStyle w:val="89"/>
        <w:widowControl/>
        <w:numPr>
          <w:ilvl w:val="0"/>
          <w:numId w:val="12"/>
        </w:numPr>
        <w:spacing w:line="360" w:lineRule="auto"/>
        <w:ind w:firstLineChars="0"/>
        <w:rPr>
          <w:rFonts w:hint="eastAsia" w:ascii="宋体" w:hAnsi="宋体" w:cs="宋体"/>
        </w:rPr>
      </w:pPr>
      <w:r>
        <w:rPr>
          <w:rFonts w:hint="eastAsia" w:ascii="宋体" w:hAnsi="宋体" w:cs="宋体"/>
          <w:b/>
        </w:rPr>
        <w:t>安全技术解决方案设计</w:t>
      </w:r>
      <w:r>
        <w:rPr>
          <w:rFonts w:hint="eastAsia" w:ascii="宋体" w:hAnsi="宋体" w:cs="宋体"/>
        </w:rPr>
        <w:t>：针对安全要求，建立安全技术措施库。通过风险评估结果，设计系统安全技术解决方案；</w:t>
      </w:r>
    </w:p>
    <w:p>
      <w:pPr>
        <w:pStyle w:val="89"/>
        <w:widowControl/>
        <w:numPr>
          <w:ilvl w:val="0"/>
          <w:numId w:val="12"/>
        </w:numPr>
        <w:spacing w:line="360" w:lineRule="auto"/>
        <w:ind w:firstLineChars="0"/>
        <w:rPr>
          <w:rFonts w:hint="eastAsia" w:ascii="宋体" w:hAnsi="宋体" w:cs="宋体"/>
        </w:rPr>
      </w:pPr>
      <w:r>
        <w:rPr>
          <w:rFonts w:hint="eastAsia" w:ascii="宋体" w:hAnsi="宋体" w:cs="宋体"/>
          <w:b/>
        </w:rPr>
        <w:t>安全管理建设</w:t>
      </w:r>
      <w:r>
        <w:rPr>
          <w:rFonts w:hint="eastAsia" w:ascii="宋体" w:hAnsi="宋体" w:cs="宋体"/>
        </w:rPr>
        <w:t>：针对安全要求，建立安全管理措施库。通过风险评估结果，进行安全管理建设。</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通过如上步骤，信息系统安全可以形成整体的安全保障体系，同时根据安全技术建设和安全管理建设，保障系统整体的安全。</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 xml:space="preserve"> </w:t>
      </w:r>
    </w:p>
    <w:p>
      <w:pPr>
        <w:pStyle w:val="5"/>
        <w:numPr>
          <w:ilvl w:val="2"/>
          <w:numId w:val="3"/>
        </w:numPr>
        <w:spacing w:before="163" w:after="163"/>
        <w:rPr>
          <w:rFonts w:hint="eastAsia" w:ascii="宋体" w:hAnsi="宋体" w:cs="宋体"/>
          <w:szCs w:val="24"/>
        </w:rPr>
      </w:pPr>
      <w:bookmarkStart w:id="218" w:name="_Toc523092739"/>
      <w:bookmarkEnd w:id="218"/>
      <w:bookmarkStart w:id="219" w:name="_Toc47186723"/>
      <w:bookmarkEnd w:id="219"/>
      <w:bookmarkStart w:id="220" w:name="_Toc47900941"/>
      <w:r>
        <w:rPr>
          <w:rFonts w:hint="eastAsia" w:ascii="宋体" w:hAnsi="宋体" w:cs="宋体"/>
          <w:szCs w:val="24"/>
        </w:rPr>
        <w:t>安全功能架构</w:t>
      </w:r>
      <w:bookmarkEnd w:id="220"/>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针对公安网络的脆弱点与风险，结合整网安全考虑，安全总体规划如下：</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在上一期的安全建设中，集聚区公安已经在视频专网部署了安全管理平台，运维审计平台，日志审计平台，APT预警平台等安全平台，对视频中心数据中心的安全进行一定的加固，满足了等保基本要求。本次方案主要针对公安网的等保安全要求进行加固。</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公安专网与视频专网是两个物理隔离的网络区域，因此网络安全设备需要分别进行部署，为满足等级保护2.0标准要求。增加下一代安全管理平台，运维审计平台，日志审计，APT预警平台深度威胁分析平台。</w:t>
      </w:r>
    </w:p>
    <w:p>
      <w:pPr>
        <w:pStyle w:val="5"/>
        <w:numPr>
          <w:ilvl w:val="2"/>
          <w:numId w:val="3"/>
        </w:numPr>
        <w:spacing w:before="163" w:after="163"/>
        <w:rPr>
          <w:rFonts w:hint="eastAsia" w:ascii="宋体" w:hAnsi="宋体" w:cs="宋体"/>
          <w:szCs w:val="24"/>
        </w:rPr>
      </w:pPr>
      <w:bookmarkStart w:id="221" w:name="_Toc47186724"/>
      <w:bookmarkEnd w:id="221"/>
      <w:bookmarkStart w:id="222" w:name="_Toc47900942"/>
      <w:r>
        <w:rPr>
          <w:rFonts w:hint="eastAsia" w:ascii="宋体" w:hAnsi="宋体" w:cs="宋体"/>
          <w:szCs w:val="24"/>
        </w:rPr>
        <w:t>整体安全拓扑图</w:t>
      </w:r>
      <w:bookmarkEnd w:id="222"/>
    </w:p>
    <w:p>
      <w:pPr>
        <w:adjustRightInd w:val="0"/>
        <w:spacing w:line="360" w:lineRule="auto"/>
        <w:textAlignment w:val="baseline"/>
        <w:rPr>
          <w:rFonts w:hint="eastAsia" w:ascii="宋体" w:hAnsi="宋体" w:cs="宋体"/>
          <w:sz w:val="24"/>
        </w:rPr>
      </w:pPr>
      <w:r>
        <w:rPr>
          <w:kern w:val="0"/>
          <w:sz w:val="24"/>
          <w:lang w:bidi="ar"/>
        </w:rPr>
        <w:drawing>
          <wp:inline distT="0" distB="0" distL="114300" distR="114300">
            <wp:extent cx="5638800" cy="2933700"/>
            <wp:effectExtent l="0" t="0" r="0" b="0"/>
            <wp:docPr id="24" name="图片 95"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5" descr="IMG_278"/>
                    <pic:cNvPicPr>
                      <a:picLocks noChangeAspect="1"/>
                    </pic:cNvPicPr>
                  </pic:nvPicPr>
                  <pic:blipFill>
                    <a:blip r:embed="rId31"/>
                    <a:stretch>
                      <a:fillRect/>
                    </a:stretch>
                  </pic:blipFill>
                  <pic:spPr>
                    <a:xfrm>
                      <a:off x="0" y="0"/>
                      <a:ext cx="5638800" cy="2933700"/>
                    </a:xfrm>
                    <a:prstGeom prst="rect">
                      <a:avLst/>
                    </a:prstGeom>
                    <a:noFill/>
                    <a:ln>
                      <a:noFill/>
                    </a:ln>
                  </pic:spPr>
                </pic:pic>
              </a:graphicData>
            </a:graphic>
          </wp:inline>
        </w:drawing>
      </w:r>
      <w:r>
        <w:rPr>
          <w:rFonts w:hint="eastAsia" w:ascii="宋体" w:hAnsi="宋体" w:cs="宋体"/>
          <w:kern w:val="0"/>
          <w:sz w:val="24"/>
          <w:lang w:bidi="ar"/>
        </w:rPr>
        <w:t xml:space="preserve"> </w:t>
      </w:r>
    </w:p>
    <w:p>
      <w:pPr>
        <w:pStyle w:val="4"/>
        <w:keepNext w:val="0"/>
        <w:keepLines w:val="0"/>
        <w:widowControl/>
        <w:numPr>
          <w:ilvl w:val="1"/>
          <w:numId w:val="3"/>
        </w:numPr>
        <w:rPr>
          <w:rFonts w:hint="eastAsia" w:ascii="宋体" w:hAnsi="宋体" w:eastAsia="宋体" w:cs="宋体"/>
          <w:sz w:val="24"/>
          <w:szCs w:val="24"/>
        </w:rPr>
      </w:pPr>
      <w:bookmarkStart w:id="223" w:name="_Toc48107962"/>
      <w:bookmarkEnd w:id="223"/>
      <w:r>
        <w:rPr>
          <w:rFonts w:hint="eastAsia" w:ascii="宋体" w:hAnsi="宋体" w:eastAsia="宋体" w:cs="宋体"/>
          <w:sz w:val="24"/>
          <w:szCs w:val="24"/>
        </w:rPr>
        <w:t>网络安全系统详细设计</w:t>
      </w:r>
    </w:p>
    <w:p>
      <w:pPr>
        <w:pStyle w:val="5"/>
        <w:numPr>
          <w:ilvl w:val="2"/>
          <w:numId w:val="3"/>
        </w:numPr>
        <w:spacing w:before="163" w:after="163"/>
        <w:rPr>
          <w:rFonts w:hint="eastAsia" w:ascii="宋体" w:hAnsi="宋体" w:cs="宋体"/>
          <w:szCs w:val="24"/>
        </w:rPr>
      </w:pPr>
      <w:bookmarkStart w:id="224" w:name="_Toc48107963"/>
      <w:bookmarkEnd w:id="224"/>
      <w:r>
        <w:rPr>
          <w:rFonts w:hint="eastAsia" w:ascii="宋体" w:hAnsi="宋体" w:cs="宋体"/>
          <w:szCs w:val="24"/>
        </w:rPr>
        <w:t>公安网等保安全加固设计</w:t>
      </w:r>
    </w:p>
    <w:p>
      <w:pPr>
        <w:pStyle w:val="6"/>
        <w:widowControl/>
        <w:numPr>
          <w:ilvl w:val="3"/>
          <w:numId w:val="3"/>
        </w:numPr>
        <w:ind w:left="0" w:firstLine="562"/>
        <w:rPr>
          <w:rFonts w:hint="eastAsia" w:ascii="宋体" w:hAnsi="宋体" w:cs="宋体"/>
          <w:sz w:val="24"/>
        </w:rPr>
      </w:pPr>
      <w:bookmarkStart w:id="225" w:name="_Toc523092758"/>
      <w:bookmarkEnd w:id="225"/>
      <w:bookmarkStart w:id="226" w:name="_Toc523092743"/>
      <w:bookmarkEnd w:id="226"/>
      <w:bookmarkStart w:id="227" w:name="_Toc48107964"/>
      <w:r>
        <w:rPr>
          <w:rFonts w:hint="eastAsia" w:ascii="宋体" w:hAnsi="宋体" w:cs="宋体"/>
          <w:sz w:val="24"/>
        </w:rPr>
        <w:t>边界</w:t>
      </w:r>
      <w:bookmarkEnd w:id="227"/>
      <w:r>
        <w:rPr>
          <w:rFonts w:hint="eastAsia" w:ascii="宋体" w:hAnsi="宋体" w:cs="宋体"/>
          <w:sz w:val="24"/>
        </w:rPr>
        <w:t>安全管理平台</w:t>
      </w:r>
    </w:p>
    <w:p>
      <w:pPr>
        <w:pStyle w:val="32"/>
        <w:widowControl w:val="0"/>
        <w:spacing w:before="0" w:beforeAutospacing="0" w:after="0" w:afterAutospacing="0" w:line="360" w:lineRule="auto"/>
        <w:ind w:firstLine="482" w:firstLineChars="200"/>
        <w:jc w:val="both"/>
        <w:rPr>
          <w:rFonts w:hint="eastAsia" w:cs="宋体"/>
          <w:b/>
          <w:color w:val="auto"/>
        </w:rPr>
      </w:pPr>
      <w:bookmarkStart w:id="228" w:name="_Toc523092744"/>
      <w:bookmarkEnd w:id="228"/>
      <w:r>
        <w:rPr>
          <w:rFonts w:hint="eastAsia" w:cs="宋体"/>
          <w:b/>
          <w:color w:val="auto"/>
          <w:lang w:bidi="ar"/>
        </w:rPr>
        <w:t>部署目的</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通过部署安全管理平台对该区域提供边界访问控制，严格控制进出该安全区域的访问，明确访问的来源、访问的对象及访问的类型，确保合法访问的正常进行，杜绝非法及越权访问；同时有效预防、发现、处理异常的网络访问，确保该区域信息网络正常访问活动。开通安全管理平台的VPN功能与防病毒模块，严格监控外网的访问控制与流量病毒检测。</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下一代安全管理平台”产品基于统一威胁管理目标设计，用于全方位解决单位综合网络安全问题。产品提供全面的防火墙、病毒防护、入侵防护、恶意攻击防护、VPN，在综合安全防护基础上，提供附加网络增值功能。产品内置负载均衡策略和双机热备模式支持，可长期稳定运行。</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下一代安全管理平台是多安全产品的功能汇总，如具有访问控制、防病毒、入侵防御、抗DDOS等功能。</w:t>
      </w:r>
    </w:p>
    <w:p>
      <w:pPr>
        <w:numPr>
          <w:ilvl w:val="0"/>
          <w:numId w:val="13"/>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采用下一代安全管理平台实现以下的安全策略：</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安全域隔离：各边界安全管理平台以及新增的下一代安全管理平台设备逻辑上隔离了网络各区域，对各个计算环境提供有效的保护；</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访问控制策略：安全管理平台/下一代安全管理平台工作在不同安全区域之间，对各个安全区域之间流转的数据进行深度分析，依据数据包的源地址、目的地址、通信协议、端口、流量、用户、通信时间等信息，进行判断，确定是否存在非法或违规的操作，并进行阻断，从而有效保障了各个重要的计算环境；</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应用控制策略：在安全管理平台/下一代安全管理平台上执行内容过滤策略，实现对应用层HTTP、FTP、TELNET、SMTP、POP3等协议命令级的控制，从而提供给系统更精准的安全性；</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会话监控策略：在安全管理平台/下一代安全管理平台配置会话监控策略，当会话处于非活跃一定时间或会话结束后，安全管理平台自动将会话丢弃，访问来源必须重新建立会话才能继续访问资源；</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会话限制策略：对于三级信息系统，从维护系统可用性的角度必须限制会话数，来保障服务的有效性，安全管理平台/下一代安全管理平台可对保护的应用服务器采取会话限制策略，当服务器接受的连接数接近或达到阀值时，安全管理平台自动阻断其他的访问连接请求，避免服务器接到过多的访问而崩溃；</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地址绑定策略：对于三级系统，必须采取IP+MAC地址绑定技术，从而有效防止地址欺骗攻击，同时采取地址绑定策略后，还应当在各个三级计算环境的交换机上绑定MAC，防止攻击者私自将终端设备接入三级计算环境进行破坏；</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身份认证策略：配置安全管理平台/下一代安全管理平台用户认证功能，对保护的应用系统可采取身份认证的方式（包括用户名/口令方式、S/KEY方式等），实现基于用户的访问控制；此外，安全管理平台还能够和第三方认证技术结合起来，实现网络层面的身份认证，进一步提升系统的安全性，同时也满足三级系统对网络访问控制的要求；</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日志审计平台策略：安全管理平台/下一代安全管理平台详细记录了转发的访问数据包，可提供给网络管理人员进行分析。这里应当将安全管理平台记录日志统一导入到集中的日志管理服务器。</w:t>
      </w:r>
    </w:p>
    <w:p>
      <w:pPr>
        <w:numPr>
          <w:ilvl w:val="0"/>
          <w:numId w:val="13"/>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下一代安全管理平台设备的防病毒功能模块执行以下的安全策略：</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病毒过滤策略：病毒过滤网关对SMTP、POP3、IMAP、HTTP和FTP等应用协议进行病毒扫描和过滤，通过恶意代码特征过滤，对病毒、木马、蠕虫以及移动代码进行过滤、清除和隔离，有效地防止可能的病毒威胁，将病毒阻断在敏感数据处理区域之外；</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恶意代码防护策略：病毒过滤网关支持对数据内容进行检查，可以采用关键字过滤，URL过滤等方式来阻止非法数据进入敏感数据处理区域，同时支持对Java等小程序进行过滤等，防止可能的恶意代码进入敏感数据处理区；此外，安全管理平台也支持对移动代码如Vbscript、JAVA script、ActiveX、Applet的过滤，能够防范利用上述代码编写的恶意脚本；</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蠕虫防范策略：病毒过滤网关可以实时检测到日益泛滥的蠕虫攻击，并对其进行实时阻断，从而有效防止信息网络因遭受蠕虫攻击而陷于瘫痪；</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病毒库升级策略：病毒过滤网关支持自动和手动两种升级方式，在自动方式下，系统可自动到互联网上的厂家网站搜索最新的病毒库和病毒引擎，进行及时的升级；</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日志策略：防病毒网关提供完整的病毒日志、访问日志和系统日志等记录，这些记录能够被部署在三级计算环境中的日志审计平台系统所收集。</w:t>
      </w:r>
    </w:p>
    <w:p>
      <w:pPr>
        <w:numPr>
          <w:ilvl w:val="0"/>
          <w:numId w:val="13"/>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下一代安全管理平台的入侵防御模块应具备以下功能：</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访问控制功能：入侵防御支持基于网络接口、IP地址、服务、时间等参数自定义访问控制规则，以保证网络资源不被非法使用和非法访问；</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阻止蠕虫扩散：蠕虫(Worm)与一般的档案型病毒(Virus)不同之处，在于蠕虫具备快速自我复制扩散的功能。而蠕虫之所以能够快速将自我扩散到其它系统，是因为蠕虫具备自动利用系统漏洞而入侵的能力。每当计算机的系统漏洞被公布，在短时间内便会有黑客组织在网络上发布针对新漏洞的攻击程序，接着便会有针对该漏洞的攻击程序在网络上流传，此时蠕虫作者便将这些已发布的攻击程序纳入其蠕虫程序的主体中，然后再散布新的蠕虫对外大量扩散。从漏洞公布到蠕虫产生所需的时间已大幅缩减，这让用户无法有充裕的时间测试系统厂商所发布的补丁程序；</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阻止漏洞攻击：在系统程序开发的过程中，常因为程序开发者疏于程序安全性，而导致开发出有系统漏洞的操作系统或应用程序。这类系统的漏洞经常是发生在程序没有对外界输入的参数长度进行检查，而发生所谓的缓冲区溢出攻击(Buffer Overflow Attack)。当缓冲溢出区攻击发生时，轻则导致系统没有响应、死机，成功的缓冲区溢出攻击还可以让黑客获得整个系统控制权；</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阻止间谍软件：大部分间谍软件由于是通过广告、浏览器漏洞、自订功能如ActiveX插件来诱使不够小心谨慎的用户安装的；</w:t>
      </w:r>
    </w:p>
    <w:p>
      <w:pPr>
        <w:numPr>
          <w:ilvl w:val="1"/>
          <w:numId w:val="14"/>
        </w:num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抗DoS/DDoS传统的网络安全设备仅具有单纯地设定单位时间内访问特定服务次数，来阻断未知类型的DoS/DDoS攻击。这种机制虽然可以将超过阈值的攻击数据包丢弃，但同时也会将超过阈值的合法数据包丢弃，造成正常用户不能使用网络服务。IPS对于需要重点保护的Web、DNS等服务可选择采取传统的处理机制。</w:t>
      </w:r>
    </w:p>
    <w:p>
      <w:pPr>
        <w:pStyle w:val="32"/>
        <w:widowControl w:val="0"/>
        <w:spacing w:before="0" w:beforeAutospacing="0" w:after="0" w:afterAutospacing="0" w:line="360" w:lineRule="auto"/>
        <w:ind w:firstLine="482" w:firstLineChars="200"/>
        <w:jc w:val="both"/>
        <w:rPr>
          <w:rFonts w:hint="eastAsia" w:cs="宋体"/>
          <w:b/>
          <w:color w:val="auto"/>
        </w:rPr>
      </w:pPr>
      <w:bookmarkStart w:id="229" w:name="_Toc523092745"/>
      <w:bookmarkEnd w:id="229"/>
      <w:bookmarkStart w:id="230" w:name="_Toc522873853"/>
      <w:r>
        <w:rPr>
          <w:rFonts w:hint="eastAsia" w:cs="宋体"/>
          <w:b/>
          <w:color w:val="auto"/>
          <w:lang w:bidi="ar"/>
        </w:rPr>
        <w:t>部署说明</w:t>
      </w:r>
      <w:bookmarkEnd w:id="230"/>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建议下一代安全管理平台设备部署在前端区域边界，对该区域提供边界访问控制，严格控制进出该安全区域的访问，利用下一代安全管理平台抵御DDOS攻击、入侵检测、入侵防御、防病毒等多功能的安全防护系统对该区域的应用系统进行严格的安全防护。</w:t>
      </w:r>
    </w:p>
    <w:p>
      <w:pPr>
        <w:pStyle w:val="6"/>
        <w:widowControl/>
        <w:numPr>
          <w:ilvl w:val="3"/>
          <w:numId w:val="3"/>
        </w:numPr>
        <w:ind w:left="0" w:firstLine="562"/>
        <w:rPr>
          <w:rFonts w:hint="eastAsia" w:ascii="宋体" w:hAnsi="宋体" w:cs="宋体"/>
          <w:sz w:val="24"/>
        </w:rPr>
      </w:pPr>
      <w:bookmarkStart w:id="231" w:name="_Toc48107965"/>
      <w:bookmarkEnd w:id="231"/>
      <w:r>
        <w:rPr>
          <w:rFonts w:hint="eastAsia" w:ascii="宋体" w:hAnsi="宋体" w:cs="宋体"/>
          <w:sz w:val="24"/>
        </w:rPr>
        <w:t>综合日志审计平台</w:t>
      </w:r>
    </w:p>
    <w:p>
      <w:pPr>
        <w:pStyle w:val="32"/>
        <w:widowControl w:val="0"/>
        <w:spacing w:before="0" w:beforeAutospacing="0" w:after="0" w:afterAutospacing="0" w:line="360" w:lineRule="auto"/>
        <w:ind w:firstLine="482" w:firstLineChars="200"/>
        <w:jc w:val="both"/>
        <w:rPr>
          <w:rFonts w:hint="eastAsia" w:cs="宋体"/>
          <w:b/>
          <w:color w:val="auto"/>
        </w:rPr>
      </w:pPr>
      <w:bookmarkStart w:id="232" w:name="_Toc523092759"/>
      <w:bookmarkEnd w:id="232"/>
      <w:r>
        <w:rPr>
          <w:rFonts w:hint="eastAsia" w:cs="宋体"/>
          <w:b/>
          <w:color w:val="auto"/>
          <w:lang w:bidi="ar"/>
        </w:rPr>
        <w:t>部署目的</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为了不断应对新的安全挑战，视频专网先后部署了安全管理平台、NGFW、IDS、IPS、漏洞扫描系统、防病毒系统、终端管理系统、WAF、DB-AUDIT等，构建起了一道道安全防线。然而，这些安全防线都仅仅抵御来自某个方面的安全威胁，形成了一个个“安全防御孤岛”，无法产生协同效应。更为严重地，这些复杂的IT资源及其安全防御设施在运行过程中不断产生大量的安全日志和事件，形成了大量“信息孤岛”。</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有限的安全管理人员面对这些数量巨大、彼此割裂的安全信息，操作着各种产品自身的控制台界面和告警窗口，显得束手无策，工作效率极低，难以发现真正的安全隐患。另一方面，单位和组织日益迫切的信息系统审计和内控要求、等级保护要求，以及不断增强的业务持续性需求，也对客户提出了严峻的挑战。</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综合日志审计平台作为信息资产的综合性管理平台，通过对客户网络设备、安全设备、主机和应用系统日志进行全面的标准化处理，及时发现各种安全威胁、异常行为事件，为管理人员提供全局的视角，确保客户业务的不间断运营安全。</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综合日志审计平台为客户提供全维度、跨设备、细粒度的关联分析，透过事件的表象真实地还原事件背后的信息，为客户提供真正可信赖的事件追责依据和业务运行的深度安全。同时提供集中化的统一管理平台，将所有的日志信息收集到平台中，实现信息资产的统一管理、监控资产的运行状况，协助用户全面审计信息系统整体安全状况。</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建议在核心交换机上以旁路方式部署综合日志审计平台设备，综合日志审计平台可以全面收集网络设备（路由器、交换机等）、网络安全设备（安全管理平台、入侵检测系统，补丁系统等）、应用系统等运行日志和安全事件日志，平台对日志进行归并、关联分析等操作把海量日志中有价值的信息提取出来，并且平台提供统计、查询及审计报表，为管理人员提供直观的日志查询、分析、展示界面，并长期妥善保存日志数据以便需要时查看，使管理员能够在综合日志审计平台平台上就可以了解整个数据中心的安全态势。</w:t>
      </w:r>
    </w:p>
    <w:p>
      <w:pPr>
        <w:pStyle w:val="32"/>
        <w:widowControl w:val="0"/>
        <w:spacing w:before="0" w:beforeAutospacing="0" w:after="0" w:afterAutospacing="0" w:line="360" w:lineRule="auto"/>
        <w:ind w:firstLine="482" w:firstLineChars="200"/>
        <w:jc w:val="both"/>
        <w:rPr>
          <w:rFonts w:hint="eastAsia" w:cs="宋体"/>
          <w:b/>
          <w:color w:val="auto"/>
        </w:rPr>
      </w:pPr>
      <w:bookmarkStart w:id="233" w:name="_Toc523092760"/>
      <w:bookmarkEnd w:id="233"/>
      <w:r>
        <w:rPr>
          <w:rFonts w:hint="eastAsia" w:cs="宋体"/>
          <w:b/>
          <w:color w:val="auto"/>
          <w:lang w:bidi="ar"/>
        </w:rPr>
        <w:t>部署说明</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在核心交换机旁路部署综合日志审计平台设备， 通过综合日志审计平台收集网络设备（路由器、交换机等）、网络安全设备（安全管理平台、入侵检测系统，补丁系统等）、应用系统等运行日志和安全事件日志。</w:t>
      </w:r>
    </w:p>
    <w:p>
      <w:pPr>
        <w:pStyle w:val="6"/>
        <w:widowControl/>
        <w:numPr>
          <w:ilvl w:val="3"/>
          <w:numId w:val="3"/>
        </w:numPr>
        <w:ind w:left="0" w:firstLine="562"/>
        <w:rPr>
          <w:rFonts w:hint="eastAsia" w:ascii="宋体" w:hAnsi="宋体" w:cs="宋体"/>
          <w:sz w:val="24"/>
        </w:rPr>
      </w:pPr>
      <w:bookmarkStart w:id="234" w:name="_Toc48107966"/>
      <w:bookmarkEnd w:id="234"/>
      <w:bookmarkStart w:id="235" w:name="_Toc523092761"/>
      <w:r>
        <w:rPr>
          <w:rFonts w:hint="eastAsia" w:ascii="宋体" w:hAnsi="宋体" w:cs="宋体"/>
          <w:sz w:val="24"/>
        </w:rPr>
        <w:t>运维审计</w:t>
      </w:r>
      <w:bookmarkEnd w:id="235"/>
    </w:p>
    <w:p>
      <w:pPr>
        <w:pStyle w:val="32"/>
        <w:widowControl w:val="0"/>
        <w:spacing w:before="0" w:beforeAutospacing="0" w:after="0" w:afterAutospacing="0" w:line="360" w:lineRule="auto"/>
        <w:ind w:firstLine="482" w:firstLineChars="200"/>
        <w:jc w:val="both"/>
        <w:rPr>
          <w:rFonts w:hint="eastAsia" w:cs="宋体"/>
          <w:b/>
          <w:color w:val="auto"/>
        </w:rPr>
      </w:pPr>
      <w:bookmarkStart w:id="236" w:name="_Toc523092762"/>
      <w:bookmarkEnd w:id="236"/>
      <w:r>
        <w:rPr>
          <w:rFonts w:hint="eastAsia" w:cs="宋体"/>
          <w:b/>
          <w:color w:val="auto"/>
          <w:lang w:bidi="ar"/>
        </w:rPr>
        <w:t>部署目的</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由于设备众多、系统操作人员复杂等因素，导致越权访问、误操作、资源滥用、疏忽泄密等时有发生。黑客的恶意访问也有可能获取系统权限，闯入部门或单位内部网络，造成不可估量的损失。终端的账号和口令的安全性，也是安全管理中难以解决的问题。如何提高系统运维管理水平，满足相关法规的要求，防止黑客的入侵和恶意访问，跟踪服务器上用户行为，降低运维成本，提供控制和审计依据，越来越成为内部网络控制中的核心安全问题。</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安全运维审计是一种符合4A(认证Authentication、账号Account、授权Authorization、审计Audit)要求的统一安全管理平台，在网络访问控制系统（如：安全管理平台、带有访问控制功能的交换机）的配合下，成为进入内部网络的一个检查点，拦截对目标设备的非法访问、操作行为。</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运维审计设备能够极大的保护客户内部网络设备及服务器资源的安全性，使得客户的网络管理合理化、专业化。</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建议在核心交换机上以旁路方式部署一台运维审计系统。运维审计（堡垒主机）系统，为运维人员提供统一的运维操作审计。通过部署运维审计设备能够实现对所有的网络设备，网络安全设备，应用系统的操作行为全面的记录，包括登录IP、登录用户、登录时间、操作命令全方位细粒度的审计。同时支持过程及行为回放功能，从而使安全问题得到追溯，提供有据可查的功能和相关能力。</w:t>
      </w:r>
    </w:p>
    <w:p>
      <w:pPr>
        <w:pStyle w:val="32"/>
        <w:widowControl w:val="0"/>
        <w:spacing w:before="0" w:beforeAutospacing="0" w:after="0" w:afterAutospacing="0" w:line="360" w:lineRule="auto"/>
        <w:ind w:firstLine="482" w:firstLineChars="200"/>
        <w:jc w:val="both"/>
        <w:rPr>
          <w:rFonts w:hint="eastAsia" w:cs="宋体"/>
          <w:b/>
          <w:color w:val="auto"/>
        </w:rPr>
      </w:pPr>
      <w:bookmarkStart w:id="237" w:name="_Toc523092763"/>
      <w:bookmarkEnd w:id="237"/>
      <w:r>
        <w:rPr>
          <w:rFonts w:hint="eastAsia" w:cs="宋体"/>
          <w:b/>
          <w:color w:val="auto"/>
          <w:lang w:bidi="ar"/>
        </w:rPr>
        <w:t>部署说明</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本方案设计的运维审计支持传统的旁路模式部署，部署在主控区区，通过安全管理平台或者交换机的访问控制策略限定只能由运维审计直接访问设备的远程维护端口。维护人员维护被管服务器或者网络设备时，首先以 WEB 方式登录运维审计设备，然后通过运维审计上展现的访问资源列表直接访问授权资源。</w:t>
      </w:r>
    </w:p>
    <w:p>
      <w:pPr>
        <w:pStyle w:val="6"/>
        <w:widowControl/>
        <w:numPr>
          <w:ilvl w:val="3"/>
          <w:numId w:val="3"/>
        </w:numPr>
        <w:ind w:left="0" w:firstLine="562"/>
        <w:rPr>
          <w:rFonts w:hint="eastAsia" w:ascii="宋体" w:hAnsi="宋体" w:cs="宋体"/>
          <w:sz w:val="24"/>
        </w:rPr>
      </w:pPr>
      <w:bookmarkStart w:id="238" w:name="_Toc479529201"/>
      <w:bookmarkEnd w:id="238"/>
      <w:bookmarkStart w:id="239" w:name="_Toc447632268"/>
      <w:bookmarkEnd w:id="239"/>
      <w:bookmarkStart w:id="240" w:name="_Toc390181794"/>
      <w:bookmarkEnd w:id="240"/>
      <w:bookmarkStart w:id="241" w:name="_Toc517252908"/>
      <w:bookmarkEnd w:id="241"/>
      <w:bookmarkStart w:id="242" w:name="_Toc48107967"/>
      <w:r>
        <w:rPr>
          <w:rFonts w:hint="eastAsia" w:ascii="宋体" w:hAnsi="宋体" w:cs="宋体"/>
          <w:sz w:val="24"/>
        </w:rPr>
        <w:t>APT</w:t>
      </w:r>
      <w:bookmarkEnd w:id="242"/>
      <w:r>
        <w:rPr>
          <w:rFonts w:hint="eastAsia" w:ascii="宋体" w:hAnsi="宋体" w:cs="宋体"/>
          <w:sz w:val="24"/>
        </w:rPr>
        <w:t>流量深度威胁分析</w:t>
      </w:r>
    </w:p>
    <w:p>
      <w:pPr>
        <w:pStyle w:val="32"/>
        <w:widowControl w:val="0"/>
        <w:spacing w:before="0" w:beforeAutospacing="0" w:after="0" w:afterAutospacing="0" w:line="360" w:lineRule="auto"/>
        <w:ind w:firstLine="482" w:firstLineChars="200"/>
        <w:jc w:val="both"/>
        <w:rPr>
          <w:rFonts w:hint="eastAsia" w:cs="宋体"/>
          <w:b/>
          <w:color w:val="auto"/>
        </w:rPr>
      </w:pPr>
      <w:bookmarkStart w:id="243" w:name="_Toc517252909"/>
      <w:bookmarkEnd w:id="243"/>
      <w:bookmarkStart w:id="244" w:name="_Toc447632269"/>
      <w:r>
        <w:rPr>
          <w:rFonts w:hint="eastAsia" w:cs="宋体"/>
          <w:b/>
          <w:color w:val="auto"/>
          <w:lang w:bidi="ar"/>
        </w:rPr>
        <w:t>部署目的</w:t>
      </w:r>
      <w:bookmarkEnd w:id="244"/>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目前，很多单位采用多种网络安全防御技术检测攻击，如采用网络安全管理平台、IDS、应用安全管理平台、日志审计平台等措施，然而这些检测已知漏洞攻击的方式难以有效的发现APT攻击 。</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APT攻击的原理相对于其他攻击形式更为高级和先进，其高级性主要体现在APT在发动攻击之前需要对攻击对象的业务流程和目标系统进行精确的收集。在此收集的过程中，此攻击会主动挖掘被攻击对象受信系统和应用程序的漏洞，利用这些漏洞组建攻击者所需的网络，并利用0day漏洞进行攻击。APT攻击预警平台具备WEB攻击检测形态、邮件攻击检测形态、文件攻击检测形态和综合管理分析形态四种检测形态，并针对不同类型的APT攻击行为进行综合管理检测和分析。APT攻击预警平台通过对流量进行深度解析，发现流量中的恶意攻击，提供了全面的检测和预警的能力，其中包括：主动攻击检测、恶意流量攻击检测、已知漏洞的检测0day漏洞检测、综合关联分析。</w:t>
      </w:r>
    </w:p>
    <w:p>
      <w:pPr>
        <w:adjustRightInd w:val="0"/>
        <w:spacing w:line="360" w:lineRule="auto"/>
        <w:ind w:firstLine="464" w:firstLineChars="200"/>
        <w:textAlignment w:val="baseline"/>
        <w:rPr>
          <w:rFonts w:hint="eastAsia" w:ascii="宋体" w:hAnsi="宋体" w:cs="宋体"/>
          <w:sz w:val="24"/>
        </w:rPr>
      </w:pPr>
      <w:r>
        <w:rPr>
          <w:rFonts w:hint="eastAsia" w:ascii="宋体" w:hAnsi="宋体" w:cs="宋体"/>
          <w:spacing w:val="-4"/>
          <w:kern w:val="0"/>
          <w:sz w:val="24"/>
          <w:lang w:bidi="ar"/>
        </w:rPr>
        <w:t>通过部署APT设备，实现对网络出口端的全流量数据采集和深度分析，将分析后的数据传送至大数据平台，结合威胁情报数据进行深度关联分析，构建机器学习模型，发现其中的攻击事件。利用网络流量分析技术，异常访问定位技术、邮件社工分析技术、恶意文件分析技术、动态行为分析技术、云端的高级分析和威胁情报技术来分析检测发现APT攻击，极大提高APT攻击检测的成功检测率和减少误报情况。</w:t>
      </w:r>
    </w:p>
    <w:p>
      <w:pPr>
        <w:pStyle w:val="32"/>
        <w:widowControl w:val="0"/>
        <w:spacing w:before="0" w:beforeAutospacing="0" w:after="0" w:afterAutospacing="0" w:line="360" w:lineRule="auto"/>
        <w:ind w:firstLine="482" w:firstLineChars="200"/>
        <w:jc w:val="both"/>
        <w:rPr>
          <w:rFonts w:hint="eastAsia" w:cs="宋体"/>
          <w:b/>
          <w:color w:val="auto"/>
        </w:rPr>
      </w:pPr>
      <w:bookmarkStart w:id="245" w:name="_Toc447632270"/>
      <w:bookmarkEnd w:id="245"/>
      <w:bookmarkStart w:id="246" w:name="_Toc517252910"/>
      <w:r>
        <w:rPr>
          <w:rFonts w:hint="eastAsia" w:cs="宋体"/>
          <w:b/>
          <w:color w:val="auto"/>
          <w:lang w:bidi="ar"/>
        </w:rPr>
        <w:t>部署说明</w:t>
      </w:r>
      <w:bookmarkEnd w:id="246"/>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在核心交换上镜像一个端口部署一台为APT预警检测系统，检测针对于WEB、邮件、恶意文件的特殊攻击。</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本方案中使用旁路部署方式，不影响被检测网络的和服务器的正常运行；</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可进行集群部署，方便系统的性能的提升；通过B/S管理架构，使用简单。</w:t>
      </w:r>
    </w:p>
    <w:p>
      <w:pPr>
        <w:pStyle w:val="4"/>
        <w:keepNext w:val="0"/>
        <w:keepLines w:val="0"/>
        <w:widowControl/>
        <w:numPr>
          <w:ilvl w:val="1"/>
          <w:numId w:val="3"/>
        </w:numPr>
        <w:rPr>
          <w:rFonts w:hint="eastAsia" w:ascii="宋体" w:hAnsi="宋体" w:eastAsia="宋体" w:cs="宋体"/>
          <w:sz w:val="24"/>
          <w:szCs w:val="24"/>
        </w:rPr>
      </w:pPr>
      <w:bookmarkStart w:id="247" w:name="_Toc47900969"/>
      <w:bookmarkEnd w:id="247"/>
      <w:bookmarkStart w:id="248" w:name="_Toc523092780"/>
      <w:bookmarkEnd w:id="248"/>
      <w:bookmarkStart w:id="249" w:name="_Toc47186751"/>
      <w:r>
        <w:rPr>
          <w:rFonts w:hint="eastAsia" w:ascii="宋体" w:hAnsi="宋体" w:eastAsia="宋体" w:cs="宋体"/>
          <w:sz w:val="24"/>
          <w:szCs w:val="24"/>
        </w:rPr>
        <w:t>详细配置清单</w:t>
      </w:r>
      <w:bookmarkEnd w:id="249"/>
    </w:p>
    <w:p>
      <w:pPr>
        <w:pStyle w:val="89"/>
        <w:widowControl/>
        <w:numPr>
          <w:ilvl w:val="0"/>
          <w:numId w:val="15"/>
        </w:numPr>
        <w:spacing w:line="360" w:lineRule="auto"/>
        <w:ind w:firstLineChars="0"/>
        <w:rPr>
          <w:rFonts w:hint="eastAsia" w:ascii="宋体" w:hAnsi="宋体" w:cs="宋体"/>
        </w:rPr>
      </w:pPr>
      <w:r>
        <w:rPr>
          <w:rFonts w:hint="eastAsia" w:ascii="宋体" w:hAnsi="宋体" w:cs="宋体"/>
        </w:rPr>
        <w:t>详细产品配置清单如下：</w:t>
      </w:r>
    </w:p>
    <w:tbl>
      <w:tblPr>
        <w:tblStyle w:val="37"/>
        <w:tblW w:w="4752" w:type="pct"/>
        <w:jc w:val="center"/>
        <w:tblLayout w:type="fixed"/>
        <w:tblCellMar>
          <w:top w:w="0" w:type="dxa"/>
          <w:left w:w="108" w:type="dxa"/>
          <w:bottom w:w="0" w:type="dxa"/>
          <w:right w:w="108" w:type="dxa"/>
        </w:tblCellMar>
      </w:tblPr>
      <w:tblGrid>
        <w:gridCol w:w="633"/>
        <w:gridCol w:w="1262"/>
        <w:gridCol w:w="1017"/>
        <w:gridCol w:w="1687"/>
        <w:gridCol w:w="484"/>
        <w:gridCol w:w="620"/>
        <w:gridCol w:w="3122"/>
      </w:tblGrid>
      <w:tr>
        <w:tblPrEx>
          <w:tblCellMar>
            <w:top w:w="0" w:type="dxa"/>
            <w:left w:w="108" w:type="dxa"/>
            <w:bottom w:w="0" w:type="dxa"/>
            <w:right w:w="108" w:type="dxa"/>
          </w:tblCellMar>
        </w:tblPrEx>
        <w:trPr>
          <w:trHeight w:val="540" w:hRule="atLeast"/>
          <w:jc w:val="center"/>
        </w:trPr>
        <w:tc>
          <w:tcPr>
            <w:tcW w:w="633" w:type="dxa"/>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序号</w:t>
            </w:r>
          </w:p>
        </w:tc>
        <w:tc>
          <w:tcPr>
            <w:tcW w:w="1262"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部署产品</w:t>
            </w:r>
          </w:p>
        </w:tc>
        <w:tc>
          <w:tcPr>
            <w:tcW w:w="1017"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部署位置</w:t>
            </w:r>
          </w:p>
        </w:tc>
        <w:tc>
          <w:tcPr>
            <w:tcW w:w="1687"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部署作用</w:t>
            </w:r>
          </w:p>
        </w:tc>
        <w:tc>
          <w:tcPr>
            <w:tcW w:w="484"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数量</w:t>
            </w:r>
          </w:p>
        </w:tc>
        <w:tc>
          <w:tcPr>
            <w:tcW w:w="620"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单位</w:t>
            </w:r>
          </w:p>
        </w:tc>
        <w:tc>
          <w:tcPr>
            <w:tcW w:w="3122"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配置要求</w:t>
            </w:r>
          </w:p>
        </w:tc>
      </w:tr>
      <w:tr>
        <w:tblPrEx>
          <w:tblCellMar>
            <w:top w:w="0" w:type="dxa"/>
            <w:left w:w="108" w:type="dxa"/>
            <w:bottom w:w="0" w:type="dxa"/>
            <w:right w:w="108" w:type="dxa"/>
          </w:tblCellMar>
        </w:tblPrEx>
        <w:trPr>
          <w:trHeight w:val="540" w:hRule="atLeast"/>
          <w:jc w:val="center"/>
        </w:trPr>
        <w:tc>
          <w:tcPr>
            <w:tcW w:w="633" w:type="dxa"/>
            <w:tcBorders>
              <w:top w:val="single" w:color="auto" w:sz="4" w:space="0"/>
              <w:left w:val="single" w:color="auto" w:sz="4" w:space="0"/>
              <w:bottom w:val="single" w:color="auto" w:sz="4" w:space="0"/>
              <w:right w:val="single" w:color="auto" w:sz="4" w:space="0"/>
            </w:tcBorders>
            <w:noWrap/>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c>
          <w:tcPr>
            <w:tcW w:w="1262"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安全管理平台</w:t>
            </w:r>
          </w:p>
        </w:tc>
        <w:tc>
          <w:tcPr>
            <w:tcW w:w="1017"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部署在公安网边界</w:t>
            </w:r>
          </w:p>
        </w:tc>
        <w:tc>
          <w:tcPr>
            <w:tcW w:w="1687"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边界的访问控制，入侵防御，防病毒</w:t>
            </w:r>
          </w:p>
        </w:tc>
        <w:tc>
          <w:tcPr>
            <w:tcW w:w="484"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w:t>
            </w:r>
          </w:p>
        </w:tc>
        <w:tc>
          <w:tcPr>
            <w:tcW w:w="620"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3122"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b/>
                <w:sz w:val="24"/>
              </w:rPr>
            </w:pPr>
            <w:r>
              <w:rPr>
                <w:rFonts w:hint="eastAsia" w:ascii="宋体" w:hAnsi="宋体" w:cs="宋体"/>
                <w:kern w:val="0"/>
                <w:sz w:val="24"/>
                <w:lang w:bidi="ar"/>
              </w:rPr>
              <w:t>标准2U硬件平台，双交流电源；含12*GE电口，12*SFP光口，2*SFP+光口；网络吞吐量10Gbps；最大并发连接数大于400万，每秒新建HTTP连接数大于20万</w:t>
            </w:r>
          </w:p>
        </w:tc>
      </w:tr>
      <w:tr>
        <w:tblPrEx>
          <w:tblCellMar>
            <w:top w:w="0" w:type="dxa"/>
            <w:left w:w="108" w:type="dxa"/>
            <w:bottom w:w="0" w:type="dxa"/>
            <w:right w:w="108" w:type="dxa"/>
          </w:tblCellMar>
        </w:tblPrEx>
        <w:trPr>
          <w:trHeight w:val="540" w:hRule="atLeast"/>
          <w:jc w:val="center"/>
        </w:trPr>
        <w:tc>
          <w:tcPr>
            <w:tcW w:w="633" w:type="dxa"/>
            <w:tcBorders>
              <w:top w:val="nil"/>
              <w:left w:val="single" w:color="auto" w:sz="4" w:space="0"/>
              <w:bottom w:val="single" w:color="auto" w:sz="4" w:space="0"/>
              <w:right w:val="single" w:color="auto" w:sz="4" w:space="0"/>
            </w:tcBorders>
            <w:noWrap/>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w:t>
            </w:r>
          </w:p>
        </w:tc>
        <w:tc>
          <w:tcPr>
            <w:tcW w:w="1262"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运维审计平台</w:t>
            </w:r>
          </w:p>
        </w:tc>
        <w:tc>
          <w:tcPr>
            <w:tcW w:w="1017" w:type="dxa"/>
            <w:tcBorders>
              <w:top w:val="nil"/>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部署在公安网的运维管理区</w:t>
            </w:r>
          </w:p>
        </w:tc>
        <w:tc>
          <w:tcPr>
            <w:tcW w:w="1687" w:type="dxa"/>
            <w:tcBorders>
              <w:top w:val="nil"/>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通过4A审计对内部用户对网络资产的运维行为进行监控。</w:t>
            </w:r>
          </w:p>
        </w:tc>
        <w:tc>
          <w:tcPr>
            <w:tcW w:w="484"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c>
          <w:tcPr>
            <w:tcW w:w="620"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3122" w:type="dxa"/>
            <w:tcBorders>
              <w:top w:val="nil"/>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标准1U硬件，含2*GE电管理口，4*GE电业务口，4*GE光业务口（不含硬件BYPASS模块）,硬盘:1T，硬盘可扩展到2T/4T；1*RJ45串口，单电源。最大资产数200个，最大字符连接200个，最大图型连接50个。</w:t>
            </w:r>
          </w:p>
        </w:tc>
      </w:tr>
      <w:tr>
        <w:tblPrEx>
          <w:tblCellMar>
            <w:top w:w="0" w:type="dxa"/>
            <w:left w:w="108" w:type="dxa"/>
            <w:bottom w:w="0" w:type="dxa"/>
            <w:right w:w="108" w:type="dxa"/>
          </w:tblCellMar>
        </w:tblPrEx>
        <w:trPr>
          <w:trHeight w:val="540" w:hRule="atLeast"/>
          <w:jc w:val="center"/>
        </w:trPr>
        <w:tc>
          <w:tcPr>
            <w:tcW w:w="633" w:type="dxa"/>
            <w:tcBorders>
              <w:top w:val="nil"/>
              <w:left w:val="single" w:color="auto" w:sz="4" w:space="0"/>
              <w:bottom w:val="single" w:color="auto" w:sz="4" w:space="0"/>
              <w:right w:val="single" w:color="auto" w:sz="4" w:space="0"/>
            </w:tcBorders>
            <w:noWrap/>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w:t>
            </w:r>
          </w:p>
        </w:tc>
        <w:tc>
          <w:tcPr>
            <w:tcW w:w="1262"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日志审计平台</w:t>
            </w:r>
          </w:p>
        </w:tc>
        <w:tc>
          <w:tcPr>
            <w:tcW w:w="1017" w:type="dxa"/>
            <w:tcBorders>
              <w:top w:val="nil"/>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旁路部署在公安网网核心交换机上。</w:t>
            </w:r>
          </w:p>
        </w:tc>
        <w:tc>
          <w:tcPr>
            <w:tcW w:w="1687" w:type="dxa"/>
            <w:tcBorders>
              <w:top w:val="nil"/>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收集来自网络设备、主机、安全设备等的日志，并进行统一展现和关联分析</w:t>
            </w:r>
          </w:p>
        </w:tc>
        <w:tc>
          <w:tcPr>
            <w:tcW w:w="484"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c>
          <w:tcPr>
            <w:tcW w:w="620"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3122" w:type="dxa"/>
            <w:tcBorders>
              <w:top w:val="nil"/>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标准2U硬件，10个工作管理口（6个千兆电口，4个千兆光口），1个console口，内存：16GB，磁盘：2T*2 raid1（支持raid1、raid5）</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EPS：9000/秒（峰值：12000/秒），双电源、CF卡启动,资产授权：200个</w:t>
            </w:r>
          </w:p>
        </w:tc>
      </w:tr>
      <w:tr>
        <w:tblPrEx>
          <w:tblCellMar>
            <w:top w:w="0" w:type="dxa"/>
            <w:left w:w="108" w:type="dxa"/>
            <w:bottom w:w="0" w:type="dxa"/>
            <w:right w:w="108" w:type="dxa"/>
          </w:tblCellMar>
        </w:tblPrEx>
        <w:trPr>
          <w:trHeight w:val="540" w:hRule="atLeast"/>
          <w:jc w:val="center"/>
        </w:trPr>
        <w:tc>
          <w:tcPr>
            <w:tcW w:w="633" w:type="dxa"/>
            <w:tcBorders>
              <w:top w:val="nil"/>
              <w:left w:val="single" w:color="auto" w:sz="4" w:space="0"/>
              <w:bottom w:val="single" w:color="auto" w:sz="4" w:space="0"/>
              <w:right w:val="single" w:color="auto" w:sz="4" w:space="0"/>
            </w:tcBorders>
            <w:noWrap/>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w:t>
            </w:r>
          </w:p>
        </w:tc>
        <w:tc>
          <w:tcPr>
            <w:tcW w:w="1262" w:type="dxa"/>
            <w:tcBorders>
              <w:top w:val="nil"/>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APT预警平台</w:t>
            </w:r>
          </w:p>
        </w:tc>
        <w:tc>
          <w:tcPr>
            <w:tcW w:w="1017" w:type="dxa"/>
            <w:tcBorders>
              <w:top w:val="nil"/>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将平台旁路在公安网络核心交换机上</w:t>
            </w:r>
          </w:p>
        </w:tc>
        <w:tc>
          <w:tcPr>
            <w:tcW w:w="1687" w:type="dxa"/>
            <w:tcBorders>
              <w:top w:val="nil"/>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通过对流量进行深度解析，发现流量中的恶意攻击，提供了全面的检测和预警的能力</w:t>
            </w:r>
          </w:p>
        </w:tc>
        <w:tc>
          <w:tcPr>
            <w:tcW w:w="484"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c>
          <w:tcPr>
            <w:tcW w:w="620"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3122" w:type="dxa"/>
            <w:tcBorders>
              <w:top w:val="nil"/>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软硬一体化2U标准机架式设备；电源：1+1冗余电源，内存：16G，硬盘容量：1T*1，接口类型：千兆RJ45网口*2(管理口*2)、千兆RJ45网口*4,吞吐率：1Gbps</w:t>
            </w:r>
          </w:p>
        </w:tc>
      </w:tr>
    </w:tbl>
    <w:p>
      <w:pPr>
        <w:pStyle w:val="3"/>
        <w:widowControl/>
        <w:numPr>
          <w:ilvl w:val="0"/>
          <w:numId w:val="3"/>
        </w:numPr>
        <w:jc w:val="center"/>
        <w:rPr>
          <w:rFonts w:hint="eastAsia" w:ascii="宋体" w:hAnsi="宋体" w:cs="宋体"/>
          <w:sz w:val="24"/>
          <w:szCs w:val="24"/>
        </w:rPr>
      </w:pPr>
      <w:bookmarkStart w:id="250" w:name="_Toc47900976"/>
      <w:bookmarkEnd w:id="250"/>
      <w:r>
        <w:rPr>
          <w:rFonts w:hint="eastAsia" w:ascii="宋体" w:hAnsi="宋体" w:cs="宋体"/>
          <w:sz w:val="24"/>
          <w:szCs w:val="24"/>
        </w:rPr>
        <w:t>运维服务方案</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根据集聚区分局对本次“雪亮工程”的运维服务要求，运维服务需实现对公共安全视频专网的软硬件资产规范化管理，设备运行状态的可视化管理、指标化监测、智能化故障定位和敏感信息识别，视频质量诊断、故障处理工单的电子化流转和统一的考核评价，从而达到提升信息化系统运营效率和管理水平，保障视频资源核心系统的安全、有序、稳定和高效运转。</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建议集聚区公安分局配台州市局实现全市视频统一品牌运维的目标，以服务方式引入运维服务提供商，重点保障前端点位的运维。</w:t>
      </w:r>
    </w:p>
    <w:p>
      <w:pPr>
        <w:pStyle w:val="4"/>
        <w:keepNext w:val="0"/>
        <w:keepLines w:val="0"/>
        <w:widowControl/>
        <w:numPr>
          <w:ilvl w:val="1"/>
          <w:numId w:val="3"/>
        </w:numPr>
        <w:rPr>
          <w:rFonts w:hint="eastAsia" w:ascii="宋体" w:hAnsi="宋体" w:eastAsia="宋体" w:cs="宋体"/>
          <w:sz w:val="24"/>
          <w:szCs w:val="24"/>
        </w:rPr>
      </w:pPr>
      <w:bookmarkStart w:id="251" w:name="_Toc501911735"/>
      <w:bookmarkEnd w:id="251"/>
      <w:bookmarkStart w:id="252" w:name="_Toc490592264"/>
      <w:bookmarkEnd w:id="252"/>
      <w:bookmarkStart w:id="253" w:name="_Toc47900977"/>
      <w:r>
        <w:rPr>
          <w:rFonts w:hint="eastAsia" w:ascii="宋体" w:hAnsi="宋体" w:eastAsia="宋体" w:cs="宋体"/>
          <w:sz w:val="24"/>
          <w:szCs w:val="24"/>
        </w:rPr>
        <w:t>总体运维要求</w:t>
      </w:r>
      <w:bookmarkEnd w:id="253"/>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建立完善的运维管理系统、运维团队架构、故障处理流程、电子化工单及考核体系、其他运维相关的业务流程规范和制度的制定等。运维服务目标：</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视频在线率：应达到98%（含）以上；</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卡口在线率：应达到98%（含）以上；</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视频质量完好率：应达到98%（含）以上；</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平台及网络可靠性：应达到99.99%（含）以上；</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一机一档数据准确性：应达到98%（含）以上。</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运维响应时间符合省厅、市局的考核要求。提供7*24小时故障电话服务热线。7*24小时响应，故障申告后：1小时内响应，城区范围：1小时到现场，如遇重、特大事故需紧急抢修的，特殊处理。由于自然灾害、不可抗力和人为等引起的故障，由运维服务方提交申请，事件报备，延长修复时限。</w:t>
      </w:r>
    </w:p>
    <w:p>
      <w:pPr>
        <w:pStyle w:val="4"/>
        <w:keepNext w:val="0"/>
        <w:keepLines w:val="0"/>
        <w:widowControl/>
        <w:numPr>
          <w:ilvl w:val="1"/>
          <w:numId w:val="3"/>
        </w:numPr>
        <w:rPr>
          <w:rFonts w:hint="eastAsia" w:ascii="宋体" w:hAnsi="宋体" w:eastAsia="宋体" w:cs="宋体"/>
          <w:sz w:val="24"/>
          <w:szCs w:val="24"/>
        </w:rPr>
      </w:pPr>
      <w:bookmarkStart w:id="254" w:name="_Toc481948803"/>
      <w:bookmarkEnd w:id="254"/>
      <w:bookmarkStart w:id="255" w:name="_Toc490592265"/>
      <w:bookmarkEnd w:id="255"/>
      <w:bookmarkStart w:id="256" w:name="_Toc501911736"/>
      <w:bookmarkEnd w:id="256"/>
      <w:bookmarkStart w:id="257" w:name="_Toc481827625"/>
      <w:bookmarkEnd w:id="257"/>
      <w:bookmarkStart w:id="258" w:name="_Toc481755483"/>
      <w:bookmarkEnd w:id="258"/>
      <w:bookmarkStart w:id="259" w:name="_Toc47900978"/>
      <w:r>
        <w:rPr>
          <w:rFonts w:hint="eastAsia" w:ascii="宋体" w:hAnsi="宋体" w:eastAsia="宋体" w:cs="宋体"/>
          <w:sz w:val="24"/>
          <w:szCs w:val="24"/>
        </w:rPr>
        <w:t>运维团队</w:t>
      </w:r>
      <w:bookmarkEnd w:id="259"/>
      <w:r>
        <w:rPr>
          <w:rFonts w:hint="eastAsia" w:ascii="宋体" w:hAnsi="宋体" w:eastAsia="宋体" w:cs="宋体"/>
          <w:sz w:val="24"/>
          <w:szCs w:val="24"/>
        </w:rPr>
        <w:t>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项目服务团队，按照集聚区分局局统一标准服务，保障业主单位信息化建设及运维。提供7*24小时的全方位业务监控，统一运维热线呼叫调度服务，负责全市运维质量管控和监督。</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运维团队需要运营商牵头建立相关管理制度，责任明确，运维人员须具备IT或安防行业工作经验，建立项目负责人制度，公安直接与项目负责人对接提出问题，项目负责人负责协调解决问题并及时反馈。完善安全管理制度、规章制度、质量控制、运维管理、学习培训、服务标准、监督考核、代维管理、信息保密，具备客户服务保障体系和网络运营保障体系。</w:t>
      </w:r>
    </w:p>
    <w:p>
      <w:pPr>
        <w:pStyle w:val="4"/>
        <w:keepNext w:val="0"/>
        <w:keepLines w:val="0"/>
        <w:widowControl/>
        <w:numPr>
          <w:ilvl w:val="1"/>
          <w:numId w:val="3"/>
        </w:numPr>
        <w:rPr>
          <w:rFonts w:hint="eastAsia" w:ascii="宋体" w:hAnsi="宋体" w:eastAsia="宋体" w:cs="宋体"/>
          <w:sz w:val="24"/>
          <w:szCs w:val="24"/>
        </w:rPr>
      </w:pPr>
      <w:bookmarkStart w:id="260" w:name="_Toc491074596"/>
      <w:bookmarkEnd w:id="260"/>
      <w:bookmarkStart w:id="261" w:name="_Toc501911738"/>
      <w:bookmarkEnd w:id="261"/>
      <w:bookmarkStart w:id="262" w:name="_Toc47900979"/>
      <w:r>
        <w:rPr>
          <w:rFonts w:hint="eastAsia" w:ascii="宋体" w:hAnsi="宋体" w:eastAsia="宋体" w:cs="宋体"/>
          <w:sz w:val="24"/>
          <w:szCs w:val="24"/>
        </w:rPr>
        <w:t>运营维护服务内容</w:t>
      </w:r>
      <w:bookmarkEnd w:id="262"/>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运维服务需包括但不限于一机一档管理、平台运维管理、视频质量管理、网络运维管理、电子工单管理，服务提供商需提供相关考核管理办法。</w:t>
      </w:r>
    </w:p>
    <w:p>
      <w:pPr>
        <w:pStyle w:val="5"/>
        <w:numPr>
          <w:ilvl w:val="2"/>
          <w:numId w:val="3"/>
        </w:numPr>
        <w:spacing w:before="163" w:after="163"/>
        <w:rPr>
          <w:rFonts w:hint="eastAsia" w:ascii="宋体" w:hAnsi="宋体" w:cs="宋体"/>
          <w:szCs w:val="24"/>
        </w:rPr>
      </w:pPr>
      <w:bookmarkStart w:id="263" w:name="_Toc47900980"/>
      <w:bookmarkEnd w:id="263"/>
      <w:r>
        <w:rPr>
          <w:rFonts w:hint="eastAsia" w:ascii="宋体" w:hAnsi="宋体" w:cs="宋体"/>
          <w:szCs w:val="24"/>
        </w:rPr>
        <w:t>一机一档维护</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提供本次集聚区分局所有前端接入点位视频资源的基础档案库，将各类在线、离线视频监控点位建立详细、完备的点位“户籍档案”，并按区域进行统计、归类、备案，并注明运维和管理责任归属情况。通过对每个监控点建立详细、完备的点位“户籍档案”，实现对点位的“户籍档案”管理，实现管理科学化、信息化、精细化、正规化。</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一机一档所维护的基础功能应包含设备管理、系统管理和统计分析：</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a）设备管理</w:t>
      </w:r>
    </w:p>
    <w:p>
      <w:pPr>
        <w:pStyle w:val="32"/>
        <w:widowControl w:val="0"/>
        <w:numPr>
          <w:ilvl w:val="0"/>
          <w:numId w:val="16"/>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设备信息录入：实现“一机一档”设备信息的录入功能，完成信息录入、校验、保存，并提交审核。</w:t>
      </w:r>
    </w:p>
    <w:p>
      <w:pPr>
        <w:pStyle w:val="32"/>
        <w:widowControl w:val="0"/>
        <w:numPr>
          <w:ilvl w:val="0"/>
          <w:numId w:val="16"/>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设备信息修改：实现设备信息的更新和维护，完成信息编辑、校验、保存，并提交审核。</w:t>
      </w:r>
    </w:p>
    <w:p>
      <w:pPr>
        <w:pStyle w:val="32"/>
        <w:widowControl w:val="0"/>
        <w:numPr>
          <w:ilvl w:val="0"/>
          <w:numId w:val="16"/>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设备信息审核：实现设备信息审核功能，确保录入信息的正确性和完整性，审核通过的设备信息进入待同步设备信息表中。</w:t>
      </w:r>
    </w:p>
    <w:p>
      <w:pPr>
        <w:pStyle w:val="32"/>
        <w:widowControl w:val="0"/>
        <w:numPr>
          <w:ilvl w:val="0"/>
          <w:numId w:val="16"/>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设备信息查询：实现本地“一机一档”数据库中设备信息的查询检索，可根据设备属性信息进行组合查询，并以列表形式返回查询结果。可查看单个设备的详细信息。</w:t>
      </w:r>
    </w:p>
    <w:p>
      <w:pPr>
        <w:pStyle w:val="32"/>
        <w:widowControl w:val="0"/>
        <w:numPr>
          <w:ilvl w:val="0"/>
          <w:numId w:val="16"/>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设备信息导入/导出：实现设备信息的批量导入导出功能，可按固定模板实现EXCEL格式数据的批量导入并完成数据校验，能够将设备查询结果以EXCEL格式文件导出。</w:t>
      </w:r>
    </w:p>
    <w:p>
      <w:pPr>
        <w:pStyle w:val="32"/>
        <w:widowControl w:val="0"/>
        <w:numPr>
          <w:ilvl w:val="0"/>
          <w:numId w:val="16"/>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设备信息同步：实现定期将本地未同步设备信息表中的数据向上级或其他系统进行同步，同步完成的设备信息移动到已同步设备信息表中。</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b）</w:t>
      </w:r>
      <w:r>
        <w:rPr>
          <w:rFonts w:hint="eastAsia" w:ascii="宋体" w:hAnsi="宋体" w:cs="宋体"/>
          <w:kern w:val="0"/>
          <w:sz w:val="24"/>
          <w:lang w:bidi="ar"/>
        </w:rPr>
        <w:tab/>
      </w:r>
      <w:r>
        <w:rPr>
          <w:rFonts w:hint="eastAsia" w:ascii="宋体" w:hAnsi="宋体" w:cs="宋体"/>
          <w:kern w:val="0"/>
          <w:sz w:val="24"/>
          <w:lang w:bidi="ar"/>
        </w:rPr>
        <w:t>系统管理</w:t>
      </w:r>
    </w:p>
    <w:p>
      <w:pPr>
        <w:pStyle w:val="32"/>
        <w:widowControl w:val="0"/>
        <w:numPr>
          <w:ilvl w:val="0"/>
          <w:numId w:val="17"/>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用户管理：实现对本地“一机一档”系统的用户管理，包括操作用户和系统用户，对操作用户应进行授权，系统用户则负责与外部系统对接授权管理。</w:t>
      </w:r>
    </w:p>
    <w:p>
      <w:pPr>
        <w:pStyle w:val="32"/>
        <w:widowControl w:val="0"/>
        <w:numPr>
          <w:ilvl w:val="0"/>
          <w:numId w:val="17"/>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权限管理：实现“一机一档”系统的权限管理功能，完成用户角色定义和功能授权。</w:t>
      </w:r>
    </w:p>
    <w:p>
      <w:pPr>
        <w:pStyle w:val="32"/>
        <w:widowControl w:val="0"/>
        <w:numPr>
          <w:ilvl w:val="0"/>
          <w:numId w:val="17"/>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日志管理：实现日志审计平台功能，可对用户操作日志和系统日志进行记录和查询。</w:t>
      </w:r>
    </w:p>
    <w:p>
      <w:pPr>
        <w:pStyle w:val="32"/>
        <w:widowControl w:val="0"/>
        <w:numPr>
          <w:ilvl w:val="0"/>
          <w:numId w:val="17"/>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字典项管理：实现对字典项的维护功能。通常字典项由公安部统一进行规范和维护。</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c）统计分析</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通过统计图表对设备数量按照不同维度进行统计和分析。</w:t>
      </w:r>
    </w:p>
    <w:p>
      <w:pPr>
        <w:pStyle w:val="32"/>
        <w:widowControl w:val="0"/>
        <w:numPr>
          <w:ilvl w:val="0"/>
          <w:numId w:val="18"/>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按地区统计：实现按照行政区划维度对设备数量进行统计分析。</w:t>
      </w:r>
    </w:p>
    <w:p>
      <w:pPr>
        <w:pStyle w:val="32"/>
        <w:widowControl w:val="0"/>
        <w:numPr>
          <w:ilvl w:val="0"/>
          <w:numId w:val="18"/>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按属性分类统计：实现按照设备的多个属性分类对设备数量进行统计分析。</w:t>
      </w:r>
    </w:p>
    <w:p>
      <w:pPr>
        <w:pStyle w:val="32"/>
        <w:widowControl w:val="0"/>
        <w:numPr>
          <w:ilvl w:val="0"/>
          <w:numId w:val="18"/>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数据填报质量统计：根据各数据项填报的完整性统计数据填报的质量。</w:t>
      </w:r>
    </w:p>
    <w:p>
      <w:pPr>
        <w:pStyle w:val="32"/>
        <w:widowControl w:val="0"/>
        <w:numPr>
          <w:ilvl w:val="0"/>
          <w:numId w:val="18"/>
        </w:numPr>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可视化展示：要根据需要增加地图等可视化展示功能。</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 xml:space="preserve"> </w:t>
      </w:r>
    </w:p>
    <w:p>
      <w:pPr>
        <w:pStyle w:val="5"/>
        <w:numPr>
          <w:ilvl w:val="2"/>
          <w:numId w:val="3"/>
        </w:numPr>
        <w:spacing w:before="163" w:after="163"/>
        <w:rPr>
          <w:rFonts w:hint="eastAsia" w:ascii="宋体" w:hAnsi="宋体" w:cs="宋体"/>
          <w:szCs w:val="24"/>
        </w:rPr>
      </w:pPr>
      <w:bookmarkStart w:id="264" w:name="_Toc47900981"/>
      <w:bookmarkEnd w:id="264"/>
      <w:r>
        <w:rPr>
          <w:rFonts w:hint="eastAsia" w:ascii="宋体" w:hAnsi="宋体" w:cs="宋体"/>
          <w:szCs w:val="24"/>
        </w:rPr>
        <w:t>平台运维管理</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提供联网系统内设备数量、在线情况以及运行状态的查询和统计分析功能，支持图形化展现方式，设备故障或出现异常时，能够发出告警信息，并可查看异常设备详细信息，包括所属通道的状态、数据流类型、码率、帧率以及存储状态等；服务器的CPU、内存使用情况等信息。</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具体功能需求有：</w:t>
      </w:r>
    </w:p>
    <w:tbl>
      <w:tblPr>
        <w:tblStyle w:val="3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029"/>
        <w:gridCol w:w="7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专业运维平台</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能够一套软件实现对监控设备（摄像机、DVR、NVR、编码器等）、网络设备、服务器及应用、基于ITIL流程管理、IT资产管理的无缝集成。包括全网中的路由器、交换机、防火墙等网络设备,服务器、存储、数据库、中间件、应用等进行统一监控，资产自动扫描，和后续对人员故障请求事件、服务级别协议、知识库、发布、资产等进行一体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vMerge w:val="restart"/>
            <w:tcBorders>
              <w:top w:val="nil"/>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2</w:t>
            </w:r>
          </w:p>
        </w:tc>
        <w:tc>
          <w:tcPr>
            <w:tcW w:w="0" w:type="auto"/>
            <w:vMerge w:val="restart"/>
            <w:tcBorders>
              <w:top w:val="nil"/>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全面的视频诊断</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国标协议取流、onvif协议取流诊断，可以对视频图像出现的掉线、信号丢失、画面丢失、遮挡、偏亮、偏暗、偏色、清晰度、雪花、条纹、冻结、抖屏、滚屏等参数进行诊断。等常见故障进行准确分析、判断和报警；支持诊断抓图，方便报警后分析定位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支持自定义诊断策略，用户可以自由配置诊断时间，并可以对重点参数重点关注；支持用户自定义告警上传机制——运维平台多级联网时，下级平台可以按照上级平台配置，自动上传下级平台未处理告警信息；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统一监控平台提供了多种个性化诊断结果展示，诊断结果支持快速搜索、模糊搜索，支持导出excel；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支持图片查看，视频浏览。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3</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录像完整性检测</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支持对摄像机录像完整性的监测，随时了解到录像的丢失情况。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restart"/>
            <w:tcBorders>
              <w:top w:val="nil"/>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4</w:t>
            </w:r>
          </w:p>
        </w:tc>
        <w:tc>
          <w:tcPr>
            <w:tcW w:w="0" w:type="auto"/>
            <w:vMerge w:val="restart"/>
            <w:tcBorders>
              <w:top w:val="nil"/>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拓扑管理</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支持Visio自定义拓扑，也支持自动发现拓扑。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自动生成网络设备拓扑、支持拓扑发布（即可以把拓扑发布在电视或相关的显示设备上）和地理信息图以及拓扑跳转等功能。可以直观反映网络设备及其链路等运行状态，其拓扑节点上除了可以表示为一个实际的网络设备，如服务器、路由器、交换机、防火墙等，还可以表示各类应用系统，根据实际需求生成各种相应的应用系统的网络拓扑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应用拓扑图中，支持多层拓扑子图，并支持子图之间的跳转。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5</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监控设备支持产品</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支持国标、ONVIF协议的各种监控设备的监控，自动进行诊断错误校验，对常见故障进行准确分析、判断和报警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6</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网络设备支持的产品</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支持业界主流厂商（H3C，huawei，cisco,ZTE，天融信，网域星云，网神）的网络和安全设备。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restart"/>
            <w:tcBorders>
              <w:top w:val="nil"/>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7</w:t>
            </w:r>
          </w:p>
        </w:tc>
        <w:tc>
          <w:tcPr>
            <w:tcW w:w="0" w:type="auto"/>
            <w:vMerge w:val="restart"/>
            <w:tcBorders>
              <w:top w:val="nil"/>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网络设备监测参数</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支持对设备联通性，设备运行时间，设备接口流量，丢包率，CPU，内存，温度，电源，风扇性能指标监控。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支持mib文件导入，以及oid方式监测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支持SNMPtrap ，syslog监测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8</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服务器监测方式</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支持代理和非代理方式对服务器进行监测，非代理方式支持SNMP,WMI,SSH,方式获取数据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vMerge w:val="restart"/>
            <w:tcBorders>
              <w:top w:val="nil"/>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9</w:t>
            </w:r>
          </w:p>
        </w:tc>
        <w:tc>
          <w:tcPr>
            <w:tcW w:w="0" w:type="auto"/>
            <w:vMerge w:val="restart"/>
            <w:tcBorders>
              <w:top w:val="nil"/>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服务器监测参数</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监测Windows平台和UNIX平台上运行的进程、服务的运行状况，例如指定进程的运行实例总数。对于Windows平台，除了能监测指定进程的实例总数，还能监测线程总数及内存总占用量，状态和丢包率等。可以监测Windows平台和UNIX/Linux平台的日志变化情况。能够对服务器上的文件进行监测，当出现满足阀值的状态时进行报警或触发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可以对虚拟机和其所在的宿主机的运行状态、系统状态、CPU、内存、硬盘空间等信息进行监控，能够自定义设置阈值，当虚拟机或宿主机宕机、超负载或是触发阈值后告警通知。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10</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数据库基础信息监测</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支持MS SQL、ORACLE、IBM DB2、Sybase、Informix、mysql等主流数据监控，通过数据库监测可以监测到数据库的运行状况正常与否，并可直接对数据库中的数据表进行查询、自动检索SQL语句，返回与重要业务相关的数据表中的字段的值和记录个数。可对数据库的重要进程实时监测。数据库监测模块可对Oracle游标数、Session数、每秒事务数、数据锁数量、死锁数量、缓冲池命中率、Catch命中率、进程内存利用率、表空间状态、表空间使用率、Oracle数据库连接数提供完整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11</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数据库自定义监测</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支持自定义数据库查询，能够返回自定义查询脚本的返回时间、返回值、执行结果等。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12</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虚拟化监测</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能实现对虚拟化设备VMWARE等应用监测，包括主机名称，产品类型，CPU总数，PU使用容量，网卡数，网卡流量，内存总量，内存使用量，磁盘使用量，虚拟机运行总数，运行虚拟机数等。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13</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中间件监测</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对nginx、tomcat、squid、FTP等中间件进行全面监测，监测其应用服务器的运行状态、连接池状态、当前使用的连接数、最大连接数、丢失的连接数、监听端口、管理端口、当前堆空间、当前打开的socket数量等。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14</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告警管理</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支持短信，微信，邮件，声音，脚本等方式发送报警；支持故障告警定位，支持告警提醒、转发，支持告警统计，支持告警过滤，可以制定过滤条件，支持告警分析，支持定制性能阈值，拓扑中显示设备告警状态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restart"/>
            <w:tcBorders>
              <w:top w:val="nil"/>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15</w:t>
            </w:r>
          </w:p>
        </w:tc>
        <w:tc>
          <w:tcPr>
            <w:tcW w:w="0" w:type="auto"/>
            <w:vMerge w:val="restart"/>
            <w:tcBorders>
              <w:top w:val="nil"/>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报表功能</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支持摄像机视频考核报表，可以按照行政区域进行分别考核统计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支持资产、工单、计费考核等报表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支持日报、周报、月报、季报、年报等报表，并支持自定义报表，可以根据输入起始和截止时间，按照选择的颗粒度生成自定义报表；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能统计网络中的各种数据（性能数据、告警数据等），支持保存为WEB，excel,pdf等形式显示与导出，支持按照日，周，月等定期生成报告。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restart"/>
            <w:tcBorders>
              <w:top w:val="nil"/>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16</w:t>
            </w:r>
          </w:p>
        </w:tc>
        <w:tc>
          <w:tcPr>
            <w:tcW w:w="0" w:type="auto"/>
            <w:vMerge w:val="restart"/>
            <w:tcBorders>
              <w:top w:val="nil"/>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工单管理</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支持自定义工单流程，方便客户定制化需求；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支持监控页面直接触发工单，工单内容系统根据相关设备的监控情况自动生成，节省用户时间；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支持自动工单，用户可以灵活配置自动工单规则，比如：配置摄像机掉线大于3个小时，自动派发工单到维护人员；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17</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通告发布</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支持按照区域发布通告，可以携带文档、excel，图片等多种附件，方面各种行政文件下发。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Merge w:val="restart"/>
            <w:tcBorders>
              <w:top w:val="nil"/>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18</w:t>
            </w:r>
          </w:p>
        </w:tc>
        <w:tc>
          <w:tcPr>
            <w:tcW w:w="0" w:type="auto"/>
            <w:vMerge w:val="restart"/>
            <w:tcBorders>
              <w:top w:val="nil"/>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服务管理</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依据服务级别协议（SLA），监测和评估服务质量和数量。对运维故障处理效率进行全面的统计管理；对各级技术支持人员的故障处理能力进行统计管理；对IT资源可用性进行统计，包括特定软硬件资源相关的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服务级别协议定义了事件的响应时间与解决时间。并可以定义各项服务级别的优先级，根据服务级别协议最终反应各事件的完成情况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19</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绩效考核</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通过服务级别协议从时间上考核各类事件的完成情况，通过事件满意度回访从服务水平，服务能力，服务态度上考核事件的完成情况。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20</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知识库管理</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知识库内容的管理机制，包括入库、审批、更新、废止等过程的管理；提供知识库检索功能，包括分类检索和关键词全文检索等方式；知识库条目支持携带附件，附件应至少支持各种常见图片格式；统一的知识库提供支持人员提交经验和知识的输入接口或界面，进行数据共享，方便查询，使知识服务于IT部门的支持人员、管理人员及用户；当运维人员进行事故、问题、变更和发布运维流程时，可以根据不同资源类型，关联该类型的知识条目，帮助运维人员更加快速的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restart"/>
            <w:tcBorders>
              <w:top w:val="nil"/>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21</w:t>
            </w:r>
          </w:p>
        </w:tc>
        <w:tc>
          <w:tcPr>
            <w:tcW w:w="0" w:type="auto"/>
            <w:vMerge w:val="restart"/>
            <w:tcBorders>
              <w:top w:val="nil"/>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资产配置管理</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控制IT组织中的所有配置项目，所有的配置项将被编译、定义、记录和核实其连接和依赖关系。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对管辖范围内的IT资产进行全面扫描和管理。IT资产分布、资产库存、用户跟踪和资产使用情况、资产变更、软硬件设备概况及详情、使用率信息、资产负责人等等。所有IT资产通过设置，都可以与负责人、用户、部门等等进行关联，并可自由定制样式模板的报表方式，同时提供各种视图、清单以及完善的信息检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vMerge w:val="continue"/>
            <w:tcBorders>
              <w:top w:val="nil"/>
              <w:left w:val="single" w:color="auto" w:sz="4" w:space="0"/>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vMerge w:val="continue"/>
            <w:tcBorders>
              <w:top w:val="nil"/>
              <w:left w:val="nil"/>
              <w:bottom w:val="single" w:color="auto" w:sz="4" w:space="0"/>
              <w:right w:val="single" w:color="auto" w:sz="4" w:space="0"/>
            </w:tcBorders>
            <w:noWrap w:val="0"/>
            <w:vAlign w:val="top"/>
          </w:tcPr>
          <w:p>
            <w:pPr>
              <w:rPr>
                <w:rFonts w:ascii="Times New Roman" w:hAnsi="Times New Roman" w:cs="Times New Roman"/>
                <w:sz w:val="20"/>
                <w:szCs w:val="20"/>
              </w:rPr>
            </w:pP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资产支持生命周期管理，包含在库、维修、借调、领用、报废等生命周期各阶段的管理功能。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22</w:t>
            </w:r>
          </w:p>
        </w:tc>
        <w:tc>
          <w:tcPr>
            <w:tcW w:w="0" w:type="auto"/>
            <w:tcBorders>
              <w:top w:val="single" w:color="auto" w:sz="4" w:space="0"/>
              <w:left w:val="nil"/>
              <w:bottom w:val="single" w:color="auto" w:sz="4" w:space="0"/>
              <w:right w:val="single" w:color="auto" w:sz="4" w:space="0"/>
            </w:tcBorders>
            <w:noWrap w:val="0"/>
            <w:vAlign w:val="top"/>
          </w:tcPr>
          <w:p>
            <w:pPr>
              <w:pStyle w:val="32"/>
              <w:widowControl w:val="0"/>
              <w:adjustRightInd w:val="0"/>
              <w:spacing w:before="0" w:beforeAutospacing="0" w:after="0" w:afterAutospacing="0" w:line="360" w:lineRule="auto"/>
              <w:jc w:val="both"/>
              <w:textAlignment w:val="baseline"/>
              <w:rPr>
                <w:rFonts w:hint="eastAsia" w:cs="宋体"/>
                <w:color w:val="auto"/>
              </w:rPr>
            </w:pPr>
            <w:r>
              <w:rPr>
                <w:rFonts w:hint="eastAsia" w:cs="宋体"/>
                <w:color w:val="auto"/>
                <w:lang w:bidi="ar"/>
              </w:rPr>
              <w:t>支持分域、分权网管</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支持角色，可以为不同的管理员设置不同的用户名、密码、并限制管理员的管理角色权限和管理范围，实现分域、分权管理。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23</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值班管理</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机房电子化值班管理将值班日志、交接班记录、维护作业记录以及由各项调度维护规程和管理办法中确定的周期性维护作业计划等任务和各类事件和问题等有效结合在一起。值班管理使当班人能够准确、高效的完成值班的各项维护任务和相关事件处理，大大提高运维服务的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0" w:type="auto"/>
            <w:tcBorders>
              <w:top w:val="single" w:color="auto" w:sz="4" w:space="0"/>
              <w:left w:val="single" w:color="auto" w:sz="4" w:space="0"/>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24</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安全管理</w:t>
            </w:r>
          </w:p>
        </w:tc>
        <w:tc>
          <w:tcPr>
            <w:tcW w:w="0" w:type="auto"/>
            <w:tcBorders>
              <w:top w:val="single" w:color="auto" w:sz="4" w:space="0"/>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结合信息安全系统平台建设，负责管理本地数据中心服务器，数据，网络，应用，虚拟化的安全，将信息安全纳入运维考核机制</w:t>
            </w:r>
          </w:p>
        </w:tc>
      </w:tr>
    </w:tbl>
    <w:p>
      <w:pPr>
        <w:pStyle w:val="5"/>
        <w:numPr>
          <w:ilvl w:val="2"/>
          <w:numId w:val="3"/>
        </w:numPr>
        <w:spacing w:before="163" w:after="163"/>
        <w:rPr>
          <w:rFonts w:hint="eastAsia" w:ascii="宋体" w:hAnsi="宋体" w:cs="宋体"/>
          <w:szCs w:val="24"/>
        </w:rPr>
      </w:pPr>
      <w:bookmarkStart w:id="265" w:name="_Toc197225418"/>
      <w:bookmarkEnd w:id="265"/>
      <w:bookmarkStart w:id="266" w:name="_Toc340736425"/>
      <w:bookmarkEnd w:id="266"/>
      <w:bookmarkStart w:id="267" w:name="_Toc47900982"/>
      <w:bookmarkEnd w:id="267"/>
      <w:bookmarkStart w:id="268" w:name="_Toc99863927"/>
      <w:bookmarkEnd w:id="268"/>
      <w:bookmarkStart w:id="269" w:name="_Toc100134875"/>
      <w:bookmarkEnd w:id="269"/>
      <w:bookmarkStart w:id="270" w:name="_Toc101151646"/>
      <w:bookmarkEnd w:id="270"/>
      <w:bookmarkStart w:id="271" w:name="_Toc179610349"/>
      <w:bookmarkEnd w:id="271"/>
      <w:bookmarkStart w:id="272" w:name="_Toc185176706"/>
      <w:r>
        <w:rPr>
          <w:rFonts w:hint="eastAsia" w:ascii="宋体" w:hAnsi="宋体" w:cs="宋体"/>
          <w:szCs w:val="24"/>
        </w:rPr>
        <w:t>视频质量管理</w:t>
      </w:r>
      <w:bookmarkEnd w:id="272"/>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提供对一类点位视频资源和二三类点位的视频资源进行视频图像质量诊断，支持常见摄像机故障的分析、判断和报警。提供自动化巡检、故障自动报警、一般性故障自我修复、资产管理等功能，有效实现视频资源的整合与加强功能性利用，实现视频监控系统和相关业务系统自动运维功能。</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具体的功能需求有：</w:t>
      </w:r>
    </w:p>
    <w:p>
      <w:pPr>
        <w:pStyle w:val="32"/>
        <w:widowControl w:val="0"/>
        <w:adjustRightInd w:val="0"/>
        <w:spacing w:before="0" w:beforeAutospacing="0" w:after="0" w:afterAutospacing="0" w:line="360" w:lineRule="auto"/>
        <w:ind w:firstLine="482" w:firstLineChars="200"/>
        <w:jc w:val="both"/>
        <w:textAlignment w:val="baseline"/>
        <w:rPr>
          <w:rFonts w:hint="eastAsia" w:cs="宋体"/>
          <w:color w:val="auto"/>
        </w:rPr>
      </w:pPr>
      <w:r>
        <w:rPr>
          <w:rFonts w:hint="eastAsia" w:cs="宋体"/>
          <w:b/>
          <w:color w:val="auto"/>
          <w:lang w:bidi="ar"/>
        </w:rPr>
        <w:t>设备可用监测</w:t>
      </w:r>
      <w:r>
        <w:rPr>
          <w:rFonts w:hint="eastAsia" w:cs="宋体"/>
          <w:color w:val="auto"/>
          <w:lang w:bidi="ar"/>
        </w:rPr>
        <w:t>：及时、精准地展现设备的可用状态；</w:t>
      </w:r>
    </w:p>
    <w:p>
      <w:pPr>
        <w:pStyle w:val="32"/>
        <w:widowControl w:val="0"/>
        <w:adjustRightInd w:val="0"/>
        <w:spacing w:before="0" w:beforeAutospacing="0" w:after="0" w:afterAutospacing="0" w:line="360" w:lineRule="auto"/>
        <w:ind w:firstLine="482" w:firstLineChars="200"/>
        <w:jc w:val="both"/>
        <w:textAlignment w:val="baseline"/>
        <w:rPr>
          <w:rFonts w:hint="eastAsia" w:cs="宋体"/>
          <w:color w:val="auto"/>
        </w:rPr>
      </w:pPr>
      <w:r>
        <w:rPr>
          <w:rFonts w:hint="eastAsia" w:cs="宋体"/>
          <w:b/>
          <w:color w:val="auto"/>
          <w:lang w:bidi="ar"/>
        </w:rPr>
        <w:t>视频质量诊断</w:t>
      </w:r>
      <w:r>
        <w:rPr>
          <w:rFonts w:hint="eastAsia" w:cs="宋体"/>
          <w:color w:val="auto"/>
          <w:lang w:bidi="ar"/>
        </w:rPr>
        <w:t>：对平台接入的视频监控资源进行视频图像质量诊断，支持摄像机故障的分析、判断和报警，检测内容包括信号丢失、图像模糊、对比度、图像过亮、图像过暗、图像偏色、噪声干扰、条纹干扰、黑白图像、画面冻结、视频剧变、视频抖动、场景变更、视频遮挡、云台失控、登录失败、取流异常等；</w:t>
      </w:r>
    </w:p>
    <w:p>
      <w:pPr>
        <w:pStyle w:val="32"/>
        <w:widowControl w:val="0"/>
        <w:adjustRightInd w:val="0"/>
        <w:spacing w:before="0" w:beforeAutospacing="0" w:after="0" w:afterAutospacing="0" w:line="360" w:lineRule="auto"/>
        <w:ind w:firstLine="482" w:firstLineChars="200"/>
        <w:jc w:val="both"/>
        <w:textAlignment w:val="baseline"/>
        <w:rPr>
          <w:rFonts w:hint="eastAsia" w:cs="宋体"/>
          <w:color w:val="auto"/>
        </w:rPr>
      </w:pPr>
      <w:r>
        <w:rPr>
          <w:rFonts w:hint="eastAsia" w:cs="宋体"/>
          <w:b/>
          <w:color w:val="auto"/>
          <w:lang w:bidi="ar"/>
        </w:rPr>
        <w:t>数据检测</w:t>
      </w:r>
      <w:r>
        <w:rPr>
          <w:rFonts w:hint="eastAsia" w:cs="宋体"/>
          <w:color w:val="auto"/>
          <w:lang w:bidi="ar"/>
        </w:rPr>
        <w:t>：检测编码、经纬度等数据是否完整和正确；</w:t>
      </w:r>
    </w:p>
    <w:p>
      <w:pPr>
        <w:pStyle w:val="32"/>
        <w:widowControl w:val="0"/>
        <w:adjustRightInd w:val="0"/>
        <w:spacing w:before="0" w:beforeAutospacing="0" w:after="0" w:afterAutospacing="0" w:line="360" w:lineRule="auto"/>
        <w:ind w:firstLine="482" w:firstLineChars="200"/>
        <w:jc w:val="both"/>
        <w:textAlignment w:val="baseline"/>
        <w:rPr>
          <w:rFonts w:hint="eastAsia" w:cs="宋体"/>
          <w:color w:val="auto"/>
        </w:rPr>
      </w:pPr>
      <w:r>
        <w:rPr>
          <w:rFonts w:hint="eastAsia" w:cs="宋体"/>
          <w:b/>
          <w:color w:val="auto"/>
          <w:lang w:bidi="ar"/>
        </w:rPr>
        <w:t>视频录像监测</w:t>
      </w:r>
      <w:r>
        <w:rPr>
          <w:rFonts w:hint="eastAsia" w:cs="宋体"/>
          <w:color w:val="auto"/>
          <w:lang w:bidi="ar"/>
        </w:rPr>
        <w:t>：及时、准确地反映各路视频录像的完好率；</w:t>
      </w:r>
    </w:p>
    <w:p>
      <w:pPr>
        <w:pStyle w:val="32"/>
        <w:widowControl w:val="0"/>
        <w:adjustRightInd w:val="0"/>
        <w:spacing w:before="0" w:beforeAutospacing="0" w:after="0" w:afterAutospacing="0" w:line="360" w:lineRule="auto"/>
        <w:ind w:firstLine="482" w:firstLineChars="200"/>
        <w:jc w:val="both"/>
        <w:textAlignment w:val="baseline"/>
        <w:rPr>
          <w:rFonts w:hint="eastAsia" w:cs="宋体"/>
          <w:color w:val="auto"/>
        </w:rPr>
      </w:pPr>
      <w:r>
        <w:rPr>
          <w:rFonts w:hint="eastAsia" w:cs="宋体"/>
          <w:b/>
          <w:color w:val="auto"/>
          <w:lang w:bidi="ar"/>
        </w:rPr>
        <w:t>综合管理</w:t>
      </w:r>
      <w:r>
        <w:rPr>
          <w:rFonts w:hint="eastAsia" w:cs="宋体"/>
          <w:color w:val="auto"/>
          <w:lang w:bidi="ar"/>
        </w:rPr>
        <w:t>：资产状态展现、地图展现；</w:t>
      </w:r>
    </w:p>
    <w:p>
      <w:pPr>
        <w:pStyle w:val="32"/>
        <w:widowControl w:val="0"/>
        <w:adjustRightInd w:val="0"/>
        <w:spacing w:before="0" w:beforeAutospacing="0" w:after="0" w:afterAutospacing="0" w:line="360" w:lineRule="auto"/>
        <w:ind w:firstLine="482" w:firstLineChars="200"/>
        <w:jc w:val="both"/>
        <w:textAlignment w:val="baseline"/>
        <w:rPr>
          <w:rFonts w:hint="eastAsia" w:cs="宋体"/>
          <w:color w:val="auto"/>
        </w:rPr>
      </w:pPr>
      <w:r>
        <w:rPr>
          <w:rFonts w:hint="eastAsia" w:cs="宋体"/>
          <w:b/>
          <w:color w:val="auto"/>
          <w:lang w:bidi="ar"/>
        </w:rPr>
        <w:t>视频诊断管理</w:t>
      </w:r>
      <w:r>
        <w:rPr>
          <w:rFonts w:hint="eastAsia" w:cs="宋体"/>
          <w:color w:val="auto"/>
          <w:lang w:bidi="ar"/>
        </w:rPr>
        <w:t>：诊断方案管理、诊断预案管理；</w:t>
      </w:r>
    </w:p>
    <w:p>
      <w:pPr>
        <w:pStyle w:val="32"/>
        <w:widowControl w:val="0"/>
        <w:adjustRightInd w:val="0"/>
        <w:spacing w:before="0" w:beforeAutospacing="0" w:after="0" w:afterAutospacing="0" w:line="360" w:lineRule="auto"/>
        <w:ind w:firstLine="482" w:firstLineChars="200"/>
        <w:jc w:val="both"/>
        <w:textAlignment w:val="baseline"/>
        <w:rPr>
          <w:rFonts w:hint="eastAsia" w:cs="宋体"/>
          <w:color w:val="auto"/>
        </w:rPr>
      </w:pPr>
      <w:r>
        <w:rPr>
          <w:rFonts w:hint="eastAsia" w:cs="宋体"/>
          <w:b/>
          <w:color w:val="auto"/>
          <w:lang w:bidi="ar"/>
        </w:rPr>
        <w:t>运维管理</w:t>
      </w:r>
      <w:r>
        <w:rPr>
          <w:rFonts w:hint="eastAsia" w:cs="宋体"/>
          <w:color w:val="auto"/>
          <w:lang w:bidi="ar"/>
        </w:rPr>
        <w:t>：故障管理、报警管理、保修管理、流程管理；</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报表管理：报表故障次数统计、设备故障维修及时率统计、摄像机实时在线统计、摄像机历史在线统计、视频质量统计、设备报警统计；</w:t>
      </w:r>
    </w:p>
    <w:p>
      <w:pPr>
        <w:pStyle w:val="32"/>
        <w:widowControl w:val="0"/>
        <w:adjustRightInd w:val="0"/>
        <w:spacing w:before="0" w:beforeAutospacing="0" w:after="0" w:afterAutospacing="0" w:line="360" w:lineRule="auto"/>
        <w:ind w:firstLine="482" w:firstLineChars="200"/>
        <w:jc w:val="both"/>
        <w:textAlignment w:val="baseline"/>
        <w:rPr>
          <w:rFonts w:hint="eastAsia" w:cs="宋体"/>
          <w:color w:val="auto"/>
        </w:rPr>
      </w:pPr>
      <w:r>
        <w:rPr>
          <w:rFonts w:hint="eastAsia" w:cs="宋体"/>
          <w:b/>
          <w:color w:val="auto"/>
          <w:lang w:bidi="ar"/>
        </w:rPr>
        <w:t>配置管理</w:t>
      </w:r>
      <w:r>
        <w:rPr>
          <w:rFonts w:hint="eastAsia" w:cs="宋体"/>
          <w:color w:val="auto"/>
          <w:lang w:bidi="ar"/>
        </w:rPr>
        <w:t>：平台配置、设备配置、维修单位配置、参数配置管理、用户配置、权限配置、日志管理。</w:t>
      </w:r>
    </w:p>
    <w:p>
      <w:pPr>
        <w:pStyle w:val="5"/>
        <w:numPr>
          <w:ilvl w:val="2"/>
          <w:numId w:val="3"/>
        </w:numPr>
        <w:spacing w:before="163" w:after="163"/>
        <w:rPr>
          <w:rFonts w:hint="eastAsia" w:ascii="宋体" w:hAnsi="宋体" w:cs="宋体"/>
          <w:szCs w:val="24"/>
        </w:rPr>
      </w:pPr>
      <w:bookmarkStart w:id="273" w:name="_Toc47900983"/>
      <w:bookmarkEnd w:id="273"/>
      <w:r>
        <w:rPr>
          <w:rFonts w:hint="eastAsia" w:ascii="宋体" w:hAnsi="宋体" w:cs="宋体"/>
          <w:szCs w:val="24"/>
        </w:rPr>
        <w:t>网络运维管理</w:t>
      </w:r>
    </w:p>
    <w:p>
      <w:pPr>
        <w:pStyle w:val="6"/>
        <w:widowControl/>
        <w:numPr>
          <w:ilvl w:val="3"/>
          <w:numId w:val="3"/>
        </w:numPr>
        <w:rPr>
          <w:rFonts w:hint="eastAsia" w:ascii="宋体" w:hAnsi="宋体" w:cs="宋体"/>
          <w:sz w:val="24"/>
        </w:rPr>
      </w:pPr>
      <w:bookmarkStart w:id="274" w:name="_Toc73889430"/>
      <w:bookmarkEnd w:id="274"/>
      <w:bookmarkStart w:id="275" w:name="_Toc503769256"/>
      <w:bookmarkEnd w:id="275"/>
      <w:bookmarkStart w:id="276" w:name="_Toc47900984"/>
      <w:r>
        <w:rPr>
          <w:rFonts w:hint="eastAsia" w:ascii="宋体" w:hAnsi="宋体" w:cs="宋体"/>
          <w:sz w:val="24"/>
        </w:rPr>
        <w:t>总体要求</w:t>
      </w:r>
      <w:bookmarkEnd w:id="276"/>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网管系统应具备故障管理、配置管理、性能管理和安全管理等主要网管功能。</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网管系统应具有易用、友好图形用户界面，以及在线帮助、软件下载等功能。</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提供与第三方网管系统的接口，可以无缝地集成在第三方网管系统上。</w:t>
      </w:r>
    </w:p>
    <w:p>
      <w:pPr>
        <w:pStyle w:val="6"/>
        <w:widowControl/>
        <w:numPr>
          <w:ilvl w:val="3"/>
          <w:numId w:val="3"/>
        </w:numPr>
        <w:rPr>
          <w:rFonts w:hint="eastAsia" w:ascii="宋体" w:hAnsi="宋体" w:cs="宋体"/>
          <w:sz w:val="24"/>
        </w:rPr>
      </w:pPr>
      <w:bookmarkStart w:id="277" w:name="_Toc47900985"/>
      <w:bookmarkEnd w:id="277"/>
      <w:r>
        <w:rPr>
          <w:rFonts w:hint="eastAsia" w:ascii="宋体" w:hAnsi="宋体" w:cs="宋体"/>
          <w:sz w:val="24"/>
        </w:rPr>
        <w:t>功能要求</w:t>
      </w:r>
    </w:p>
    <w:p>
      <w:pPr>
        <w:pStyle w:val="32"/>
        <w:widowControl w:val="0"/>
        <w:adjustRightInd w:val="0"/>
        <w:spacing w:before="0" w:beforeAutospacing="0" w:after="0" w:afterAutospacing="0" w:line="360" w:lineRule="auto"/>
        <w:ind w:firstLine="482" w:firstLineChars="200"/>
        <w:jc w:val="both"/>
        <w:textAlignment w:val="baseline"/>
        <w:rPr>
          <w:rFonts w:hint="eastAsia" w:cs="宋体"/>
          <w:b/>
          <w:color w:val="auto"/>
        </w:rPr>
      </w:pPr>
      <w:bookmarkStart w:id="278" w:name="_Toc100134876"/>
      <w:bookmarkEnd w:id="278"/>
      <w:r>
        <w:rPr>
          <w:rFonts w:hint="eastAsia" w:cs="宋体"/>
          <w:b/>
          <w:color w:val="auto"/>
          <w:lang w:bidi="ar"/>
        </w:rPr>
        <w:t>配置管理</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支持自动发现网络拓扑，可显示网元间连接关系，并能够动态、实时显示被管网元的运行状态和状况。</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能够在网络拓扑中创建、删除、查询修改设备。</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能够对设备软件进行升级，建议网管系统支持集群升级。</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提供对设备配置信息的上载和下载功能，并支持对配置信息合法性和一致性的检查。</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能够完成以下功能的配置：</w:t>
      </w:r>
    </w:p>
    <w:p>
      <w:pPr>
        <w:pStyle w:val="32"/>
        <w:widowControl w:val="0"/>
        <w:numPr>
          <w:ilvl w:val="0"/>
          <w:numId w:val="16"/>
        </w:numPr>
        <w:adjustRightInd w:val="0"/>
        <w:spacing w:before="0" w:beforeAutospacing="0" w:after="0" w:afterAutospacing="0" w:line="360" w:lineRule="auto"/>
        <w:ind w:firstLine="147"/>
        <w:jc w:val="both"/>
        <w:textAlignment w:val="baseline"/>
        <w:rPr>
          <w:rFonts w:hint="eastAsia" w:cs="宋体"/>
          <w:color w:val="auto"/>
        </w:rPr>
      </w:pPr>
      <w:r>
        <w:rPr>
          <w:rFonts w:hint="eastAsia" w:cs="宋体"/>
          <w:color w:val="auto"/>
          <w:lang w:bidi="ar"/>
        </w:rPr>
        <w:t>业务端口的打开和关闭、协商参数设置、流控等；</w:t>
      </w:r>
    </w:p>
    <w:p>
      <w:pPr>
        <w:pStyle w:val="32"/>
        <w:widowControl w:val="0"/>
        <w:numPr>
          <w:ilvl w:val="0"/>
          <w:numId w:val="16"/>
        </w:numPr>
        <w:adjustRightInd w:val="0"/>
        <w:spacing w:before="0" w:beforeAutospacing="0" w:after="0" w:afterAutospacing="0" w:line="360" w:lineRule="auto"/>
        <w:ind w:firstLine="147"/>
        <w:jc w:val="both"/>
        <w:textAlignment w:val="baseline"/>
        <w:rPr>
          <w:rFonts w:hint="eastAsia" w:cs="宋体"/>
          <w:color w:val="auto"/>
        </w:rPr>
      </w:pPr>
      <w:r>
        <w:rPr>
          <w:rFonts w:hint="eastAsia" w:cs="宋体"/>
          <w:color w:val="auto"/>
          <w:lang w:bidi="ar"/>
        </w:rPr>
        <w:t>VLAN的创建、删除、与相应业务端口的关联、VLAN堆叠的配置等；</w:t>
      </w:r>
    </w:p>
    <w:p>
      <w:pPr>
        <w:pStyle w:val="32"/>
        <w:widowControl w:val="0"/>
        <w:numPr>
          <w:ilvl w:val="0"/>
          <w:numId w:val="16"/>
        </w:numPr>
        <w:adjustRightInd w:val="0"/>
        <w:spacing w:before="0" w:beforeAutospacing="0" w:after="0" w:afterAutospacing="0" w:line="360" w:lineRule="auto"/>
        <w:ind w:firstLine="147"/>
        <w:jc w:val="both"/>
        <w:textAlignment w:val="baseline"/>
        <w:rPr>
          <w:rFonts w:hint="eastAsia" w:cs="宋体"/>
          <w:color w:val="auto"/>
        </w:rPr>
      </w:pPr>
      <w:r>
        <w:rPr>
          <w:rFonts w:hint="eastAsia" w:cs="宋体"/>
          <w:color w:val="auto"/>
          <w:lang w:bidi="ar"/>
        </w:rPr>
        <w:t>各种生成树功能的开启和关闭、节点和端口权值的设置；</w:t>
      </w:r>
    </w:p>
    <w:p>
      <w:pPr>
        <w:pStyle w:val="32"/>
        <w:widowControl w:val="0"/>
        <w:numPr>
          <w:ilvl w:val="0"/>
          <w:numId w:val="16"/>
        </w:numPr>
        <w:adjustRightInd w:val="0"/>
        <w:spacing w:before="0" w:beforeAutospacing="0" w:after="0" w:afterAutospacing="0" w:line="360" w:lineRule="auto"/>
        <w:ind w:firstLine="147"/>
        <w:jc w:val="both"/>
        <w:textAlignment w:val="baseline"/>
        <w:rPr>
          <w:rFonts w:hint="eastAsia" w:cs="宋体"/>
          <w:color w:val="auto"/>
        </w:rPr>
      </w:pPr>
      <w:r>
        <w:rPr>
          <w:rFonts w:hint="eastAsia" w:cs="宋体"/>
          <w:color w:val="auto"/>
          <w:lang w:bidi="ar"/>
        </w:rPr>
        <w:t>二三四层访问控制表的配置、应用；</w:t>
      </w:r>
    </w:p>
    <w:p>
      <w:pPr>
        <w:pStyle w:val="32"/>
        <w:widowControl w:val="0"/>
        <w:numPr>
          <w:ilvl w:val="0"/>
          <w:numId w:val="16"/>
        </w:numPr>
        <w:adjustRightInd w:val="0"/>
        <w:spacing w:before="0" w:beforeAutospacing="0" w:after="0" w:afterAutospacing="0" w:line="360" w:lineRule="auto"/>
        <w:ind w:firstLine="147"/>
        <w:jc w:val="both"/>
        <w:textAlignment w:val="baseline"/>
        <w:rPr>
          <w:rFonts w:hint="eastAsia" w:cs="宋体"/>
          <w:color w:val="auto"/>
        </w:rPr>
      </w:pPr>
      <w:r>
        <w:rPr>
          <w:rFonts w:hint="eastAsia" w:cs="宋体"/>
          <w:color w:val="auto"/>
          <w:lang w:bidi="ar"/>
        </w:rPr>
        <w:t>业务分类、优先级队列、速率限制等QOS功能配置；</w:t>
      </w:r>
    </w:p>
    <w:p>
      <w:pPr>
        <w:pStyle w:val="32"/>
        <w:widowControl w:val="0"/>
        <w:numPr>
          <w:ilvl w:val="0"/>
          <w:numId w:val="16"/>
        </w:numPr>
        <w:adjustRightInd w:val="0"/>
        <w:spacing w:before="0" w:beforeAutospacing="0" w:after="0" w:afterAutospacing="0" w:line="360" w:lineRule="auto"/>
        <w:ind w:firstLine="147"/>
        <w:jc w:val="both"/>
        <w:textAlignment w:val="baseline"/>
        <w:rPr>
          <w:rFonts w:hint="eastAsia" w:cs="宋体"/>
          <w:color w:val="auto"/>
        </w:rPr>
      </w:pPr>
      <w:r>
        <w:rPr>
          <w:rFonts w:hint="eastAsia" w:cs="宋体"/>
          <w:color w:val="auto"/>
          <w:lang w:bidi="ar"/>
        </w:rPr>
        <w:t>网管协议、地址的设置。</w:t>
      </w:r>
    </w:p>
    <w:p>
      <w:pPr>
        <w:pStyle w:val="32"/>
        <w:widowControl w:val="0"/>
        <w:adjustRightInd w:val="0"/>
        <w:spacing w:before="0" w:beforeAutospacing="0" w:after="0" w:afterAutospacing="0" w:line="360" w:lineRule="auto"/>
        <w:ind w:firstLine="482" w:firstLineChars="200"/>
        <w:jc w:val="both"/>
        <w:textAlignment w:val="baseline"/>
        <w:rPr>
          <w:rFonts w:hint="eastAsia" w:cs="宋体"/>
          <w:b/>
          <w:color w:val="auto"/>
        </w:rPr>
      </w:pPr>
      <w:bookmarkStart w:id="279" w:name="_Toc100134877"/>
      <w:bookmarkEnd w:id="279"/>
      <w:r>
        <w:rPr>
          <w:rFonts w:hint="eastAsia" w:cs="宋体"/>
          <w:b/>
          <w:color w:val="auto"/>
          <w:lang w:bidi="ar"/>
        </w:rPr>
        <w:t>性能管理</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必须支持对网元的重要性能参数（CPU利用率、内存利用率、数据包的分类统计）进行监控。</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提供性能门限管理，支持对一个监测对象的某个性能参数设置上限和（或）下限，当该监测对象的性能参数超过设定的上限或下限时，产生越限告警。</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提供查询性能数据的功能，并以表格和图形如折线图、直方图、饼图等方式显示查询结果和统计结果。应能对查询统计结果进行打印输出。</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允许指定网元性能监测的属性，并可进行查询/修改，包括：性能监测对象、需要监测的参数名称、监测周期（15分钟或者24小时）、监测状态（打开/关闭）、开始时间、结束时间、是否自动上报。</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提供性能趋势分析功能，通过对当前和历史性能测量数据的分析，预测性能监测参数今后的变化趋势。</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性能数据在网管存储设备上保存一定期限的15分钟和24小时性能。测量周期为15分钟的测量数据至少30天；测量周期为24小时的测量数据至少60天。当性能数据的存储超过期限或容量时应提示用户归档和删除。</w:t>
      </w:r>
    </w:p>
    <w:p>
      <w:pPr>
        <w:pStyle w:val="32"/>
        <w:widowControl w:val="0"/>
        <w:adjustRightInd w:val="0"/>
        <w:spacing w:before="0" w:beforeAutospacing="0" w:after="0" w:afterAutospacing="0" w:line="360" w:lineRule="auto"/>
        <w:ind w:firstLine="482" w:firstLineChars="200"/>
        <w:jc w:val="both"/>
        <w:textAlignment w:val="baseline"/>
        <w:rPr>
          <w:rFonts w:hint="eastAsia" w:cs="宋体"/>
          <w:b/>
          <w:color w:val="auto"/>
        </w:rPr>
      </w:pPr>
      <w:bookmarkStart w:id="280" w:name="_Toc100134878"/>
      <w:bookmarkEnd w:id="280"/>
      <w:r>
        <w:rPr>
          <w:rFonts w:hint="eastAsia" w:cs="宋体"/>
          <w:b/>
          <w:color w:val="auto"/>
          <w:lang w:bidi="ar"/>
        </w:rPr>
        <w:t>故障管理</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应支持对告警类型、告警级别和告警状态的分类定义。</w:t>
      </w:r>
    </w:p>
    <w:p>
      <w:pPr>
        <w:pStyle w:val="32"/>
        <w:widowControl w:val="0"/>
        <w:numPr>
          <w:ilvl w:val="0"/>
          <w:numId w:val="16"/>
        </w:numPr>
        <w:adjustRightInd w:val="0"/>
        <w:spacing w:before="0" w:beforeAutospacing="0" w:after="0" w:afterAutospacing="0" w:line="360" w:lineRule="auto"/>
        <w:ind w:firstLine="147"/>
        <w:jc w:val="both"/>
        <w:textAlignment w:val="baseline"/>
        <w:rPr>
          <w:rFonts w:hint="eastAsia" w:cs="宋体"/>
          <w:color w:val="auto"/>
        </w:rPr>
      </w:pPr>
      <w:r>
        <w:rPr>
          <w:rFonts w:hint="eastAsia" w:cs="宋体"/>
          <w:color w:val="auto"/>
          <w:lang w:bidi="ar"/>
        </w:rPr>
        <w:t>告警类型包括：设备告警、服务质量告警、通信告警、环境告警、处理失败告警</w:t>
      </w:r>
    </w:p>
    <w:p>
      <w:pPr>
        <w:pStyle w:val="32"/>
        <w:widowControl w:val="0"/>
        <w:numPr>
          <w:ilvl w:val="0"/>
          <w:numId w:val="16"/>
        </w:numPr>
        <w:adjustRightInd w:val="0"/>
        <w:spacing w:before="0" w:beforeAutospacing="0" w:after="0" w:afterAutospacing="0" w:line="360" w:lineRule="auto"/>
        <w:ind w:firstLine="147"/>
        <w:jc w:val="both"/>
        <w:textAlignment w:val="baseline"/>
        <w:rPr>
          <w:rFonts w:hint="eastAsia" w:cs="宋体"/>
          <w:color w:val="auto"/>
        </w:rPr>
      </w:pPr>
      <w:r>
        <w:rPr>
          <w:rFonts w:hint="eastAsia" w:cs="宋体"/>
          <w:color w:val="auto"/>
          <w:lang w:bidi="ar"/>
        </w:rPr>
        <w:t>告警级别包括：紧急告警、主要告警、次要告警、提示告警、清除告警</w:t>
      </w:r>
    </w:p>
    <w:p>
      <w:pPr>
        <w:pStyle w:val="32"/>
        <w:widowControl w:val="0"/>
        <w:numPr>
          <w:ilvl w:val="0"/>
          <w:numId w:val="16"/>
        </w:numPr>
        <w:adjustRightInd w:val="0"/>
        <w:spacing w:before="0" w:beforeAutospacing="0" w:after="0" w:afterAutospacing="0" w:line="360" w:lineRule="auto"/>
        <w:ind w:firstLine="147"/>
        <w:jc w:val="both"/>
        <w:textAlignment w:val="baseline"/>
        <w:rPr>
          <w:rFonts w:hint="eastAsia" w:cs="宋体"/>
          <w:color w:val="auto"/>
        </w:rPr>
      </w:pPr>
      <w:r>
        <w:rPr>
          <w:rFonts w:hint="eastAsia" w:cs="宋体"/>
          <w:color w:val="auto"/>
          <w:lang w:bidi="ar"/>
        </w:rPr>
        <w:t>告警状态包括：当前告警、历史告警、已确认告警、未确认告警、锁定告警</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能够在网络拓扑图中以不同形式显示告警发生的位置及告警信息，并提示用户对告警进行确认。</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能够对告警信息进行确认、清除、合并、过滤。</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具有告警相关性抑制功能。根据网络配置信息，以及接收的告警信息频度和种类，对告警信息的关联进行综合分析，在多个告警中确定故障根源。并能以图形显示方式或文本显示方式将设备或通信故障定位在设备板卡或端口上，同时给出可能的故障原因。</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能够对当前告警或者历史告警提供查询和统计功能。</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支持告警信息的同步，将显示的告警状态与网元实际的告警状态进行核准，应提供人工和自动两种校正模式。</w:t>
      </w:r>
    </w:p>
    <w:p>
      <w:pPr>
        <w:pStyle w:val="32"/>
        <w:widowControl w:val="0"/>
        <w:adjustRightInd w:val="0"/>
        <w:spacing w:before="0" w:beforeAutospacing="0" w:after="0" w:afterAutospacing="0" w:line="360" w:lineRule="auto"/>
        <w:ind w:firstLine="482" w:firstLineChars="200"/>
        <w:jc w:val="both"/>
        <w:textAlignment w:val="baseline"/>
        <w:rPr>
          <w:rFonts w:hint="eastAsia" w:cs="宋体"/>
          <w:b/>
          <w:color w:val="auto"/>
        </w:rPr>
      </w:pPr>
      <w:bookmarkStart w:id="281" w:name="_Toc100134879"/>
      <w:bookmarkEnd w:id="281"/>
      <w:r>
        <w:rPr>
          <w:rFonts w:hint="eastAsia" w:cs="宋体"/>
          <w:b/>
          <w:color w:val="auto"/>
          <w:lang w:bidi="ar"/>
        </w:rPr>
        <w:t>安全管理</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能够对用户进行管理，包括增加用户、删除用户、锁定用户、解锁用户、查询用户信息、修改用户密码。</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可对用户的访问进行认证、授权。</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可对用户划分等级，不同级别的管理员应具有不同的权限，访问者只能在自己的权限范围内进行管理操作。敏感信息、或固定用户终端鉴权属性、数据库和配置数据只能由有授权的个人或管理系统进行操作。</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 xml:space="preserve">提供操作日志记录，以记录网管配置的改变及网管操作人员登录、注销的时间。 </w:t>
      </w:r>
    </w:p>
    <w:p>
      <w:pPr>
        <w:pStyle w:val="5"/>
        <w:numPr>
          <w:ilvl w:val="2"/>
          <w:numId w:val="3"/>
        </w:numPr>
        <w:spacing w:before="163" w:after="163"/>
        <w:rPr>
          <w:rFonts w:hint="eastAsia" w:ascii="宋体" w:hAnsi="宋体" w:cs="宋体"/>
          <w:szCs w:val="24"/>
        </w:rPr>
      </w:pPr>
      <w:bookmarkStart w:id="282" w:name="_Toc47900986"/>
      <w:bookmarkEnd w:id="282"/>
      <w:r>
        <w:rPr>
          <w:rFonts w:hint="eastAsia" w:ascii="宋体" w:hAnsi="宋体" w:cs="宋体"/>
          <w:szCs w:val="24"/>
        </w:rPr>
        <w:t>电子工单管理</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提供电子工单管理服务，负责维护各类工单、跟踪工单流程、实现考核评价，以及对工单进行统计和产生报表等功能。主要功能点如下：</w:t>
      </w:r>
    </w:p>
    <w:p>
      <w:pPr>
        <w:adjustRightInd w:val="0"/>
        <w:spacing w:line="360" w:lineRule="auto"/>
        <w:ind w:firstLine="482" w:firstLineChars="200"/>
        <w:textAlignment w:val="baseline"/>
        <w:rPr>
          <w:rFonts w:hint="eastAsia" w:ascii="宋体" w:hAnsi="宋体" w:cs="宋体"/>
          <w:sz w:val="24"/>
        </w:rPr>
      </w:pPr>
      <w:r>
        <w:rPr>
          <w:rFonts w:hint="eastAsia" w:ascii="宋体" w:hAnsi="宋体" w:cs="宋体"/>
          <w:b/>
          <w:kern w:val="0"/>
          <w:sz w:val="24"/>
          <w:lang w:bidi="ar"/>
        </w:rPr>
        <w:t>工单处理</w:t>
      </w:r>
      <w:r>
        <w:rPr>
          <w:rFonts w:hint="eastAsia" w:ascii="宋体" w:hAnsi="宋体" w:cs="宋体"/>
          <w:kern w:val="0"/>
          <w:sz w:val="24"/>
          <w:lang w:bidi="ar"/>
        </w:rPr>
        <w:t>：对三类工单进行管理，包括故障工单、工作任务工单、变更申请单。</w:t>
      </w:r>
    </w:p>
    <w:p>
      <w:pPr>
        <w:pStyle w:val="32"/>
        <w:widowControl w:val="0"/>
        <w:numPr>
          <w:ilvl w:val="0"/>
          <w:numId w:val="16"/>
        </w:numPr>
        <w:adjustRightInd w:val="0"/>
        <w:spacing w:before="0" w:beforeAutospacing="0" w:after="0" w:afterAutospacing="0" w:line="360" w:lineRule="auto"/>
        <w:ind w:firstLine="147"/>
        <w:jc w:val="both"/>
        <w:textAlignment w:val="baseline"/>
        <w:rPr>
          <w:rFonts w:hint="eastAsia" w:cs="宋体"/>
          <w:color w:val="auto"/>
        </w:rPr>
      </w:pPr>
      <w:r>
        <w:rPr>
          <w:rFonts w:hint="eastAsia" w:cs="宋体"/>
          <w:color w:val="auto"/>
          <w:lang w:bidi="ar"/>
        </w:rPr>
        <w:t>工单管理：主要对上述工单各自的流程中所有缓解的跟踪记录、处理流程、处理过程中对相关人员的通知等。</w:t>
      </w:r>
    </w:p>
    <w:p>
      <w:pPr>
        <w:pStyle w:val="32"/>
        <w:widowControl w:val="0"/>
        <w:numPr>
          <w:ilvl w:val="0"/>
          <w:numId w:val="16"/>
        </w:numPr>
        <w:adjustRightInd w:val="0"/>
        <w:spacing w:before="0" w:beforeAutospacing="0" w:after="0" w:afterAutospacing="0" w:line="360" w:lineRule="auto"/>
        <w:ind w:firstLine="147"/>
        <w:jc w:val="both"/>
        <w:textAlignment w:val="baseline"/>
        <w:rPr>
          <w:rFonts w:hint="eastAsia" w:cs="宋体"/>
          <w:color w:val="auto"/>
        </w:rPr>
      </w:pPr>
      <w:r>
        <w:rPr>
          <w:rFonts w:hint="eastAsia" w:cs="宋体"/>
          <w:color w:val="auto"/>
          <w:lang w:bidi="ar"/>
        </w:rPr>
        <w:t>跟踪记录：将工单中涉及的信息记录在数据库中，实现工单可跟踪可记录。</w:t>
      </w:r>
    </w:p>
    <w:p>
      <w:pPr>
        <w:pStyle w:val="32"/>
        <w:widowControl w:val="0"/>
        <w:numPr>
          <w:ilvl w:val="0"/>
          <w:numId w:val="16"/>
        </w:numPr>
        <w:adjustRightInd w:val="0"/>
        <w:spacing w:before="0" w:beforeAutospacing="0" w:after="0" w:afterAutospacing="0" w:line="360" w:lineRule="auto"/>
        <w:ind w:firstLine="147"/>
        <w:jc w:val="both"/>
        <w:textAlignment w:val="baseline"/>
        <w:rPr>
          <w:rFonts w:hint="eastAsia" w:cs="宋体"/>
          <w:color w:val="auto"/>
        </w:rPr>
      </w:pPr>
      <w:r>
        <w:rPr>
          <w:rFonts w:hint="eastAsia" w:cs="宋体"/>
          <w:color w:val="auto"/>
          <w:lang w:bidi="ar"/>
        </w:rPr>
        <w:t>考核评价：对工单受理人处理工单情况的考核评价。</w:t>
      </w:r>
    </w:p>
    <w:p>
      <w:pPr>
        <w:adjustRightInd w:val="0"/>
        <w:spacing w:line="360" w:lineRule="auto"/>
        <w:ind w:firstLine="482" w:firstLineChars="200"/>
        <w:textAlignment w:val="baseline"/>
        <w:rPr>
          <w:rFonts w:hint="eastAsia" w:ascii="宋体" w:hAnsi="宋体" w:cs="宋体"/>
          <w:sz w:val="24"/>
        </w:rPr>
      </w:pPr>
      <w:r>
        <w:rPr>
          <w:rFonts w:hint="eastAsia" w:ascii="宋体" w:hAnsi="宋体" w:cs="宋体"/>
          <w:b/>
          <w:kern w:val="0"/>
          <w:sz w:val="24"/>
          <w:lang w:bidi="ar"/>
        </w:rPr>
        <w:t>报表统计：</w:t>
      </w:r>
      <w:r>
        <w:rPr>
          <w:rFonts w:hint="eastAsia" w:ascii="宋体" w:hAnsi="宋体" w:cs="宋体"/>
          <w:kern w:val="0"/>
          <w:sz w:val="24"/>
          <w:lang w:bidi="ar"/>
        </w:rPr>
        <w:t>以工单处理模块中的数据作为基础，进行工单的查询、统计、报表工作。支持多种方式查询工单，如按照工单号、工单派发人、派发人信息、受理人信息、工单类型、工单状态、是否超时、级别等信息进行工单查询。另外，同时需要提供工单的统计、报表功能，用与对运维状态进行评估和掌握。</w:t>
      </w:r>
    </w:p>
    <w:p>
      <w:pPr>
        <w:adjustRightInd w:val="0"/>
        <w:spacing w:line="360" w:lineRule="auto"/>
        <w:ind w:firstLine="482" w:firstLineChars="200"/>
        <w:textAlignment w:val="baseline"/>
        <w:rPr>
          <w:rFonts w:hint="eastAsia" w:ascii="宋体" w:hAnsi="宋体" w:cs="宋体"/>
          <w:sz w:val="24"/>
        </w:rPr>
      </w:pPr>
      <w:r>
        <w:rPr>
          <w:rFonts w:hint="eastAsia" w:ascii="宋体" w:hAnsi="宋体" w:cs="宋体"/>
          <w:b/>
          <w:kern w:val="0"/>
          <w:sz w:val="24"/>
          <w:lang w:bidi="ar"/>
        </w:rPr>
        <w:t>点位管理：</w:t>
      </w:r>
      <w:r>
        <w:rPr>
          <w:rFonts w:hint="eastAsia" w:ascii="宋体" w:hAnsi="宋体" w:cs="宋体"/>
          <w:kern w:val="0"/>
          <w:sz w:val="24"/>
          <w:lang w:bidi="ar"/>
        </w:rPr>
        <w:t>基于一机一档管理及其他网站节点信息，主要维护点位名称、点位地址、点位联系人及联系方式等信息。目的是为了在派发工单时，可快速准确的设置工单受理人及其他信息。</w:t>
      </w:r>
    </w:p>
    <w:p>
      <w:pPr>
        <w:adjustRightInd w:val="0"/>
        <w:spacing w:line="360" w:lineRule="auto"/>
        <w:ind w:firstLine="482" w:firstLineChars="200"/>
        <w:textAlignment w:val="baseline"/>
        <w:rPr>
          <w:rFonts w:hint="eastAsia" w:ascii="宋体" w:hAnsi="宋体" w:cs="宋体"/>
          <w:sz w:val="24"/>
        </w:rPr>
      </w:pPr>
      <w:r>
        <w:rPr>
          <w:rFonts w:hint="eastAsia" w:ascii="宋体" w:hAnsi="宋体" w:cs="宋体"/>
          <w:b/>
          <w:kern w:val="0"/>
          <w:sz w:val="24"/>
          <w:lang w:bidi="ar"/>
        </w:rPr>
        <w:t>人员管理</w:t>
      </w:r>
      <w:r>
        <w:rPr>
          <w:rFonts w:hint="eastAsia" w:ascii="宋体" w:hAnsi="宋体" w:cs="宋体"/>
          <w:kern w:val="0"/>
          <w:sz w:val="24"/>
          <w:lang w:bidi="ar"/>
        </w:rPr>
        <w:t xml:space="preserve">：对整个工单管理系统用户的管理及权限分配，包含单位、部门、用户信息、角色权限等。 </w:t>
      </w:r>
    </w:p>
    <w:p>
      <w:pPr>
        <w:pStyle w:val="5"/>
        <w:numPr>
          <w:ilvl w:val="2"/>
          <w:numId w:val="3"/>
        </w:numPr>
        <w:spacing w:before="163" w:after="163"/>
        <w:rPr>
          <w:rFonts w:hint="eastAsia" w:ascii="宋体" w:hAnsi="宋体" w:cs="宋体"/>
          <w:szCs w:val="24"/>
        </w:rPr>
      </w:pPr>
      <w:bookmarkStart w:id="283" w:name="_Toc47900987"/>
      <w:bookmarkEnd w:id="283"/>
      <w:r>
        <w:rPr>
          <w:rFonts w:hint="eastAsia" w:ascii="宋体" w:hAnsi="宋体" w:cs="宋体"/>
          <w:szCs w:val="24"/>
        </w:rPr>
        <w:t>性能指标要求</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满足公安部视频图像考核管理办法，通过GB/T 28181与视频共享平台对接，支持5路并发，7秒单轮诊断，1小时可以进行2500路左右的视频图像诊断效率；当视频共享平台每增加5路并发，运维系统支持横向扩展能力，提升视频监测诊断的并发性。</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对操作系统、虚拟机、中间件、数据库等资源的监控性能，支持1000个资源每15秒采集100个指标。</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支持300条/秒告警处理能力。</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提供的系统被监控系统资源平均占用不超过被监控对象的3%；</w:t>
      </w:r>
    </w:p>
    <w:p>
      <w:pPr>
        <w:pStyle w:val="32"/>
        <w:widowControl w:val="0"/>
        <w:adjustRightInd w:val="0"/>
        <w:spacing w:before="0" w:beforeAutospacing="0" w:after="0" w:afterAutospacing="0" w:line="360" w:lineRule="auto"/>
        <w:ind w:firstLine="480" w:firstLineChars="200"/>
        <w:jc w:val="both"/>
        <w:textAlignment w:val="baseline"/>
        <w:rPr>
          <w:rFonts w:hint="eastAsia" w:cs="宋体"/>
          <w:color w:val="auto"/>
        </w:rPr>
      </w:pPr>
      <w:r>
        <w:rPr>
          <w:rFonts w:hint="eastAsia" w:cs="宋体"/>
          <w:color w:val="auto"/>
          <w:lang w:bidi="ar"/>
        </w:rPr>
        <w:t xml:space="preserve">为了使数据不会无限量的增加，系统需提供配置数据保存时间的平台，从而定期删除已过期的数据。在硬盘足够的情况下，性能原始数据在系统中存储≥2个月；告警原始数据在系统中存储≥1年；经系统处理后的报表数据、分析数据在系统中存储≥2年。 </w:t>
      </w:r>
    </w:p>
    <w:p>
      <w:pPr>
        <w:pStyle w:val="4"/>
        <w:keepNext w:val="0"/>
        <w:keepLines w:val="0"/>
        <w:widowControl/>
        <w:numPr>
          <w:ilvl w:val="1"/>
          <w:numId w:val="3"/>
        </w:numPr>
        <w:rPr>
          <w:rFonts w:hint="eastAsia" w:ascii="宋体" w:hAnsi="宋体" w:eastAsia="宋体" w:cs="宋体"/>
          <w:sz w:val="24"/>
          <w:szCs w:val="24"/>
        </w:rPr>
      </w:pPr>
      <w:bookmarkStart w:id="284" w:name="_Toc501911739"/>
      <w:bookmarkEnd w:id="284"/>
      <w:bookmarkStart w:id="285" w:name="_Toc481948804"/>
      <w:bookmarkEnd w:id="285"/>
      <w:bookmarkStart w:id="286" w:name="_Toc47900988"/>
      <w:r>
        <w:rPr>
          <w:rFonts w:hint="eastAsia" w:ascii="宋体" w:hAnsi="宋体" w:eastAsia="宋体" w:cs="宋体"/>
          <w:sz w:val="24"/>
          <w:szCs w:val="24"/>
        </w:rPr>
        <w:t>运营维护</w:t>
      </w:r>
      <w:bookmarkEnd w:id="286"/>
      <w:r>
        <w:rPr>
          <w:rFonts w:hint="eastAsia" w:ascii="宋体" w:hAnsi="宋体" w:eastAsia="宋体" w:cs="宋体"/>
          <w:sz w:val="24"/>
          <w:szCs w:val="24"/>
        </w:rPr>
        <w:t>服务要求</w:t>
      </w:r>
    </w:p>
    <w:p>
      <w:pPr>
        <w:adjustRightInd w:val="0"/>
        <w:spacing w:line="360" w:lineRule="auto"/>
        <w:ind w:firstLine="439" w:firstLineChars="183"/>
        <w:textAlignment w:val="baseline"/>
        <w:rPr>
          <w:rFonts w:hint="eastAsia" w:ascii="宋体" w:hAnsi="宋体" w:cs="宋体"/>
          <w:sz w:val="24"/>
        </w:rPr>
      </w:pPr>
      <w:r>
        <w:rPr>
          <w:rFonts w:hint="eastAsia" w:ascii="宋体" w:hAnsi="宋体" w:cs="宋体"/>
          <w:kern w:val="0"/>
          <w:sz w:val="24"/>
          <w:lang w:bidi="ar"/>
        </w:rPr>
        <w:t>在完成运营服务内容要求基础上，为保障集聚区分局“雪亮工程”运营目标，需实现以下服务要求。</w:t>
      </w:r>
    </w:p>
    <w:p>
      <w:pPr>
        <w:pStyle w:val="5"/>
        <w:numPr>
          <w:ilvl w:val="2"/>
          <w:numId w:val="3"/>
        </w:numPr>
        <w:spacing w:before="163" w:after="163"/>
        <w:rPr>
          <w:rFonts w:hint="eastAsia" w:ascii="宋体" w:hAnsi="宋体" w:cs="宋体"/>
          <w:szCs w:val="24"/>
        </w:rPr>
      </w:pPr>
      <w:bookmarkStart w:id="287" w:name="_Toc47900989"/>
      <w:bookmarkEnd w:id="287"/>
      <w:bookmarkStart w:id="288" w:name="_Toc11585"/>
      <w:bookmarkEnd w:id="288"/>
      <w:bookmarkStart w:id="289" w:name="_Toc481755486"/>
      <w:r>
        <w:rPr>
          <w:rFonts w:hint="eastAsia" w:ascii="宋体" w:hAnsi="宋体" w:cs="宋体"/>
          <w:szCs w:val="24"/>
        </w:rPr>
        <w:t>系统免费运营保修服务</w:t>
      </w:r>
      <w:bookmarkEnd w:id="289"/>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在维护期范围内，“雪亮工程”的货物（包括设备、材料及应用服务）出现损坏、故障、丢失等，均由运维中心负责维修与更换，维修或更换后达到使用要求效果。在系统安装调试完成后，一旦发现设备性能无法达到系统设计要求或者设备总体指标虽然达到设计要求，但与系统存在兼容问题，从而影响系统总体性能，立即将情况向业主单位汇报，经确认并同意后，对问题设备免费更换。</w:t>
      </w:r>
    </w:p>
    <w:p>
      <w:pPr>
        <w:pStyle w:val="5"/>
        <w:numPr>
          <w:ilvl w:val="2"/>
          <w:numId w:val="3"/>
        </w:numPr>
        <w:spacing w:before="163" w:after="163"/>
        <w:rPr>
          <w:rFonts w:hint="eastAsia" w:ascii="宋体" w:hAnsi="宋体" w:cs="宋体"/>
          <w:szCs w:val="24"/>
        </w:rPr>
      </w:pPr>
      <w:bookmarkStart w:id="290" w:name="_Toc481755487"/>
      <w:bookmarkEnd w:id="290"/>
      <w:bookmarkStart w:id="291" w:name="_Toc32475"/>
      <w:bookmarkEnd w:id="291"/>
      <w:bookmarkStart w:id="292" w:name="_Toc47900990"/>
      <w:r>
        <w:rPr>
          <w:rFonts w:hint="eastAsia" w:ascii="宋体" w:hAnsi="宋体" w:cs="宋体"/>
          <w:szCs w:val="24"/>
        </w:rPr>
        <w:t>7×24小时运营保障服务</w:t>
      </w:r>
      <w:bookmarkEnd w:id="292"/>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7*24小时维护升级服务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质保期内提供7*24小时维护、升级服务，对故障在60分钟内响应，60分钟以内到现场，6小时以内解决问题，不能解决的提供备品备件；逾期未作出响应，需承担由于故障所造成的全部直接损失。但由于自然灾害、不可抗力和人为等引起的点位故障，由维护方提交申请，经业主单位确认后，可酌情延长修复时限。</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系统升级</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因技术的升级或新一代产品的面世，对原应用软件功能或性能有极大的提高，需根据业主单位的需要，对业主单位的应用软件、系统或所开发的其它软件的更新，同时也满足业主单位对硬件设备的升级。</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应用软件的再开发</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针对业主单位在使用过程中因业务扩展、变更或延伸所带来的对应软件功能的不满足而进行的软件功能的再开发，以使软件的功能始终满足业主单位的业务不断发展的需要，同时也使建设单位的早期投资得以保护。</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系统的保养、维护</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每半年为一个保养周期，对前端外场设备给予清尘、清洁和检查。应及时发现设备故障、隐患并及时处理解决，把故障清除在萌芽状态。避免扩大故障范围。保养周期内要对设备的主要系统进行必要的保养，并做好保养、维护的记录。</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性能测试服务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每三个月为一周期，对各类电器设备进行检测、并做好参数记录。在每年的3月份雷雨季节来临前，着重对所有监控点的接地电阻进行测试和数据记录，并检查所有的监控点的避雷是否正常。对测试后数据达不到要求的点采用增加接地桩等措施解决，以减小接地电阻。并更换被雷击穿的避雷器。同时，检查各接地线是否正常。以保证在雷雨季节避雷器被击而造成设备损坏。依据接地电阻测试要求，对接地电阻六个月为一测试周期。</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立杆、机柜的保养服务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立杆、机柜因均为外露设备，常年受日晒雨淋，容易造成油漆脱落，出现锈铁，影响了美观，减少了使用寿命。方在日常巡检过程中，如出现有生锈的情况，则及时进行除锈油漆处理。</w:t>
      </w:r>
    </w:p>
    <w:p>
      <w:pPr>
        <w:pStyle w:val="5"/>
        <w:numPr>
          <w:ilvl w:val="2"/>
          <w:numId w:val="3"/>
        </w:numPr>
        <w:spacing w:before="163" w:after="163"/>
        <w:rPr>
          <w:rFonts w:hint="eastAsia" w:ascii="宋体" w:hAnsi="宋体" w:cs="宋体"/>
          <w:szCs w:val="24"/>
        </w:rPr>
      </w:pPr>
      <w:bookmarkStart w:id="293" w:name="_Toc481755488"/>
      <w:bookmarkEnd w:id="293"/>
      <w:bookmarkStart w:id="294" w:name="_Toc47900991"/>
      <w:r>
        <w:rPr>
          <w:rFonts w:hint="eastAsia" w:ascii="宋体" w:hAnsi="宋体" w:cs="宋体"/>
          <w:szCs w:val="24"/>
        </w:rPr>
        <w:t>系统的巡检保障服务</w:t>
      </w:r>
      <w:bookmarkEnd w:id="294"/>
    </w:p>
    <w:p>
      <w:pPr>
        <w:adjustRightInd w:val="0"/>
        <w:spacing w:line="360" w:lineRule="auto"/>
        <w:ind w:firstLine="482" w:firstLineChars="200"/>
        <w:textAlignment w:val="baseline"/>
        <w:rPr>
          <w:rFonts w:hint="eastAsia" w:ascii="宋体" w:hAnsi="宋体" w:cs="宋体"/>
          <w:b/>
          <w:sz w:val="24"/>
        </w:rPr>
      </w:pPr>
      <w:bookmarkStart w:id="295" w:name="_Toc401586529"/>
      <w:bookmarkEnd w:id="295"/>
      <w:bookmarkStart w:id="296" w:name="_Toc228425346"/>
      <w:bookmarkEnd w:id="296"/>
      <w:bookmarkStart w:id="297" w:name="_Toc362105223"/>
      <w:bookmarkEnd w:id="297"/>
      <w:bookmarkStart w:id="298" w:name="_Toc268651141"/>
      <w:bookmarkEnd w:id="298"/>
      <w:bookmarkStart w:id="299" w:name="_Toc268551473"/>
      <w:bookmarkEnd w:id="299"/>
      <w:bookmarkStart w:id="300" w:name="_Toc233119866"/>
      <w:bookmarkEnd w:id="300"/>
      <w:bookmarkStart w:id="301" w:name="_Toc345357483"/>
      <w:bookmarkEnd w:id="301"/>
      <w:bookmarkStart w:id="302" w:name="_Toc228327082"/>
      <w:r>
        <w:rPr>
          <w:rFonts w:hint="eastAsia" w:ascii="宋体" w:hAnsi="宋体" w:cs="宋体"/>
          <w:b/>
          <w:kern w:val="0"/>
          <w:sz w:val="24"/>
          <w:lang w:bidi="ar"/>
        </w:rPr>
        <w:t>前端点位定期巡检</w:t>
      </w:r>
      <w:bookmarkEnd w:id="302"/>
      <w:r>
        <w:rPr>
          <w:rFonts w:hint="eastAsia" w:ascii="宋体" w:hAnsi="宋体" w:cs="宋体"/>
          <w:b/>
          <w:kern w:val="0"/>
          <w:sz w:val="24"/>
          <w:lang w:bidi="ar"/>
        </w:rPr>
        <w:t>服务</w:t>
      </w:r>
    </w:p>
    <w:p>
      <w:pPr>
        <w:widowControl/>
        <w:adjustRightInd w:val="0"/>
        <w:snapToGrid w:val="0"/>
        <w:spacing w:line="360" w:lineRule="auto"/>
        <w:ind w:firstLine="480" w:firstLineChars="200"/>
        <w:jc w:val="left"/>
        <w:textAlignment w:val="baseline"/>
        <w:rPr>
          <w:rFonts w:hint="eastAsia" w:ascii="宋体" w:hAnsi="宋体" w:cs="宋体"/>
          <w:sz w:val="24"/>
        </w:rPr>
      </w:pPr>
      <w:r>
        <w:rPr>
          <w:rFonts w:hint="eastAsia" w:ascii="宋体" w:hAnsi="宋体" w:cs="宋体"/>
          <w:kern w:val="0"/>
          <w:sz w:val="24"/>
          <w:lang w:bidi="ar"/>
        </w:rPr>
        <w:t>每半年对每个项目前端点位和中心设备进行一次巡检。主要查看基础设施（基础、立杆、控制柜等），控制设备等有无遭到损坏（被车磕、撞、碰、绊等）和人为破坏（被撬、砸、拆、偷）以及是否整洁。并作好巡检记录。如有发现损坏和破坏的则及时予以修复，不能修复的则予以更换，报业主单位进行确认后再实施。</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图像质量的巡检服务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一二类点位图像质量及卡口抓拍图片效果每天巡检2次，对巡检情况作好记录，并将情况及时反馈给维修组，由维修人员及时处理。并每天主动反馈至业主单位。</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机房及网络系统巡检服务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每天对机房及网络和系统平台进行巡检，对巡检情况作好记录，每日报送维护主管及业主单位代表。</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运营质量定期总结与检查</w:t>
      </w:r>
    </w:p>
    <w:p>
      <w:pPr>
        <w:widowControl/>
        <w:adjustRightInd w:val="0"/>
        <w:spacing w:line="360" w:lineRule="auto"/>
        <w:ind w:firstLine="480" w:firstLineChars="200"/>
        <w:jc w:val="left"/>
        <w:textAlignment w:val="baseline"/>
        <w:rPr>
          <w:rFonts w:hint="eastAsia" w:ascii="宋体" w:hAnsi="宋体" w:cs="宋体"/>
          <w:sz w:val="24"/>
        </w:rPr>
      </w:pPr>
      <w:r>
        <w:rPr>
          <w:rFonts w:hint="eastAsia" w:ascii="宋体" w:hAnsi="宋体" w:cs="宋体"/>
          <w:kern w:val="0"/>
          <w:sz w:val="24"/>
          <w:lang w:bidi="ar"/>
        </w:rPr>
        <w:t>每季度组织视频专家并邀请业主单位代表共同组建运营质量检查小组，对本季度的运营质量进行总结与检查。</w:t>
      </w:r>
    </w:p>
    <w:p>
      <w:pPr>
        <w:pStyle w:val="5"/>
        <w:numPr>
          <w:ilvl w:val="2"/>
          <w:numId w:val="3"/>
        </w:numPr>
        <w:spacing w:before="163" w:after="163"/>
        <w:rPr>
          <w:rFonts w:hint="eastAsia" w:ascii="宋体" w:hAnsi="宋体" w:cs="宋体"/>
          <w:szCs w:val="24"/>
        </w:rPr>
      </w:pPr>
      <w:bookmarkStart w:id="303" w:name="_Toc47900992"/>
      <w:bookmarkEnd w:id="303"/>
      <w:bookmarkStart w:id="304" w:name="_Toc481755489"/>
      <w:r>
        <w:rPr>
          <w:rFonts w:hint="eastAsia" w:ascii="宋体" w:hAnsi="宋体" w:cs="宋体"/>
          <w:szCs w:val="24"/>
        </w:rPr>
        <w:t>突发事件应急抢修服务</w:t>
      </w:r>
      <w:bookmarkEnd w:id="304"/>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前端杆件或者光缆遭外力破坏，主动巡检发现或者接到报障电话后，第一时间报警并联系保险公司，对被破坏的杆件进行定损索赔，同时调用备品备件库中的杆件或光缆资源进行第一时间恢复。</w:t>
      </w:r>
    </w:p>
    <w:p>
      <w:pPr>
        <w:pStyle w:val="5"/>
        <w:numPr>
          <w:ilvl w:val="2"/>
          <w:numId w:val="3"/>
        </w:numPr>
        <w:spacing w:before="163" w:after="163"/>
        <w:rPr>
          <w:rFonts w:hint="eastAsia" w:ascii="宋体" w:hAnsi="宋体" w:cs="宋体"/>
          <w:szCs w:val="24"/>
        </w:rPr>
      </w:pPr>
      <w:bookmarkStart w:id="305" w:name="_Toc481755490"/>
      <w:bookmarkEnd w:id="305"/>
      <w:bookmarkStart w:id="306" w:name="_Toc19065"/>
      <w:bookmarkEnd w:id="306"/>
      <w:bookmarkStart w:id="307" w:name="_Toc47900993"/>
      <w:r>
        <w:rPr>
          <w:rFonts w:hint="eastAsia" w:ascii="宋体" w:hAnsi="宋体" w:cs="宋体"/>
          <w:szCs w:val="24"/>
        </w:rPr>
        <w:t>信息安全保密服务</w:t>
      </w:r>
      <w:bookmarkEnd w:id="307"/>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在本系统建设和运营期内，对本系统涉及的内容进行保密。共享共用，保守秘密。双方应共同创造条件，实现系统的共享共用，保证系统的安全，不泄露政府秘密、商业秘密以及公民隐私等。</w:t>
      </w:r>
    </w:p>
    <w:p>
      <w:pPr>
        <w:pStyle w:val="5"/>
        <w:numPr>
          <w:ilvl w:val="2"/>
          <w:numId w:val="3"/>
        </w:numPr>
        <w:spacing w:before="163" w:after="163"/>
        <w:rPr>
          <w:rFonts w:hint="eastAsia" w:ascii="宋体" w:hAnsi="宋体" w:cs="宋体"/>
          <w:szCs w:val="24"/>
        </w:rPr>
      </w:pPr>
      <w:bookmarkStart w:id="308" w:name="_Toc481755491"/>
      <w:bookmarkEnd w:id="308"/>
      <w:bookmarkStart w:id="309" w:name="_Toc18488"/>
      <w:bookmarkEnd w:id="309"/>
      <w:bookmarkStart w:id="310" w:name="_Toc47900994"/>
      <w:r>
        <w:rPr>
          <w:rFonts w:hint="eastAsia" w:ascii="宋体" w:hAnsi="宋体" w:cs="宋体"/>
          <w:szCs w:val="24"/>
        </w:rPr>
        <w:t>重大事件保障服务</w:t>
      </w:r>
      <w:bookmarkEnd w:id="310"/>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在面临重大事件，如大型会议、灾害等重大活动和重要公众事件及需要实施进行重点保障举措时，将根据业主单位要求对其进行相关的服务。此服务视同主动巡检服务。在重点保障时期，需承诺调动所有售后服务团队成员进行保障，进入重要客户重点保障特殊时期。</w:t>
      </w:r>
    </w:p>
    <w:p>
      <w:pPr>
        <w:pStyle w:val="5"/>
        <w:numPr>
          <w:ilvl w:val="2"/>
          <w:numId w:val="3"/>
        </w:numPr>
        <w:spacing w:before="163" w:after="163"/>
        <w:rPr>
          <w:rFonts w:hint="eastAsia" w:ascii="宋体" w:hAnsi="宋体" w:cs="宋体"/>
          <w:szCs w:val="24"/>
        </w:rPr>
      </w:pPr>
      <w:bookmarkStart w:id="311" w:name="_Toc481755492"/>
      <w:bookmarkEnd w:id="311"/>
      <w:bookmarkStart w:id="312" w:name="_Toc8923"/>
      <w:bookmarkEnd w:id="312"/>
      <w:bookmarkStart w:id="313" w:name="_Toc47900995"/>
      <w:r>
        <w:rPr>
          <w:rFonts w:hint="eastAsia" w:ascii="宋体" w:hAnsi="宋体" w:cs="宋体"/>
          <w:szCs w:val="24"/>
        </w:rPr>
        <w:t>定期周报、月报、年度运行分析报告服务</w:t>
      </w:r>
      <w:bookmarkEnd w:id="313"/>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为了更好的跟业主单位沟通，让业主单位及时了解系统运行情况，提升运营质量，定期进行总结。运维中心在维护期内每周向业主单位提供周报，每月向业主单位提供月报，每年向业主单位提供年度运行分析报告。</w:t>
      </w:r>
    </w:p>
    <w:p>
      <w:pPr>
        <w:pStyle w:val="4"/>
        <w:keepNext w:val="0"/>
        <w:keepLines w:val="0"/>
        <w:widowControl/>
        <w:numPr>
          <w:ilvl w:val="1"/>
          <w:numId w:val="3"/>
        </w:numPr>
        <w:rPr>
          <w:rFonts w:hint="eastAsia" w:ascii="宋体" w:hAnsi="宋体" w:eastAsia="宋体" w:cs="宋体"/>
          <w:sz w:val="24"/>
          <w:szCs w:val="24"/>
        </w:rPr>
      </w:pPr>
      <w:bookmarkStart w:id="314" w:name="_Toc501911740"/>
      <w:bookmarkEnd w:id="314"/>
      <w:bookmarkStart w:id="315" w:name="_Toc481755495"/>
      <w:bookmarkEnd w:id="315"/>
      <w:bookmarkStart w:id="316" w:name="_Toc481827627"/>
      <w:bookmarkEnd w:id="316"/>
      <w:bookmarkStart w:id="317" w:name="_Toc481948805"/>
      <w:bookmarkEnd w:id="317"/>
      <w:bookmarkStart w:id="318" w:name="_Toc47900996"/>
      <w:r>
        <w:rPr>
          <w:rFonts w:hint="eastAsia" w:ascii="宋体" w:hAnsi="宋体" w:eastAsia="宋体" w:cs="宋体"/>
          <w:sz w:val="24"/>
          <w:szCs w:val="24"/>
        </w:rPr>
        <w:t>运营维护故障处理</w:t>
      </w:r>
      <w:bookmarkEnd w:id="318"/>
    </w:p>
    <w:p>
      <w:pPr>
        <w:pStyle w:val="5"/>
        <w:numPr>
          <w:ilvl w:val="2"/>
          <w:numId w:val="3"/>
        </w:numPr>
        <w:spacing w:before="163" w:after="163"/>
        <w:rPr>
          <w:rFonts w:hint="eastAsia" w:ascii="宋体" w:hAnsi="宋体" w:cs="宋体"/>
          <w:szCs w:val="24"/>
        </w:rPr>
      </w:pPr>
      <w:bookmarkStart w:id="319" w:name="_Toc481755496"/>
      <w:bookmarkEnd w:id="319"/>
      <w:bookmarkStart w:id="320" w:name="_Toc47900997"/>
      <w:r>
        <w:rPr>
          <w:rFonts w:hint="eastAsia" w:ascii="宋体" w:hAnsi="宋体" w:cs="宋体"/>
          <w:szCs w:val="24"/>
        </w:rPr>
        <w:t>故障抢修时限</w:t>
      </w:r>
      <w:bookmarkEnd w:id="320"/>
    </w:p>
    <w:p>
      <w:pPr>
        <w:widowControl/>
        <w:adjustRightInd w:val="0"/>
        <w:spacing w:line="360" w:lineRule="auto"/>
        <w:ind w:firstLine="480" w:firstLineChars="200"/>
        <w:textAlignment w:val="baseline"/>
        <w:rPr>
          <w:rFonts w:hint="eastAsia" w:ascii="宋体" w:hAnsi="宋体" w:cs="宋体"/>
          <w:sz w:val="24"/>
        </w:rPr>
      </w:pPr>
      <w:bookmarkStart w:id="321" w:name="_Toc196884823"/>
      <w:bookmarkEnd w:id="321"/>
      <w:bookmarkStart w:id="322" w:name="_Toc241549076"/>
      <w:r>
        <w:rPr>
          <w:rFonts w:hint="eastAsia" w:ascii="宋体" w:hAnsi="宋体" w:cs="宋体"/>
          <w:kern w:val="0"/>
          <w:sz w:val="24"/>
          <w:lang w:bidi="ar"/>
        </w:rPr>
        <w:t>故障分主动巡检发现的故障和业主报修的故障两种，维护人员在收到报障后：</w:t>
      </w:r>
      <w:bookmarkEnd w:id="322"/>
    </w:p>
    <w:p>
      <w:pPr>
        <w:widowControl/>
        <w:adjustRightInd w:val="0"/>
        <w:spacing w:line="360" w:lineRule="auto"/>
        <w:ind w:firstLine="480" w:firstLineChars="200"/>
        <w:jc w:val="left"/>
        <w:textAlignment w:val="baseline"/>
        <w:rPr>
          <w:rFonts w:hint="eastAsia" w:ascii="宋体" w:hAnsi="宋体" w:cs="宋体"/>
          <w:sz w:val="24"/>
        </w:rPr>
      </w:pPr>
      <w:r>
        <w:rPr>
          <w:rFonts w:hint="eastAsia" w:ascii="宋体" w:hAnsi="宋体" w:cs="宋体"/>
          <w:kern w:val="0"/>
          <w:sz w:val="24"/>
          <w:lang w:bidi="ar"/>
        </w:rPr>
        <w:t>（1）接报人员在接报后10分钟完成报修设备信息的填写书面报修记录单，并录入相关管理系统，进行全程管控；</w:t>
      </w:r>
    </w:p>
    <w:p>
      <w:pPr>
        <w:widowControl/>
        <w:adjustRightInd w:val="0"/>
        <w:spacing w:line="360" w:lineRule="auto"/>
        <w:ind w:firstLine="480" w:firstLineChars="200"/>
        <w:jc w:val="left"/>
        <w:textAlignment w:val="baseline"/>
        <w:rPr>
          <w:rFonts w:hint="eastAsia" w:ascii="宋体" w:hAnsi="宋体" w:cs="宋体"/>
          <w:sz w:val="24"/>
        </w:rPr>
      </w:pPr>
      <w:r>
        <w:rPr>
          <w:rFonts w:hint="eastAsia" w:ascii="宋体" w:hAnsi="宋体" w:cs="宋体"/>
          <w:kern w:val="0"/>
          <w:sz w:val="24"/>
          <w:lang w:bidi="ar"/>
        </w:rPr>
        <w:t xml:space="preserve">（2）现场人员必须5分钟内安排维修人员； </w:t>
      </w:r>
    </w:p>
    <w:p>
      <w:pPr>
        <w:widowControl/>
        <w:adjustRightInd w:val="0"/>
        <w:spacing w:line="360" w:lineRule="auto"/>
        <w:ind w:firstLine="480" w:firstLineChars="200"/>
        <w:jc w:val="left"/>
        <w:textAlignment w:val="baseline"/>
        <w:rPr>
          <w:rFonts w:hint="eastAsia" w:ascii="宋体" w:hAnsi="宋体" w:cs="宋体"/>
          <w:sz w:val="24"/>
        </w:rPr>
      </w:pPr>
      <w:r>
        <w:rPr>
          <w:rFonts w:hint="eastAsia" w:ascii="宋体" w:hAnsi="宋体" w:cs="宋体"/>
          <w:kern w:val="0"/>
          <w:sz w:val="24"/>
          <w:lang w:bidi="ar"/>
        </w:rPr>
        <w:t>（3）现场人员在安排维修人员1小时内必须联系一次维修人员直到确认维修人员到达现场；</w:t>
      </w:r>
    </w:p>
    <w:p>
      <w:pPr>
        <w:widowControl/>
        <w:adjustRightInd w:val="0"/>
        <w:spacing w:line="360" w:lineRule="auto"/>
        <w:ind w:firstLine="480" w:firstLineChars="200"/>
        <w:jc w:val="left"/>
        <w:textAlignment w:val="baseline"/>
        <w:rPr>
          <w:rFonts w:hint="eastAsia" w:ascii="宋体" w:hAnsi="宋体" w:cs="宋体"/>
          <w:sz w:val="24"/>
        </w:rPr>
      </w:pPr>
      <w:r>
        <w:rPr>
          <w:rFonts w:hint="eastAsia" w:ascii="宋体" w:hAnsi="宋体" w:cs="宋体"/>
          <w:kern w:val="0"/>
          <w:sz w:val="24"/>
          <w:lang w:bidi="ar"/>
        </w:rPr>
        <w:t>（4）维修人员完成维修后，常驻公安维护人员须1小时内与业主单位确认故障修复情况。</w:t>
      </w:r>
    </w:p>
    <w:p>
      <w:pPr>
        <w:widowControl/>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前端单点故障修复时间早上8时至晚上20时，修复时限为6小时。晚上20时至次日早上8时，修复时限为12小时。</w:t>
      </w:r>
    </w:p>
    <w:p>
      <w:pPr>
        <w:widowControl/>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由于自然灾害、不可抗力和人为等引起的点位故障以及</w:t>
      </w:r>
      <w:r>
        <w:rPr>
          <w:rFonts w:hint="eastAsia" w:ascii="宋体" w:hAnsi="宋体" w:cs="宋体"/>
          <w:b/>
          <w:kern w:val="0"/>
          <w:sz w:val="24"/>
          <w:lang w:bidi="ar"/>
        </w:rPr>
        <w:t>维修不便</w:t>
      </w:r>
      <w:r>
        <w:rPr>
          <w:rFonts w:hint="eastAsia" w:ascii="宋体" w:hAnsi="宋体" w:cs="宋体"/>
          <w:kern w:val="0"/>
          <w:sz w:val="24"/>
          <w:lang w:bidi="ar"/>
        </w:rPr>
        <w:t>，由维护方提交申请，经业主单位视频中心确认后，可酌情延长修复时限。（包括：外界干扰（含单位或个人刻意阻扰故障抢修、施工造成的点位故障不能及时修复情况）、交通事故、断电/停电（含电力部门正常停电及由电力部门施工、抢修造成的点位故障不能及时修复的情况）、其他单位施工造成的点位故障、雷击、透水、火灾、台风、鼠害等）。</w:t>
      </w:r>
    </w:p>
    <w:p>
      <w:pPr>
        <w:pStyle w:val="5"/>
        <w:numPr>
          <w:ilvl w:val="2"/>
          <w:numId w:val="3"/>
        </w:numPr>
        <w:spacing w:before="163" w:after="163"/>
        <w:rPr>
          <w:rFonts w:hint="eastAsia" w:ascii="宋体" w:hAnsi="宋体" w:cs="宋体"/>
          <w:szCs w:val="24"/>
        </w:rPr>
      </w:pPr>
      <w:bookmarkStart w:id="323" w:name="_Toc47900998"/>
      <w:bookmarkEnd w:id="323"/>
      <w:bookmarkStart w:id="324" w:name="_Toc481755497"/>
      <w:r>
        <w:rPr>
          <w:rFonts w:hint="eastAsia" w:ascii="宋体" w:hAnsi="宋体" w:cs="宋体"/>
          <w:szCs w:val="24"/>
        </w:rPr>
        <w:t>故障抢修流程</w:t>
      </w:r>
      <w:bookmarkEnd w:id="324"/>
    </w:p>
    <w:p>
      <w:pPr>
        <w:widowControl/>
        <w:adjustRightInd w:val="0"/>
        <w:spacing w:line="360" w:lineRule="auto"/>
        <w:ind w:firstLine="480" w:firstLineChars="200"/>
        <w:jc w:val="left"/>
        <w:textAlignment w:val="baseline"/>
        <w:rPr>
          <w:rFonts w:hint="eastAsia" w:ascii="宋体" w:hAnsi="宋体" w:cs="宋体"/>
          <w:sz w:val="24"/>
        </w:rPr>
      </w:pPr>
      <w:r>
        <w:rPr>
          <w:kern w:val="0"/>
          <w:sz w:val="24"/>
          <w:lang w:bidi="ar"/>
        </w:rPr>
        <w:drawing>
          <wp:inline distT="0" distB="0" distL="114300" distR="114300">
            <wp:extent cx="4953000" cy="6772275"/>
            <wp:effectExtent l="0" t="0" r="0" b="9525"/>
            <wp:docPr id="25" name="图片 96"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6" descr="IMG_279"/>
                    <pic:cNvPicPr>
                      <a:picLocks noChangeAspect="1"/>
                    </pic:cNvPicPr>
                  </pic:nvPicPr>
                  <pic:blipFill>
                    <a:blip r:embed="rId32"/>
                    <a:stretch>
                      <a:fillRect/>
                    </a:stretch>
                  </pic:blipFill>
                  <pic:spPr>
                    <a:xfrm>
                      <a:off x="0" y="0"/>
                      <a:ext cx="4953000" cy="6772275"/>
                    </a:xfrm>
                    <a:prstGeom prst="rect">
                      <a:avLst/>
                    </a:prstGeom>
                    <a:noFill/>
                    <a:ln>
                      <a:noFill/>
                    </a:ln>
                  </pic:spPr>
                </pic:pic>
              </a:graphicData>
            </a:graphic>
          </wp:inline>
        </w:drawing>
      </w:r>
      <w:r>
        <w:rPr>
          <w:rFonts w:hint="eastAsia" w:ascii="宋体" w:hAnsi="宋体" w:cs="宋体"/>
          <w:kern w:val="0"/>
          <w:sz w:val="24"/>
          <w:lang w:bidi="ar"/>
        </w:rPr>
        <w:t xml:space="preserve"> </w:t>
      </w:r>
    </w:p>
    <w:p>
      <w:pPr>
        <w:pStyle w:val="5"/>
        <w:numPr>
          <w:ilvl w:val="2"/>
          <w:numId w:val="3"/>
        </w:numPr>
        <w:spacing w:before="163" w:after="163"/>
        <w:rPr>
          <w:rFonts w:hint="eastAsia" w:ascii="宋体" w:hAnsi="宋体" w:cs="宋体"/>
          <w:szCs w:val="24"/>
        </w:rPr>
      </w:pPr>
      <w:bookmarkStart w:id="325" w:name="_Toc437711532"/>
      <w:bookmarkEnd w:id="325"/>
      <w:r>
        <w:fldChar w:fldCharType="begin"/>
      </w:r>
      <w:r>
        <w:instrText xml:space="preserve"> HYPERLINK "" \l "_Toc364702324" </w:instrText>
      </w:r>
      <w:r>
        <w:fldChar w:fldCharType="separate"/>
      </w:r>
      <w:r>
        <w:rPr>
          <w:rStyle w:val="43"/>
          <w:rFonts w:hint="eastAsia" w:ascii="宋体" w:hAnsi="宋体" w:cs="宋体"/>
          <w:color w:val="auto"/>
          <w:szCs w:val="24"/>
        </w:rPr>
        <w:t>故障报告方案</w:t>
      </w:r>
      <w:r>
        <w:fldChar w:fldCharType="end"/>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重大故障处理完毕后，在1个工作日内向业主单位提供故障处理报告，报障投诉负责人对故障处理结果及故障报告内容确认并签字后，方可关闭故障工单。</w:t>
      </w:r>
    </w:p>
    <w:p>
      <w:pPr>
        <w:pStyle w:val="5"/>
        <w:numPr>
          <w:ilvl w:val="2"/>
          <w:numId w:val="3"/>
        </w:numPr>
        <w:spacing w:before="163" w:after="163"/>
        <w:rPr>
          <w:rFonts w:hint="eastAsia" w:ascii="宋体" w:hAnsi="宋体" w:cs="宋体"/>
          <w:szCs w:val="24"/>
        </w:rPr>
      </w:pPr>
      <w:bookmarkStart w:id="326" w:name="_Toc47901000"/>
      <w:bookmarkEnd w:id="326"/>
      <w:r>
        <w:rPr>
          <w:rFonts w:hint="eastAsia" w:ascii="宋体" w:hAnsi="宋体" w:cs="宋体"/>
          <w:szCs w:val="24"/>
        </w:rPr>
        <w:t>故障升级</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按以下流程来处理特殊故障,在故障处理的每个环节都将进度反馈给业主单位。</w:t>
      </w:r>
    </w:p>
    <w:p>
      <w:pPr>
        <w:widowControl/>
        <w:adjustRightInd w:val="0"/>
        <w:spacing w:line="360" w:lineRule="auto"/>
        <w:ind w:firstLine="480" w:firstLineChars="200"/>
        <w:jc w:val="left"/>
        <w:textAlignment w:val="baseline"/>
        <w:rPr>
          <w:rFonts w:hint="eastAsia" w:ascii="宋体" w:hAnsi="宋体" w:cs="宋体"/>
          <w:sz w:val="24"/>
        </w:rPr>
      </w:pPr>
      <w:r>
        <w:rPr>
          <w:kern w:val="0"/>
          <w:sz w:val="24"/>
          <w:lang w:bidi="ar"/>
        </w:rPr>
        <w:drawing>
          <wp:inline distT="0" distB="0" distL="114300" distR="114300">
            <wp:extent cx="4905375" cy="3000375"/>
            <wp:effectExtent l="0" t="0" r="9525" b="9525"/>
            <wp:docPr id="26" name="图片 97"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7" descr="IMG_280"/>
                    <pic:cNvPicPr>
                      <a:picLocks noChangeAspect="1"/>
                    </pic:cNvPicPr>
                  </pic:nvPicPr>
                  <pic:blipFill>
                    <a:blip r:embed="rId33"/>
                    <a:stretch>
                      <a:fillRect/>
                    </a:stretch>
                  </pic:blipFill>
                  <pic:spPr>
                    <a:xfrm>
                      <a:off x="0" y="0"/>
                      <a:ext cx="4905375" cy="3000375"/>
                    </a:xfrm>
                    <a:prstGeom prst="rect">
                      <a:avLst/>
                    </a:prstGeom>
                    <a:noFill/>
                    <a:ln>
                      <a:noFill/>
                    </a:ln>
                  </pic:spPr>
                </pic:pic>
              </a:graphicData>
            </a:graphic>
          </wp:inline>
        </w:drawing>
      </w:r>
      <w:r>
        <w:rPr>
          <w:rFonts w:hint="eastAsia" w:ascii="宋体" w:hAnsi="宋体" w:cs="宋体"/>
          <w:kern w:val="0"/>
          <w:sz w:val="24"/>
          <w:lang w:bidi="ar"/>
        </w:rPr>
        <w:t xml:space="preserve"> </w:t>
      </w:r>
    </w:p>
    <w:p>
      <w:pPr>
        <w:pStyle w:val="5"/>
        <w:numPr>
          <w:ilvl w:val="2"/>
          <w:numId w:val="3"/>
        </w:numPr>
        <w:spacing w:before="163" w:after="163"/>
        <w:rPr>
          <w:rFonts w:hint="eastAsia" w:ascii="宋体" w:hAnsi="宋体" w:cs="宋体"/>
          <w:szCs w:val="24"/>
        </w:rPr>
      </w:pPr>
      <w:bookmarkStart w:id="327" w:name="_Toc481755499"/>
      <w:bookmarkEnd w:id="327"/>
      <w:bookmarkStart w:id="328" w:name="_Toc47901001"/>
      <w:r>
        <w:rPr>
          <w:rFonts w:hint="eastAsia" w:ascii="宋体" w:hAnsi="宋体" w:cs="宋体"/>
          <w:szCs w:val="24"/>
        </w:rPr>
        <w:t>维护人员能力提升</w:t>
      </w:r>
      <w:bookmarkEnd w:id="328"/>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定期开展维护人员专业能力专项培训及不定期开展技能比武大赛。专业技能提升可以有效缩短故障处理时限，达到提高系统完好率的目的，充分满足业主单位的考核要求。</w:t>
      </w:r>
    </w:p>
    <w:p>
      <w:pPr>
        <w:widowControl/>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制定合理有效的运维服务方案，确保及时发现故障点位。</w:t>
      </w:r>
    </w:p>
    <w:p>
      <w:pPr>
        <w:widowControl/>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由于支撑不到位造成的后果，需承担相应责任。</w:t>
      </w:r>
    </w:p>
    <w:p>
      <w:pPr>
        <w:pStyle w:val="4"/>
        <w:keepNext w:val="0"/>
        <w:keepLines w:val="0"/>
        <w:widowControl/>
        <w:numPr>
          <w:ilvl w:val="1"/>
          <w:numId w:val="3"/>
        </w:numPr>
        <w:rPr>
          <w:rFonts w:hint="eastAsia" w:ascii="宋体" w:hAnsi="宋体" w:eastAsia="宋体" w:cs="宋体"/>
          <w:sz w:val="24"/>
          <w:szCs w:val="24"/>
        </w:rPr>
      </w:pPr>
      <w:bookmarkStart w:id="329" w:name="_Toc481948806"/>
      <w:bookmarkEnd w:id="329"/>
      <w:bookmarkStart w:id="330" w:name="_Toc481755500"/>
      <w:bookmarkEnd w:id="330"/>
      <w:bookmarkStart w:id="331" w:name="_Toc501911741"/>
      <w:bookmarkEnd w:id="331"/>
      <w:bookmarkStart w:id="332" w:name="_Toc481827628"/>
      <w:bookmarkEnd w:id="332"/>
      <w:bookmarkStart w:id="333" w:name="_Toc19515"/>
      <w:bookmarkEnd w:id="333"/>
      <w:bookmarkStart w:id="334" w:name="_Toc47901002"/>
      <w:r>
        <w:rPr>
          <w:rFonts w:hint="eastAsia" w:ascii="宋体" w:hAnsi="宋体" w:eastAsia="宋体" w:cs="宋体"/>
          <w:sz w:val="24"/>
          <w:szCs w:val="24"/>
        </w:rPr>
        <w:t>运营维护风险控制方案</w:t>
      </w:r>
      <w:bookmarkEnd w:id="334"/>
    </w:p>
    <w:p>
      <w:pPr>
        <w:pStyle w:val="5"/>
        <w:numPr>
          <w:ilvl w:val="2"/>
          <w:numId w:val="3"/>
        </w:numPr>
        <w:spacing w:before="163" w:after="163"/>
        <w:rPr>
          <w:rFonts w:hint="eastAsia" w:ascii="宋体" w:hAnsi="宋体" w:cs="宋体"/>
          <w:szCs w:val="24"/>
        </w:rPr>
      </w:pPr>
      <w:bookmarkStart w:id="335" w:name="_Toc31351"/>
      <w:bookmarkEnd w:id="335"/>
      <w:bookmarkStart w:id="336" w:name="_Toc31060"/>
      <w:bookmarkEnd w:id="336"/>
      <w:bookmarkStart w:id="337" w:name="_Toc481755501"/>
      <w:bookmarkEnd w:id="337"/>
      <w:bookmarkStart w:id="338" w:name="_Toc437711526"/>
      <w:bookmarkEnd w:id="338"/>
      <w:bookmarkStart w:id="339" w:name="_Toc47901003"/>
      <w:r>
        <w:rPr>
          <w:rFonts w:hint="eastAsia" w:ascii="宋体" w:hAnsi="宋体" w:cs="宋体"/>
          <w:szCs w:val="24"/>
        </w:rPr>
        <w:t>运维手册编制</w:t>
      </w:r>
      <w:bookmarkEnd w:id="339"/>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在开始项目进入维护日之前，根据适用法律和谨慎运营惯例编制项目工程运营维护手册(下称“手册”)。手册应包括进行定期和年度检查、日常运行维护、大修维护和年度维护的程序和计划，以及调整和改进检验及维护安排的程序和计划。</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及时将手册和对手册所做的任何修改报送业主单位。</w:t>
      </w:r>
    </w:p>
    <w:p>
      <w:pPr>
        <w:pStyle w:val="5"/>
        <w:numPr>
          <w:ilvl w:val="2"/>
          <w:numId w:val="3"/>
        </w:numPr>
        <w:spacing w:before="163" w:after="163"/>
        <w:rPr>
          <w:rFonts w:hint="eastAsia" w:ascii="宋体" w:hAnsi="宋体" w:cs="宋体"/>
          <w:szCs w:val="24"/>
        </w:rPr>
      </w:pPr>
      <w:bookmarkStart w:id="340" w:name="_Toc481755502"/>
      <w:bookmarkEnd w:id="340"/>
      <w:bookmarkStart w:id="341" w:name="_Toc47901004"/>
      <w:r>
        <w:rPr>
          <w:rFonts w:hint="eastAsia" w:ascii="宋体" w:hAnsi="宋体" w:cs="宋体"/>
          <w:szCs w:val="24"/>
        </w:rPr>
        <w:t>日常监控方案</w:t>
      </w:r>
      <w:bookmarkEnd w:id="341"/>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视频监控维护人员每天都进行视频图像质量巡察,设立专门的维护支撑人员派驻于业主单位，对雪亮工程网络进行实时监控，对雪亮工程的所有电路进行维护和管理。</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维护期内，每天对平台进行三次巡检，每天对机房进行两次巡检，每季度对所有前端点位进行一次巡检。具体巡检内容如下表：</w:t>
      </w:r>
    </w:p>
    <w:tbl>
      <w:tblPr>
        <w:tblStyle w:val="37"/>
        <w:tblW w:w="92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1107"/>
        <w:gridCol w:w="5666"/>
        <w:gridCol w:w="869"/>
        <w:gridCol w:w="9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0" w:hRule="atLeast"/>
          <w:jc w:val="center"/>
        </w:trPr>
        <w:tc>
          <w:tcPr>
            <w:tcW w:w="9256" w:type="dxa"/>
            <w:gridSpan w:val="5"/>
            <w:tcBorders>
              <w:top w:val="single" w:color="auto" w:sz="12" w:space="0"/>
              <w:left w:val="single" w:color="auto" w:sz="12" w:space="0"/>
              <w:bottom w:val="single" w:color="auto" w:sz="6" w:space="0"/>
              <w:right w:val="single" w:color="auto" w:sz="12" w:space="0"/>
            </w:tcBorders>
            <w:noWrap w:val="0"/>
            <w:vAlign w:val="center"/>
          </w:tcPr>
          <w:p>
            <w:pPr>
              <w:widowControl/>
              <w:adjustRightInd w:val="0"/>
              <w:spacing w:line="360" w:lineRule="auto"/>
              <w:ind w:firstLine="480" w:firstLineChars="200"/>
              <w:jc w:val="center"/>
              <w:textAlignment w:val="baseline"/>
              <w:rPr>
                <w:rFonts w:hint="eastAsia" w:ascii="宋体" w:hAnsi="宋体" w:cs="宋体"/>
                <w:sz w:val="24"/>
              </w:rPr>
            </w:pPr>
            <w:r>
              <w:rPr>
                <w:rFonts w:hint="eastAsia" w:ascii="宋体" w:hAnsi="宋体" w:cs="宋体"/>
                <w:kern w:val="0"/>
                <w:sz w:val="24"/>
                <w:lang w:bidi="ar"/>
              </w:rPr>
              <w:t>视频监控系统运维服务内容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636" w:type="dxa"/>
            <w:tcBorders>
              <w:top w:val="single" w:color="auto" w:sz="6" w:space="0"/>
              <w:left w:val="single" w:color="auto" w:sz="12" w:space="0"/>
              <w:bottom w:val="single" w:color="auto" w:sz="6"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序号</w:t>
            </w:r>
          </w:p>
        </w:tc>
        <w:tc>
          <w:tcPr>
            <w:tcW w:w="1107" w:type="dxa"/>
            <w:tcBorders>
              <w:top w:val="single" w:color="auto" w:sz="6" w:space="0"/>
              <w:left w:val="single" w:color="auto" w:sz="6" w:space="0"/>
              <w:bottom w:val="single" w:color="auto" w:sz="6"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维护作业项目</w:t>
            </w:r>
          </w:p>
        </w:tc>
        <w:tc>
          <w:tcPr>
            <w:tcW w:w="5666" w:type="dxa"/>
            <w:tcBorders>
              <w:top w:val="single" w:color="auto" w:sz="6" w:space="0"/>
              <w:left w:val="single" w:color="auto" w:sz="6" w:space="0"/>
              <w:bottom w:val="single" w:color="auto" w:sz="6"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巡检内容</w:t>
            </w:r>
          </w:p>
        </w:tc>
        <w:tc>
          <w:tcPr>
            <w:tcW w:w="869" w:type="dxa"/>
            <w:tcBorders>
              <w:top w:val="single" w:color="auto" w:sz="6" w:space="0"/>
              <w:left w:val="single" w:color="auto" w:sz="6" w:space="0"/>
              <w:bottom w:val="single" w:color="auto" w:sz="6"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巡检方式</w:t>
            </w:r>
          </w:p>
        </w:tc>
        <w:tc>
          <w:tcPr>
            <w:tcW w:w="978" w:type="dxa"/>
            <w:tcBorders>
              <w:top w:val="single" w:color="auto" w:sz="6" w:space="0"/>
              <w:left w:val="single" w:color="auto" w:sz="6" w:space="0"/>
              <w:bottom w:val="single" w:color="auto" w:sz="6" w:space="0"/>
              <w:right w:val="single" w:color="auto" w:sz="12"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巡检周期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35" w:hRule="atLeast"/>
          <w:jc w:val="center"/>
        </w:trPr>
        <w:tc>
          <w:tcPr>
            <w:tcW w:w="636" w:type="dxa"/>
            <w:tcBorders>
              <w:top w:val="single" w:color="auto" w:sz="6" w:space="0"/>
              <w:left w:val="single" w:color="auto" w:sz="12" w:space="0"/>
              <w:bottom w:val="single" w:color="auto" w:sz="6"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1</w:t>
            </w:r>
          </w:p>
        </w:tc>
        <w:tc>
          <w:tcPr>
            <w:tcW w:w="1107" w:type="dxa"/>
            <w:tcBorders>
              <w:top w:val="single" w:color="auto" w:sz="6" w:space="0"/>
              <w:left w:val="single" w:color="auto" w:sz="6" w:space="0"/>
              <w:bottom w:val="single" w:color="auto" w:sz="6"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平台巡检</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（视频类点位）</w:t>
            </w:r>
          </w:p>
        </w:tc>
        <w:tc>
          <w:tcPr>
            <w:tcW w:w="5666"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1、检查各项系统视频监控上线率情况；</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2、对图像进行轮巡查看，发现图像是否丢失、失真、模糊、停顿、跳帧、抖动、场景是否正确等问题；</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3、检查云台、摄像机转动及摄像机变倍是否正常；</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4、检查编码器运行况状、存储空间；</w:t>
            </w:r>
          </w:p>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5、检查编码器配置数据；</w:t>
            </w:r>
          </w:p>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6、检查前端点位的显示时间是否与平台时间一致；</w:t>
            </w:r>
          </w:p>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7、检查夜间录像质量，包括是否录像丢失、图像质量等；</w:t>
            </w:r>
          </w:p>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8、检查录像存储是否超过30天；</w:t>
            </w:r>
          </w:p>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9、填写巡检记录表、视频监控上线率统计表、编写客户端巡检报告。</w:t>
            </w:r>
          </w:p>
        </w:tc>
        <w:tc>
          <w:tcPr>
            <w:tcW w:w="869" w:type="dxa"/>
            <w:tcBorders>
              <w:top w:val="single" w:color="auto" w:sz="6" w:space="0"/>
              <w:left w:val="single" w:color="auto" w:sz="6" w:space="0"/>
              <w:bottom w:val="single" w:color="auto" w:sz="6"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远程</w:t>
            </w:r>
          </w:p>
        </w:tc>
        <w:tc>
          <w:tcPr>
            <w:tcW w:w="978" w:type="dxa"/>
            <w:tcBorders>
              <w:top w:val="single" w:color="auto" w:sz="6" w:space="0"/>
              <w:left w:val="single" w:color="auto" w:sz="6" w:space="0"/>
              <w:bottom w:val="single" w:color="auto" w:sz="6" w:space="0"/>
              <w:right w:val="single" w:color="auto" w:sz="12"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每日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636" w:type="dxa"/>
            <w:tcBorders>
              <w:top w:val="single" w:color="auto" w:sz="6" w:space="0"/>
              <w:left w:val="single" w:color="auto" w:sz="12" w:space="0"/>
              <w:bottom w:val="single" w:color="auto" w:sz="6"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2</w:t>
            </w:r>
          </w:p>
        </w:tc>
        <w:tc>
          <w:tcPr>
            <w:tcW w:w="1107" w:type="dxa"/>
            <w:tcBorders>
              <w:top w:val="single" w:color="auto" w:sz="6" w:space="0"/>
              <w:left w:val="single" w:color="auto" w:sz="6" w:space="0"/>
              <w:bottom w:val="single" w:color="auto" w:sz="6"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平台巡检</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（抓拍类点位）</w:t>
            </w:r>
          </w:p>
        </w:tc>
        <w:tc>
          <w:tcPr>
            <w:tcW w:w="5666"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1、检查各抓拍机抓拍功能，抓拍率和识别率是否正常；</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2、检查抓拍图片质量是否正常（包括白天和夜间），包含抓拍场景、线圈设置、补光设备等；</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3、检查平台数据是否正常，包含本地平台、上传市局平台等；</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4、填写巡检记录表、编写客户端巡检报告。</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5、卡口设备上线是否95%，卡口图片存储是否低于6个月。</w:t>
            </w:r>
          </w:p>
        </w:tc>
        <w:tc>
          <w:tcPr>
            <w:tcW w:w="869" w:type="dxa"/>
            <w:tcBorders>
              <w:top w:val="single" w:color="auto" w:sz="6" w:space="0"/>
              <w:left w:val="single" w:color="auto" w:sz="6" w:space="0"/>
              <w:bottom w:val="single" w:color="auto" w:sz="6"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远程</w:t>
            </w:r>
          </w:p>
        </w:tc>
        <w:tc>
          <w:tcPr>
            <w:tcW w:w="978" w:type="dxa"/>
            <w:tcBorders>
              <w:top w:val="single" w:color="auto" w:sz="6" w:space="0"/>
              <w:left w:val="single" w:color="auto" w:sz="6" w:space="0"/>
              <w:bottom w:val="single" w:color="auto" w:sz="6" w:space="0"/>
              <w:right w:val="single" w:color="auto" w:sz="12"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每日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86" w:hRule="atLeast"/>
          <w:jc w:val="center"/>
        </w:trPr>
        <w:tc>
          <w:tcPr>
            <w:tcW w:w="636" w:type="dxa"/>
            <w:tcBorders>
              <w:top w:val="single" w:color="auto" w:sz="6" w:space="0"/>
              <w:left w:val="single" w:color="auto" w:sz="12" w:space="0"/>
              <w:bottom w:val="single" w:color="auto" w:sz="6"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3</w:t>
            </w:r>
          </w:p>
        </w:tc>
        <w:tc>
          <w:tcPr>
            <w:tcW w:w="1107" w:type="dxa"/>
            <w:tcBorders>
              <w:top w:val="single" w:color="auto" w:sz="6" w:space="0"/>
              <w:left w:val="single" w:color="auto" w:sz="6" w:space="0"/>
              <w:bottom w:val="single" w:color="auto" w:sz="6"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前端巡检</w:t>
            </w:r>
          </w:p>
        </w:tc>
        <w:tc>
          <w:tcPr>
            <w:tcW w:w="5666"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1、检查电力接入点、接电箱以及抱杆/落地箱内电源空开、插座/板是否正常及漏电；</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2、测试光缆损耗情况；</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3、对杆件、挑臂及相关零部件进行巡检保养，调整垂直度，挑臂水平度、对杆体防锈漆面进行修复及清洁；</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4、对前端落地机箱、抱杆机箱进行巡检保养，进行锁具维护、对箱体防锈漆面进行维护、箱内卫生清洁、箱内故障风扇更换；</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5、检查并清洗前端摄像机、云台及补光灯等设备，对存在树枝遮挡的点位进行砍青处理；</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6、检查杆上线缆及设备是否存在安全隐患，对线缆悬挂，设备掉落等其他安全隐患进行处理；</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7、对前端光纤、网线、电源线等接头、标签完整性等进行检查；</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8、检查光猫、防雷器、光纤收发器、视频检测器、交换机等设备指示灯是否正常；</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9、检查信号系统地感线圈的灵敏度、设备运行状态是否正常。</w:t>
            </w:r>
          </w:p>
        </w:tc>
        <w:tc>
          <w:tcPr>
            <w:tcW w:w="869" w:type="dxa"/>
            <w:tcBorders>
              <w:top w:val="single" w:color="auto" w:sz="6" w:space="0"/>
              <w:left w:val="single" w:color="auto" w:sz="6" w:space="0"/>
              <w:bottom w:val="single" w:color="auto" w:sz="6"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现场</w:t>
            </w:r>
          </w:p>
        </w:tc>
        <w:tc>
          <w:tcPr>
            <w:tcW w:w="978" w:type="dxa"/>
            <w:tcBorders>
              <w:top w:val="single" w:color="auto" w:sz="6" w:space="0"/>
              <w:left w:val="single" w:color="auto" w:sz="6" w:space="0"/>
              <w:bottom w:val="single" w:color="auto" w:sz="6" w:space="0"/>
              <w:right w:val="single" w:color="auto" w:sz="12"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每半年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3" w:hRule="atLeast"/>
          <w:jc w:val="center"/>
        </w:trPr>
        <w:tc>
          <w:tcPr>
            <w:tcW w:w="636" w:type="dxa"/>
            <w:tcBorders>
              <w:top w:val="single" w:color="auto" w:sz="6" w:space="0"/>
              <w:left w:val="single" w:color="auto" w:sz="12" w:space="0"/>
              <w:bottom w:val="single" w:color="auto" w:sz="6"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4</w:t>
            </w:r>
          </w:p>
        </w:tc>
        <w:tc>
          <w:tcPr>
            <w:tcW w:w="1107" w:type="dxa"/>
            <w:tcBorders>
              <w:top w:val="single" w:color="auto" w:sz="6" w:space="0"/>
              <w:left w:val="single" w:color="auto" w:sz="6" w:space="0"/>
              <w:bottom w:val="single" w:color="auto" w:sz="6" w:space="0"/>
              <w:right w:val="single" w:color="auto" w:sz="6" w:space="0"/>
            </w:tcBorders>
            <w:noWrap/>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基础资料</w:t>
            </w:r>
          </w:p>
        </w:tc>
        <w:tc>
          <w:tcPr>
            <w:tcW w:w="5666" w:type="dxa"/>
            <w:tcBorders>
              <w:top w:val="single" w:color="auto" w:sz="6" w:space="0"/>
              <w:left w:val="single" w:color="auto" w:sz="6" w:space="0"/>
              <w:bottom w:val="single" w:color="auto" w:sz="6" w:space="0"/>
              <w:right w:val="single" w:color="auto" w:sz="6"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1、单点资料库管理，对点位迁改、电力迁改、设备更换等点位及时更新单点资料库；将故障信息录入单点资料；</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2、备品备件资料管理，做好备品备件出入库登记、设备送修等；</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3、提交周报（内容含周报、不纳入维护考核点位清单、故障数据汇总确认表、前端迁整改清单费用、巡检计划表/巡检登记表，机房巡检情况记录表、工作联系单等）；</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4、提交月报 （月报、不纳入维护考核点位清单、故障数据汇总确认表、前端迁整改清单费用、巡检计划表/巡检登记表，机房巡检情况记录表、工作联系单，监控维护考核表、监控每日登记表，监控结算清单，迁整改结算清单等）。</w:t>
            </w:r>
          </w:p>
        </w:tc>
        <w:tc>
          <w:tcPr>
            <w:tcW w:w="869" w:type="dxa"/>
            <w:tcBorders>
              <w:top w:val="single" w:color="auto" w:sz="6" w:space="0"/>
              <w:left w:val="single" w:color="auto" w:sz="6" w:space="0"/>
              <w:bottom w:val="single" w:color="auto" w:sz="6" w:space="0"/>
              <w:right w:val="single" w:color="auto" w:sz="6" w:space="0"/>
            </w:tcBorders>
            <w:noWrap/>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　</w:t>
            </w:r>
          </w:p>
        </w:tc>
        <w:tc>
          <w:tcPr>
            <w:tcW w:w="978" w:type="dxa"/>
            <w:tcBorders>
              <w:top w:val="single" w:color="auto" w:sz="6" w:space="0"/>
              <w:left w:val="single" w:color="auto" w:sz="6" w:space="0"/>
              <w:bottom w:val="single" w:color="auto" w:sz="6" w:space="0"/>
              <w:right w:val="single" w:color="auto" w:sz="12"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每月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0" w:hRule="atLeast"/>
          <w:jc w:val="center"/>
        </w:trPr>
        <w:tc>
          <w:tcPr>
            <w:tcW w:w="636" w:type="dxa"/>
            <w:tcBorders>
              <w:top w:val="single" w:color="auto" w:sz="6" w:space="0"/>
              <w:left w:val="single" w:color="auto" w:sz="12" w:space="0"/>
              <w:bottom w:val="single" w:color="auto" w:sz="12" w:space="0"/>
              <w:right w:val="single" w:color="auto" w:sz="6"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5</w:t>
            </w:r>
          </w:p>
        </w:tc>
        <w:tc>
          <w:tcPr>
            <w:tcW w:w="1107" w:type="dxa"/>
            <w:tcBorders>
              <w:top w:val="single" w:color="auto" w:sz="6" w:space="0"/>
              <w:left w:val="single" w:color="auto" w:sz="6" w:space="0"/>
              <w:bottom w:val="single" w:color="auto" w:sz="12" w:space="0"/>
              <w:right w:val="single" w:color="auto" w:sz="6" w:space="0"/>
            </w:tcBorders>
            <w:noWrap/>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网络巡检</w:t>
            </w:r>
          </w:p>
        </w:tc>
        <w:tc>
          <w:tcPr>
            <w:tcW w:w="5666" w:type="dxa"/>
            <w:tcBorders>
              <w:top w:val="single" w:color="auto" w:sz="6" w:space="0"/>
              <w:left w:val="single" w:color="auto" w:sz="6" w:space="0"/>
              <w:bottom w:val="single" w:color="auto" w:sz="12" w:space="0"/>
              <w:right w:val="single" w:color="auto" w:sz="6"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1、机房网络核心设备运行情况；</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2、机房存储设备运行情况；</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3、机房服务器运行情况；</w:t>
            </w:r>
          </w:p>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4、平台对接运行情况；</w:t>
            </w:r>
          </w:p>
        </w:tc>
        <w:tc>
          <w:tcPr>
            <w:tcW w:w="869" w:type="dxa"/>
            <w:tcBorders>
              <w:top w:val="single" w:color="auto" w:sz="6" w:space="0"/>
              <w:left w:val="single" w:color="auto" w:sz="6" w:space="0"/>
              <w:bottom w:val="single" w:color="auto" w:sz="12" w:space="0"/>
              <w:right w:val="single" w:color="auto" w:sz="6" w:space="0"/>
            </w:tcBorders>
            <w:noWrap/>
            <w:vAlign w:val="center"/>
          </w:tcPr>
          <w:p>
            <w:pPr>
              <w:adjustRightInd w:val="0"/>
              <w:spacing w:line="360" w:lineRule="auto"/>
              <w:textAlignment w:val="baseline"/>
              <w:rPr>
                <w:rFonts w:hint="eastAsia" w:ascii="宋体" w:hAnsi="宋体" w:cs="宋体"/>
                <w:sz w:val="24"/>
              </w:rPr>
            </w:pPr>
          </w:p>
        </w:tc>
        <w:tc>
          <w:tcPr>
            <w:tcW w:w="978" w:type="dxa"/>
            <w:tcBorders>
              <w:top w:val="single" w:color="auto" w:sz="6" w:space="0"/>
              <w:left w:val="single" w:color="auto" w:sz="6" w:space="0"/>
              <w:bottom w:val="single" w:color="auto" w:sz="12" w:space="0"/>
              <w:right w:val="single" w:color="auto" w:sz="12" w:space="0"/>
            </w:tcBorders>
            <w:noWrap/>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每月</w:t>
            </w:r>
          </w:p>
        </w:tc>
      </w:tr>
    </w:tbl>
    <w:p>
      <w:pPr>
        <w:pStyle w:val="5"/>
        <w:numPr>
          <w:ilvl w:val="2"/>
          <w:numId w:val="3"/>
        </w:numPr>
        <w:spacing w:before="163" w:after="163"/>
        <w:rPr>
          <w:rFonts w:hint="eastAsia" w:ascii="宋体" w:hAnsi="宋体" w:cs="宋体"/>
          <w:szCs w:val="24"/>
        </w:rPr>
      </w:pPr>
      <w:bookmarkStart w:id="342" w:name="_Toc47901005"/>
      <w:bookmarkEnd w:id="342"/>
      <w:bookmarkStart w:id="343" w:name="_Toc481755503"/>
      <w:r>
        <w:rPr>
          <w:rFonts w:hint="eastAsia" w:ascii="宋体" w:hAnsi="宋体" w:cs="宋体"/>
          <w:szCs w:val="24"/>
        </w:rPr>
        <w:t>平台巡检</w:t>
      </w:r>
      <w:bookmarkEnd w:id="343"/>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为了及时规避平台故障风险，定期对平台进行多维度的巡检，并由相关人员记录，将巡检记录和巡检报告打包，每周提交1次。</w:t>
      </w:r>
    </w:p>
    <w:p>
      <w:pPr>
        <w:pStyle w:val="5"/>
        <w:numPr>
          <w:ilvl w:val="2"/>
          <w:numId w:val="3"/>
        </w:numPr>
        <w:spacing w:before="163" w:after="163"/>
        <w:rPr>
          <w:rFonts w:hint="eastAsia" w:ascii="宋体" w:hAnsi="宋体" w:cs="宋体"/>
          <w:szCs w:val="24"/>
        </w:rPr>
      </w:pPr>
      <w:bookmarkStart w:id="344" w:name="_Toc30133"/>
      <w:bookmarkEnd w:id="344"/>
      <w:bookmarkStart w:id="345" w:name="_Toc47901006"/>
      <w:bookmarkEnd w:id="345"/>
      <w:bookmarkStart w:id="346" w:name="_Toc17293"/>
      <w:bookmarkEnd w:id="346"/>
      <w:bookmarkStart w:id="347" w:name="_Toc481755504"/>
      <w:r>
        <w:rPr>
          <w:rFonts w:hint="eastAsia" w:ascii="宋体" w:hAnsi="宋体" w:cs="宋体"/>
          <w:szCs w:val="24"/>
        </w:rPr>
        <w:t>前端巡检方案</w:t>
      </w:r>
      <w:bookmarkEnd w:id="347"/>
    </w:p>
    <w:p>
      <w:pPr>
        <w:widowControl/>
        <w:adjustRightInd w:val="0"/>
        <w:snapToGrid w:val="0"/>
        <w:spacing w:line="360" w:lineRule="auto"/>
        <w:ind w:firstLine="482" w:firstLineChars="200"/>
        <w:jc w:val="left"/>
        <w:textAlignment w:val="baseline"/>
        <w:rPr>
          <w:rFonts w:hint="eastAsia" w:ascii="宋体" w:hAnsi="宋体" w:cs="宋体"/>
          <w:sz w:val="24"/>
        </w:rPr>
      </w:pPr>
      <w:r>
        <w:rPr>
          <w:rStyle w:val="54"/>
          <w:rFonts w:hint="eastAsia" w:ascii="宋体" w:hAnsi="宋体" w:cs="宋体"/>
          <w:color w:val="auto"/>
          <w:sz w:val="24"/>
          <w:lang w:bidi="ar"/>
        </w:rPr>
        <w:t>前端巡检完成后应达到以下效果：</w:t>
      </w:r>
    </w:p>
    <w:p>
      <w:pPr>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（1）准确反映各个巡检设备的运行情况；</w:t>
      </w:r>
    </w:p>
    <w:p>
      <w:pPr>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（2）发现各个设备存在的问题和隐患，并分析出具体原因；</w:t>
      </w:r>
    </w:p>
    <w:p>
      <w:pPr>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（3）反映系统中存在的不足；</w:t>
      </w:r>
    </w:p>
    <w:p>
      <w:pPr>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（4）准确反映系统使用情况、设备清洁情况、施工规范的执行情况等；</w:t>
      </w:r>
    </w:p>
    <w:p>
      <w:pPr>
        <w:pStyle w:val="5"/>
        <w:numPr>
          <w:ilvl w:val="2"/>
          <w:numId w:val="3"/>
        </w:numPr>
        <w:spacing w:before="163" w:after="163"/>
        <w:rPr>
          <w:rFonts w:hint="eastAsia" w:ascii="宋体" w:hAnsi="宋体" w:cs="宋体"/>
          <w:szCs w:val="24"/>
        </w:rPr>
      </w:pPr>
      <w:bookmarkStart w:id="348" w:name="_Toc481755505"/>
      <w:bookmarkEnd w:id="348"/>
      <w:bookmarkStart w:id="349" w:name="_Toc47901007"/>
      <w:r>
        <w:rPr>
          <w:rFonts w:hint="eastAsia" w:ascii="宋体" w:hAnsi="宋体" w:cs="宋体"/>
          <w:szCs w:val="24"/>
        </w:rPr>
        <w:t>系统维护方案</w:t>
      </w:r>
      <w:bookmarkEnd w:id="349"/>
    </w:p>
    <w:p>
      <w:pPr>
        <w:pStyle w:val="6"/>
        <w:widowControl/>
        <w:numPr>
          <w:ilvl w:val="3"/>
          <w:numId w:val="3"/>
        </w:numPr>
        <w:rPr>
          <w:rFonts w:hint="eastAsia" w:ascii="宋体" w:hAnsi="宋体" w:cs="宋体"/>
          <w:sz w:val="24"/>
        </w:rPr>
      </w:pPr>
      <w:bookmarkStart w:id="350" w:name="_Toc47901008"/>
      <w:bookmarkEnd w:id="350"/>
      <w:r>
        <w:rPr>
          <w:rFonts w:hint="eastAsia" w:ascii="宋体" w:hAnsi="宋体" w:cs="宋体"/>
          <w:sz w:val="24"/>
        </w:rPr>
        <w:t>前端系统维护内容</w:t>
      </w:r>
    </w:p>
    <w:p>
      <w:pPr>
        <w:pStyle w:val="32"/>
        <w:widowControl w:val="0"/>
        <w:spacing w:before="0" w:beforeAutospacing="0" w:after="0" w:afterAutospacing="0" w:line="360" w:lineRule="auto"/>
        <w:ind w:firstLine="216" w:firstLineChars="90"/>
        <w:jc w:val="both"/>
        <w:rPr>
          <w:rFonts w:hint="eastAsia" w:cs="宋体"/>
          <w:color w:val="auto"/>
        </w:rPr>
      </w:pPr>
      <w:r>
        <w:rPr>
          <w:rFonts w:hint="eastAsia" w:cs="宋体"/>
          <w:color w:val="auto"/>
          <w:lang w:bidi="ar"/>
        </w:rPr>
        <w:t>1、电力维护</w:t>
      </w:r>
    </w:p>
    <w:p>
      <w:pPr>
        <w:widowControl/>
        <w:adjustRightInd w:val="0"/>
        <w:snapToGrid w:val="0"/>
        <w:spacing w:line="360" w:lineRule="auto"/>
        <w:ind w:left="236" w:firstLine="482" w:firstLineChars="200"/>
        <w:textAlignment w:val="baseline"/>
        <w:rPr>
          <w:rFonts w:hint="eastAsia" w:ascii="宋体" w:hAnsi="宋体" w:cs="宋体"/>
          <w:sz w:val="24"/>
        </w:rPr>
      </w:pPr>
      <w:r>
        <w:rPr>
          <w:rStyle w:val="54"/>
          <w:rFonts w:hint="eastAsia" w:ascii="宋体" w:hAnsi="宋体" w:cs="宋体"/>
          <w:color w:val="auto"/>
          <w:sz w:val="24"/>
          <w:lang w:bidi="ar"/>
        </w:rPr>
        <w:t>（1）维护保养</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对前端电力接入点巡检，对电力接入点以及箱体内电力空开等设备进行巡检。对电力接入点周围进行漏电检查，对箱体附近进行漏电检查。</w:t>
      </w:r>
    </w:p>
    <w:p>
      <w:pPr>
        <w:widowControl/>
        <w:adjustRightInd w:val="0"/>
        <w:snapToGrid w:val="0"/>
        <w:spacing w:line="360" w:lineRule="auto"/>
        <w:ind w:left="236" w:firstLine="482" w:firstLineChars="200"/>
        <w:textAlignment w:val="baseline"/>
        <w:rPr>
          <w:rFonts w:hint="eastAsia" w:ascii="宋体" w:hAnsi="宋体" w:cs="宋体"/>
          <w:sz w:val="24"/>
        </w:rPr>
      </w:pPr>
      <w:r>
        <w:rPr>
          <w:rStyle w:val="54"/>
          <w:rFonts w:hint="eastAsia" w:ascii="宋体" w:hAnsi="宋体" w:cs="宋体"/>
          <w:color w:val="auto"/>
          <w:sz w:val="24"/>
          <w:lang w:bidi="ar"/>
        </w:rPr>
        <w:t>（2）故障处理</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出现电力故障时，由于电力接入点引起的电力故障，申报至供电局处理。电力接入点至监控点内电力故障，由维保单位处理。</w:t>
      </w:r>
    </w:p>
    <w:p>
      <w:pPr>
        <w:pStyle w:val="32"/>
        <w:widowControl w:val="0"/>
        <w:spacing w:before="0" w:beforeAutospacing="0" w:after="0" w:afterAutospacing="0" w:line="360" w:lineRule="auto"/>
        <w:ind w:firstLine="216" w:firstLineChars="90"/>
        <w:jc w:val="both"/>
        <w:rPr>
          <w:rFonts w:hint="eastAsia" w:cs="宋体"/>
          <w:color w:val="auto"/>
        </w:rPr>
      </w:pPr>
      <w:r>
        <w:rPr>
          <w:rFonts w:hint="eastAsia" w:cs="宋体"/>
          <w:color w:val="auto"/>
          <w:lang w:bidi="ar"/>
        </w:rPr>
        <w:t>2、光缆维护</w:t>
      </w:r>
    </w:p>
    <w:p>
      <w:pPr>
        <w:widowControl/>
        <w:adjustRightInd w:val="0"/>
        <w:snapToGrid w:val="0"/>
        <w:spacing w:line="360" w:lineRule="auto"/>
        <w:ind w:left="236" w:firstLine="482" w:firstLineChars="200"/>
        <w:textAlignment w:val="baseline"/>
        <w:rPr>
          <w:rFonts w:hint="eastAsia" w:ascii="宋体" w:hAnsi="宋体" w:cs="宋体"/>
          <w:sz w:val="24"/>
        </w:rPr>
      </w:pPr>
      <w:r>
        <w:rPr>
          <w:rStyle w:val="54"/>
          <w:rFonts w:hint="eastAsia" w:ascii="宋体" w:hAnsi="宋体" w:cs="宋体"/>
          <w:color w:val="auto"/>
          <w:sz w:val="24"/>
          <w:lang w:bidi="ar"/>
        </w:rPr>
        <w:t>（1）维护保养</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对光缆进行损耗测试，对老化、损耗过高的尾纤、珐琅头进行更换。</w:t>
      </w:r>
    </w:p>
    <w:p>
      <w:pPr>
        <w:widowControl/>
        <w:adjustRightInd w:val="0"/>
        <w:snapToGrid w:val="0"/>
        <w:spacing w:line="360" w:lineRule="auto"/>
        <w:ind w:left="236" w:firstLine="482" w:firstLineChars="200"/>
        <w:textAlignment w:val="baseline"/>
        <w:rPr>
          <w:rFonts w:hint="eastAsia" w:ascii="宋体" w:hAnsi="宋体" w:cs="宋体"/>
          <w:sz w:val="24"/>
        </w:rPr>
      </w:pPr>
      <w:r>
        <w:rPr>
          <w:rStyle w:val="54"/>
          <w:rFonts w:hint="eastAsia" w:ascii="宋体" w:hAnsi="宋体" w:cs="宋体"/>
          <w:color w:val="auto"/>
          <w:sz w:val="24"/>
          <w:lang w:bidi="ar"/>
        </w:rPr>
        <w:t>（2）故障处理</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出现光纤故障后，由维保单位进行处理。</w:t>
      </w:r>
    </w:p>
    <w:p>
      <w:pPr>
        <w:pStyle w:val="32"/>
        <w:widowControl w:val="0"/>
        <w:spacing w:before="0" w:beforeAutospacing="0" w:after="0" w:afterAutospacing="0" w:line="360" w:lineRule="auto"/>
        <w:ind w:firstLine="216" w:firstLineChars="90"/>
        <w:jc w:val="both"/>
        <w:rPr>
          <w:rFonts w:hint="eastAsia" w:cs="宋体"/>
          <w:color w:val="auto"/>
        </w:rPr>
      </w:pPr>
      <w:r>
        <w:rPr>
          <w:rFonts w:hint="eastAsia" w:cs="宋体"/>
          <w:color w:val="auto"/>
          <w:lang w:bidi="ar"/>
        </w:rPr>
        <w:t>3、接地维护</w:t>
      </w:r>
    </w:p>
    <w:p>
      <w:pPr>
        <w:widowControl/>
        <w:adjustRightInd w:val="0"/>
        <w:snapToGrid w:val="0"/>
        <w:spacing w:line="360" w:lineRule="auto"/>
        <w:ind w:firstLine="559" w:firstLineChars="233"/>
        <w:textAlignment w:val="baseline"/>
        <w:rPr>
          <w:rFonts w:hint="eastAsia" w:ascii="宋体" w:hAnsi="宋体" w:cs="宋体"/>
          <w:sz w:val="24"/>
        </w:rPr>
      </w:pPr>
      <w:r>
        <w:rPr>
          <w:rFonts w:hint="eastAsia" w:ascii="宋体" w:hAnsi="宋体" w:cs="宋体"/>
          <w:kern w:val="0"/>
          <w:sz w:val="24"/>
          <w:lang w:bidi="ar"/>
        </w:rPr>
        <w:t>对接地电阻进行测试，对不达标的监控点进行必要措施，保障接地电阻达标。</w:t>
      </w:r>
    </w:p>
    <w:p>
      <w:pPr>
        <w:pStyle w:val="32"/>
        <w:widowControl w:val="0"/>
        <w:spacing w:before="0" w:beforeAutospacing="0" w:after="0" w:afterAutospacing="0" w:line="360" w:lineRule="auto"/>
        <w:ind w:firstLine="216" w:firstLineChars="90"/>
        <w:jc w:val="both"/>
        <w:rPr>
          <w:rFonts w:hint="eastAsia" w:cs="宋体"/>
          <w:color w:val="auto"/>
        </w:rPr>
      </w:pPr>
      <w:r>
        <w:rPr>
          <w:rFonts w:hint="eastAsia" w:cs="宋体"/>
          <w:color w:val="auto"/>
          <w:lang w:bidi="ar"/>
        </w:rPr>
        <w:t>4、杆件维护</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对杆件、挑臂进行巡检保养，调整垂直度，挑臂水平度。对杆体防锈漆面进行维护。</w:t>
      </w:r>
    </w:p>
    <w:p>
      <w:pPr>
        <w:pStyle w:val="32"/>
        <w:widowControl w:val="0"/>
        <w:spacing w:before="0" w:beforeAutospacing="0" w:after="0" w:afterAutospacing="0" w:line="360" w:lineRule="auto"/>
        <w:ind w:firstLine="216" w:firstLineChars="90"/>
        <w:jc w:val="both"/>
        <w:rPr>
          <w:rFonts w:hint="eastAsia" w:cs="宋体"/>
          <w:color w:val="auto"/>
        </w:rPr>
      </w:pPr>
      <w:r>
        <w:rPr>
          <w:rFonts w:hint="eastAsia" w:cs="宋体"/>
          <w:color w:val="auto"/>
          <w:lang w:bidi="ar"/>
        </w:rPr>
        <w:t>5、箱体维护</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对前端落地机箱、抱杆机箱进行巡检保养，进行锁具维护、对箱体防锈漆面进行维护、箱内卫生清洁。</w:t>
      </w:r>
    </w:p>
    <w:p>
      <w:pPr>
        <w:pStyle w:val="32"/>
        <w:widowControl w:val="0"/>
        <w:spacing w:before="0" w:beforeAutospacing="0" w:after="0" w:afterAutospacing="0" w:line="360" w:lineRule="auto"/>
        <w:ind w:firstLine="216" w:firstLineChars="90"/>
        <w:jc w:val="both"/>
        <w:rPr>
          <w:rFonts w:hint="eastAsia" w:cs="宋体"/>
          <w:color w:val="auto"/>
        </w:rPr>
      </w:pPr>
      <w:r>
        <w:rPr>
          <w:rFonts w:hint="eastAsia" w:cs="宋体"/>
          <w:color w:val="auto"/>
          <w:lang w:bidi="ar"/>
        </w:rPr>
        <w:t>6、前端设备维护（具体给保养周期以合同为准）</w:t>
      </w:r>
    </w:p>
    <w:p>
      <w:pPr>
        <w:widowControl/>
        <w:adjustRightInd w:val="0"/>
        <w:snapToGrid w:val="0"/>
        <w:spacing w:line="360" w:lineRule="auto"/>
        <w:ind w:firstLine="482" w:firstLineChars="200"/>
        <w:textAlignment w:val="baseline"/>
        <w:rPr>
          <w:rFonts w:hint="eastAsia" w:ascii="宋体" w:hAnsi="宋体" w:cs="宋体"/>
          <w:sz w:val="24"/>
        </w:rPr>
      </w:pPr>
      <w:r>
        <w:rPr>
          <w:rStyle w:val="54"/>
          <w:rFonts w:hint="eastAsia" w:ascii="宋体" w:hAnsi="宋体" w:cs="宋体"/>
          <w:color w:val="auto"/>
          <w:sz w:val="24"/>
          <w:lang w:bidi="ar"/>
        </w:rPr>
        <w:t>（1）维护保养</w:t>
      </w:r>
    </w:p>
    <w:p>
      <w:pPr>
        <w:numPr>
          <w:ilvl w:val="1"/>
          <w:numId w:val="19"/>
        </w:numPr>
        <w:adjustRightInd w:val="0"/>
        <w:snapToGrid w:val="0"/>
        <w:spacing w:line="360" w:lineRule="auto"/>
        <w:ind w:left="0" w:firstLine="482" w:firstLineChars="200"/>
        <w:textAlignment w:val="baseline"/>
        <w:rPr>
          <w:rFonts w:hint="eastAsia" w:ascii="宋体" w:hAnsi="宋体" w:cs="宋体"/>
          <w:sz w:val="24"/>
        </w:rPr>
      </w:pPr>
      <w:r>
        <w:rPr>
          <w:rFonts w:hint="eastAsia" w:ascii="宋体" w:hAnsi="宋体" w:cs="宋体"/>
          <w:b/>
          <w:kern w:val="0"/>
          <w:sz w:val="24"/>
          <w:lang w:bidi="ar"/>
        </w:rPr>
        <w:t>对前端</w:t>
      </w:r>
      <w:r>
        <w:rPr>
          <w:rStyle w:val="54"/>
          <w:rFonts w:hint="eastAsia" w:ascii="宋体" w:hAnsi="宋体" w:cs="宋体"/>
          <w:color w:val="auto"/>
          <w:sz w:val="24"/>
          <w:lang w:bidi="ar"/>
        </w:rPr>
        <w:t>摄像头进行清洗，对前端摄像头护罩进行清洗；</w:t>
      </w:r>
    </w:p>
    <w:p>
      <w:pPr>
        <w:numPr>
          <w:ilvl w:val="1"/>
          <w:numId w:val="19"/>
        </w:numPr>
        <w:adjustRightInd w:val="0"/>
        <w:snapToGrid w:val="0"/>
        <w:spacing w:line="360" w:lineRule="auto"/>
        <w:ind w:left="0" w:firstLine="482" w:firstLineChars="200"/>
        <w:textAlignment w:val="baseline"/>
        <w:rPr>
          <w:rFonts w:hint="eastAsia" w:ascii="宋体" w:hAnsi="宋体" w:cs="宋体"/>
          <w:sz w:val="24"/>
        </w:rPr>
      </w:pPr>
      <w:r>
        <w:rPr>
          <w:rStyle w:val="54"/>
          <w:rFonts w:hint="eastAsia" w:ascii="宋体" w:hAnsi="宋体" w:cs="宋体"/>
          <w:color w:val="auto"/>
          <w:sz w:val="24"/>
          <w:lang w:bidi="ar"/>
        </w:rPr>
        <w:t>巡检前端摄像机工作状态、云台控制性能；</w:t>
      </w:r>
    </w:p>
    <w:p>
      <w:pPr>
        <w:numPr>
          <w:ilvl w:val="1"/>
          <w:numId w:val="19"/>
        </w:numPr>
        <w:adjustRightInd w:val="0"/>
        <w:snapToGrid w:val="0"/>
        <w:spacing w:line="360" w:lineRule="auto"/>
        <w:ind w:left="0" w:firstLine="482" w:firstLineChars="200"/>
        <w:textAlignment w:val="baseline"/>
        <w:rPr>
          <w:rFonts w:hint="eastAsia" w:ascii="宋体" w:hAnsi="宋体" w:cs="宋体"/>
          <w:sz w:val="24"/>
        </w:rPr>
      </w:pPr>
      <w:r>
        <w:rPr>
          <w:rStyle w:val="54"/>
          <w:rFonts w:hint="eastAsia" w:ascii="宋体" w:hAnsi="宋体" w:cs="宋体"/>
          <w:color w:val="auto"/>
          <w:sz w:val="24"/>
          <w:lang w:bidi="ar"/>
        </w:rPr>
        <w:t>对前端视频布线状态，标签完整性进行检查；</w:t>
      </w:r>
    </w:p>
    <w:p>
      <w:pPr>
        <w:numPr>
          <w:ilvl w:val="1"/>
          <w:numId w:val="19"/>
        </w:numPr>
        <w:adjustRightInd w:val="0"/>
        <w:snapToGrid w:val="0"/>
        <w:spacing w:line="360" w:lineRule="auto"/>
        <w:ind w:left="0" w:firstLine="482" w:firstLineChars="200"/>
        <w:textAlignment w:val="baseline"/>
        <w:rPr>
          <w:rFonts w:hint="eastAsia" w:ascii="宋体" w:hAnsi="宋体" w:cs="宋体"/>
          <w:sz w:val="24"/>
        </w:rPr>
      </w:pPr>
      <w:r>
        <w:rPr>
          <w:rStyle w:val="54"/>
          <w:rFonts w:hint="eastAsia" w:ascii="宋体" w:hAnsi="宋体" w:cs="宋体"/>
          <w:color w:val="auto"/>
          <w:sz w:val="24"/>
          <w:lang w:bidi="ar"/>
        </w:rPr>
        <w:t>对其他线路接头进行检查，对网线、电源线等接头进行检查；</w:t>
      </w:r>
    </w:p>
    <w:p>
      <w:pPr>
        <w:numPr>
          <w:ilvl w:val="1"/>
          <w:numId w:val="19"/>
        </w:numPr>
        <w:adjustRightInd w:val="0"/>
        <w:snapToGrid w:val="0"/>
        <w:spacing w:line="360" w:lineRule="auto"/>
        <w:ind w:left="0" w:firstLine="482" w:firstLineChars="200"/>
        <w:textAlignment w:val="baseline"/>
        <w:rPr>
          <w:rFonts w:hint="eastAsia" w:ascii="宋体" w:hAnsi="宋体" w:cs="宋体"/>
          <w:sz w:val="24"/>
        </w:rPr>
      </w:pPr>
      <w:r>
        <w:rPr>
          <w:rStyle w:val="54"/>
          <w:rFonts w:hint="eastAsia" w:ascii="宋体" w:hAnsi="宋体" w:cs="宋体"/>
          <w:color w:val="auto"/>
          <w:sz w:val="24"/>
          <w:lang w:bidi="ar"/>
        </w:rPr>
        <w:t>对光端机、防雷器、光纤收发器、交换机等设备指示灯灯进行检查，发现异常立即通知专业技术人员；</w:t>
      </w:r>
    </w:p>
    <w:p>
      <w:pPr>
        <w:numPr>
          <w:ilvl w:val="1"/>
          <w:numId w:val="19"/>
        </w:numPr>
        <w:adjustRightInd w:val="0"/>
        <w:snapToGrid w:val="0"/>
        <w:spacing w:line="360" w:lineRule="auto"/>
        <w:ind w:left="0" w:firstLine="482" w:firstLineChars="200"/>
        <w:textAlignment w:val="baseline"/>
        <w:rPr>
          <w:rFonts w:hint="eastAsia" w:ascii="宋体" w:hAnsi="宋体" w:cs="宋体"/>
          <w:sz w:val="24"/>
        </w:rPr>
      </w:pPr>
      <w:r>
        <w:rPr>
          <w:rStyle w:val="54"/>
          <w:rFonts w:hint="eastAsia" w:ascii="宋体" w:hAnsi="宋体" w:cs="宋体"/>
          <w:color w:val="auto"/>
          <w:sz w:val="24"/>
          <w:lang w:bidi="ar"/>
        </w:rPr>
        <w:t>对前端补光灯进行维护，对补光异常的点进行维护、更换。</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（2）故障处理</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接到故障单，维保单位立即到现场进行故障处理。</w:t>
      </w:r>
    </w:p>
    <w:p>
      <w:pPr>
        <w:pStyle w:val="6"/>
        <w:widowControl/>
        <w:numPr>
          <w:ilvl w:val="3"/>
          <w:numId w:val="3"/>
        </w:numPr>
        <w:rPr>
          <w:rFonts w:hint="eastAsia" w:ascii="宋体" w:hAnsi="宋体" w:cs="宋体"/>
          <w:sz w:val="24"/>
        </w:rPr>
      </w:pPr>
      <w:bookmarkStart w:id="351" w:name="_Toc47901009"/>
      <w:bookmarkEnd w:id="351"/>
      <w:r>
        <w:rPr>
          <w:rFonts w:hint="eastAsia" w:ascii="宋体" w:hAnsi="宋体" w:cs="宋体"/>
          <w:sz w:val="24"/>
        </w:rPr>
        <w:t>机房环境维护内容</w:t>
      </w:r>
    </w:p>
    <w:p>
      <w:pPr>
        <w:pStyle w:val="32"/>
        <w:widowControl w:val="0"/>
        <w:spacing w:before="0" w:beforeAutospacing="0" w:after="0" w:afterAutospacing="0" w:line="360" w:lineRule="auto"/>
        <w:ind w:firstLine="216" w:firstLineChars="90"/>
        <w:jc w:val="both"/>
        <w:rPr>
          <w:rFonts w:hint="eastAsia" w:cs="宋体"/>
          <w:color w:val="auto"/>
        </w:rPr>
      </w:pPr>
      <w:r>
        <w:rPr>
          <w:rFonts w:hint="eastAsia" w:cs="宋体"/>
          <w:color w:val="auto"/>
          <w:lang w:bidi="ar"/>
        </w:rPr>
        <w:t>1、用电环境</w:t>
      </w:r>
    </w:p>
    <w:p>
      <w:pPr>
        <w:widowControl/>
        <w:adjustRightInd w:val="0"/>
        <w:snapToGrid w:val="0"/>
        <w:spacing w:line="360" w:lineRule="auto"/>
        <w:ind w:firstLine="482" w:firstLineChars="200"/>
        <w:textAlignment w:val="baseline"/>
        <w:rPr>
          <w:rFonts w:hint="eastAsia" w:ascii="宋体" w:hAnsi="宋体" w:cs="宋体"/>
          <w:sz w:val="24"/>
        </w:rPr>
      </w:pPr>
      <w:r>
        <w:rPr>
          <w:rStyle w:val="54"/>
          <w:rFonts w:hint="eastAsia" w:ascii="宋体" w:hAnsi="宋体" w:cs="宋体"/>
          <w:color w:val="auto"/>
          <w:sz w:val="24"/>
          <w:lang w:bidi="ar"/>
        </w:rPr>
        <w:t>（1）维护保养</w:t>
      </w:r>
    </w:p>
    <w:p>
      <w:pPr>
        <w:widowControl/>
        <w:numPr>
          <w:ilvl w:val="1"/>
          <w:numId w:val="20"/>
        </w:numPr>
        <w:adjustRightInd w:val="0"/>
        <w:snapToGri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对机房设备电源进行检查；</w:t>
      </w:r>
    </w:p>
    <w:p>
      <w:pPr>
        <w:widowControl/>
        <w:numPr>
          <w:ilvl w:val="1"/>
          <w:numId w:val="20"/>
        </w:numPr>
        <w:adjustRightInd w:val="0"/>
        <w:snapToGri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对机房机箱电源进行检查；</w:t>
      </w:r>
    </w:p>
    <w:p>
      <w:pPr>
        <w:widowControl/>
        <w:numPr>
          <w:ilvl w:val="1"/>
          <w:numId w:val="20"/>
        </w:numPr>
        <w:adjustRightInd w:val="0"/>
        <w:snapToGri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对机房进行漏电检查；</w:t>
      </w:r>
    </w:p>
    <w:p>
      <w:pPr>
        <w:widowControl/>
        <w:numPr>
          <w:ilvl w:val="1"/>
          <w:numId w:val="20"/>
        </w:numPr>
        <w:adjustRightInd w:val="0"/>
        <w:snapToGri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对机房接地情况检查。</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（2）故障处理</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接到故障单，维保单位立即到现场进行故障处理。</w:t>
      </w:r>
    </w:p>
    <w:p>
      <w:pPr>
        <w:pStyle w:val="32"/>
        <w:widowControl w:val="0"/>
        <w:spacing w:before="0" w:beforeAutospacing="0" w:after="0" w:afterAutospacing="0" w:line="360" w:lineRule="auto"/>
        <w:ind w:firstLine="216" w:firstLineChars="90"/>
        <w:jc w:val="both"/>
        <w:rPr>
          <w:rFonts w:hint="eastAsia" w:cs="宋体"/>
          <w:color w:val="auto"/>
        </w:rPr>
      </w:pPr>
      <w:r>
        <w:rPr>
          <w:rFonts w:hint="eastAsia" w:cs="宋体"/>
          <w:color w:val="auto"/>
          <w:lang w:bidi="ar"/>
        </w:rPr>
        <w:t>2、空调检查</w:t>
      </w:r>
    </w:p>
    <w:p>
      <w:pPr>
        <w:widowControl/>
        <w:adjustRightInd w:val="0"/>
        <w:snapToGrid w:val="0"/>
        <w:spacing w:line="360" w:lineRule="auto"/>
        <w:ind w:firstLine="482" w:firstLineChars="200"/>
        <w:textAlignment w:val="baseline"/>
        <w:rPr>
          <w:rFonts w:hint="eastAsia" w:ascii="宋体" w:hAnsi="宋体" w:cs="宋体"/>
          <w:sz w:val="24"/>
        </w:rPr>
      </w:pPr>
      <w:r>
        <w:rPr>
          <w:rStyle w:val="54"/>
          <w:rFonts w:hint="eastAsia" w:ascii="宋体" w:hAnsi="宋体" w:cs="宋体"/>
          <w:color w:val="auto"/>
          <w:sz w:val="24"/>
          <w:lang w:bidi="ar"/>
        </w:rPr>
        <w:t>（1）维护保养</w:t>
      </w:r>
    </w:p>
    <w:p>
      <w:pPr>
        <w:widowControl/>
        <w:numPr>
          <w:ilvl w:val="1"/>
          <w:numId w:val="20"/>
        </w:numPr>
        <w:adjustRightInd w:val="0"/>
        <w:snapToGri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对空调温度进行检查；</w:t>
      </w:r>
    </w:p>
    <w:p>
      <w:pPr>
        <w:widowControl/>
        <w:numPr>
          <w:ilvl w:val="1"/>
          <w:numId w:val="20"/>
        </w:numPr>
        <w:adjustRightInd w:val="0"/>
        <w:snapToGri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对空调送风情况进行检查。</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（2）故障处理</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接到故障单，维保单位立即到现场进行故障处理。</w:t>
      </w:r>
    </w:p>
    <w:p>
      <w:pPr>
        <w:pStyle w:val="32"/>
        <w:widowControl w:val="0"/>
        <w:spacing w:before="0" w:beforeAutospacing="0" w:after="0" w:afterAutospacing="0" w:line="360" w:lineRule="auto"/>
        <w:ind w:firstLine="216" w:firstLineChars="90"/>
        <w:jc w:val="both"/>
        <w:rPr>
          <w:rFonts w:hint="eastAsia" w:cs="宋体"/>
          <w:color w:val="auto"/>
        </w:rPr>
      </w:pPr>
      <w:r>
        <w:rPr>
          <w:rFonts w:hint="eastAsia" w:cs="宋体"/>
          <w:color w:val="auto"/>
          <w:lang w:bidi="ar"/>
        </w:rPr>
        <w:t>3、机房环境</w:t>
      </w:r>
    </w:p>
    <w:p>
      <w:pPr>
        <w:widowControl/>
        <w:adjustRightInd w:val="0"/>
        <w:snapToGrid w:val="0"/>
        <w:spacing w:line="360" w:lineRule="auto"/>
        <w:ind w:firstLine="482" w:firstLineChars="200"/>
        <w:textAlignment w:val="baseline"/>
        <w:rPr>
          <w:rFonts w:hint="eastAsia" w:ascii="宋体" w:hAnsi="宋体" w:cs="宋体"/>
          <w:sz w:val="24"/>
        </w:rPr>
      </w:pPr>
      <w:r>
        <w:rPr>
          <w:rStyle w:val="54"/>
          <w:rFonts w:hint="eastAsia" w:ascii="宋体" w:hAnsi="宋体" w:cs="宋体"/>
          <w:color w:val="auto"/>
          <w:sz w:val="24"/>
          <w:lang w:bidi="ar"/>
        </w:rPr>
        <w:t>（1）维护保养</w:t>
      </w:r>
    </w:p>
    <w:p>
      <w:pPr>
        <w:widowControl/>
        <w:adjustRightInd w:val="0"/>
        <w:snapToGrid w:val="0"/>
        <w:spacing w:line="360" w:lineRule="auto"/>
        <w:ind w:firstLine="482" w:firstLineChars="200"/>
        <w:textAlignment w:val="baseline"/>
        <w:rPr>
          <w:rFonts w:hint="eastAsia" w:ascii="宋体" w:hAnsi="宋体" w:cs="宋体"/>
          <w:sz w:val="24"/>
        </w:rPr>
      </w:pPr>
      <w:r>
        <w:rPr>
          <w:rStyle w:val="54"/>
          <w:rFonts w:hint="eastAsia" w:ascii="宋体" w:hAnsi="宋体" w:cs="宋体"/>
          <w:color w:val="auto"/>
          <w:sz w:val="24"/>
          <w:lang w:bidi="ar"/>
        </w:rPr>
        <w:t>定期对机房环境卫生、灭鼠情况、干湿度进行检查；</w:t>
      </w:r>
    </w:p>
    <w:p>
      <w:pPr>
        <w:pStyle w:val="32"/>
        <w:widowControl w:val="0"/>
        <w:spacing w:before="0" w:beforeAutospacing="0" w:after="0" w:afterAutospacing="0" w:line="360" w:lineRule="auto"/>
        <w:ind w:firstLine="216" w:firstLineChars="90"/>
        <w:jc w:val="both"/>
        <w:rPr>
          <w:rFonts w:hint="eastAsia" w:cs="宋体"/>
          <w:color w:val="auto"/>
        </w:rPr>
      </w:pPr>
      <w:r>
        <w:rPr>
          <w:rFonts w:hint="eastAsia" w:cs="宋体"/>
          <w:color w:val="auto"/>
          <w:lang w:bidi="ar"/>
        </w:rPr>
        <w:t>4、线缆维护</w:t>
      </w:r>
    </w:p>
    <w:p>
      <w:pPr>
        <w:widowControl/>
        <w:adjustRightInd w:val="0"/>
        <w:snapToGrid w:val="0"/>
        <w:spacing w:line="360" w:lineRule="auto"/>
        <w:ind w:firstLine="482" w:firstLineChars="200"/>
        <w:textAlignment w:val="baseline"/>
        <w:rPr>
          <w:rFonts w:hint="eastAsia" w:ascii="宋体" w:hAnsi="宋体" w:cs="宋体"/>
          <w:sz w:val="24"/>
        </w:rPr>
      </w:pPr>
      <w:r>
        <w:rPr>
          <w:rStyle w:val="54"/>
          <w:rFonts w:hint="eastAsia" w:ascii="宋体" w:hAnsi="宋体" w:cs="宋体"/>
          <w:color w:val="auto"/>
          <w:sz w:val="24"/>
          <w:lang w:bidi="ar"/>
        </w:rPr>
        <w:t>（1）维护保养</w:t>
      </w:r>
    </w:p>
    <w:p>
      <w:pPr>
        <w:widowControl/>
        <w:numPr>
          <w:ilvl w:val="1"/>
          <w:numId w:val="20"/>
        </w:numPr>
        <w:adjustRightInd w:val="0"/>
        <w:snapToGri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对机房视频布线状态进行检查；</w:t>
      </w:r>
    </w:p>
    <w:p>
      <w:pPr>
        <w:widowControl/>
        <w:numPr>
          <w:ilvl w:val="1"/>
          <w:numId w:val="20"/>
        </w:numPr>
        <w:adjustRightInd w:val="0"/>
        <w:snapToGri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对机房线路接口进行检查；</w:t>
      </w:r>
    </w:p>
    <w:p>
      <w:pPr>
        <w:widowControl/>
        <w:numPr>
          <w:ilvl w:val="1"/>
          <w:numId w:val="20"/>
        </w:numPr>
        <w:adjustRightInd w:val="0"/>
        <w:snapToGri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对机房标签完整性进行检查；</w:t>
      </w:r>
    </w:p>
    <w:p>
      <w:pPr>
        <w:widowControl/>
        <w:numPr>
          <w:ilvl w:val="1"/>
          <w:numId w:val="20"/>
        </w:numPr>
        <w:adjustRightInd w:val="0"/>
        <w:snapToGrid w:val="0"/>
        <w:spacing w:line="360" w:lineRule="auto"/>
        <w:ind w:left="0" w:firstLine="480" w:firstLineChars="200"/>
        <w:textAlignment w:val="baseline"/>
        <w:rPr>
          <w:rFonts w:hint="eastAsia" w:ascii="宋体" w:hAnsi="宋体" w:cs="宋体"/>
          <w:sz w:val="24"/>
        </w:rPr>
      </w:pPr>
      <w:r>
        <w:rPr>
          <w:rFonts w:hint="eastAsia" w:ascii="宋体" w:hAnsi="宋体" w:cs="宋体"/>
          <w:kern w:val="0"/>
          <w:sz w:val="24"/>
          <w:lang w:bidi="ar"/>
        </w:rPr>
        <w:t>对光纤ODF架端接口情况进行检查。</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（2）故障处理</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接到故障单，维保单位立即到现场进行故障处理。</w:t>
      </w:r>
    </w:p>
    <w:p>
      <w:pPr>
        <w:pStyle w:val="32"/>
        <w:widowControl w:val="0"/>
        <w:spacing w:before="0" w:beforeAutospacing="0" w:after="0" w:afterAutospacing="0" w:line="360" w:lineRule="auto"/>
        <w:ind w:firstLine="216" w:firstLineChars="90"/>
        <w:jc w:val="both"/>
        <w:rPr>
          <w:rFonts w:hint="eastAsia" w:cs="宋体"/>
          <w:color w:val="auto"/>
        </w:rPr>
      </w:pPr>
      <w:r>
        <w:rPr>
          <w:rFonts w:hint="eastAsia" w:cs="宋体"/>
          <w:color w:val="auto"/>
          <w:lang w:bidi="ar"/>
        </w:rPr>
        <w:t>5、机房设备</w:t>
      </w:r>
    </w:p>
    <w:p>
      <w:pPr>
        <w:widowControl/>
        <w:adjustRightInd w:val="0"/>
        <w:snapToGrid w:val="0"/>
        <w:spacing w:line="360" w:lineRule="auto"/>
        <w:ind w:firstLine="482" w:firstLineChars="200"/>
        <w:textAlignment w:val="baseline"/>
        <w:rPr>
          <w:rFonts w:hint="eastAsia" w:ascii="宋体" w:hAnsi="宋体" w:cs="宋体"/>
          <w:sz w:val="24"/>
        </w:rPr>
      </w:pPr>
      <w:r>
        <w:rPr>
          <w:rStyle w:val="54"/>
          <w:rFonts w:hint="eastAsia" w:ascii="宋体" w:hAnsi="宋体" w:cs="宋体"/>
          <w:color w:val="auto"/>
          <w:sz w:val="24"/>
          <w:lang w:bidi="ar"/>
        </w:rPr>
        <w:t>（1）维护保养</w:t>
      </w:r>
    </w:p>
    <w:p>
      <w:pPr>
        <w:widowControl/>
        <w:numPr>
          <w:ilvl w:val="1"/>
          <w:numId w:val="20"/>
        </w:numPr>
        <w:adjustRightInd w:val="0"/>
        <w:snapToGrid w:val="0"/>
        <w:spacing w:line="360" w:lineRule="auto"/>
        <w:ind w:left="0" w:firstLine="482" w:firstLineChars="200"/>
        <w:textAlignment w:val="baseline"/>
        <w:rPr>
          <w:rFonts w:hint="eastAsia" w:ascii="宋体" w:hAnsi="宋体" w:cs="宋体"/>
          <w:sz w:val="24"/>
        </w:rPr>
      </w:pPr>
      <w:r>
        <w:rPr>
          <w:rStyle w:val="54"/>
          <w:rFonts w:hint="eastAsia" w:ascii="宋体" w:hAnsi="宋体" w:cs="宋体"/>
          <w:color w:val="auto"/>
          <w:sz w:val="24"/>
          <w:lang w:bidi="ar"/>
        </w:rPr>
        <w:t>对机房视频接收系统、编码系统、存储系统、网络系统、服务器等设备运行状态检查，对设备指示灯、设备风扇检查；</w:t>
      </w:r>
    </w:p>
    <w:p>
      <w:pPr>
        <w:widowControl/>
        <w:numPr>
          <w:ilvl w:val="1"/>
          <w:numId w:val="20"/>
        </w:numPr>
        <w:adjustRightInd w:val="0"/>
        <w:snapToGrid w:val="0"/>
        <w:spacing w:line="360" w:lineRule="auto"/>
        <w:ind w:left="0" w:firstLine="482" w:firstLineChars="200"/>
        <w:textAlignment w:val="baseline"/>
        <w:rPr>
          <w:rFonts w:hint="eastAsia" w:ascii="宋体" w:hAnsi="宋体" w:cs="宋体"/>
          <w:sz w:val="24"/>
        </w:rPr>
      </w:pPr>
      <w:r>
        <w:rPr>
          <w:rStyle w:val="54"/>
          <w:rFonts w:hint="eastAsia" w:ascii="宋体" w:hAnsi="宋体" w:cs="宋体"/>
          <w:color w:val="auto"/>
          <w:sz w:val="24"/>
          <w:lang w:bidi="ar"/>
        </w:rPr>
        <w:t>对中心图像质量进行检查；</w:t>
      </w:r>
    </w:p>
    <w:p>
      <w:pPr>
        <w:widowControl/>
        <w:numPr>
          <w:ilvl w:val="1"/>
          <w:numId w:val="20"/>
        </w:numPr>
        <w:adjustRightInd w:val="0"/>
        <w:snapToGrid w:val="0"/>
        <w:spacing w:line="360" w:lineRule="auto"/>
        <w:ind w:left="0" w:firstLine="482" w:firstLineChars="200"/>
        <w:textAlignment w:val="baseline"/>
        <w:rPr>
          <w:rFonts w:hint="eastAsia" w:ascii="宋体" w:hAnsi="宋体" w:cs="宋体"/>
          <w:sz w:val="24"/>
        </w:rPr>
      </w:pPr>
      <w:r>
        <w:rPr>
          <w:rStyle w:val="54"/>
          <w:rFonts w:hint="eastAsia" w:ascii="宋体" w:hAnsi="宋体" w:cs="宋体"/>
          <w:color w:val="auto"/>
          <w:sz w:val="24"/>
          <w:lang w:bidi="ar"/>
        </w:rPr>
        <w:t>对中心图像控制进行检查。</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（2）故障处理</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接到故障单，维保单位立即到现场进行故障处理。</w:t>
      </w:r>
    </w:p>
    <w:p>
      <w:pPr>
        <w:pStyle w:val="6"/>
        <w:widowControl/>
        <w:numPr>
          <w:ilvl w:val="3"/>
          <w:numId w:val="3"/>
        </w:numPr>
        <w:rPr>
          <w:rFonts w:hint="eastAsia" w:ascii="宋体" w:hAnsi="宋体" w:cs="宋体"/>
          <w:sz w:val="24"/>
        </w:rPr>
      </w:pPr>
      <w:bookmarkStart w:id="352" w:name="_Toc47901010"/>
      <w:bookmarkEnd w:id="352"/>
      <w:r>
        <w:rPr>
          <w:rFonts w:hint="eastAsia" w:ascii="宋体" w:hAnsi="宋体" w:cs="宋体"/>
          <w:sz w:val="24"/>
        </w:rPr>
        <w:t>后台系统维护内容</w:t>
      </w:r>
    </w:p>
    <w:p>
      <w:pPr>
        <w:widowControl/>
        <w:adjustRightInd w:val="0"/>
        <w:snapToGrid w:val="0"/>
        <w:spacing w:line="360" w:lineRule="auto"/>
        <w:ind w:firstLine="482" w:firstLineChars="200"/>
        <w:textAlignment w:val="baseline"/>
        <w:rPr>
          <w:rFonts w:hint="eastAsia" w:ascii="宋体" w:hAnsi="宋体" w:cs="宋体"/>
          <w:sz w:val="24"/>
        </w:rPr>
      </w:pPr>
      <w:r>
        <w:rPr>
          <w:rStyle w:val="54"/>
          <w:rFonts w:hint="eastAsia" w:ascii="宋体" w:hAnsi="宋体" w:cs="宋体"/>
          <w:color w:val="auto"/>
          <w:sz w:val="24"/>
          <w:lang w:bidi="ar"/>
        </w:rPr>
        <w:t>1、维护保养</w:t>
      </w:r>
    </w:p>
    <w:p>
      <w:pPr>
        <w:widowControl/>
        <w:numPr>
          <w:ilvl w:val="1"/>
          <w:numId w:val="20"/>
        </w:numPr>
        <w:adjustRightInd w:val="0"/>
        <w:snapToGrid w:val="0"/>
        <w:spacing w:line="360" w:lineRule="auto"/>
        <w:ind w:left="0" w:firstLine="482" w:firstLineChars="200"/>
        <w:textAlignment w:val="baseline"/>
        <w:rPr>
          <w:rFonts w:hint="eastAsia" w:ascii="宋体" w:hAnsi="宋体" w:cs="宋体"/>
          <w:b/>
          <w:sz w:val="24"/>
        </w:rPr>
      </w:pPr>
      <w:r>
        <w:rPr>
          <w:rStyle w:val="54"/>
          <w:rFonts w:hint="eastAsia" w:ascii="宋体" w:hAnsi="宋体" w:cs="宋体"/>
          <w:color w:val="auto"/>
          <w:sz w:val="24"/>
          <w:lang w:bidi="ar"/>
        </w:rPr>
        <w:t>对平台服务器运行状态进行检查；</w:t>
      </w:r>
    </w:p>
    <w:p>
      <w:pPr>
        <w:widowControl/>
        <w:numPr>
          <w:ilvl w:val="1"/>
          <w:numId w:val="20"/>
        </w:numPr>
        <w:adjustRightInd w:val="0"/>
        <w:snapToGrid w:val="0"/>
        <w:spacing w:line="360" w:lineRule="auto"/>
        <w:ind w:left="0" w:firstLine="482" w:firstLineChars="200"/>
        <w:textAlignment w:val="baseline"/>
        <w:rPr>
          <w:rFonts w:hint="eastAsia" w:ascii="宋体" w:hAnsi="宋体" w:cs="宋体"/>
          <w:sz w:val="24"/>
        </w:rPr>
      </w:pPr>
      <w:r>
        <w:rPr>
          <w:rStyle w:val="54"/>
          <w:rFonts w:hint="eastAsia" w:ascii="宋体" w:hAnsi="宋体" w:cs="宋体"/>
          <w:color w:val="auto"/>
          <w:sz w:val="24"/>
          <w:lang w:bidi="ar"/>
        </w:rPr>
        <w:t>对平台存储运行状态进行检查；</w:t>
      </w:r>
    </w:p>
    <w:p>
      <w:pPr>
        <w:widowControl/>
        <w:numPr>
          <w:ilvl w:val="1"/>
          <w:numId w:val="20"/>
        </w:numPr>
        <w:adjustRightInd w:val="0"/>
        <w:snapToGrid w:val="0"/>
        <w:spacing w:line="360" w:lineRule="auto"/>
        <w:ind w:left="0" w:firstLine="482" w:firstLineChars="200"/>
        <w:textAlignment w:val="baseline"/>
        <w:rPr>
          <w:rFonts w:hint="eastAsia" w:ascii="宋体" w:hAnsi="宋体" w:cs="宋体"/>
          <w:sz w:val="24"/>
        </w:rPr>
      </w:pPr>
      <w:r>
        <w:rPr>
          <w:rStyle w:val="54"/>
          <w:rFonts w:hint="eastAsia" w:ascii="宋体" w:hAnsi="宋体" w:cs="宋体"/>
          <w:color w:val="auto"/>
          <w:sz w:val="24"/>
          <w:lang w:bidi="ar"/>
        </w:rPr>
        <w:t>对平台各功能模块进行功能测试、检查。</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2、故障处理</w:t>
      </w:r>
    </w:p>
    <w:p>
      <w:pPr>
        <w:widowControl/>
        <w:adjustRightInd w:val="0"/>
        <w:snapToGri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接到故障单，维保立即到现场进行故障处理。</w:t>
      </w:r>
    </w:p>
    <w:p>
      <w:pPr>
        <w:pStyle w:val="5"/>
        <w:numPr>
          <w:ilvl w:val="2"/>
          <w:numId w:val="3"/>
        </w:numPr>
        <w:spacing w:before="163" w:after="163"/>
        <w:rPr>
          <w:rFonts w:hint="eastAsia" w:ascii="宋体" w:hAnsi="宋体" w:cs="宋体"/>
          <w:szCs w:val="24"/>
        </w:rPr>
      </w:pPr>
      <w:bookmarkStart w:id="353" w:name="_Toc12481"/>
      <w:bookmarkEnd w:id="353"/>
      <w:bookmarkStart w:id="354" w:name="_Toc437711528"/>
      <w:bookmarkEnd w:id="354"/>
      <w:bookmarkStart w:id="355" w:name="_Toc20959"/>
      <w:bookmarkEnd w:id="355"/>
      <w:bookmarkStart w:id="356" w:name="_Toc481755506"/>
      <w:bookmarkEnd w:id="356"/>
      <w:bookmarkStart w:id="357" w:name="_Toc47901011"/>
      <w:r>
        <w:rPr>
          <w:rFonts w:hint="eastAsia" w:ascii="宋体" w:hAnsi="宋体" w:cs="宋体"/>
          <w:szCs w:val="24"/>
        </w:rPr>
        <w:t>服务响应方案</w:t>
      </w:r>
      <w:bookmarkEnd w:id="357"/>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服务热线：</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提供7×24小时热线服务，故障申告后立即响应。</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服务等级：</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接到或者主动发现故障后，对故障进行分类，根据故障情况分别进入故障抢修、故障升级、应急预案实施等环节，并调动相应的公司资源直至故障解决。</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详细等级分类见下表：</w:t>
      </w:r>
    </w:p>
    <w:p>
      <w:pPr>
        <w:adjustRightInd w:val="0"/>
        <w:spacing w:line="360" w:lineRule="auto"/>
        <w:ind w:firstLine="482" w:firstLineChars="200"/>
        <w:jc w:val="center"/>
        <w:textAlignment w:val="baseline"/>
        <w:rPr>
          <w:rFonts w:hint="eastAsia" w:ascii="宋体" w:hAnsi="宋体" w:cs="宋体"/>
          <w:b/>
          <w:sz w:val="24"/>
        </w:rPr>
      </w:pPr>
      <w:r>
        <w:rPr>
          <w:rFonts w:hint="eastAsia" w:ascii="宋体" w:hAnsi="宋体" w:cs="宋体"/>
          <w:b/>
          <w:kern w:val="0"/>
          <w:sz w:val="24"/>
          <w:lang w:bidi="ar"/>
        </w:rPr>
        <w:t>故障等级分类</w:t>
      </w:r>
    </w:p>
    <w:tbl>
      <w:tblPr>
        <w:tblStyle w:val="37"/>
        <w:tblW w:w="873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36"/>
        <w:gridCol w:w="4252"/>
        <w:gridCol w:w="993"/>
        <w:gridCol w:w="264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0" w:hRule="atLeast"/>
          <w:jc w:val="center"/>
        </w:trPr>
        <w:tc>
          <w:tcPr>
            <w:tcW w:w="836" w:type="dxa"/>
            <w:tcBorders>
              <w:top w:val="single" w:color="000000" w:sz="12" w:space="0"/>
              <w:left w:val="single" w:color="000000" w:sz="12" w:space="0"/>
              <w:bottom w:val="single" w:color="000000" w:sz="6"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故障级别</w:t>
            </w:r>
          </w:p>
        </w:tc>
        <w:tc>
          <w:tcPr>
            <w:tcW w:w="4252" w:type="dxa"/>
            <w:tcBorders>
              <w:top w:val="single" w:color="000000" w:sz="12" w:space="0"/>
              <w:left w:val="single" w:color="000000" w:sz="6" w:space="0"/>
              <w:bottom w:val="single" w:color="000000" w:sz="6"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故障级别定义</w:t>
            </w:r>
          </w:p>
        </w:tc>
        <w:tc>
          <w:tcPr>
            <w:tcW w:w="993" w:type="dxa"/>
            <w:tcBorders>
              <w:top w:val="single" w:color="000000" w:sz="12" w:space="0"/>
              <w:left w:val="single" w:color="000000" w:sz="6" w:space="0"/>
              <w:bottom w:val="single" w:color="000000" w:sz="6"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响应时间</w:t>
            </w:r>
          </w:p>
        </w:tc>
        <w:tc>
          <w:tcPr>
            <w:tcW w:w="2649" w:type="dxa"/>
            <w:tcBorders>
              <w:top w:val="single" w:color="000000" w:sz="12" w:space="0"/>
              <w:left w:val="single" w:color="000000" w:sz="6" w:space="0"/>
              <w:bottom w:val="single" w:color="000000" w:sz="6" w:space="0"/>
              <w:right w:val="single" w:color="000000" w:sz="12"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应对措施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72" w:hRule="atLeast"/>
          <w:jc w:val="center"/>
        </w:trPr>
        <w:tc>
          <w:tcPr>
            <w:tcW w:w="836" w:type="dxa"/>
            <w:tcBorders>
              <w:top w:val="single" w:color="000000" w:sz="6" w:space="0"/>
              <w:left w:val="single" w:color="000000" w:sz="12" w:space="0"/>
              <w:bottom w:val="single" w:color="000000" w:sz="6"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一 级</w:t>
            </w:r>
          </w:p>
        </w:tc>
        <w:tc>
          <w:tcPr>
            <w:tcW w:w="4252" w:type="dxa"/>
            <w:tcBorders>
              <w:top w:val="single" w:color="000000" w:sz="6" w:space="0"/>
              <w:left w:val="single" w:color="000000" w:sz="6" w:space="0"/>
              <w:bottom w:val="single" w:color="000000" w:sz="6"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主干光纤电路、核心交换机、系统故障，导致雪亮工程视频业务完全中断，或重要业务中断，严重影响业主单位视频监控业务正常运营。其他相关重大事件。</w:t>
            </w:r>
          </w:p>
        </w:tc>
        <w:tc>
          <w:tcPr>
            <w:tcW w:w="993" w:type="dxa"/>
            <w:tcBorders>
              <w:top w:val="single" w:color="000000" w:sz="6" w:space="0"/>
              <w:left w:val="single" w:color="000000" w:sz="6" w:space="0"/>
              <w:bottom w:val="single" w:color="000000" w:sz="6"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立即</w:t>
            </w:r>
          </w:p>
        </w:tc>
        <w:tc>
          <w:tcPr>
            <w:tcW w:w="2649" w:type="dxa"/>
            <w:tcBorders>
              <w:top w:val="single" w:color="000000" w:sz="6" w:space="0"/>
              <w:left w:val="single" w:color="000000" w:sz="6" w:space="0"/>
              <w:bottom w:val="single" w:color="000000" w:sz="6" w:space="0"/>
              <w:right w:val="single" w:color="000000" w:sz="12"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30分钟内到现场、立即启动应急预案，4小时修复故障</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557" w:hRule="atLeast"/>
          <w:jc w:val="center"/>
        </w:trPr>
        <w:tc>
          <w:tcPr>
            <w:tcW w:w="836" w:type="dxa"/>
            <w:tcBorders>
              <w:top w:val="single" w:color="000000" w:sz="6" w:space="0"/>
              <w:left w:val="single" w:color="000000" w:sz="12" w:space="0"/>
              <w:bottom w:val="single" w:color="000000" w:sz="6"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二 级</w:t>
            </w:r>
          </w:p>
        </w:tc>
        <w:tc>
          <w:tcPr>
            <w:tcW w:w="4252" w:type="dxa"/>
            <w:tcBorders>
              <w:top w:val="single" w:color="000000" w:sz="6" w:space="0"/>
              <w:left w:val="single" w:color="000000" w:sz="6" w:space="0"/>
              <w:bottom w:val="single" w:color="000000" w:sz="6"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若系统出现重大事故（同时8个以上摄像点位不能正常工作）</w:t>
            </w:r>
          </w:p>
        </w:tc>
        <w:tc>
          <w:tcPr>
            <w:tcW w:w="993" w:type="dxa"/>
            <w:tcBorders>
              <w:top w:val="single" w:color="000000" w:sz="6" w:space="0"/>
              <w:left w:val="single" w:color="000000" w:sz="6" w:space="0"/>
              <w:bottom w:val="single" w:color="000000" w:sz="6"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立即</w:t>
            </w:r>
          </w:p>
        </w:tc>
        <w:tc>
          <w:tcPr>
            <w:tcW w:w="2649" w:type="dxa"/>
            <w:tcBorders>
              <w:top w:val="single" w:color="000000" w:sz="6" w:space="0"/>
              <w:left w:val="single" w:color="000000" w:sz="6" w:space="0"/>
              <w:bottom w:val="single" w:color="000000" w:sz="6" w:space="0"/>
              <w:right w:val="single" w:color="000000" w:sz="12"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60分钟内到现场、根据处理情况启动升级程序和应急预案，8小时修复故障</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35" w:hRule="atLeast"/>
          <w:jc w:val="center"/>
        </w:trPr>
        <w:tc>
          <w:tcPr>
            <w:tcW w:w="836" w:type="dxa"/>
            <w:tcBorders>
              <w:top w:val="single" w:color="000000" w:sz="6" w:space="0"/>
              <w:left w:val="single" w:color="000000" w:sz="12" w:space="0"/>
              <w:bottom w:val="single" w:color="000000" w:sz="6"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三 级</w:t>
            </w:r>
          </w:p>
        </w:tc>
        <w:tc>
          <w:tcPr>
            <w:tcW w:w="4252" w:type="dxa"/>
            <w:tcBorders>
              <w:top w:val="single" w:color="000000" w:sz="6" w:space="0"/>
              <w:left w:val="single" w:color="000000" w:sz="6" w:space="0"/>
              <w:bottom w:val="single" w:color="000000" w:sz="6"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当前端出现一般性故障、前端设备、线缆材料等破损的</w:t>
            </w:r>
          </w:p>
        </w:tc>
        <w:tc>
          <w:tcPr>
            <w:tcW w:w="993" w:type="dxa"/>
            <w:tcBorders>
              <w:top w:val="single" w:color="000000" w:sz="6" w:space="0"/>
              <w:left w:val="single" w:color="000000" w:sz="6" w:space="0"/>
              <w:bottom w:val="single" w:color="000000" w:sz="6"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1小时</w:t>
            </w:r>
          </w:p>
        </w:tc>
        <w:tc>
          <w:tcPr>
            <w:tcW w:w="2649" w:type="dxa"/>
            <w:tcBorders>
              <w:top w:val="single" w:color="000000" w:sz="6" w:space="0"/>
              <w:left w:val="single" w:color="000000" w:sz="6" w:space="0"/>
              <w:bottom w:val="single" w:color="000000" w:sz="6" w:space="0"/>
              <w:right w:val="single" w:color="000000" w:sz="12"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60分钟到现场、根据实际处理情况启动升级流程。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28" w:hRule="atLeast"/>
          <w:jc w:val="center"/>
        </w:trPr>
        <w:tc>
          <w:tcPr>
            <w:tcW w:w="836" w:type="dxa"/>
            <w:tcBorders>
              <w:top w:val="single" w:color="000000" w:sz="6" w:space="0"/>
              <w:left w:val="single" w:color="000000" w:sz="12" w:space="0"/>
              <w:bottom w:val="single" w:color="000000" w:sz="12"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四 级</w:t>
            </w:r>
          </w:p>
        </w:tc>
        <w:tc>
          <w:tcPr>
            <w:tcW w:w="4252" w:type="dxa"/>
            <w:tcBorders>
              <w:top w:val="single" w:color="000000" w:sz="6" w:space="0"/>
              <w:left w:val="single" w:color="000000" w:sz="6" w:space="0"/>
              <w:bottom w:val="single" w:color="000000" w:sz="12"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咨询问题或设备在运行、安装过程中，业主单位对产品功能、配置等方面需要的信息和需求。</w:t>
            </w:r>
          </w:p>
        </w:tc>
        <w:tc>
          <w:tcPr>
            <w:tcW w:w="993" w:type="dxa"/>
            <w:tcBorders>
              <w:top w:val="single" w:color="000000" w:sz="6" w:space="0"/>
              <w:left w:val="single" w:color="000000" w:sz="6" w:space="0"/>
              <w:bottom w:val="single" w:color="000000" w:sz="12" w:space="0"/>
              <w:right w:val="single" w:color="000000" w:sz="6"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1小时</w:t>
            </w:r>
          </w:p>
        </w:tc>
        <w:tc>
          <w:tcPr>
            <w:tcW w:w="2649" w:type="dxa"/>
            <w:tcBorders>
              <w:top w:val="single" w:color="000000" w:sz="6" w:space="0"/>
              <w:left w:val="single" w:color="000000" w:sz="6" w:space="0"/>
              <w:bottom w:val="single" w:color="000000" w:sz="12" w:space="0"/>
              <w:right w:val="single" w:color="000000" w:sz="12"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根据实际情况。</w:t>
            </w:r>
          </w:p>
        </w:tc>
      </w:tr>
    </w:tbl>
    <w:p>
      <w:pPr>
        <w:pStyle w:val="5"/>
        <w:numPr>
          <w:ilvl w:val="2"/>
          <w:numId w:val="3"/>
        </w:numPr>
        <w:spacing w:before="163" w:after="163"/>
        <w:rPr>
          <w:rFonts w:hint="eastAsia" w:ascii="宋体" w:hAnsi="宋体" w:cs="宋体"/>
          <w:szCs w:val="24"/>
        </w:rPr>
      </w:pPr>
      <w:bookmarkStart w:id="358" w:name="_Toc437711533"/>
      <w:bookmarkEnd w:id="358"/>
      <w:r>
        <w:fldChar w:fldCharType="begin"/>
      </w:r>
      <w:r>
        <w:instrText xml:space="preserve"> HYPERLINK "" \l "_Toc364702324" </w:instrText>
      </w:r>
      <w:r>
        <w:fldChar w:fldCharType="separate"/>
      </w:r>
      <w:r>
        <w:rPr>
          <w:rStyle w:val="43"/>
          <w:rFonts w:hint="eastAsia" w:ascii="宋体" w:hAnsi="宋体" w:cs="宋体"/>
          <w:color w:val="auto"/>
          <w:szCs w:val="24"/>
        </w:rPr>
        <w:t>应急保障方案</w:t>
      </w:r>
      <w:r>
        <w:fldChar w:fldCharType="end"/>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应急方案制定原则</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为了确保系统发生故障或面对意外灾难时，相关服务能在最短时间内得以恢复以使正常的业务运营继续进行，将损失降低到最小限度，与业主单位根据用户环境，进行应急方案演练，协助用户建立所有硬件及相关系统各种故障的恢复流程及紧急措施，共同编写制定应急抢修方案。</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同时负责对此应急抢修方案进行模拟预演操作，以确保方案能顺利实施，加强以下工作内容。</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（1）完善落实备品备件</w:t>
      </w:r>
    </w:p>
    <w:p>
      <w:pPr>
        <w:pStyle w:val="32"/>
        <w:widowControl w:val="0"/>
        <w:spacing w:before="0" w:beforeAutospacing="0" w:after="0" w:afterAutospacing="0" w:line="360" w:lineRule="auto"/>
        <w:ind w:firstLine="480" w:firstLineChars="200"/>
        <w:jc w:val="both"/>
        <w:rPr>
          <w:rFonts w:hint="eastAsia" w:cs="宋体"/>
          <w:color w:val="auto"/>
        </w:rPr>
      </w:pPr>
      <w:r>
        <w:rPr>
          <w:rFonts w:hint="eastAsia" w:cs="宋体"/>
          <w:color w:val="auto"/>
          <w:lang w:bidi="ar"/>
        </w:rPr>
        <w:t>（2）对设备落实备件在库，并定期对备件的型号，数量，性能，版本等信息进行例检，确保备件物质的可用。</w:t>
      </w:r>
    </w:p>
    <w:p>
      <w:pPr>
        <w:pStyle w:val="32"/>
        <w:widowControl w:val="0"/>
        <w:spacing w:before="0" w:beforeAutospacing="0" w:after="0" w:afterAutospacing="0" w:line="360" w:lineRule="auto"/>
        <w:ind w:firstLine="480" w:firstLineChars="200"/>
        <w:jc w:val="both"/>
        <w:rPr>
          <w:rFonts w:hint="eastAsia" w:cs="宋体"/>
          <w:color w:val="auto"/>
        </w:rPr>
      </w:pPr>
      <w:r>
        <w:rPr>
          <w:rFonts w:hint="eastAsia" w:cs="宋体"/>
          <w:color w:val="auto"/>
          <w:lang w:bidi="ar"/>
        </w:rPr>
        <w:t>（3）定期对系统数据的备份,定期对系统数据进行备份，确认数据的可用性。在割接，调整等工作前必须备份网管数据库。</w:t>
      </w:r>
    </w:p>
    <w:p>
      <w:pPr>
        <w:pStyle w:val="32"/>
        <w:widowControl w:val="0"/>
        <w:spacing w:before="0" w:beforeAutospacing="0" w:after="0" w:afterAutospacing="0" w:line="360" w:lineRule="auto"/>
        <w:ind w:firstLine="480" w:firstLineChars="200"/>
        <w:jc w:val="both"/>
        <w:rPr>
          <w:rFonts w:hint="eastAsia" w:cs="宋体"/>
          <w:color w:val="auto"/>
        </w:rPr>
      </w:pPr>
      <w:r>
        <w:rPr>
          <w:rFonts w:hint="eastAsia" w:cs="宋体"/>
          <w:color w:val="auto"/>
          <w:lang w:bidi="ar"/>
        </w:rPr>
        <w:t>（4）定期的对系统运行情况的检查</w:t>
      </w:r>
    </w:p>
    <w:p>
      <w:pPr>
        <w:pStyle w:val="32"/>
        <w:widowControl w:val="0"/>
        <w:spacing w:before="0" w:beforeAutospacing="0" w:after="0" w:afterAutospacing="0" w:line="360" w:lineRule="auto"/>
        <w:ind w:firstLine="480" w:firstLineChars="200"/>
        <w:jc w:val="both"/>
        <w:rPr>
          <w:rFonts w:hint="eastAsia" w:cs="宋体"/>
          <w:color w:val="auto"/>
        </w:rPr>
      </w:pPr>
      <w:r>
        <w:rPr>
          <w:rFonts w:hint="eastAsia" w:cs="宋体"/>
          <w:color w:val="auto"/>
          <w:lang w:bidi="ar"/>
        </w:rPr>
        <w:t>（5）定期对系统的保护倒换机制协议进行检查，对系统设备的性能进行抽查，并对检查的结果记录和比对，及时发现潜在的安全隐患和异常。</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应急方案启动原则</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应业主单位请求或设备批次问题或大面积出现故障，并且该问题严重影响业务使用，导致业务中断，核心业务无法运营时立即启动应急方案。</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应急保障行动工作原则</w:t>
      </w:r>
    </w:p>
    <w:p>
      <w:pPr>
        <w:pStyle w:val="32"/>
        <w:widowControl w:val="0"/>
        <w:spacing w:before="0" w:beforeAutospacing="0" w:after="0" w:afterAutospacing="0" w:line="360" w:lineRule="auto"/>
        <w:ind w:firstLine="420"/>
        <w:jc w:val="both"/>
        <w:rPr>
          <w:rFonts w:hint="eastAsia" w:cs="宋体"/>
          <w:color w:val="auto"/>
        </w:rPr>
      </w:pPr>
      <w:r>
        <w:rPr>
          <w:rFonts w:hint="eastAsia" w:cs="宋体"/>
          <w:color w:val="auto"/>
          <w:lang w:bidi="ar"/>
        </w:rPr>
        <w:t>（1）运维团队与业主单位组成联合应急指挥小组。</w:t>
      </w:r>
    </w:p>
    <w:p>
      <w:pPr>
        <w:pStyle w:val="32"/>
        <w:widowControl w:val="0"/>
        <w:spacing w:before="0" w:beforeAutospacing="0" w:after="0" w:afterAutospacing="0" w:line="360" w:lineRule="auto"/>
        <w:ind w:firstLine="420"/>
        <w:jc w:val="both"/>
        <w:rPr>
          <w:rFonts w:hint="eastAsia" w:cs="宋体"/>
          <w:color w:val="auto"/>
        </w:rPr>
      </w:pPr>
      <w:r>
        <w:rPr>
          <w:rFonts w:hint="eastAsia" w:cs="宋体"/>
          <w:color w:val="auto"/>
          <w:lang w:bidi="ar"/>
        </w:rPr>
        <w:t>（2）快速反应，协同应对的原则。以属地为主，建立联动协调制度，统一指挥、反应灵敏、协调有序、运转高效的应急机制。</w:t>
      </w:r>
    </w:p>
    <w:p>
      <w:pPr>
        <w:pStyle w:val="32"/>
        <w:widowControl w:val="0"/>
        <w:spacing w:before="0" w:beforeAutospacing="0" w:after="0" w:afterAutospacing="0" w:line="360" w:lineRule="auto"/>
        <w:ind w:firstLine="420"/>
        <w:jc w:val="both"/>
        <w:rPr>
          <w:rFonts w:hint="eastAsia" w:cs="宋体"/>
          <w:color w:val="auto"/>
        </w:rPr>
      </w:pPr>
      <w:r>
        <w:rPr>
          <w:rFonts w:hint="eastAsia" w:cs="宋体"/>
          <w:color w:val="auto"/>
          <w:lang w:bidi="ar"/>
        </w:rPr>
        <w:t>（3）通信应急保障优先原则。</w:t>
      </w:r>
    </w:p>
    <w:p>
      <w:pPr>
        <w:pStyle w:val="32"/>
        <w:widowControl w:val="0"/>
        <w:spacing w:before="0" w:beforeAutospacing="0" w:after="0" w:afterAutospacing="0" w:line="360" w:lineRule="auto"/>
        <w:ind w:firstLine="420"/>
        <w:jc w:val="both"/>
        <w:rPr>
          <w:rFonts w:hint="eastAsia" w:cs="宋体"/>
          <w:color w:val="auto"/>
        </w:rPr>
      </w:pPr>
      <w:r>
        <w:rPr>
          <w:rFonts w:hint="eastAsia" w:cs="宋体"/>
          <w:color w:val="auto"/>
          <w:lang w:bidi="ar"/>
        </w:rPr>
        <w:t>（4）积极调配公司资源保障应急行动成功开展。</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业务应急保障优先原则</w:t>
      </w:r>
    </w:p>
    <w:p>
      <w:pPr>
        <w:pStyle w:val="32"/>
        <w:widowControl w:val="0"/>
        <w:spacing w:before="0" w:beforeAutospacing="0" w:after="0" w:afterAutospacing="0" w:line="360" w:lineRule="auto"/>
        <w:ind w:left="480"/>
        <w:jc w:val="both"/>
        <w:rPr>
          <w:rFonts w:hint="eastAsia" w:cs="宋体"/>
          <w:color w:val="auto"/>
        </w:rPr>
      </w:pPr>
      <w:r>
        <w:rPr>
          <w:rFonts w:hint="eastAsia" w:cs="宋体"/>
          <w:color w:val="auto"/>
          <w:lang w:bidi="ar"/>
        </w:rPr>
        <w:t>（1）业主单位需应急通信保障时，将按照不同的优先顺序进行保障。通信保障原则是：先平台级，后前端；先急后缓。在任何情况下，都保证系统稳定。</w:t>
      </w:r>
    </w:p>
    <w:p>
      <w:pPr>
        <w:pStyle w:val="32"/>
        <w:widowControl w:val="0"/>
        <w:spacing w:before="0" w:beforeAutospacing="0" w:after="0" w:afterAutospacing="0" w:line="360" w:lineRule="auto"/>
        <w:ind w:left="480"/>
        <w:jc w:val="both"/>
        <w:rPr>
          <w:rFonts w:hint="eastAsia" w:cs="宋体"/>
          <w:color w:val="auto"/>
        </w:rPr>
      </w:pPr>
      <w:r>
        <w:rPr>
          <w:rFonts w:hint="eastAsia" w:cs="宋体"/>
          <w:color w:val="auto"/>
          <w:lang w:bidi="ar"/>
        </w:rPr>
        <w:t>（2）通信线路调度的顺序是：汇聚电路；其他备用通信线路。</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应急业务保障机构</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应急通信领导小组</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组 长：运维单位副总经理</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 xml:space="preserve">副组长：运维经理 </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成 员：客户经理、技术主管、客户工程师</w:t>
      </w:r>
    </w:p>
    <w:p>
      <w:pPr>
        <w:adjustRightInd w:val="0"/>
        <w:spacing w:line="360" w:lineRule="auto"/>
        <w:ind w:firstLine="482" w:firstLineChars="200"/>
        <w:textAlignment w:val="baseline"/>
        <w:rPr>
          <w:rFonts w:hint="eastAsia" w:ascii="宋体" w:hAnsi="宋体" w:cs="宋体"/>
          <w:b/>
          <w:sz w:val="24"/>
        </w:rPr>
      </w:pPr>
      <w:r>
        <w:rPr>
          <w:rFonts w:hint="eastAsia" w:ascii="宋体" w:hAnsi="宋体" w:cs="宋体"/>
          <w:b/>
          <w:kern w:val="0"/>
          <w:sz w:val="24"/>
          <w:lang w:bidi="ar"/>
        </w:rPr>
        <w:t>应急指挥业务保障行动预案</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结合本项目整体特点，联合为主共同制订项目应急指挥业务保障行动预案，预案涵盖平台设备、指挥中心、分中心、前端设备等等内容。</w:t>
      </w:r>
    </w:p>
    <w:p>
      <w:pPr>
        <w:pStyle w:val="5"/>
        <w:numPr>
          <w:ilvl w:val="2"/>
          <w:numId w:val="3"/>
        </w:numPr>
        <w:spacing w:before="163" w:after="163"/>
        <w:rPr>
          <w:rFonts w:hint="eastAsia" w:ascii="宋体" w:hAnsi="宋体" w:cs="宋体"/>
          <w:szCs w:val="24"/>
        </w:rPr>
      </w:pPr>
      <w:bookmarkStart w:id="359" w:name="_Toc437711534"/>
      <w:bookmarkEnd w:id="359"/>
      <w:r>
        <w:fldChar w:fldCharType="begin"/>
      </w:r>
      <w:r>
        <w:instrText xml:space="preserve"> HYPERLINK "" \l "_Toc364702324" </w:instrText>
      </w:r>
      <w:r>
        <w:fldChar w:fldCharType="separate"/>
      </w:r>
      <w:r>
        <w:rPr>
          <w:rStyle w:val="43"/>
          <w:rFonts w:hint="eastAsia" w:ascii="宋体" w:hAnsi="宋体" w:cs="宋体"/>
          <w:color w:val="auto"/>
          <w:szCs w:val="24"/>
        </w:rPr>
        <w:t>割接保障方案</w:t>
      </w:r>
      <w:r>
        <w:fldChar w:fldCharType="end"/>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如果业主单位根据需要对系统资源进行整合的时候，提供完善的系统割接服务。运维团队将与项目负责人一起确定割接实施方案，并选择在业务流量最小的时间（如凌晨）进行割接，并在割接后及时测试，保证相关业务的迅速恢复。割接实施顺序流程如下图。</w:t>
      </w:r>
    </w:p>
    <w:p>
      <w:pPr>
        <w:adjustRightInd w:val="0"/>
        <w:spacing w:line="360" w:lineRule="auto"/>
        <w:ind w:firstLine="480" w:firstLineChars="200"/>
        <w:jc w:val="center"/>
        <w:textAlignment w:val="baseline"/>
        <w:rPr>
          <w:rFonts w:hint="eastAsia" w:ascii="宋体" w:hAnsi="宋体" w:cs="宋体"/>
          <w:sz w:val="24"/>
        </w:rPr>
      </w:pPr>
      <w:r>
        <w:rPr>
          <w:kern w:val="0"/>
          <w:sz w:val="24"/>
          <w:lang w:bidi="ar"/>
        </w:rPr>
        <w:drawing>
          <wp:inline distT="0" distB="0" distL="114300" distR="114300">
            <wp:extent cx="4724400" cy="3876675"/>
            <wp:effectExtent l="0" t="0" r="0" b="9525"/>
            <wp:docPr id="27" name="图片 98"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8" descr="IMG_281"/>
                    <pic:cNvPicPr>
                      <a:picLocks noChangeAspect="1"/>
                    </pic:cNvPicPr>
                  </pic:nvPicPr>
                  <pic:blipFill>
                    <a:blip r:embed="rId34"/>
                    <a:stretch>
                      <a:fillRect/>
                    </a:stretch>
                  </pic:blipFill>
                  <pic:spPr>
                    <a:xfrm>
                      <a:off x="0" y="0"/>
                      <a:ext cx="4724400" cy="3876675"/>
                    </a:xfrm>
                    <a:prstGeom prst="rect">
                      <a:avLst/>
                    </a:prstGeom>
                    <a:noFill/>
                    <a:ln>
                      <a:noFill/>
                    </a:ln>
                  </pic:spPr>
                </pic:pic>
              </a:graphicData>
            </a:graphic>
          </wp:inline>
        </w:drawing>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在系统运行期间，如遇到网络调整，如网络扩容、设备升级、路由调整、光缆抢修等重大操作，可能会对业主单位造成影响。此时将提前三天通知业主单位，提前做好准备。调整完毕后，运维部门将配合进行必要的测试，保证业务运行恢复正常。</w:t>
      </w:r>
    </w:p>
    <w:p>
      <w:pPr>
        <w:pStyle w:val="5"/>
        <w:numPr>
          <w:ilvl w:val="2"/>
          <w:numId w:val="3"/>
        </w:numPr>
        <w:spacing w:before="163" w:after="163"/>
        <w:rPr>
          <w:rFonts w:hint="eastAsia" w:ascii="宋体" w:hAnsi="宋体" w:cs="宋体"/>
          <w:szCs w:val="24"/>
        </w:rPr>
      </w:pPr>
      <w:bookmarkStart w:id="360" w:name="_Toc437711535"/>
      <w:bookmarkEnd w:id="360"/>
      <w:r>
        <w:fldChar w:fldCharType="begin"/>
      </w:r>
      <w:r>
        <w:instrText xml:space="preserve"> HYPERLINK "" \l "_Toc364702324" </w:instrText>
      </w:r>
      <w:r>
        <w:fldChar w:fldCharType="separate"/>
      </w:r>
      <w:r>
        <w:rPr>
          <w:rStyle w:val="43"/>
          <w:rFonts w:hint="eastAsia" w:ascii="宋体" w:hAnsi="宋体" w:cs="宋体"/>
          <w:color w:val="auto"/>
          <w:szCs w:val="24"/>
        </w:rPr>
        <w:t>网络优化方案</w:t>
      </w:r>
      <w:r>
        <w:fldChar w:fldCharType="end"/>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帮助业主单位提升网络整体安全水平，建立有效的网络及信息安全体系，帮助业主单位降低成本，为业主单位提供网络评估和优化咨询服务。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结合评估和优化结果，制定大修和年度维护的程序和计划。</w:t>
      </w:r>
    </w:p>
    <w:p>
      <w:pPr>
        <w:pStyle w:val="4"/>
        <w:keepNext w:val="0"/>
        <w:keepLines w:val="0"/>
        <w:widowControl/>
        <w:numPr>
          <w:ilvl w:val="1"/>
          <w:numId w:val="3"/>
        </w:numPr>
        <w:rPr>
          <w:rFonts w:hint="eastAsia" w:ascii="宋体" w:hAnsi="宋体" w:eastAsia="宋体" w:cs="宋体"/>
          <w:sz w:val="24"/>
          <w:szCs w:val="24"/>
        </w:rPr>
      </w:pPr>
      <w:bookmarkStart w:id="361" w:name="_Toc17"/>
      <w:bookmarkEnd w:id="361"/>
      <w:r>
        <w:fldChar w:fldCharType="begin"/>
      </w:r>
      <w:r>
        <w:instrText xml:space="preserve"> HYPERLINK "" \l "_Toc364702324" </w:instrText>
      </w:r>
      <w:r>
        <w:fldChar w:fldCharType="separate"/>
      </w:r>
      <w:r>
        <w:rPr>
          <w:rStyle w:val="43"/>
          <w:rFonts w:hint="eastAsia" w:ascii="宋体" w:hAnsi="宋体" w:eastAsia="宋体" w:cs="宋体"/>
          <w:color w:val="auto"/>
          <w:sz w:val="24"/>
          <w:szCs w:val="24"/>
        </w:rPr>
        <w:t>备品备件</w:t>
      </w:r>
      <w:r>
        <w:fldChar w:fldCharType="end"/>
      </w:r>
      <w:r>
        <w:rPr>
          <w:rFonts w:hint="eastAsia" w:ascii="宋体" w:hAnsi="宋体" w:eastAsia="宋体" w:cs="宋体"/>
          <w:sz w:val="24"/>
          <w:szCs w:val="24"/>
        </w:rPr>
        <w:t>要求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为了顺利达到服务质量目标及应急指挥通信保障行动实施，设立项目设备备品备件库各投标人对备品备件自行考虑，满足日常维护需求。</w:t>
      </w:r>
    </w:p>
    <w:p>
      <w:pPr>
        <w:pStyle w:val="3"/>
        <w:widowControl/>
        <w:numPr>
          <w:ilvl w:val="0"/>
          <w:numId w:val="3"/>
        </w:numPr>
        <w:jc w:val="center"/>
        <w:rPr>
          <w:rFonts w:hint="eastAsia" w:ascii="宋体" w:hAnsi="宋体" w:cs="宋体"/>
          <w:sz w:val="24"/>
          <w:szCs w:val="24"/>
        </w:rPr>
      </w:pPr>
      <w:bookmarkStart w:id="362" w:name="_Toc47901016"/>
      <w:bookmarkEnd w:id="362"/>
      <w:bookmarkStart w:id="363" w:name="_Toc365417100"/>
      <w:r>
        <w:rPr>
          <w:rFonts w:hint="eastAsia" w:ascii="宋体" w:hAnsi="宋体" w:cs="宋体"/>
          <w:sz w:val="24"/>
          <w:szCs w:val="24"/>
        </w:rPr>
        <w:t>项目实施深化设计要求</w:t>
      </w:r>
      <w:bookmarkEnd w:id="363"/>
    </w:p>
    <w:p>
      <w:pPr>
        <w:adjustRightInd w:val="0"/>
        <w:spacing w:line="360" w:lineRule="auto"/>
        <w:ind w:firstLine="480" w:firstLineChars="200"/>
        <w:textAlignment w:val="baseline"/>
        <w:rPr>
          <w:rFonts w:hint="eastAsia" w:ascii="宋体" w:hAnsi="宋体" w:cs="宋体"/>
          <w:sz w:val="24"/>
        </w:rPr>
      </w:pPr>
      <w:bookmarkStart w:id="364" w:name="_Toc4985"/>
      <w:bookmarkEnd w:id="364"/>
      <w:bookmarkStart w:id="365" w:name="_Toc365417105"/>
      <w:r>
        <w:rPr>
          <w:rFonts w:hint="eastAsia" w:ascii="宋体" w:hAnsi="宋体" w:cs="宋体"/>
          <w:kern w:val="0"/>
          <w:sz w:val="24"/>
          <w:lang w:bidi="ar"/>
        </w:rPr>
        <w:t>投标人中标后，应提交完整的投标文件（含方案说明、图纸及投标报价明细清单等，纸质盖章文件和电子档文件）给业主方及监理方，配合各方完成投标内容的确认。同时，应对初步设计方案及招标需求进行熟悉、消化，理解本项目的设计思路和建设内容，并结合设计单位提供的图纸完成外场的复勘及核对，配合设计单位完善设计图纸的工作。在提交优化设计图纸时中标方要出具有相应设计资质的设计单位盖章的详细杆件构造图。</w:t>
      </w:r>
      <w:bookmarkEnd w:id="365"/>
    </w:p>
    <w:p>
      <w:pPr>
        <w:pStyle w:val="3"/>
        <w:widowControl/>
        <w:numPr>
          <w:ilvl w:val="0"/>
          <w:numId w:val="3"/>
        </w:numPr>
        <w:jc w:val="center"/>
        <w:rPr>
          <w:rFonts w:hint="eastAsia" w:ascii="宋体" w:hAnsi="宋体" w:cs="宋体"/>
          <w:sz w:val="24"/>
          <w:szCs w:val="24"/>
        </w:rPr>
      </w:pPr>
      <w:bookmarkStart w:id="366" w:name="_Toc365417131"/>
      <w:bookmarkEnd w:id="366"/>
      <w:bookmarkStart w:id="367" w:name="_Toc47901017"/>
      <w:r>
        <w:rPr>
          <w:rFonts w:hint="eastAsia" w:ascii="宋体" w:hAnsi="宋体" w:cs="宋体"/>
          <w:sz w:val="24"/>
          <w:szCs w:val="24"/>
        </w:rPr>
        <w:t>其他要求</w:t>
      </w:r>
      <w:bookmarkEnd w:id="367"/>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1、投标人所投设备货物的技术参数不应低于本项目的技术要求和档次。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2、对上述采购物品需求、技术等有疑问或需要查勘现场的（包括图纸）请向招标人咨询、索取。代理机构不负责此类问题的口头答复，若遇技术问题的具体更正将以正式的补充文件或者招标文件修订版形式发送投标人。投标人的咨询电话详见招标文件封面。</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3、这份规格书只是对一些原则性要求，并不是详尽的要求，上述功能要求内容中未列入，但投标人所报设备中为标准配置或应当具备的功能配置，应含在总报价中列出及加以说明，投标人保证系统建成后一次性通过验收及正常运行，否则造成系统不能正常运行，一切后果由中标人完全负责，并且总价不再调整。</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4、中标人须按国家有关规定及标准完成本次招标设备的供货、运输、装卸、就位、安装、调试、检测及通过有关部门验收、提供五年服务（从终验合格并整体交付使用之日起算）等各项工作，并保证设备使用的安全性能与检测结果的可靠性。中标人对中标设备使用的安全性能与检测结果的可靠性负全部责任。</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5、设备的完整性</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中标人所提供的设备必须是全新的、完整未拆封的、有效的、功能齐全的设备，所有设备及附件均须是从合法商业渠道获得的，并为原生产商出厂正品，所有的部件必须无任何缺陷。</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6、检测性能测试与验收</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中标人应提供设备的有效检验文件，经招标人认可后，与合同的性能指标一起作为设备验收标准，中标人聘请招标人认可的有国家资质第三方计量部门单位对设备进行复检和性能测试，中标人应派出有经验的，高水平的技术人员协助此项工作。经招标人组织设备验收合格后，双方共同签署验收合格证书，验收标准应符合有关规定。聘请第三方计量部门所有费用需要在投标时一并考虑。</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7、中标人须提供的技术服务</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中标人提供的设备需为原包装并同时提供相应的软件技术。中标人所提供的设备、软件，如涉及其他单位的专利权、知识产权等，应提供相应的使用授权书。中标人对一切可能的侵权指控负责。中标人应及时免费提供设备软件的升级，免费提供设备新功能和应用的资料。</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8、系统的基础施工工程，投标人须自行现场勘察，并根据现场实际情况优化设计方案（须满足招标文件与国家标准要求），自行确定工程量。</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9、投标人对在合同执行中，除上述费用及招标文件规定的由投标人负责的工作范围以外需要招标人协调或提供便利的工作应当在投标文件中说明。</w:t>
      </w:r>
    </w:p>
    <w:p>
      <w:pPr>
        <w:adjustRightInd w:val="0"/>
        <w:snapToGrid w:val="0"/>
        <w:spacing w:line="360" w:lineRule="auto"/>
        <w:ind w:firstLine="441" w:firstLineChars="184"/>
        <w:textAlignment w:val="baseline"/>
        <w:rPr>
          <w:rFonts w:hint="eastAsia" w:ascii="宋体" w:hAnsi="宋体" w:cs="宋体"/>
          <w:sz w:val="24"/>
        </w:rPr>
      </w:pPr>
      <w:r>
        <w:rPr>
          <w:rFonts w:hint="eastAsia" w:ascii="宋体" w:hAnsi="宋体" w:cs="宋体"/>
          <w:kern w:val="0"/>
          <w:sz w:val="24"/>
          <w:lang w:bidi="ar"/>
        </w:rPr>
        <w:t>10、招标文件技术部分提供提供的立杆杆件尺寸仅供参考，投标人应根据自身投标产品特性需要进行杆件规格设计，在工程实施过程中进行调整。招标文件点位清单中注明借杆/墙的点位，如在工程实施过程中无法借杆/墙安装时，可以进行增加杆件及相应基础、接地等配套。</w:t>
      </w:r>
    </w:p>
    <w:p>
      <w:pPr>
        <w:adjustRightInd w:val="0"/>
        <w:snapToGrid w:val="0"/>
        <w:spacing w:line="360" w:lineRule="auto"/>
        <w:ind w:firstLine="441" w:firstLineChars="184"/>
        <w:textAlignment w:val="baseline"/>
        <w:rPr>
          <w:rFonts w:hint="eastAsia" w:ascii="宋体" w:hAnsi="宋体" w:cs="宋体"/>
          <w:sz w:val="24"/>
        </w:rPr>
      </w:pPr>
      <w:r>
        <w:rPr>
          <w:rFonts w:hint="eastAsia" w:ascii="宋体" w:hAnsi="宋体" w:cs="宋体"/>
          <w:kern w:val="0"/>
          <w:sz w:val="24"/>
          <w:lang w:bidi="ar"/>
        </w:rPr>
        <w:t>11、投标人在投标文件中应明确所选用材料、设备的品牌、厂家以及质量等级。其中招标人材料设备参考品牌指的是招标人拟采用的材料、设备的档次。</w:t>
      </w:r>
    </w:p>
    <w:p>
      <w:pPr>
        <w:adjustRightInd w:val="0"/>
        <w:snapToGrid w:val="0"/>
        <w:spacing w:line="360" w:lineRule="auto"/>
        <w:ind w:firstLine="441" w:firstLineChars="184"/>
        <w:textAlignment w:val="baseline"/>
        <w:rPr>
          <w:rFonts w:hint="eastAsia" w:ascii="宋体" w:hAnsi="宋体" w:cs="宋体"/>
          <w:sz w:val="24"/>
        </w:rPr>
      </w:pPr>
      <w:r>
        <w:rPr>
          <w:rFonts w:hint="eastAsia" w:ascii="宋体" w:hAnsi="宋体" w:cs="宋体"/>
          <w:kern w:val="0"/>
          <w:sz w:val="24"/>
          <w:lang w:bidi="ar"/>
        </w:rPr>
        <w:t>12、中标人需在设备到货时提供设备出厂合格证明，原装正品证明（摄像机、光端机、补光灯、闪光灯、高清镜头、杆件、设备箱、网络设备、级联网关、光纤传输设备、存储、服务器、交换机、中心机房设备须原厂商出具质保函，加盖原厂商合法代表公章），如果投标人不能提供以上证明及质保函，则招标人可以按验收不予通过处理。</w:t>
      </w:r>
    </w:p>
    <w:p>
      <w:pPr>
        <w:adjustRightInd w:val="0"/>
        <w:snapToGrid w:val="0"/>
        <w:spacing w:line="360" w:lineRule="auto"/>
        <w:ind w:firstLine="441" w:firstLineChars="184"/>
        <w:textAlignment w:val="baseline"/>
        <w:rPr>
          <w:rFonts w:hint="eastAsia" w:ascii="宋体" w:hAnsi="宋体" w:cs="宋体"/>
          <w:sz w:val="24"/>
        </w:rPr>
      </w:pPr>
      <w:r>
        <w:rPr>
          <w:rFonts w:hint="eastAsia" w:ascii="宋体" w:hAnsi="宋体" w:cs="宋体"/>
          <w:kern w:val="0"/>
          <w:sz w:val="24"/>
          <w:lang w:bidi="ar"/>
        </w:rPr>
        <w:t>13、招标人一旦发现投标人存在提供假冒伪劣货物或不满足实际功能需求的设备等情况，投标人必须无条件予以更换，更换设备的技术参数不应低于本项目的技术要求和档次，并且承担造成的后果。</w:t>
      </w:r>
    </w:p>
    <w:p>
      <w:pPr>
        <w:adjustRightInd w:val="0"/>
        <w:snapToGrid w:val="0"/>
        <w:spacing w:line="360" w:lineRule="auto"/>
        <w:ind w:firstLine="441" w:firstLineChars="184"/>
        <w:textAlignment w:val="baseline"/>
        <w:rPr>
          <w:rFonts w:hint="eastAsia" w:ascii="宋体" w:hAnsi="宋体" w:cs="宋体"/>
          <w:sz w:val="24"/>
        </w:rPr>
      </w:pPr>
      <w:r>
        <w:rPr>
          <w:rFonts w:hint="eastAsia" w:ascii="宋体" w:hAnsi="宋体" w:cs="宋体"/>
          <w:kern w:val="0"/>
          <w:sz w:val="24"/>
          <w:lang w:bidi="ar"/>
        </w:rPr>
        <w:t>14、根据本期雪亮工程视频建设整体要求，设备清单中如有缺漏，请投标人自行补足，投标人提供的设备清单必须能够完全实现整体要求，服务期内发现因设备数量估算不足从而无法完整实现整体功能的，将由中标人出资补足（补足的设备技术参数不得低于投标承诺的同类设备），招标人不再另行支付额外费用。</w:t>
      </w:r>
    </w:p>
    <w:p>
      <w:pPr>
        <w:adjustRightInd w:val="0"/>
        <w:snapToGrid w:val="0"/>
        <w:spacing w:line="360" w:lineRule="auto"/>
        <w:ind w:firstLine="441" w:firstLineChars="184"/>
        <w:textAlignment w:val="baseline"/>
        <w:rPr>
          <w:rFonts w:hint="eastAsia" w:ascii="宋体" w:hAnsi="宋体" w:cs="宋体"/>
          <w:sz w:val="24"/>
        </w:rPr>
      </w:pPr>
      <w:r>
        <w:rPr>
          <w:rFonts w:hint="eastAsia" w:ascii="宋体" w:hAnsi="宋体" w:cs="宋体"/>
          <w:kern w:val="0"/>
          <w:sz w:val="24"/>
          <w:lang w:bidi="ar"/>
        </w:rPr>
        <w:t>15、中标人应承诺保护招标人在使用合同产品或其任何一部分时不受第三方提出侵犯专利权、商标权和工业设计权等的起诉。如果任何第三方提出侵权指控，由中标人负责与第三方交涉并承担可能发生的一切费用和相关法律责任，招标人不承担由此引起的一切经济和法律责任。</w:t>
      </w:r>
    </w:p>
    <w:p>
      <w:pPr>
        <w:adjustRightInd w:val="0"/>
        <w:snapToGrid w:val="0"/>
        <w:spacing w:line="360" w:lineRule="auto"/>
        <w:ind w:firstLine="441" w:firstLineChars="184"/>
        <w:textAlignment w:val="baseline"/>
        <w:rPr>
          <w:rFonts w:hint="eastAsia" w:ascii="宋体" w:hAnsi="宋体" w:cs="宋体"/>
          <w:sz w:val="24"/>
        </w:rPr>
      </w:pPr>
      <w:r>
        <w:rPr>
          <w:rFonts w:hint="eastAsia" w:ascii="宋体" w:hAnsi="宋体" w:cs="宋体"/>
          <w:kern w:val="0"/>
          <w:sz w:val="24"/>
          <w:lang w:bidi="ar"/>
        </w:rPr>
        <w:t>16、服务期限内，设备故障无法修复且设备生产商停产或停用的，中标人应提供不低于原设备技术要求和档次的原厂产品（优先选择）或兼容产品。</w:t>
      </w:r>
    </w:p>
    <w:p>
      <w:pPr>
        <w:adjustRightInd w:val="0"/>
        <w:snapToGrid w:val="0"/>
        <w:spacing w:line="400" w:lineRule="exact"/>
        <w:ind w:firstLine="441" w:firstLineChars="184"/>
        <w:textAlignment w:val="baseline"/>
        <w:rPr>
          <w:rFonts w:hint="eastAsia" w:ascii="宋体" w:hAnsi="宋体" w:cs="宋体"/>
          <w:sz w:val="24"/>
        </w:rPr>
      </w:pPr>
      <w:r>
        <w:rPr>
          <w:rFonts w:hint="eastAsia" w:ascii="宋体" w:hAnsi="宋体" w:cs="宋体"/>
          <w:kern w:val="0"/>
          <w:sz w:val="24"/>
          <w:lang w:bidi="ar"/>
        </w:rPr>
        <w:t xml:space="preserve"> </w:t>
      </w:r>
    </w:p>
    <w:p>
      <w:pPr>
        <w:rPr>
          <w:rFonts w:hint="eastAsia" w:ascii="宋体" w:hAnsi="宋体" w:cs="宋体"/>
          <w:kern w:val="44"/>
          <w:sz w:val="24"/>
        </w:rPr>
        <w:sectPr>
          <w:footnotePr>
            <w:numRestart w:val="eachPage"/>
          </w:footnotePr>
          <w:endnotePr>
            <w:numRestart w:val="eachSect"/>
          </w:endnotePr>
          <w:pgSz w:w="11906" w:h="16838"/>
          <w:pgMar w:top="1701" w:right="1418" w:bottom="1559" w:left="1418" w:header="851" w:footer="992" w:gutter="0"/>
          <w:pgBorders w:offsetFrom="page">
            <w:top w:val="none" w:sz="0" w:space="0"/>
            <w:left w:val="none" w:sz="0" w:space="0"/>
            <w:bottom w:val="none" w:sz="0" w:space="0"/>
            <w:right w:val="none" w:sz="0" w:space="0"/>
          </w:pgBorders>
          <w:cols w:space="720" w:num="1"/>
          <w:docGrid w:type="lines" w:linePitch="326" w:charSpace="-6554"/>
        </w:sectPr>
      </w:pPr>
    </w:p>
    <w:p>
      <w:pPr>
        <w:pStyle w:val="3"/>
        <w:widowControl/>
        <w:numPr>
          <w:ilvl w:val="0"/>
          <w:numId w:val="3"/>
        </w:numPr>
        <w:spacing w:before="0" w:after="0" w:line="360" w:lineRule="auto"/>
        <w:ind w:left="431" w:hanging="431"/>
        <w:jc w:val="center"/>
        <w:rPr>
          <w:rFonts w:hint="eastAsia" w:ascii="宋体" w:hAnsi="宋体" w:cs="宋体"/>
          <w:sz w:val="32"/>
          <w:szCs w:val="32"/>
        </w:rPr>
      </w:pPr>
      <w:bookmarkStart w:id="368" w:name="_Toc47901018"/>
      <w:bookmarkEnd w:id="368"/>
      <w:r>
        <w:rPr>
          <w:rFonts w:hint="eastAsia" w:ascii="宋体" w:hAnsi="宋体" w:cs="宋体"/>
          <w:sz w:val="32"/>
          <w:szCs w:val="32"/>
        </w:rPr>
        <w:t>标段一：</w:t>
      </w:r>
    </w:p>
    <w:p>
      <w:pPr>
        <w:pStyle w:val="32"/>
        <w:widowControl w:val="0"/>
        <w:spacing w:before="0" w:beforeAutospacing="0" w:after="0" w:afterAutospacing="0" w:line="360" w:lineRule="auto"/>
        <w:jc w:val="center"/>
        <w:rPr>
          <w:rFonts w:hint="eastAsia" w:cs="宋体"/>
          <w:b/>
          <w:color w:val="auto"/>
          <w:lang w:bidi="ar"/>
        </w:rPr>
      </w:pPr>
      <w:r>
        <w:rPr>
          <w:rFonts w:hint="eastAsia" w:cs="宋体"/>
          <w:b/>
          <w:color w:val="auto"/>
          <w:lang w:bidi="ar"/>
        </w:rPr>
        <w:t>台州市公安局集聚区分局雪亮工程（三期）前端点位建设项目</w:t>
      </w:r>
    </w:p>
    <w:p>
      <w:pPr>
        <w:pStyle w:val="32"/>
        <w:widowControl w:val="0"/>
        <w:spacing w:before="0" w:beforeAutospacing="0" w:after="0" w:afterAutospacing="0" w:line="360" w:lineRule="auto"/>
        <w:jc w:val="center"/>
        <w:rPr>
          <w:rFonts w:hint="eastAsia" w:cs="宋体"/>
          <w:b/>
          <w:color w:val="auto"/>
        </w:rPr>
      </w:pPr>
      <w:r>
        <w:rPr>
          <w:rFonts w:hint="eastAsia" w:cs="宋体"/>
          <w:b/>
          <w:color w:val="auto"/>
          <w:lang w:bidi="ar"/>
        </w:rPr>
        <w:t>主要设备清单及主要设备清单技术参数</w:t>
      </w:r>
    </w:p>
    <w:p>
      <w:pPr>
        <w:pStyle w:val="32"/>
        <w:widowControl w:val="0"/>
        <w:spacing w:before="0" w:beforeAutospacing="0" w:after="0" w:afterAutospacing="0" w:line="360" w:lineRule="auto"/>
        <w:jc w:val="center"/>
        <w:rPr>
          <w:rFonts w:hint="eastAsia" w:cs="宋体"/>
          <w:b/>
          <w:color w:val="auto"/>
        </w:rPr>
      </w:pPr>
      <w:r>
        <w:rPr>
          <w:rStyle w:val="55"/>
          <w:rFonts w:hint="eastAsia" w:cs="宋体"/>
          <w:b/>
          <w:color w:val="auto"/>
          <w:lang w:bidi="ar"/>
        </w:rPr>
        <w:t>一、</w:t>
      </w:r>
      <w:r>
        <w:rPr>
          <w:rStyle w:val="55"/>
          <w:rFonts w:hint="eastAsia" w:ascii="宋体" w:hAnsi="宋体" w:cs="宋体"/>
          <w:b/>
          <w:color w:val="auto"/>
          <w:lang w:bidi="ar"/>
        </w:rPr>
        <w:t>主要设备清单</w:t>
      </w:r>
    </w:p>
    <w:p>
      <w:pPr>
        <w:adjustRightInd w:val="0"/>
        <w:spacing w:line="360" w:lineRule="auto"/>
        <w:ind w:firstLine="480" w:firstLineChars="200"/>
        <w:textAlignment w:val="baseline"/>
        <w:rPr>
          <w:rFonts w:hint="eastAsia" w:ascii="宋体" w:hAnsi="宋体" w:cs="宋体"/>
          <w:kern w:val="21"/>
          <w:sz w:val="24"/>
        </w:rPr>
      </w:pPr>
      <w:r>
        <w:rPr>
          <w:rFonts w:hint="eastAsia" w:ascii="宋体" w:hAnsi="宋体" w:cs="宋体"/>
          <w:kern w:val="21"/>
          <w:sz w:val="24"/>
          <w:lang w:bidi="ar"/>
        </w:rPr>
        <w:t>本表为参考配置，投标人可根据实际情况增补设备数量，整体方案实现所要求的功能即可，并要求能与台州市公安天网工程视频作战侦查平台实现无缝对接，并由中标人承担相关的一切费用。</w:t>
      </w:r>
    </w:p>
    <w:tbl>
      <w:tblPr>
        <w:tblStyle w:val="37"/>
        <w:tblW w:w="5003" w:type="pct"/>
        <w:tblInd w:w="0" w:type="dxa"/>
        <w:tblLayout w:type="autofit"/>
        <w:tblCellMar>
          <w:top w:w="0" w:type="dxa"/>
          <w:left w:w="108" w:type="dxa"/>
          <w:bottom w:w="0" w:type="dxa"/>
          <w:right w:w="108" w:type="dxa"/>
        </w:tblCellMar>
      </w:tblPr>
      <w:tblGrid>
        <w:gridCol w:w="609"/>
        <w:gridCol w:w="3942"/>
        <w:gridCol w:w="15"/>
        <w:gridCol w:w="3247"/>
        <w:gridCol w:w="885"/>
        <w:gridCol w:w="880"/>
      </w:tblGrid>
      <w:tr>
        <w:tblPrEx>
          <w:tblCellMar>
            <w:top w:w="0" w:type="dxa"/>
            <w:left w:w="108" w:type="dxa"/>
            <w:bottom w:w="0" w:type="dxa"/>
            <w:right w:w="108" w:type="dxa"/>
          </w:tblCellMar>
        </w:tblPrEx>
        <w:trPr>
          <w:trHeight w:val="480" w:hRule="atLeast"/>
        </w:trPr>
        <w:tc>
          <w:tcPr>
            <w:tcW w:w="31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序号</w:t>
            </w:r>
          </w:p>
        </w:tc>
        <w:tc>
          <w:tcPr>
            <w:tcW w:w="2058" w:type="pct"/>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设备名称</w:t>
            </w:r>
          </w:p>
        </w:tc>
        <w:tc>
          <w:tcPr>
            <w:tcW w:w="1703" w:type="pct"/>
            <w:gridSpan w:val="2"/>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参考品牌</w:t>
            </w:r>
          </w:p>
        </w:tc>
        <w:tc>
          <w:tcPr>
            <w:tcW w:w="462" w:type="pct"/>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单位</w:t>
            </w:r>
          </w:p>
        </w:tc>
        <w:tc>
          <w:tcPr>
            <w:tcW w:w="458" w:type="pct"/>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数量</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c>
          <w:tcPr>
            <w:tcW w:w="4682" w:type="pct"/>
            <w:gridSpan w:val="5"/>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一、治安监控摄像机部分</w:t>
            </w:r>
          </w:p>
        </w:tc>
      </w:tr>
      <w:tr>
        <w:tblPrEx>
          <w:tblCellMar>
            <w:top w:w="0" w:type="dxa"/>
            <w:left w:w="108" w:type="dxa"/>
            <w:bottom w:w="0" w:type="dxa"/>
            <w:right w:w="108" w:type="dxa"/>
          </w:tblCellMar>
        </w:tblPrEx>
        <w:trPr>
          <w:trHeight w:val="130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400万超星光高清网络枪机(含400万以上高清镜头在护罩内含网络防雷保护器、电源、护罩及杆装支架，含64G高速SD卡或TF卡)</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海康、大华、华为、宇视或相当于</w:t>
            </w: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251</w:t>
            </w:r>
          </w:p>
        </w:tc>
      </w:tr>
      <w:tr>
        <w:tblPrEx>
          <w:tblCellMar>
            <w:top w:w="0" w:type="dxa"/>
            <w:left w:w="108" w:type="dxa"/>
            <w:bottom w:w="0" w:type="dxa"/>
            <w:right w:w="108" w:type="dxa"/>
          </w:tblCellMar>
        </w:tblPrEx>
        <w:trPr>
          <w:trHeight w:val="792" w:hRule="atLeast"/>
        </w:trPr>
        <w:tc>
          <w:tcPr>
            <w:tcW w:w="318" w:type="pct"/>
            <w:tcBorders>
              <w:top w:val="nil"/>
              <w:left w:val="single" w:color="auto" w:sz="4" w:space="0"/>
              <w:bottom w:val="single" w:color="auto"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w:t>
            </w:r>
          </w:p>
        </w:tc>
        <w:tc>
          <w:tcPr>
            <w:tcW w:w="2058" w:type="pct"/>
            <w:tcBorders>
              <w:top w:val="nil"/>
              <w:left w:val="nil"/>
              <w:bottom w:val="single" w:color="auto" w:sz="4" w:space="0"/>
              <w:right w:val="single" w:color="auto" w:sz="4" w:space="0"/>
            </w:tcBorders>
            <w:shd w:val="clear" w:color="auto" w:fill="auto"/>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400万IP球型摄像机（含64G高速SD卡或TF卡)</w:t>
            </w:r>
          </w:p>
        </w:tc>
        <w:tc>
          <w:tcPr>
            <w:tcW w:w="1703" w:type="pct"/>
            <w:gridSpan w:val="2"/>
            <w:tcBorders>
              <w:top w:val="nil"/>
              <w:left w:val="nil"/>
              <w:bottom w:val="single" w:color="auto"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海康、大华、华为、宇视或相当于</w:t>
            </w:r>
          </w:p>
        </w:tc>
        <w:tc>
          <w:tcPr>
            <w:tcW w:w="462" w:type="pct"/>
            <w:tcBorders>
              <w:top w:val="nil"/>
              <w:left w:val="nil"/>
              <w:bottom w:val="single" w:color="auto"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458" w:type="pc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10</w:t>
            </w:r>
          </w:p>
        </w:tc>
      </w:tr>
      <w:tr>
        <w:tblPrEx>
          <w:tblCellMar>
            <w:top w:w="0" w:type="dxa"/>
            <w:left w:w="108" w:type="dxa"/>
            <w:bottom w:w="0" w:type="dxa"/>
            <w:right w:w="108" w:type="dxa"/>
          </w:tblCellMar>
        </w:tblPrEx>
        <w:trPr>
          <w:trHeight w:val="1032" w:hRule="atLeast"/>
        </w:trPr>
        <w:tc>
          <w:tcPr>
            <w:tcW w:w="318" w:type="pct"/>
            <w:tcBorders>
              <w:top w:val="nil"/>
              <w:left w:val="single" w:color="auto" w:sz="4" w:space="0"/>
              <w:bottom w:val="single" w:color="auto"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w:t>
            </w:r>
          </w:p>
        </w:tc>
        <w:tc>
          <w:tcPr>
            <w:tcW w:w="2058" w:type="pc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400万高清网络人脸枪机(含400万以上高清镜头在护罩内含网络防雷保护器、电源、护罩及杆装支架，含64G高速SD卡或TF卡)</w:t>
            </w:r>
          </w:p>
        </w:tc>
        <w:tc>
          <w:tcPr>
            <w:tcW w:w="1703" w:type="pct"/>
            <w:gridSpan w:val="2"/>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海康、大华、华为、宇视或相当于</w:t>
            </w:r>
          </w:p>
        </w:tc>
        <w:tc>
          <w:tcPr>
            <w:tcW w:w="462" w:type="pc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458" w:type="pc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232</w:t>
            </w:r>
          </w:p>
        </w:tc>
      </w:tr>
      <w:tr>
        <w:tblPrEx>
          <w:tblCellMar>
            <w:top w:w="0" w:type="dxa"/>
            <w:left w:w="108" w:type="dxa"/>
            <w:bottom w:w="0" w:type="dxa"/>
            <w:right w:w="108" w:type="dxa"/>
          </w:tblCellMar>
        </w:tblPrEx>
        <w:trPr>
          <w:trHeight w:val="977" w:hRule="atLeast"/>
        </w:trPr>
        <w:tc>
          <w:tcPr>
            <w:tcW w:w="318" w:type="pct"/>
            <w:tcBorders>
              <w:top w:val="nil"/>
              <w:left w:val="single" w:color="auto" w:sz="4" w:space="0"/>
              <w:bottom w:val="single" w:color="auto"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5</w:t>
            </w:r>
          </w:p>
        </w:tc>
        <w:tc>
          <w:tcPr>
            <w:tcW w:w="2058" w:type="pc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400万人脸多摄抓拍机电源、护罩及杆装支架，含64G高速SD卡或TF卡)</w:t>
            </w:r>
          </w:p>
        </w:tc>
        <w:tc>
          <w:tcPr>
            <w:tcW w:w="1703" w:type="pct"/>
            <w:gridSpan w:val="2"/>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海康、大华、华为、宇视或相当于</w:t>
            </w:r>
          </w:p>
        </w:tc>
        <w:tc>
          <w:tcPr>
            <w:tcW w:w="462" w:type="pc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458" w:type="pc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24</w:t>
            </w:r>
          </w:p>
        </w:tc>
      </w:tr>
      <w:tr>
        <w:tblPrEx>
          <w:tblCellMar>
            <w:top w:w="0" w:type="dxa"/>
            <w:left w:w="108" w:type="dxa"/>
            <w:bottom w:w="0" w:type="dxa"/>
            <w:right w:w="108" w:type="dxa"/>
          </w:tblCellMar>
        </w:tblPrEx>
        <w:trPr>
          <w:trHeight w:val="1132"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6</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900万像素视频抓拍机( 含百万像素镜头、网络防雷保护器、电源、护罩及64G高速SD卡或TF卡)</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海康、大华、华为、宇视或相当于</w:t>
            </w: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79</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7</w:t>
            </w:r>
          </w:p>
        </w:tc>
        <w:tc>
          <w:tcPr>
            <w:tcW w:w="4682" w:type="pct"/>
            <w:gridSpan w:val="5"/>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二、摄像机补光部分</w:t>
            </w:r>
          </w:p>
        </w:tc>
      </w:tr>
      <w:tr>
        <w:tblPrEx>
          <w:tblCellMar>
            <w:top w:w="0" w:type="dxa"/>
            <w:left w:w="108" w:type="dxa"/>
            <w:bottom w:w="0" w:type="dxa"/>
            <w:right w:w="108" w:type="dxa"/>
          </w:tblCellMar>
        </w:tblPrEx>
        <w:trPr>
          <w:trHeight w:val="528"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8</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LED全景补光灯(含光敏控制）</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海康、大华、浩腾或相当于</w:t>
            </w: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275</w:t>
            </w:r>
          </w:p>
        </w:tc>
      </w:tr>
      <w:tr>
        <w:tblPrEx>
          <w:tblCellMar>
            <w:top w:w="0" w:type="dxa"/>
            <w:left w:w="108" w:type="dxa"/>
            <w:bottom w:w="0" w:type="dxa"/>
            <w:right w:w="108" w:type="dxa"/>
          </w:tblCellMar>
        </w:tblPrEx>
        <w:trPr>
          <w:trHeight w:val="528"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9</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智能闪光灯</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海康、大华、华为、宇视、浩腾或相当于</w:t>
            </w: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98</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10</w:t>
            </w:r>
          </w:p>
        </w:tc>
        <w:tc>
          <w:tcPr>
            <w:tcW w:w="4682" w:type="pct"/>
            <w:gridSpan w:val="5"/>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三、立杆部分</w:t>
            </w: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11</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L型6.3米挑12米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12</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L型6.3米挑11米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13</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L型6.3米挑10米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14</w:t>
            </w:r>
          </w:p>
          <w:p>
            <w:pPr>
              <w:adjustRightInd w:val="0"/>
              <w:spacing w:line="360" w:lineRule="auto"/>
              <w:ind w:firstLine="480" w:firstLineChars="200"/>
              <w:textAlignment w:val="baseline"/>
              <w:rPr>
                <w:rFonts w:hint="eastAsia" w:ascii="宋体" w:hAnsi="宋体" w:cs="宋体"/>
                <w:sz w:val="24"/>
              </w:rPr>
            </w:pPr>
          </w:p>
          <w:p>
            <w:pPr>
              <w:adjustRightInd w:val="0"/>
              <w:spacing w:line="360" w:lineRule="auto"/>
              <w:ind w:firstLine="480" w:firstLineChars="200"/>
              <w:textAlignment w:val="baseline"/>
              <w:rPr>
                <w:rFonts w:hint="eastAsia" w:ascii="宋体" w:hAnsi="宋体" w:cs="宋体"/>
                <w:sz w:val="24"/>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L型6.3米挑9米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15</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L型6.3米挑8米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11</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16</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L型6.3米挑7米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7</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17</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L型6.3米挑6米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9</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18</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L型6.3米挑5米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21</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19</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L型6.3米挑4米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13</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20</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L型6.3米挑3米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14</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21</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L型5米挑4米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0</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22</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L型5米挑3米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23</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L型5米挑2米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24</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L型4米挑3米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25</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L型4米挑2米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33</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26</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L型4米挑1米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8</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27</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L型3米挑2米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16</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28</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L型3米挑1米</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6</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29</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T型杆6.3米挑（11+11）</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30</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T型杆6.3米挑（5+5）</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31</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T型杆4米挑（2+2）</w:t>
            </w:r>
          </w:p>
        </w:tc>
        <w:tc>
          <w:tcPr>
            <w:tcW w:w="1703" w:type="pct"/>
            <w:gridSpan w:val="2"/>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1703" w:type="pct"/>
            <w:gridSpan w:val="2"/>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62"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458" w:type="pct"/>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33</w:t>
            </w:r>
          </w:p>
        </w:tc>
        <w:tc>
          <w:tcPr>
            <w:tcW w:w="4682" w:type="pct"/>
            <w:gridSpan w:val="5"/>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四、借杆及机箱部分</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34</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借杆挑4米</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44</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35</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借杆挑3米</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21</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36</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借杆挑2米</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32</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37</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借杆挑1米</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18</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38</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借墙2米</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5</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39</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借墙1米</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江苏迪生、鸿顺、永耀、金华开元或相当于</w:t>
            </w: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9</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40</w:t>
            </w: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定制及臂装</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定制</w:t>
            </w: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83</w:t>
            </w:r>
          </w:p>
        </w:tc>
      </w:tr>
      <w:tr>
        <w:tblPrEx>
          <w:tblCellMar>
            <w:top w:w="0" w:type="dxa"/>
            <w:left w:w="108" w:type="dxa"/>
            <w:bottom w:w="0" w:type="dxa"/>
            <w:right w:w="108" w:type="dxa"/>
          </w:tblCellMar>
        </w:tblPrEx>
        <w:trPr>
          <w:trHeight w:val="552" w:hRule="atLeast"/>
        </w:trPr>
        <w:tc>
          <w:tcPr>
            <w:tcW w:w="318" w:type="pct"/>
            <w:tcBorders>
              <w:top w:val="nil"/>
              <w:left w:val="single" w:color="auto" w:sz="4" w:space="0"/>
              <w:bottom w:val="single" w:color="auto"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41</w:t>
            </w:r>
          </w:p>
        </w:tc>
        <w:tc>
          <w:tcPr>
            <w:tcW w:w="2058" w:type="pc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挂杆机箱</w:t>
            </w:r>
          </w:p>
        </w:tc>
        <w:tc>
          <w:tcPr>
            <w:tcW w:w="1703" w:type="pct"/>
            <w:gridSpan w:val="2"/>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埃克斯通信、春城通信、绿奇通信或相当于</w:t>
            </w:r>
          </w:p>
        </w:tc>
        <w:tc>
          <w:tcPr>
            <w:tcW w:w="462" w:type="pc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311</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45</w:t>
            </w:r>
          </w:p>
        </w:tc>
        <w:tc>
          <w:tcPr>
            <w:tcW w:w="4682" w:type="pct"/>
            <w:gridSpan w:val="5"/>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五、取电部分</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46</w:t>
            </w:r>
          </w:p>
        </w:tc>
        <w:tc>
          <w:tcPr>
            <w:tcW w:w="2066"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取电</w:t>
            </w:r>
          </w:p>
        </w:tc>
        <w:tc>
          <w:tcPr>
            <w:tcW w:w="1694"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　</w:t>
            </w: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r>
    </w:tbl>
    <w:p>
      <w:pPr>
        <w:adjustRightInd w:val="0"/>
        <w:spacing w:line="360" w:lineRule="auto"/>
        <w:ind w:firstLine="480" w:firstLineChars="200"/>
        <w:textAlignment w:val="baseline"/>
        <w:rPr>
          <w:rFonts w:hint="eastAsia" w:ascii="宋体" w:hAnsi="宋体" w:cs="宋体"/>
          <w:kern w:val="21"/>
          <w:sz w:val="24"/>
          <w:lang w:bidi="ar"/>
        </w:rPr>
      </w:pPr>
    </w:p>
    <w:p>
      <w:pPr>
        <w:adjustRightInd w:val="0"/>
        <w:spacing w:line="360" w:lineRule="auto"/>
        <w:ind w:firstLine="482" w:firstLineChars="200"/>
        <w:jc w:val="center"/>
        <w:textAlignment w:val="baseline"/>
        <w:rPr>
          <w:rFonts w:hint="eastAsia" w:ascii="宋体" w:hAnsi="宋体" w:cs="宋体"/>
          <w:b/>
          <w:sz w:val="24"/>
        </w:rPr>
      </w:pPr>
      <w:bookmarkStart w:id="369" w:name="_Toc47901019"/>
      <w:bookmarkEnd w:id="369"/>
      <w:r>
        <w:rPr>
          <w:rStyle w:val="55"/>
          <w:rFonts w:hint="eastAsia" w:ascii="宋体" w:hAnsi="宋体" w:cs="宋体"/>
          <w:b/>
          <w:sz w:val="24"/>
          <w:lang w:bidi="ar"/>
        </w:rPr>
        <w:t>二、主要设备清单技术参数</w:t>
      </w:r>
    </w:p>
    <w:tbl>
      <w:tblPr>
        <w:tblStyle w:val="37"/>
        <w:tblW w:w="9570" w:type="dxa"/>
        <w:tblInd w:w="0" w:type="dxa"/>
        <w:tblLayout w:type="autofit"/>
        <w:tblCellMar>
          <w:top w:w="0" w:type="dxa"/>
          <w:left w:w="108" w:type="dxa"/>
          <w:bottom w:w="0" w:type="dxa"/>
          <w:right w:w="108" w:type="dxa"/>
        </w:tblCellMar>
      </w:tblPr>
      <w:tblGrid>
        <w:gridCol w:w="457"/>
        <w:gridCol w:w="2661"/>
        <w:gridCol w:w="6452"/>
      </w:tblGrid>
      <w:tr>
        <w:tblPrEx>
          <w:tblCellMar>
            <w:top w:w="0" w:type="dxa"/>
            <w:left w:w="108" w:type="dxa"/>
            <w:bottom w:w="0" w:type="dxa"/>
            <w:right w:w="108" w:type="dxa"/>
          </w:tblCellMar>
        </w:tblPrEx>
        <w:trPr>
          <w:trHeight w:val="480"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序号</w:t>
            </w:r>
          </w:p>
        </w:tc>
        <w:tc>
          <w:tcPr>
            <w:tcW w:w="0" w:type="auto"/>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设备名称</w:t>
            </w:r>
          </w:p>
        </w:tc>
        <w:tc>
          <w:tcPr>
            <w:tcW w:w="6452"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技术参数</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c>
          <w:tcPr>
            <w:tcW w:w="9113" w:type="dxa"/>
            <w:gridSpan w:val="2"/>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一、治安监控摄像机部分（包含人工、机械、调试、登高费，二次搬运、文明施工等费用）</w:t>
            </w:r>
          </w:p>
        </w:tc>
      </w:tr>
      <w:tr>
        <w:tblPrEx>
          <w:tblCellMar>
            <w:top w:w="0" w:type="dxa"/>
            <w:left w:w="108" w:type="dxa"/>
            <w:bottom w:w="0" w:type="dxa"/>
            <w:right w:w="108" w:type="dxa"/>
          </w:tblCellMar>
        </w:tblPrEx>
        <w:trPr>
          <w:trHeight w:val="1695" w:hRule="atLeast"/>
        </w:trPr>
        <w:tc>
          <w:tcPr>
            <w:tcW w:w="0" w:type="auto"/>
            <w:tcBorders>
              <w:top w:val="nil"/>
              <w:left w:val="single" w:color="auto" w:sz="4" w:space="0"/>
              <w:bottom w:val="single" w:color="auto"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w:t>
            </w:r>
          </w:p>
        </w:tc>
        <w:tc>
          <w:tcPr>
            <w:tcW w:w="0" w:type="auto"/>
            <w:tcBorders>
              <w:top w:val="nil"/>
              <w:left w:val="nil"/>
              <w:bottom w:val="single" w:color="auto" w:sz="4" w:space="0"/>
              <w:right w:val="single" w:color="auto" w:sz="4" w:space="0"/>
            </w:tcBorders>
            <w:shd w:val="clear" w:color="auto" w:fill="auto"/>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400万超星光高清网络枪机(含400万以上高清镜头在护罩内含网络防雷保护器、电源、护罩及杆装支架，含64G高速SD卡或TF卡)</w:t>
            </w:r>
          </w:p>
        </w:tc>
        <w:tc>
          <w:tcPr>
            <w:tcW w:w="6452" w:type="dxa"/>
            <w:tcBorders>
              <w:top w:val="nil"/>
              <w:left w:val="nil"/>
              <w:bottom w:val="single" w:color="auto" w:sz="4" w:space="0"/>
              <w:right w:val="single" w:color="auto" w:sz="4" w:space="0"/>
            </w:tcBorders>
            <w:shd w:val="clear" w:color="auto" w:fill="FFFFFF"/>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400万超星光高清网络枪机(含400万以上高清镜头在护罩内含网络防雷保护器、电源、护罩及杆装支架，含64G高速SD卡或TF卡)</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传感器： CMOS；</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靶面尺寸：≥1/1.8""</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分辨率：2560×1440@25fps</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照度：彩色:0.0002 Lux,黑白:0.0001 Lux；</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视频压缩标准：H.265/H.264/MPEG4/MJPEG</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支持全结构化智能解析：</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同时支持非机动车、行人抓拍功能，白天和晚上捕获率都不低于99%；</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支持车牌识别功能，白天和晚上识别率都不低于99%；</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支持车型识别功能，白天和晚上识别率都不低于95%；</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支持车流量统计功能，白天和晚上车流量统计准确率都不低于99%；</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支持驾驶员是否系安全带检测功能，识别准确率≥98%；</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 xml:space="preserve">支持驾驶员人员检测和抠图功能，其中主驾驶员人脸抠图率≥92%； </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支持识别≥10种车型，包括：客车、大货车、小货车、面包车、微型轿车、轿车、皮卡车、SUV、MPV、中型客车</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支持识别≥11种车身颜色，包括：黑、白、红、绿、蓝、黄、粉、紫、棕、青；</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白天车身颜色识别准确率≥95%;晚上车身颜色识别准确率≥95%；</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支持识别≥250种车标；</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支持识别≥5种车牌颜色，包括：蓝（小车车牌）、黄（公交车、大货车车牌）、黑（涉外车牌）、白（警用车牌）、绿（新能源车牌）；</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支持人脸抓拍图片可分为场景图和人脸图，场景图和人脸图可关联存储，并可通过IE浏览器或客户端检索并查看存储的图片；</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支持通过菜单开启或关闭人脸质量优先抓图功能，当开启时，人脸轨迹中人脸质量分数达到设定值时自动进行人脸抓拍；</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支持人脸抓拍图片可分为场景图和人脸图，场景图和人脸图可关联存储，并可通过IE浏览器或客户端检索并查看存储的图片；</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支持人脸属性识别功能，包括年龄、 性别、戴眼镜、口罩等多种属性；</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☆含双层护罩、万向节、电源适配器、摄像机内置或者外置防雷模块、防水软管，根据实际场景需求提供对应镜头焦距。</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深度学习算法，硬件采用VPU或者GPU架构，（优先选用，不做强制性参数要求）。</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IP防护等级：≥IP66</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功耗：25W max</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湿度：10%~90%</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☆采用深度学习算法，内置智能芯片，提供公安部检测报告或承诺书；</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☆内置光学变焦，自动调节光圈及一键聚焦功能；（根据实际场景需求提供对应镜头焦距）</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提供不小于投标最高像素的抓拍图片。</w:t>
            </w:r>
          </w:p>
        </w:tc>
      </w:tr>
      <w:tr>
        <w:tblPrEx>
          <w:tblCellMar>
            <w:top w:w="0" w:type="dxa"/>
            <w:left w:w="108" w:type="dxa"/>
            <w:bottom w:w="0" w:type="dxa"/>
            <w:right w:w="108" w:type="dxa"/>
          </w:tblCellMar>
        </w:tblPrEx>
        <w:trPr>
          <w:trHeight w:val="4752"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400万IP球型摄像机（含64G高速SD卡或TF卡)</w:t>
            </w:r>
          </w:p>
        </w:tc>
        <w:tc>
          <w:tcPr>
            <w:tcW w:w="645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像素：不低于400万像素星光级网络高速智能球机；</w:t>
            </w:r>
            <w:r>
              <w:rPr>
                <w:rFonts w:hint="eastAsia" w:ascii="宋体" w:hAnsi="宋体" w:cs="宋体"/>
                <w:kern w:val="0"/>
                <w:sz w:val="24"/>
                <w:lang w:bidi="ar"/>
              </w:rPr>
              <w:br w:type="textWrapping"/>
            </w:r>
            <w:r>
              <w:rPr>
                <w:rFonts w:hint="eastAsia" w:ascii="宋体" w:hAnsi="宋体" w:cs="宋体"/>
                <w:kern w:val="0"/>
                <w:sz w:val="24"/>
                <w:lang w:bidi="ar"/>
              </w:rPr>
              <w:t>分辨率：不低于2560×1440@30fps；靶面尺寸不小于1/1.8英寸；</w:t>
            </w:r>
            <w:r>
              <w:rPr>
                <w:rFonts w:hint="eastAsia" w:ascii="宋体" w:hAnsi="宋体" w:cs="宋体"/>
                <w:kern w:val="0"/>
                <w:sz w:val="24"/>
                <w:lang w:bidi="ar"/>
              </w:rPr>
              <w:br w:type="textWrapping"/>
            </w:r>
            <w:r>
              <w:rPr>
                <w:rFonts w:hint="eastAsia" w:ascii="宋体" w:hAnsi="宋体" w:cs="宋体"/>
                <w:kern w:val="0"/>
                <w:sz w:val="24"/>
                <w:lang w:bidi="ar"/>
              </w:rPr>
              <w:t>至少支持三码流技术；</w:t>
            </w:r>
            <w:r>
              <w:rPr>
                <w:rFonts w:hint="eastAsia" w:ascii="宋体" w:hAnsi="宋体" w:cs="宋体"/>
                <w:kern w:val="0"/>
                <w:sz w:val="24"/>
                <w:lang w:bidi="ar"/>
              </w:rPr>
              <w:br w:type="textWrapping"/>
            </w:r>
            <w:r>
              <w:rPr>
                <w:rFonts w:hint="eastAsia" w:ascii="宋体" w:hAnsi="宋体" w:cs="宋体"/>
                <w:kern w:val="0"/>
                <w:sz w:val="24"/>
                <w:lang w:bidi="ar"/>
              </w:rPr>
              <w:t>防护等级：不低于IP66</w:t>
            </w:r>
            <w:r>
              <w:rPr>
                <w:rFonts w:hint="eastAsia" w:ascii="宋体" w:hAnsi="宋体" w:cs="宋体"/>
                <w:kern w:val="0"/>
                <w:sz w:val="24"/>
                <w:lang w:bidi="ar"/>
              </w:rPr>
              <w:br w:type="textWrapping"/>
            </w:r>
            <w:r>
              <w:rPr>
                <w:rFonts w:hint="eastAsia" w:ascii="宋体" w:hAnsi="宋体" w:cs="宋体"/>
                <w:kern w:val="0"/>
                <w:sz w:val="24"/>
                <w:lang w:bidi="ar"/>
              </w:rPr>
              <w:t>低照度：支持最低照度不高于彩色0.0005 lx，黑白0.0001 lx。</w:t>
            </w:r>
            <w:r>
              <w:rPr>
                <w:rFonts w:hint="eastAsia" w:ascii="宋体" w:hAnsi="宋体" w:cs="宋体"/>
                <w:kern w:val="0"/>
                <w:sz w:val="24"/>
                <w:lang w:bidi="ar"/>
              </w:rPr>
              <w:br w:type="textWrapping"/>
            </w:r>
            <w:r>
              <w:rPr>
                <w:rFonts w:hint="eastAsia" w:ascii="宋体" w:hAnsi="宋体" w:cs="宋体"/>
                <w:kern w:val="0"/>
                <w:sz w:val="24"/>
                <w:lang w:bidi="ar"/>
              </w:rPr>
              <w:t>焦距：至少满足6-208mm，不低于30倍光学变倍，不低于16倍数字变倍；支持音频、报警；</w:t>
            </w:r>
            <w:r>
              <w:rPr>
                <w:rFonts w:hint="eastAsia" w:ascii="宋体" w:hAnsi="宋体" w:cs="宋体"/>
                <w:kern w:val="0"/>
                <w:sz w:val="24"/>
                <w:lang w:bidi="ar"/>
              </w:rPr>
              <w:br w:type="textWrapping"/>
            </w:r>
            <w:r>
              <w:rPr>
                <w:rFonts w:hint="eastAsia" w:ascii="宋体" w:hAnsi="宋体" w:cs="宋体"/>
                <w:kern w:val="0"/>
                <w:sz w:val="24"/>
                <w:lang w:bidi="ar"/>
              </w:rPr>
              <w:t>支持3D数字降噪、不低于106dB超宽动态、光学透雾、强光抑制、电子防抖；水平键控速度最大300°/s，垂直键控速度最大不低于180°/s，垂直范围-20°~90°；</w:t>
            </w:r>
            <w:r>
              <w:rPr>
                <w:rFonts w:hint="eastAsia" w:ascii="宋体" w:hAnsi="宋体" w:cs="宋体"/>
                <w:kern w:val="0"/>
                <w:sz w:val="24"/>
                <w:lang w:bidi="ar"/>
              </w:rPr>
              <w:br w:type="textWrapping"/>
            </w:r>
            <w:r>
              <w:rPr>
                <w:rFonts w:hint="eastAsia" w:ascii="宋体" w:hAnsi="宋体" w:cs="宋体"/>
                <w:kern w:val="0"/>
                <w:sz w:val="24"/>
                <w:lang w:bidi="ar"/>
              </w:rPr>
              <w:t>视频压缩至少支持H.265/H.264/MJPEG；最大支持256GB Micro SD（即为TF卡）卡；</w:t>
            </w:r>
            <w:r>
              <w:rPr>
                <w:rFonts w:hint="eastAsia" w:ascii="宋体" w:hAnsi="宋体" w:cs="宋体"/>
                <w:kern w:val="0"/>
                <w:sz w:val="24"/>
                <w:lang w:bidi="ar"/>
              </w:rPr>
              <w:br w:type="textWrapping"/>
            </w:r>
            <w:r>
              <w:rPr>
                <w:rFonts w:hint="eastAsia" w:ascii="宋体" w:hAnsi="宋体" w:cs="宋体"/>
                <w:kern w:val="0"/>
                <w:sz w:val="24"/>
                <w:lang w:bidi="ar"/>
              </w:rPr>
              <w:t>电源：AC24V，60W max；</w:t>
            </w:r>
            <w:r>
              <w:rPr>
                <w:rFonts w:hint="eastAsia" w:ascii="宋体" w:hAnsi="宋体" w:cs="宋体"/>
                <w:kern w:val="0"/>
                <w:sz w:val="24"/>
                <w:lang w:bidi="ar"/>
              </w:rPr>
              <w:br w:type="textWrapping"/>
            </w:r>
            <w:r>
              <w:rPr>
                <w:rFonts w:hint="eastAsia" w:ascii="宋体" w:hAnsi="宋体" w:cs="宋体"/>
                <w:kern w:val="0"/>
                <w:sz w:val="24"/>
                <w:lang w:bidi="ar"/>
              </w:rPr>
              <w:t>支持区域入侵侦测、越界侦测、进入区域侦测、离开区域侦测、徘徊侦测、人员聚集侦测、快速移动侦测、物品遗留侦测、物品拿取侦测、音频异常侦测、视频遮挡侦测；支持车牌捕获及检索、多场景巡航检测；支持人脸检测、车牌识别、机非人识别：机动车、非机动车、行人，行为检测；</w:t>
            </w:r>
            <w:r>
              <w:rPr>
                <w:rFonts w:hint="eastAsia" w:ascii="宋体" w:hAnsi="宋体" w:cs="宋体"/>
                <w:kern w:val="0"/>
                <w:sz w:val="24"/>
                <w:lang w:bidi="ar"/>
              </w:rPr>
              <w:br w:type="textWrapping"/>
            </w:r>
            <w:r>
              <w:rPr>
                <w:rFonts w:hint="eastAsia" w:ascii="宋体" w:hAnsi="宋体" w:cs="宋体"/>
                <w:kern w:val="0"/>
                <w:sz w:val="24"/>
                <w:lang w:bidi="ar"/>
              </w:rPr>
              <w:t>支持新能源车牌识别功能、支持子品牌识别功能；</w:t>
            </w:r>
            <w:r>
              <w:rPr>
                <w:rFonts w:hint="eastAsia" w:ascii="宋体" w:hAnsi="宋体" w:cs="宋体"/>
                <w:kern w:val="0"/>
                <w:sz w:val="24"/>
                <w:lang w:bidi="ar"/>
              </w:rPr>
              <w:br w:type="textWrapping"/>
            </w:r>
            <w:r>
              <w:rPr>
                <w:rFonts w:hint="eastAsia" w:ascii="宋体" w:hAnsi="宋体" w:cs="宋体"/>
                <w:kern w:val="0"/>
                <w:sz w:val="24"/>
                <w:lang w:bidi="ar"/>
              </w:rPr>
              <w:t>☆采用深度学习算法，内置智能芯片，提供公安部检测报告或承诺书；</w:t>
            </w:r>
            <w:r>
              <w:rPr>
                <w:rFonts w:hint="eastAsia" w:ascii="宋体" w:hAnsi="宋体" w:cs="宋体"/>
                <w:kern w:val="0"/>
                <w:sz w:val="24"/>
                <w:lang w:bidi="ar"/>
              </w:rPr>
              <w:br w:type="textWrapping"/>
            </w:r>
            <w:r>
              <w:rPr>
                <w:rFonts w:hint="eastAsia" w:ascii="宋体" w:hAnsi="宋体" w:cs="宋体"/>
                <w:kern w:val="0"/>
                <w:sz w:val="24"/>
                <w:lang w:bidi="ar"/>
              </w:rPr>
              <w:t>提供不低于投标最高像素的抓拍图片；</w:t>
            </w:r>
            <w:r>
              <w:rPr>
                <w:rFonts w:hint="eastAsia" w:ascii="宋体" w:hAnsi="宋体" w:cs="宋体"/>
                <w:kern w:val="0"/>
                <w:sz w:val="24"/>
                <w:lang w:bidi="ar"/>
              </w:rPr>
              <w:br w:type="textWrapping"/>
            </w:r>
            <w:r>
              <w:rPr>
                <w:rFonts w:hint="eastAsia" w:ascii="宋体" w:hAnsi="宋体" w:cs="宋体"/>
                <w:kern w:val="0"/>
                <w:sz w:val="24"/>
                <w:lang w:bidi="ar"/>
              </w:rPr>
              <w:t>☆根据业务需求可配置200万至投标最高像素视频流输出（码流：2-8M）</w:t>
            </w:r>
          </w:p>
        </w:tc>
      </w:tr>
      <w:tr>
        <w:tblPrEx>
          <w:tblCellMar>
            <w:top w:w="0" w:type="dxa"/>
            <w:left w:w="108" w:type="dxa"/>
            <w:bottom w:w="0" w:type="dxa"/>
            <w:right w:w="108" w:type="dxa"/>
          </w:tblCellMar>
        </w:tblPrEx>
        <w:trPr>
          <w:trHeight w:val="1966" w:hRule="atLeast"/>
        </w:trPr>
        <w:tc>
          <w:tcPr>
            <w:tcW w:w="0" w:type="auto"/>
            <w:tcBorders>
              <w:top w:val="nil"/>
              <w:left w:val="single" w:color="auto" w:sz="4" w:space="0"/>
              <w:bottom w:val="single" w:color="auto"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w:t>
            </w:r>
          </w:p>
        </w:tc>
        <w:tc>
          <w:tcPr>
            <w:tcW w:w="0" w:type="auto"/>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400万高清网络人脸枪机(含400万以上高清镜头在护罩内含网络防雷保护器、电源、护罩及杆装支架，含64G高速SD卡或TF卡)</w:t>
            </w:r>
          </w:p>
        </w:tc>
        <w:tc>
          <w:tcPr>
            <w:tcW w:w="6452" w:type="dxa"/>
            <w:tcBorders>
              <w:top w:val="nil"/>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400万高清网络人脸枪机(含400万以上高清镜头在护罩内含网络防雷保护器、电源、护罩及杆装支架，含64G高速SD卡或TF卡)</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传感元器件： CMOS智能护罩一体化网络摄像机；</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靶面尺寸：≥1/1.8”；</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最低照度彩色：≤0.0002lux，黑白:≤0.0001lux；</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采用GPU的硬件架构或采用开放架构；</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视频分辨率：≥2560x1440@25fps；</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视频压缩标准：H.265/H.264 / MJPEG</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需具≥106dB宽动态。</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内置高效阵列灯，可定时开启，最远达30米;</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☆支持单场景同时检出≥30张人脸图片;</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☆支持全结构化智能解析：</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抓拍人体：支持上衣颜色、下装颜色、性别、戴眼镜、背包、拎东西、戴帽子、戴口罩、长短袖、裤裙、发型属性识别</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抓拍人脸：支持对运动人脸进行抓拍</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抓拍非机动车：支持上衣颜色、性别、戴眼镜、背包、戴帽子、戴口罩、长短袖、发型、骑车类型、骑车人数属性识别</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抓拍机动车：支持车牌识别并抓拍。支持车型、车牌颜色、车身颜色、车牌类型、子品牌车身颜色属性识别</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支持前端人脸建库、布防和比对</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支持混合抓拍模式，可同时对行人、非机动车、机动车进行检测、跟踪及抓拍。</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在混合抓拍模式下，支持行人、非机动车和机动车的分类计数。</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在混合抓拍模式下，支持将人脸与人体、车牌与车辆进行关联。</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支持行人、非机动车属性提取</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☆全结构化智能解析性能参数：</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同时支持非机动车、行人抓拍功能，白天和晚上捕获率都不低于99%；</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支持车牌识别功能，白天和晚上识别率都不低于99%；</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支持车型识别功能，白天和晚上识别率都不低于95%；</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支持车流量统计功能，白天和晚上车流量统计准确率都不低于99%；</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支持识别≥10种车型，包括：客车、大货车、小货车、面包车、微型轿车、轿车、皮卡车、SUV、MPV、中型客车；</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支持识别≥11种车身颜色，包括：黑、白、红、绿、蓝、黄、粉、紫、棕、青；</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支持识别≥250种车标；</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支持识别≥5种车牌颜色，包括：蓝（小车车牌）、黄（公交车、大货车车牌）、黑（涉外车牌）、白（警用车牌）、绿（新能源车牌）；</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支持人脸抓拍图片可分为场景图和人脸图，场景图和人脸图可关联存储，并可通过IE浏览器或客户端检索并查看存储的图片；</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支持通过菜单开启或关闭人脸质量优先抓图功能，当开启时，人脸轨迹中人脸质量分数达到设定值时自动进行人脸抓拍；</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支持人脸抓拍图片可分为场景图和人脸图，场景图和人脸图可关联存储，并可通过IE浏览器或客户端检索并查看存储的图片；</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支持人脸属性识别功能，包括年龄、 性别、戴眼镜、胡子、口罩等多种属性；</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防护等级：≥IP66</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☆内置≥64GB CLASS10以上SD卡</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功耗:35W max</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湿度：10%~90%</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☆含双层护罩、万向节、电源适配器、摄像机内置或者外置防雷模块、防水软管等</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☆支持人脸、人体和车辆抓拍，支持人脸优先功能，当开启人脸优先功能后，支持自动筛选效果最好的一帧人脸进行抓拍；</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☆内置光学变焦，自动调节光圈及一键聚焦功能；（根据实际场景需求提供对应镜头焦距）</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☆采用深度学习算法，内置智能芯片，提供公安部检测报告或承诺书；</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☆提供不小于投标最高像素的抓拍图片。</w:t>
            </w:r>
          </w:p>
        </w:tc>
      </w:tr>
      <w:tr>
        <w:tblPrEx>
          <w:tblCellMar>
            <w:top w:w="0" w:type="dxa"/>
            <w:left w:w="108" w:type="dxa"/>
            <w:bottom w:w="0" w:type="dxa"/>
            <w:right w:w="108" w:type="dxa"/>
          </w:tblCellMar>
        </w:tblPrEx>
        <w:trPr>
          <w:trHeight w:val="832" w:hRule="atLeast"/>
        </w:trPr>
        <w:tc>
          <w:tcPr>
            <w:tcW w:w="0" w:type="auto"/>
            <w:tcBorders>
              <w:top w:val="nil"/>
              <w:left w:val="single" w:color="auto" w:sz="4" w:space="0"/>
              <w:bottom w:val="single" w:color="auto"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5</w:t>
            </w:r>
          </w:p>
        </w:tc>
        <w:tc>
          <w:tcPr>
            <w:tcW w:w="0" w:type="auto"/>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400万人脸多摄抓拍机电源、护罩及杆装支架，含64G高速SD卡或TF卡)</w:t>
            </w:r>
          </w:p>
        </w:tc>
        <w:tc>
          <w:tcPr>
            <w:tcW w:w="6452" w:type="dxa"/>
            <w:tcBorders>
              <w:top w:val="nil"/>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像素：不小于400万 1/1.8” CMOS 智能一体机</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智能一体机摄像机上通道看细节，下通道看全景，采用双镜头一体化设计，由双镜头相机与高性能GPU模块组成。</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支持三种智能资源模式切换：混合目标检测-全结构化模式、混合目标检测-比对模式，人脸抓拍</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混合目标检测(抓拍+属性并发提取)：</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a)抓拍人体：支持上衣颜色、下装颜色、性别、戴眼镜、背包、拎东西、戴帽子、戴口罩、长短袖、裤裙、发型属性识别</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b)抓拍人脸：支持对运动人脸进行抓拍</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c)抓拍非机动车：支持上衣颜色、性别、戴眼镜、背包、戴帽子、戴口罩、长短袖、发型、骑车类型、骑车人数属性识别</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d)抓拍机动车：支持车牌识别并抓拍。支持车型、车牌颜色、车身颜色、车牌类型、子品牌车身颜色属性识别</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人脸抓拍（正脸抓拍）：</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a)支持最多120个/帧人脸检测</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b)支持对运动人脸进行检测、跟踪、抓拍、评分、筛选，输出最优的人脸</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c)支持人脸去误报、快速抓拍人脸</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混合目标检测（比对模式）：</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a)支持前端人脸比对</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b)支持最多10个人脸库的管理</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c)支持最多15万张人脸的导入</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d)支持合计人脸库的存储空间最大3GB，单张人脸不超过300KB</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e)支持不同人脸库不同时间布防</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f)支持黑名单比对成功报警输出</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g)支持人脸瞳距20像素以上的人脸检测</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h)支持人脸快速比对多种比对方式设置</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最低照度:</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通道1：彩色: 0.0005Lux ; 黑白: 0.0001 Lux , 0 Lux with IR</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通道2：彩色: 0.0005Lux ; 黑白: 0.0001 Lux , 0 Lux with IR</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宽动态:120DB</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焦距&amp;视场角:</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 xml:space="preserve">通道1：不小于11-40mm </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 xml:space="preserve">通道2：不大于4mm </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补光距离:</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通道1：混合补光; 人脸：20米，普通监控：80米</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通道2：暖白光; 普通监控：30米</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最大图像尺寸:</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通道1：2560 × 1440，通道2：2560 × 1440</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视频压缩标准:H.265/H.264 / MJPEG</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图像增强:背光补偿，强光抑制，透雾,电子防抖,3D降噪</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音频:2 输入(Line in)（3.5mm），1 输出（3.5mm）；2 内置microphone；1路扬声器输出</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SD卡扩展:内置Micro SD(即TF卡)/Micro SDHC/Micro SDXC 插槽, 最大支持256 GB</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网络:1个RJ45 10M / 100M /1000M自适应以太网口</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防护:IP67</w:t>
            </w:r>
          </w:p>
        </w:tc>
      </w:tr>
      <w:tr>
        <w:tblPrEx>
          <w:tblCellMar>
            <w:top w:w="0" w:type="dxa"/>
            <w:left w:w="108" w:type="dxa"/>
            <w:bottom w:w="0" w:type="dxa"/>
            <w:right w:w="108" w:type="dxa"/>
          </w:tblCellMar>
        </w:tblPrEx>
        <w:trPr>
          <w:trHeight w:val="69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6</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900万像素视频抓拍机( 含百万像素镜头、网络防雷保护器、电源、护罩及64G高速SD卡或TF卡)</w:t>
            </w:r>
          </w:p>
        </w:tc>
        <w:tc>
          <w:tcPr>
            <w:tcW w:w="645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900万抓拍单元，</w:t>
            </w:r>
            <w:r>
              <w:rPr>
                <w:rFonts w:hint="eastAsia" w:ascii="宋体" w:hAnsi="宋体" w:cs="宋体"/>
                <w:kern w:val="0"/>
                <w:sz w:val="24"/>
                <w:lang w:bidi="ar"/>
              </w:rPr>
              <w:br w:type="textWrapping"/>
            </w:r>
            <w:r>
              <w:rPr>
                <w:rFonts w:hint="eastAsia" w:ascii="宋体" w:hAnsi="宋体" w:cs="宋体"/>
                <w:kern w:val="0"/>
                <w:sz w:val="24"/>
                <w:lang w:bidi="ar"/>
              </w:rPr>
              <w:t>传感元器件： GMOS；</w:t>
            </w:r>
            <w:r>
              <w:rPr>
                <w:rFonts w:hint="eastAsia" w:ascii="宋体" w:hAnsi="宋体" w:cs="宋体"/>
                <w:kern w:val="0"/>
                <w:sz w:val="24"/>
                <w:lang w:bidi="ar"/>
              </w:rPr>
              <w:br w:type="textWrapping"/>
            </w:r>
            <w:r>
              <w:rPr>
                <w:rFonts w:hint="eastAsia" w:ascii="宋体" w:hAnsi="宋体" w:cs="宋体"/>
                <w:kern w:val="0"/>
                <w:sz w:val="24"/>
                <w:lang w:bidi="ar"/>
              </w:rPr>
              <w:t>靶面尺寸：≥1"</w:t>
            </w:r>
            <w:r>
              <w:rPr>
                <w:rFonts w:hint="eastAsia" w:ascii="宋体" w:hAnsi="宋体" w:cs="宋体"/>
                <w:kern w:val="0"/>
                <w:sz w:val="24"/>
                <w:lang w:bidi="ar"/>
              </w:rPr>
              <w:br w:type="textWrapping"/>
            </w:r>
            <w:r>
              <w:rPr>
                <w:rFonts w:hint="eastAsia" w:ascii="宋体" w:hAnsi="宋体" w:cs="宋体"/>
                <w:kern w:val="0"/>
                <w:sz w:val="24"/>
                <w:lang w:bidi="ar"/>
              </w:rPr>
              <w:t>视频分辨率：4096×2160@25fps；</w:t>
            </w:r>
            <w:r>
              <w:rPr>
                <w:rFonts w:hint="eastAsia" w:ascii="宋体" w:hAnsi="宋体" w:cs="宋体"/>
                <w:kern w:val="0"/>
                <w:sz w:val="24"/>
                <w:lang w:bidi="ar"/>
              </w:rPr>
              <w:br w:type="textWrapping"/>
            </w:r>
            <w:r>
              <w:rPr>
                <w:rFonts w:hint="eastAsia" w:ascii="宋体" w:hAnsi="宋体" w:cs="宋体"/>
                <w:kern w:val="0"/>
                <w:sz w:val="24"/>
                <w:lang w:bidi="ar"/>
              </w:rPr>
              <w:t>照度：彩色:≤0.0002Lux；黑白：≤0.0001；</w:t>
            </w:r>
            <w:r>
              <w:rPr>
                <w:rFonts w:hint="eastAsia" w:ascii="宋体" w:hAnsi="宋体" w:cs="宋体"/>
                <w:kern w:val="0"/>
                <w:sz w:val="24"/>
                <w:lang w:bidi="ar"/>
              </w:rPr>
              <w:br w:type="textWrapping"/>
            </w:r>
            <w:r>
              <w:rPr>
                <w:rFonts w:hint="eastAsia" w:ascii="宋体" w:hAnsi="宋体" w:cs="宋体"/>
                <w:kern w:val="0"/>
                <w:sz w:val="24"/>
                <w:lang w:bidi="ar"/>
              </w:rPr>
              <w:t>图片分辨率4096*2160、1600*1200、1280*720；</w:t>
            </w:r>
            <w:r>
              <w:rPr>
                <w:rFonts w:hint="eastAsia" w:ascii="宋体" w:hAnsi="宋体" w:cs="宋体"/>
                <w:kern w:val="0"/>
                <w:sz w:val="24"/>
                <w:lang w:bidi="ar"/>
              </w:rPr>
              <w:br w:type="textWrapping"/>
            </w:r>
            <w:r>
              <w:rPr>
                <w:rFonts w:hint="eastAsia" w:ascii="宋体" w:hAnsi="宋体" w:cs="宋体"/>
                <w:kern w:val="0"/>
                <w:sz w:val="24"/>
                <w:lang w:bidi="ar"/>
              </w:rPr>
              <w:t>频压缩支持H.265、H.264、M-JPEG、MPEG4；</w:t>
            </w:r>
            <w:r>
              <w:rPr>
                <w:rFonts w:hint="eastAsia" w:ascii="宋体" w:hAnsi="宋体" w:cs="宋体"/>
                <w:kern w:val="0"/>
                <w:sz w:val="24"/>
                <w:lang w:bidi="ar"/>
              </w:rPr>
              <w:br w:type="textWrapping"/>
            </w:r>
            <w:r>
              <w:rPr>
                <w:rFonts w:hint="eastAsia" w:ascii="宋体" w:hAnsi="宋体" w:cs="宋体"/>
                <w:kern w:val="0"/>
                <w:sz w:val="24"/>
                <w:lang w:bidi="ar"/>
              </w:rPr>
              <w:t>设备内置深度学习芯片；</w:t>
            </w:r>
            <w:r>
              <w:rPr>
                <w:rFonts w:hint="eastAsia" w:ascii="宋体" w:hAnsi="宋体" w:cs="宋体"/>
                <w:kern w:val="0"/>
                <w:sz w:val="24"/>
                <w:lang w:bidi="ar"/>
              </w:rPr>
              <w:br w:type="textWrapping"/>
            </w:r>
            <w:r>
              <w:rPr>
                <w:rFonts w:hint="eastAsia" w:ascii="宋体" w:hAnsi="宋体" w:cs="宋体"/>
                <w:kern w:val="0"/>
                <w:sz w:val="24"/>
                <w:lang w:bidi="ar"/>
              </w:rPr>
              <w:t>支持全结构化智能解析：；</w:t>
            </w:r>
            <w:r>
              <w:rPr>
                <w:rFonts w:hint="eastAsia" w:ascii="宋体" w:hAnsi="宋体" w:cs="宋体"/>
                <w:kern w:val="0"/>
                <w:sz w:val="24"/>
                <w:lang w:bidi="ar"/>
              </w:rPr>
              <w:br w:type="textWrapping"/>
            </w:r>
            <w:r>
              <w:rPr>
                <w:rFonts w:hint="eastAsia" w:ascii="宋体" w:hAnsi="宋体" w:cs="宋体"/>
                <w:kern w:val="0"/>
                <w:sz w:val="24"/>
                <w:lang w:bidi="ar"/>
              </w:rPr>
              <w:t>支持主、副驾驶人脸检测功能；</w:t>
            </w:r>
            <w:r>
              <w:rPr>
                <w:rFonts w:hint="eastAsia" w:ascii="宋体" w:hAnsi="宋体" w:cs="宋体"/>
                <w:kern w:val="0"/>
                <w:sz w:val="24"/>
                <w:lang w:bidi="ar"/>
              </w:rPr>
              <w:br w:type="textWrapping"/>
            </w:r>
            <w:r>
              <w:rPr>
                <w:rFonts w:hint="eastAsia" w:ascii="宋体" w:hAnsi="宋体" w:cs="宋体"/>
                <w:kern w:val="0"/>
                <w:sz w:val="24"/>
                <w:lang w:bidi="ar"/>
              </w:rPr>
              <w:t>支持车辆捕获功能，白天准确率≥99%，晚上捕获率≥99%；</w:t>
            </w:r>
            <w:r>
              <w:rPr>
                <w:rFonts w:hint="eastAsia" w:ascii="宋体" w:hAnsi="宋体" w:cs="宋体"/>
                <w:kern w:val="0"/>
                <w:sz w:val="24"/>
                <w:lang w:bidi="ar"/>
              </w:rPr>
              <w:br w:type="textWrapping"/>
            </w:r>
            <w:r>
              <w:rPr>
                <w:rFonts w:hint="eastAsia" w:ascii="宋体" w:hAnsi="宋体" w:cs="宋体"/>
                <w:kern w:val="0"/>
                <w:sz w:val="24"/>
                <w:lang w:bidi="ar"/>
              </w:rPr>
              <w:t>支持车牌识别功能，白天准确率≥99%，晚上捕获率≥99%；</w:t>
            </w:r>
            <w:r>
              <w:rPr>
                <w:rFonts w:hint="eastAsia" w:ascii="宋体" w:hAnsi="宋体" w:cs="宋体"/>
                <w:kern w:val="0"/>
                <w:sz w:val="24"/>
                <w:lang w:bidi="ar"/>
              </w:rPr>
              <w:br w:type="textWrapping"/>
            </w:r>
            <w:r>
              <w:rPr>
                <w:rFonts w:hint="eastAsia" w:ascii="宋体" w:hAnsi="宋体" w:cs="宋体"/>
                <w:kern w:val="0"/>
                <w:sz w:val="24"/>
                <w:lang w:bidi="ar"/>
              </w:rPr>
              <w:t>支持非机动车、行人捕获功能，白天捕获率≥99%，晚上捕获率≥95%；</w:t>
            </w:r>
            <w:r>
              <w:rPr>
                <w:rFonts w:hint="eastAsia" w:ascii="宋体" w:hAnsi="宋体" w:cs="宋体"/>
                <w:kern w:val="0"/>
                <w:sz w:val="24"/>
                <w:lang w:bidi="ar"/>
              </w:rPr>
              <w:br w:type="textWrapping"/>
            </w:r>
            <w:r>
              <w:rPr>
                <w:rFonts w:hint="eastAsia" w:ascii="宋体" w:hAnsi="宋体" w:cs="宋体"/>
                <w:kern w:val="0"/>
                <w:sz w:val="24"/>
                <w:lang w:bidi="ar"/>
              </w:rPr>
              <w:t>支持≥13种车身颜色识别，包括：黑、白、灰、红、绿、蓝、黄、粉、紫、棕、青、金、橙，白天准确率99%，晚上准确率95%；</w:t>
            </w:r>
            <w:r>
              <w:rPr>
                <w:rFonts w:hint="eastAsia" w:ascii="宋体" w:hAnsi="宋体" w:cs="宋体"/>
                <w:kern w:val="0"/>
                <w:sz w:val="24"/>
                <w:lang w:bidi="ar"/>
              </w:rPr>
              <w:br w:type="textWrapping"/>
            </w:r>
            <w:r>
              <w:rPr>
                <w:rFonts w:hint="eastAsia" w:ascii="宋体" w:hAnsi="宋体" w:cs="宋体"/>
                <w:kern w:val="0"/>
                <w:sz w:val="24"/>
                <w:lang w:bidi="ar"/>
              </w:rPr>
              <w:t>支持对行人和非机动车的人脸检测功能；可对扣取的人脸图片的像素大小、亮度、边框放大倍数进行调节；</w:t>
            </w:r>
            <w:r>
              <w:rPr>
                <w:rFonts w:hint="eastAsia" w:ascii="宋体" w:hAnsi="宋体" w:cs="宋体"/>
                <w:kern w:val="0"/>
                <w:sz w:val="24"/>
                <w:lang w:bidi="ar"/>
              </w:rPr>
              <w:br w:type="textWrapping"/>
            </w:r>
            <w:r>
              <w:rPr>
                <w:rFonts w:hint="eastAsia" w:ascii="宋体" w:hAnsi="宋体" w:cs="宋体"/>
                <w:kern w:val="0"/>
                <w:sz w:val="24"/>
                <w:lang w:bidi="ar"/>
              </w:rPr>
              <w:t>支持前车窗是否有摆件物检测功能；</w:t>
            </w:r>
            <w:r>
              <w:rPr>
                <w:rFonts w:hint="eastAsia" w:ascii="宋体" w:hAnsi="宋体" w:cs="宋体"/>
                <w:kern w:val="0"/>
                <w:sz w:val="24"/>
                <w:lang w:bidi="ar"/>
              </w:rPr>
              <w:br w:type="textWrapping"/>
            </w:r>
            <w:r>
              <w:rPr>
                <w:rFonts w:hint="eastAsia" w:ascii="宋体" w:hAnsi="宋体" w:cs="宋体"/>
                <w:kern w:val="0"/>
                <w:sz w:val="24"/>
                <w:lang w:bidi="ar"/>
              </w:rPr>
              <w:t>支持车身颜色、车型、车标、安全带、开车打电话、年检标志等特征识别；</w:t>
            </w:r>
            <w:r>
              <w:rPr>
                <w:rFonts w:hint="eastAsia" w:ascii="宋体" w:hAnsi="宋体" w:cs="宋体"/>
                <w:kern w:val="0"/>
                <w:sz w:val="24"/>
                <w:lang w:bidi="ar"/>
              </w:rPr>
              <w:br w:type="textWrapping"/>
            </w:r>
            <w:r>
              <w:rPr>
                <w:rFonts w:hint="eastAsia" w:ascii="宋体" w:hAnsi="宋体" w:cs="宋体"/>
                <w:kern w:val="0"/>
                <w:sz w:val="24"/>
                <w:lang w:bidi="ar"/>
              </w:rPr>
              <w:t>支持驾驶员行车时打电话动作的检测，是否打电话检测准确率≥80%；</w:t>
            </w:r>
            <w:r>
              <w:rPr>
                <w:rFonts w:hint="eastAsia" w:ascii="宋体" w:hAnsi="宋体" w:cs="宋体"/>
                <w:kern w:val="0"/>
                <w:sz w:val="24"/>
                <w:lang w:bidi="ar"/>
              </w:rPr>
              <w:br w:type="textWrapping"/>
            </w:r>
            <w:r>
              <w:rPr>
                <w:rFonts w:hint="eastAsia" w:ascii="宋体" w:hAnsi="宋体" w:cs="宋体"/>
                <w:kern w:val="0"/>
                <w:sz w:val="24"/>
                <w:lang w:bidi="ar"/>
              </w:rPr>
              <w:t>支持机动车、二轮车、三轮车和行人自动区分，区分准确率≥92%；</w:t>
            </w:r>
            <w:r>
              <w:rPr>
                <w:rFonts w:hint="eastAsia" w:ascii="宋体" w:hAnsi="宋体" w:cs="宋体"/>
                <w:kern w:val="0"/>
                <w:sz w:val="24"/>
                <w:lang w:bidi="ar"/>
              </w:rPr>
              <w:br w:type="textWrapping"/>
            </w:r>
            <w:r>
              <w:rPr>
                <w:rFonts w:hint="eastAsia" w:ascii="宋体" w:hAnsi="宋体" w:cs="宋体"/>
                <w:kern w:val="0"/>
                <w:sz w:val="24"/>
                <w:lang w:bidi="ar"/>
              </w:rPr>
              <w:t>支持危险品车检测功能，识别准确率≥90%；</w:t>
            </w:r>
            <w:r>
              <w:rPr>
                <w:rFonts w:hint="eastAsia" w:ascii="宋体" w:hAnsi="宋体" w:cs="宋体"/>
                <w:kern w:val="0"/>
                <w:sz w:val="24"/>
                <w:lang w:bidi="ar"/>
              </w:rPr>
              <w:br w:type="textWrapping"/>
            </w:r>
            <w:r>
              <w:rPr>
                <w:rFonts w:hint="eastAsia" w:ascii="宋体" w:hAnsi="宋体" w:cs="宋体"/>
                <w:kern w:val="0"/>
                <w:sz w:val="24"/>
                <w:lang w:bidi="ar"/>
              </w:rPr>
              <w:t>支持驾驶室人脸抠图功能，主驾驶人脸抠图率不小于99%，副驾驶人脸抠图率不小于99%；</w:t>
            </w:r>
            <w:r>
              <w:rPr>
                <w:rFonts w:hint="eastAsia" w:ascii="宋体" w:hAnsi="宋体" w:cs="宋体"/>
                <w:kern w:val="0"/>
                <w:sz w:val="24"/>
                <w:lang w:bidi="ar"/>
              </w:rPr>
              <w:br w:type="textWrapping"/>
            </w:r>
            <w:r>
              <w:rPr>
                <w:rFonts w:hint="eastAsia" w:ascii="宋体" w:hAnsi="宋体" w:cs="宋体"/>
                <w:kern w:val="0"/>
                <w:sz w:val="24"/>
                <w:lang w:bidi="ar"/>
              </w:rPr>
              <w:t>支持包括上身和下身衣服颜色、性别、背包、戴帽子、戴口罩、戴眼镜、年龄段、拎东西等人体特征的识别；</w:t>
            </w:r>
            <w:r>
              <w:rPr>
                <w:rFonts w:hint="eastAsia" w:ascii="宋体" w:hAnsi="宋体" w:cs="宋体"/>
                <w:kern w:val="0"/>
                <w:sz w:val="24"/>
                <w:lang w:bidi="ar"/>
              </w:rPr>
              <w:br w:type="textWrapping"/>
            </w:r>
            <w:r>
              <w:rPr>
                <w:rFonts w:hint="eastAsia" w:ascii="宋体" w:hAnsi="宋体" w:cs="宋体"/>
                <w:kern w:val="0"/>
                <w:sz w:val="24"/>
                <w:lang w:bidi="ar"/>
              </w:rPr>
              <w:t>支持非机动车、行人人体和人脸抠取；</w:t>
            </w:r>
            <w:r>
              <w:rPr>
                <w:rFonts w:hint="eastAsia" w:ascii="宋体" w:hAnsi="宋体" w:cs="宋体"/>
                <w:kern w:val="0"/>
                <w:sz w:val="24"/>
                <w:lang w:bidi="ar"/>
              </w:rPr>
              <w:br w:type="textWrapping"/>
            </w:r>
            <w:r>
              <w:rPr>
                <w:rFonts w:hint="eastAsia" w:ascii="宋体" w:hAnsi="宋体" w:cs="宋体"/>
                <w:kern w:val="0"/>
                <w:sz w:val="24"/>
                <w:lang w:bidi="ar"/>
              </w:rPr>
              <w:t>支持≥22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97%；</w:t>
            </w:r>
            <w:r>
              <w:rPr>
                <w:rFonts w:hint="eastAsia" w:ascii="宋体" w:hAnsi="宋体" w:cs="宋体"/>
                <w:kern w:val="0"/>
                <w:sz w:val="24"/>
                <w:lang w:bidi="ar"/>
              </w:rPr>
              <w:br w:type="textWrapping"/>
            </w:r>
            <w:r>
              <w:rPr>
                <w:rFonts w:hint="eastAsia" w:ascii="宋体" w:hAnsi="宋体" w:cs="宋体"/>
                <w:kern w:val="0"/>
                <w:sz w:val="24"/>
                <w:lang w:bidi="ar"/>
              </w:rPr>
              <w:t>在静止场景下，图像质量无明显劣化条件下，设备采用H.264或H.265视频编码方式，当开启智能编码功能后，码流可降低至未开启时的1/30以下；</w:t>
            </w:r>
            <w:r>
              <w:rPr>
                <w:rFonts w:hint="eastAsia" w:ascii="宋体" w:hAnsi="宋体" w:cs="宋体"/>
                <w:kern w:val="0"/>
                <w:sz w:val="24"/>
                <w:lang w:bidi="ar"/>
              </w:rPr>
              <w:br w:type="textWrapping"/>
            </w:r>
            <w:r>
              <w:rPr>
                <w:rFonts w:hint="eastAsia" w:ascii="宋体" w:hAnsi="宋体" w:cs="宋体"/>
                <w:kern w:val="0"/>
                <w:sz w:val="24"/>
                <w:lang w:bidi="ar"/>
              </w:rPr>
              <w:t>外接存储读取速度最高可达15M/s；</w:t>
            </w:r>
            <w:r>
              <w:rPr>
                <w:rFonts w:hint="eastAsia" w:ascii="宋体" w:hAnsi="宋体" w:cs="宋体"/>
                <w:kern w:val="0"/>
                <w:sz w:val="24"/>
                <w:lang w:bidi="ar"/>
              </w:rPr>
              <w:br w:type="textWrapping"/>
            </w:r>
            <w:r>
              <w:rPr>
                <w:rFonts w:hint="eastAsia" w:ascii="宋体" w:hAnsi="宋体" w:cs="宋体"/>
                <w:kern w:val="0"/>
                <w:sz w:val="24"/>
                <w:lang w:bidi="ar"/>
              </w:rPr>
              <w:t>内置50mm定焦镜头</w:t>
            </w:r>
            <w:r>
              <w:rPr>
                <w:rFonts w:hint="eastAsia" w:ascii="宋体" w:hAnsi="宋体" w:cs="宋体"/>
                <w:kern w:val="0"/>
                <w:sz w:val="24"/>
                <w:lang w:bidi="ar"/>
              </w:rPr>
              <w:br w:type="textWrapping"/>
            </w:r>
            <w:r>
              <w:rPr>
                <w:rFonts w:hint="eastAsia" w:ascii="宋体" w:hAnsi="宋体" w:cs="宋体"/>
                <w:kern w:val="0"/>
                <w:sz w:val="24"/>
                <w:lang w:bidi="ar"/>
              </w:rPr>
              <w:t>IP防护等级：≥IP66</w:t>
            </w:r>
            <w:r>
              <w:rPr>
                <w:rFonts w:hint="eastAsia" w:ascii="宋体" w:hAnsi="宋体" w:cs="宋体"/>
                <w:kern w:val="0"/>
                <w:sz w:val="24"/>
                <w:lang w:bidi="ar"/>
              </w:rPr>
              <w:br w:type="textWrapping"/>
            </w:r>
            <w:r>
              <w:rPr>
                <w:rFonts w:hint="eastAsia" w:ascii="宋体" w:hAnsi="宋体" w:cs="宋体"/>
                <w:kern w:val="0"/>
                <w:sz w:val="24"/>
                <w:lang w:bidi="ar"/>
              </w:rPr>
              <w:t>湿度：10%~90%</w:t>
            </w:r>
            <w:r>
              <w:rPr>
                <w:rFonts w:hint="eastAsia" w:ascii="宋体" w:hAnsi="宋体" w:cs="宋体"/>
                <w:kern w:val="0"/>
                <w:sz w:val="24"/>
                <w:lang w:bidi="ar"/>
              </w:rPr>
              <w:br w:type="textWrapping"/>
            </w:r>
            <w:r>
              <w:rPr>
                <w:rFonts w:hint="eastAsia" w:ascii="宋体" w:hAnsi="宋体" w:cs="宋体"/>
                <w:kern w:val="0"/>
                <w:sz w:val="24"/>
                <w:lang w:bidi="ar"/>
              </w:rPr>
              <w:t>摄像机（带内置偏振镜）、室外防护罩、内置补光灯、网络防雷器、电源适配器、安装万向节、防水软管等</w:t>
            </w:r>
            <w:r>
              <w:rPr>
                <w:rFonts w:hint="eastAsia" w:ascii="宋体" w:hAnsi="宋体" w:cs="宋体"/>
                <w:kern w:val="0"/>
                <w:sz w:val="24"/>
                <w:lang w:bidi="ar"/>
              </w:rPr>
              <w:br w:type="textWrapping"/>
            </w:r>
            <w:r>
              <w:rPr>
                <w:rFonts w:hint="eastAsia" w:ascii="宋体" w:hAnsi="宋体" w:cs="宋体"/>
                <w:kern w:val="0"/>
                <w:sz w:val="24"/>
                <w:lang w:bidi="ar"/>
              </w:rPr>
              <w:t>☆采用智能学习芯片，支持智能学习，提供公安部检测报告或承诺书；</w:t>
            </w:r>
            <w:r>
              <w:rPr>
                <w:rFonts w:hint="eastAsia" w:ascii="宋体" w:hAnsi="宋体" w:cs="宋体"/>
                <w:kern w:val="0"/>
                <w:sz w:val="24"/>
                <w:lang w:bidi="ar"/>
              </w:rPr>
              <w:br w:type="textWrapping"/>
            </w:r>
            <w:r>
              <w:rPr>
                <w:rFonts w:hint="eastAsia" w:ascii="宋体" w:hAnsi="宋体" w:cs="宋体"/>
                <w:kern w:val="0"/>
                <w:sz w:val="24"/>
                <w:lang w:bidi="ar"/>
              </w:rPr>
              <w:t>提供不小于投标最高像素的抓拍图片；</w:t>
            </w:r>
            <w:r>
              <w:rPr>
                <w:rFonts w:hint="eastAsia" w:ascii="宋体" w:hAnsi="宋体" w:cs="宋体"/>
                <w:kern w:val="0"/>
                <w:sz w:val="24"/>
                <w:lang w:bidi="ar"/>
              </w:rPr>
              <w:br w:type="textWrapping"/>
            </w:r>
            <w:r>
              <w:rPr>
                <w:rFonts w:hint="eastAsia" w:ascii="宋体" w:hAnsi="宋体" w:cs="宋体"/>
                <w:kern w:val="0"/>
                <w:sz w:val="24"/>
                <w:lang w:bidi="ar"/>
              </w:rPr>
              <w:t>☆全结构化相机，可根据业务需求可配置200万至投标最高像素视频流输出（码流：2-8M）</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7</w:t>
            </w:r>
          </w:p>
        </w:tc>
        <w:tc>
          <w:tcPr>
            <w:tcW w:w="9113" w:type="dxa"/>
            <w:gridSpan w:val="2"/>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二、摄像机补光部分（包含人工、机械、调试、登高费，二次搬运、文明施工等费用）</w:t>
            </w:r>
          </w:p>
        </w:tc>
      </w:tr>
      <w:tr>
        <w:tblPrEx>
          <w:tblCellMar>
            <w:top w:w="0" w:type="dxa"/>
            <w:left w:w="108" w:type="dxa"/>
            <w:bottom w:w="0" w:type="dxa"/>
            <w:right w:w="108" w:type="dxa"/>
          </w:tblCellMar>
        </w:tblPrEx>
        <w:trPr>
          <w:trHeight w:val="1408"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8</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LED全景补光灯(含光敏控制）</w:t>
            </w:r>
          </w:p>
        </w:tc>
        <w:tc>
          <w:tcPr>
            <w:tcW w:w="645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有效补光距离：16m～25m；</w:t>
            </w:r>
            <w:r>
              <w:rPr>
                <w:rFonts w:hint="eastAsia" w:ascii="宋体" w:hAnsi="宋体" w:cs="宋体"/>
                <w:kern w:val="0"/>
                <w:sz w:val="24"/>
                <w:lang w:bidi="ar"/>
              </w:rPr>
              <w:br w:type="textWrapping"/>
            </w:r>
            <w:r>
              <w:rPr>
                <w:rFonts w:hint="eastAsia" w:ascii="宋体" w:hAnsi="宋体" w:cs="宋体"/>
                <w:kern w:val="0"/>
                <w:sz w:val="24"/>
                <w:lang w:bidi="ar"/>
              </w:rPr>
              <w:t>工作电压：170VAC～264VAC；LED灯珠要求采用进口品牌；</w:t>
            </w:r>
            <w:r>
              <w:rPr>
                <w:rFonts w:hint="eastAsia" w:ascii="宋体" w:hAnsi="宋体" w:cs="宋体"/>
                <w:kern w:val="0"/>
                <w:sz w:val="24"/>
                <w:lang w:bidi="ar"/>
              </w:rPr>
              <w:br w:type="textWrapping"/>
            </w:r>
            <w:r>
              <w:rPr>
                <w:rFonts w:hint="eastAsia" w:ascii="宋体" w:hAnsi="宋体" w:cs="宋体"/>
                <w:kern w:val="0"/>
                <w:sz w:val="24"/>
                <w:lang w:bidi="ar"/>
              </w:rPr>
              <w:t>集成数字式照度传感器，具备自动光感功能，光敏控制，与时间双配合。色温范围：＜6700K，20m处光斑的照度不得超过40Lx；</w:t>
            </w:r>
            <w:r>
              <w:rPr>
                <w:rFonts w:hint="eastAsia" w:ascii="宋体" w:hAnsi="宋体" w:cs="宋体"/>
                <w:kern w:val="0"/>
                <w:sz w:val="24"/>
                <w:lang w:bidi="ar"/>
              </w:rPr>
              <w:br w:type="textWrapping"/>
            </w:r>
            <w:r>
              <w:rPr>
                <w:rFonts w:hint="eastAsia" w:ascii="宋体" w:hAnsi="宋体" w:cs="宋体"/>
                <w:kern w:val="0"/>
                <w:sz w:val="24"/>
                <w:lang w:bidi="ar"/>
              </w:rPr>
              <w:t>支持通过特定相机和平台批量远程控制亮度等级及补光灯点亮/熄灭；</w:t>
            </w:r>
            <w:r>
              <w:rPr>
                <w:rFonts w:hint="eastAsia" w:ascii="宋体" w:hAnsi="宋体" w:cs="宋体"/>
                <w:kern w:val="0"/>
                <w:sz w:val="24"/>
                <w:lang w:bidi="ar"/>
              </w:rPr>
              <w:br w:type="textWrapping"/>
            </w:r>
            <w:r>
              <w:rPr>
                <w:rFonts w:hint="eastAsia" w:ascii="宋体" w:hAnsi="宋体" w:cs="宋体"/>
                <w:kern w:val="0"/>
                <w:sz w:val="24"/>
                <w:lang w:bidi="ar"/>
              </w:rPr>
              <w:t>额定功率≤40W；工作温度-20℃~+70℃；工作环境湿度：10%～90%RH；</w:t>
            </w:r>
            <w:r>
              <w:rPr>
                <w:rFonts w:hint="eastAsia" w:ascii="宋体" w:hAnsi="宋体" w:cs="宋体"/>
                <w:kern w:val="0"/>
                <w:sz w:val="24"/>
                <w:lang w:bidi="ar"/>
              </w:rPr>
              <w:br w:type="textWrapping"/>
            </w:r>
            <w:r>
              <w:rPr>
                <w:rFonts w:hint="eastAsia" w:ascii="宋体" w:hAnsi="宋体" w:cs="宋体"/>
                <w:kern w:val="0"/>
                <w:sz w:val="24"/>
                <w:lang w:bidi="ar"/>
              </w:rPr>
              <w:t>防护等级不低于IP66；支持环境亮度阀值可调；</w:t>
            </w:r>
            <w:r>
              <w:rPr>
                <w:rFonts w:hint="eastAsia" w:ascii="宋体" w:hAnsi="宋体" w:cs="宋体"/>
                <w:kern w:val="0"/>
                <w:sz w:val="24"/>
                <w:lang w:bidi="ar"/>
              </w:rPr>
              <w:br w:type="textWrapping"/>
            </w:r>
            <w:r>
              <w:rPr>
                <w:rFonts w:hint="eastAsia" w:ascii="宋体" w:hAnsi="宋体" w:cs="宋体"/>
                <w:kern w:val="0"/>
                <w:sz w:val="24"/>
                <w:lang w:bidi="ar"/>
              </w:rPr>
              <w:t>亮补光灯采用内置自动光控设计，环境低照度下自动开启；</w:t>
            </w:r>
            <w:r>
              <w:rPr>
                <w:rFonts w:hint="eastAsia" w:ascii="宋体" w:hAnsi="宋体" w:cs="宋体"/>
                <w:kern w:val="0"/>
                <w:sz w:val="24"/>
                <w:lang w:bidi="ar"/>
              </w:rPr>
              <w:br w:type="textWrapping"/>
            </w:r>
            <w:r>
              <w:rPr>
                <w:rFonts w:hint="eastAsia" w:ascii="宋体" w:hAnsi="宋体" w:cs="宋体"/>
                <w:kern w:val="0"/>
                <w:sz w:val="24"/>
                <w:lang w:bidi="ar"/>
              </w:rPr>
              <w:t>有效减少光污染；</w:t>
            </w:r>
            <w:r>
              <w:rPr>
                <w:rFonts w:hint="eastAsia" w:ascii="宋体" w:hAnsi="宋体" w:cs="宋体"/>
                <w:kern w:val="0"/>
                <w:sz w:val="24"/>
                <w:lang w:bidi="ar"/>
              </w:rPr>
              <w:br w:type="textWrapping"/>
            </w:r>
            <w:r>
              <w:rPr>
                <w:rFonts w:hint="eastAsia" w:ascii="宋体" w:hAnsi="宋体" w:cs="宋体"/>
                <w:kern w:val="0"/>
                <w:sz w:val="24"/>
                <w:lang w:bidi="ar"/>
              </w:rPr>
              <w:t>光敏控制自发光功能：具有光敏控制补光装置自发光功能，可在低照度下自动开启补光，低照度阀值在0-255范围内可调，支持自发光频闪频率在50-1000Hz范围内可调，支持通过调整占空比来进行自发光亮度调节；</w:t>
            </w:r>
            <w:r>
              <w:rPr>
                <w:rFonts w:hint="eastAsia" w:ascii="宋体" w:hAnsi="宋体" w:cs="宋体"/>
                <w:kern w:val="0"/>
                <w:sz w:val="24"/>
                <w:lang w:bidi="ar"/>
              </w:rPr>
              <w:br w:type="textWrapping"/>
            </w:r>
            <w:r>
              <w:rPr>
                <w:rFonts w:hint="eastAsia" w:ascii="宋体" w:hAnsi="宋体" w:cs="宋体"/>
                <w:kern w:val="0"/>
                <w:sz w:val="24"/>
                <w:lang w:bidi="ar"/>
              </w:rPr>
              <w:t>发光方式：支持频闪自动倍频、持续发光、爆闪三种发光方式，三种发光方式可组合使用；</w:t>
            </w:r>
            <w:r>
              <w:rPr>
                <w:rFonts w:hint="eastAsia" w:ascii="宋体" w:hAnsi="宋体" w:cs="宋体"/>
                <w:kern w:val="0"/>
                <w:sz w:val="24"/>
                <w:lang w:bidi="ar"/>
              </w:rPr>
              <w:br w:type="textWrapping"/>
            </w:r>
            <w:r>
              <w:rPr>
                <w:rFonts w:hint="eastAsia" w:ascii="宋体" w:hAnsi="宋体" w:cs="宋体"/>
                <w:kern w:val="0"/>
                <w:sz w:val="24"/>
                <w:lang w:bidi="ar"/>
              </w:rPr>
              <w:t>支持远程控制和远程状态显示功能，具有远程亮度可调节、开启、关闭等功能，提供承诺书；</w:t>
            </w:r>
            <w:r>
              <w:rPr>
                <w:rFonts w:hint="eastAsia" w:ascii="宋体" w:hAnsi="宋体" w:cs="宋体"/>
                <w:kern w:val="0"/>
                <w:sz w:val="24"/>
                <w:lang w:bidi="ar"/>
              </w:rPr>
              <w:br w:type="textWrapping"/>
            </w:r>
            <w:r>
              <w:rPr>
                <w:rFonts w:hint="eastAsia" w:ascii="宋体" w:hAnsi="宋体" w:cs="宋体"/>
                <w:kern w:val="0"/>
                <w:sz w:val="24"/>
                <w:lang w:bidi="ar"/>
              </w:rPr>
              <w:t>支持后台软件平台批量显示状态和远程控制功能，支持与公安现有运维平台无缝对接，提供承诺书；</w:t>
            </w:r>
            <w:r>
              <w:rPr>
                <w:rFonts w:hint="eastAsia" w:ascii="宋体" w:hAnsi="宋体" w:cs="宋体"/>
                <w:kern w:val="0"/>
                <w:sz w:val="24"/>
                <w:lang w:bidi="ar"/>
              </w:rPr>
              <w:br w:type="textWrapping"/>
            </w:r>
            <w:r>
              <w:rPr>
                <w:rFonts w:hint="eastAsia" w:ascii="宋体" w:hAnsi="宋体" w:cs="宋体"/>
                <w:kern w:val="0"/>
                <w:sz w:val="24"/>
                <w:lang w:bidi="ar"/>
              </w:rPr>
              <w:t>产品需提供公安部的检测报告。</w:t>
            </w:r>
            <w:r>
              <w:rPr>
                <w:rFonts w:hint="eastAsia" w:ascii="宋体" w:hAnsi="宋体" w:cs="宋体"/>
                <w:kern w:val="0"/>
                <w:sz w:val="24"/>
                <w:lang w:bidi="ar"/>
              </w:rPr>
              <w:br w:type="textWrapping"/>
            </w:r>
            <w:r>
              <w:rPr>
                <w:rFonts w:hint="eastAsia" w:ascii="宋体" w:hAnsi="宋体" w:cs="宋体"/>
                <w:kern w:val="0"/>
                <w:sz w:val="24"/>
                <w:lang w:bidi="ar"/>
              </w:rPr>
              <w:t>（包括服务期内当光衰减大于30%或造成图片、视频数据成像效果不符合招标要求及相关国家标准的应当免费更换）</w:t>
            </w:r>
          </w:p>
        </w:tc>
      </w:tr>
      <w:tr>
        <w:tblPrEx>
          <w:tblCellMar>
            <w:top w:w="0" w:type="dxa"/>
            <w:left w:w="108" w:type="dxa"/>
            <w:bottom w:w="0" w:type="dxa"/>
            <w:right w:w="108" w:type="dxa"/>
          </w:tblCellMar>
        </w:tblPrEx>
        <w:trPr>
          <w:trHeight w:val="557"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9</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智能闪光灯</w:t>
            </w:r>
          </w:p>
        </w:tc>
        <w:tc>
          <w:tcPr>
            <w:tcW w:w="645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单车道气体爆闪灯，单次闪光能量≥200J，白天可看清前排司乘人员面部特征；</w:t>
            </w:r>
            <w:r>
              <w:rPr>
                <w:rFonts w:hint="eastAsia" w:ascii="宋体" w:hAnsi="宋体" w:cs="宋体"/>
                <w:kern w:val="0"/>
                <w:sz w:val="24"/>
                <w:lang w:bidi="ar"/>
              </w:rPr>
              <w:br w:type="textWrapping"/>
            </w:r>
            <w:r>
              <w:rPr>
                <w:rFonts w:hint="eastAsia" w:ascii="宋体" w:hAnsi="宋体" w:cs="宋体"/>
                <w:kern w:val="0"/>
                <w:sz w:val="24"/>
                <w:lang w:bidi="ar"/>
              </w:rPr>
              <w:t>回电时间＜67ms，支持5V电平量触发(可选开关量)；</w:t>
            </w:r>
            <w:r>
              <w:rPr>
                <w:rFonts w:hint="eastAsia" w:ascii="宋体" w:hAnsi="宋体" w:cs="宋体"/>
                <w:kern w:val="0"/>
                <w:sz w:val="24"/>
                <w:lang w:bidi="ar"/>
              </w:rPr>
              <w:br w:type="textWrapping"/>
            </w:r>
            <w:r>
              <w:rPr>
                <w:rFonts w:hint="eastAsia" w:ascii="宋体" w:hAnsi="宋体" w:cs="宋体"/>
                <w:kern w:val="0"/>
                <w:sz w:val="24"/>
                <w:lang w:bidi="ar"/>
              </w:rPr>
              <w:t>有效补光距离16m～25m；</w:t>
            </w:r>
            <w:r>
              <w:rPr>
                <w:rFonts w:hint="eastAsia" w:ascii="宋体" w:hAnsi="宋体" w:cs="宋体"/>
                <w:kern w:val="0"/>
                <w:sz w:val="24"/>
                <w:lang w:bidi="ar"/>
              </w:rPr>
              <w:br w:type="textWrapping"/>
            </w:r>
            <w:r>
              <w:rPr>
                <w:rFonts w:hint="eastAsia" w:ascii="宋体" w:hAnsi="宋体" w:cs="宋体"/>
                <w:kern w:val="0"/>
                <w:sz w:val="24"/>
                <w:lang w:bidi="ar"/>
              </w:rPr>
              <w:t>工作环境-25～+70℃(-40℃内均可安全使用/有衰减)；</w:t>
            </w:r>
            <w:r>
              <w:rPr>
                <w:rFonts w:hint="eastAsia" w:ascii="宋体" w:hAnsi="宋体" w:cs="宋体"/>
                <w:kern w:val="0"/>
                <w:sz w:val="24"/>
                <w:lang w:bidi="ar"/>
              </w:rPr>
              <w:br w:type="textWrapping"/>
            </w:r>
            <w:r>
              <w:rPr>
                <w:rFonts w:hint="eastAsia" w:ascii="宋体" w:hAnsi="宋体" w:cs="宋体"/>
                <w:kern w:val="0"/>
                <w:sz w:val="24"/>
                <w:lang w:bidi="ar"/>
              </w:rPr>
              <w:t>具有脉冲保护功能，屏蔽≥3Hz持续性的脉冲信号(闪15次后进入1次/S的微闪光提示状态，复原时间为10S)；闪光次数≥2000万次；</w:t>
            </w:r>
            <w:r>
              <w:rPr>
                <w:rFonts w:hint="eastAsia" w:ascii="宋体" w:hAnsi="宋体" w:cs="宋体"/>
                <w:kern w:val="0"/>
                <w:sz w:val="24"/>
                <w:lang w:bidi="ar"/>
              </w:rPr>
              <w:br w:type="textWrapping"/>
            </w:r>
            <w:r>
              <w:rPr>
                <w:rFonts w:hint="eastAsia" w:ascii="宋体" w:hAnsi="宋体" w:cs="宋体"/>
                <w:kern w:val="0"/>
                <w:sz w:val="24"/>
                <w:lang w:bidi="ar"/>
              </w:rPr>
              <w:t>配带光栅，可有效减少周边光污染；</w:t>
            </w:r>
            <w:r>
              <w:rPr>
                <w:rFonts w:hint="eastAsia" w:ascii="宋体" w:hAnsi="宋体" w:cs="宋体"/>
                <w:kern w:val="0"/>
                <w:sz w:val="24"/>
                <w:lang w:bidi="ar"/>
              </w:rPr>
              <w:br w:type="textWrapping"/>
            </w:r>
            <w:r>
              <w:rPr>
                <w:rFonts w:hint="eastAsia" w:ascii="宋体" w:hAnsi="宋体" w:cs="宋体"/>
                <w:kern w:val="0"/>
                <w:sz w:val="24"/>
                <w:lang w:bidi="ar"/>
              </w:rPr>
              <w:t>要求具备符合GA/T1202-2014《交通技术监控成像补光装置通用技术规范》的检测报告；</w:t>
            </w:r>
            <w:r>
              <w:rPr>
                <w:rFonts w:hint="eastAsia" w:ascii="宋体" w:hAnsi="宋体" w:cs="宋体"/>
                <w:kern w:val="0"/>
                <w:sz w:val="24"/>
                <w:lang w:bidi="ar"/>
              </w:rPr>
              <w:br w:type="textWrapping"/>
            </w:r>
            <w:r>
              <w:rPr>
                <w:rFonts w:hint="eastAsia" w:ascii="宋体" w:hAnsi="宋体" w:cs="宋体"/>
                <w:kern w:val="0"/>
                <w:sz w:val="24"/>
                <w:lang w:bidi="ar"/>
              </w:rPr>
              <w:t>产品需提供公安部的检测报告。</w:t>
            </w:r>
            <w:r>
              <w:rPr>
                <w:rFonts w:hint="eastAsia" w:ascii="宋体" w:hAnsi="宋体" w:cs="宋体"/>
                <w:kern w:val="0"/>
                <w:sz w:val="24"/>
                <w:lang w:bidi="ar"/>
              </w:rPr>
              <w:br w:type="textWrapping"/>
            </w:r>
            <w:r>
              <w:rPr>
                <w:rFonts w:hint="eastAsia" w:ascii="宋体" w:hAnsi="宋体" w:cs="宋体"/>
                <w:kern w:val="0"/>
                <w:sz w:val="24"/>
                <w:lang w:bidi="ar"/>
              </w:rPr>
              <w:t>（包括服务期内当光衰减大于30%或造成图片、视频数据成像效果不符合招标要求及相关国家标准的应当免费更换）</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10</w:t>
            </w:r>
          </w:p>
        </w:tc>
        <w:tc>
          <w:tcPr>
            <w:tcW w:w="9113" w:type="dxa"/>
            <w:gridSpan w:val="2"/>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三、立杆部分（包含基础材料、接地、人工、机械、调试、二次搬运、文明施工等费用）</w:t>
            </w: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11</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L型6.3米挑12米</w:t>
            </w:r>
          </w:p>
        </w:tc>
        <w:tc>
          <w:tcPr>
            <w:tcW w:w="6452" w:type="dxa"/>
            <w:vMerge w:val="restar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350mm，上口径300mm，厚度8.0mm，副杆上口径280mm，下口径100mm，厚度5mm；立杆C20钢筋混凝土基础规格：1.8*1.8*2.3M，基础件：圆钢Ф30，8柱折弯后高度2.1m，定位板-10*Ф600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12</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L型6.3米挑11米</w:t>
            </w:r>
          </w:p>
        </w:tc>
        <w:tc>
          <w:tcPr>
            <w:tcW w:w="6452" w:type="dxa"/>
            <w:vMerge w:val="restar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350mm，上口径300mm，厚度8.0mm，副杆上口径280mm，下口径100mm，厚度5mm；立杆C20钢筋混凝土基础规格：1.8*1.8*2.3M，基础件：圆钢Ф30，8柱折弯后高度2.1m，定位板-10*Ф600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13</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L型6.3米挑10米</w:t>
            </w:r>
          </w:p>
        </w:tc>
        <w:tc>
          <w:tcPr>
            <w:tcW w:w="6452" w:type="dxa"/>
            <w:vMerge w:val="restar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350mm，上口径300mm，厚度8.0mm，副杆上口径280mm，下口径100mm，厚度5mm；立杆C20钢筋混凝土基础规格：1.8*1.8*2.3M，基础件：圆钢Ф30，8柱折弯后高度2.1m，定位板-10*Ф600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14</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L型6.3米挑9米</w:t>
            </w:r>
          </w:p>
        </w:tc>
        <w:tc>
          <w:tcPr>
            <w:tcW w:w="6452" w:type="dxa"/>
            <w:vMerge w:val="restar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350mm，上口径300mm，厚度8.0mm，副杆上口径240mm，下口径100mm，厚度5mm；立杆C20钢筋混凝土基础规格：1.6*1.6*2.1M，基础件：圆钢Ф30，8柱折弯后高度1.8m，定位板-6*Ф600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15</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L型6.3米挑8米</w:t>
            </w:r>
          </w:p>
        </w:tc>
        <w:tc>
          <w:tcPr>
            <w:tcW w:w="6452" w:type="dxa"/>
            <w:vMerge w:val="restar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350mm，上口径300mm，厚度8.0mm，副杆上口径240mm，下口径100mm，厚度5mm；立杆C20钢筋混凝土基础规格：1.6*1.6*2.1M，基础件：圆钢Ф30，8柱折弯后高度1.8m，定位板-6*Ф600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16</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L型6.3米挑7米</w:t>
            </w:r>
          </w:p>
        </w:tc>
        <w:tc>
          <w:tcPr>
            <w:tcW w:w="6452" w:type="dxa"/>
            <w:vMerge w:val="restar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350mm，上口径300mm，厚度8.0mm，副杆上口径240mm，下口径100mm，厚度5mm；立杆C20钢筋混凝土基础规格：1.6*1.6*2.1M，基础件：圆钢Ф30，8柱折弯后高度1.8m，定位板-6*Ф600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17</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L型6.3米挑6米</w:t>
            </w:r>
          </w:p>
        </w:tc>
        <w:tc>
          <w:tcPr>
            <w:tcW w:w="6452" w:type="dxa"/>
            <w:vMerge w:val="restar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280mm，上口径250mm，厚度6.0mm，副杆上口径190mm，下口径100mm，厚度5mm；立杆C20钢筋混凝土基础规格：1.4*1.4*1.9M，基础件：圆钢Ф25，6柱折弯后高度1.6m，定位板-6*Ф600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18</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L型6.3米挑5米</w:t>
            </w:r>
          </w:p>
        </w:tc>
        <w:tc>
          <w:tcPr>
            <w:tcW w:w="6452" w:type="dxa"/>
            <w:vMerge w:val="restar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280mm，上口径250mm，厚度6.0mm，副杆上口径190mm，下口径100mm，厚度5mm；立杆C20钢筋混凝土基础规格：1.4*1.4*1.9M，基础件：圆钢Ф25，6柱折弯后高度1.6m，定位板-6*Ф600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19</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L型6.3米挑4米</w:t>
            </w:r>
          </w:p>
        </w:tc>
        <w:tc>
          <w:tcPr>
            <w:tcW w:w="6452" w:type="dxa"/>
            <w:vMerge w:val="restar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230mm，上口径150mm，厚度5.0mm，副杆114mm等径杆，厚度4mm；立杆C20钢筋混凝土基础规格：1.2*1.2*1.6，基础件：圆钢Ф25，6柱折弯后高度1.4m，定位板-6*Ф450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20</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L型6.3米挑3米</w:t>
            </w:r>
          </w:p>
        </w:tc>
        <w:tc>
          <w:tcPr>
            <w:tcW w:w="6452" w:type="dxa"/>
            <w:vMerge w:val="restar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230mm，上口径150mm，厚度5.0mm，副杆114mm等径杆，厚度4mm；立杆C20钢筋混凝土基础规格：1.2*1.2*1.6，基础件：圆钢Ф25，6柱折弯后高度1.4m，定位板-6*Ф450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21</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L型5米挑4米</w:t>
            </w:r>
          </w:p>
        </w:tc>
        <w:tc>
          <w:tcPr>
            <w:tcW w:w="6452" w:type="dxa"/>
            <w:vMerge w:val="restar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230mm，上口径150mm，厚度5.0mm，副杆114mm等径杆，厚度4mm；立杆C20钢筋混凝土基础规格：1.2*1.2*1.6，基础件：圆钢Ф25，6柱折弯后高度1.4m，定位板-6*Ф450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22</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L型5米挑3米</w:t>
            </w:r>
          </w:p>
        </w:tc>
        <w:tc>
          <w:tcPr>
            <w:tcW w:w="6452" w:type="dxa"/>
            <w:vMerge w:val="restar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230mm，上口径150mm，厚度5.0mm，副杆114mm等径杆，厚度4mm；立杆C20钢筋混凝土基础规格：1.2*1.2*1.6，基础件：圆钢Ф25，6柱折弯后高度1.4m，定位板-6*Ф450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23</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L型5米挑2米</w:t>
            </w:r>
          </w:p>
        </w:tc>
        <w:tc>
          <w:tcPr>
            <w:tcW w:w="6452" w:type="dxa"/>
            <w:vMerge w:val="restar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230mm，上口径150mm，厚度5.0mm，副杆114mm等径杆，厚度4mm；立杆C20钢筋混凝土基础规格：1.2*1.2*1.6，基础件：圆钢Ф25，6柱折弯后高度1.4m，定位板-6*Ф450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24</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L型4米挑3米</w:t>
            </w:r>
          </w:p>
        </w:tc>
        <w:tc>
          <w:tcPr>
            <w:tcW w:w="6452" w:type="dxa"/>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等径140mm,厚度5.0mm，副杆等径114mm，厚度4.0mm；立杆C20钢筋混凝土基础规格：1.0*1.0*1.2，基础件：圆钢Ф22，6柱折弯后高度1.2m，定位板-6*Ф400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25</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L型4米挑2米</w:t>
            </w:r>
          </w:p>
        </w:tc>
        <w:tc>
          <w:tcPr>
            <w:tcW w:w="6452" w:type="dxa"/>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等径140mm,厚度5.0mm，副杆等径114mm，厚度4.0mm；立杆C20钢筋混凝土基础规格：1.0*1.0*1.2，基础件：圆钢Ф22，6柱折弯后高度1.2m，定位板-6*Ф400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26</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L型4米挑1米</w:t>
            </w:r>
          </w:p>
        </w:tc>
        <w:tc>
          <w:tcPr>
            <w:tcW w:w="6452" w:type="dxa"/>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等径140mm,厚度5.0mm，副杆等径114mm，厚度4.0mm；立杆C20钢筋混凝土基础规格：1.0*1.0*1.2，基础件：圆钢Ф22，6柱折弯后高度1.2m，定位板-6*Ф400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27</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L型3米挑2米</w:t>
            </w:r>
          </w:p>
        </w:tc>
        <w:tc>
          <w:tcPr>
            <w:tcW w:w="6452" w:type="dxa"/>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等径140mm,厚度5.0mm，副杆等径114mm，厚度4.0mm；立杆C20钢筋混凝土基础规格：1.0*1.0*1.2，基础件：圆钢Ф22，6柱折弯后高度1.2m，定位板-6*Ф400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28</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L型3米挑1米</w:t>
            </w:r>
          </w:p>
        </w:tc>
        <w:tc>
          <w:tcPr>
            <w:tcW w:w="6452" w:type="dxa"/>
            <w:vMerge w:val="restart"/>
            <w:tcBorders>
              <w:top w:val="nil"/>
              <w:left w:val="nil"/>
              <w:bottom w:val="single" w:color="000000"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等径140mm,厚度5.0mm，副杆等径114mm，厚度4.0mm；立杆C20钢筋混凝土基础规格：1.0*1.0*1.2，基础件：圆钢Ф22，6柱折弯后高度1.2m，定位板-6*Ф400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000000" w:sz="4" w:space="0"/>
              <w:right w:val="single" w:color="auto" w:sz="4" w:space="0"/>
            </w:tcBorders>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29</w:t>
            </w:r>
          </w:p>
        </w:tc>
        <w:tc>
          <w:tcPr>
            <w:tcW w:w="0" w:type="auto"/>
            <w:tcBorders>
              <w:top w:val="nil"/>
              <w:left w:val="nil"/>
              <w:bottom w:val="single" w:color="auto" w:sz="4" w:space="0"/>
              <w:right w:val="single" w:color="auto" w:sz="4" w:space="0"/>
            </w:tcBorders>
            <w:shd w:val="clear" w:color="auto" w:fill="auto"/>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T型杆6.3米挑（11+11）</w:t>
            </w:r>
          </w:p>
        </w:tc>
        <w:tc>
          <w:tcPr>
            <w:tcW w:w="6452" w:type="dxa"/>
            <w:vMerge w:val="restar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350mm，上口径300mm，厚度8.0mm，副杆上口径240mm，下口径100mm，厚度5mm；立杆C20钢筋混凝土基础规格：1.8*1.8*2.3M，基础件：圆钢Ф30，8柱折弯后高度1.8m，定位板-6*Ф600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shd w:val="clear" w:color="auto" w:fill="auto"/>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shd w:val="clear" w:color="auto" w:fill="auto"/>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shd w:val="clear" w:color="auto" w:fill="FFFFFF"/>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30</w:t>
            </w:r>
          </w:p>
        </w:tc>
        <w:tc>
          <w:tcPr>
            <w:tcW w:w="0" w:type="auto"/>
            <w:tcBorders>
              <w:top w:val="nil"/>
              <w:left w:val="nil"/>
              <w:bottom w:val="single" w:color="auto" w:sz="4" w:space="0"/>
              <w:right w:val="single" w:color="auto" w:sz="4" w:space="0"/>
            </w:tcBorders>
            <w:shd w:val="clear" w:color="auto" w:fill="auto"/>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T型杆6.3米挑（5+5）</w:t>
            </w:r>
          </w:p>
        </w:tc>
        <w:tc>
          <w:tcPr>
            <w:tcW w:w="6452" w:type="dxa"/>
            <w:vMerge w:val="restar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280mm，上口径250mm，厚度6.0mm，副杆（6m）上口径190mm，下口径100mm，厚度5mm；副杆（3m）上口径120mm，下口径80mm，厚度5mm；立杆C20钢筋混凝土基础规格：1.5*1.5*1.8M，基础件：圆钢Ф25，6柱折弯后高度1.6m，定位板-6*Ф600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shd w:val="clear" w:color="auto" w:fill="auto"/>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shd w:val="clear" w:color="auto" w:fill="auto"/>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shd w:val="clear" w:color="auto" w:fill="FFFFFF"/>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single" w:color="000000"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31</w:t>
            </w:r>
          </w:p>
        </w:tc>
        <w:tc>
          <w:tcPr>
            <w:tcW w:w="0" w:type="auto"/>
            <w:tcBorders>
              <w:top w:val="nil"/>
              <w:left w:val="nil"/>
              <w:bottom w:val="single" w:color="auto" w:sz="4" w:space="0"/>
              <w:right w:val="single" w:color="auto" w:sz="4" w:space="0"/>
            </w:tcBorders>
            <w:shd w:val="clear" w:color="auto" w:fill="auto"/>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T型杆4米挑（2+2）</w:t>
            </w:r>
          </w:p>
        </w:tc>
        <w:tc>
          <w:tcPr>
            <w:tcW w:w="6452" w:type="dxa"/>
            <w:vMerge w:val="restart"/>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杆下口径230mm，上口径150mm，厚度5.0mm，副杆114mm等径杆，厚度4mm；立杆C20钢筋混凝土基础规格：1.2*1.2*1.6M，基础件：圆钢Ф25，6柱折弯后高度1.4m，定位板-6*Ф450，详见图纸或参考国标，杆件整体热镀锌，检修门采用三角防盗锁。注：所有杆件需一次成型不得嫁接。</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single" w:color="000000" w:sz="4" w:space="0"/>
              <w:right w:val="single" w:color="auto" w:sz="4" w:space="0"/>
            </w:tcBorders>
            <w:shd w:val="clear" w:color="auto" w:fill="auto"/>
            <w:noWrap w:val="0"/>
            <w:vAlign w:val="center"/>
          </w:tcPr>
          <w:p>
            <w:pPr>
              <w:rPr>
                <w:rFonts w:ascii="Times New Roman" w:hAnsi="Times New Roman" w:cs="Times New Roman"/>
                <w:sz w:val="20"/>
                <w:szCs w:val="20"/>
              </w:rPr>
            </w:pPr>
          </w:p>
        </w:tc>
        <w:tc>
          <w:tcPr>
            <w:tcW w:w="0" w:type="auto"/>
            <w:tcBorders>
              <w:top w:val="nil"/>
              <w:left w:val="nil"/>
              <w:bottom w:val="single" w:color="auto" w:sz="4" w:space="0"/>
              <w:right w:val="single" w:color="auto" w:sz="4" w:space="0"/>
            </w:tcBorders>
            <w:shd w:val="clear" w:color="auto" w:fill="auto"/>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(含立杆基础及接地)</w:t>
            </w:r>
          </w:p>
        </w:tc>
        <w:tc>
          <w:tcPr>
            <w:tcW w:w="6452" w:type="dxa"/>
            <w:vMerge w:val="continue"/>
            <w:tcBorders>
              <w:top w:val="nil"/>
              <w:left w:val="nil"/>
              <w:bottom w:val="single" w:color="auto" w:sz="4" w:space="0"/>
              <w:right w:val="single" w:color="auto" w:sz="4" w:space="0"/>
            </w:tcBorders>
            <w:shd w:val="clear" w:color="auto" w:fill="FFFFFF"/>
            <w:noWrap w:val="0"/>
            <w:vAlign w:val="center"/>
          </w:tcPr>
          <w:p>
            <w:pPr>
              <w:rPr>
                <w:rFonts w:ascii="Times New Roman" w:hAnsi="Times New Roman" w:cs="Times New Roman"/>
                <w:sz w:val="20"/>
                <w:szCs w:val="20"/>
              </w:rPr>
            </w:pP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33</w:t>
            </w:r>
          </w:p>
        </w:tc>
        <w:tc>
          <w:tcPr>
            <w:tcW w:w="9113" w:type="dxa"/>
            <w:gridSpan w:val="2"/>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四、借杆及机箱部分（包含人工、机械、调试、登高费，二次搬运、文明施工等费用）</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34</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借杆挑4米</w:t>
            </w:r>
          </w:p>
        </w:tc>
        <w:tc>
          <w:tcPr>
            <w:tcW w:w="645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抱箍厚度≥5mm，水平管径≥76mm，厚度≥4mm，支撑杆≥50mm，厚度≥4mm；4M延伸挑杆。注：所有杆件需一次成型不得嫁接。</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35</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借杆挑3米</w:t>
            </w:r>
          </w:p>
        </w:tc>
        <w:tc>
          <w:tcPr>
            <w:tcW w:w="645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抱箍厚度≥5mm，水平管径≥76mm，厚度≥4mm，支撑杆≥50mm，厚度≥4mm；3M延伸挑杆。注：所有杆件需一次成型不得嫁接。</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36</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借杆挑2米</w:t>
            </w:r>
          </w:p>
        </w:tc>
        <w:tc>
          <w:tcPr>
            <w:tcW w:w="645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抱箍厚度≥5mm，水平管径≥76mm，厚度≥4mm；2M延伸挑杆。注：所有杆件需一次成型不得嫁接。</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37</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借杆挑1米</w:t>
            </w:r>
          </w:p>
        </w:tc>
        <w:tc>
          <w:tcPr>
            <w:tcW w:w="645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抱箍厚度≥5mm，水平管径≥76mm，厚度≥4mm；1M延伸挑杆。注：所有杆件需一次成型不得嫁接。</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38</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借墙2米</w:t>
            </w:r>
          </w:p>
        </w:tc>
        <w:tc>
          <w:tcPr>
            <w:tcW w:w="645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抱箍厚度≥5mm，水平管径≥60mm，厚度≥4mm；2M延伸挑杆。注：所有杆件需一次成型不得嫁接。</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39</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借墙1米</w:t>
            </w:r>
          </w:p>
        </w:tc>
        <w:tc>
          <w:tcPr>
            <w:tcW w:w="645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抱箍厚度≥5mm，水平管径≥60mm，厚度≥4mm；1M延伸挑杆。注：所有杆件需一次成型不得嫁接。</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40</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定制及臂装</w:t>
            </w:r>
          </w:p>
        </w:tc>
        <w:tc>
          <w:tcPr>
            <w:tcW w:w="6452" w:type="dxa"/>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定制</w:t>
            </w:r>
          </w:p>
        </w:tc>
      </w:tr>
      <w:tr>
        <w:tblPrEx>
          <w:tblCellMar>
            <w:top w:w="0" w:type="dxa"/>
            <w:left w:w="108" w:type="dxa"/>
            <w:bottom w:w="0" w:type="dxa"/>
            <w:right w:w="108" w:type="dxa"/>
          </w:tblCellMar>
        </w:tblPrEx>
        <w:trPr>
          <w:trHeight w:val="552" w:hRule="atLeast"/>
        </w:trPr>
        <w:tc>
          <w:tcPr>
            <w:tcW w:w="0" w:type="auto"/>
            <w:tcBorders>
              <w:top w:val="nil"/>
              <w:left w:val="single" w:color="auto" w:sz="4" w:space="0"/>
              <w:bottom w:val="single" w:color="auto" w:sz="4" w:space="0"/>
              <w:right w:val="single" w:color="auto" w:sz="4" w:space="0"/>
            </w:tcBorders>
            <w:shd w:val="clear" w:color="auto" w:fill="auto"/>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41</w:t>
            </w:r>
          </w:p>
        </w:tc>
        <w:tc>
          <w:tcPr>
            <w:tcW w:w="0" w:type="auto"/>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挂杆机箱</w:t>
            </w:r>
          </w:p>
        </w:tc>
        <w:tc>
          <w:tcPr>
            <w:tcW w:w="6452" w:type="dxa"/>
            <w:tcBorders>
              <w:top w:val="nil"/>
              <w:left w:val="nil"/>
              <w:bottom w:val="single" w:color="auto" w:sz="4" w:space="0"/>
              <w:right w:val="single" w:color="auto" w:sz="4" w:space="0"/>
            </w:tcBorders>
            <w:shd w:val="clear" w:color="auto" w:fill="FFFFFF"/>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500×450×250箱体材质不锈钢201，箱体厚度≥1mm箱门板厚度≥1.2mm。内置要求：风机1只，温控仪（可调控温度）1只，装于顶部封板上；GN-A03插座1只，正泰牌DZ47 2P32A：1只，正泰牌DZ47 2P16A：2只，浪涌保护器（WY1-C/40-2P）1只，熔接盘装于底板上，位于上部；光缆固定架1只（装于背部）；托板1块（可活动），装于4根立柱上；存储盒（20mm深）1只位于门上，箱体顶部需做防雨帽，进线孔数量须4个，孔径40mm，孔接头M40*1.5，有胶套保护；开门处加密封条，带防水锁扣。</w:t>
            </w:r>
          </w:p>
        </w:tc>
      </w:tr>
      <w:tr>
        <w:tblPrEx>
          <w:tblCellMar>
            <w:top w:w="0" w:type="dxa"/>
            <w:left w:w="108" w:type="dxa"/>
            <w:bottom w:w="0" w:type="dxa"/>
            <w:right w:w="108" w:type="dxa"/>
          </w:tblCellMar>
        </w:tblPrEx>
        <w:trPr>
          <w:trHeight w:val="480" w:hRule="atLeast"/>
        </w:trPr>
        <w:tc>
          <w:tcPr>
            <w:tcW w:w="457" w:type="dxa"/>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58</w:t>
            </w:r>
          </w:p>
        </w:tc>
        <w:tc>
          <w:tcPr>
            <w:tcW w:w="9113" w:type="dxa"/>
            <w:gridSpan w:val="2"/>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五、取电部分（包含人工、机械、材料费、登高费，二次搬运、文明施工等费用）</w:t>
            </w:r>
          </w:p>
        </w:tc>
      </w:tr>
      <w:tr>
        <w:tblPrEx>
          <w:tblCellMar>
            <w:top w:w="0" w:type="dxa"/>
            <w:left w:w="108" w:type="dxa"/>
            <w:bottom w:w="0" w:type="dxa"/>
            <w:right w:w="108" w:type="dxa"/>
          </w:tblCellMar>
        </w:tblPrEx>
        <w:trPr>
          <w:trHeight w:val="480" w:hRule="atLeast"/>
        </w:trPr>
        <w:tc>
          <w:tcPr>
            <w:tcW w:w="457" w:type="dxa"/>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59</w:t>
            </w:r>
          </w:p>
        </w:tc>
        <w:tc>
          <w:tcPr>
            <w:tcW w:w="2661"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取电</w:t>
            </w:r>
          </w:p>
        </w:tc>
        <w:tc>
          <w:tcPr>
            <w:tcW w:w="6452" w:type="dxa"/>
            <w:tcBorders>
              <w:top w:val="nil"/>
              <w:left w:val="nil"/>
              <w:bottom w:val="single" w:color="auto" w:sz="4" w:space="0"/>
              <w:right w:val="single" w:color="auto" w:sz="4" w:space="0"/>
            </w:tcBorders>
            <w:noWrap/>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从客户借电或电线杆上接电到机箱</w:t>
            </w:r>
          </w:p>
        </w:tc>
      </w:tr>
    </w:tbl>
    <w:p>
      <w:pPr>
        <w:pStyle w:val="32"/>
        <w:pageBreakBefore/>
        <w:widowControl w:val="0"/>
        <w:spacing w:before="240" w:beforeAutospacing="0" w:after="60" w:afterAutospacing="0" w:line="360" w:lineRule="auto"/>
        <w:ind w:firstLine="482" w:firstLineChars="200"/>
        <w:jc w:val="center"/>
        <w:outlineLvl w:val="0"/>
        <w:rPr>
          <w:rFonts w:hint="eastAsia" w:cs="宋体"/>
          <w:b/>
          <w:color w:val="auto"/>
        </w:rPr>
      </w:pPr>
      <w:bookmarkStart w:id="370" w:name="_Toc47901020"/>
      <w:bookmarkEnd w:id="370"/>
      <w:r>
        <w:rPr>
          <w:rFonts w:hint="eastAsia" w:cs="宋体"/>
          <w:b/>
          <w:color w:val="auto"/>
          <w:lang w:bidi="ar"/>
        </w:rPr>
        <w:t>附件一、备品备件</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为了顺利达到服务质量目标及应急指挥通信保障行动实施，设立项目设备备品备件库各投标人对备品备件自行考虑，满足日常维护需求。</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 xml:space="preserve"> </w:t>
      </w:r>
    </w:p>
    <w:p>
      <w:pPr>
        <w:pStyle w:val="3"/>
        <w:widowControl/>
        <w:rPr>
          <w:rFonts w:hint="eastAsia" w:ascii="宋体" w:hAnsi="宋体" w:cs="宋体"/>
          <w:sz w:val="24"/>
          <w:szCs w:val="24"/>
        </w:rPr>
      </w:pPr>
    </w:p>
    <w:p>
      <w:pPr>
        <w:pStyle w:val="3"/>
        <w:widowControl/>
        <w:rPr>
          <w:rFonts w:hint="eastAsia" w:ascii="宋体" w:hAnsi="宋体" w:cs="宋体"/>
          <w:sz w:val="24"/>
          <w:szCs w:val="24"/>
        </w:rPr>
      </w:pPr>
    </w:p>
    <w:p>
      <w:pPr>
        <w:pStyle w:val="3"/>
        <w:widowControl/>
        <w:rPr>
          <w:rFonts w:hint="eastAsia" w:ascii="宋体" w:hAnsi="宋体" w:cs="宋体"/>
          <w:sz w:val="24"/>
          <w:szCs w:val="24"/>
        </w:rPr>
      </w:pPr>
    </w:p>
    <w:p>
      <w:pPr>
        <w:pStyle w:val="3"/>
        <w:widowControl/>
        <w:rPr>
          <w:rFonts w:hint="eastAsia" w:ascii="宋体" w:hAnsi="宋体" w:cs="宋体"/>
          <w:sz w:val="24"/>
          <w:szCs w:val="24"/>
        </w:rPr>
      </w:pPr>
    </w:p>
    <w:p>
      <w:pPr>
        <w:pStyle w:val="3"/>
        <w:widowControl/>
        <w:rPr>
          <w:rFonts w:hint="eastAsia" w:ascii="宋体" w:hAnsi="宋体" w:cs="宋体"/>
          <w:sz w:val="24"/>
          <w:szCs w:val="24"/>
        </w:rPr>
      </w:pPr>
    </w:p>
    <w:p>
      <w:pPr>
        <w:pStyle w:val="3"/>
        <w:widowControl/>
        <w:rPr>
          <w:rFonts w:hint="eastAsia" w:ascii="宋体" w:hAnsi="宋体" w:cs="宋体"/>
          <w:sz w:val="24"/>
          <w:szCs w:val="24"/>
        </w:rPr>
      </w:pPr>
    </w:p>
    <w:p>
      <w:pPr>
        <w:pStyle w:val="3"/>
        <w:widowControl/>
        <w:rPr>
          <w:rFonts w:hint="eastAsia" w:ascii="宋体" w:hAnsi="宋体" w:cs="宋体"/>
          <w:sz w:val="24"/>
          <w:szCs w:val="24"/>
        </w:rPr>
      </w:pPr>
    </w:p>
    <w:p>
      <w:pPr>
        <w:pStyle w:val="3"/>
        <w:widowControl/>
        <w:rPr>
          <w:rFonts w:hint="eastAsia" w:ascii="宋体" w:hAnsi="宋体" w:cs="宋体"/>
          <w:sz w:val="24"/>
          <w:szCs w:val="24"/>
        </w:rPr>
      </w:pPr>
    </w:p>
    <w:p>
      <w:pPr>
        <w:pStyle w:val="3"/>
        <w:widowControl/>
        <w:rPr>
          <w:rFonts w:hint="eastAsia" w:ascii="宋体" w:hAnsi="宋体" w:cs="宋体"/>
          <w:sz w:val="24"/>
          <w:szCs w:val="24"/>
        </w:rPr>
      </w:pPr>
    </w:p>
    <w:p>
      <w:pPr>
        <w:pStyle w:val="3"/>
        <w:widowControl/>
        <w:spacing w:before="0" w:after="0" w:line="579" w:lineRule="auto"/>
        <w:rPr>
          <w:rFonts w:hint="eastAsia" w:ascii="宋体" w:hAnsi="宋体" w:cs="宋体"/>
          <w:sz w:val="24"/>
          <w:szCs w:val="24"/>
        </w:rPr>
      </w:pPr>
    </w:p>
    <w:p>
      <w:pPr>
        <w:pStyle w:val="3"/>
        <w:widowControl/>
        <w:spacing w:before="0" w:after="0" w:line="579" w:lineRule="auto"/>
        <w:rPr>
          <w:rFonts w:hint="eastAsia" w:ascii="宋体" w:hAnsi="宋体" w:cs="宋体"/>
          <w:sz w:val="24"/>
          <w:szCs w:val="24"/>
        </w:rPr>
      </w:pPr>
    </w:p>
    <w:p>
      <w:pPr>
        <w:rPr>
          <w:rFonts w:hint="eastAsia"/>
        </w:rPr>
      </w:pPr>
    </w:p>
    <w:p>
      <w:pPr>
        <w:rPr>
          <w:rFonts w:hint="eastAsia"/>
        </w:rPr>
      </w:pPr>
      <w:r>
        <w:rPr>
          <w:rFonts w:hint="eastAsia"/>
        </w:rPr>
        <w:t>标段二：</w:t>
      </w:r>
    </w:p>
    <w:p>
      <w:pPr>
        <w:pStyle w:val="32"/>
        <w:widowControl w:val="0"/>
        <w:spacing w:before="0" w:beforeAutospacing="0" w:after="0" w:afterAutospacing="0" w:line="360" w:lineRule="auto"/>
        <w:ind w:firstLine="482"/>
        <w:jc w:val="center"/>
        <w:rPr>
          <w:rFonts w:hint="eastAsia" w:cs="宋体"/>
          <w:b/>
          <w:color w:val="auto"/>
          <w:lang w:bidi="ar"/>
        </w:rPr>
      </w:pPr>
      <w:r>
        <w:rPr>
          <w:rFonts w:hint="eastAsia" w:cs="宋体"/>
          <w:b/>
          <w:color w:val="auto"/>
          <w:lang w:bidi="ar"/>
        </w:rPr>
        <w:t>台州市公安局集聚区分局雪亮工程（三期）后端保障服务项目</w:t>
      </w:r>
    </w:p>
    <w:p>
      <w:pPr>
        <w:pStyle w:val="32"/>
        <w:widowControl w:val="0"/>
        <w:spacing w:before="0" w:beforeAutospacing="0" w:after="0" w:afterAutospacing="0" w:line="360" w:lineRule="auto"/>
        <w:ind w:firstLine="482"/>
        <w:jc w:val="center"/>
        <w:rPr>
          <w:rFonts w:hint="eastAsia" w:cs="宋体"/>
          <w:b/>
          <w:color w:val="auto"/>
        </w:rPr>
      </w:pPr>
      <w:r>
        <w:rPr>
          <w:rFonts w:hint="eastAsia" w:cs="宋体"/>
          <w:b/>
          <w:color w:val="auto"/>
          <w:lang w:bidi="ar"/>
        </w:rPr>
        <w:t>主要设备清单及</w:t>
      </w:r>
      <w:r>
        <w:rPr>
          <w:rStyle w:val="55"/>
          <w:rFonts w:hint="eastAsia" w:ascii="宋体" w:hAnsi="宋体" w:cs="宋体"/>
          <w:b/>
          <w:color w:val="auto"/>
          <w:lang w:bidi="ar"/>
        </w:rPr>
        <w:t>主要设备清单技术参数</w:t>
      </w:r>
    </w:p>
    <w:p>
      <w:pPr>
        <w:pStyle w:val="32"/>
        <w:widowControl w:val="0"/>
        <w:spacing w:before="0" w:beforeAutospacing="0" w:after="0" w:afterAutospacing="0" w:line="360" w:lineRule="auto"/>
        <w:jc w:val="center"/>
        <w:rPr>
          <w:rFonts w:hint="eastAsia" w:cs="宋体"/>
          <w:b/>
          <w:color w:val="auto"/>
        </w:rPr>
      </w:pPr>
      <w:r>
        <w:rPr>
          <w:rStyle w:val="55"/>
          <w:rFonts w:hint="eastAsia" w:cs="宋体"/>
          <w:b/>
          <w:color w:val="auto"/>
          <w:lang w:bidi="ar"/>
        </w:rPr>
        <w:t>一、</w:t>
      </w:r>
      <w:r>
        <w:rPr>
          <w:rStyle w:val="55"/>
          <w:rFonts w:hint="eastAsia" w:ascii="宋体" w:hAnsi="宋体" w:cs="宋体"/>
          <w:b/>
          <w:color w:val="auto"/>
          <w:lang w:bidi="ar"/>
        </w:rPr>
        <w:t>主要设备清单</w:t>
      </w:r>
    </w:p>
    <w:p>
      <w:pPr>
        <w:adjustRightInd w:val="0"/>
        <w:spacing w:line="360" w:lineRule="auto"/>
        <w:ind w:firstLine="480" w:firstLineChars="200"/>
        <w:textAlignment w:val="baseline"/>
        <w:rPr>
          <w:rFonts w:hint="eastAsia" w:ascii="宋体" w:hAnsi="宋体" w:cs="宋体"/>
          <w:kern w:val="21"/>
          <w:sz w:val="24"/>
        </w:rPr>
      </w:pPr>
      <w:r>
        <w:rPr>
          <w:rFonts w:hint="eastAsia" w:ascii="宋体" w:hAnsi="宋体" w:cs="宋体"/>
          <w:kern w:val="21"/>
          <w:sz w:val="24"/>
          <w:lang w:bidi="ar"/>
        </w:rPr>
        <w:t>本表为参考配置，投标人可根据实际情况增补设备数量，整体方案实现所要求的功能即可，并要求能与台州市公安天网工程视频作战侦查平台实现无缝对接，并由中标人承担相关的一切费用。</w:t>
      </w:r>
    </w:p>
    <w:tbl>
      <w:tblPr>
        <w:tblStyle w:val="37"/>
        <w:tblW w:w="5003" w:type="pct"/>
        <w:tblInd w:w="0" w:type="dxa"/>
        <w:tblLayout w:type="autofit"/>
        <w:tblCellMar>
          <w:top w:w="0" w:type="dxa"/>
          <w:left w:w="108" w:type="dxa"/>
          <w:bottom w:w="0" w:type="dxa"/>
          <w:right w:w="108" w:type="dxa"/>
        </w:tblCellMar>
      </w:tblPr>
      <w:tblGrid>
        <w:gridCol w:w="609"/>
        <w:gridCol w:w="3942"/>
        <w:gridCol w:w="15"/>
        <w:gridCol w:w="3247"/>
        <w:gridCol w:w="885"/>
        <w:gridCol w:w="880"/>
      </w:tblGrid>
      <w:tr>
        <w:tblPrEx>
          <w:tblCellMar>
            <w:top w:w="0" w:type="dxa"/>
            <w:left w:w="108" w:type="dxa"/>
            <w:bottom w:w="0" w:type="dxa"/>
            <w:right w:w="108" w:type="dxa"/>
          </w:tblCellMar>
        </w:tblPrEx>
        <w:trPr>
          <w:trHeight w:val="480" w:hRule="atLeast"/>
        </w:trPr>
        <w:tc>
          <w:tcPr>
            <w:tcW w:w="31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序号</w:t>
            </w:r>
          </w:p>
        </w:tc>
        <w:tc>
          <w:tcPr>
            <w:tcW w:w="2058" w:type="pct"/>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设备名称</w:t>
            </w:r>
          </w:p>
        </w:tc>
        <w:tc>
          <w:tcPr>
            <w:tcW w:w="1703" w:type="pct"/>
            <w:gridSpan w:val="2"/>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p>
        </w:tc>
        <w:tc>
          <w:tcPr>
            <w:tcW w:w="462" w:type="pct"/>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单位</w:t>
            </w:r>
          </w:p>
        </w:tc>
        <w:tc>
          <w:tcPr>
            <w:tcW w:w="458" w:type="pct"/>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数量</w:t>
            </w:r>
          </w:p>
        </w:tc>
      </w:tr>
      <w:tr>
        <w:tblPrEx>
          <w:tblCellMar>
            <w:top w:w="0" w:type="dxa"/>
            <w:left w:w="108" w:type="dxa"/>
            <w:bottom w:w="0" w:type="dxa"/>
            <w:right w:w="108" w:type="dxa"/>
          </w:tblCellMar>
        </w:tblPrEx>
        <w:trPr>
          <w:trHeight w:val="480" w:hRule="atLeast"/>
        </w:trPr>
        <w:tc>
          <w:tcPr>
            <w:tcW w:w="31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p>
        </w:tc>
        <w:tc>
          <w:tcPr>
            <w:tcW w:w="4682" w:type="pct"/>
            <w:gridSpan w:val="5"/>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一、存储平台</w:t>
            </w:r>
          </w:p>
        </w:tc>
      </w:tr>
      <w:tr>
        <w:tblPrEx>
          <w:tblCellMar>
            <w:top w:w="0" w:type="dxa"/>
            <w:left w:w="108" w:type="dxa"/>
            <w:bottom w:w="0" w:type="dxa"/>
            <w:right w:w="108" w:type="dxa"/>
          </w:tblCellMar>
        </w:tblPrEx>
        <w:trPr>
          <w:trHeight w:val="480" w:hRule="atLeast"/>
        </w:trPr>
        <w:tc>
          <w:tcPr>
            <w:tcW w:w="318" w:type="pct"/>
            <w:vMerge w:val="restart"/>
            <w:tcBorders>
              <w:top w:val="nil"/>
              <w:left w:val="single" w:color="auto" w:sz="4" w:space="0"/>
              <w:bottom w:val="nil"/>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p>
        </w:tc>
        <w:tc>
          <w:tcPr>
            <w:tcW w:w="2058" w:type="pct"/>
            <w:vMerge w:val="restart"/>
            <w:tcBorders>
              <w:top w:val="nil"/>
              <w:left w:val="nil"/>
              <w:bottom w:val="nil"/>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安全存储单元</w:t>
            </w:r>
          </w:p>
        </w:tc>
        <w:tc>
          <w:tcPr>
            <w:tcW w:w="1703" w:type="pct"/>
            <w:gridSpan w:val="2"/>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2" w:type="pct"/>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15</w:t>
            </w:r>
          </w:p>
        </w:tc>
      </w:tr>
      <w:tr>
        <w:tblPrEx>
          <w:tblCellMar>
            <w:top w:w="0" w:type="dxa"/>
            <w:left w:w="108" w:type="dxa"/>
            <w:bottom w:w="0" w:type="dxa"/>
            <w:right w:w="108" w:type="dxa"/>
          </w:tblCellMar>
        </w:tblPrEx>
        <w:trPr>
          <w:trHeight w:val="480" w:hRule="atLeast"/>
        </w:trPr>
        <w:tc>
          <w:tcPr>
            <w:tcW w:w="318" w:type="pct"/>
            <w:vMerge w:val="continue"/>
            <w:tcBorders>
              <w:top w:val="nil"/>
              <w:left w:val="single" w:color="auto" w:sz="4" w:space="0"/>
              <w:bottom w:val="nil"/>
              <w:right w:val="single" w:color="auto" w:sz="4" w:space="0"/>
            </w:tcBorders>
            <w:noWrap w:val="0"/>
            <w:vAlign w:val="center"/>
          </w:tcPr>
          <w:p>
            <w:pPr>
              <w:rPr>
                <w:rFonts w:ascii="Times New Roman" w:hAnsi="Times New Roman" w:cs="Times New Roman"/>
                <w:sz w:val="20"/>
                <w:szCs w:val="20"/>
              </w:rPr>
            </w:pPr>
          </w:p>
        </w:tc>
        <w:tc>
          <w:tcPr>
            <w:tcW w:w="2058" w:type="pct"/>
            <w:vMerge w:val="continue"/>
            <w:tcBorders>
              <w:top w:val="nil"/>
              <w:left w:val="nil"/>
              <w:bottom w:val="nil"/>
              <w:right w:val="single" w:color="auto" w:sz="4" w:space="0"/>
            </w:tcBorders>
            <w:noWrap w:val="0"/>
            <w:vAlign w:val="center"/>
          </w:tcPr>
          <w:p>
            <w:pPr>
              <w:rPr>
                <w:rFonts w:ascii="Times New Roman" w:hAnsi="Times New Roman" w:cs="Times New Roman"/>
                <w:sz w:val="20"/>
                <w:szCs w:val="20"/>
              </w:rPr>
            </w:pPr>
          </w:p>
        </w:tc>
        <w:tc>
          <w:tcPr>
            <w:tcW w:w="1703" w:type="pct"/>
            <w:gridSpan w:val="2"/>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p>
        </w:tc>
        <w:tc>
          <w:tcPr>
            <w:tcW w:w="462" w:type="pct"/>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kern w:val="0"/>
                <w:sz w:val="24"/>
                <w:lang w:bidi="ar"/>
              </w:rPr>
              <w:t>块</w:t>
            </w:r>
          </w:p>
        </w:tc>
        <w:tc>
          <w:tcPr>
            <w:tcW w:w="458" w:type="pct"/>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kern w:val="0"/>
                <w:sz w:val="24"/>
                <w:lang w:bidi="ar"/>
              </w:rPr>
              <w:t>360</w:t>
            </w:r>
          </w:p>
        </w:tc>
      </w:tr>
      <w:tr>
        <w:tblPrEx>
          <w:tblCellMar>
            <w:top w:w="0" w:type="dxa"/>
            <w:left w:w="108" w:type="dxa"/>
            <w:bottom w:w="0" w:type="dxa"/>
            <w:right w:w="108" w:type="dxa"/>
          </w:tblCellMar>
        </w:tblPrEx>
        <w:trPr>
          <w:trHeight w:val="402"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82" w:type="pct"/>
            <w:gridSpan w:val="5"/>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二、人脸分析平台</w:t>
            </w:r>
          </w:p>
        </w:tc>
      </w:tr>
      <w:tr>
        <w:tblPrEx>
          <w:tblCellMar>
            <w:top w:w="0" w:type="dxa"/>
            <w:left w:w="108" w:type="dxa"/>
            <w:bottom w:w="0" w:type="dxa"/>
            <w:right w:w="108" w:type="dxa"/>
          </w:tblCellMar>
        </w:tblPrEx>
        <w:trPr>
          <w:trHeight w:val="60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流媒体转发服务</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r>
      <w:tr>
        <w:tblPrEx>
          <w:tblCellMar>
            <w:top w:w="0" w:type="dxa"/>
            <w:left w:w="108" w:type="dxa"/>
            <w:bottom w:w="0" w:type="dxa"/>
            <w:right w:w="108" w:type="dxa"/>
          </w:tblCellMar>
        </w:tblPrEx>
        <w:trPr>
          <w:trHeight w:val="60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人脸GPU主分析服务</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r>
      <w:tr>
        <w:tblPrEx>
          <w:tblCellMar>
            <w:top w:w="0" w:type="dxa"/>
            <w:left w:w="108" w:type="dxa"/>
            <w:bottom w:w="0" w:type="dxa"/>
            <w:right w:w="108" w:type="dxa"/>
          </w:tblCellMar>
        </w:tblPrEx>
        <w:trPr>
          <w:trHeight w:val="60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人脸GPU从分析服务</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r>
      <w:tr>
        <w:tblPrEx>
          <w:tblCellMar>
            <w:top w:w="0" w:type="dxa"/>
            <w:left w:w="108" w:type="dxa"/>
            <w:bottom w:w="0" w:type="dxa"/>
            <w:right w:w="108" w:type="dxa"/>
          </w:tblCellMar>
        </w:tblPrEx>
        <w:trPr>
          <w:trHeight w:val="852"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2058" w:type="pct"/>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动态人像识别系统图片流授权</w:t>
            </w:r>
          </w:p>
        </w:tc>
        <w:tc>
          <w:tcPr>
            <w:tcW w:w="1703"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路</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240</w:t>
            </w:r>
          </w:p>
        </w:tc>
      </w:tr>
      <w:tr>
        <w:tblPrEx>
          <w:tblCellMar>
            <w:top w:w="0" w:type="dxa"/>
            <w:left w:w="108" w:type="dxa"/>
            <w:bottom w:w="0" w:type="dxa"/>
            <w:right w:w="108" w:type="dxa"/>
          </w:tblCellMar>
        </w:tblPrEx>
        <w:trPr>
          <w:trHeight w:val="480" w:hRule="atLeast"/>
        </w:trPr>
        <w:tc>
          <w:tcPr>
            <w:tcW w:w="31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82" w:type="pct"/>
            <w:gridSpan w:val="5"/>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三、网络安全平台</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2066"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安全管理平台</w:t>
            </w:r>
          </w:p>
        </w:tc>
        <w:tc>
          <w:tcPr>
            <w:tcW w:w="1694"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2066"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运维审计平台</w:t>
            </w:r>
          </w:p>
        </w:tc>
        <w:tc>
          <w:tcPr>
            <w:tcW w:w="1694"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r>
      <w:tr>
        <w:tblPrEx>
          <w:tblCellMar>
            <w:top w:w="0" w:type="dxa"/>
            <w:left w:w="108" w:type="dxa"/>
            <w:bottom w:w="0" w:type="dxa"/>
            <w:right w:w="108" w:type="dxa"/>
          </w:tblCellMar>
        </w:tblPrEx>
        <w:trPr>
          <w:trHeight w:val="48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2066"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日志审计平台</w:t>
            </w:r>
          </w:p>
        </w:tc>
        <w:tc>
          <w:tcPr>
            <w:tcW w:w="1694"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r>
      <w:tr>
        <w:tblPrEx>
          <w:tblCellMar>
            <w:top w:w="0" w:type="dxa"/>
            <w:left w:w="108" w:type="dxa"/>
            <w:bottom w:w="0" w:type="dxa"/>
            <w:right w:w="108" w:type="dxa"/>
          </w:tblCellMar>
        </w:tblPrEx>
        <w:trPr>
          <w:trHeight w:val="768"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2066"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APT预警平台</w:t>
            </w:r>
          </w:p>
        </w:tc>
        <w:tc>
          <w:tcPr>
            <w:tcW w:w="1694"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台</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r>
      <w:tr>
        <w:tblPrEx>
          <w:tblCellMar>
            <w:top w:w="0" w:type="dxa"/>
            <w:left w:w="108" w:type="dxa"/>
            <w:bottom w:w="0" w:type="dxa"/>
            <w:right w:w="108" w:type="dxa"/>
          </w:tblCellMar>
        </w:tblPrEx>
        <w:trPr>
          <w:trHeight w:val="768"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82" w:type="pct"/>
            <w:gridSpan w:val="5"/>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四、网警终端</w:t>
            </w:r>
          </w:p>
        </w:tc>
      </w:tr>
      <w:tr>
        <w:tblPrEx>
          <w:tblCellMar>
            <w:top w:w="0" w:type="dxa"/>
            <w:left w:w="108" w:type="dxa"/>
            <w:bottom w:w="0" w:type="dxa"/>
            <w:right w:w="108" w:type="dxa"/>
          </w:tblCellMar>
        </w:tblPrEx>
        <w:trPr>
          <w:trHeight w:val="54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2066"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前段采集器</w:t>
            </w:r>
          </w:p>
        </w:tc>
        <w:tc>
          <w:tcPr>
            <w:tcW w:w="1694"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50</w:t>
            </w:r>
          </w:p>
        </w:tc>
      </w:tr>
      <w:tr>
        <w:tblPrEx>
          <w:tblCellMar>
            <w:top w:w="0" w:type="dxa"/>
            <w:left w:w="108" w:type="dxa"/>
            <w:bottom w:w="0" w:type="dxa"/>
            <w:right w:w="108" w:type="dxa"/>
          </w:tblCellMar>
        </w:tblPrEx>
        <w:trPr>
          <w:trHeight w:val="54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82" w:type="pct"/>
            <w:gridSpan w:val="5"/>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五、配套设备</w:t>
            </w:r>
          </w:p>
        </w:tc>
      </w:tr>
      <w:tr>
        <w:tblPrEx>
          <w:tblCellMar>
            <w:top w:w="0" w:type="dxa"/>
            <w:left w:w="108" w:type="dxa"/>
            <w:bottom w:w="0" w:type="dxa"/>
            <w:right w:w="108" w:type="dxa"/>
          </w:tblCellMar>
        </w:tblPrEx>
        <w:trPr>
          <w:trHeight w:val="540" w:hRule="atLeast"/>
        </w:trPr>
        <w:tc>
          <w:tcPr>
            <w:tcW w:w="318" w:type="pct"/>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2066" w:type="pct"/>
            <w:gridSpan w:val="2"/>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万兆交换设备</w:t>
            </w:r>
          </w:p>
        </w:tc>
        <w:tc>
          <w:tcPr>
            <w:tcW w:w="1694"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462"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套</w:t>
            </w:r>
          </w:p>
        </w:tc>
        <w:tc>
          <w:tcPr>
            <w:tcW w:w="458" w:type="pct"/>
            <w:tcBorders>
              <w:top w:val="nil"/>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r>
    </w:tbl>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 xml:space="preserve"> </w:t>
      </w:r>
    </w:p>
    <w:p>
      <w:pPr>
        <w:pStyle w:val="32"/>
        <w:widowControl w:val="0"/>
        <w:spacing w:before="0" w:beforeAutospacing="0" w:after="0" w:afterAutospacing="0" w:line="360" w:lineRule="auto"/>
        <w:ind w:firstLine="482"/>
        <w:jc w:val="center"/>
        <w:rPr>
          <w:rFonts w:hint="eastAsia" w:cs="宋体"/>
          <w:b/>
          <w:color w:val="auto"/>
        </w:rPr>
      </w:pPr>
      <w:r>
        <w:rPr>
          <w:rStyle w:val="55"/>
          <w:rFonts w:hint="eastAsia" w:cs="宋体"/>
          <w:b/>
          <w:color w:val="auto"/>
          <w:lang w:bidi="ar"/>
        </w:rPr>
        <w:t>二、</w:t>
      </w:r>
      <w:r>
        <w:rPr>
          <w:rStyle w:val="55"/>
          <w:rFonts w:hint="eastAsia" w:ascii="宋体" w:hAnsi="宋体" w:cs="宋体"/>
          <w:b/>
          <w:color w:val="auto"/>
          <w:lang w:bidi="ar"/>
        </w:rPr>
        <w:t>主要设备清单技术参数</w:t>
      </w:r>
    </w:p>
    <w:tbl>
      <w:tblPr>
        <w:tblStyle w:val="37"/>
        <w:tblW w:w="9595" w:type="dxa"/>
        <w:tblInd w:w="0" w:type="dxa"/>
        <w:tblLayout w:type="autofit"/>
        <w:tblCellMar>
          <w:top w:w="0" w:type="dxa"/>
          <w:left w:w="108" w:type="dxa"/>
          <w:bottom w:w="0" w:type="dxa"/>
          <w:right w:w="108" w:type="dxa"/>
        </w:tblCellMar>
      </w:tblPr>
      <w:tblGrid>
        <w:gridCol w:w="457"/>
        <w:gridCol w:w="3136"/>
        <w:gridCol w:w="6002"/>
      </w:tblGrid>
      <w:tr>
        <w:tblPrEx>
          <w:tblCellMar>
            <w:top w:w="0" w:type="dxa"/>
            <w:left w:w="108" w:type="dxa"/>
            <w:bottom w:w="0" w:type="dxa"/>
            <w:right w:w="108" w:type="dxa"/>
          </w:tblCellMar>
        </w:tblPrEx>
        <w:trPr>
          <w:trHeight w:val="480"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序号</w:t>
            </w:r>
          </w:p>
        </w:tc>
        <w:tc>
          <w:tcPr>
            <w:tcW w:w="0" w:type="auto"/>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r>
              <w:rPr>
                <w:rFonts w:hint="eastAsia" w:ascii="宋体" w:hAnsi="宋体" w:cs="宋体"/>
                <w:b/>
                <w:kern w:val="0"/>
                <w:sz w:val="24"/>
                <w:lang w:bidi="ar"/>
              </w:rPr>
              <w:t>设备名称</w:t>
            </w:r>
          </w:p>
        </w:tc>
        <w:tc>
          <w:tcPr>
            <w:tcW w:w="6002"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技术参数</w:t>
            </w:r>
          </w:p>
        </w:tc>
      </w:tr>
      <w:tr>
        <w:tblPrEx>
          <w:tblCellMar>
            <w:top w:w="0" w:type="dxa"/>
            <w:left w:w="108" w:type="dxa"/>
            <w:bottom w:w="0" w:type="dxa"/>
            <w:right w:w="108" w:type="dxa"/>
          </w:tblCellMar>
        </w:tblPrEx>
        <w:trPr>
          <w:trHeight w:val="480"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p>
        </w:tc>
        <w:tc>
          <w:tcPr>
            <w:tcW w:w="9138" w:type="dxa"/>
            <w:gridSpan w:val="2"/>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一、存储平台部分</w:t>
            </w:r>
          </w:p>
        </w:tc>
      </w:tr>
      <w:tr>
        <w:tblPrEx>
          <w:tblCellMar>
            <w:top w:w="0" w:type="dxa"/>
            <w:left w:w="108" w:type="dxa"/>
            <w:bottom w:w="0" w:type="dxa"/>
            <w:right w:w="108" w:type="dxa"/>
          </w:tblCellMar>
        </w:tblPrEx>
        <w:trPr>
          <w:trHeight w:val="480" w:hRule="atLeast"/>
        </w:trPr>
        <w:tc>
          <w:tcPr>
            <w:tcW w:w="0" w:type="auto"/>
            <w:vMerge w:val="restart"/>
            <w:tcBorders>
              <w:top w:val="nil"/>
              <w:left w:val="single" w:color="auto" w:sz="4" w:space="0"/>
              <w:bottom w:val="nil"/>
              <w:right w:val="single" w:color="auto" w:sz="4" w:space="0"/>
            </w:tcBorders>
            <w:noWrap w:val="0"/>
            <w:vAlign w:val="center"/>
          </w:tcPr>
          <w:p>
            <w:pPr>
              <w:widowControl/>
              <w:adjustRightInd w:val="0"/>
              <w:spacing w:line="360" w:lineRule="auto"/>
              <w:jc w:val="center"/>
              <w:textAlignment w:val="baseline"/>
              <w:rPr>
                <w:rFonts w:hint="eastAsia" w:ascii="宋体" w:hAnsi="宋体" w:cs="宋体"/>
                <w:b/>
                <w:sz w:val="24"/>
              </w:rPr>
            </w:pPr>
          </w:p>
        </w:tc>
        <w:tc>
          <w:tcPr>
            <w:tcW w:w="0" w:type="auto"/>
            <w:vMerge w:val="restart"/>
            <w:tcBorders>
              <w:top w:val="nil"/>
              <w:left w:val="nil"/>
              <w:bottom w:val="nil"/>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安全存储单元</w:t>
            </w:r>
          </w:p>
        </w:tc>
        <w:tc>
          <w:tcPr>
            <w:tcW w:w="6002"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机架式4U 24盘位，支持SAS/SATA硬盘；服务器构架,支持RAID 0，1，10，5，6；</w:t>
            </w:r>
            <w:r>
              <w:rPr>
                <w:rFonts w:hint="eastAsia" w:ascii="宋体" w:hAnsi="宋体" w:cs="宋体"/>
                <w:kern w:val="0"/>
                <w:sz w:val="24"/>
                <w:lang w:bidi="ar"/>
              </w:rPr>
              <w:br w:type="textWrapping"/>
            </w:r>
            <w:r>
              <w:rPr>
                <w:rFonts w:hint="eastAsia" w:ascii="宋体" w:hAnsi="宋体" w:cs="宋体"/>
                <w:kern w:val="0"/>
                <w:sz w:val="24"/>
                <w:lang w:bidi="ar"/>
              </w:rPr>
              <w:t>支持CIFS、NFS、iSCSI；</w:t>
            </w:r>
            <w:r>
              <w:rPr>
                <w:rFonts w:hint="eastAsia" w:ascii="宋体" w:hAnsi="宋体" w:cs="宋体"/>
                <w:kern w:val="0"/>
                <w:sz w:val="24"/>
                <w:lang w:bidi="ar"/>
              </w:rPr>
              <w:br w:type="textWrapping"/>
            </w:r>
            <w:r>
              <w:rPr>
                <w:rFonts w:hint="eastAsia" w:ascii="宋体" w:hAnsi="宋体" w:cs="宋体"/>
                <w:kern w:val="0"/>
                <w:sz w:val="24"/>
                <w:lang w:bidi="ar"/>
              </w:rPr>
              <w:t>冗余电源，冗余风扇，监控专属安全存储单元，流式存储，无文件系统，无磁盘碎片；</w:t>
            </w:r>
            <w:r>
              <w:rPr>
                <w:rFonts w:hint="eastAsia" w:ascii="宋体" w:hAnsi="宋体" w:cs="宋体"/>
                <w:kern w:val="0"/>
                <w:sz w:val="24"/>
                <w:lang w:bidi="ar"/>
              </w:rPr>
              <w:br w:type="textWrapping"/>
            </w:r>
            <w:r>
              <w:rPr>
                <w:rFonts w:hint="eastAsia" w:ascii="宋体" w:hAnsi="宋体" w:cs="宋体"/>
                <w:kern w:val="0"/>
                <w:sz w:val="24"/>
                <w:lang w:bidi="ar"/>
              </w:rPr>
              <w:t>支持中心平台统一调度，支持统一网管，支持N+3冗余热备，支持系统断线继续存储；</w:t>
            </w:r>
            <w:r>
              <w:rPr>
                <w:rFonts w:hint="eastAsia" w:ascii="宋体" w:hAnsi="宋体" w:cs="宋体"/>
                <w:kern w:val="0"/>
                <w:sz w:val="24"/>
                <w:lang w:bidi="ar"/>
              </w:rPr>
              <w:br w:type="textWrapping"/>
            </w:r>
            <w:r>
              <w:rPr>
                <w:rFonts w:hint="eastAsia" w:ascii="宋体" w:hAnsi="宋体" w:cs="宋体"/>
                <w:kern w:val="0"/>
                <w:sz w:val="24"/>
                <w:lang w:bidi="ar"/>
              </w:rPr>
              <w:t>支持设备直连存储，支持中心转发存储，支持客户直接访问和跨网访问；</w:t>
            </w:r>
            <w:r>
              <w:rPr>
                <w:rFonts w:hint="eastAsia" w:ascii="宋体" w:hAnsi="宋体" w:cs="宋体"/>
                <w:kern w:val="0"/>
                <w:sz w:val="24"/>
                <w:lang w:bidi="ar"/>
              </w:rPr>
              <w:br w:type="textWrapping"/>
            </w:r>
            <w:r>
              <w:rPr>
                <w:rFonts w:hint="eastAsia" w:ascii="宋体" w:hAnsi="宋体" w:cs="宋体"/>
                <w:kern w:val="0"/>
                <w:sz w:val="24"/>
                <w:lang w:bidi="ar"/>
              </w:rPr>
              <w:t>支持秒级定位和秒级时移回放和下载；</w:t>
            </w:r>
            <w:r>
              <w:rPr>
                <w:rFonts w:hint="eastAsia" w:ascii="宋体" w:hAnsi="宋体" w:cs="宋体"/>
                <w:kern w:val="0"/>
                <w:sz w:val="24"/>
                <w:lang w:bidi="ar"/>
              </w:rPr>
              <w:br w:type="textWrapping"/>
            </w:r>
            <w:r>
              <w:rPr>
                <w:rFonts w:hint="eastAsia" w:ascii="宋体" w:hAnsi="宋体" w:cs="宋体"/>
                <w:kern w:val="0"/>
                <w:sz w:val="24"/>
                <w:lang w:bidi="ar"/>
              </w:rPr>
              <w:t>支持1/16~16倍率的回放（例如：1/16x、1/8x、1/4x、1/2x、1 x、2x、4x、8x、16x……），支持视频回退播放；</w:t>
            </w:r>
            <w:r>
              <w:rPr>
                <w:rFonts w:hint="eastAsia" w:ascii="宋体" w:hAnsi="宋体" w:cs="宋体"/>
                <w:kern w:val="0"/>
                <w:sz w:val="24"/>
                <w:lang w:bidi="ar"/>
              </w:rPr>
              <w:br w:type="textWrapping"/>
            </w:r>
            <w:r>
              <w:rPr>
                <w:rFonts w:hint="eastAsia" w:ascii="宋体" w:hAnsi="宋体" w:cs="宋体"/>
                <w:kern w:val="0"/>
                <w:sz w:val="24"/>
                <w:lang w:bidi="ar"/>
              </w:rPr>
              <w:t>支持视频在线剪辑，支持录像按时间下载，支持录像文件高速下载。</w:t>
            </w:r>
            <w:r>
              <w:rPr>
                <w:rFonts w:hint="eastAsia" w:ascii="宋体" w:hAnsi="宋体" w:cs="宋体"/>
                <w:kern w:val="0"/>
                <w:sz w:val="24"/>
                <w:lang w:bidi="ar"/>
              </w:rPr>
              <w:br w:type="textWrapping"/>
            </w:r>
            <w:r>
              <w:rPr>
                <w:rFonts w:hint="eastAsia" w:ascii="宋体" w:hAnsi="宋体" w:cs="宋体"/>
                <w:kern w:val="0"/>
                <w:sz w:val="24"/>
                <w:lang w:bidi="ar"/>
              </w:rPr>
              <w:t>含《立元安全存储单元系统软件V2.0》，带防断电模块。AC220V电源。</w:t>
            </w:r>
            <w:r>
              <w:rPr>
                <w:rFonts w:hint="eastAsia" w:ascii="宋体" w:hAnsi="宋体" w:cs="宋体"/>
                <w:kern w:val="0"/>
                <w:sz w:val="24"/>
                <w:lang w:bidi="ar"/>
              </w:rPr>
              <w:br w:type="textWrapping"/>
            </w:r>
            <w:r>
              <w:rPr>
                <w:rFonts w:hint="eastAsia" w:ascii="宋体" w:hAnsi="宋体" w:cs="宋体"/>
                <w:kern w:val="0"/>
                <w:sz w:val="24"/>
                <w:lang w:bidi="ar"/>
              </w:rPr>
              <w:t>☆需无缝接入台州公安天网视频作战侦查平台，出具平台厂家无缝接入证明。保修五年</w:t>
            </w:r>
          </w:p>
        </w:tc>
      </w:tr>
      <w:tr>
        <w:tblPrEx>
          <w:tblCellMar>
            <w:top w:w="0" w:type="dxa"/>
            <w:left w:w="108" w:type="dxa"/>
            <w:bottom w:w="0" w:type="dxa"/>
            <w:right w:w="108" w:type="dxa"/>
          </w:tblCellMar>
        </w:tblPrEx>
        <w:trPr>
          <w:trHeight w:val="480" w:hRule="atLeast"/>
        </w:trPr>
        <w:tc>
          <w:tcPr>
            <w:tcW w:w="0" w:type="auto"/>
            <w:vMerge w:val="continue"/>
            <w:tcBorders>
              <w:top w:val="nil"/>
              <w:left w:val="single" w:color="auto" w:sz="4" w:space="0"/>
              <w:bottom w:val="nil"/>
              <w:right w:val="single" w:color="auto" w:sz="4" w:space="0"/>
            </w:tcBorders>
            <w:noWrap w:val="0"/>
            <w:vAlign w:val="center"/>
          </w:tcPr>
          <w:p>
            <w:pPr>
              <w:rPr>
                <w:rFonts w:ascii="Times New Roman" w:hAnsi="Times New Roman" w:cs="Times New Roman"/>
                <w:sz w:val="20"/>
                <w:szCs w:val="20"/>
              </w:rPr>
            </w:pPr>
          </w:p>
        </w:tc>
        <w:tc>
          <w:tcPr>
            <w:tcW w:w="0" w:type="auto"/>
            <w:vMerge w:val="continue"/>
            <w:tcBorders>
              <w:top w:val="nil"/>
              <w:left w:val="nil"/>
              <w:bottom w:val="nil"/>
              <w:right w:val="single" w:color="auto" w:sz="4" w:space="0"/>
            </w:tcBorders>
            <w:noWrap w:val="0"/>
            <w:vAlign w:val="center"/>
          </w:tcPr>
          <w:p>
            <w:pPr>
              <w:rPr>
                <w:rFonts w:ascii="Times New Roman" w:hAnsi="Times New Roman" w:cs="Times New Roman"/>
                <w:sz w:val="20"/>
                <w:szCs w:val="20"/>
              </w:rPr>
            </w:pPr>
          </w:p>
        </w:tc>
        <w:tc>
          <w:tcPr>
            <w:tcW w:w="6002"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kern w:val="0"/>
                <w:sz w:val="24"/>
                <w:lang w:bidi="ar"/>
              </w:rPr>
              <w:t>6TB企业级存储专用硬盘，缓存≥128MB；能与SSU存储（机架式SSU存储机头）配套，无缝兼容；</w:t>
            </w:r>
            <w:r>
              <w:rPr>
                <w:rFonts w:hint="eastAsia" w:ascii="宋体" w:hAnsi="宋体" w:cs="宋体"/>
                <w:b/>
                <w:kern w:val="0"/>
                <w:sz w:val="24"/>
                <w:lang w:bidi="ar"/>
              </w:rPr>
              <w:t>保修五年,硬盘不返还</w:t>
            </w:r>
          </w:p>
        </w:tc>
      </w:tr>
      <w:tr>
        <w:tblPrEx>
          <w:tblCellMar>
            <w:top w:w="0" w:type="dxa"/>
            <w:left w:w="108" w:type="dxa"/>
            <w:bottom w:w="0" w:type="dxa"/>
            <w:right w:w="108" w:type="dxa"/>
          </w:tblCellMar>
        </w:tblPrEx>
        <w:trPr>
          <w:trHeight w:val="402"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9138" w:type="dxa"/>
            <w:gridSpan w:val="2"/>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二、人脸分析平台部分</w:t>
            </w:r>
          </w:p>
        </w:tc>
      </w:tr>
      <w:tr>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流媒体转发服务</w:t>
            </w:r>
          </w:p>
        </w:tc>
        <w:tc>
          <w:tcPr>
            <w:tcW w:w="600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具体参数详见附件1：流媒体转发服务参数要求</w:t>
            </w:r>
          </w:p>
        </w:tc>
      </w:tr>
      <w:tr>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人脸GPU主分析服务</w:t>
            </w:r>
          </w:p>
        </w:tc>
        <w:tc>
          <w:tcPr>
            <w:tcW w:w="600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具体参数详见附件2：人脸GPU主分析服务参数要求</w:t>
            </w:r>
          </w:p>
        </w:tc>
      </w:tr>
      <w:tr>
        <w:tblPrEx>
          <w:tblCellMar>
            <w:top w:w="0" w:type="dxa"/>
            <w:left w:w="108" w:type="dxa"/>
            <w:bottom w:w="0" w:type="dxa"/>
            <w:right w:w="108" w:type="dxa"/>
          </w:tblCellMar>
        </w:tblPrEx>
        <w:trPr>
          <w:trHeight w:val="600"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人脸GPU从分析服务</w:t>
            </w:r>
          </w:p>
        </w:tc>
        <w:tc>
          <w:tcPr>
            <w:tcW w:w="600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具体参数详见附件3：人脸GPU从分析服务参数要求</w:t>
            </w:r>
          </w:p>
        </w:tc>
      </w:tr>
      <w:tr>
        <w:tblPrEx>
          <w:tblCellMar>
            <w:top w:w="0" w:type="dxa"/>
            <w:left w:w="108" w:type="dxa"/>
            <w:bottom w:w="0" w:type="dxa"/>
            <w:right w:w="108" w:type="dxa"/>
          </w:tblCellMar>
        </w:tblPrEx>
        <w:trPr>
          <w:trHeight w:val="515" w:hRule="atLeast"/>
        </w:trPr>
        <w:tc>
          <w:tcPr>
            <w:tcW w:w="0" w:type="auto"/>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w:t>
            </w:r>
          </w:p>
        </w:tc>
        <w:tc>
          <w:tcPr>
            <w:tcW w:w="0" w:type="auto"/>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动态人像识别图片流系统授权</w:t>
            </w:r>
          </w:p>
        </w:tc>
        <w:tc>
          <w:tcPr>
            <w:tcW w:w="600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图片授权240路</w:t>
            </w:r>
          </w:p>
        </w:tc>
      </w:tr>
      <w:tr>
        <w:tblPrEx>
          <w:tblCellMar>
            <w:top w:w="0" w:type="dxa"/>
            <w:left w:w="108" w:type="dxa"/>
            <w:bottom w:w="0" w:type="dxa"/>
            <w:right w:w="108" w:type="dxa"/>
          </w:tblCellMar>
        </w:tblPrEx>
        <w:trPr>
          <w:trHeight w:val="480" w:hRule="atLeast"/>
        </w:trPr>
        <w:tc>
          <w:tcPr>
            <w:tcW w:w="457"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9138" w:type="dxa"/>
            <w:gridSpan w:val="2"/>
            <w:tcBorders>
              <w:top w:val="single" w:color="auto" w:sz="4" w:space="0"/>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三、网络安全平台建设</w:t>
            </w:r>
          </w:p>
        </w:tc>
      </w:tr>
      <w:tr>
        <w:tblPrEx>
          <w:tblCellMar>
            <w:top w:w="0" w:type="dxa"/>
            <w:left w:w="108" w:type="dxa"/>
            <w:bottom w:w="0" w:type="dxa"/>
            <w:right w:w="108" w:type="dxa"/>
          </w:tblCellMar>
        </w:tblPrEx>
        <w:trPr>
          <w:trHeight w:val="480" w:hRule="atLeast"/>
        </w:trPr>
        <w:tc>
          <w:tcPr>
            <w:tcW w:w="457" w:type="dxa"/>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1</w:t>
            </w:r>
          </w:p>
        </w:tc>
        <w:tc>
          <w:tcPr>
            <w:tcW w:w="3136"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安全管理平台</w:t>
            </w:r>
          </w:p>
        </w:tc>
        <w:tc>
          <w:tcPr>
            <w:tcW w:w="600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☆通过公安部检测并获得公安部计算机信息系统安全专用产品销售许可证，具备全球IPv6测试中颁布的《IPv6 Ready Phase 2证书》，为保证安全服务统一，安全管理平台、运维审计平台、日志审计平台、APT预警平台需为同一品牌</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标准2U专用千兆硬件平台，双电源，硬盘≥1T</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☆网口数量：12*GE电口，12*SFP光口，2*SFP+光口；设备最大吞吐量≥10Gbps，每秒新建连接数≥11万</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最大并发连接数≥400万，IPS吞吐量≥1.8G，部署模式：支持路由模式、透明（网桥）模式、混模式，支持镜像和被镜像</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NAT：支持源地址转换、目的地址转换、双向地址转换</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路由支持：支持静态路由、策略路由、动态路由、ISP路由；策略路由支持七元组策略，实际配置支持一对一、多对一、多对多等多种形式的NAT</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IPv6：支持接入IPv6网络</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实际配置支持基于用户、应用、时间对象的流量管控和策略设置：接口实际配置支持second IP地址，每个接口要求支持至少200个second IP，并提供截图</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AV：支持HTTP，FTP，POP3，SMTP，IMAP协议的病毒查杀，查杀邮件正文/附件、网页及下载文件中包含的病毒，支持启发式扫描查杀未知病毒</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VPN：实际配置支持IPSecVPN接入，内置VPN硬件协处理器</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URL过滤：内置URL分类库，支持自定义URL过滤，并支持URL的模糊匹配</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支持应用、用户流量统计</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用户认证功能：支持WEB Portal认证功能，支持本地认证、Radius认证、LDAP认证 和LDAP用户同步，支持配置强制重新认证间隔，支持混合认证，支持界面配置选择多种认证方式</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用户管理：支持同步LDAP用户，支持标准AD服务器和OPEN LDAP服务器的用户导入，支持针对同步的用户和用户组配置策略</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服务质量管理：支持PING、TCP、DNS探测，支持接口探测、域名探测，支持自定义间隔时间探测</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链路负载均衡：支持7元组的链路负载均衡策略，支持基于域名的负载均衡策略</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DNS透明代理：支持DNS透明代理；支持DNS负载均衡；支持DNS静态域名映射；支持DNS特定域名请求转发</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支持基于优先级、权重的DNS代理算法，支持静态域名配置，支持特定域名特定DNS服务器解析，静态域名和特定域名支持模糊匹配</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支持双机热备，支持主主模式、主备模式，</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PKI：支持X.509 V3数字证书，支持DER/PEM/PKCS12多种证书编码，支持内置CA，为其他设备或移动用户签发证书</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系统日志：支持本地日志记录和远程日志输出；支持专用的日志审计管理软件</w:t>
            </w:r>
          </w:p>
        </w:tc>
      </w:tr>
      <w:tr>
        <w:tblPrEx>
          <w:tblCellMar>
            <w:top w:w="0" w:type="dxa"/>
            <w:left w:w="108" w:type="dxa"/>
            <w:bottom w:w="0" w:type="dxa"/>
            <w:right w:w="108" w:type="dxa"/>
          </w:tblCellMar>
        </w:tblPrEx>
        <w:trPr>
          <w:trHeight w:val="480" w:hRule="atLeast"/>
        </w:trPr>
        <w:tc>
          <w:tcPr>
            <w:tcW w:w="457" w:type="dxa"/>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2</w:t>
            </w:r>
          </w:p>
        </w:tc>
        <w:tc>
          <w:tcPr>
            <w:tcW w:w="3136"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运维审计平台</w:t>
            </w:r>
          </w:p>
        </w:tc>
        <w:tc>
          <w:tcPr>
            <w:tcW w:w="6002" w:type="dxa"/>
            <w:tcBorders>
              <w:top w:val="nil"/>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☆产品资质：产品需获得公安部产品销售许可证，EAL3+证书，IPV6证书，为保证安全服务统一，安全管理平台、运维审计平台、日志审计平台、APT预警平台需为同一品牌</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硬件要求：软硬件一体化产品，磁盘空间不少于1T、至少配备6个100/1000M自适应电口</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最大可管理设备数≥200台，字符并发会话数≥200个，图形并发会话数≥50个</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设备采用旁路部署，不得影响业务环境；须支持HA主备模式，管理口和心跳口须支持多链路端口绑定功能。</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用户管理要求：支持用户多角色划分功能，对各类角色需要进行细粒度的权限管理；支持用户的批量导入/导出，按用户类型等分组方式；支持用户安全策略功能，</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支持按部门组织架构（至少5个层级的部门）管理用户数据、资产数据、授权数据、审计数据。</w:t>
            </w:r>
          </w:p>
          <w:p>
            <w:pPr>
              <w:widowControl/>
              <w:adjustRightInd w:val="0"/>
              <w:spacing w:line="360" w:lineRule="auto"/>
              <w:jc w:val="left"/>
              <w:textAlignment w:val="baseline"/>
            </w:pPr>
            <w:r>
              <w:rPr>
                <w:rFonts w:hint="eastAsia" w:ascii="宋体" w:hAnsi="宋体" w:cs="宋体"/>
                <w:kern w:val="0"/>
                <w:sz w:val="24"/>
                <w:lang w:bidi="ar"/>
              </w:rPr>
              <w:t>身份认证要求：支持与AD、LDAP、RADIUS、吉大正元、北京CA认证系统联动登录堡垒机，</w:t>
            </w:r>
            <w:r>
              <w:rPr>
                <w:rFonts w:hint="eastAsia" w:ascii="宋体" w:hAnsi="宋体" w:cs="宋体"/>
                <w:kern w:val="0"/>
                <w:sz w:val="24"/>
                <w:lang w:bidi="ar"/>
              </w:rPr>
              <w:fldChar w:fldCharType="begin"/>
            </w:r>
            <w:r>
              <w:rPr>
                <w:rFonts w:hint="eastAsia" w:ascii="宋体" w:hAnsi="宋体" w:cs="宋体"/>
                <w:kern w:val="0"/>
                <w:sz w:val="24"/>
                <w:lang w:bidi="ar"/>
              </w:rPr>
              <w:instrText xml:space="preserve"> HYPERLINK "" \l "_AD/LDAP用户同步" </w:instrText>
            </w:r>
            <w:r>
              <w:rPr>
                <w:rFonts w:hint="eastAsia" w:ascii="宋体" w:hAnsi="宋体" w:cs="宋体"/>
                <w:kern w:val="0"/>
                <w:sz w:val="24"/>
                <w:lang w:bidi="ar"/>
              </w:rPr>
              <w:fldChar w:fldCharType="separate"/>
            </w:r>
            <w:r>
              <w:rPr>
                <w:rStyle w:val="43"/>
                <w:rFonts w:hint="eastAsia" w:ascii="宋体" w:hAnsi="宋体" w:cs="宋体"/>
                <w:color w:val="auto"/>
                <w:sz w:val="24"/>
              </w:rPr>
              <w:t>支持自动同步AD/LDAP用户</w:t>
            </w:r>
            <w:r>
              <w:rPr>
                <w:rFonts w:hint="eastAsia" w:ascii="宋体" w:hAnsi="宋体" w:cs="宋体"/>
                <w:kern w:val="0"/>
                <w:sz w:val="24"/>
                <w:lang w:bidi="ar"/>
              </w:rPr>
              <w:fldChar w:fldCharType="end"/>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☆堡垒机支持双因子认证，须内嵌动态令牌和usbkey认证引擎，可同时使用动态令牌和USBkey</w:t>
            </w:r>
            <w:r>
              <w:rPr>
                <w:rFonts w:hint="eastAsia" w:ascii="宋体" w:hAnsi="宋体" w:cs="宋体"/>
                <w:kern w:val="0"/>
                <w:sz w:val="24"/>
                <w:lang w:bidi="ar"/>
              </w:rPr>
              <w:fldChar w:fldCharType="begin"/>
            </w:r>
            <w:r>
              <w:rPr>
                <w:rFonts w:hint="eastAsia" w:ascii="宋体" w:hAnsi="宋体" w:cs="宋体"/>
                <w:kern w:val="0"/>
                <w:sz w:val="24"/>
                <w:lang w:bidi="ar"/>
              </w:rPr>
              <w:instrText xml:space="preserve"> HYPERLINK "" \l "_双因素认证授权资质" </w:instrText>
            </w:r>
            <w:r>
              <w:rPr>
                <w:rFonts w:hint="eastAsia" w:ascii="宋体" w:hAnsi="宋体" w:cs="宋体"/>
                <w:kern w:val="0"/>
                <w:sz w:val="24"/>
                <w:lang w:bidi="ar"/>
              </w:rPr>
              <w:fldChar w:fldCharType="separate"/>
            </w:r>
            <w:r>
              <w:rPr>
                <w:rStyle w:val="43"/>
                <w:rFonts w:hint="eastAsia" w:ascii="宋体" w:hAnsi="宋体" w:cs="宋体"/>
                <w:color w:val="auto"/>
                <w:sz w:val="24"/>
              </w:rPr>
              <w:t>（须提供相关授权和资质复印件）</w:t>
            </w:r>
            <w:r>
              <w:rPr>
                <w:rFonts w:hint="eastAsia" w:ascii="宋体" w:hAnsi="宋体" w:cs="宋体"/>
                <w:kern w:val="0"/>
                <w:sz w:val="24"/>
                <w:lang w:bidi="ar"/>
              </w:rPr>
              <w:fldChar w:fldCharType="end"/>
            </w:r>
            <w:r>
              <w:rPr>
                <w:rFonts w:ascii="Times New Roman" w:hAnsi="Times New Roman" w:cs="Times New Roman"/>
                <w:kern w:val="0"/>
                <w:sz w:val="24"/>
                <w:lang w:bidi="ar"/>
              </w:rPr>
              <w:t>，支持域认证与双因子认证结合使用</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设备管理要求：支持常用的运维协议：SSH、TELNET、RDP、VNC、FTP、SFTP、rlogin；可通过应用发布的方式进行协议扩展；</w:t>
            </w:r>
          </w:p>
          <w:p>
            <w:pPr>
              <w:widowControl/>
              <w:adjustRightInd w:val="0"/>
              <w:spacing w:line="360" w:lineRule="auto"/>
              <w:jc w:val="left"/>
              <w:textAlignment w:val="baseline"/>
            </w:pPr>
            <w:r>
              <w:rPr>
                <w:rFonts w:hint="eastAsia" w:ascii="宋体" w:hAnsi="宋体" w:cs="宋体"/>
                <w:kern w:val="0"/>
                <w:sz w:val="24"/>
                <w:lang w:bidi="ar"/>
              </w:rPr>
              <w:t>支持DB2、oracle、mysql、sqlserver主流数据库协议代理运维，可直接调用本地windows系统的数据库客户端工具</w:t>
            </w:r>
            <w:r>
              <w:rPr>
                <w:rFonts w:hint="eastAsia" w:ascii="宋体" w:hAnsi="宋体" w:cs="宋体"/>
                <w:kern w:val="0"/>
                <w:sz w:val="24"/>
                <w:lang w:bidi="ar"/>
              </w:rPr>
              <w:fldChar w:fldCharType="begin"/>
            </w:r>
            <w:r>
              <w:rPr>
                <w:rFonts w:hint="eastAsia" w:ascii="宋体" w:hAnsi="宋体" w:cs="宋体"/>
                <w:kern w:val="0"/>
                <w:sz w:val="24"/>
                <w:lang w:bidi="ar"/>
              </w:rPr>
              <w:instrText xml:space="preserve"> HYPERLINK "" \l "_数据库协议代理" </w:instrText>
            </w:r>
            <w:r>
              <w:rPr>
                <w:rFonts w:hint="eastAsia" w:ascii="宋体" w:hAnsi="宋体" w:cs="宋体"/>
                <w:kern w:val="0"/>
                <w:sz w:val="24"/>
                <w:lang w:bidi="ar"/>
              </w:rPr>
              <w:fldChar w:fldCharType="separate"/>
            </w:r>
            <w:r>
              <w:rPr>
                <w:rStyle w:val="43"/>
                <w:rFonts w:hint="eastAsia" w:ascii="宋体" w:hAnsi="宋体" w:cs="宋体"/>
                <w:color w:val="auto"/>
                <w:sz w:val="24"/>
              </w:rPr>
              <w:t>（须提供相关截图证明）</w:t>
            </w:r>
            <w:r>
              <w:rPr>
                <w:rFonts w:hint="eastAsia" w:ascii="宋体" w:hAnsi="宋体" w:cs="宋体"/>
                <w:kern w:val="0"/>
                <w:sz w:val="24"/>
                <w:lang w:bidi="ar"/>
              </w:rPr>
              <w:fldChar w:fldCharType="end"/>
            </w:r>
          </w:p>
          <w:p>
            <w:pPr>
              <w:widowControl/>
              <w:adjustRightInd w:val="0"/>
              <w:spacing w:line="360" w:lineRule="auto"/>
              <w:jc w:val="left"/>
              <w:textAlignment w:val="baseline"/>
            </w:pPr>
            <w:r>
              <w:rPr>
                <w:rFonts w:hint="eastAsia" w:ascii="宋体" w:hAnsi="宋体" w:cs="宋体"/>
                <w:kern w:val="0"/>
                <w:sz w:val="24"/>
                <w:lang w:bidi="ar"/>
              </w:rPr>
              <w:t>☆IE代填应用发布：HTTP/HTTPS协议的web设备，且可以直接代填账号和密码</w:t>
            </w:r>
            <w:r>
              <w:rPr>
                <w:rFonts w:hint="eastAsia" w:ascii="宋体" w:hAnsi="宋体" w:cs="宋体"/>
                <w:kern w:val="0"/>
                <w:sz w:val="24"/>
                <w:lang w:bidi="ar"/>
              </w:rPr>
              <w:fldChar w:fldCharType="begin"/>
            </w:r>
            <w:r>
              <w:rPr>
                <w:rFonts w:hint="eastAsia" w:ascii="宋体" w:hAnsi="宋体" w:cs="宋体"/>
                <w:kern w:val="0"/>
                <w:sz w:val="24"/>
                <w:lang w:bidi="ar"/>
              </w:rPr>
              <w:instrText xml:space="preserve"> HYPERLINK "" \l "_自动收集设备与用户的权限关系的专利证明" </w:instrText>
            </w:r>
            <w:r>
              <w:rPr>
                <w:rFonts w:hint="eastAsia" w:ascii="宋体" w:hAnsi="宋体" w:cs="宋体"/>
                <w:kern w:val="0"/>
                <w:sz w:val="24"/>
                <w:lang w:bidi="ar"/>
              </w:rPr>
              <w:fldChar w:fldCharType="separate"/>
            </w:r>
            <w:r>
              <w:rPr>
                <w:rStyle w:val="43"/>
                <w:rFonts w:hint="eastAsia" w:ascii="宋体" w:hAnsi="宋体" w:cs="宋体"/>
                <w:color w:val="auto"/>
                <w:sz w:val="24"/>
              </w:rPr>
              <w:t>（需提供国家权威机构证明）</w:t>
            </w:r>
            <w:r>
              <w:rPr>
                <w:rFonts w:hint="eastAsia" w:ascii="宋体" w:hAnsi="宋体" w:cs="宋体"/>
                <w:kern w:val="0"/>
                <w:sz w:val="24"/>
                <w:lang w:bidi="ar"/>
              </w:rPr>
              <w:fldChar w:fldCharType="end"/>
            </w:r>
          </w:p>
          <w:p>
            <w:pPr>
              <w:widowControl/>
              <w:adjustRightInd w:val="0"/>
              <w:spacing w:line="360" w:lineRule="auto"/>
              <w:jc w:val="left"/>
              <w:textAlignment w:val="baseline"/>
            </w:pPr>
            <w:r>
              <w:rPr>
                <w:rFonts w:hint="eastAsia" w:ascii="宋体" w:hAnsi="宋体" w:cs="宋体"/>
                <w:kern w:val="0"/>
                <w:sz w:val="24"/>
                <w:lang w:bidi="ar"/>
              </w:rPr>
              <w:t>☆支持自动收集设备IP、运维协议、端口号、账号、密码、与用户的权限关系，甚至可自动完成授权</w:t>
            </w:r>
            <w:r>
              <w:rPr>
                <w:rFonts w:hint="eastAsia" w:ascii="宋体" w:hAnsi="宋体" w:cs="宋体"/>
                <w:kern w:val="0"/>
                <w:sz w:val="24"/>
                <w:lang w:bidi="ar"/>
              </w:rPr>
              <w:fldChar w:fldCharType="begin"/>
            </w:r>
            <w:r>
              <w:rPr>
                <w:rFonts w:hint="eastAsia" w:ascii="宋体" w:hAnsi="宋体" w:cs="宋体"/>
                <w:kern w:val="0"/>
                <w:sz w:val="24"/>
                <w:lang w:bidi="ar"/>
              </w:rPr>
              <w:instrText xml:space="preserve"> HYPERLINK "" \l "_自动收集设备与用户的权限关系的专利证明" </w:instrText>
            </w:r>
            <w:r>
              <w:rPr>
                <w:rFonts w:hint="eastAsia" w:ascii="宋体" w:hAnsi="宋体" w:cs="宋体"/>
                <w:kern w:val="0"/>
                <w:sz w:val="24"/>
                <w:lang w:bidi="ar"/>
              </w:rPr>
              <w:fldChar w:fldCharType="separate"/>
            </w:r>
            <w:r>
              <w:rPr>
                <w:rStyle w:val="43"/>
                <w:rFonts w:hint="eastAsia" w:ascii="宋体" w:hAnsi="宋体" w:cs="宋体"/>
                <w:color w:val="auto"/>
                <w:sz w:val="24"/>
              </w:rPr>
              <w:t>（需提供国家权威机构证明）</w:t>
            </w:r>
            <w:r>
              <w:rPr>
                <w:rFonts w:hint="eastAsia" w:ascii="宋体" w:hAnsi="宋体" w:cs="宋体"/>
                <w:kern w:val="0"/>
                <w:sz w:val="24"/>
                <w:lang w:bidi="ar"/>
              </w:rPr>
              <w:fldChar w:fldCharType="end"/>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工单流程要求：运维人员可以向管理员申请需要访问的设备，管理员对运维工单进行审核之后以邮件方式通知给运维人员</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自动改密要求：支持定期自动修改windows服务器、网络设备、linux/unix等目标设备密码功能，支持发送方式，包括邮件、FTP、SFTP等</w:t>
            </w:r>
            <w:r>
              <w:rPr>
                <w:rFonts w:hint="eastAsia" w:ascii="宋体" w:hAnsi="宋体" w:cs="宋体"/>
                <w:kern w:val="0"/>
                <w:sz w:val="24"/>
                <w:lang w:bidi="ar"/>
              </w:rPr>
              <w:fldChar w:fldCharType="begin"/>
            </w:r>
            <w:r>
              <w:rPr>
                <w:rFonts w:hint="eastAsia" w:ascii="宋体" w:hAnsi="宋体" w:cs="宋体"/>
                <w:kern w:val="0"/>
                <w:sz w:val="24"/>
                <w:lang w:bidi="ar"/>
              </w:rPr>
              <w:instrText xml:space="preserve"> HYPERLINK "" \l "_自动改密功能截图" </w:instrText>
            </w:r>
            <w:r>
              <w:rPr>
                <w:rFonts w:hint="eastAsia" w:ascii="宋体" w:hAnsi="宋体" w:cs="宋体"/>
                <w:kern w:val="0"/>
                <w:sz w:val="24"/>
                <w:lang w:bidi="ar"/>
              </w:rPr>
              <w:fldChar w:fldCharType="separate"/>
            </w:r>
            <w:r>
              <w:rPr>
                <w:rStyle w:val="43"/>
                <w:rFonts w:hint="eastAsia" w:ascii="宋体" w:hAnsi="宋体" w:cs="宋体"/>
                <w:color w:val="auto"/>
                <w:sz w:val="24"/>
              </w:rPr>
              <w:t>（需提供相关截图证明</w:t>
            </w:r>
            <w:r>
              <w:rPr>
                <w:rFonts w:hint="eastAsia" w:ascii="宋体" w:hAnsi="宋体" w:cs="宋体"/>
                <w:kern w:val="0"/>
                <w:sz w:val="24"/>
                <w:lang w:bidi="ar"/>
              </w:rPr>
              <w:fldChar w:fldCharType="end"/>
            </w:r>
            <w:r>
              <w:rPr>
                <w:rFonts w:ascii="Times New Roman" w:hAnsi="Times New Roman" w:cs="Times New Roman"/>
                <w:kern w:val="0"/>
                <w:sz w:val="24"/>
                <w:lang w:bidi="ar"/>
              </w:rPr>
              <w:t>）</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审计日志要求：支持对运维操作会话的在线监控、实时阻断、日志回放、起止时间、来源用户、来源IP、目标设备、协议/应用类型、命令记录、操作内容（如对文件的上传、下载、删除、修改等操作等）的详细行为日志。</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支持保存SSH的sz/rz命令,SFTP/FTP, RDP粘贴板传输的原始文件，并提供第三方权威机构检测报告证明</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支持对重要命令进行审核：运维人员执行命令后，须等到管理员审批通过后才可执行成功</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报表统计要求：内置丰富的报表统计模板，且支持PDF、doc、html格式导出</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支持一键导出符合等级保护、SOX法案要求的综合分析报告</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系统管理要求：支持自身审计，需提供用户、资产、授权的增删改查等API接口，允许第三方平台调用</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支持和同品牌数据库审计系统进行联动，将通过SSH/RDP等加密方式操作数据库的行为整合到数据库审计中，实现数据库行为的统一集中查询、展示、审计分析等</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支持和同品牌的日志审计系统SOC进行联动，对绕过堡垒机而登录主机的行为，SOC进行实时告警，并且与SOC进行日志关联性分析</w:t>
            </w:r>
          </w:p>
        </w:tc>
      </w:tr>
      <w:tr>
        <w:tblPrEx>
          <w:tblCellMar>
            <w:top w:w="0" w:type="dxa"/>
            <w:left w:w="108" w:type="dxa"/>
            <w:bottom w:w="0" w:type="dxa"/>
            <w:right w:w="108" w:type="dxa"/>
          </w:tblCellMar>
        </w:tblPrEx>
        <w:trPr>
          <w:trHeight w:val="480" w:hRule="atLeast"/>
        </w:trPr>
        <w:tc>
          <w:tcPr>
            <w:tcW w:w="457" w:type="dxa"/>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3</w:t>
            </w:r>
          </w:p>
        </w:tc>
        <w:tc>
          <w:tcPr>
            <w:tcW w:w="3136"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日志审计平台</w:t>
            </w:r>
          </w:p>
        </w:tc>
        <w:tc>
          <w:tcPr>
            <w:tcW w:w="6002" w:type="dxa"/>
            <w:tcBorders>
              <w:top w:val="nil"/>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☆品牌要求：产品获得公安部计算机信息系统安全产品销售许可证。获得国家保密科技测评中心检测并获得涉密信息系统产品证书 ，获得IPV6证书，为保证安全服务统一，安全管理平台、运维审计平台、日志审计平台、APT预警平台需为同一品牌</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硬件规格：10个工作管理口，1个console口</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审计系统存储不少于2TB存储，内存不小于16G；至少配置6千兆电口，4千兆光口</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处理性能：支持审计200个日志源； 平均处理能力（每秒日志解析能力EPS）：10000EPS；峰值处理能力（每秒日志解析能力EPS）：12000EPS。</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功能扩展：采用解决方案包上传对产品进行功能扩展，无需要代码开发。</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日志收集：支持Syslog、SNMP Trap、OPSec、FTP协议日志收集；支持使用代理(Agent)方式提取日志并收集；</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支持目前主流的网络安全设备、交换设备、路由设备、操作系统、应用系统等；支持常见的虚拟机环境日志收集，包括Xen、VMWare、Hyper-V等。</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日志分析：可以以日志等级进行过滤；支持对收集到的重复的日志进行自动的聚合归并，减少日志量；支持对收集到的日志进行解析（标准化、归一化）；可对日志进行细粒度解析；支持基于内存的实时关联分析，跨设备的多事件关联分析；</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具备安全评估模型，评估模型基于设备故障、认证登陆、攻击威胁、可用性、系统脆弱性等纬度加权平均计算总体安全指数。</w:t>
            </w:r>
          </w:p>
          <w:p>
            <w:pPr>
              <w:widowControl/>
              <w:adjustRightInd w:val="0"/>
              <w:spacing w:line="360" w:lineRule="auto"/>
              <w:jc w:val="left"/>
              <w:textAlignment w:val="baseline"/>
            </w:pPr>
            <w:r>
              <w:rPr>
                <w:rFonts w:hint="eastAsia" w:ascii="宋体" w:hAnsi="宋体" w:cs="宋体"/>
                <w:kern w:val="0"/>
                <w:sz w:val="24"/>
                <w:lang w:bidi="ar"/>
              </w:rPr>
              <w:t>☆支持根据资产价值、资产漏洞、针对漏洞的威胁事件三者进行威胁的自动关联分析（三维关联）</w:t>
            </w:r>
            <w:r>
              <w:rPr>
                <w:rFonts w:hint="eastAsia" w:ascii="宋体" w:hAnsi="宋体" w:cs="宋体"/>
                <w:kern w:val="0"/>
                <w:sz w:val="24"/>
                <w:lang w:bidi="ar"/>
              </w:rPr>
              <w:fldChar w:fldCharType="begin"/>
            </w:r>
            <w:r>
              <w:rPr>
                <w:rFonts w:hint="eastAsia" w:ascii="宋体" w:hAnsi="宋体" w:cs="宋体"/>
                <w:kern w:val="0"/>
                <w:sz w:val="24"/>
                <w:lang w:bidi="ar"/>
              </w:rPr>
              <w:instrText xml:space="preserve"> HYPERLINK "" \l "_自动收集设备与用户的权限关系的专利证明" </w:instrText>
            </w:r>
            <w:r>
              <w:rPr>
                <w:rFonts w:hint="eastAsia" w:ascii="宋体" w:hAnsi="宋体" w:cs="宋体"/>
                <w:kern w:val="0"/>
                <w:sz w:val="24"/>
                <w:lang w:bidi="ar"/>
              </w:rPr>
              <w:fldChar w:fldCharType="separate"/>
            </w:r>
            <w:r>
              <w:rPr>
                <w:rStyle w:val="43"/>
                <w:rFonts w:hint="eastAsia" w:ascii="宋体" w:hAnsi="宋体" w:cs="宋体"/>
                <w:color w:val="auto"/>
                <w:sz w:val="24"/>
              </w:rPr>
              <w:t>（提供第三方测试报告）</w:t>
            </w:r>
            <w:r>
              <w:rPr>
                <w:rFonts w:hint="eastAsia" w:ascii="宋体" w:hAnsi="宋体" w:cs="宋体"/>
                <w:kern w:val="0"/>
                <w:sz w:val="24"/>
                <w:lang w:bidi="ar"/>
              </w:rPr>
              <w:fldChar w:fldCharType="end"/>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日志备份：可设置日志存储备份策略。包括系统日志保存期（天）、磁盘使用率百分比；支持保存日志180天以上。</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日志查询：支持B/S模式管理，支持SSL加密模式访问；</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按日期、时间、设备类型、日志类型、日志来源、威胁值、源地址、目的地址、事件类型、时间范围、操作对象、技术方式、技术动作、技术效果、攻击类型、地理城市等参数进行过滤查询；支持用任意关键字对所有事件进行高性能全文检索；支持可指定多个查询条件进行组合查询；</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☆资产管理：资产拓扑支持按照实际的用户环境进行编辑发布并可以和资产进行绑定。拓扑可以显示资产采集的事件数量被采集资产的状态等信息。（提供第三方检测报告）</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告警功能：可预设置安全告警策略；超过阀值将产生告警；可以通过邮件、短信和屏幕显示进行告警；</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综合查询及报表管理：内置合规性报表1000+种，内置SOX、ISO27001、WEB安全等解决方案包，提供截图证明；内置完善的等级保护合规报表</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原厂商中国网络安全审查技术与认证中心颁发的风险评估一级、应急处理一级证书；</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原厂商获得国家级《计算机网络应急技术处理协调中心》颁发的国家级网络安全应急响应单位；</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☆原厂商具有信息安全服务资质证书（安全工程类三级）；</w:t>
            </w:r>
          </w:p>
        </w:tc>
      </w:tr>
      <w:tr>
        <w:tblPrEx>
          <w:tblCellMar>
            <w:top w:w="0" w:type="dxa"/>
            <w:left w:w="108" w:type="dxa"/>
            <w:bottom w:w="0" w:type="dxa"/>
            <w:right w:w="108" w:type="dxa"/>
          </w:tblCellMar>
        </w:tblPrEx>
        <w:trPr>
          <w:trHeight w:val="768" w:hRule="atLeast"/>
        </w:trPr>
        <w:tc>
          <w:tcPr>
            <w:tcW w:w="457" w:type="dxa"/>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4</w:t>
            </w:r>
          </w:p>
        </w:tc>
        <w:tc>
          <w:tcPr>
            <w:tcW w:w="3136"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APT预警平台</w:t>
            </w:r>
          </w:p>
        </w:tc>
        <w:tc>
          <w:tcPr>
            <w:tcW w:w="6002" w:type="dxa"/>
            <w:tcBorders>
              <w:top w:val="nil"/>
              <w:left w:val="nil"/>
              <w:bottom w:val="single" w:color="auto" w:sz="4" w:space="0"/>
              <w:right w:val="single" w:color="auto" w:sz="4" w:space="0"/>
            </w:tcBorders>
            <w:noWrap w:val="0"/>
            <w:vAlign w:val="top"/>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☆具有国家保密科技中心颁发的《恶意代码检测系统》涉密信息系统检测证书，具备IPV6证书，为保证安全服务统一，安全管理平台、运维审计平台、日志审计平台、APT预警平台需为同一品牌</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硬件规格：双电源；可用磁盘空间不小于1T；接口数量</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标配6个以上10/100/1000M以太网端口；内存8G</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部署方式：旁路镜像模式部署，不影响服务器处理性能和网络架构；</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吞吐率：网络层≥1000Mbps，应用层≥500Mbps，WEB检测≥2万/秒，邮件检测≥100万封/24小时，文件检测≥2万/24小时</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审计协议：支持解析HTTP、FTP、SMTP、POP3、SMB、IMAP、DNS、Mysql、MSSQL、DB2、Oracle等协议报文，并提供审计协议类型的端口号配置，可根据需要变更端口号，并支持LDAP登录行为识别、VXLAN镜像流量解析检测及HTTPS流量解析能力</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支持全流量检测，可根据需求打开或关闭全流量检测功能</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检测风险类别：支持检测WEB攻击、异常访问、恶意文件攻击、C&amp;C IP/URL、WEB后门访问、发件人欺骗、邮件头欺骗、邮件钓鱼欺骗、邮件恶意链接、DGA域名请求、SMB远程溢出攻击、WEB行为分析等风险（提供截图证明）</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告警黑白名单过滤：支持对文件白名单、发件人邮箱白名单、发件人域名白名单、黑域名白名单、黑IP白名单、域名白名单、客户端IP白名单、服务端IP白名单、WEB风险特征白名单进行设置</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弱口令风险检测：支持对Telnet、FTP、POP3、SMTP、IMAP等协议进行弱口令检测</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主机威胁分析：可自动对内网主机进行威胁指数分析，详细展示具体的威胁指数、威胁活动、历史威胁指数、遭受的攻击类型、攻击次数、攻击状态等，可根据不同威胁指数的主机实现攻击溯源和攻击过程的可视化分析，可通过攻击源、攻击目的对攻击路线进行统计，包括攻击的行为、告警，并以直观的图形化形式展示</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木马回连分析：快速识别网络中存在的恶意回连行为，包含回连主机IP、服务器IP、时间、行为等，对基于木马回连的非法数据传输等行为进行取证分析</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HTTP解析：支持 HTTP协议解析，检测WEB攻击</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双向审计：支持双向审计，对请求和响应都进行审计</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攻击检测：支持SQL注入、命令注入、跨站脚本、代码注入、协议错误攻击检测（提供截图证明）</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WEBSHELL检测：支持WEBSHELL检测，可检测访问webshell的行为，包含具体对应的URL、返回码、返回数据包内容等</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动态分析：自动关联行为分析的详细展现，包含SQL注入取数据、表单破解、XSS测试、目录穿越读取文件、多人访问Webshell、APT攻击等（提供截图证明）</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场景化分析：支持场景化的分析能力，对发现的告警进行二次关联，支持对勒索病毒、网站后门、邮件APT攻击等事件进行预警。</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Mail攻击检测：支持解析webmail、SMTP、POP3类型报文，支持基于webmail攻击类型检测，包括sql注入、跨站、命令注入等攻击检测</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社工类攻击检测：对社工类攻击进行检测，检测内容包括：邮件头欺骗、邮件发件人欺骗、邮件钓鱼欺骗、邮件恶意链接</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恶意附件检测：支持邮件恶意附件行为检测</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文件攻击检测：支持 HTTP、FTP、SMB、SMTP、POP3等协议传输文件检测，支持doc, xls, ppt, swf, pdf, java, rar, zip, rar, exe, vbs, scr, html，js等多种文件解析,支持自定义文件类型</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特征检测：对文件进行特征匹配，利用已知的特征库发现恶意可以执行代码，对文件进行特征匹配，利用已知的特征库发现恶意的非可执行文件</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Shellcode检测：通过分析文件中的二进制代码，找到文件溢出攻击的代码，并能找到APT攻击中的0day攻击</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☆动态沙箱检测：对存在问题的文件输出完整的二进制动态分析报告，动态执行可疑文件，分析代码的注册表、进程、网络、文件等行为，分析其安全风险（提供截图证明）</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安全管理平台联动：支持将分析到的SMB远程溢出攻击、扫描行为、Web后门访问、隐蔽信道通信、暴力破解、挖矿、远控工具利用、WEB特征攻击等同步到安全管理平台，实现APT深度威胁分析与安全管理平台联动阻断（提供截图证明）</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告警与报表：告警可详细展示风险级别、发生时间、告警名称、客户端IP、服务器IP、报文内容（URL、请求头、请求参数、请求内容），支持ka**a、短信、邮件、syslog、snmp、ftp等告警方式</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☆原厂商具备CMMI5证书</w:t>
            </w:r>
          </w:p>
        </w:tc>
      </w:tr>
      <w:tr>
        <w:tblPrEx>
          <w:tblCellMar>
            <w:top w:w="0" w:type="dxa"/>
            <w:left w:w="108" w:type="dxa"/>
            <w:bottom w:w="0" w:type="dxa"/>
            <w:right w:w="108" w:type="dxa"/>
          </w:tblCellMar>
        </w:tblPrEx>
        <w:trPr>
          <w:trHeight w:val="768" w:hRule="atLeast"/>
        </w:trPr>
        <w:tc>
          <w:tcPr>
            <w:tcW w:w="457" w:type="dxa"/>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9138" w:type="dxa"/>
            <w:gridSpan w:val="2"/>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四、网警终端</w:t>
            </w:r>
          </w:p>
        </w:tc>
      </w:tr>
      <w:tr>
        <w:tblPrEx>
          <w:tblCellMar>
            <w:top w:w="0" w:type="dxa"/>
            <w:left w:w="108" w:type="dxa"/>
            <w:bottom w:w="0" w:type="dxa"/>
            <w:right w:w="108" w:type="dxa"/>
          </w:tblCellMar>
        </w:tblPrEx>
        <w:trPr>
          <w:trHeight w:val="540" w:hRule="atLeast"/>
        </w:trPr>
        <w:tc>
          <w:tcPr>
            <w:tcW w:w="457" w:type="dxa"/>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3136"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前端采集器</w:t>
            </w:r>
          </w:p>
        </w:tc>
        <w:tc>
          <w:tcPr>
            <w:tcW w:w="600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1、前端数据规范符合技术规范： GA/WA 3011.6—2015；</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2、支持视频专网实时回传；</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3、支持1个FE或GE电口，防雷接地接口，支持配置端口；</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4、支持抱杆、壁挂安装，支持POE供电；5、支持自动升级，支持远程维护、在线状况、离线报警；</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6、前端采集数据支持热点经纬度信息、小区经纬度及归属；</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7、支持连接关系及握手包数据采集</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8、支持热点地图的位置信息更正自动；</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9、前端数据支持接入集聚区公安智慧感知平台。</w:t>
            </w:r>
          </w:p>
        </w:tc>
      </w:tr>
      <w:tr>
        <w:tblPrEx>
          <w:tblCellMar>
            <w:top w:w="0" w:type="dxa"/>
            <w:left w:w="108" w:type="dxa"/>
            <w:bottom w:w="0" w:type="dxa"/>
            <w:right w:w="108" w:type="dxa"/>
          </w:tblCellMar>
        </w:tblPrEx>
        <w:trPr>
          <w:trHeight w:val="540" w:hRule="atLeast"/>
        </w:trPr>
        <w:tc>
          <w:tcPr>
            <w:tcW w:w="457" w:type="dxa"/>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9138" w:type="dxa"/>
            <w:gridSpan w:val="2"/>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b/>
                <w:sz w:val="24"/>
              </w:rPr>
            </w:pPr>
            <w:r>
              <w:rPr>
                <w:rFonts w:hint="eastAsia" w:ascii="宋体" w:hAnsi="宋体" w:cs="宋体"/>
                <w:b/>
                <w:kern w:val="0"/>
                <w:sz w:val="24"/>
                <w:lang w:bidi="ar"/>
              </w:rPr>
              <w:t>五、配套设备</w:t>
            </w:r>
          </w:p>
        </w:tc>
      </w:tr>
      <w:tr>
        <w:tblPrEx>
          <w:tblCellMar>
            <w:top w:w="0" w:type="dxa"/>
            <w:left w:w="108" w:type="dxa"/>
            <w:bottom w:w="0" w:type="dxa"/>
            <w:right w:w="108" w:type="dxa"/>
          </w:tblCellMar>
        </w:tblPrEx>
        <w:trPr>
          <w:trHeight w:val="540" w:hRule="atLeast"/>
        </w:trPr>
        <w:tc>
          <w:tcPr>
            <w:tcW w:w="457" w:type="dxa"/>
            <w:tcBorders>
              <w:top w:val="nil"/>
              <w:left w:val="single" w:color="auto" w:sz="4"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p>
        </w:tc>
        <w:tc>
          <w:tcPr>
            <w:tcW w:w="3136"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万兆交换设备</w:t>
            </w:r>
          </w:p>
        </w:tc>
        <w:tc>
          <w:tcPr>
            <w:tcW w:w="6002" w:type="dxa"/>
            <w:tcBorders>
              <w:top w:val="nil"/>
              <w:left w:val="nil"/>
              <w:bottom w:val="single" w:color="auto" w:sz="4" w:space="0"/>
              <w:right w:val="single" w:color="auto" w:sz="4" w:space="0"/>
            </w:tcBorders>
            <w:noWrap w:val="0"/>
            <w:vAlign w:val="center"/>
          </w:tcPr>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具体参数：</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1、☆交换容量≥19Tbps，转发性能≥16000Mpps；</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2、设备支持主控引擎≥2，业务槽位≥2个；</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3、为适应现场机柜安装环境，要求设备深度≤600mm；</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4、支持颗粒化电源，整机电源槽位数≥2；</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5、为适应机柜并排部署，设备机箱（包括业务板卡区）采用后出风风道设计；</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6、为了简化管理，支持纵向虚拟化技术，支持把交换机和AP虚拟为一台设备，支持两层子节点，且子节点接入交换机支持堆叠；</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7、支持整机MAC地址≥1M，ARP表项≥256K，IPv4路由转发FIB表项≥128K，ACL表项≥256K；</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8、支持静态路由、RIP、RIPng、OSPF、OSPFv3、BGP、BGP4+、ISIS、ISISv6，支持路由协议多实例，支持GR for OSPF/IS-IS/BGP；</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9、支持IPv6过渡技术，IPv4/IPv6双栈、6over4隧道、4 over6隧道，支持IPv6 DHCP SERVER, IPv6 DHCP Relay, DHCP Snooping，支持IPv6 Souce Guard；</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10、支持MPLS L3VPN、MPLS L2VPN(VPLS，VLL)、MPLS-TE、MPLS QoS；</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11、支持GE/10GE端口200ms大缓存；</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12、支持5级H-QoS；</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13、支持真实业务流的实时检测技术，秒级快速故障定位；</w:t>
            </w:r>
          </w:p>
          <w:p>
            <w:pPr>
              <w:widowControl/>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14、☆实配：千兆电口≥48，万兆SFP+光口≥48，含16块万兆光模块；</w:t>
            </w:r>
          </w:p>
        </w:tc>
      </w:tr>
    </w:tbl>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 xml:space="preserve"> </w:t>
      </w:r>
    </w:p>
    <w:p>
      <w:pPr>
        <w:adjustRightInd w:val="0"/>
        <w:spacing w:line="360" w:lineRule="auto"/>
        <w:ind w:firstLine="482" w:firstLineChars="200"/>
        <w:jc w:val="center"/>
        <w:textAlignment w:val="baseline"/>
        <w:rPr>
          <w:rFonts w:hint="eastAsia" w:ascii="宋体" w:hAnsi="宋体" w:cs="宋体"/>
          <w:b/>
          <w:sz w:val="24"/>
        </w:rPr>
      </w:pPr>
      <w:r>
        <w:rPr>
          <w:rFonts w:hint="eastAsia" w:ascii="宋体" w:hAnsi="宋体" w:cs="宋体"/>
          <w:b/>
          <w:kern w:val="0"/>
          <w:sz w:val="24"/>
          <w:lang w:bidi="ar"/>
        </w:rPr>
        <w:t>参数附件</w:t>
      </w:r>
    </w:p>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附件1：</w:t>
      </w:r>
    </w:p>
    <w:tbl>
      <w:tblPr>
        <w:tblStyle w:val="37"/>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7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878"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ind w:left="108" w:firstLine="562"/>
              <w:jc w:val="center"/>
              <w:textAlignment w:val="baseline"/>
              <w:rPr>
                <w:rFonts w:hint="eastAsia" w:ascii="宋体" w:hAnsi="宋体" w:cs="宋体"/>
                <w:b/>
                <w:sz w:val="24"/>
              </w:rPr>
            </w:pPr>
            <w:r>
              <w:rPr>
                <w:rFonts w:hint="eastAsia" w:ascii="宋体" w:hAnsi="宋体" w:cs="宋体"/>
                <w:b/>
                <w:sz w:val="24"/>
                <w:lang w:bidi="ar"/>
              </w:rPr>
              <w:t>流媒体转发服务参数要求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规格</w:t>
            </w:r>
          </w:p>
        </w:tc>
        <w:tc>
          <w:tcPr>
            <w:tcW w:w="7535" w:type="dxa"/>
            <w:tcBorders>
              <w:top w:val="single" w:color="auto" w:sz="4" w:space="0"/>
              <w:left w:val="nil"/>
              <w:bottom w:val="single" w:color="auto" w:sz="4" w:space="0"/>
              <w:right w:val="single" w:color="auto" w:sz="4" w:space="0"/>
            </w:tcBorders>
            <w:noWrap w:val="0"/>
            <w:vAlign w:val="center"/>
          </w:tcPr>
          <w:p>
            <w:p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机架式服务器，含上架安装组件，提供独立的远程管理口（含完整功能授权）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CPU</w:t>
            </w:r>
          </w:p>
        </w:tc>
        <w:tc>
          <w:tcPr>
            <w:tcW w:w="7535" w:type="dxa"/>
            <w:tcBorders>
              <w:top w:val="single" w:color="auto" w:sz="4" w:space="0"/>
              <w:left w:val="nil"/>
              <w:bottom w:val="single" w:color="auto" w:sz="4" w:space="0"/>
              <w:right w:val="single" w:color="auto" w:sz="4" w:space="0"/>
            </w:tcBorders>
            <w:noWrap w:val="0"/>
            <w:vAlign w:val="center"/>
          </w:tcPr>
          <w:p>
            <w:p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配置两块不低于英特尔® 至强®银牌4110处理器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内存</w:t>
            </w:r>
          </w:p>
        </w:tc>
        <w:tc>
          <w:tcPr>
            <w:tcW w:w="7535" w:type="dxa"/>
            <w:tcBorders>
              <w:top w:val="single" w:color="auto" w:sz="4" w:space="0"/>
              <w:left w:val="nil"/>
              <w:bottom w:val="single" w:color="auto" w:sz="4" w:space="0"/>
              <w:right w:val="single" w:color="auto" w:sz="4" w:space="0"/>
            </w:tcBorders>
            <w:noWrap w:val="0"/>
            <w:vAlign w:val="center"/>
          </w:tcPr>
          <w:p>
            <w:p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配置不少于64GB DDR4 RDIMM 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存储</w:t>
            </w:r>
          </w:p>
        </w:tc>
        <w:tc>
          <w:tcPr>
            <w:tcW w:w="7535" w:type="dxa"/>
            <w:tcBorders>
              <w:top w:val="single" w:color="auto" w:sz="4" w:space="0"/>
              <w:left w:val="nil"/>
              <w:bottom w:val="single" w:color="auto" w:sz="4" w:space="0"/>
              <w:right w:val="single" w:color="auto" w:sz="4" w:space="0"/>
            </w:tcBorders>
            <w:noWrap w:val="0"/>
            <w:vAlign w:val="center"/>
          </w:tcPr>
          <w:p>
            <w:p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本次要求配备2个容量为600G以上的万转硬盘组建RAID-1；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网卡</w:t>
            </w:r>
          </w:p>
        </w:tc>
        <w:tc>
          <w:tcPr>
            <w:tcW w:w="7535" w:type="dxa"/>
            <w:tcBorders>
              <w:top w:val="single" w:color="auto" w:sz="4" w:space="0"/>
              <w:left w:val="nil"/>
              <w:bottom w:val="single" w:color="auto" w:sz="4" w:space="0"/>
              <w:right w:val="single" w:color="auto" w:sz="4" w:space="0"/>
            </w:tcBorders>
            <w:noWrap w:val="0"/>
            <w:vAlign w:val="center"/>
          </w:tcPr>
          <w:p>
            <w:p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具备四个以上千兆网络接口，至少配备一个万兆光纤网卡接口（含模块），另单独配两块万兆光纤网卡（含模块）作雪亮2019年流媒用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软件</w:t>
            </w:r>
          </w:p>
        </w:tc>
        <w:tc>
          <w:tcPr>
            <w:tcW w:w="7535" w:type="dxa"/>
            <w:tcBorders>
              <w:top w:val="single" w:color="auto" w:sz="4" w:space="0"/>
              <w:left w:val="nil"/>
              <w:bottom w:val="single" w:color="auto" w:sz="4" w:space="0"/>
              <w:right w:val="single" w:color="auto" w:sz="4" w:space="0"/>
            </w:tcBorders>
            <w:noWrap w:val="0"/>
            <w:vAlign w:val="center"/>
          </w:tcPr>
          <w:p>
            <w:p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提供软件适配版Linux操作系统；提供操作系统补丁升级上门服务；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电源</w:t>
            </w:r>
          </w:p>
        </w:tc>
        <w:tc>
          <w:tcPr>
            <w:tcW w:w="7535" w:type="dxa"/>
            <w:tcBorders>
              <w:top w:val="single" w:color="auto" w:sz="4" w:space="0"/>
              <w:left w:val="nil"/>
              <w:bottom w:val="single" w:color="auto" w:sz="4" w:space="0"/>
              <w:right w:val="single" w:color="auto" w:sz="4" w:space="0"/>
            </w:tcBorders>
            <w:noWrap w:val="0"/>
            <w:vAlign w:val="center"/>
          </w:tcPr>
          <w:p>
            <w:p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满配冗余热插拔电源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安全</w:t>
            </w:r>
          </w:p>
        </w:tc>
        <w:tc>
          <w:tcPr>
            <w:tcW w:w="7535" w:type="dxa"/>
            <w:tcBorders>
              <w:top w:val="single" w:color="auto" w:sz="4" w:space="0"/>
              <w:left w:val="nil"/>
              <w:bottom w:val="single" w:color="auto" w:sz="4" w:space="0"/>
              <w:right w:val="single" w:color="auto" w:sz="4" w:space="0"/>
            </w:tcBorders>
            <w:noWrap w:val="0"/>
            <w:vAlign w:val="center"/>
          </w:tcPr>
          <w:p>
            <w:p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可配置机箱入侵侦测，在外部打开机箱时提供报警功能。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其他</w:t>
            </w:r>
          </w:p>
        </w:tc>
        <w:tc>
          <w:tcPr>
            <w:tcW w:w="7535" w:type="dxa"/>
            <w:tcBorders>
              <w:top w:val="single" w:color="auto" w:sz="4" w:space="0"/>
              <w:left w:val="nil"/>
              <w:bottom w:val="single" w:color="auto" w:sz="4" w:space="0"/>
              <w:right w:val="single" w:color="auto" w:sz="4" w:space="0"/>
            </w:tcBorders>
            <w:noWrap w:val="0"/>
            <w:vAlign w:val="center"/>
          </w:tcPr>
          <w:p>
            <w:p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配置导轨、光驱，满配风扇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134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维保服务</w:t>
            </w:r>
          </w:p>
        </w:tc>
        <w:tc>
          <w:tcPr>
            <w:tcW w:w="7535" w:type="dxa"/>
            <w:tcBorders>
              <w:top w:val="single" w:color="auto" w:sz="4" w:space="0"/>
              <w:left w:val="nil"/>
              <w:bottom w:val="single" w:color="auto" w:sz="4" w:space="0"/>
              <w:right w:val="single" w:color="auto" w:sz="4" w:space="0"/>
            </w:tcBorders>
            <w:noWrap w:val="0"/>
            <w:vAlign w:val="center"/>
          </w:tcPr>
          <w:p>
            <w:pPr>
              <w:adjustRightInd w:val="0"/>
              <w:spacing w:line="360" w:lineRule="auto"/>
              <w:jc w:val="left"/>
              <w:textAlignment w:val="baseline"/>
              <w:rPr>
                <w:rFonts w:hint="eastAsia" w:ascii="宋体" w:hAnsi="宋体" w:cs="宋体"/>
                <w:sz w:val="24"/>
              </w:rPr>
            </w:pPr>
            <w:r>
              <w:rPr>
                <w:rFonts w:hint="eastAsia" w:ascii="宋体" w:hAnsi="宋体" w:cs="宋体"/>
                <w:kern w:val="0"/>
                <w:sz w:val="24"/>
                <w:lang w:bidi="ar"/>
              </w:rPr>
              <w:t>提供硬件5年维保，第二自然日上门服务（含硬件）；含硬盘不返还服务, 原厂官方网站可查序列号五年质保（含配件免费更换和上门服务）。</w:t>
            </w:r>
          </w:p>
        </w:tc>
      </w:tr>
    </w:tbl>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 xml:space="preserve"> </w:t>
      </w:r>
    </w:p>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 xml:space="preserve"> </w:t>
      </w:r>
    </w:p>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附件2：</w:t>
      </w:r>
    </w:p>
    <w:tbl>
      <w:tblPr>
        <w:tblStyle w:val="37"/>
        <w:tblW w:w="84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7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72" w:type="dxa"/>
            <w:gridSpan w:val="2"/>
            <w:tcBorders>
              <w:top w:val="single" w:color="auto" w:sz="12" w:space="0"/>
              <w:left w:val="single" w:color="auto" w:sz="12" w:space="0"/>
              <w:bottom w:val="single" w:color="auto" w:sz="4" w:space="0"/>
              <w:right w:val="single" w:color="auto" w:sz="12" w:space="0"/>
            </w:tcBorders>
            <w:noWrap w:val="0"/>
            <w:vAlign w:val="center"/>
          </w:tcPr>
          <w:p>
            <w:pPr>
              <w:adjustRightInd w:val="0"/>
              <w:spacing w:line="360" w:lineRule="auto"/>
              <w:ind w:left="108" w:firstLine="562"/>
              <w:jc w:val="center"/>
              <w:textAlignment w:val="baseline"/>
              <w:rPr>
                <w:rFonts w:hint="eastAsia" w:ascii="宋体" w:hAnsi="宋体" w:cs="宋体"/>
                <w:b/>
                <w:sz w:val="24"/>
              </w:rPr>
            </w:pPr>
            <w:r>
              <w:rPr>
                <w:rFonts w:hint="eastAsia" w:ascii="宋体" w:hAnsi="宋体" w:cs="宋体"/>
                <w:b/>
                <w:sz w:val="24"/>
                <w:lang w:bidi="ar"/>
              </w:rPr>
              <w:t>人脸GPU主分析服务参数要求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12" w:space="0"/>
              <w:bottom w:val="single" w:color="auto" w:sz="4" w:space="0"/>
              <w:right w:val="single" w:color="auto" w:sz="4" w:space="0"/>
            </w:tcBorders>
            <w:noWrap w:val="0"/>
            <w:vAlign w:val="center"/>
          </w:tcPr>
          <w:p>
            <w:pPr>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规格</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4U机架式服务器，含上架安装组件，提供独立的远程管理口（含完整功能授权）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12" w:space="0"/>
              <w:bottom w:val="single" w:color="auto" w:sz="4" w:space="0"/>
              <w:right w:val="single" w:color="auto" w:sz="4" w:space="0"/>
            </w:tcBorders>
            <w:noWrap w:val="0"/>
            <w:vAlign w:val="center"/>
          </w:tcPr>
          <w:p>
            <w:pPr>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CPU</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配置不少于两块英特尔® 至强® 金牌6130或更高级别的处理器；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12" w:space="0"/>
              <w:bottom w:val="single" w:color="auto" w:sz="4" w:space="0"/>
              <w:right w:val="single" w:color="auto" w:sz="4" w:space="0"/>
            </w:tcBorders>
            <w:noWrap w:val="0"/>
            <w:vAlign w:val="center"/>
          </w:tcPr>
          <w:p>
            <w:pPr>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GPU</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配置不少于8块NVIDIA-Tesla T4 计算卡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12" w:space="0"/>
              <w:bottom w:val="single" w:color="auto" w:sz="4" w:space="0"/>
              <w:right w:val="single" w:color="auto" w:sz="4" w:space="0"/>
            </w:tcBorders>
            <w:noWrap w:val="0"/>
            <w:vAlign w:val="center"/>
          </w:tcPr>
          <w:p>
            <w:pPr>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内存</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配置不少于512GB DDR4 RDIMM 内存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tcBorders>
              <w:top w:val="single" w:color="auto" w:sz="4" w:space="0"/>
              <w:left w:val="single" w:color="auto" w:sz="12" w:space="0"/>
              <w:bottom w:val="single" w:color="auto" w:sz="4" w:space="0"/>
              <w:right w:val="single" w:color="auto" w:sz="4" w:space="0"/>
            </w:tcBorders>
            <w:noWrap w:val="0"/>
            <w:vAlign w:val="center"/>
          </w:tcPr>
          <w:p>
            <w:pPr>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存储</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支持热插拔硬盘；硬盘数量≥16块热插拔硬盘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tcBorders>
              <w:top w:val="single" w:color="auto" w:sz="4" w:space="0"/>
              <w:left w:val="single" w:color="auto" w:sz="12"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配备不少于两个容量为480GB以上SSD硬盘，组建RAID-1，用于部署操作系统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tcBorders>
              <w:top w:val="single" w:color="auto" w:sz="4" w:space="0"/>
              <w:left w:val="single" w:color="auto" w:sz="12"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配置不少于14块1.92TB企业级SSD数据存储盘组建RAID-6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tcBorders>
              <w:top w:val="single" w:color="auto" w:sz="4" w:space="0"/>
              <w:left w:val="single" w:color="auto" w:sz="12"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高性能RAID卡，不少于4GB缓存，支持多通道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网卡</w:t>
            </w:r>
          </w:p>
        </w:tc>
        <w:tc>
          <w:tcPr>
            <w:tcW w:w="7343"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不少于2个10GE光纤接口（含光模块）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软件</w:t>
            </w:r>
          </w:p>
        </w:tc>
        <w:tc>
          <w:tcPr>
            <w:tcW w:w="7343"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提供软件适配版Linux操作系统；提供操作系统补丁升级上门服务；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电源</w:t>
            </w:r>
          </w:p>
        </w:tc>
        <w:tc>
          <w:tcPr>
            <w:tcW w:w="7343" w:type="dxa"/>
            <w:tcBorders>
              <w:top w:val="single" w:color="auto" w:sz="4" w:space="0"/>
              <w:left w:val="nil"/>
              <w:bottom w:val="single" w:color="auto" w:sz="4" w:space="0"/>
              <w:right w:val="single" w:color="auto" w:sz="4"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配置≥4个2000W以上冗余电源，配置≥6个冗余风扇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tcBorders>
              <w:top w:val="nil"/>
              <w:left w:val="single" w:color="auto" w:sz="4" w:space="0"/>
              <w:bottom w:val="single" w:color="auto" w:sz="4" w:space="0"/>
              <w:right w:val="single" w:color="auto" w:sz="4" w:space="0"/>
            </w:tcBorders>
            <w:noWrap w:val="0"/>
            <w:vAlign w:val="center"/>
          </w:tcPr>
          <w:p>
            <w:pPr>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可管理性</w:t>
            </w:r>
          </w:p>
        </w:tc>
        <w:tc>
          <w:tcPr>
            <w:tcW w:w="7343" w:type="dxa"/>
            <w:tcBorders>
              <w:top w:val="single" w:color="auto" w:sz="4" w:space="0"/>
              <w:left w:val="nil"/>
              <w:bottom w:val="single" w:color="auto" w:sz="4" w:space="0"/>
              <w:right w:val="single" w:color="auto" w:sz="4"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可管理和维护性:1. 集成系统管理处理器支持：自动服务器重启、风扇监视和控制、电源监控、温度监控、启动/关闭、按序重启、本地固件更新、错误日志，可通过可视化工具提供系统未来状况的可视显示； 2.具有图形管理界面及其他高级管理功能；3.配置独立的远程管理控制端口，支持远程监控图形界面, 可实现与操作系统无关的远程对服务器的完全控制，包括远程的开机、关机、重启、虚拟软驱、虚拟光驱等操作。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343" w:type="dxa"/>
            <w:tcBorders>
              <w:top w:val="single" w:color="auto" w:sz="4" w:space="0"/>
              <w:left w:val="nil"/>
              <w:bottom w:val="single" w:color="auto" w:sz="4" w:space="0"/>
              <w:right w:val="single" w:color="auto" w:sz="4"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投标产品单板管理软件的Firmware支持双镜像，主引导区升级失效，可以从从引导区启动。投标产品支持Redfish标准提供RESTful接口。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tcBorders>
              <w:top w:val="nil"/>
              <w:left w:val="single" w:color="auto" w:sz="4"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343" w:type="dxa"/>
            <w:tcBorders>
              <w:top w:val="single" w:color="auto" w:sz="4" w:space="0"/>
              <w:left w:val="nil"/>
              <w:bottom w:val="single" w:color="auto" w:sz="4" w:space="0"/>
              <w:right w:val="single" w:color="auto" w:sz="4" w:space="0"/>
            </w:tcBorders>
            <w:noWrap w:val="0"/>
            <w:vAlign w:val="center"/>
          </w:tcPr>
          <w:p>
            <w:pPr>
              <w:adjustRightInd w:val="0"/>
              <w:spacing w:line="360" w:lineRule="auto"/>
              <w:ind w:firstLine="266" w:firstLineChars="111"/>
              <w:textAlignment w:val="baseline"/>
              <w:rPr>
                <w:rFonts w:hint="eastAsia" w:ascii="宋体" w:hAnsi="宋体" w:cs="宋体"/>
                <w:sz w:val="24"/>
              </w:rPr>
            </w:pPr>
            <w:r>
              <w:rPr>
                <w:rFonts w:hint="eastAsia" w:ascii="宋体" w:hAnsi="宋体" w:cs="宋体"/>
                <w:kern w:val="0"/>
                <w:sz w:val="24"/>
                <w:lang w:bidi="ar"/>
              </w:rPr>
              <w:t>投标产品具备带外硬件故障错误数据收集，由带外管理模块进行故障分析，告警，日志导出；故障数据库支持自动定位故障；支持黑匣子功能；支持最后一屏功能。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BIOS</w:t>
            </w:r>
          </w:p>
        </w:tc>
        <w:tc>
          <w:tcPr>
            <w:tcW w:w="7343" w:type="dxa"/>
            <w:tcBorders>
              <w:top w:val="single" w:color="auto" w:sz="4" w:space="0"/>
              <w:left w:val="nil"/>
              <w:bottom w:val="single" w:color="auto" w:sz="4" w:space="0"/>
              <w:right w:val="single" w:color="auto" w:sz="4"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支持中文BIOS界面；投标产品支持图形化界面，支持鼠标操作。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安全特性</w:t>
            </w:r>
          </w:p>
        </w:tc>
        <w:tc>
          <w:tcPr>
            <w:tcW w:w="7343" w:type="dxa"/>
            <w:tcBorders>
              <w:top w:val="single" w:color="auto" w:sz="4" w:space="0"/>
              <w:left w:val="nil"/>
              <w:bottom w:val="single" w:color="auto" w:sz="4" w:space="0"/>
              <w:right w:val="single" w:color="auto" w:sz="4"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服务器管理系统支持国产管理芯片；</w:t>
            </w:r>
          </w:p>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提供芯片厂家发布的产品简介，芯片厂家为国产厂家。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pPr>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维保服务</w:t>
            </w:r>
          </w:p>
        </w:tc>
        <w:tc>
          <w:tcPr>
            <w:tcW w:w="7343" w:type="dxa"/>
            <w:tcBorders>
              <w:top w:val="single" w:color="auto" w:sz="4" w:space="0"/>
              <w:left w:val="nil"/>
              <w:bottom w:val="single" w:color="auto" w:sz="4" w:space="0"/>
              <w:right w:val="single" w:color="auto" w:sz="4"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提供硬件5年维保，第二自然日上门服务（含硬件）；含5年硬盘不返还服务。</w:t>
            </w:r>
          </w:p>
        </w:tc>
      </w:tr>
    </w:tbl>
    <w:p>
      <w:pPr>
        <w:pStyle w:val="32"/>
        <w:widowControl w:val="0"/>
        <w:spacing w:before="0" w:beforeAutospacing="0" w:after="0" w:afterAutospacing="0" w:line="360" w:lineRule="auto"/>
        <w:ind w:firstLine="480"/>
        <w:jc w:val="both"/>
        <w:rPr>
          <w:rFonts w:hint="eastAsia" w:cs="宋体"/>
          <w:color w:val="auto"/>
        </w:rPr>
      </w:pPr>
      <w:r>
        <w:rPr>
          <w:rFonts w:hint="eastAsia" w:cs="宋体"/>
          <w:color w:val="auto"/>
          <w:lang w:bidi="ar"/>
        </w:rPr>
        <w:t xml:space="preserve"> </w:t>
      </w:r>
    </w:p>
    <w:p>
      <w:pPr>
        <w:pStyle w:val="32"/>
        <w:widowControl w:val="0"/>
        <w:spacing w:before="0" w:beforeAutospacing="0" w:after="0" w:afterAutospacing="0" w:line="360" w:lineRule="auto"/>
        <w:ind w:firstLine="482"/>
        <w:jc w:val="both"/>
        <w:rPr>
          <w:rFonts w:hint="eastAsia" w:cs="宋体"/>
          <w:color w:val="auto"/>
        </w:rPr>
      </w:pPr>
      <w:r>
        <w:rPr>
          <w:rFonts w:hint="eastAsia" w:cs="宋体"/>
          <w:color w:val="auto"/>
          <w:lang w:bidi="ar"/>
        </w:rPr>
        <w:t>附件3：</w:t>
      </w:r>
    </w:p>
    <w:tbl>
      <w:tblPr>
        <w:tblStyle w:val="37"/>
        <w:tblW w:w="84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7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472" w:type="dxa"/>
            <w:gridSpan w:val="2"/>
            <w:tcBorders>
              <w:top w:val="single" w:color="auto" w:sz="12" w:space="0"/>
              <w:left w:val="single" w:color="auto" w:sz="12" w:space="0"/>
              <w:bottom w:val="single" w:color="auto" w:sz="4" w:space="0"/>
              <w:right w:val="single" w:color="auto" w:sz="12" w:space="0"/>
            </w:tcBorders>
            <w:noWrap w:val="0"/>
            <w:vAlign w:val="center"/>
          </w:tcPr>
          <w:p>
            <w:pPr>
              <w:adjustRightInd w:val="0"/>
              <w:spacing w:line="360" w:lineRule="auto"/>
              <w:ind w:left="108" w:firstLine="562"/>
              <w:jc w:val="center"/>
              <w:textAlignment w:val="baseline"/>
              <w:rPr>
                <w:rFonts w:hint="eastAsia" w:ascii="宋体" w:hAnsi="宋体" w:cs="宋体"/>
                <w:b/>
                <w:sz w:val="24"/>
              </w:rPr>
            </w:pPr>
            <w:r>
              <w:rPr>
                <w:rFonts w:hint="eastAsia" w:ascii="宋体" w:hAnsi="宋体" w:cs="宋体"/>
                <w:b/>
                <w:sz w:val="24"/>
                <w:lang w:bidi="ar"/>
              </w:rPr>
              <w:t>人脸GPU从分析服务参数要求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12"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规格</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4U机架式服务器，含上架安装组件，提供独立的远程管理口（含完整功能授权）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12"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CPU</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配置不少于两块英特尔® 至强® 金牌6130或更高级别的处理器；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12"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GPU</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配置不少于8块NVIDIA-Tesla T4 计算卡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12"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内存</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配置不少于256GB DDR4 RDIMM 内存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tcBorders>
              <w:top w:val="single" w:color="auto" w:sz="4" w:space="0"/>
              <w:left w:val="single" w:color="auto" w:sz="12"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存储</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支持热插拔硬盘；硬盘数量≥16块热插拔硬盘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tcBorders>
              <w:top w:val="single" w:color="auto" w:sz="4" w:space="0"/>
              <w:left w:val="single" w:color="auto" w:sz="12"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配备不少于两个容量为480GB以上SSD硬盘，组建RAID-1，用于部署操作系统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tcBorders>
              <w:top w:val="single" w:color="auto" w:sz="4" w:space="0"/>
              <w:left w:val="single" w:color="auto" w:sz="12"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配置不少于14块2TB企业级HDD数据存储盘组建RAID-6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tcBorders>
              <w:top w:val="single" w:color="auto" w:sz="4" w:space="0"/>
              <w:left w:val="single" w:color="auto" w:sz="12"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高性能RAID卡，不少于4GB缓存，支持多通道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12"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网卡</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不少于2个10GE光纤接口（含光模块）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12"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软件</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提供软件适配版Linux操作系统；提供操作系统补丁升级上门服务；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12"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电源</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widowControl/>
              <w:adjustRightInd w:val="0"/>
              <w:spacing w:line="360" w:lineRule="auto"/>
              <w:textAlignment w:val="baseline"/>
              <w:rPr>
                <w:rFonts w:hint="eastAsia" w:ascii="宋体" w:hAnsi="宋体" w:cs="宋体"/>
                <w:sz w:val="24"/>
              </w:rPr>
            </w:pPr>
            <w:r>
              <w:rPr>
                <w:rFonts w:hint="eastAsia" w:ascii="宋体" w:hAnsi="宋体" w:cs="宋体"/>
                <w:kern w:val="0"/>
                <w:sz w:val="24"/>
                <w:lang w:bidi="ar"/>
              </w:rPr>
              <w:t>配置≥4个2000W以上冗余电源，配置≥6个冗余风扇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tcBorders>
              <w:top w:val="single" w:color="auto" w:sz="4" w:space="0"/>
              <w:left w:val="single" w:color="auto" w:sz="12"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可管理性</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可管理和维护性:1. 集成系统管理处理器支持：自动服务器重启、风扇监视和控制、电源监控、温度监控、启动/关闭、按序重启、本地固件更新、错误日志，可通过可视化工具提供系统未来状况的可视显示； 2.具有图形管理界面及其他高级管理功能；3.配置独立的远程管理控制端口，支持远程监控图形界面, 可实现与操作系统无关的远程对服务器的完全控制，包括远程的开机、关机、重启、虚拟软驱、虚拟光驱等操作。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tcBorders>
              <w:top w:val="single" w:color="auto" w:sz="4" w:space="0"/>
              <w:left w:val="single" w:color="auto" w:sz="12"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343" w:type="dxa"/>
            <w:tcBorders>
              <w:top w:val="single" w:color="auto" w:sz="4" w:space="0"/>
              <w:left w:val="single" w:color="auto" w:sz="4" w:space="0"/>
              <w:bottom w:val="single" w:color="auto" w:sz="4" w:space="0"/>
              <w:right w:val="single" w:color="auto" w:sz="12"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投标产品单板管理软件的Firmware支持双镜像，主引导区升级失效，可以从从引导区启动。投标产品支持Redfish标准提供RESTful接口。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tcBorders>
              <w:top w:val="single" w:color="auto" w:sz="4" w:space="0"/>
              <w:left w:val="single" w:color="auto" w:sz="12" w:space="0"/>
              <w:bottom w:val="single" w:color="auto" w:sz="4" w:space="0"/>
              <w:right w:val="single" w:color="auto" w:sz="4" w:space="0"/>
            </w:tcBorders>
            <w:noWrap w:val="0"/>
            <w:vAlign w:val="center"/>
          </w:tcPr>
          <w:p>
            <w:pPr>
              <w:rPr>
                <w:rFonts w:ascii="Times New Roman" w:hAnsi="Times New Roman" w:cs="Times New Roman"/>
                <w:sz w:val="20"/>
                <w:szCs w:val="20"/>
              </w:rPr>
            </w:pPr>
          </w:p>
        </w:tc>
        <w:tc>
          <w:tcPr>
            <w:tcW w:w="7343" w:type="dxa"/>
            <w:tcBorders>
              <w:top w:val="single" w:color="auto" w:sz="4" w:space="0"/>
              <w:left w:val="single" w:color="auto" w:sz="4" w:space="0"/>
              <w:bottom w:val="single" w:color="auto" w:sz="4" w:space="0"/>
              <w:right w:val="single" w:color="auto" w:sz="12" w:space="0"/>
            </w:tcBorders>
            <w:noWrap w:val="0"/>
            <w:vAlign w:val="center"/>
          </w:tcPr>
          <w:p>
            <w:pPr>
              <w:adjustRightInd w:val="0"/>
              <w:spacing w:line="360" w:lineRule="auto"/>
              <w:ind w:firstLine="266" w:firstLineChars="111"/>
              <w:textAlignment w:val="baseline"/>
              <w:rPr>
                <w:rFonts w:hint="eastAsia" w:ascii="宋体" w:hAnsi="宋体" w:cs="宋体"/>
                <w:sz w:val="24"/>
              </w:rPr>
            </w:pPr>
            <w:r>
              <w:rPr>
                <w:rFonts w:hint="eastAsia" w:ascii="宋体" w:hAnsi="宋体" w:cs="宋体"/>
                <w:kern w:val="0"/>
                <w:sz w:val="24"/>
                <w:lang w:bidi="ar"/>
              </w:rPr>
              <w:t>投标产品具备带外硬件故障错误数据收集，由带外管理模块进行故障分析，告警，日志导出；故障数据库支持自动定位故障；支持黑匣子功能；支持最后一屏功能。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12"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BIOS</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支持中文BIOS界面；投标产品支持图形化界面，支持鼠标操作。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12" w:space="0"/>
              <w:bottom w:val="single" w:color="auto" w:sz="4"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安全特性</w:t>
            </w:r>
          </w:p>
        </w:tc>
        <w:tc>
          <w:tcPr>
            <w:tcW w:w="7343" w:type="dxa"/>
            <w:tcBorders>
              <w:top w:val="single" w:color="auto" w:sz="4" w:space="0"/>
              <w:left w:val="single" w:color="auto" w:sz="4" w:space="0"/>
              <w:bottom w:val="single" w:color="auto" w:sz="4" w:space="0"/>
              <w:right w:val="single" w:color="auto" w:sz="12"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服务器管理系统支持国产管理芯片；</w:t>
            </w:r>
          </w:p>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提供芯片厂家发布的产品简介，芯片厂家为国产厂家。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Borders>
              <w:top w:val="single" w:color="auto" w:sz="4" w:space="0"/>
              <w:left w:val="single" w:color="auto" w:sz="12" w:space="0"/>
              <w:bottom w:val="single" w:color="auto" w:sz="12" w:space="0"/>
              <w:right w:val="single" w:color="auto" w:sz="4" w:space="0"/>
            </w:tcBorders>
            <w:noWrap w:val="0"/>
            <w:vAlign w:val="center"/>
          </w:tcPr>
          <w:p>
            <w:pPr>
              <w:widowControl/>
              <w:adjustRightInd w:val="0"/>
              <w:spacing w:line="360" w:lineRule="auto"/>
              <w:jc w:val="center"/>
              <w:textAlignment w:val="baseline"/>
              <w:rPr>
                <w:rFonts w:hint="eastAsia" w:ascii="宋体" w:hAnsi="宋体" w:cs="宋体"/>
                <w:sz w:val="24"/>
              </w:rPr>
            </w:pPr>
            <w:r>
              <w:rPr>
                <w:rFonts w:hint="eastAsia" w:ascii="宋体" w:hAnsi="宋体" w:cs="宋体"/>
                <w:kern w:val="0"/>
                <w:sz w:val="24"/>
                <w:lang w:bidi="ar"/>
              </w:rPr>
              <w:t>维保服务</w:t>
            </w:r>
          </w:p>
        </w:tc>
        <w:tc>
          <w:tcPr>
            <w:tcW w:w="7343" w:type="dxa"/>
            <w:tcBorders>
              <w:top w:val="single" w:color="auto" w:sz="4" w:space="0"/>
              <w:left w:val="single" w:color="auto" w:sz="4" w:space="0"/>
              <w:bottom w:val="single" w:color="auto" w:sz="12" w:space="0"/>
              <w:right w:val="single" w:color="auto" w:sz="12" w:space="0"/>
            </w:tcBorders>
            <w:noWrap w:val="0"/>
            <w:vAlign w:val="center"/>
          </w:tcPr>
          <w:p>
            <w:pPr>
              <w:adjustRightInd w:val="0"/>
              <w:spacing w:line="360" w:lineRule="auto"/>
              <w:textAlignment w:val="baseline"/>
              <w:rPr>
                <w:rFonts w:hint="eastAsia" w:ascii="宋体" w:hAnsi="宋体" w:cs="宋体"/>
                <w:sz w:val="24"/>
              </w:rPr>
            </w:pPr>
            <w:r>
              <w:rPr>
                <w:rFonts w:hint="eastAsia" w:ascii="宋体" w:hAnsi="宋体" w:cs="宋体"/>
                <w:kern w:val="0"/>
                <w:sz w:val="24"/>
                <w:lang w:bidi="ar"/>
              </w:rPr>
              <w:t>提供硬件5年维保，第二自然日上门服务（含硬件）；含5年硬盘不返还服务。</w:t>
            </w:r>
          </w:p>
        </w:tc>
      </w:tr>
    </w:tbl>
    <w:p>
      <w:pPr>
        <w:spacing w:line="360" w:lineRule="auto"/>
        <w:rPr>
          <w:rFonts w:hint="eastAsia" w:ascii="宋体" w:hAnsi="宋体" w:cs="宋体"/>
          <w:b/>
          <w:sz w:val="24"/>
        </w:rPr>
      </w:pPr>
    </w:p>
    <w:p>
      <w:pPr>
        <w:spacing w:line="360" w:lineRule="auto"/>
        <w:rPr>
          <w:rFonts w:hint="eastAsia" w:ascii="宋体" w:hAnsi="宋体" w:cs="宋体"/>
          <w:b/>
          <w:sz w:val="24"/>
        </w:rPr>
      </w:pPr>
    </w:p>
    <w:p>
      <w:pPr>
        <w:spacing w:line="360" w:lineRule="auto"/>
        <w:rPr>
          <w:rFonts w:hint="eastAsia" w:ascii="宋体" w:hAnsi="宋体" w:cs="宋体"/>
          <w:b/>
          <w:sz w:val="24"/>
        </w:rPr>
      </w:pPr>
    </w:p>
    <w:p>
      <w:pPr>
        <w:spacing w:line="360" w:lineRule="auto"/>
        <w:rPr>
          <w:rFonts w:hint="eastAsia" w:ascii="宋体" w:hAnsi="宋体" w:cs="宋体"/>
          <w:b/>
          <w:sz w:val="24"/>
        </w:rPr>
      </w:pPr>
    </w:p>
    <w:p>
      <w:pPr>
        <w:spacing w:line="360" w:lineRule="auto"/>
        <w:rPr>
          <w:rFonts w:hint="eastAsia" w:ascii="宋体" w:hAnsi="宋体" w:cs="宋体"/>
          <w:b/>
          <w:sz w:val="24"/>
        </w:rPr>
      </w:pPr>
    </w:p>
    <w:p>
      <w:pPr>
        <w:spacing w:line="360" w:lineRule="auto"/>
        <w:rPr>
          <w:rFonts w:hint="eastAsia" w:ascii="宋体" w:hAnsi="宋体" w:cs="宋体"/>
          <w:b/>
          <w:sz w:val="24"/>
        </w:rPr>
      </w:pPr>
    </w:p>
    <w:p>
      <w:pPr>
        <w:spacing w:line="360" w:lineRule="auto"/>
        <w:rPr>
          <w:rFonts w:hint="eastAsia" w:ascii="宋体" w:hAnsi="宋体" w:cs="宋体"/>
          <w:b/>
          <w:sz w:val="24"/>
        </w:rPr>
      </w:pPr>
    </w:p>
    <w:p>
      <w:pPr>
        <w:spacing w:line="360" w:lineRule="auto"/>
        <w:rPr>
          <w:rFonts w:hint="eastAsia" w:ascii="宋体" w:hAnsi="宋体" w:cs="宋体"/>
          <w:b/>
          <w:sz w:val="24"/>
        </w:rPr>
      </w:pPr>
    </w:p>
    <w:p>
      <w:pPr>
        <w:spacing w:line="360" w:lineRule="auto"/>
        <w:rPr>
          <w:rFonts w:hint="eastAsia" w:ascii="宋体" w:hAnsi="宋体" w:cs="宋体"/>
          <w:b/>
          <w:sz w:val="24"/>
        </w:rPr>
      </w:pPr>
    </w:p>
    <w:p>
      <w:pPr>
        <w:spacing w:line="360" w:lineRule="auto"/>
        <w:rPr>
          <w:rFonts w:hint="eastAsia" w:ascii="宋体" w:hAnsi="宋体" w:cs="宋体"/>
          <w:b/>
          <w:sz w:val="24"/>
        </w:rPr>
      </w:pPr>
    </w:p>
    <w:p>
      <w:pPr>
        <w:spacing w:line="360" w:lineRule="auto"/>
        <w:rPr>
          <w:rFonts w:hint="eastAsia" w:ascii="宋体" w:hAnsi="宋体" w:cs="宋体"/>
          <w:b/>
          <w:sz w:val="24"/>
        </w:rPr>
      </w:pPr>
    </w:p>
    <w:p>
      <w:pPr>
        <w:spacing w:line="360" w:lineRule="auto"/>
        <w:rPr>
          <w:rFonts w:hint="eastAsia" w:ascii="宋体" w:hAnsi="宋体" w:cs="宋体"/>
          <w:b/>
          <w:sz w:val="24"/>
        </w:rPr>
      </w:pPr>
    </w:p>
    <w:p>
      <w:pPr>
        <w:spacing w:line="360" w:lineRule="auto"/>
        <w:rPr>
          <w:rFonts w:hint="eastAsia" w:ascii="宋体" w:hAnsi="宋体" w:cs="宋体"/>
          <w:b/>
          <w:sz w:val="24"/>
        </w:rPr>
      </w:pPr>
      <w:r>
        <w:rPr>
          <w:rFonts w:hint="eastAsia" w:ascii="宋体" w:hAnsi="宋体" w:cs="宋体"/>
          <w:b/>
          <w:sz w:val="24"/>
        </w:rPr>
        <w:t>商务需求</w:t>
      </w:r>
    </w:p>
    <w:p>
      <w:pPr>
        <w:pStyle w:val="2"/>
        <w:spacing w:line="360" w:lineRule="auto"/>
        <w:ind w:firstLine="482"/>
        <w:rPr>
          <w:rFonts w:hint="eastAsia" w:ascii="宋体" w:hAnsi="宋体" w:cs="宋体"/>
          <w:b/>
          <w:bCs/>
        </w:rPr>
      </w:pPr>
      <w:r>
        <w:rPr>
          <w:rFonts w:hint="eastAsia" w:ascii="宋体" w:hAnsi="宋体" w:cs="宋体"/>
          <w:b/>
          <w:bCs/>
        </w:rPr>
        <w:t>标段一：</w:t>
      </w:r>
    </w:p>
    <w:p>
      <w:pPr>
        <w:pStyle w:val="2"/>
        <w:spacing w:line="360" w:lineRule="auto"/>
        <w:rPr>
          <w:rFonts w:hint="eastAsia" w:ascii="宋体" w:hAnsi="宋体" w:cs="宋体"/>
          <w:kern w:val="0"/>
          <w:szCs w:val="24"/>
        </w:rPr>
      </w:pPr>
      <w:r>
        <w:rPr>
          <w:rFonts w:hint="eastAsia" w:ascii="宋体" w:hAnsi="宋体" w:cs="宋体"/>
          <w:kern w:val="0"/>
          <w:szCs w:val="24"/>
        </w:rPr>
        <w:t>1、</w:t>
      </w:r>
      <w:r>
        <w:rPr>
          <w:rFonts w:hint="eastAsia" w:ascii="宋体" w:hAnsi="宋体" w:cs="宋体"/>
        </w:rPr>
        <w:t>服务准入验收时间：中标通知书签发之日后90天；</w:t>
      </w:r>
    </w:p>
    <w:p>
      <w:pPr>
        <w:pStyle w:val="2"/>
        <w:spacing w:line="360" w:lineRule="auto"/>
        <w:rPr>
          <w:rFonts w:hint="eastAsia" w:ascii="宋体" w:hAnsi="宋体" w:cs="宋体"/>
          <w:szCs w:val="24"/>
        </w:rPr>
      </w:pPr>
      <w:r>
        <w:rPr>
          <w:rFonts w:hint="eastAsia" w:ascii="宋体" w:hAnsi="宋体" w:cs="宋体"/>
          <w:kern w:val="0"/>
          <w:szCs w:val="24"/>
        </w:rPr>
        <w:t>2、</w:t>
      </w:r>
      <w:r>
        <w:rPr>
          <w:rFonts w:hint="eastAsia" w:ascii="宋体" w:hAnsi="宋体" w:cs="宋体"/>
          <w:szCs w:val="24"/>
          <w:lang w:bidi="ar"/>
        </w:rPr>
        <w:t>服务运营期限：</w:t>
      </w:r>
      <w:r>
        <w:rPr>
          <w:rFonts w:hint="eastAsia" w:ascii="宋体" w:hAnsi="宋体" w:cs="宋体"/>
        </w:rPr>
        <w:t>自系统终验合格且整体交付使用之日起60个月；</w:t>
      </w:r>
    </w:p>
    <w:p>
      <w:pPr>
        <w:pStyle w:val="2"/>
        <w:spacing w:line="360" w:lineRule="auto"/>
        <w:rPr>
          <w:rFonts w:hint="eastAsia" w:ascii="宋体" w:hAnsi="宋体" w:cs="宋体"/>
        </w:rPr>
      </w:pPr>
      <w:r>
        <w:rPr>
          <w:rFonts w:hint="eastAsia" w:ascii="宋体" w:hAnsi="宋体" w:cs="宋体"/>
          <w:szCs w:val="24"/>
        </w:rPr>
        <w:t>3.付款条件：合同签订后10天内付合同价的20%，系统终验合格后10天内付合同价的20%，</w:t>
      </w:r>
      <w:r>
        <w:rPr>
          <w:rFonts w:hint="eastAsia" w:ascii="宋体" w:hAnsi="宋体" w:cs="宋体"/>
          <w:szCs w:val="24"/>
          <w:lang w:bidi="ar"/>
        </w:rPr>
        <w:t>服务运营期内每年度按照合同价的20%支付，合同价付完为止，服务运营期内的费用支付需结合当年度服务情况进行支付。</w:t>
      </w:r>
    </w:p>
    <w:p>
      <w:pPr>
        <w:adjustRightInd w:val="0"/>
        <w:spacing w:line="360" w:lineRule="auto"/>
        <w:ind w:firstLine="482" w:firstLineChars="200"/>
        <w:textAlignment w:val="baseline"/>
        <w:rPr>
          <w:rFonts w:hint="eastAsia" w:ascii="宋体" w:hAnsi="宋体" w:cs="宋体"/>
          <w:b/>
          <w:bCs/>
          <w:sz w:val="24"/>
        </w:rPr>
      </w:pPr>
      <w:r>
        <w:rPr>
          <w:rFonts w:hint="eastAsia" w:ascii="宋体" w:hAnsi="宋体" w:cs="宋体"/>
          <w:b/>
          <w:bCs/>
          <w:sz w:val="24"/>
        </w:rPr>
        <w:t>标段二：</w:t>
      </w:r>
    </w:p>
    <w:p>
      <w:pPr>
        <w:pStyle w:val="2"/>
        <w:spacing w:line="360" w:lineRule="auto"/>
        <w:rPr>
          <w:rFonts w:hint="eastAsia" w:ascii="宋体" w:hAnsi="宋体" w:cs="宋体"/>
          <w:szCs w:val="24"/>
        </w:rPr>
      </w:pPr>
      <w:r>
        <w:rPr>
          <w:rFonts w:hint="eastAsia" w:ascii="宋体" w:hAnsi="宋体" w:cs="宋体"/>
          <w:kern w:val="0"/>
          <w:szCs w:val="24"/>
        </w:rPr>
        <w:t>1、交货期：</w:t>
      </w:r>
      <w:r>
        <w:rPr>
          <w:rFonts w:hint="eastAsia" w:ascii="宋体" w:hAnsi="宋体" w:cs="宋体"/>
        </w:rPr>
        <w:t>中标通知书签发之日起20天内；</w:t>
      </w:r>
    </w:p>
    <w:p>
      <w:pPr>
        <w:pStyle w:val="2"/>
        <w:spacing w:line="360" w:lineRule="auto"/>
        <w:rPr>
          <w:rFonts w:hint="eastAsia" w:ascii="宋体" w:hAnsi="宋体" w:cs="宋体"/>
          <w:kern w:val="0"/>
          <w:szCs w:val="24"/>
        </w:rPr>
      </w:pPr>
      <w:r>
        <w:rPr>
          <w:rFonts w:hint="eastAsia" w:ascii="宋体" w:hAnsi="宋体" w:cs="宋体"/>
          <w:szCs w:val="24"/>
        </w:rPr>
        <w:t>2、建设期：</w:t>
      </w:r>
      <w:r>
        <w:rPr>
          <w:rFonts w:hint="eastAsia" w:ascii="宋体" w:hAnsi="宋体" w:cs="宋体"/>
        </w:rPr>
        <w:t>中标通知书签发之日起30天内；</w:t>
      </w:r>
    </w:p>
    <w:p>
      <w:pPr>
        <w:pStyle w:val="2"/>
        <w:spacing w:line="360" w:lineRule="auto"/>
        <w:rPr>
          <w:rFonts w:hint="eastAsia" w:ascii="宋体" w:hAnsi="宋体" w:cs="宋体"/>
          <w:szCs w:val="24"/>
        </w:rPr>
      </w:pPr>
      <w:r>
        <w:rPr>
          <w:rFonts w:hint="eastAsia" w:ascii="宋体" w:hAnsi="宋体" w:cs="宋体"/>
          <w:kern w:val="0"/>
          <w:szCs w:val="24"/>
        </w:rPr>
        <w:t>3、</w:t>
      </w:r>
      <w:r>
        <w:rPr>
          <w:rFonts w:hint="eastAsia" w:ascii="宋体" w:hAnsi="宋体" w:cs="宋体"/>
        </w:rPr>
        <w:t>服务运营期限</w:t>
      </w:r>
      <w:r>
        <w:rPr>
          <w:rFonts w:hint="eastAsia" w:ascii="宋体" w:hAnsi="宋体" w:cs="宋体"/>
          <w:szCs w:val="24"/>
          <w:lang w:bidi="ar"/>
        </w:rPr>
        <w:t>：</w:t>
      </w:r>
      <w:r>
        <w:rPr>
          <w:rFonts w:hint="eastAsia" w:ascii="宋体" w:hAnsi="宋体" w:cs="宋体"/>
        </w:rPr>
        <w:t>自系统终验合格且整体交付使用之日起60个月；</w:t>
      </w:r>
    </w:p>
    <w:p>
      <w:pPr>
        <w:pStyle w:val="2"/>
        <w:spacing w:line="360" w:lineRule="auto"/>
        <w:rPr>
          <w:rFonts w:hint="eastAsia" w:ascii="宋体" w:hAnsi="宋体" w:cs="宋体"/>
          <w:szCs w:val="24"/>
          <w:lang w:bidi="ar"/>
        </w:rPr>
      </w:pPr>
      <w:r>
        <w:rPr>
          <w:rFonts w:hint="eastAsia" w:ascii="宋体" w:hAnsi="宋体" w:cs="宋体"/>
          <w:szCs w:val="24"/>
        </w:rPr>
        <w:t>4.付款条件：合同签订后10天内付合同价的20%，终验合格后10天内付合同价的20%，设备</w:t>
      </w:r>
      <w:r>
        <w:rPr>
          <w:rFonts w:hint="eastAsia" w:ascii="宋体" w:hAnsi="宋体" w:cs="宋体"/>
          <w:szCs w:val="24"/>
          <w:lang w:bidi="ar"/>
        </w:rPr>
        <w:t>运维服务期内每年度按照合同价的20%支付，合同价付完为止，</w:t>
      </w:r>
      <w:r>
        <w:rPr>
          <w:rFonts w:hint="eastAsia" w:ascii="宋体" w:hAnsi="宋体" w:cs="宋体"/>
          <w:szCs w:val="24"/>
        </w:rPr>
        <w:t>设备</w:t>
      </w:r>
      <w:r>
        <w:rPr>
          <w:rFonts w:hint="eastAsia" w:ascii="宋体" w:hAnsi="宋体" w:cs="宋体"/>
          <w:szCs w:val="24"/>
          <w:lang w:bidi="ar"/>
        </w:rPr>
        <w:t>运维服务期内的费用支付需结合当年度运维服务情况进行支付。</w:t>
      </w:r>
    </w:p>
    <w:p>
      <w:pPr>
        <w:adjustRightInd w:val="0"/>
        <w:spacing w:line="360" w:lineRule="auto"/>
        <w:ind w:firstLine="480" w:firstLineChars="200"/>
        <w:textAlignment w:val="baseline"/>
        <w:rPr>
          <w:rFonts w:hint="eastAsia" w:ascii="宋体" w:hAnsi="宋体" w:cs="宋体"/>
          <w:sz w:val="24"/>
        </w:rPr>
      </w:pPr>
      <w:r>
        <w:rPr>
          <w:rFonts w:hint="eastAsia" w:ascii="宋体" w:hAnsi="宋体" w:cs="宋体"/>
          <w:kern w:val="0"/>
          <w:sz w:val="24"/>
          <w:lang w:bidi="ar"/>
        </w:rPr>
        <w:t xml:space="preserve"> </w:t>
      </w:r>
    </w:p>
    <w:p>
      <w:pPr>
        <w:adjustRightInd w:val="0"/>
        <w:spacing w:line="360" w:lineRule="auto"/>
        <w:textAlignment w:val="baseline"/>
        <w:rPr>
          <w:rFonts w:hint="eastAsia" w:ascii="宋体" w:hAnsi="宋体" w:cs="宋体"/>
          <w:sz w:val="24"/>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ascii="宋体" w:hAnsi="宋体"/>
          <w:sz w:val="30"/>
          <w:szCs w:val="30"/>
        </w:rPr>
      </w:pPr>
      <w:r>
        <w:br w:type="page"/>
      </w:r>
      <w:bookmarkStart w:id="371" w:name="_Toc28376_WPSOffice_Level1"/>
      <w:bookmarkStart w:id="372" w:name="第三章"/>
      <w:r>
        <w:rPr>
          <w:rFonts w:ascii="宋体" w:hAnsi="宋体"/>
          <w:sz w:val="30"/>
          <w:szCs w:val="30"/>
        </w:rPr>
        <w:t>第三章  投标人须知</w:t>
      </w:r>
      <w:bookmarkEnd w:id="371"/>
    </w:p>
    <w:bookmarkEnd w:id="372"/>
    <w:p>
      <w:pPr>
        <w:snapToGrid w:val="0"/>
        <w:spacing w:before="120" w:beforeLines="50" w:after="120" w:afterLines="50"/>
        <w:ind w:left="238"/>
        <w:jc w:val="center"/>
        <w:outlineLvl w:val="1"/>
        <w:rPr>
          <w:rFonts w:ascii="宋体" w:hAnsi="宋体"/>
          <w:b/>
          <w:szCs w:val="28"/>
        </w:rPr>
      </w:pPr>
      <w:r>
        <w:rPr>
          <w:rFonts w:hint="eastAsia" w:ascii="宋体" w:hAnsi="宋体"/>
          <w:b/>
          <w:szCs w:val="28"/>
        </w:rPr>
        <w:t>前 附 表</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9"/>
        <w:gridCol w:w="83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sz w:val="24"/>
              </w:rPr>
            </w:pPr>
            <w:r>
              <w:rPr>
                <w:rFonts w:hint="eastAsia" w:ascii="宋体" w:hAnsi="宋体" w:cs="宋体"/>
                <w:sz w:val="24"/>
              </w:rPr>
              <w:t>序号</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sz w:val="24"/>
              </w:rPr>
            </w:pPr>
            <w:r>
              <w:rPr>
                <w:rFonts w:hint="eastAsia" w:ascii="宋体" w:hAnsi="宋体" w:cs="宋体"/>
                <w:sz w:val="24"/>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sz w:val="24"/>
              </w:rPr>
            </w:pPr>
            <w:r>
              <w:rPr>
                <w:rFonts w:hint="eastAsia" w:ascii="宋体" w:hAnsi="宋体" w:cs="宋体"/>
                <w:sz w:val="24"/>
              </w:rPr>
              <w:t>1</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ind w:left="1200" w:hanging="1200" w:hangingChars="500"/>
              <w:rPr>
                <w:rFonts w:hint="eastAsia" w:ascii="宋体" w:hAnsi="宋体" w:cs="宋体"/>
                <w:sz w:val="24"/>
              </w:rPr>
            </w:pPr>
            <w:r>
              <w:rPr>
                <w:rFonts w:hint="eastAsia" w:ascii="宋体" w:hAnsi="宋体" w:cs="宋体"/>
                <w:sz w:val="24"/>
              </w:rPr>
              <w:t>项目名称：台州市公安局集聚区分局雪亮工程（三期）前端点位建设项目、台州市公安局集聚区分局雪亮工程（三期）后端保障服务项目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sz w:val="24"/>
              </w:rPr>
            </w:pPr>
            <w:r>
              <w:rPr>
                <w:rFonts w:hint="eastAsia" w:ascii="宋体" w:hAnsi="宋体" w:cs="宋体"/>
                <w:sz w:val="24"/>
              </w:rPr>
              <w:t>2</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sz w:val="24"/>
              </w:rPr>
            </w:pPr>
            <w:r>
              <w:rPr>
                <w:rFonts w:hint="eastAsia" w:ascii="宋体" w:hAnsi="宋体" w:cs="宋体"/>
                <w:sz w:val="24"/>
              </w:rPr>
              <w:t>采购数量：详见第二章“服务内容要求”</w:t>
            </w:r>
          </w:p>
          <w:p>
            <w:pPr>
              <w:snapToGrid w:val="0"/>
              <w:rPr>
                <w:rFonts w:hint="eastAsia" w:ascii="宋体" w:hAnsi="宋体" w:cs="宋体"/>
                <w:sz w:val="24"/>
              </w:rPr>
            </w:pPr>
            <w:r>
              <w:rPr>
                <w:rFonts w:hint="eastAsia" w:ascii="宋体" w:hAnsi="宋体" w:cs="宋体"/>
                <w:sz w:val="24"/>
              </w:rPr>
              <w:t>采购单位：台州市公安局集聚区分局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sz w:val="24"/>
              </w:rPr>
            </w:pPr>
            <w:r>
              <w:rPr>
                <w:rFonts w:hint="eastAsia" w:ascii="宋体" w:hAnsi="宋体" w:cs="宋体"/>
                <w:sz w:val="24"/>
              </w:rPr>
              <w:t>3</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sz w:val="24"/>
              </w:rPr>
            </w:pPr>
            <w:r>
              <w:rPr>
                <w:rFonts w:hint="eastAsia" w:ascii="宋体" w:hAnsi="宋体" w:cs="宋体"/>
                <w:sz w:val="24"/>
              </w:rPr>
              <w:t>投标报价及费用：1、本项目投标应以人民币报价；2、不论投标结果如何，投标人均应自行承担所有与投标有关的全部费用；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sz w:val="24"/>
              </w:rPr>
            </w:pPr>
            <w:r>
              <w:rPr>
                <w:rFonts w:hint="eastAsia" w:ascii="宋体" w:hAnsi="宋体" w:cs="宋体"/>
                <w:sz w:val="24"/>
              </w:rPr>
              <w:t>4</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sz w:val="24"/>
              </w:rPr>
            </w:pPr>
            <w:r>
              <w:rPr>
                <w:rFonts w:hint="eastAsia" w:ascii="宋体" w:hAnsi="宋体" w:cs="宋体"/>
                <w:sz w:val="24"/>
              </w:rPr>
              <w:t>投标保证金：本项目不设置投标保证金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sz w:val="24"/>
              </w:rPr>
            </w:pPr>
            <w:r>
              <w:rPr>
                <w:rFonts w:hint="eastAsia" w:ascii="宋体" w:hAnsi="宋体" w:cs="宋体"/>
                <w:sz w:val="24"/>
              </w:rPr>
              <w:t>5</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宋体"/>
                <w:sz w:val="24"/>
              </w:rPr>
            </w:pPr>
            <w:r>
              <w:rPr>
                <w:rFonts w:hint="eastAsia" w:ascii="宋体" w:hAnsi="宋体" w:cs="宋体"/>
                <w:sz w:val="24"/>
              </w:rPr>
              <w:t>现场踏勘：采购人不组织现场踏勘，如投标人有需求可以自行踏勘。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sz w:val="24"/>
              </w:rPr>
            </w:pPr>
            <w:r>
              <w:rPr>
                <w:rFonts w:hint="eastAsia" w:ascii="宋体" w:hAnsi="宋体" w:cs="宋体"/>
                <w:sz w:val="24"/>
              </w:rPr>
              <w:t>6</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宋体"/>
                <w:sz w:val="24"/>
              </w:rPr>
            </w:pPr>
            <w:r>
              <w:rPr>
                <w:rFonts w:hint="eastAsia" w:ascii="宋体" w:hAnsi="宋体" w:cs="宋体"/>
                <w:sz w:val="24"/>
              </w:rPr>
              <w:t>电子投标要求：</w:t>
            </w:r>
          </w:p>
          <w:p>
            <w:pPr>
              <w:autoSpaceDE w:val="0"/>
              <w:autoSpaceDN w:val="0"/>
              <w:snapToGrid w:val="0"/>
              <w:ind w:firstLine="480" w:firstLineChars="200"/>
              <w:textAlignment w:val="bottom"/>
              <w:rPr>
                <w:rFonts w:hint="eastAsia" w:ascii="宋体" w:hAnsi="宋体" w:cs="宋体"/>
                <w:sz w:val="24"/>
              </w:rPr>
            </w:pPr>
            <w:r>
              <w:rPr>
                <w:rFonts w:hint="eastAsia" w:ascii="宋体" w:hAnsi="宋体" w:cs="宋体"/>
                <w:sz w:val="24"/>
              </w:rPr>
              <w:t>投标人须按照采购文件和电子交易平台的要求编制并加密电子投标文件，投标文件截止时间详见本项目招标公告</w:t>
            </w:r>
          </w:p>
          <w:p>
            <w:pPr>
              <w:autoSpaceDE w:val="0"/>
              <w:autoSpaceDN w:val="0"/>
              <w:snapToGrid w:val="0"/>
              <w:ind w:firstLine="480" w:firstLineChars="200"/>
              <w:textAlignment w:val="bottom"/>
              <w:rPr>
                <w:rFonts w:hint="eastAsia" w:ascii="宋体" w:hAnsi="宋体" w:cs="宋体"/>
                <w:sz w:val="24"/>
              </w:rPr>
            </w:pPr>
            <w:r>
              <w:rPr>
                <w:rFonts w:hint="eastAsia" w:ascii="宋体" w:hAnsi="宋体" w:cs="宋体"/>
                <w:sz w:val="24"/>
              </w:rPr>
              <w:t>投标人应当在投标截止时间前完成投标文件的传输递交，并可以补充、修改或者撤回电子投标文件。补充或者修改电子投标文件的，应当先行撤回原文件，补充、修改后重新传输递交。投标截止时间前未完成传输的，视为撤回电子投标文件。逾期上传的投标文件恕不接受。</w:t>
            </w:r>
          </w:p>
          <w:p>
            <w:pPr>
              <w:autoSpaceDE w:val="0"/>
              <w:autoSpaceDN w:val="0"/>
              <w:snapToGrid w:val="0"/>
              <w:ind w:firstLine="480" w:firstLineChars="200"/>
              <w:textAlignment w:val="bottom"/>
              <w:rPr>
                <w:rFonts w:hint="eastAsia" w:ascii="宋体" w:hAnsi="宋体" w:cs="宋体"/>
                <w:sz w:val="24"/>
              </w:rPr>
            </w:pPr>
            <w:r>
              <w:rPr>
                <w:rFonts w:hint="eastAsia" w:ascii="宋体" w:hAnsi="宋体" w:cs="宋体"/>
                <w:sz w:val="24"/>
              </w:rPr>
              <w:t>电子投标文件编制时，应根据“政采云供应商项目采购-电子招投标操作指南”及本招标文件规定的格式和顺序编制电子投标文件并进行标书关联定位。</w:t>
            </w:r>
          </w:p>
          <w:p>
            <w:pPr>
              <w:autoSpaceDE w:val="0"/>
              <w:autoSpaceDN w:val="0"/>
              <w:snapToGrid w:val="0"/>
              <w:textAlignment w:val="bottom"/>
              <w:rPr>
                <w:rFonts w:hint="eastAsia" w:ascii="宋体" w:hAnsi="宋体" w:cs="宋体"/>
                <w:sz w:val="24"/>
              </w:rPr>
            </w:pPr>
            <w:r>
              <w:rPr>
                <w:rFonts w:hint="eastAsia" w:ascii="宋体" w:hAnsi="宋体" w:cs="宋体"/>
                <w:sz w:val="24"/>
              </w:rPr>
              <w:t>温馨提醒：供应商应提前上传，以便在上传时遇到技术问题，有充足的时间请教平台的技术人员。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7" w:hRule="exac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sz w:val="24"/>
              </w:rPr>
            </w:pPr>
            <w:r>
              <w:rPr>
                <w:rFonts w:hint="eastAsia" w:ascii="宋体" w:hAnsi="宋体" w:cs="宋体"/>
                <w:sz w:val="24"/>
              </w:rPr>
              <w:t>7</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cs="宋体"/>
                <w:sz w:val="24"/>
              </w:rPr>
            </w:pPr>
            <w:r>
              <w:rPr>
                <w:rFonts w:hint="eastAsia" w:ascii="宋体" w:hAnsi="宋体" w:cs="宋体"/>
                <w:sz w:val="24"/>
              </w:rPr>
              <w:t>备份电子投标文件要求：以U盘为介质存储的数据电文形式的备份电子投标文件是通过政采云平台电子投标工具制作投标文件产生的备份文件。备份电子投标文件的有效性由投标人自行负责。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sz w:val="24"/>
              </w:rPr>
            </w:pPr>
            <w:r>
              <w:rPr>
                <w:rFonts w:hint="eastAsia" w:ascii="宋体" w:hAnsi="宋体" w:cs="宋体"/>
                <w:sz w:val="24"/>
              </w:rPr>
              <w:t>8</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cs="宋体"/>
                <w:sz w:val="24"/>
              </w:rPr>
            </w:pPr>
            <w:r>
              <w:rPr>
                <w:rFonts w:hint="eastAsia" w:ascii="宋体" w:hAnsi="宋体" w:cs="宋体"/>
                <w:b/>
                <w:bCs/>
                <w:sz w:val="24"/>
              </w:rPr>
              <w:t>电子投标文件解密时间：开始解密后30分钟内完成解密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宋体"/>
                <w:sz w:val="24"/>
              </w:rPr>
            </w:pPr>
            <w:r>
              <w:rPr>
                <w:rFonts w:hint="eastAsia" w:ascii="宋体" w:hAnsi="宋体" w:cs="宋体"/>
                <w:sz w:val="24"/>
              </w:rPr>
              <w:t>9</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cs="宋体"/>
                <w:sz w:val="24"/>
              </w:rPr>
            </w:pPr>
            <w:r>
              <w:rPr>
                <w:rFonts w:hint="eastAsia" w:ascii="宋体" w:hAnsi="宋体" w:cs="宋体"/>
                <w:sz w:val="24"/>
              </w:rPr>
              <w:t>投标截止时间及地点：</w:t>
            </w:r>
            <w:r>
              <w:rPr>
                <w:rFonts w:hint="eastAsia" w:ascii="宋体" w:hAnsi="宋体" w:cs="宋体"/>
                <w:sz w:val="24"/>
                <w:u w:val="single"/>
              </w:rPr>
              <w:t>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5"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sz w:val="24"/>
              </w:rPr>
            </w:pPr>
            <w:r>
              <w:rPr>
                <w:rFonts w:hint="eastAsia" w:ascii="宋体" w:hAnsi="宋体" w:cs="宋体"/>
                <w:sz w:val="24"/>
              </w:rPr>
              <w:t>10</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cs="宋体"/>
                <w:sz w:val="24"/>
              </w:rPr>
            </w:pPr>
            <w:r>
              <w:rPr>
                <w:rFonts w:hint="eastAsia" w:ascii="宋体" w:hAnsi="宋体" w:cs="宋体"/>
                <w:sz w:val="24"/>
              </w:rPr>
              <w:t>开标时间及地点：</w:t>
            </w:r>
            <w:r>
              <w:rPr>
                <w:rFonts w:hint="eastAsia" w:ascii="宋体" w:hAnsi="宋体" w:cs="宋体"/>
                <w:sz w:val="24"/>
                <w:u w:val="single"/>
              </w:rPr>
              <w:t>见招标公告；</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sz w:val="24"/>
              </w:rPr>
            </w:pPr>
            <w:r>
              <w:rPr>
                <w:rFonts w:hint="eastAsia" w:ascii="宋体" w:hAnsi="宋体" w:cs="宋体"/>
                <w:sz w:val="24"/>
              </w:rPr>
              <w:t>11</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宋体"/>
                <w:sz w:val="24"/>
              </w:rPr>
            </w:pPr>
            <w:r>
              <w:rPr>
                <w:rFonts w:hint="eastAsia" w:ascii="宋体" w:hAnsi="宋体" w:cs="宋体"/>
                <w:sz w:val="24"/>
              </w:rPr>
              <w:t>评标办法及评分标准：详见本招标文件第四章《评标办法及评分标准》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sz w:val="24"/>
              </w:rPr>
            </w:pPr>
            <w:r>
              <w:rPr>
                <w:rFonts w:hint="eastAsia" w:ascii="宋体" w:hAnsi="宋体" w:cs="宋体"/>
                <w:sz w:val="24"/>
              </w:rPr>
              <w:t>12</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宋体"/>
                <w:sz w:val="24"/>
              </w:rPr>
            </w:pPr>
            <w:r>
              <w:rPr>
                <w:rFonts w:hint="eastAsia" w:ascii="宋体" w:hAnsi="宋体" w:cs="宋体"/>
                <w:sz w:val="24"/>
              </w:rPr>
              <w:t>评标结果公示：评标结束后2天内，评标结果公示于发布公告的网站上。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sz w:val="24"/>
              </w:rPr>
            </w:pPr>
            <w:r>
              <w:rPr>
                <w:rFonts w:hint="eastAsia" w:ascii="宋体" w:hAnsi="宋体" w:cs="宋体"/>
                <w:sz w:val="24"/>
              </w:rPr>
              <w:t>13</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宋体"/>
                <w:sz w:val="24"/>
              </w:rPr>
            </w:pPr>
            <w:r>
              <w:rPr>
                <w:rFonts w:hint="eastAsia" w:ascii="宋体" w:hAnsi="宋体" w:cs="宋体"/>
                <w:sz w:val="24"/>
              </w:rPr>
              <w:t>中标公告及中标通知书：评标结束后5个工作日内，中标公告发布于上述媒体。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sz w:val="24"/>
              </w:rPr>
            </w:pPr>
            <w:r>
              <w:rPr>
                <w:rFonts w:hint="eastAsia" w:ascii="宋体" w:hAnsi="宋体" w:cs="宋体"/>
                <w:sz w:val="24"/>
              </w:rPr>
              <w:t>14</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宋体"/>
                <w:sz w:val="24"/>
              </w:rPr>
            </w:pPr>
            <w:r>
              <w:rPr>
                <w:rFonts w:hint="eastAsia" w:ascii="宋体" w:hAnsi="宋体" w:cs="宋体"/>
                <w:sz w:val="24"/>
              </w:rPr>
              <w:t>签订合同时间：中标通知书发出后30日内。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sz w:val="24"/>
              </w:rPr>
            </w:pPr>
            <w:r>
              <w:rPr>
                <w:rFonts w:hint="eastAsia" w:ascii="宋体" w:hAnsi="宋体" w:cs="宋体"/>
                <w:sz w:val="24"/>
              </w:rPr>
              <w:t>15</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宋体"/>
                <w:sz w:val="24"/>
              </w:rPr>
            </w:pPr>
            <w:r>
              <w:rPr>
                <w:rFonts w:hint="eastAsia" w:ascii="宋体" w:hAnsi="宋体" w:cs="宋体"/>
                <w:sz w:val="24"/>
              </w:rPr>
              <w:t>履约保证金的收取及退还:标段一在合同签订后7日内按合同总金额的5%（现金或保函形式）提交给采购人终验合格后30日内退还。标段二在合同签订后7日内按合同总金额的</w:t>
            </w:r>
            <w:r>
              <w:rPr>
                <w:rFonts w:hint="eastAsia" w:ascii="宋体" w:hAnsi="宋体" w:cs="宋体"/>
                <w:sz w:val="24"/>
                <w:lang w:val="en-US" w:eastAsia="zh-CN"/>
              </w:rPr>
              <w:t>5</w:t>
            </w:r>
            <w:r>
              <w:rPr>
                <w:rFonts w:hint="eastAsia" w:ascii="宋体" w:hAnsi="宋体" w:cs="宋体"/>
                <w:sz w:val="24"/>
              </w:rPr>
              <w:t>%（现金或保函形式）提交给采购人，5年质保期后退还。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sz w:val="24"/>
              </w:rPr>
            </w:pPr>
            <w:r>
              <w:rPr>
                <w:rFonts w:hint="eastAsia" w:ascii="宋体" w:hAnsi="宋体" w:cs="宋体"/>
                <w:sz w:val="24"/>
              </w:rPr>
              <w:t>16</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宋体"/>
                <w:sz w:val="24"/>
              </w:rPr>
            </w:pPr>
            <w:r>
              <w:rPr>
                <w:rFonts w:hint="eastAsia" w:ascii="宋体" w:hAnsi="宋体" w:cs="宋体"/>
                <w:sz w:val="24"/>
              </w:rPr>
              <w:t>采购资金来源：预算资金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sz w:val="24"/>
              </w:rPr>
            </w:pPr>
            <w:r>
              <w:rPr>
                <w:rFonts w:hint="eastAsia" w:ascii="宋体" w:hAnsi="宋体" w:cs="宋体"/>
                <w:sz w:val="24"/>
              </w:rPr>
              <w:t>17</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宋体"/>
                <w:sz w:val="24"/>
              </w:rPr>
            </w:pPr>
            <w:r>
              <w:rPr>
                <w:rFonts w:hint="eastAsia" w:ascii="宋体" w:hAnsi="宋体" w:cs="宋体"/>
                <w:sz w:val="24"/>
              </w:rPr>
              <w:t>付款方式：详见合同条款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sz w:val="24"/>
              </w:rPr>
            </w:pPr>
            <w:r>
              <w:rPr>
                <w:rFonts w:hint="eastAsia" w:ascii="宋体" w:hAnsi="宋体" w:cs="宋体"/>
                <w:sz w:val="24"/>
              </w:rPr>
              <w:t>18</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宋体"/>
                <w:sz w:val="24"/>
              </w:rPr>
            </w:pPr>
            <w:r>
              <w:rPr>
                <w:rFonts w:hint="eastAsia" w:ascii="宋体" w:hAnsi="宋体" w:cs="宋体"/>
                <w:sz w:val="24"/>
              </w:rPr>
              <w:t>投标文件有效期：90天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869"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宋体"/>
                <w:sz w:val="24"/>
              </w:rPr>
            </w:pPr>
            <w:r>
              <w:rPr>
                <w:rFonts w:hint="eastAsia" w:ascii="宋体" w:hAnsi="宋体" w:cs="宋体"/>
                <w:sz w:val="24"/>
              </w:rPr>
              <w:t>19</w:t>
            </w:r>
          </w:p>
        </w:tc>
        <w:tc>
          <w:tcPr>
            <w:tcW w:w="837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宋体"/>
                <w:sz w:val="24"/>
              </w:rPr>
            </w:pPr>
            <w:r>
              <w:rPr>
                <w:rFonts w:hint="eastAsia" w:ascii="宋体" w:hAnsi="宋体" w:cs="宋体"/>
                <w:sz w:val="24"/>
              </w:rPr>
              <w:t>解释：本招标文件的解释权属于招标采购单位。</w:t>
            </w:r>
          </w:p>
        </w:tc>
      </w:tr>
    </w:tbl>
    <w:p>
      <w:pPr>
        <w:pStyle w:val="18"/>
        <w:snapToGrid w:val="0"/>
        <w:spacing w:before="120" w:beforeLines="0" w:after="120" w:afterLines="0" w:line="240" w:lineRule="auto"/>
        <w:rPr>
          <w:rFonts w:hAnsi="宋体"/>
          <w:b/>
          <w:sz w:val="30"/>
          <w:szCs w:val="30"/>
        </w:rPr>
      </w:pPr>
    </w:p>
    <w:p>
      <w:pPr>
        <w:pStyle w:val="18"/>
        <w:snapToGrid w:val="0"/>
        <w:spacing w:before="120" w:after="120" w:line="360" w:lineRule="auto"/>
        <w:rPr>
          <w:rFonts w:hint="eastAsia" w:hAnsi="宋体" w:cs="宋体"/>
          <w:b/>
          <w:sz w:val="30"/>
          <w:szCs w:val="30"/>
        </w:rPr>
      </w:pPr>
      <w:r>
        <w:rPr>
          <w:rFonts w:hAnsi="宋体"/>
          <w:b/>
          <w:sz w:val="30"/>
          <w:szCs w:val="30"/>
        </w:rPr>
        <w:br w:type="page"/>
      </w:r>
      <w:r>
        <w:rPr>
          <w:rFonts w:hint="eastAsia" w:hAnsi="宋体" w:cs="宋体"/>
          <w:b/>
          <w:sz w:val="30"/>
          <w:szCs w:val="30"/>
        </w:rPr>
        <w:t>一、总  则</w:t>
      </w:r>
    </w:p>
    <w:p>
      <w:pPr>
        <w:snapToGrid w:val="0"/>
        <w:spacing w:line="360" w:lineRule="auto"/>
        <w:ind w:firstLine="482" w:firstLineChars="200"/>
        <w:rPr>
          <w:rFonts w:hint="eastAsia" w:ascii="宋体" w:hAnsi="宋体"/>
          <w:b/>
          <w:bCs/>
          <w:sz w:val="24"/>
        </w:rPr>
      </w:pPr>
      <w:r>
        <w:rPr>
          <w:rFonts w:hint="eastAsia" w:ascii="宋体" w:hAnsi="宋体"/>
          <w:b/>
          <w:bCs/>
          <w:sz w:val="24"/>
        </w:rPr>
        <w:t>（一） 适用范围</w:t>
      </w:r>
    </w:p>
    <w:p>
      <w:pPr>
        <w:snapToGrid w:val="0"/>
        <w:spacing w:line="360" w:lineRule="auto"/>
        <w:ind w:firstLine="480" w:firstLineChars="200"/>
        <w:rPr>
          <w:rFonts w:hint="eastAsia" w:ascii="宋体" w:hAnsi="宋体"/>
          <w:sz w:val="24"/>
        </w:rPr>
      </w:pPr>
      <w:r>
        <w:rPr>
          <w:rFonts w:hint="eastAsia" w:ascii="宋体" w:hAnsi="宋体"/>
          <w:sz w:val="24"/>
        </w:rPr>
        <w:t>本招标文件适用于本项目的招标、投标、评标、定标、验收、合同履约、付款等行为（法律、法规另有规定的，从其规定）。</w:t>
      </w:r>
    </w:p>
    <w:p>
      <w:pPr>
        <w:snapToGrid w:val="0"/>
        <w:spacing w:line="360" w:lineRule="auto"/>
        <w:ind w:firstLine="482" w:firstLineChars="200"/>
        <w:rPr>
          <w:rFonts w:hint="eastAsia" w:ascii="宋体" w:hAnsi="宋体"/>
          <w:b/>
          <w:bCs/>
          <w:sz w:val="24"/>
        </w:rPr>
      </w:pPr>
      <w:r>
        <w:rPr>
          <w:rFonts w:hint="eastAsia" w:ascii="宋体" w:hAnsi="宋体"/>
          <w:b/>
          <w:bCs/>
          <w:sz w:val="24"/>
        </w:rPr>
        <w:t>（二）定义</w:t>
      </w:r>
    </w:p>
    <w:p>
      <w:pPr>
        <w:snapToGrid w:val="0"/>
        <w:spacing w:line="360" w:lineRule="auto"/>
        <w:ind w:firstLine="480" w:firstLineChars="200"/>
        <w:jc w:val="left"/>
        <w:rPr>
          <w:rFonts w:ascii="宋体" w:hAnsi="宋体"/>
          <w:sz w:val="24"/>
          <w:szCs w:val="20"/>
        </w:rPr>
      </w:pPr>
      <w:r>
        <w:rPr>
          <w:rFonts w:ascii="宋体" w:hAnsi="宋体"/>
          <w:sz w:val="24"/>
        </w:rPr>
        <w:t>1</w:t>
      </w:r>
      <w:r>
        <w:rPr>
          <w:rFonts w:hint="eastAsia" w:ascii="宋体" w:hAnsi="宋体"/>
          <w:sz w:val="24"/>
        </w:rPr>
        <w:t>.</w:t>
      </w:r>
      <w:r>
        <w:rPr>
          <w:rFonts w:ascii="宋体" w:hAnsi="宋体"/>
          <w:sz w:val="24"/>
        </w:rPr>
        <w:t>招标采购单位系指组织本次招标的代理机构（“</w:t>
      </w:r>
      <w:r>
        <w:rPr>
          <w:rFonts w:hint="eastAsia" w:ascii="宋体" w:hAnsi="宋体"/>
          <w:sz w:val="24"/>
        </w:rPr>
        <w:t>采购人</w:t>
      </w:r>
      <w:r>
        <w:rPr>
          <w:rFonts w:ascii="宋体" w:hAnsi="宋体"/>
          <w:sz w:val="24"/>
        </w:rPr>
        <w:t>”）和采购单位。</w:t>
      </w:r>
    </w:p>
    <w:p>
      <w:pPr>
        <w:snapToGrid w:val="0"/>
        <w:spacing w:line="360" w:lineRule="auto"/>
        <w:ind w:firstLine="480" w:firstLineChars="200"/>
        <w:jc w:val="left"/>
        <w:rPr>
          <w:rFonts w:ascii="宋体" w:hAnsi="宋体"/>
          <w:sz w:val="24"/>
          <w:szCs w:val="20"/>
        </w:rPr>
      </w:pPr>
      <w:r>
        <w:rPr>
          <w:rFonts w:ascii="宋体" w:hAnsi="宋体"/>
          <w:sz w:val="24"/>
        </w:rPr>
        <w:t>2</w:t>
      </w:r>
      <w:r>
        <w:rPr>
          <w:rFonts w:hint="eastAsia" w:ascii="宋体" w:hAnsi="宋体"/>
          <w:sz w:val="24"/>
        </w:rPr>
        <w:t>.“</w:t>
      </w:r>
      <w:r>
        <w:rPr>
          <w:rFonts w:ascii="宋体" w:hAnsi="宋体"/>
          <w:sz w:val="24"/>
        </w:rPr>
        <w:t>投标人”</w:t>
      </w:r>
      <w:r>
        <w:rPr>
          <w:rFonts w:hint="eastAsia" w:ascii="宋体" w:hAnsi="宋体"/>
          <w:sz w:val="24"/>
        </w:rPr>
        <w:t>、“供应商”</w:t>
      </w:r>
      <w:r>
        <w:rPr>
          <w:rFonts w:ascii="宋体" w:hAnsi="宋体"/>
          <w:sz w:val="24"/>
        </w:rPr>
        <w:t>系指向招标方提交投标文件的单位或个人。</w:t>
      </w:r>
    </w:p>
    <w:p>
      <w:pPr>
        <w:snapToGrid w:val="0"/>
        <w:spacing w:line="360" w:lineRule="auto"/>
        <w:ind w:firstLine="480" w:firstLineChars="200"/>
        <w:jc w:val="left"/>
        <w:rPr>
          <w:rFonts w:ascii="宋体" w:hAnsi="宋体"/>
          <w:sz w:val="24"/>
          <w:szCs w:val="20"/>
        </w:rPr>
      </w:pPr>
      <w:r>
        <w:rPr>
          <w:rFonts w:ascii="宋体" w:hAnsi="宋体"/>
          <w:sz w:val="24"/>
        </w:rPr>
        <w:t>3</w:t>
      </w:r>
      <w:r>
        <w:rPr>
          <w:rFonts w:hint="eastAsia" w:ascii="宋体" w:hAnsi="宋体"/>
          <w:sz w:val="24"/>
        </w:rPr>
        <w:t>.</w:t>
      </w:r>
      <w:r>
        <w:rPr>
          <w:rFonts w:ascii="宋体" w:hAnsi="宋体"/>
          <w:sz w:val="24"/>
        </w:rPr>
        <w:t>“产品”系指供方按招标文件规定，须向采购人提供的一切设备、保险、税金、备品备件、工具、手册及其它有关技术资料和材料。</w:t>
      </w:r>
    </w:p>
    <w:p>
      <w:pPr>
        <w:snapToGrid w:val="0"/>
        <w:spacing w:line="360" w:lineRule="auto"/>
        <w:ind w:firstLine="480" w:firstLineChars="200"/>
        <w:jc w:val="left"/>
        <w:rPr>
          <w:rFonts w:ascii="宋体" w:hAnsi="宋体"/>
          <w:sz w:val="24"/>
          <w:szCs w:val="20"/>
        </w:rPr>
      </w:pPr>
      <w:r>
        <w:rPr>
          <w:rFonts w:ascii="宋体" w:hAnsi="宋体"/>
          <w:sz w:val="24"/>
        </w:rPr>
        <w:t>4</w:t>
      </w:r>
      <w:r>
        <w:rPr>
          <w:rFonts w:hint="eastAsia" w:ascii="宋体" w:hAnsi="宋体"/>
          <w:sz w:val="24"/>
        </w:rPr>
        <w:t>.</w:t>
      </w:r>
      <w:r>
        <w:rPr>
          <w:rFonts w:ascii="宋体" w:hAnsi="宋体"/>
          <w:sz w:val="24"/>
        </w:rPr>
        <w:t>“服务”系指招标文件规定投标人须承担的安装、调试、技术协助、校准、培训、技术指导以及其他类似的义务。</w:t>
      </w:r>
    </w:p>
    <w:p>
      <w:pPr>
        <w:snapToGrid w:val="0"/>
        <w:spacing w:line="360" w:lineRule="auto"/>
        <w:ind w:firstLine="480" w:firstLineChars="200"/>
        <w:jc w:val="left"/>
        <w:rPr>
          <w:rFonts w:ascii="宋体" w:hAnsi="宋体"/>
          <w:sz w:val="24"/>
          <w:szCs w:val="20"/>
        </w:rPr>
      </w:pPr>
      <w:r>
        <w:rPr>
          <w:rFonts w:ascii="宋体" w:hAnsi="宋体"/>
          <w:sz w:val="24"/>
        </w:rPr>
        <w:t>5</w:t>
      </w:r>
      <w:r>
        <w:rPr>
          <w:rFonts w:hint="eastAsia" w:ascii="宋体" w:hAnsi="宋体"/>
          <w:sz w:val="24"/>
        </w:rPr>
        <w:t>.</w:t>
      </w:r>
      <w:r>
        <w:rPr>
          <w:rFonts w:ascii="宋体" w:hAnsi="宋体"/>
          <w:sz w:val="24"/>
        </w:rPr>
        <w:t>“项目”系指投标人按招标文件规定向采购人提供的产品和服务。</w:t>
      </w:r>
    </w:p>
    <w:p>
      <w:pPr>
        <w:snapToGrid w:val="0"/>
        <w:spacing w:line="360" w:lineRule="auto"/>
        <w:ind w:firstLine="480" w:firstLineChars="200"/>
        <w:jc w:val="left"/>
        <w:rPr>
          <w:rFonts w:ascii="宋体" w:hAnsi="宋体"/>
          <w:sz w:val="24"/>
          <w:szCs w:val="20"/>
        </w:rPr>
      </w:pPr>
      <w:r>
        <w:rPr>
          <w:rFonts w:ascii="宋体" w:hAnsi="宋体"/>
          <w:sz w:val="24"/>
        </w:rPr>
        <w:t>6</w:t>
      </w:r>
      <w:r>
        <w:rPr>
          <w:rFonts w:hint="eastAsia" w:ascii="宋体" w:hAnsi="宋体"/>
          <w:sz w:val="24"/>
        </w:rPr>
        <w:t>.</w:t>
      </w:r>
      <w:r>
        <w:rPr>
          <w:rFonts w:ascii="宋体" w:hAnsi="宋体"/>
          <w:sz w:val="24"/>
        </w:rPr>
        <w:t>“书面形式”包括信函、传真、电报等。</w:t>
      </w:r>
    </w:p>
    <w:p>
      <w:pPr>
        <w:snapToGrid w:val="0"/>
        <w:spacing w:line="360" w:lineRule="auto"/>
        <w:ind w:firstLine="480" w:firstLineChars="200"/>
        <w:jc w:val="left"/>
        <w:rPr>
          <w:rFonts w:ascii="宋体" w:hAnsi="宋体"/>
          <w:sz w:val="24"/>
        </w:rPr>
      </w:pPr>
      <w:r>
        <w:rPr>
          <w:rFonts w:ascii="宋体" w:hAnsi="宋体"/>
          <w:sz w:val="24"/>
        </w:rPr>
        <w:t>7</w:t>
      </w:r>
      <w:r>
        <w:rPr>
          <w:rFonts w:hint="eastAsia" w:ascii="宋体" w:hAnsi="宋体"/>
          <w:sz w:val="24"/>
        </w:rPr>
        <w:t>.</w:t>
      </w:r>
      <w:r>
        <w:rPr>
          <w:rFonts w:ascii="宋体" w:hAnsi="宋体"/>
          <w:sz w:val="24"/>
        </w:rPr>
        <w:t>“▲”系指实质性要求条款。</w:t>
      </w:r>
    </w:p>
    <w:p>
      <w:pPr>
        <w:snapToGrid w:val="0"/>
        <w:spacing w:line="360" w:lineRule="auto"/>
        <w:ind w:firstLine="480" w:firstLineChars="200"/>
        <w:rPr>
          <w:rFonts w:hint="eastAsia" w:ascii="宋体" w:hAnsi="宋体"/>
          <w:sz w:val="24"/>
        </w:rPr>
      </w:pPr>
      <w:r>
        <w:rPr>
          <w:rFonts w:hint="eastAsia" w:ascii="宋体" w:hAnsi="宋体"/>
          <w:sz w:val="24"/>
        </w:rPr>
        <w:t>8.政府采购云平台</w:t>
      </w:r>
      <w:r>
        <w:rPr>
          <w:rFonts w:ascii="宋体" w:hAnsi="宋体"/>
          <w:sz w:val="24"/>
        </w:rPr>
        <w:t>系指</w:t>
      </w:r>
      <w:r>
        <w:rPr>
          <w:rFonts w:hint="eastAsia" w:ascii="宋体" w:hAnsi="宋体"/>
          <w:sz w:val="24"/>
        </w:rPr>
        <w:t>浙江政府采购云平台（http://www.zcygov.cn）（简称“政釆云平台”）。</w:t>
      </w:r>
    </w:p>
    <w:p>
      <w:pPr>
        <w:snapToGrid w:val="0"/>
        <w:spacing w:line="360" w:lineRule="auto"/>
        <w:ind w:firstLine="482" w:firstLineChars="200"/>
        <w:rPr>
          <w:rFonts w:hint="eastAsia" w:ascii="宋体" w:hAnsi="宋体"/>
          <w:b/>
          <w:bCs/>
          <w:sz w:val="24"/>
        </w:rPr>
      </w:pPr>
      <w:r>
        <w:rPr>
          <w:rFonts w:hint="eastAsia" w:ascii="宋体" w:hAnsi="宋体"/>
          <w:b/>
          <w:bCs/>
          <w:sz w:val="24"/>
        </w:rPr>
        <w:t>（三）招标方式</w:t>
      </w:r>
    </w:p>
    <w:p>
      <w:pPr>
        <w:snapToGrid w:val="0"/>
        <w:spacing w:line="360" w:lineRule="auto"/>
        <w:ind w:firstLine="480" w:firstLineChars="200"/>
        <w:rPr>
          <w:rFonts w:hint="eastAsia" w:ascii="宋体" w:hAnsi="宋体"/>
          <w:sz w:val="24"/>
        </w:rPr>
      </w:pPr>
      <w:r>
        <w:rPr>
          <w:rFonts w:hint="eastAsia" w:ascii="宋体" w:hAnsi="宋体"/>
          <w:sz w:val="24"/>
        </w:rPr>
        <w:t>本次招标采用公开招标方式进行。</w:t>
      </w:r>
    </w:p>
    <w:p>
      <w:pPr>
        <w:snapToGrid w:val="0"/>
        <w:spacing w:line="360" w:lineRule="auto"/>
        <w:ind w:firstLine="482" w:firstLineChars="200"/>
        <w:rPr>
          <w:rFonts w:hint="eastAsia" w:ascii="宋体" w:hAnsi="宋体"/>
          <w:b/>
          <w:bCs/>
          <w:sz w:val="24"/>
        </w:rPr>
      </w:pPr>
      <w:r>
        <w:rPr>
          <w:rFonts w:hint="eastAsia" w:ascii="宋体" w:hAnsi="宋体"/>
          <w:b/>
          <w:bCs/>
          <w:sz w:val="24"/>
        </w:rPr>
        <w:t>（四）投标委托</w:t>
      </w:r>
    </w:p>
    <w:p>
      <w:pPr>
        <w:snapToGrid w:val="0"/>
        <w:spacing w:line="360" w:lineRule="auto"/>
        <w:ind w:firstLine="480" w:firstLineChars="200"/>
        <w:rPr>
          <w:rFonts w:hint="eastAsia" w:ascii="宋体" w:hAnsi="宋体"/>
          <w:sz w:val="24"/>
        </w:rPr>
      </w:pPr>
      <w:r>
        <w:rPr>
          <w:rFonts w:hint="eastAsia" w:ascii="宋体" w:hAnsi="宋体"/>
          <w:sz w:val="24"/>
        </w:rPr>
        <w:t>法定代表人或授权代表需在投标文件相应位置签字或盖章。如投标人代表不是法定代表人，须同时提交法定代表人出具的授权委托书（格式见附件），否则投标文件作无效标处理。</w:t>
      </w:r>
    </w:p>
    <w:p>
      <w:pPr>
        <w:snapToGrid w:val="0"/>
        <w:spacing w:line="360" w:lineRule="auto"/>
        <w:ind w:firstLine="480" w:firstLineChars="200"/>
        <w:rPr>
          <w:rFonts w:hint="eastAsia" w:ascii="宋体" w:hAnsi="宋体"/>
          <w:sz w:val="24"/>
        </w:rPr>
      </w:pPr>
      <w:r>
        <w:rPr>
          <w:rFonts w:hint="eastAsia" w:ascii="宋体" w:hAnsi="宋体"/>
          <w:sz w:val="24"/>
        </w:rPr>
        <w:t>备注：电子招投标过程中，若CA签章上目前没有法定代表人或授权代表签字信息的，所以涉及到签字或盖章的位置，做PDF的时候线下签字或盖章完成后再扫描即可。如果需要CA中加法人章或者法人签名等，需要供应商单独线下联系CA公司进行办理，可能需另收取费用。若投标人未按照招标文件要求进行签字或盖章的，导致其投标文件无效的后果由投标人自行承担。</w:t>
      </w:r>
    </w:p>
    <w:p>
      <w:pPr>
        <w:snapToGrid w:val="0"/>
        <w:spacing w:line="360" w:lineRule="auto"/>
        <w:ind w:firstLine="482" w:firstLineChars="200"/>
        <w:rPr>
          <w:rFonts w:hint="eastAsia" w:ascii="宋体" w:hAnsi="宋体"/>
          <w:b/>
          <w:bCs/>
          <w:sz w:val="24"/>
        </w:rPr>
      </w:pPr>
      <w:r>
        <w:rPr>
          <w:rFonts w:hint="eastAsia" w:ascii="宋体" w:hAnsi="宋体"/>
          <w:b/>
          <w:bCs/>
          <w:sz w:val="24"/>
        </w:rPr>
        <w:t>（五）投标费用</w:t>
      </w:r>
    </w:p>
    <w:p>
      <w:pPr>
        <w:snapToGrid w:val="0"/>
        <w:spacing w:line="360" w:lineRule="auto"/>
        <w:ind w:firstLine="480" w:firstLineChars="200"/>
        <w:rPr>
          <w:rFonts w:hint="eastAsia" w:ascii="宋体" w:hAnsi="宋体"/>
          <w:sz w:val="24"/>
        </w:rPr>
      </w:pPr>
      <w:r>
        <w:rPr>
          <w:rFonts w:hint="eastAsia" w:ascii="宋体" w:hAnsi="宋体"/>
          <w:sz w:val="24"/>
        </w:rPr>
        <w:t>1、不论投标结果如何，投标人均应自行承担所有与投标有关的全部费用（招标文件有相关规定除外）。</w:t>
      </w:r>
    </w:p>
    <w:p>
      <w:pPr>
        <w:snapToGrid w:val="0"/>
        <w:spacing w:line="360" w:lineRule="auto"/>
        <w:ind w:firstLine="480" w:firstLineChars="200"/>
        <w:rPr>
          <w:rFonts w:hint="eastAsia" w:ascii="宋体" w:hAnsi="宋体"/>
          <w:sz w:val="24"/>
        </w:rPr>
      </w:pPr>
      <w:r>
        <w:rPr>
          <w:rFonts w:hint="eastAsia" w:ascii="宋体" w:hAnsi="宋体"/>
          <w:sz w:val="24"/>
        </w:rPr>
        <w:t>2、所有涉及电子招投标相关的费用均由投标人自理。</w:t>
      </w:r>
    </w:p>
    <w:p>
      <w:pPr>
        <w:snapToGrid w:val="0"/>
        <w:spacing w:line="360" w:lineRule="auto"/>
        <w:ind w:firstLine="480" w:firstLineChars="200"/>
        <w:rPr>
          <w:rFonts w:hint="eastAsia" w:ascii="宋体" w:hAnsi="宋体"/>
          <w:sz w:val="24"/>
        </w:rPr>
      </w:pPr>
      <w:r>
        <w:rPr>
          <w:rFonts w:hint="eastAsia" w:ascii="宋体" w:hAnsi="宋体"/>
          <w:sz w:val="24"/>
        </w:rPr>
        <w:t>3、</w:t>
      </w:r>
      <w:r>
        <w:rPr>
          <w:rFonts w:hint="eastAsia" w:ascii="宋体" w:hAnsi="宋体" w:cs="宋体"/>
          <w:sz w:val="24"/>
        </w:rPr>
        <w:t>本项目代理服务费根据各标段中标价按国家计委《招标代理服务收费管理暂行办法》（计价格[2002]1980号）及发改办价格[2003]857号文件规定按货物类75%计取，由各标段中标人在领取中标通知书时支付给采购代理机构。</w:t>
      </w:r>
    </w:p>
    <w:p>
      <w:pPr>
        <w:snapToGrid w:val="0"/>
        <w:spacing w:line="360" w:lineRule="auto"/>
        <w:ind w:firstLine="480" w:firstLineChars="200"/>
        <w:rPr>
          <w:rFonts w:hint="eastAsia" w:ascii="宋体" w:hAnsi="宋体"/>
          <w:sz w:val="24"/>
        </w:rPr>
      </w:pPr>
      <w:r>
        <w:rPr>
          <w:rFonts w:hint="eastAsia" w:ascii="宋体" w:hAnsi="宋体"/>
          <w:sz w:val="24"/>
        </w:rPr>
        <w:t>4、若因中标人原因而被取消中标资格的，招标代理服务费不予退还。</w:t>
      </w:r>
    </w:p>
    <w:p>
      <w:pPr>
        <w:snapToGrid w:val="0"/>
        <w:spacing w:line="360" w:lineRule="auto"/>
        <w:ind w:firstLine="482" w:firstLineChars="200"/>
        <w:rPr>
          <w:rFonts w:ascii="宋体" w:hAnsi="宋体"/>
          <w:b/>
          <w:sz w:val="24"/>
          <w:szCs w:val="20"/>
        </w:rPr>
      </w:pPr>
      <w:r>
        <w:rPr>
          <w:rFonts w:hint="eastAsia" w:ascii="宋体" w:hAnsi="宋体"/>
          <w:b/>
          <w:sz w:val="24"/>
        </w:rPr>
        <w:t>（六）联合体投标</w:t>
      </w:r>
    </w:p>
    <w:p>
      <w:pPr>
        <w:snapToGrid w:val="0"/>
        <w:spacing w:line="360" w:lineRule="auto"/>
        <w:ind w:firstLine="720" w:firstLineChars="300"/>
        <w:jc w:val="left"/>
        <w:rPr>
          <w:rFonts w:hint="eastAsia" w:ascii="宋体" w:hAnsi="宋体" w:cs="Arial"/>
          <w:sz w:val="24"/>
        </w:rPr>
      </w:pPr>
      <w:r>
        <w:rPr>
          <w:rFonts w:hint="eastAsia" w:ascii="宋体" w:hAnsi="宋体" w:cs="Arial"/>
          <w:sz w:val="24"/>
        </w:rPr>
        <w:t>本项目不接受联合体投标。</w:t>
      </w:r>
    </w:p>
    <w:p>
      <w:pPr>
        <w:snapToGrid w:val="0"/>
        <w:spacing w:before="120" w:beforeLines="50" w:line="360" w:lineRule="auto"/>
        <w:ind w:firstLine="472" w:firstLineChars="196"/>
        <w:rPr>
          <w:rFonts w:ascii="宋体" w:hAnsi="宋体" w:cs="宋体"/>
          <w:b/>
          <w:kern w:val="0"/>
          <w:sz w:val="24"/>
          <w:szCs w:val="20"/>
        </w:rPr>
      </w:pPr>
      <w:r>
        <w:rPr>
          <w:rFonts w:hint="eastAsia" w:ascii="宋体" w:hAnsi="宋体"/>
          <w:b/>
          <w:sz w:val="24"/>
        </w:rPr>
        <w:t>（七）</w:t>
      </w:r>
      <w:r>
        <w:rPr>
          <w:rFonts w:hint="eastAsia" w:ascii="宋体" w:hAnsi="宋体" w:cs="宋体"/>
          <w:b/>
          <w:kern w:val="0"/>
          <w:sz w:val="24"/>
        </w:rPr>
        <w:t>转包与分包</w:t>
      </w:r>
    </w:p>
    <w:p>
      <w:pPr>
        <w:snapToGrid w:val="0"/>
        <w:spacing w:line="360" w:lineRule="auto"/>
        <w:ind w:firstLine="470" w:firstLineChars="196"/>
        <w:rPr>
          <w:rFonts w:hint="eastAsia" w:ascii="宋体" w:hAnsi="宋体"/>
          <w:sz w:val="24"/>
        </w:rPr>
      </w:pPr>
      <w:r>
        <w:rPr>
          <w:rFonts w:hint="eastAsia" w:ascii="宋体" w:hAnsi="宋体"/>
          <w:sz w:val="24"/>
        </w:rPr>
        <w:t>未经采购人同意，本项目不允许转包。投标人如果对于法律服务分包，需要在投标文件中进行说明。</w:t>
      </w:r>
    </w:p>
    <w:p>
      <w:pPr>
        <w:snapToGrid w:val="0"/>
        <w:spacing w:before="120" w:beforeLines="50" w:line="360" w:lineRule="auto"/>
        <w:ind w:firstLine="472" w:firstLineChars="196"/>
        <w:jc w:val="left"/>
        <w:outlineLvl w:val="1"/>
        <w:rPr>
          <w:rFonts w:hint="eastAsia" w:ascii="宋体" w:hAnsi="宋体"/>
          <w:b/>
          <w:sz w:val="24"/>
        </w:rPr>
      </w:pPr>
      <w:r>
        <w:rPr>
          <w:rFonts w:hint="eastAsia" w:ascii="宋体" w:hAnsi="宋体"/>
          <w:b/>
          <w:sz w:val="24"/>
        </w:rPr>
        <w:t>（八）特别说明：</w:t>
      </w:r>
    </w:p>
    <w:p>
      <w:pPr>
        <w:pStyle w:val="18"/>
        <w:snapToGrid w:val="0"/>
        <w:spacing w:before="0" w:beforeLines="0" w:after="0" w:afterLines="0" w:line="360" w:lineRule="auto"/>
        <w:ind w:left="3" w:leftChars="1" w:firstLine="480" w:firstLineChars="200"/>
        <w:rPr>
          <w:rFonts w:hint="eastAsia" w:hAnsi="宋体" w:cs="宋体"/>
          <w:kern w:val="0"/>
        </w:rPr>
      </w:pPr>
      <w:r>
        <w:rPr>
          <w:rFonts w:hint="eastAsia" w:hAnsi="宋体" w:cs="宋体"/>
          <w:kern w:val="0"/>
        </w:rPr>
        <w:t>▲1、多家供应商参加投标，如其中两家或两家以上供应商的法定代表人为同一人或相互之间存在投资关系且达到控股的，按一家投标人计算，评审后得分最高的投标人排名在前；评审得分相同的，报价低的投标人排名在前；当报价也相同时，则以商务技术标最优一家为有效供应商；均相同时，由评标委员会集体决定。</w:t>
      </w:r>
    </w:p>
    <w:p>
      <w:pPr>
        <w:pStyle w:val="18"/>
        <w:snapToGrid w:val="0"/>
        <w:spacing w:before="0" w:beforeLines="0" w:after="0" w:afterLines="0" w:line="360" w:lineRule="auto"/>
        <w:ind w:firstLine="480" w:firstLineChars="200"/>
        <w:rPr>
          <w:rFonts w:hint="eastAsia" w:hAnsi="宋体" w:cs="宋体"/>
          <w:b/>
          <w:bCs/>
          <w:kern w:val="0"/>
        </w:rPr>
      </w:pPr>
      <w:r>
        <w:rPr>
          <w:rFonts w:hint="eastAsia" w:hAnsi="宋体" w:cs="宋体"/>
          <w:kern w:val="0"/>
        </w:rPr>
        <w:t>▲2、非单一产品采购项目，采购人应当根据采购项目技术构成、产品价格比重等合理确定核心产品，并在招标文件中载明，多家投标人提供的核心产品品牌相同的，按一家投标人认定。评审时，取其综合得分最高的一家为有效投标人；综合得分相同时，按抽签确定，多家投标供应商提供的核心产品品牌相同的，按前两款规定处理。</w:t>
      </w:r>
      <w:r>
        <w:rPr>
          <w:rFonts w:hint="eastAsia" w:hAnsi="宋体" w:cs="宋体"/>
          <w:b/>
          <w:bCs/>
          <w:kern w:val="0"/>
        </w:rPr>
        <w:t>本项目无核心产品。</w:t>
      </w:r>
    </w:p>
    <w:p>
      <w:pPr>
        <w:pStyle w:val="18"/>
        <w:numPr>
          <w:ilvl w:val="0"/>
          <w:numId w:val="21"/>
        </w:numPr>
        <w:snapToGrid w:val="0"/>
        <w:spacing w:before="120" w:after="120" w:line="360" w:lineRule="auto"/>
        <w:ind w:left="3" w:leftChars="1" w:firstLine="480" w:firstLineChars="200"/>
        <w:rPr>
          <w:rFonts w:hint="eastAsia" w:hAnsi="宋体" w:cs="宋体"/>
        </w:rPr>
      </w:pPr>
      <w:r>
        <w:rPr>
          <w:rFonts w:hint="eastAsia" w:hAnsi="宋体" w:cs="宋体"/>
        </w:rPr>
        <w:t>投标人投标所使用的资格、信誉、荣誉、业绩与企业认证必须为本法人所拥有。投标人投标所使用的采购项目实施人员必须为本法人员工（或必须为本法人或控股公司正式员工）。</w:t>
      </w:r>
    </w:p>
    <w:p>
      <w:pPr>
        <w:spacing w:line="360" w:lineRule="auto"/>
        <w:ind w:firstLine="480" w:firstLineChars="200"/>
        <w:rPr>
          <w:rFonts w:hint="eastAsia" w:ascii="宋体" w:hAnsi="宋体" w:cs="宋体"/>
        </w:rPr>
      </w:pPr>
      <w:r>
        <w:rPr>
          <w:rFonts w:hint="eastAsia" w:ascii="宋体" w:hAnsi="宋体" w:cs="宋体"/>
          <w:sz w:val="24"/>
        </w:rPr>
        <w:t>4、投标供应商所投产品除招标文件中明确规定要求“提供官网截图或相应检测报告的证明材料”以外，所有技术参数描述均以电子投标文件为准。投标供应商对所投产品技术参数的真实性承担法律责任。项目招标结束后、质疑期限内，如有质疑供应商认为中标供应商所投产品、电子投标文件技术参数与招标需求存在重大偏离、错误、甚至造假的情况，应提供具体有效的证明材料。</w:t>
      </w:r>
      <w:r>
        <w:rPr>
          <w:rFonts w:hint="eastAsia" w:ascii="宋体" w:hAnsi="宋体" w:cs="宋体"/>
          <w:sz w:val="24"/>
        </w:rPr>
        <w:tab/>
      </w:r>
    </w:p>
    <w:p>
      <w:pPr>
        <w:pStyle w:val="18"/>
        <w:snapToGrid w:val="0"/>
        <w:spacing w:before="120" w:after="120" w:line="360" w:lineRule="auto"/>
        <w:ind w:left="3" w:leftChars="1" w:firstLine="480" w:firstLineChars="200"/>
        <w:rPr>
          <w:rFonts w:hint="eastAsia" w:hAnsi="宋体" w:cs="宋体"/>
        </w:rPr>
      </w:pPr>
      <w:r>
        <w:rPr>
          <w:rFonts w:hint="eastAsia" w:hAnsi="宋体" w:cs="宋体"/>
        </w:rPr>
        <w:t>5、投标人应仔细阅读招标文件的所有内容，按照招标文件的要求提交投标文件，并对所提供的全部资料的真实性承担法律责任。</w:t>
      </w:r>
    </w:p>
    <w:p>
      <w:pPr>
        <w:pStyle w:val="105"/>
        <w:snapToGrid w:val="0"/>
        <w:spacing w:line="360" w:lineRule="auto"/>
        <w:ind w:firstLineChars="0"/>
        <w:rPr>
          <w:rFonts w:hint="eastAsia" w:ascii="宋体" w:hAnsi="宋体" w:cs="宋体"/>
        </w:rPr>
      </w:pPr>
      <w:r>
        <w:rPr>
          <w:rFonts w:hint="eastAsia" w:ascii="宋体" w:hAnsi="宋体" w:cs="宋体"/>
          <w:sz w:val="24"/>
          <w:szCs w:val="24"/>
        </w:rPr>
        <w:t>6、投标人在投标活动中提供任何虚假材料,其投标无效，并报监管部门查处；中标后发现的,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8"/>
        <w:snapToGrid w:val="0"/>
        <w:spacing w:before="120" w:after="120" w:line="360" w:lineRule="auto"/>
        <w:ind w:left="3" w:leftChars="1" w:firstLine="480" w:firstLineChars="200"/>
        <w:rPr>
          <w:rFonts w:hint="eastAsia" w:hAnsi="宋体" w:cs="宋体"/>
        </w:rPr>
      </w:pPr>
      <w:r>
        <w:rPr>
          <w:rFonts w:hint="eastAsia" w:hAnsi="宋体" w:cs="宋体"/>
        </w:rPr>
        <w:t>7、投标人被列入“黑名单”的，采购组织单位将根据《浙江省政府采购供应商注册及诚信管理暂行办法》第四十六条之规定，在处罚有效期内，资格审查时不予通过。</w:t>
      </w:r>
    </w:p>
    <w:p>
      <w:pPr>
        <w:pStyle w:val="18"/>
        <w:snapToGrid w:val="0"/>
        <w:spacing w:before="120" w:after="120" w:line="360" w:lineRule="auto"/>
        <w:ind w:left="3" w:leftChars="1" w:firstLine="480" w:firstLineChars="200"/>
        <w:rPr>
          <w:rFonts w:hint="eastAsia" w:hAnsi="宋体" w:cs="宋体"/>
          <w:b/>
        </w:rPr>
      </w:pPr>
      <w:r>
        <w:rPr>
          <w:rFonts w:hint="eastAsia" w:hAnsi="宋体" w:cs="宋体"/>
        </w:rPr>
        <w:t>8、对列入失信被执行人、重大税收违法案件当事人名单、政府采购严重违法失信行为记录名单及其他不符合《中华人民共和国政府采购法》第二十二条规定条件的供应商，将被拒绝其参与政府采购活动，其投标文件作无效标处理。</w:t>
      </w:r>
    </w:p>
    <w:p>
      <w:pPr>
        <w:pStyle w:val="18"/>
        <w:snapToGrid w:val="0"/>
        <w:spacing w:before="120" w:after="120" w:line="360" w:lineRule="auto"/>
        <w:ind w:firstLine="472" w:firstLineChars="196"/>
        <w:outlineLvl w:val="1"/>
        <w:rPr>
          <w:rFonts w:hAnsi="宋体"/>
          <w:b/>
          <w:bCs/>
        </w:rPr>
      </w:pPr>
      <w:r>
        <w:rPr>
          <w:rFonts w:hAnsi="宋体"/>
          <w:b/>
          <w:bCs/>
        </w:rPr>
        <w:t>（九）质疑和投诉</w:t>
      </w:r>
    </w:p>
    <w:p>
      <w:pPr>
        <w:pStyle w:val="18"/>
        <w:snapToGrid w:val="0"/>
        <w:spacing w:before="120" w:after="120" w:line="360" w:lineRule="auto"/>
        <w:ind w:left="3" w:leftChars="1" w:firstLine="480" w:firstLineChars="200"/>
        <w:rPr>
          <w:rFonts w:hint="eastAsia" w:hAnsi="宋体" w:cs="宋体"/>
        </w:rPr>
      </w:pPr>
      <w:r>
        <w:rPr>
          <w:rFonts w:hint="eastAsia" w:hAnsi="宋体" w:cs="宋体"/>
        </w:rPr>
        <w:t>1.投标人认为招标文件、招标过程或中标结果使自己的合法权益受到损害的，应当在知道或者应知其权益受到损害之日起七个工作日内，以书面形式向采购人、采购代理机构提出质疑。投标人对招标采购单位的质疑答复不满意或者招标采购单位未在规定时间内作出答复的，可以在答复期满后十五个工作日内向同级采购监管部门投诉。</w:t>
      </w:r>
    </w:p>
    <w:p>
      <w:pPr>
        <w:pStyle w:val="18"/>
        <w:snapToGrid w:val="0"/>
        <w:spacing w:before="120" w:after="120" w:line="360" w:lineRule="auto"/>
        <w:ind w:left="3" w:leftChars="1" w:firstLine="480" w:firstLineChars="200"/>
        <w:rPr>
          <w:rFonts w:hint="eastAsia" w:hAnsi="宋体" w:cs="宋体"/>
        </w:rPr>
      </w:pPr>
      <w:r>
        <w:rPr>
          <w:rFonts w:hint="eastAsia" w:hAnsi="宋体" w:cs="宋体"/>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pPr>
        <w:pStyle w:val="18"/>
        <w:snapToGrid w:val="0"/>
        <w:spacing w:before="120" w:beforeLines="0" w:after="120" w:afterLines="0" w:line="360" w:lineRule="auto"/>
        <w:rPr>
          <w:rFonts w:hAnsi="宋体"/>
          <w:b/>
          <w:sz w:val="30"/>
          <w:szCs w:val="30"/>
        </w:rPr>
      </w:pPr>
      <w:r>
        <w:rPr>
          <w:rFonts w:hAnsi="宋体"/>
          <w:b/>
          <w:sz w:val="30"/>
          <w:szCs w:val="30"/>
        </w:rPr>
        <w:t>二、招标文件</w:t>
      </w:r>
    </w:p>
    <w:p>
      <w:pPr>
        <w:snapToGrid w:val="0"/>
        <w:spacing w:line="360" w:lineRule="auto"/>
        <w:ind w:firstLine="472" w:firstLineChars="196"/>
        <w:jc w:val="left"/>
        <w:rPr>
          <w:rFonts w:ascii="宋体" w:hAnsi="宋体"/>
          <w:b/>
          <w:sz w:val="24"/>
          <w:szCs w:val="20"/>
        </w:rPr>
      </w:pPr>
      <w:r>
        <w:rPr>
          <w:rFonts w:hint="eastAsia" w:ascii="宋体" w:hAnsi="宋体"/>
          <w:b/>
          <w:sz w:val="24"/>
        </w:rPr>
        <w:t>（一）招标文件的构成。本招标文件由以下部份组成：</w:t>
      </w:r>
    </w:p>
    <w:p>
      <w:pPr>
        <w:snapToGrid w:val="0"/>
        <w:spacing w:line="360" w:lineRule="auto"/>
        <w:ind w:firstLine="480" w:firstLineChars="200"/>
        <w:jc w:val="left"/>
        <w:rPr>
          <w:rFonts w:ascii="宋体" w:hAnsi="宋体"/>
          <w:sz w:val="24"/>
          <w:szCs w:val="20"/>
        </w:rPr>
      </w:pPr>
      <w:r>
        <w:rPr>
          <w:rFonts w:ascii="宋体" w:hAnsi="宋体"/>
          <w:sz w:val="24"/>
        </w:rPr>
        <w:t>1</w:t>
      </w:r>
      <w:r>
        <w:rPr>
          <w:rFonts w:hint="eastAsia" w:ascii="宋体" w:hAnsi="宋体"/>
          <w:sz w:val="24"/>
        </w:rPr>
        <w:t>.</w:t>
      </w:r>
      <w:r>
        <w:rPr>
          <w:rFonts w:ascii="宋体" w:hAnsi="宋体"/>
          <w:sz w:val="24"/>
        </w:rPr>
        <w:t>招标公告</w:t>
      </w:r>
    </w:p>
    <w:p>
      <w:pPr>
        <w:snapToGrid w:val="0"/>
        <w:spacing w:line="360" w:lineRule="auto"/>
        <w:ind w:firstLine="480" w:firstLineChars="200"/>
        <w:jc w:val="left"/>
        <w:rPr>
          <w:rFonts w:ascii="宋体" w:hAnsi="宋体"/>
          <w:sz w:val="24"/>
          <w:szCs w:val="20"/>
        </w:rPr>
      </w:pPr>
      <w:r>
        <w:rPr>
          <w:rFonts w:ascii="宋体" w:hAnsi="宋体"/>
          <w:sz w:val="24"/>
        </w:rPr>
        <w:t>2</w:t>
      </w:r>
      <w:r>
        <w:rPr>
          <w:rFonts w:hint="eastAsia" w:ascii="宋体" w:hAnsi="宋体"/>
          <w:sz w:val="24"/>
        </w:rPr>
        <w:t>.</w:t>
      </w:r>
      <w:r>
        <w:rPr>
          <w:rFonts w:ascii="宋体" w:hAnsi="宋体"/>
          <w:sz w:val="24"/>
        </w:rPr>
        <w:t>招标需求</w:t>
      </w:r>
    </w:p>
    <w:p>
      <w:pPr>
        <w:snapToGrid w:val="0"/>
        <w:spacing w:line="360" w:lineRule="auto"/>
        <w:ind w:firstLine="480" w:firstLineChars="200"/>
        <w:jc w:val="left"/>
        <w:rPr>
          <w:rFonts w:ascii="宋体" w:hAnsi="宋体"/>
          <w:sz w:val="24"/>
          <w:szCs w:val="20"/>
        </w:rPr>
      </w:pPr>
      <w:r>
        <w:rPr>
          <w:rFonts w:ascii="宋体" w:hAnsi="宋体"/>
          <w:sz w:val="24"/>
        </w:rPr>
        <w:t>3</w:t>
      </w:r>
      <w:r>
        <w:rPr>
          <w:rFonts w:hint="eastAsia" w:ascii="宋体" w:hAnsi="宋体"/>
          <w:sz w:val="24"/>
        </w:rPr>
        <w:t>.</w:t>
      </w:r>
      <w:r>
        <w:rPr>
          <w:rFonts w:ascii="宋体" w:hAnsi="宋体"/>
          <w:sz w:val="24"/>
        </w:rPr>
        <w:t>投标人须知</w:t>
      </w:r>
    </w:p>
    <w:p>
      <w:pPr>
        <w:snapToGrid w:val="0"/>
        <w:spacing w:line="360" w:lineRule="auto"/>
        <w:ind w:firstLine="480" w:firstLineChars="200"/>
        <w:jc w:val="left"/>
        <w:rPr>
          <w:rFonts w:ascii="宋体" w:hAnsi="宋体"/>
          <w:sz w:val="24"/>
          <w:szCs w:val="20"/>
        </w:rPr>
      </w:pPr>
      <w:r>
        <w:rPr>
          <w:rFonts w:ascii="宋体" w:hAnsi="宋体"/>
          <w:sz w:val="24"/>
        </w:rPr>
        <w:t>4</w:t>
      </w:r>
      <w:r>
        <w:rPr>
          <w:rFonts w:hint="eastAsia" w:ascii="宋体" w:hAnsi="宋体"/>
          <w:sz w:val="24"/>
        </w:rPr>
        <w:t>.</w:t>
      </w:r>
      <w:r>
        <w:rPr>
          <w:rFonts w:ascii="宋体" w:hAnsi="宋体"/>
          <w:sz w:val="24"/>
        </w:rPr>
        <w:t>评标办法及标准</w:t>
      </w:r>
    </w:p>
    <w:p>
      <w:pPr>
        <w:snapToGrid w:val="0"/>
        <w:spacing w:line="360" w:lineRule="auto"/>
        <w:ind w:firstLine="480" w:firstLineChars="200"/>
        <w:jc w:val="left"/>
        <w:rPr>
          <w:rFonts w:hint="eastAsia" w:ascii="宋体" w:hAnsi="宋体"/>
          <w:sz w:val="24"/>
          <w:szCs w:val="20"/>
        </w:rPr>
      </w:pPr>
      <w:r>
        <w:rPr>
          <w:rFonts w:ascii="宋体" w:hAnsi="宋体"/>
          <w:sz w:val="24"/>
        </w:rPr>
        <w:t>5</w:t>
      </w:r>
      <w:r>
        <w:rPr>
          <w:rFonts w:hint="eastAsia" w:ascii="宋体" w:hAnsi="宋体"/>
          <w:sz w:val="24"/>
        </w:rPr>
        <w:t>合同主要条款</w:t>
      </w:r>
    </w:p>
    <w:p>
      <w:pPr>
        <w:snapToGrid w:val="0"/>
        <w:spacing w:line="360" w:lineRule="auto"/>
        <w:ind w:firstLine="480" w:firstLineChars="200"/>
        <w:jc w:val="left"/>
        <w:rPr>
          <w:rFonts w:hint="eastAsia" w:ascii="宋体" w:hAnsi="宋体"/>
          <w:sz w:val="24"/>
        </w:rPr>
      </w:pPr>
      <w:r>
        <w:rPr>
          <w:rFonts w:ascii="宋体" w:hAnsi="宋体"/>
          <w:sz w:val="24"/>
        </w:rPr>
        <w:t>6</w:t>
      </w:r>
      <w:r>
        <w:rPr>
          <w:rFonts w:hint="eastAsia" w:ascii="宋体" w:hAnsi="宋体"/>
          <w:sz w:val="24"/>
        </w:rPr>
        <w:t>.</w:t>
      </w:r>
      <w:r>
        <w:rPr>
          <w:rFonts w:ascii="宋体" w:hAnsi="宋体"/>
          <w:sz w:val="24"/>
        </w:rPr>
        <w:t>投标文件格式</w:t>
      </w:r>
    </w:p>
    <w:p>
      <w:pPr>
        <w:snapToGrid w:val="0"/>
        <w:spacing w:line="360" w:lineRule="auto"/>
        <w:ind w:firstLine="480" w:firstLineChars="200"/>
        <w:jc w:val="left"/>
        <w:rPr>
          <w:rFonts w:hint="eastAsia" w:ascii="宋体" w:hAnsi="宋体"/>
          <w:sz w:val="24"/>
          <w:szCs w:val="20"/>
        </w:rPr>
      </w:pPr>
      <w:r>
        <w:rPr>
          <w:rFonts w:hint="eastAsia" w:ascii="宋体" w:hAnsi="宋体"/>
          <w:sz w:val="24"/>
        </w:rPr>
        <w:t>7.本项目</w:t>
      </w:r>
      <w:r>
        <w:rPr>
          <w:rFonts w:ascii="宋体" w:hAnsi="宋体"/>
          <w:sz w:val="24"/>
        </w:rPr>
        <w:t>招标文件</w:t>
      </w:r>
      <w:r>
        <w:rPr>
          <w:rFonts w:hint="eastAsia" w:ascii="宋体" w:hAnsi="宋体"/>
          <w:sz w:val="24"/>
        </w:rPr>
        <w:t>的</w:t>
      </w:r>
      <w:r>
        <w:rPr>
          <w:rFonts w:ascii="宋体" w:hAnsi="宋体"/>
          <w:sz w:val="24"/>
        </w:rPr>
        <w:t>澄清、答复、修改、补充的内容</w:t>
      </w:r>
    </w:p>
    <w:p>
      <w:pPr>
        <w:snapToGrid w:val="0"/>
        <w:spacing w:before="120" w:beforeLines="50" w:line="360" w:lineRule="auto"/>
        <w:ind w:firstLine="472" w:firstLineChars="196"/>
        <w:jc w:val="left"/>
        <w:rPr>
          <w:rFonts w:ascii="宋体" w:hAnsi="宋体"/>
          <w:b/>
          <w:sz w:val="24"/>
          <w:szCs w:val="20"/>
        </w:rPr>
      </w:pPr>
      <w:r>
        <w:rPr>
          <w:rFonts w:hint="eastAsia" w:ascii="宋体" w:hAnsi="宋体"/>
          <w:b/>
          <w:sz w:val="24"/>
        </w:rPr>
        <w:t>（二）投标人的风险</w:t>
      </w:r>
    </w:p>
    <w:p>
      <w:pPr>
        <w:snapToGrid w:val="0"/>
        <w:spacing w:line="360" w:lineRule="auto"/>
        <w:ind w:firstLine="480" w:firstLineChars="200"/>
        <w:jc w:val="left"/>
        <w:rPr>
          <w:rFonts w:ascii="宋体" w:hAnsi="宋体"/>
          <w:szCs w:val="20"/>
        </w:rPr>
      </w:pPr>
      <w:r>
        <w:rPr>
          <w:rFonts w:hint="eastAsia" w:ascii="宋体" w:hAnsi="宋体"/>
          <w:sz w:val="24"/>
        </w:rPr>
        <w:t>投标人没有按照招标文件要求提供全部资料，或者投标人没有对招标文件在各方面作出实质性响应是投标人的风险，并可能导致其投标被拒绝。</w:t>
      </w:r>
    </w:p>
    <w:p>
      <w:pPr>
        <w:pStyle w:val="7"/>
        <w:widowControl w:val="0"/>
        <w:tabs>
          <w:tab w:val="clear" w:pos="454"/>
          <w:tab w:val="clear" w:pos="900"/>
        </w:tabs>
        <w:snapToGrid w:val="0"/>
        <w:spacing w:before="120" w:beforeLines="50" w:after="120" w:line="360" w:lineRule="auto"/>
        <w:ind w:left="0" w:firstLine="472" w:firstLineChars="196"/>
        <w:rPr>
          <w:rFonts w:ascii="宋体" w:hAnsi="宋体"/>
          <w:b/>
          <w:szCs w:val="24"/>
        </w:rPr>
      </w:pPr>
      <w:r>
        <w:rPr>
          <w:rFonts w:hint="eastAsia" w:ascii="宋体" w:hAnsi="宋体"/>
          <w:b/>
          <w:szCs w:val="24"/>
        </w:rPr>
        <w:t>（三）招标文件的澄清与修改</w:t>
      </w:r>
      <w:r>
        <w:rPr>
          <w:rFonts w:ascii="宋体" w:hAnsi="宋体"/>
          <w:b/>
          <w:szCs w:val="24"/>
        </w:rPr>
        <w:t xml:space="preserve"> </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1.投标人应认真阅读本招标文件，发现其中有误或有不合理要求的，投标人必须在前附表规定的时间内以书面形式要求招标采购单位澄清。采购代理机构对已发出的招标文件进行必要澄清、答复、修改或补充的，应当在招标文件要求提交投标文件截止时间</w:t>
      </w:r>
      <w:r>
        <w:rPr>
          <w:rFonts w:hint="eastAsia" w:ascii="宋体" w:hAnsi="宋体"/>
          <w:kern w:val="0"/>
          <w:sz w:val="24"/>
          <w:lang w:eastAsia="zh-CN"/>
        </w:rPr>
        <w:t>十</w:t>
      </w:r>
      <w:r>
        <w:rPr>
          <w:rFonts w:hint="eastAsia" w:ascii="宋体" w:hAnsi="宋体"/>
          <w:kern w:val="0"/>
          <w:sz w:val="24"/>
        </w:rPr>
        <w:t>五日前，在公告信息发布媒体上发布更正公告，并以书面形式通知所有招标文件收受人。</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2.采购代理机构必须以书面形式答复投标人要求澄清的问题，并将不包含问题来源的答复书面通知所有购买招标文件的投标人；除书面答复以外的其他澄清方式及澄清内容均无效。</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3.招标文件澄清、答复、修改、补充的内容为招标文件的组成部分。当招标文件与招标文件的答复、澄清、修改、补充通知就同一内容的表述不一致时，以最后发出的书面文件为准。</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4.招标文件的澄清、答复、修改或补充都应该通过本代理机构以法定形式发布，采购人非通过本机构，不得擅自澄清、答复、修改或补充招标文件。</w:t>
      </w:r>
    </w:p>
    <w:p>
      <w:pPr>
        <w:pStyle w:val="18"/>
        <w:snapToGrid w:val="0"/>
        <w:spacing w:before="120" w:beforeLines="0" w:after="120" w:afterLines="0" w:line="360" w:lineRule="auto"/>
        <w:rPr>
          <w:rFonts w:hAnsi="宋体"/>
          <w:b/>
          <w:sz w:val="30"/>
          <w:szCs w:val="30"/>
        </w:rPr>
      </w:pPr>
      <w:r>
        <w:rPr>
          <w:rFonts w:hAnsi="宋体"/>
          <w:b/>
          <w:sz w:val="30"/>
          <w:szCs w:val="30"/>
        </w:rPr>
        <w:t>三、投标文件的编制</w:t>
      </w:r>
    </w:p>
    <w:p>
      <w:pPr>
        <w:snapToGrid w:val="0"/>
        <w:spacing w:line="360" w:lineRule="auto"/>
        <w:ind w:firstLine="472" w:firstLineChars="196"/>
        <w:jc w:val="left"/>
        <w:outlineLvl w:val="0"/>
        <w:rPr>
          <w:rFonts w:ascii="宋体" w:hAnsi="宋体"/>
          <w:b/>
          <w:sz w:val="24"/>
        </w:rPr>
      </w:pPr>
      <w:r>
        <w:rPr>
          <w:rFonts w:hint="eastAsia" w:ascii="宋体" w:hAnsi="宋体"/>
          <w:b/>
          <w:sz w:val="24"/>
        </w:rPr>
        <w:t>（一）</w:t>
      </w:r>
      <w:r>
        <w:rPr>
          <w:rFonts w:ascii="宋体" w:hAnsi="宋体"/>
          <w:b/>
          <w:sz w:val="24"/>
        </w:rPr>
        <w:tab/>
      </w:r>
      <w:r>
        <w:rPr>
          <w:rFonts w:hint="eastAsia" w:ascii="宋体" w:hAnsi="宋体"/>
          <w:b/>
          <w:sz w:val="24"/>
        </w:rPr>
        <w:t>投标文件的要求</w:t>
      </w:r>
    </w:p>
    <w:p>
      <w:pPr>
        <w:autoSpaceDE w:val="0"/>
        <w:autoSpaceDN w:val="0"/>
        <w:adjustRightInd w:val="0"/>
        <w:spacing w:line="360" w:lineRule="auto"/>
        <w:rPr>
          <w:rFonts w:hint="eastAsia" w:ascii="宋体" w:hAnsi="宋体"/>
          <w:kern w:val="0"/>
          <w:sz w:val="24"/>
        </w:rPr>
      </w:pPr>
      <w:r>
        <w:rPr>
          <w:rFonts w:hint="eastAsia" w:ascii="宋体" w:hAnsi="宋体"/>
          <w:sz w:val="24"/>
        </w:rPr>
        <w:t xml:space="preserve"> </w:t>
      </w:r>
      <w:r>
        <w:rPr>
          <w:rFonts w:hint="eastAsia" w:ascii="宋体" w:hAnsi="宋体"/>
          <w:kern w:val="0"/>
          <w:sz w:val="24"/>
        </w:rPr>
        <w:t xml:space="preserve"> 1、投标人应仔细阅读招标文件的所有内容，按照要求详细编制投标文件，并保证投标文件的正确性和真实性。</w:t>
      </w:r>
    </w:p>
    <w:p>
      <w:pPr>
        <w:autoSpaceDE w:val="0"/>
        <w:autoSpaceDN w:val="0"/>
        <w:adjustRightInd w:val="0"/>
        <w:spacing w:line="360" w:lineRule="auto"/>
        <w:rPr>
          <w:rFonts w:hint="eastAsia" w:ascii="宋体" w:hAnsi="宋体"/>
          <w:kern w:val="0"/>
          <w:sz w:val="24"/>
        </w:rPr>
      </w:pPr>
      <w:r>
        <w:rPr>
          <w:rFonts w:hint="eastAsia" w:ascii="宋体" w:hAnsi="宋体"/>
          <w:kern w:val="0"/>
          <w:sz w:val="24"/>
        </w:rPr>
        <w:t xml:space="preserve">    2、本项目通过“政府采购云平台（www.zcygov.cn）”实行在线投标响应（电子投标）。供应商应通过“政采云电子交易客户端”，并按照本招标文件和“政府采购云平台”的要求编制、加密投标文件并按要求上传递交。</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3、供应商应当按要求在“政采云电子交易客户端”编制投标文件。其中资格响应文件、商务技术响应文件中不得出现本项目投标报价，如因投标人原因提前泄露投标报价，是投标人的责任。</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4、本文件中有提供格式的，投标供应商须参照格式进行编制，格式中要求提供相关证明材料的还需后附相关证明材料，并按格式要求在指定位置根据要求进行签字或盖章，否则视为未提供；本文件未提供格式的，请各投标单位自行拟定格式。</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5、投标文件内容不完整、编排混乱等导致投标文件被误读、漏读或者查找不到相关内容的，是投标供应商的责任。</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6、投标文件因字迹潦草或表达不清所引起的后果由投标供应商负责。</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7、供应商没有按照要求提供全部资料，或者没有仔细阅读招标文件，或者没有对招标文件在各方面的要求作出实质性响应是投标供应商的风险，由此造成的一切后果由投标供应商自行承担。</w:t>
      </w:r>
    </w:p>
    <w:p>
      <w:pPr>
        <w:autoSpaceDE w:val="0"/>
        <w:autoSpaceDN w:val="0"/>
        <w:adjustRightInd w:val="0"/>
        <w:spacing w:line="360" w:lineRule="auto"/>
        <w:ind w:firstLine="482" w:firstLineChars="200"/>
        <w:rPr>
          <w:rFonts w:hint="eastAsia" w:ascii="宋体" w:hAnsi="宋体"/>
          <w:b/>
          <w:sz w:val="24"/>
        </w:rPr>
      </w:pPr>
      <w:r>
        <w:rPr>
          <w:rFonts w:hint="eastAsia" w:ascii="宋体" w:hAnsi="宋体"/>
          <w:b/>
          <w:sz w:val="24"/>
        </w:rPr>
        <w:t>（二）投标文件的组成（参加多个标段投标的投标人必须对每个标段单独递交投标文件）</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投标文件包括资格响应文件、商务技术响应文件、报价要求响应文件，具体包含的内容及组成以政采云电子交易客户端为准。政采云电子交易客户端（政釆云投标客户端）中还需填写开标一览表（如有）。</w:t>
      </w:r>
    </w:p>
    <w:p>
      <w:pPr>
        <w:autoSpaceDE w:val="0"/>
        <w:autoSpaceDN w:val="0"/>
        <w:adjustRightInd w:val="0"/>
        <w:spacing w:line="360" w:lineRule="auto"/>
        <w:ind w:firstLine="482" w:firstLineChars="200"/>
        <w:rPr>
          <w:rFonts w:hint="eastAsia" w:ascii="宋体" w:hAnsi="宋体"/>
          <w:b/>
          <w:bCs/>
          <w:kern w:val="0"/>
          <w:sz w:val="24"/>
        </w:rPr>
      </w:pPr>
      <w:r>
        <w:rPr>
          <w:rFonts w:hint="eastAsia" w:ascii="宋体" w:hAnsi="宋体"/>
          <w:b/>
          <w:bCs/>
          <w:kern w:val="0"/>
          <w:sz w:val="24"/>
        </w:rPr>
        <w:t>1、资格响应文件：</w:t>
      </w:r>
    </w:p>
    <w:p>
      <w:pPr>
        <w:autoSpaceDE w:val="0"/>
        <w:autoSpaceDN w:val="0"/>
        <w:adjustRightInd w:val="0"/>
        <w:spacing w:line="360" w:lineRule="auto"/>
        <w:ind w:firstLine="240" w:firstLineChars="100"/>
        <w:rPr>
          <w:rFonts w:hint="eastAsia" w:ascii="宋体" w:hAnsi="宋体" w:cs="宋体"/>
          <w:kern w:val="0"/>
          <w:sz w:val="24"/>
        </w:rPr>
      </w:pPr>
      <w:r>
        <w:rPr>
          <w:rFonts w:hint="eastAsia" w:ascii="宋体" w:hAnsi="宋体" w:cs="宋体"/>
          <w:kern w:val="0"/>
          <w:sz w:val="24"/>
        </w:rPr>
        <w:t>（1）投标声明书（格式见附件）；</w:t>
      </w:r>
    </w:p>
    <w:p>
      <w:pPr>
        <w:autoSpaceDE w:val="0"/>
        <w:autoSpaceDN w:val="0"/>
        <w:adjustRightInd w:val="0"/>
        <w:spacing w:line="360" w:lineRule="auto"/>
        <w:ind w:firstLine="240" w:firstLineChars="100"/>
        <w:rPr>
          <w:rFonts w:hint="eastAsia" w:ascii="宋体" w:hAnsi="宋体" w:cs="宋体"/>
          <w:kern w:val="0"/>
          <w:sz w:val="24"/>
        </w:rPr>
      </w:pPr>
      <w:r>
        <w:rPr>
          <w:rFonts w:hint="eastAsia" w:ascii="宋体" w:hAnsi="宋体" w:cs="宋体"/>
          <w:kern w:val="0"/>
          <w:sz w:val="24"/>
        </w:rPr>
        <w:t>（2）法定代表人授权书、法定代表人身份证明（若规定签字或盖章位置由法定代表人按要求签字或盖章，则无需提供法定代表人授权书，仅提供法定代表人身份证明即可，法定代表人须与营业执照上载明的一致）；</w:t>
      </w:r>
    </w:p>
    <w:p>
      <w:pPr>
        <w:autoSpaceDE w:val="0"/>
        <w:autoSpaceDN w:val="0"/>
        <w:adjustRightInd w:val="0"/>
        <w:spacing w:line="360" w:lineRule="auto"/>
        <w:ind w:firstLine="240" w:firstLineChars="100"/>
        <w:rPr>
          <w:rFonts w:hint="eastAsia" w:ascii="宋体" w:hAnsi="宋体" w:cs="宋体"/>
          <w:kern w:val="0"/>
          <w:sz w:val="24"/>
        </w:rPr>
      </w:pPr>
      <w:r>
        <w:rPr>
          <w:rFonts w:hint="eastAsia" w:ascii="宋体" w:hAnsi="宋体" w:cs="宋体"/>
          <w:kern w:val="0"/>
          <w:sz w:val="24"/>
        </w:rPr>
        <w:t>（3）</w:t>
      </w:r>
      <w:r>
        <w:rPr>
          <w:rFonts w:hint="eastAsia" w:ascii="宋体" w:hAnsi="宋体" w:cs="宋体"/>
          <w:kern w:val="0"/>
          <w:sz w:val="24"/>
          <w:lang w:val="zh-CN"/>
        </w:rPr>
        <w:t>法人或者其他组织的营业执照等证明文件，自然人的身份证明；</w:t>
      </w:r>
      <w:r>
        <w:rPr>
          <w:rFonts w:hint="eastAsia" w:ascii="宋体" w:hAnsi="宋体" w:cs="宋体"/>
          <w:kern w:val="0"/>
          <w:sz w:val="24"/>
        </w:rPr>
        <w:t>；</w:t>
      </w:r>
    </w:p>
    <w:p>
      <w:pPr>
        <w:autoSpaceDE w:val="0"/>
        <w:autoSpaceDN w:val="0"/>
        <w:adjustRightInd w:val="0"/>
        <w:spacing w:line="360" w:lineRule="auto"/>
        <w:ind w:firstLine="240" w:firstLineChars="100"/>
        <w:rPr>
          <w:rFonts w:hint="eastAsia" w:ascii="宋体" w:hAnsi="宋体" w:cs="宋体"/>
          <w:kern w:val="0"/>
          <w:sz w:val="24"/>
        </w:rPr>
      </w:pPr>
      <w:r>
        <w:rPr>
          <w:rFonts w:hint="eastAsia" w:ascii="宋体" w:hAnsi="宋体" w:cs="宋体"/>
          <w:kern w:val="0"/>
          <w:sz w:val="24"/>
        </w:rPr>
        <w:t>（4）2019年度财务报表（2019年度财务报表未出的，请提供2018年度财务报表）；</w:t>
      </w:r>
    </w:p>
    <w:p>
      <w:pPr>
        <w:autoSpaceDE w:val="0"/>
        <w:autoSpaceDN w:val="0"/>
        <w:adjustRightInd w:val="0"/>
        <w:spacing w:line="360" w:lineRule="auto"/>
        <w:ind w:firstLine="240" w:firstLineChars="100"/>
        <w:rPr>
          <w:rFonts w:hint="eastAsia" w:ascii="宋体" w:hAnsi="宋体" w:cs="宋体"/>
          <w:kern w:val="0"/>
          <w:sz w:val="24"/>
        </w:rPr>
      </w:pPr>
      <w:r>
        <w:rPr>
          <w:rFonts w:hint="eastAsia" w:ascii="宋体" w:hAnsi="宋体" w:cs="宋体"/>
          <w:kern w:val="0"/>
          <w:sz w:val="24"/>
        </w:rPr>
        <w:t>（5）完税凭证或税务部门出具的证明，新成立单位出具银行资信证明；</w:t>
      </w:r>
    </w:p>
    <w:p>
      <w:pPr>
        <w:autoSpaceDE w:val="0"/>
        <w:autoSpaceDN w:val="0"/>
        <w:adjustRightInd w:val="0"/>
        <w:spacing w:line="360" w:lineRule="auto"/>
        <w:ind w:firstLine="240" w:firstLineChars="100"/>
        <w:rPr>
          <w:rFonts w:hint="eastAsia" w:ascii="宋体" w:hAnsi="宋体" w:cs="宋体"/>
          <w:kern w:val="0"/>
          <w:sz w:val="24"/>
        </w:rPr>
      </w:pPr>
      <w:r>
        <w:rPr>
          <w:rFonts w:hint="eastAsia" w:ascii="宋体" w:hAnsi="宋体" w:cs="宋体"/>
          <w:kern w:val="0"/>
          <w:sz w:val="24"/>
        </w:rPr>
        <w:t>（6）近三个月（2020年6月-2020年8月）社保缴纳凭证或人社部门出具的证明；</w:t>
      </w:r>
    </w:p>
    <w:p>
      <w:pPr>
        <w:autoSpaceDE w:val="0"/>
        <w:autoSpaceDN w:val="0"/>
        <w:adjustRightInd w:val="0"/>
        <w:spacing w:line="360" w:lineRule="auto"/>
        <w:ind w:firstLine="240" w:firstLineChars="100"/>
        <w:rPr>
          <w:rFonts w:hint="eastAsia" w:ascii="宋体" w:hAnsi="宋体" w:cs="宋体"/>
          <w:kern w:val="0"/>
          <w:sz w:val="24"/>
        </w:rPr>
      </w:pPr>
      <w:r>
        <w:rPr>
          <w:rFonts w:hint="eastAsia" w:ascii="宋体" w:hAnsi="宋体" w:cs="宋体"/>
          <w:kern w:val="0"/>
          <w:sz w:val="24"/>
        </w:rPr>
        <w:t>（</w:t>
      </w:r>
      <w:r>
        <w:rPr>
          <w:rFonts w:hint="eastAsia" w:ascii="宋体" w:hAnsi="宋体" w:cs="宋体"/>
          <w:kern w:val="0"/>
          <w:sz w:val="24"/>
          <w:lang w:val="en-US" w:eastAsia="zh-CN"/>
        </w:rPr>
        <w:t>7</w:t>
      </w:r>
      <w:r>
        <w:rPr>
          <w:rFonts w:hint="eastAsia" w:ascii="宋体" w:hAnsi="宋体" w:cs="宋体"/>
          <w:kern w:val="0"/>
          <w:sz w:val="24"/>
        </w:rPr>
        <w:t>）</w:t>
      </w:r>
      <w:r>
        <w:rPr>
          <w:rFonts w:hint="eastAsia" w:ascii="宋体" w:hAnsi="宋体" w:cs="宋体"/>
          <w:sz w:val="24"/>
        </w:rPr>
        <w:t>需要说明的其他资料。</w:t>
      </w:r>
    </w:p>
    <w:p>
      <w:pPr>
        <w:autoSpaceDE w:val="0"/>
        <w:autoSpaceDN w:val="0"/>
        <w:adjustRightInd w:val="0"/>
        <w:spacing w:line="360" w:lineRule="auto"/>
        <w:ind w:firstLine="482" w:firstLineChars="200"/>
        <w:rPr>
          <w:rFonts w:hint="eastAsia" w:ascii="宋体" w:hAnsi="宋体"/>
          <w:b/>
          <w:bCs/>
          <w:kern w:val="0"/>
          <w:sz w:val="24"/>
        </w:rPr>
      </w:pPr>
      <w:r>
        <w:rPr>
          <w:rFonts w:hint="eastAsia" w:ascii="宋体" w:hAnsi="宋体"/>
          <w:b/>
          <w:bCs/>
          <w:kern w:val="0"/>
          <w:sz w:val="24"/>
        </w:rPr>
        <w:t>2、商务技术响应文件</w:t>
      </w:r>
    </w:p>
    <w:p>
      <w:pPr>
        <w:autoSpaceDE w:val="0"/>
        <w:autoSpaceDN w:val="0"/>
        <w:adjustRightInd w:val="0"/>
        <w:spacing w:line="360" w:lineRule="auto"/>
        <w:ind w:firstLine="240" w:firstLineChars="100"/>
        <w:rPr>
          <w:rFonts w:hint="eastAsia" w:ascii="宋体" w:hAnsi="宋体" w:cs="宋体"/>
          <w:kern w:val="0"/>
          <w:sz w:val="24"/>
        </w:rPr>
      </w:pPr>
      <w:r>
        <w:rPr>
          <w:rFonts w:hint="eastAsia" w:ascii="宋体" w:hAnsi="宋体" w:cs="宋体"/>
          <w:kern w:val="0"/>
          <w:sz w:val="24"/>
        </w:rPr>
        <w:t>（1）各投标人根据自身对本项目的解读，按照本招标文件第四章“评标办法及评分标准”中商务技术标的打分内容，并结合第二章“招标需求”，由各投标人自行编制商务技术标；</w:t>
      </w:r>
    </w:p>
    <w:p>
      <w:pPr>
        <w:autoSpaceDE w:val="0"/>
        <w:autoSpaceDN w:val="0"/>
        <w:adjustRightInd w:val="0"/>
        <w:spacing w:line="360" w:lineRule="auto"/>
        <w:ind w:firstLine="240" w:firstLineChars="100"/>
        <w:rPr>
          <w:rFonts w:hint="eastAsia" w:ascii="宋体" w:hAnsi="宋体" w:cs="宋体"/>
          <w:kern w:val="0"/>
          <w:sz w:val="24"/>
        </w:rPr>
      </w:pPr>
      <w:r>
        <w:rPr>
          <w:rFonts w:hint="eastAsia" w:ascii="宋体" w:hAnsi="宋体" w:cs="宋体"/>
          <w:kern w:val="0"/>
          <w:sz w:val="24"/>
        </w:rPr>
        <w:t>（2）业绩一览表（格式见附件）</w:t>
      </w:r>
    </w:p>
    <w:p>
      <w:pPr>
        <w:autoSpaceDE w:val="0"/>
        <w:autoSpaceDN w:val="0"/>
        <w:adjustRightInd w:val="0"/>
        <w:spacing w:line="360" w:lineRule="auto"/>
        <w:ind w:firstLine="240" w:firstLineChars="100"/>
        <w:rPr>
          <w:rFonts w:hint="eastAsia" w:ascii="宋体" w:hAnsi="宋体" w:cs="宋体"/>
          <w:kern w:val="0"/>
          <w:sz w:val="24"/>
        </w:rPr>
      </w:pPr>
      <w:r>
        <w:rPr>
          <w:rFonts w:hint="eastAsia" w:ascii="宋体" w:hAnsi="宋体" w:cs="宋体"/>
          <w:kern w:val="0"/>
          <w:sz w:val="24"/>
        </w:rPr>
        <w:t>（3）项目实施人员一览表（格式见附件）；</w:t>
      </w:r>
    </w:p>
    <w:p>
      <w:pPr>
        <w:autoSpaceDE w:val="0"/>
        <w:autoSpaceDN w:val="0"/>
        <w:adjustRightInd w:val="0"/>
        <w:spacing w:line="360" w:lineRule="auto"/>
        <w:ind w:firstLine="240" w:firstLineChars="100"/>
        <w:rPr>
          <w:rFonts w:hint="eastAsia" w:ascii="宋体" w:hAnsi="宋体" w:cs="宋体"/>
          <w:kern w:val="0"/>
          <w:sz w:val="24"/>
        </w:rPr>
      </w:pPr>
      <w:r>
        <w:rPr>
          <w:rFonts w:hint="eastAsia" w:ascii="宋体" w:hAnsi="宋体" w:cs="宋体"/>
          <w:kern w:val="0"/>
          <w:sz w:val="24"/>
        </w:rPr>
        <w:t>（4）</w:t>
      </w:r>
      <w:r>
        <w:rPr>
          <w:rFonts w:hint="eastAsia" w:ascii="宋体" w:hAnsi="宋体" w:cs="宋体"/>
          <w:kern w:val="0"/>
          <w:sz w:val="24"/>
          <w:lang w:val="zh-CN"/>
        </w:rPr>
        <w:t>供货清单</w:t>
      </w:r>
      <w:r>
        <w:rPr>
          <w:rFonts w:hint="eastAsia" w:ascii="宋体" w:hAnsi="宋体" w:cs="宋体"/>
          <w:kern w:val="0"/>
          <w:sz w:val="24"/>
        </w:rPr>
        <w:t>（格式见附件）；</w:t>
      </w:r>
    </w:p>
    <w:p>
      <w:pPr>
        <w:autoSpaceDE w:val="0"/>
        <w:autoSpaceDN w:val="0"/>
        <w:adjustRightInd w:val="0"/>
        <w:spacing w:line="360" w:lineRule="auto"/>
        <w:ind w:firstLine="240" w:firstLineChars="100"/>
        <w:rPr>
          <w:rFonts w:hint="eastAsia" w:ascii="宋体" w:hAnsi="宋体" w:cs="宋体"/>
          <w:kern w:val="0"/>
          <w:sz w:val="24"/>
        </w:rPr>
      </w:pPr>
      <w:r>
        <w:rPr>
          <w:rFonts w:hint="eastAsia" w:ascii="宋体" w:hAnsi="宋体" w:cs="宋体"/>
          <w:kern w:val="0"/>
          <w:sz w:val="24"/>
        </w:rPr>
        <w:t>（5）技术需求响应表（格式见附件）；</w:t>
      </w:r>
    </w:p>
    <w:p>
      <w:pPr>
        <w:autoSpaceDE w:val="0"/>
        <w:autoSpaceDN w:val="0"/>
        <w:adjustRightInd w:val="0"/>
        <w:spacing w:line="360" w:lineRule="auto"/>
        <w:ind w:firstLine="240" w:firstLineChars="100"/>
        <w:rPr>
          <w:rFonts w:hint="eastAsia" w:ascii="宋体" w:hAnsi="宋体" w:cs="宋体"/>
        </w:rPr>
      </w:pPr>
      <w:r>
        <w:rPr>
          <w:rFonts w:hint="eastAsia" w:ascii="宋体" w:hAnsi="宋体" w:cs="宋体"/>
          <w:kern w:val="0"/>
          <w:sz w:val="24"/>
        </w:rPr>
        <w:t>（6）商务响应表（格式见附件）；</w:t>
      </w:r>
    </w:p>
    <w:p>
      <w:pPr>
        <w:snapToGrid w:val="0"/>
        <w:spacing w:line="360" w:lineRule="auto"/>
        <w:ind w:firstLine="240" w:firstLineChars="100"/>
        <w:jc w:val="left"/>
        <w:rPr>
          <w:rFonts w:hint="eastAsia" w:ascii="宋体" w:hAnsi="宋体" w:cs="宋体"/>
          <w:kern w:val="0"/>
          <w:sz w:val="24"/>
        </w:rPr>
      </w:pPr>
      <w:r>
        <w:rPr>
          <w:rFonts w:hint="eastAsia" w:ascii="宋体" w:hAnsi="宋体" w:cs="宋体"/>
          <w:kern w:val="0"/>
          <w:sz w:val="24"/>
        </w:rPr>
        <w:t>（7）根据评标办法需要提供的其他文件和资料。</w:t>
      </w:r>
    </w:p>
    <w:p>
      <w:pPr>
        <w:snapToGrid w:val="0"/>
        <w:spacing w:line="360" w:lineRule="auto"/>
        <w:ind w:firstLine="240" w:firstLineChars="100"/>
        <w:jc w:val="left"/>
        <w:rPr>
          <w:rFonts w:hint="eastAsia" w:ascii="宋体" w:hAnsi="宋体"/>
          <w:kern w:val="0"/>
          <w:sz w:val="24"/>
        </w:rPr>
      </w:pPr>
      <w:r>
        <w:rPr>
          <w:rFonts w:hint="eastAsia" w:ascii="宋体" w:hAnsi="宋体"/>
          <w:kern w:val="0"/>
          <w:sz w:val="24"/>
        </w:rPr>
        <w:t>以上所有要求提供的相关证明材料均需按评标办法要求提供。</w:t>
      </w:r>
    </w:p>
    <w:p>
      <w:pPr>
        <w:snapToGrid w:val="0"/>
        <w:spacing w:line="360" w:lineRule="auto"/>
        <w:ind w:firstLine="240" w:firstLineChars="100"/>
        <w:jc w:val="left"/>
        <w:rPr>
          <w:rFonts w:hint="eastAsia" w:ascii="宋体" w:hAnsi="宋体"/>
          <w:kern w:val="0"/>
          <w:sz w:val="24"/>
        </w:rPr>
      </w:pPr>
      <w:r>
        <w:rPr>
          <w:rFonts w:hint="eastAsia" w:ascii="宋体" w:hAnsi="宋体"/>
          <w:kern w:val="0"/>
          <w:sz w:val="24"/>
        </w:rPr>
        <w:t>商务技术响应文件内容缺项的，根据评标办法规定，该项得0分。</w:t>
      </w:r>
    </w:p>
    <w:p>
      <w:pPr>
        <w:autoSpaceDE w:val="0"/>
        <w:autoSpaceDN w:val="0"/>
        <w:adjustRightInd w:val="0"/>
        <w:spacing w:line="360" w:lineRule="auto"/>
        <w:ind w:firstLine="241" w:firstLineChars="100"/>
        <w:rPr>
          <w:rFonts w:hint="eastAsia" w:ascii="宋体" w:hAnsi="宋体"/>
          <w:b/>
          <w:bCs/>
          <w:kern w:val="0"/>
          <w:sz w:val="24"/>
        </w:rPr>
      </w:pPr>
      <w:r>
        <w:rPr>
          <w:rFonts w:hint="eastAsia" w:ascii="宋体" w:hAnsi="宋体"/>
          <w:b/>
          <w:bCs/>
          <w:kern w:val="0"/>
          <w:sz w:val="24"/>
        </w:rPr>
        <w:t>3、报价要求响应文件</w:t>
      </w:r>
    </w:p>
    <w:p>
      <w:pPr>
        <w:autoSpaceDE w:val="0"/>
        <w:autoSpaceDN w:val="0"/>
        <w:adjustRightInd w:val="0"/>
        <w:spacing w:line="360" w:lineRule="auto"/>
        <w:rPr>
          <w:rFonts w:hint="eastAsia" w:ascii="宋体" w:hAnsi="宋体"/>
          <w:kern w:val="0"/>
          <w:sz w:val="24"/>
        </w:rPr>
      </w:pPr>
      <w:r>
        <w:rPr>
          <w:rFonts w:hint="eastAsia" w:ascii="宋体" w:hAnsi="宋体"/>
          <w:kern w:val="0"/>
          <w:sz w:val="24"/>
        </w:rPr>
        <w:t>（1）开标一览表（格式见附件）；</w:t>
      </w:r>
    </w:p>
    <w:p>
      <w:pPr>
        <w:autoSpaceDE w:val="0"/>
        <w:autoSpaceDN w:val="0"/>
        <w:adjustRightInd w:val="0"/>
        <w:spacing w:line="360" w:lineRule="auto"/>
        <w:rPr>
          <w:rFonts w:hint="eastAsia" w:ascii="宋体" w:hAnsi="宋体"/>
          <w:kern w:val="0"/>
          <w:sz w:val="24"/>
        </w:rPr>
      </w:pPr>
      <w:r>
        <w:rPr>
          <w:rFonts w:hint="eastAsia" w:ascii="宋体" w:hAnsi="宋体"/>
          <w:kern w:val="0"/>
          <w:sz w:val="24"/>
        </w:rPr>
        <w:t>（2）报价明细表（格式见附件）；</w:t>
      </w:r>
    </w:p>
    <w:p>
      <w:pPr>
        <w:autoSpaceDE w:val="0"/>
        <w:autoSpaceDN w:val="0"/>
        <w:adjustRightInd w:val="0"/>
        <w:spacing w:line="360" w:lineRule="auto"/>
        <w:rPr>
          <w:rFonts w:hint="eastAsia" w:ascii="宋体" w:hAnsi="宋体" w:cs="宋体"/>
          <w:b/>
          <w:bCs/>
          <w:kern w:val="0"/>
          <w:sz w:val="24"/>
        </w:rPr>
      </w:pPr>
      <w:r>
        <w:rPr>
          <w:rFonts w:hint="eastAsia" w:ascii="宋体" w:hAnsi="宋体" w:cs="宋体"/>
          <w:b/>
          <w:bCs/>
          <w:kern w:val="0"/>
          <w:sz w:val="24"/>
        </w:rPr>
        <w:t>（3）小微企业等声明函（非符合政府采购政策及优惠的企业无需提供）；</w:t>
      </w:r>
    </w:p>
    <w:p>
      <w:pPr>
        <w:autoSpaceDE w:val="0"/>
        <w:autoSpaceDN w:val="0"/>
        <w:adjustRightInd w:val="0"/>
        <w:spacing w:line="360" w:lineRule="auto"/>
        <w:rPr>
          <w:rFonts w:hint="eastAsia" w:ascii="宋体" w:hAnsi="宋体" w:cs="宋体"/>
          <w:b/>
          <w:bCs/>
          <w:kern w:val="0"/>
          <w:sz w:val="24"/>
        </w:rPr>
      </w:pPr>
      <w:r>
        <w:rPr>
          <w:rFonts w:hint="eastAsia" w:ascii="宋体" w:hAnsi="宋体" w:cs="宋体"/>
          <w:b/>
          <w:bCs/>
          <w:kern w:val="0"/>
          <w:sz w:val="24"/>
        </w:rPr>
        <w:t>（4）产品适用政府采购政策情况表（非符合政府采购政策及优惠的企业无需提供）</w:t>
      </w:r>
    </w:p>
    <w:p>
      <w:pPr>
        <w:autoSpaceDE w:val="0"/>
        <w:autoSpaceDN w:val="0"/>
        <w:adjustRightInd w:val="0"/>
        <w:spacing w:line="360" w:lineRule="auto"/>
        <w:rPr>
          <w:rFonts w:hint="eastAsia"/>
        </w:rPr>
      </w:pPr>
      <w:r>
        <w:rPr>
          <w:rFonts w:hint="eastAsia" w:ascii="宋体" w:hAnsi="宋体" w:cs="宋体"/>
          <w:b/>
          <w:bCs/>
          <w:kern w:val="0"/>
          <w:sz w:val="24"/>
        </w:rPr>
        <w:t>（5）投标人认为其他需要说明的内容</w:t>
      </w:r>
    </w:p>
    <w:p>
      <w:pPr>
        <w:snapToGrid w:val="0"/>
        <w:spacing w:line="360" w:lineRule="auto"/>
        <w:ind w:firstLine="560" w:firstLineChars="200"/>
        <w:jc w:val="left"/>
        <w:rPr>
          <w:rFonts w:hint="eastAsia" w:ascii="宋体" w:hAnsi="宋体" w:cs="宋体"/>
          <w:b/>
          <w:bCs/>
          <w:sz w:val="24"/>
        </w:rPr>
      </w:pPr>
      <w:r>
        <w:rPr>
          <w:rFonts w:hint="eastAsia" w:ascii="宋体" w:hAnsi="宋体" w:cs="宋体"/>
        </w:rPr>
        <w:t>▲</w:t>
      </w:r>
      <w:r>
        <w:rPr>
          <w:rFonts w:hint="eastAsia" w:ascii="宋体" w:hAnsi="宋体" w:cs="宋体"/>
          <w:b/>
          <w:bCs/>
        </w:rPr>
        <w:t>注：</w:t>
      </w:r>
      <w:r>
        <w:rPr>
          <w:rFonts w:hint="eastAsia" w:ascii="宋体" w:hAnsi="宋体" w:cs="宋体"/>
          <w:b/>
          <w:bCs/>
          <w:sz w:val="24"/>
        </w:rPr>
        <w:t>法定代表人或授权代表需在投标文件相应位置签字或盖章。如投标人代表不是法定代表人，须同时提交法定代表人出具的授权委托书（格式见附件），否则投标文件作无效标处理。对于某些具有垄断性质的特殊行业或企业，例如银行、保险、电信、邮政、铁路等行业的投标人须出具总公司的有关文件或制度等能够证明总公司授权其独立开展业务的证明后即认可负责人等同于法定代表人；</w:t>
      </w:r>
    </w:p>
    <w:p>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备注：电子招投标过程中，若CA签章上目前没有法定代表人或授权代表签字信息的，所以涉及到签字或盖章的位置，做PDF的时候线下签字或盖章完成后再扫描即可。如果需要CA中加法人章或者法人签名等，需要供应商单独线下联系CA公司进行办理，可能需另收取费用。若投标人未按照招标文件要求进行签字或盖章的，导致其投标文件无效的后果由投标人自行承担。</w:t>
      </w:r>
    </w:p>
    <w:p>
      <w:pPr>
        <w:snapToGrid w:val="0"/>
        <w:spacing w:line="360" w:lineRule="auto"/>
        <w:ind w:firstLine="482" w:firstLineChars="200"/>
        <w:jc w:val="left"/>
        <w:rPr>
          <w:rFonts w:hint="eastAsia" w:ascii="宋体" w:hAnsi="宋体" w:cs="宋体"/>
          <w:b/>
          <w:bCs/>
          <w:sz w:val="24"/>
        </w:rPr>
      </w:pPr>
      <w:r>
        <w:rPr>
          <w:rFonts w:hint="eastAsia" w:ascii="宋体" w:hAnsi="宋体" w:cs="宋体"/>
          <w:b/>
          <w:bCs/>
          <w:sz w:val="24"/>
        </w:rPr>
        <w:t>全权代表或法定代表人的手机号码和电子邮箱必须准确填写，开评标过程中须保持手机号码和电子邮箱畅通，随时进行项目开标情况通报及回执。</w:t>
      </w:r>
    </w:p>
    <w:p>
      <w:pPr>
        <w:snapToGrid w:val="0"/>
        <w:spacing w:line="360" w:lineRule="auto"/>
        <w:ind w:firstLine="482" w:firstLineChars="200"/>
        <w:jc w:val="left"/>
        <w:rPr>
          <w:rFonts w:hint="eastAsia" w:ascii="宋体" w:hAnsi="宋体"/>
          <w:b/>
          <w:sz w:val="24"/>
        </w:rPr>
      </w:pPr>
      <w:r>
        <w:rPr>
          <w:rFonts w:hint="eastAsia" w:ascii="宋体" w:hAnsi="宋体" w:cs="宋体"/>
          <w:b/>
          <w:bCs/>
          <w:sz w:val="24"/>
        </w:rPr>
        <w:t>若法定代表人无法准时及全过程参加本项目线上招投标活动的，建议授权全权代表参加。</w:t>
      </w:r>
    </w:p>
    <w:p>
      <w:pPr>
        <w:spacing w:line="360" w:lineRule="auto"/>
        <w:ind w:firstLine="482" w:firstLineChars="200"/>
        <w:rPr>
          <w:rFonts w:ascii="宋体" w:hAnsi="宋体"/>
          <w:b/>
          <w:sz w:val="24"/>
        </w:rPr>
      </w:pPr>
      <w:r>
        <w:rPr>
          <w:rFonts w:hint="eastAsia" w:ascii="宋体" w:hAnsi="宋体"/>
          <w:b/>
          <w:sz w:val="24"/>
        </w:rPr>
        <w:t>（三）投标文件的语言及计量</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rPr>
        <w:t>、</w:t>
      </w:r>
      <w:r>
        <w:rPr>
          <w:rFonts w:ascii="宋体" w:hAnsi="宋体"/>
          <w:sz w:val="24"/>
        </w:rPr>
        <w:t>投标文件以及投标人与招标人就有关投标事宜的所有来往函电，均应以中文汉语书写。除签名、盖章、专用名称等特殊情形外，以中文汉语以外的文字表述的投标文件视同未提供。</w:t>
      </w:r>
    </w:p>
    <w:p>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w:t>
      </w:r>
      <w:r>
        <w:rPr>
          <w:rFonts w:ascii="宋体" w:hAnsi="宋体"/>
          <w:sz w:val="24"/>
        </w:rPr>
        <w:t>投标计量单位，招标文件已有明确规定的，使用招标文件规定的计量单位；招标文件没有规定的，应采用中华人民共和国法定计量单位（货币单位：人民币元），否则视同未响应。</w:t>
      </w:r>
    </w:p>
    <w:p>
      <w:pPr>
        <w:spacing w:line="360" w:lineRule="auto"/>
        <w:ind w:firstLine="482" w:firstLineChars="200"/>
        <w:rPr>
          <w:rFonts w:hint="eastAsia" w:ascii="宋体" w:hAnsi="宋体"/>
          <w:b/>
          <w:sz w:val="24"/>
        </w:rPr>
      </w:pPr>
      <w:r>
        <w:rPr>
          <w:rFonts w:hint="eastAsia" w:ascii="宋体" w:hAnsi="宋体"/>
          <w:b/>
          <w:sz w:val="24"/>
        </w:rPr>
        <w:t>（四）投标报价</w:t>
      </w:r>
    </w:p>
    <w:p>
      <w:pPr>
        <w:spacing w:line="360" w:lineRule="auto"/>
        <w:ind w:firstLine="480" w:firstLineChars="200"/>
        <w:rPr>
          <w:rFonts w:ascii="宋体" w:hAnsi="宋体"/>
          <w:sz w:val="24"/>
        </w:rPr>
      </w:pPr>
      <w:r>
        <w:rPr>
          <w:rFonts w:ascii="宋体" w:hAnsi="宋体"/>
          <w:sz w:val="24"/>
        </w:rPr>
        <w:t>1.投标报价应按招标文件中相关附表格式填写。</w:t>
      </w:r>
    </w:p>
    <w:p>
      <w:pPr>
        <w:spacing w:line="360" w:lineRule="auto"/>
        <w:ind w:firstLine="480" w:firstLineChars="200"/>
        <w:rPr>
          <w:rFonts w:hint="eastAsia" w:ascii="宋体" w:hAnsi="宋体" w:cs="宋体"/>
          <w:sz w:val="24"/>
          <w:lang w:bidi="ar"/>
        </w:rPr>
      </w:pPr>
      <w:r>
        <w:rPr>
          <w:rFonts w:ascii="宋体" w:hAnsi="宋体"/>
          <w:sz w:val="24"/>
        </w:rPr>
        <w:t>▲2.</w:t>
      </w:r>
      <w:r>
        <w:rPr>
          <w:rFonts w:hint="eastAsia" w:ascii="宋体" w:hAnsi="宋体" w:cs="宋体"/>
          <w:sz w:val="24"/>
          <w:lang w:bidi="ar"/>
        </w:rPr>
        <w:t>投标报价是履行合同的最终价格，包括服务费、技术资料费、设备和仪器使用费、保险费、税费等（包含合同中明示或暗示的所有一般风险、责任和义务等所产生的费用）等所有费用。投标报价应是招标文件确定的招标范围内的全部工作内容的价格表现，完成该项目各环节所必需的连带工作或服务、成果验收和阶段性成果的检查验收、以及政策性文件规定、合同包含的所有风险责任、其它原因应由投标人支付承担的一切费用（包括税金等）都要包括在投标人提交的投标价格中，为投标人在采购文件中提出的各项支付金额的总和。投标人所投报的投标报价为投标人所能承受的整个项目的一次性最终最低报价，如有漏项，视同已包含在其它项目中，合同总价和单价不做调整。</w:t>
      </w:r>
    </w:p>
    <w:p>
      <w:pPr>
        <w:spacing w:line="360" w:lineRule="auto"/>
        <w:ind w:firstLine="480" w:firstLineChars="200"/>
        <w:rPr>
          <w:rFonts w:hint="eastAsia" w:ascii="宋体" w:hAnsi="宋体"/>
          <w:sz w:val="24"/>
        </w:rPr>
      </w:pPr>
      <w:r>
        <w:rPr>
          <w:rFonts w:hint="eastAsia" w:ascii="宋体" w:hAnsi="宋体"/>
          <w:sz w:val="24"/>
        </w:rPr>
        <w:t>▲</w:t>
      </w:r>
      <w:r>
        <w:rPr>
          <w:rFonts w:ascii="宋体" w:hAnsi="宋体"/>
          <w:sz w:val="24"/>
        </w:rPr>
        <w:t>3</w:t>
      </w:r>
      <w:r>
        <w:rPr>
          <w:rFonts w:hint="eastAsia" w:ascii="宋体" w:hAnsi="宋体"/>
          <w:sz w:val="24"/>
        </w:rPr>
        <w:t>.</w:t>
      </w:r>
      <w:r>
        <w:rPr>
          <w:rFonts w:ascii="宋体" w:hAnsi="宋体"/>
          <w:sz w:val="24"/>
        </w:rPr>
        <w:t>投标文件只允许有一个报价，有选择的</w:t>
      </w:r>
      <w:r>
        <w:rPr>
          <w:rFonts w:hint="eastAsia" w:ascii="宋体" w:hAnsi="宋体"/>
          <w:sz w:val="24"/>
        </w:rPr>
        <w:t>或有条件的</w:t>
      </w:r>
      <w:r>
        <w:rPr>
          <w:rFonts w:ascii="宋体" w:hAnsi="宋体"/>
          <w:sz w:val="24"/>
        </w:rPr>
        <w:t>报价将不予接受。</w:t>
      </w:r>
    </w:p>
    <w:p>
      <w:pPr>
        <w:pStyle w:val="7"/>
        <w:widowControl w:val="0"/>
        <w:tabs>
          <w:tab w:val="clear" w:pos="454"/>
          <w:tab w:val="clear" w:pos="900"/>
        </w:tabs>
        <w:snapToGrid w:val="0"/>
        <w:spacing w:before="120" w:beforeLines="50" w:after="120" w:line="360" w:lineRule="auto"/>
        <w:ind w:left="0" w:firstLine="472" w:firstLineChars="196"/>
        <w:rPr>
          <w:rFonts w:ascii="宋体" w:hAnsi="宋体"/>
          <w:b/>
          <w:szCs w:val="24"/>
        </w:rPr>
      </w:pPr>
      <w:r>
        <w:rPr>
          <w:rFonts w:hint="eastAsia" w:ascii="宋体" w:hAnsi="宋体"/>
          <w:b/>
          <w:szCs w:val="24"/>
        </w:rPr>
        <w:t>（五）投标文件的有效期</w:t>
      </w:r>
    </w:p>
    <w:p>
      <w:pPr>
        <w:pStyle w:val="7"/>
        <w:widowControl w:val="0"/>
        <w:tabs>
          <w:tab w:val="clear" w:pos="454"/>
          <w:tab w:val="clear" w:pos="900"/>
        </w:tabs>
        <w:snapToGrid w:val="0"/>
        <w:spacing w:after="120" w:line="360" w:lineRule="auto"/>
        <w:ind w:left="0" w:firstLine="480" w:firstLineChars="200"/>
        <w:rPr>
          <w:rFonts w:ascii="宋体" w:hAnsi="宋体"/>
          <w:szCs w:val="24"/>
        </w:rPr>
      </w:pPr>
      <w:r>
        <w:rPr>
          <w:rFonts w:hint="eastAsia" w:ascii="宋体" w:hAnsi="宋体"/>
          <w:szCs w:val="24"/>
        </w:rPr>
        <w:t>▲</w:t>
      </w:r>
      <w:r>
        <w:rPr>
          <w:rFonts w:ascii="宋体" w:hAnsi="宋体"/>
          <w:szCs w:val="24"/>
        </w:rPr>
        <w:t>1</w:t>
      </w:r>
      <w:r>
        <w:rPr>
          <w:rFonts w:hint="eastAsia" w:ascii="宋体" w:hAnsi="宋体"/>
          <w:szCs w:val="24"/>
        </w:rPr>
        <w:t>.</w:t>
      </w:r>
      <w:r>
        <w:rPr>
          <w:rFonts w:ascii="宋体" w:hAnsi="宋体"/>
          <w:szCs w:val="24"/>
        </w:rPr>
        <w:t>自投标截止日起</w:t>
      </w:r>
      <w:r>
        <w:rPr>
          <w:rFonts w:ascii="宋体" w:hAnsi="宋体"/>
          <w:szCs w:val="24"/>
          <w:u w:val="single"/>
        </w:rPr>
        <w:t xml:space="preserve"> </w:t>
      </w:r>
      <w:r>
        <w:rPr>
          <w:rFonts w:hint="eastAsia" w:ascii="宋体" w:hAnsi="宋体"/>
          <w:szCs w:val="24"/>
          <w:u w:val="single"/>
        </w:rPr>
        <w:t>90</w:t>
      </w:r>
      <w:r>
        <w:rPr>
          <w:rFonts w:ascii="宋体" w:hAnsi="宋体"/>
          <w:szCs w:val="24"/>
        </w:rPr>
        <w:t>天投标</w:t>
      </w:r>
      <w:r>
        <w:rPr>
          <w:rFonts w:hint="eastAsia" w:ascii="宋体" w:hAnsi="宋体"/>
          <w:szCs w:val="24"/>
        </w:rPr>
        <w:t>文件</w:t>
      </w:r>
      <w:r>
        <w:rPr>
          <w:rFonts w:ascii="宋体" w:hAnsi="宋体"/>
          <w:szCs w:val="24"/>
        </w:rPr>
        <w:t>应保持有效。</w:t>
      </w:r>
      <w:r>
        <w:rPr>
          <w:rFonts w:hint="eastAsia" w:ascii="宋体" w:hAnsi="宋体"/>
          <w:szCs w:val="24"/>
        </w:rPr>
        <w:t>中标人投标文件有效期延长至合同有效期。</w:t>
      </w:r>
      <w:r>
        <w:rPr>
          <w:rFonts w:ascii="宋体" w:hAnsi="宋体"/>
          <w:szCs w:val="24"/>
        </w:rPr>
        <w:t>有效期</w:t>
      </w:r>
      <w:r>
        <w:rPr>
          <w:rFonts w:hint="eastAsia" w:ascii="宋体" w:hAnsi="宋体"/>
          <w:szCs w:val="24"/>
        </w:rPr>
        <w:t>不足</w:t>
      </w:r>
      <w:r>
        <w:rPr>
          <w:rFonts w:ascii="宋体" w:hAnsi="宋体"/>
          <w:szCs w:val="24"/>
        </w:rPr>
        <w:t>的投标</w:t>
      </w:r>
      <w:r>
        <w:rPr>
          <w:rFonts w:hint="eastAsia" w:ascii="宋体" w:hAnsi="宋体"/>
          <w:szCs w:val="24"/>
        </w:rPr>
        <w:t>文件</w:t>
      </w:r>
      <w:r>
        <w:rPr>
          <w:rFonts w:ascii="宋体" w:hAnsi="宋体"/>
          <w:szCs w:val="24"/>
        </w:rPr>
        <w:t>将被拒绝。</w:t>
      </w:r>
    </w:p>
    <w:p>
      <w:pPr>
        <w:pStyle w:val="7"/>
        <w:widowControl w:val="0"/>
        <w:tabs>
          <w:tab w:val="clear" w:pos="454"/>
          <w:tab w:val="clear" w:pos="900"/>
        </w:tabs>
        <w:snapToGrid w:val="0"/>
        <w:spacing w:after="120" w:line="360" w:lineRule="auto"/>
        <w:ind w:left="0" w:firstLine="480" w:firstLineChars="200"/>
        <w:rPr>
          <w:rFonts w:ascii="宋体" w:hAnsi="宋体"/>
          <w:szCs w:val="24"/>
        </w:rPr>
      </w:pPr>
      <w:r>
        <w:rPr>
          <w:rFonts w:ascii="宋体" w:hAnsi="宋体"/>
          <w:szCs w:val="24"/>
        </w:rPr>
        <w:t>2</w:t>
      </w:r>
      <w:r>
        <w:rPr>
          <w:rFonts w:hint="eastAsia" w:ascii="宋体" w:hAnsi="宋体"/>
          <w:szCs w:val="24"/>
        </w:rPr>
        <w:t>.</w:t>
      </w:r>
      <w:r>
        <w:rPr>
          <w:rFonts w:ascii="宋体" w:hAnsi="宋体"/>
          <w:szCs w:val="24"/>
        </w:rPr>
        <w:t>在特殊情况下，招标人可与投标人协商延长投标书的有效期，这种要求和答复均以书面形式进行。</w:t>
      </w:r>
    </w:p>
    <w:p>
      <w:pPr>
        <w:snapToGrid w:val="0"/>
        <w:spacing w:line="360" w:lineRule="auto"/>
        <w:ind w:firstLine="480" w:firstLineChars="200"/>
        <w:jc w:val="left"/>
        <w:outlineLvl w:val="0"/>
        <w:rPr>
          <w:rFonts w:ascii="宋体" w:hAnsi="宋体"/>
          <w:sz w:val="24"/>
        </w:rPr>
      </w:pPr>
      <w:r>
        <w:rPr>
          <w:rFonts w:hint="eastAsia" w:ascii="宋体" w:hAnsi="宋体"/>
          <w:sz w:val="24"/>
        </w:rPr>
        <w:t>3.</w:t>
      </w:r>
      <w:r>
        <w:rPr>
          <w:rFonts w:ascii="宋体" w:hAnsi="宋体"/>
          <w:sz w:val="24"/>
        </w:rPr>
        <w:t>中标人的投标文件自开标之日起至合同履行完毕止均应保持有效。</w:t>
      </w:r>
    </w:p>
    <w:p>
      <w:pPr>
        <w:snapToGrid w:val="0"/>
        <w:spacing w:line="400" w:lineRule="exact"/>
        <w:ind w:firstLine="480" w:firstLineChars="200"/>
        <w:jc w:val="left"/>
      </w:pPr>
      <w:r>
        <w:rPr>
          <w:rFonts w:hint="eastAsia" w:ascii="宋体" w:hAnsi="宋体"/>
          <w:sz w:val="24"/>
        </w:rPr>
        <w:t>4.中标人的投标文件自开标之日起至合同履行完毕止均应保持有效。</w:t>
      </w:r>
    </w:p>
    <w:p>
      <w:pPr>
        <w:snapToGrid w:val="0"/>
        <w:spacing w:line="400" w:lineRule="exact"/>
        <w:ind w:firstLine="472" w:firstLineChars="196"/>
        <w:jc w:val="left"/>
        <w:rPr>
          <w:rFonts w:ascii="宋体" w:hAnsi="宋体"/>
          <w:b/>
          <w:bCs/>
          <w:sz w:val="24"/>
        </w:rPr>
      </w:pPr>
      <w:r>
        <w:rPr>
          <w:rFonts w:hint="eastAsia" w:ascii="宋体" w:hAnsi="宋体"/>
          <w:b/>
          <w:bCs/>
          <w:sz w:val="24"/>
        </w:rPr>
        <w:t>5.投标人有下列情形之一的，按有关规定进行处罚：</w:t>
      </w:r>
    </w:p>
    <w:p>
      <w:pPr>
        <w:snapToGrid w:val="0"/>
        <w:spacing w:line="400" w:lineRule="exact"/>
        <w:ind w:firstLine="470" w:firstLineChars="196"/>
        <w:jc w:val="left"/>
        <w:rPr>
          <w:rFonts w:ascii="宋体" w:hAnsi="宋体"/>
          <w:sz w:val="24"/>
        </w:rPr>
      </w:pPr>
      <w:r>
        <w:rPr>
          <w:rFonts w:hint="eastAsia" w:ascii="宋体" w:hAnsi="宋体"/>
          <w:sz w:val="24"/>
        </w:rPr>
        <w:t>（1）投标人在投标有效期内撤回投标文件的；</w:t>
      </w:r>
    </w:p>
    <w:p>
      <w:pPr>
        <w:snapToGrid w:val="0"/>
        <w:spacing w:line="400" w:lineRule="exact"/>
        <w:ind w:firstLine="470" w:firstLineChars="196"/>
        <w:jc w:val="left"/>
        <w:rPr>
          <w:rFonts w:ascii="宋体" w:hAnsi="宋体"/>
          <w:sz w:val="24"/>
        </w:rPr>
      </w:pPr>
      <w:r>
        <w:rPr>
          <w:rFonts w:hint="eastAsia" w:ascii="宋体" w:hAnsi="宋体"/>
          <w:sz w:val="24"/>
        </w:rPr>
        <w:t>（2）未按规定提交履约保证金的；</w:t>
      </w:r>
    </w:p>
    <w:p>
      <w:pPr>
        <w:snapToGrid w:val="0"/>
        <w:spacing w:line="400" w:lineRule="exact"/>
        <w:ind w:firstLine="470" w:firstLineChars="196"/>
        <w:jc w:val="left"/>
        <w:rPr>
          <w:rFonts w:ascii="宋体" w:hAnsi="宋体"/>
          <w:sz w:val="24"/>
        </w:rPr>
      </w:pPr>
      <w:r>
        <w:rPr>
          <w:rFonts w:hint="eastAsia" w:ascii="宋体" w:hAnsi="宋体"/>
          <w:sz w:val="24"/>
        </w:rPr>
        <w:t>（3）投标人在投标过程中弄虚作假，提供虚假材料的；</w:t>
      </w:r>
    </w:p>
    <w:p>
      <w:pPr>
        <w:snapToGrid w:val="0"/>
        <w:spacing w:line="400" w:lineRule="exact"/>
        <w:ind w:firstLine="470" w:firstLineChars="196"/>
        <w:rPr>
          <w:rFonts w:ascii="宋体" w:hAnsi="宋体"/>
          <w:sz w:val="24"/>
        </w:rPr>
      </w:pPr>
      <w:r>
        <w:rPr>
          <w:rFonts w:hint="eastAsia" w:ascii="宋体" w:hAnsi="宋体"/>
          <w:sz w:val="24"/>
        </w:rPr>
        <w:t>（4）中标人无正当理由不与采购单位签订合同的；</w:t>
      </w:r>
    </w:p>
    <w:p>
      <w:pPr>
        <w:snapToGrid w:val="0"/>
        <w:spacing w:line="400" w:lineRule="exact"/>
        <w:ind w:firstLine="470" w:firstLineChars="196"/>
        <w:rPr>
          <w:rFonts w:ascii="宋体" w:hAnsi="宋体"/>
          <w:sz w:val="24"/>
        </w:rPr>
      </w:pPr>
      <w:r>
        <w:rPr>
          <w:rFonts w:hint="eastAsia" w:ascii="宋体" w:hAnsi="宋体"/>
          <w:sz w:val="24"/>
        </w:rPr>
        <w:t>（5）</w:t>
      </w:r>
      <w:r>
        <w:rPr>
          <w:rFonts w:hint="eastAsia" w:ascii="宋体" w:hAnsi="宋体"/>
          <w:bCs/>
          <w:sz w:val="24"/>
        </w:rPr>
        <w:t>将中标项目转让给他人或者在投标文件中未说明且未经招标人同意，将中标项目分包给他人的；</w:t>
      </w:r>
    </w:p>
    <w:p>
      <w:pPr>
        <w:snapToGrid w:val="0"/>
        <w:spacing w:line="400" w:lineRule="exact"/>
        <w:ind w:firstLine="480" w:firstLineChars="200"/>
        <w:rPr>
          <w:rFonts w:ascii="宋体" w:hAnsi="宋体"/>
          <w:sz w:val="24"/>
        </w:rPr>
      </w:pPr>
      <w:r>
        <w:rPr>
          <w:rFonts w:hint="eastAsia" w:ascii="宋体" w:hAnsi="宋体"/>
          <w:sz w:val="24"/>
        </w:rPr>
        <w:t>（6）拒绝履行合同义务的；</w:t>
      </w:r>
    </w:p>
    <w:p>
      <w:pPr>
        <w:snapToGrid w:val="0"/>
        <w:spacing w:line="400" w:lineRule="exact"/>
        <w:ind w:firstLine="480" w:firstLineChars="200"/>
        <w:rPr>
          <w:rFonts w:hint="eastAsia"/>
        </w:rPr>
      </w:pPr>
      <w:r>
        <w:rPr>
          <w:rFonts w:hint="eastAsia" w:ascii="宋体" w:hAnsi="宋体"/>
          <w:sz w:val="24"/>
        </w:rPr>
        <w:t>（7）其他严重扰乱招投标程序的。</w:t>
      </w:r>
    </w:p>
    <w:p>
      <w:pPr>
        <w:snapToGrid w:val="0"/>
        <w:spacing w:before="120" w:beforeLines="50" w:line="360" w:lineRule="auto"/>
        <w:ind w:firstLine="472" w:firstLineChars="196"/>
        <w:jc w:val="left"/>
        <w:outlineLvl w:val="0"/>
        <w:rPr>
          <w:rFonts w:ascii="宋体" w:hAnsi="宋体"/>
          <w:b/>
          <w:sz w:val="24"/>
          <w:szCs w:val="20"/>
        </w:rPr>
      </w:pPr>
      <w:r>
        <w:rPr>
          <w:rFonts w:hint="eastAsia" w:ascii="宋体" w:hAnsi="宋体"/>
          <w:b/>
          <w:sz w:val="24"/>
        </w:rPr>
        <w:t>（六）</w:t>
      </w:r>
      <w:r>
        <w:rPr>
          <w:rFonts w:hint="eastAsia" w:ascii="宋体" w:hAnsi="宋体"/>
          <w:b/>
          <w:bCs/>
          <w:kern w:val="0"/>
          <w:sz w:val="24"/>
        </w:rPr>
        <w:t>投标文件的编制、签署</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1、投标人按本招标文件规定的要求和浙江政府采购云平台要求编制电子投标文件，并标注页码，投标文件内容不完整、编排混乱导致投标文件被误读、漏读或者查找不到相关内容的，是投标人的责任。</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2、投标文件须由投标人在规定位置盖章并由法定代表人或法定代表人的授权委托人签字或盖章。</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3、投标文件不得涂改，若有修改错漏处，须加盖单位公章或者法定代表人或授权委托人签字或盖章。投标文件因字迹潦草或表达不清所引起的后果由投标人负责。</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4、电子投标文件编制时，应根据“政采云供应商项目采购-电子招投标操作指南”及本招标文件规定的格式和顺序编制电子投标文件并进行标书关联定位。</w:t>
      </w:r>
    </w:p>
    <w:p>
      <w:pPr>
        <w:snapToGrid w:val="0"/>
        <w:spacing w:before="120" w:beforeLines="50" w:line="360" w:lineRule="auto"/>
        <w:ind w:firstLine="354" w:firstLineChars="147"/>
        <w:jc w:val="left"/>
        <w:rPr>
          <w:rFonts w:ascii="宋体" w:hAnsi="宋体"/>
          <w:b/>
          <w:sz w:val="24"/>
          <w:szCs w:val="20"/>
        </w:rPr>
      </w:pPr>
      <w:r>
        <w:rPr>
          <w:rFonts w:hint="eastAsia" w:ascii="宋体" w:hAnsi="宋体"/>
          <w:b/>
          <w:sz w:val="24"/>
        </w:rPr>
        <w:t>（八）</w:t>
      </w:r>
      <w:r>
        <w:rPr>
          <w:rFonts w:hint="eastAsia" w:ascii="宋体" w:hAnsi="宋体"/>
          <w:b/>
          <w:bCs/>
          <w:kern w:val="0"/>
          <w:sz w:val="24"/>
        </w:rPr>
        <w:t>投标文件的封装、递交要求</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1、备份电子投标文件单独密封包装，包装袋封面应标明项目名称、标段号、供应商名称，封口应加盖单位公章。若邮寄的，再装入邮寄袋中，逾期或不符合规定的备份电子投标文件恕不接受，供应商自行对邮寄的备份电子投标文件完整性和快递过程中的一切问题负责，以快递送达时间为准，建议供应商提前快递，采用顺丰快递等方式，不接受到付的快递。</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2、未按规定密封或标记的备份电子投标文件不构成无效标，但由此造成投标文件被误投或由此产生的其他一切风险均由投标人自行承担。</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3、投标人须按照采购文件和政采云平台的要求编制并加密投标文件。在投标文件递交截止时间以前完成投标文件的上传递交。</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4、备份电子投标文件在规定截至时间后送达或寄到的，采购组织机构将拒绝接收。</w:t>
      </w:r>
    </w:p>
    <w:p>
      <w:pPr>
        <w:autoSpaceDE w:val="0"/>
        <w:autoSpaceDN w:val="0"/>
        <w:adjustRightInd w:val="0"/>
        <w:spacing w:line="360" w:lineRule="auto"/>
        <w:ind w:firstLine="480" w:firstLineChars="200"/>
        <w:rPr>
          <w:rFonts w:hint="eastAsia" w:ascii="宋体" w:hAnsi="宋体" w:cs="宋体"/>
          <w:sz w:val="24"/>
        </w:rPr>
      </w:pPr>
      <w:r>
        <w:rPr>
          <w:rFonts w:hint="eastAsia" w:ascii="宋体" w:hAnsi="宋体"/>
          <w:kern w:val="0"/>
          <w:sz w:val="24"/>
        </w:rPr>
        <w:t>5、补充或者修改投标文件的，应当先行撤回原文件，补充、修改后重新传输递交。投标截止时间前未完成传输的，视为撤回投标文件。</w:t>
      </w:r>
    </w:p>
    <w:p>
      <w:pPr>
        <w:snapToGrid w:val="0"/>
        <w:spacing w:before="120" w:beforeLines="50" w:line="360" w:lineRule="auto"/>
        <w:ind w:firstLine="241" w:firstLineChars="100"/>
        <w:outlineLvl w:val="2"/>
        <w:rPr>
          <w:rFonts w:ascii="宋体" w:hAnsi="宋体"/>
          <w:b/>
          <w:sz w:val="24"/>
          <w:szCs w:val="20"/>
        </w:rPr>
      </w:pPr>
      <w:r>
        <w:rPr>
          <w:rFonts w:hint="eastAsia" w:ascii="宋体" w:hAnsi="宋体"/>
          <w:b/>
          <w:sz w:val="24"/>
        </w:rPr>
        <w:t>（九）投标无效的情形</w:t>
      </w:r>
    </w:p>
    <w:p>
      <w:pPr>
        <w:snapToGrid w:val="0"/>
        <w:spacing w:line="360" w:lineRule="auto"/>
        <w:ind w:firstLine="480" w:firstLineChars="200"/>
        <w:rPr>
          <w:rFonts w:ascii="宋体" w:hAnsi="宋体"/>
          <w:bCs/>
          <w:sz w:val="24"/>
          <w:szCs w:val="20"/>
        </w:rPr>
      </w:pPr>
      <w:r>
        <w:rPr>
          <w:rFonts w:hint="eastAsia" w:ascii="宋体" w:hAnsi="宋体"/>
          <w:bCs/>
          <w:sz w:val="24"/>
        </w:rPr>
        <w:t>实质上没有响应招标文件要求的投标将被视为无效投标（招标文件中标“▲”技术指标、主要内容允许正偏离）。投标人不得通过修正或撤消不合要求的偏离或保留从而使其投标成为实质上响应的投标，但经评标委员会认定属于投标人疏忽、笔误所造成的差错，应当允许其在评标结束之前进行修改或者补正。修改或者补正投标文件必须以书面形式进行。限期内不补正或经补正后仍不符合招标文件要求的，应认定其投标无效。投标人修改、补正投标文件后，不影响评标委员会对其投标文件所作的评价和评分结果。</w:t>
      </w:r>
    </w:p>
    <w:p>
      <w:pPr>
        <w:snapToGrid w:val="0"/>
        <w:spacing w:line="360" w:lineRule="auto"/>
        <w:ind w:firstLine="472" w:firstLineChars="196"/>
        <w:rPr>
          <w:rFonts w:ascii="宋体" w:hAnsi="宋体"/>
          <w:b/>
          <w:bCs/>
          <w:sz w:val="24"/>
          <w:szCs w:val="20"/>
        </w:rPr>
      </w:pPr>
      <w:r>
        <w:rPr>
          <w:rFonts w:ascii="宋体" w:hAnsi="宋体"/>
          <w:b/>
          <w:bCs/>
          <w:sz w:val="24"/>
        </w:rPr>
        <w:t>1</w:t>
      </w:r>
      <w:r>
        <w:rPr>
          <w:rFonts w:hint="eastAsia" w:ascii="宋体" w:hAnsi="宋体"/>
          <w:b/>
          <w:bCs/>
          <w:sz w:val="24"/>
        </w:rPr>
        <w:t>.</w:t>
      </w:r>
      <w:r>
        <w:rPr>
          <w:rFonts w:ascii="宋体" w:hAnsi="宋体"/>
          <w:b/>
          <w:bCs/>
          <w:sz w:val="24"/>
        </w:rPr>
        <w:t>在符合性审查</w:t>
      </w:r>
      <w:r>
        <w:rPr>
          <w:rFonts w:hint="eastAsia" w:ascii="宋体" w:hAnsi="宋体"/>
          <w:b/>
          <w:bCs/>
          <w:sz w:val="24"/>
        </w:rPr>
        <w:t>评审</w:t>
      </w:r>
      <w:r>
        <w:rPr>
          <w:rFonts w:ascii="宋体" w:hAnsi="宋体"/>
          <w:b/>
          <w:bCs/>
          <w:sz w:val="24"/>
        </w:rPr>
        <w:t>时，如发现下列情形之一的，投标文件将被视为无效：</w:t>
      </w:r>
    </w:p>
    <w:p>
      <w:pPr>
        <w:autoSpaceDE w:val="0"/>
        <w:autoSpaceDN w:val="0"/>
        <w:adjustRightInd w:val="0"/>
        <w:spacing w:line="360" w:lineRule="auto"/>
        <w:ind w:firstLine="240" w:firstLineChars="100"/>
        <w:rPr>
          <w:rFonts w:hint="eastAsia" w:ascii="宋体" w:hAnsi="宋体"/>
          <w:kern w:val="0"/>
          <w:sz w:val="24"/>
        </w:rPr>
      </w:pPr>
      <w:r>
        <w:rPr>
          <w:rFonts w:hint="eastAsia" w:ascii="宋体" w:hAnsi="宋体"/>
          <w:kern w:val="0"/>
          <w:sz w:val="24"/>
        </w:rPr>
        <w:t>（1）资格响应证明文件不全的，或者不符合招标文件标明的资格要求的；</w:t>
      </w:r>
    </w:p>
    <w:p>
      <w:pPr>
        <w:autoSpaceDE w:val="0"/>
        <w:autoSpaceDN w:val="0"/>
        <w:adjustRightInd w:val="0"/>
        <w:spacing w:line="360" w:lineRule="auto"/>
        <w:ind w:firstLine="240" w:firstLineChars="100"/>
        <w:rPr>
          <w:rFonts w:hint="eastAsia" w:ascii="宋体" w:hAnsi="宋体"/>
          <w:kern w:val="0"/>
          <w:sz w:val="24"/>
        </w:rPr>
      </w:pPr>
      <w:r>
        <w:rPr>
          <w:rFonts w:hint="eastAsia" w:ascii="宋体" w:hAnsi="宋体"/>
          <w:kern w:val="0"/>
          <w:sz w:val="24"/>
        </w:rPr>
        <w:t>（2）投标文件规定位置无法定代表人签字或盖章，或授权代表未提供法定代表人授权委托书的；</w:t>
      </w:r>
    </w:p>
    <w:p>
      <w:pPr>
        <w:autoSpaceDE w:val="0"/>
        <w:autoSpaceDN w:val="0"/>
        <w:adjustRightInd w:val="0"/>
        <w:spacing w:line="360" w:lineRule="auto"/>
        <w:ind w:firstLine="240" w:firstLineChars="100"/>
        <w:rPr>
          <w:rFonts w:hint="eastAsia" w:ascii="宋体" w:hAnsi="宋体"/>
          <w:kern w:val="0"/>
          <w:sz w:val="24"/>
        </w:rPr>
      </w:pPr>
      <w:r>
        <w:rPr>
          <w:rFonts w:hint="eastAsia" w:ascii="宋体" w:hAnsi="宋体"/>
          <w:kern w:val="0"/>
          <w:sz w:val="24"/>
        </w:rPr>
        <w:t xml:space="preserve">（3）法定代表人须与营业执照上载明的一致； </w:t>
      </w:r>
    </w:p>
    <w:p>
      <w:pPr>
        <w:autoSpaceDE w:val="0"/>
        <w:autoSpaceDN w:val="0"/>
        <w:adjustRightInd w:val="0"/>
        <w:spacing w:line="360" w:lineRule="auto"/>
        <w:ind w:firstLine="240" w:firstLineChars="100"/>
        <w:rPr>
          <w:rFonts w:hint="eastAsia" w:ascii="宋体" w:hAnsi="宋体"/>
          <w:kern w:val="0"/>
          <w:sz w:val="24"/>
        </w:rPr>
      </w:pPr>
      <w:r>
        <w:rPr>
          <w:rFonts w:hint="eastAsia" w:ascii="宋体" w:hAnsi="宋体"/>
          <w:kern w:val="0"/>
          <w:sz w:val="24"/>
        </w:rPr>
        <w:t>（4）投标文件格式不规范、项目不齐全或者内容虚假的；投标文件组成不符合招标文件要求的；</w:t>
      </w:r>
    </w:p>
    <w:p>
      <w:pPr>
        <w:autoSpaceDE w:val="0"/>
        <w:autoSpaceDN w:val="0"/>
        <w:adjustRightInd w:val="0"/>
        <w:spacing w:line="360" w:lineRule="auto"/>
        <w:ind w:firstLine="240" w:firstLineChars="100"/>
        <w:rPr>
          <w:rFonts w:hint="eastAsia" w:ascii="宋体" w:hAnsi="宋体"/>
          <w:kern w:val="0"/>
          <w:sz w:val="24"/>
        </w:rPr>
      </w:pPr>
      <w:r>
        <w:rPr>
          <w:rFonts w:hint="eastAsia" w:ascii="宋体" w:hAnsi="宋体"/>
          <w:kern w:val="0"/>
          <w:sz w:val="24"/>
        </w:rPr>
        <w:t>（5）投标有效期、供货期、服务期、工期等商务条款不能满足招标文件要求的；</w:t>
      </w:r>
    </w:p>
    <w:p>
      <w:pPr>
        <w:autoSpaceDE w:val="0"/>
        <w:autoSpaceDN w:val="0"/>
        <w:adjustRightInd w:val="0"/>
        <w:spacing w:line="360" w:lineRule="auto"/>
        <w:ind w:firstLine="240" w:firstLineChars="100"/>
        <w:rPr>
          <w:rFonts w:hint="eastAsia" w:ascii="宋体" w:hAnsi="宋体"/>
          <w:kern w:val="0"/>
          <w:sz w:val="24"/>
        </w:rPr>
      </w:pPr>
      <w:r>
        <w:rPr>
          <w:rFonts w:hint="eastAsia" w:ascii="宋体" w:hAnsi="宋体"/>
          <w:kern w:val="0"/>
          <w:sz w:val="24"/>
        </w:rPr>
        <w:t>（6）未实质性响应招标文件要求或者投标文件有招标方不能接受的附加条件的；</w:t>
      </w:r>
    </w:p>
    <w:p>
      <w:pPr>
        <w:autoSpaceDE w:val="0"/>
        <w:autoSpaceDN w:val="0"/>
        <w:adjustRightInd w:val="0"/>
        <w:spacing w:line="360" w:lineRule="auto"/>
        <w:ind w:firstLine="240" w:firstLineChars="100"/>
        <w:rPr>
          <w:rFonts w:hint="eastAsia" w:ascii="宋体" w:hAnsi="宋体"/>
          <w:kern w:val="0"/>
          <w:sz w:val="24"/>
        </w:rPr>
      </w:pPr>
      <w:r>
        <w:rPr>
          <w:rFonts w:hint="eastAsia" w:ascii="宋体" w:hAnsi="宋体"/>
          <w:kern w:val="0"/>
          <w:sz w:val="24"/>
        </w:rPr>
        <w:t>（7）电子投标文件未按时完成解密，又未提供备份电子投标文件的；</w:t>
      </w:r>
    </w:p>
    <w:p>
      <w:pPr>
        <w:pStyle w:val="14"/>
        <w:snapToGrid w:val="0"/>
        <w:spacing w:line="360" w:lineRule="auto"/>
        <w:ind w:firstLine="457" w:firstLineChars="196"/>
        <w:rPr>
          <w:rFonts w:hAnsi="宋体"/>
          <w:b/>
          <w:bCs/>
          <w:sz w:val="24"/>
        </w:rPr>
      </w:pPr>
      <w:r>
        <w:rPr>
          <w:rFonts w:hAnsi="宋体"/>
          <w:b/>
          <w:bCs/>
          <w:sz w:val="24"/>
        </w:rPr>
        <w:t>2.在商务评审时，如发现下列情形之一的，投标文件将被视为无效：</w:t>
      </w:r>
    </w:p>
    <w:p>
      <w:pPr>
        <w:autoSpaceDE w:val="0"/>
        <w:autoSpaceDN w:val="0"/>
        <w:adjustRightInd w:val="0"/>
        <w:spacing w:line="360" w:lineRule="auto"/>
        <w:ind w:firstLine="240" w:firstLineChars="100"/>
        <w:rPr>
          <w:rFonts w:hint="eastAsia" w:ascii="宋体" w:hAnsi="宋体"/>
          <w:kern w:val="0"/>
          <w:sz w:val="24"/>
        </w:rPr>
      </w:pPr>
      <w:r>
        <w:rPr>
          <w:rFonts w:hint="eastAsia" w:ascii="宋体" w:hAnsi="宋体"/>
          <w:kern w:val="0"/>
          <w:sz w:val="24"/>
        </w:rPr>
        <w:t>（1）未提供或未如实提供投标货物的技术参数，或者投标文件标明的响应或偏离与事实不符或虚假投标的；</w:t>
      </w:r>
    </w:p>
    <w:p>
      <w:pPr>
        <w:autoSpaceDE w:val="0"/>
        <w:autoSpaceDN w:val="0"/>
        <w:adjustRightInd w:val="0"/>
        <w:spacing w:line="360" w:lineRule="auto"/>
        <w:ind w:firstLine="240" w:firstLineChars="100"/>
        <w:rPr>
          <w:rFonts w:hint="eastAsia" w:ascii="宋体" w:hAnsi="宋体"/>
          <w:kern w:val="0"/>
          <w:sz w:val="24"/>
        </w:rPr>
      </w:pPr>
      <w:r>
        <w:rPr>
          <w:rFonts w:hint="eastAsia" w:ascii="宋体" w:hAnsi="宋体"/>
          <w:kern w:val="0"/>
          <w:sz w:val="24"/>
        </w:rPr>
        <w:t>（2）明显不符合招标文件要求的质量标准，或者与招标文件中标“▲”的技术指标、主要内容发生负偏离的；</w:t>
      </w:r>
    </w:p>
    <w:p>
      <w:pPr>
        <w:autoSpaceDE w:val="0"/>
        <w:autoSpaceDN w:val="0"/>
        <w:adjustRightInd w:val="0"/>
        <w:spacing w:line="360" w:lineRule="auto"/>
        <w:ind w:firstLine="240" w:firstLineChars="100"/>
        <w:rPr>
          <w:rFonts w:hint="eastAsia" w:ascii="宋体" w:hAnsi="宋体"/>
          <w:kern w:val="0"/>
          <w:sz w:val="24"/>
        </w:rPr>
      </w:pPr>
      <w:r>
        <w:rPr>
          <w:rFonts w:hint="eastAsia" w:ascii="宋体" w:hAnsi="宋体"/>
          <w:kern w:val="0"/>
          <w:sz w:val="24"/>
        </w:rPr>
        <w:t>（3）投标技术方案不明确，存在一个或一个以上备选（替代）投标方案的；</w:t>
      </w:r>
    </w:p>
    <w:p>
      <w:pPr>
        <w:autoSpaceDE w:val="0"/>
        <w:autoSpaceDN w:val="0"/>
        <w:adjustRightInd w:val="0"/>
        <w:spacing w:line="360" w:lineRule="auto"/>
        <w:ind w:firstLine="482" w:firstLineChars="200"/>
        <w:rPr>
          <w:rFonts w:hint="eastAsia" w:ascii="宋体" w:hAnsi="宋体"/>
          <w:b/>
          <w:bCs/>
          <w:kern w:val="0"/>
          <w:sz w:val="24"/>
        </w:rPr>
      </w:pPr>
      <w:r>
        <w:rPr>
          <w:rFonts w:hint="eastAsia" w:ascii="宋体" w:hAnsi="宋体"/>
          <w:b/>
          <w:bCs/>
          <w:kern w:val="0"/>
          <w:sz w:val="24"/>
        </w:rPr>
        <w:t>3、在报价评审时，如发现下列情形之一的，投标文件将被视为无效：</w:t>
      </w:r>
    </w:p>
    <w:p>
      <w:pPr>
        <w:autoSpaceDE w:val="0"/>
        <w:autoSpaceDN w:val="0"/>
        <w:adjustRightInd w:val="0"/>
        <w:spacing w:line="360" w:lineRule="auto"/>
        <w:ind w:firstLine="240" w:firstLineChars="100"/>
        <w:rPr>
          <w:rFonts w:hint="eastAsia" w:ascii="宋体" w:hAnsi="宋体"/>
          <w:kern w:val="0"/>
          <w:sz w:val="24"/>
        </w:rPr>
      </w:pPr>
      <w:r>
        <w:rPr>
          <w:rFonts w:hint="eastAsia" w:ascii="宋体" w:hAnsi="宋体"/>
          <w:kern w:val="0"/>
          <w:sz w:val="24"/>
        </w:rPr>
        <w:t>（1）未采用人民币报价或者未按照招标文件标明的币种报价的；</w:t>
      </w:r>
    </w:p>
    <w:p>
      <w:pPr>
        <w:autoSpaceDE w:val="0"/>
        <w:autoSpaceDN w:val="0"/>
        <w:adjustRightInd w:val="0"/>
        <w:spacing w:line="360" w:lineRule="auto"/>
        <w:ind w:firstLine="240" w:firstLineChars="100"/>
        <w:rPr>
          <w:rFonts w:hint="eastAsia" w:ascii="宋体" w:hAnsi="宋体"/>
          <w:kern w:val="0"/>
          <w:sz w:val="24"/>
        </w:rPr>
      </w:pPr>
      <w:r>
        <w:rPr>
          <w:rFonts w:hint="eastAsia" w:ascii="宋体" w:hAnsi="宋体"/>
          <w:kern w:val="0"/>
          <w:sz w:val="24"/>
        </w:rPr>
        <w:t>（2）报价超出最高限价；</w:t>
      </w:r>
    </w:p>
    <w:p>
      <w:pPr>
        <w:autoSpaceDE w:val="0"/>
        <w:autoSpaceDN w:val="0"/>
        <w:adjustRightInd w:val="0"/>
        <w:spacing w:line="360" w:lineRule="auto"/>
        <w:ind w:firstLine="240" w:firstLineChars="100"/>
        <w:rPr>
          <w:rFonts w:hint="eastAsia" w:ascii="宋体" w:hAnsi="宋体"/>
          <w:kern w:val="0"/>
          <w:sz w:val="24"/>
        </w:rPr>
      </w:pPr>
      <w:r>
        <w:rPr>
          <w:rFonts w:hint="eastAsia" w:ascii="宋体" w:hAnsi="宋体"/>
          <w:kern w:val="0"/>
          <w:sz w:val="24"/>
        </w:rPr>
        <w:t>（3）投标报价具有选择性，或者开标价格与投标文件承诺的优惠（折扣）价格不一致的；</w:t>
      </w:r>
    </w:p>
    <w:p>
      <w:pPr>
        <w:autoSpaceDE w:val="0"/>
        <w:autoSpaceDN w:val="0"/>
        <w:adjustRightInd w:val="0"/>
        <w:spacing w:line="360" w:lineRule="auto"/>
        <w:ind w:firstLine="240" w:firstLineChars="100"/>
        <w:rPr>
          <w:rFonts w:hint="eastAsia" w:ascii="宋体" w:hAnsi="宋体"/>
          <w:kern w:val="0"/>
          <w:sz w:val="24"/>
        </w:rPr>
      </w:pPr>
      <w:r>
        <w:rPr>
          <w:rFonts w:hint="eastAsia" w:ascii="宋体" w:hAnsi="宋体"/>
          <w:kern w:val="0"/>
          <w:sz w:val="24"/>
        </w:rPr>
        <w:t>（4）开标一览表中填报的报价、供货期、服务期、工期等报价内容与报价要求响应文件中的投标函不一致；</w:t>
      </w:r>
    </w:p>
    <w:p>
      <w:pPr>
        <w:autoSpaceDE w:val="0"/>
        <w:autoSpaceDN w:val="0"/>
        <w:adjustRightInd w:val="0"/>
        <w:spacing w:line="360" w:lineRule="auto"/>
        <w:ind w:firstLine="723" w:firstLineChars="300"/>
        <w:rPr>
          <w:rFonts w:hint="eastAsia" w:ascii="宋体" w:hAnsi="宋体"/>
          <w:b/>
          <w:bCs/>
          <w:kern w:val="0"/>
          <w:sz w:val="24"/>
        </w:rPr>
      </w:pPr>
      <w:r>
        <w:rPr>
          <w:rFonts w:hint="eastAsia" w:ascii="宋体" w:hAnsi="宋体"/>
          <w:b/>
          <w:bCs/>
          <w:kern w:val="0"/>
          <w:sz w:val="24"/>
        </w:rPr>
        <w:t>4、被拒绝的投标文件为无效。</w:t>
      </w:r>
    </w:p>
    <w:p>
      <w:pPr>
        <w:pStyle w:val="18"/>
        <w:snapToGrid w:val="0"/>
        <w:spacing w:before="120" w:beforeLines="0" w:after="120" w:afterLines="0" w:line="360" w:lineRule="auto"/>
        <w:rPr>
          <w:rFonts w:hAnsi="宋体"/>
          <w:b/>
          <w:sz w:val="30"/>
          <w:szCs w:val="30"/>
        </w:rPr>
      </w:pPr>
      <w:r>
        <w:rPr>
          <w:rFonts w:hAnsi="宋体"/>
          <w:b/>
          <w:sz w:val="30"/>
          <w:szCs w:val="30"/>
        </w:rPr>
        <w:t>四、开标</w:t>
      </w:r>
    </w:p>
    <w:p>
      <w:pPr>
        <w:pStyle w:val="18"/>
        <w:snapToGrid w:val="0"/>
        <w:spacing w:before="120" w:beforeLines="0" w:after="120" w:afterLines="0" w:line="360" w:lineRule="auto"/>
        <w:ind w:firstLine="472" w:firstLineChars="196"/>
        <w:rPr>
          <w:rFonts w:hAnsi="宋体"/>
          <w:b/>
        </w:rPr>
      </w:pPr>
      <w:r>
        <w:rPr>
          <w:rFonts w:hint="eastAsia" w:hAnsi="宋体"/>
          <w:b/>
        </w:rPr>
        <w:t>（一）开标</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采购组织机构在招标公告规定的时间和地点公开开标，本次招标采用先评审资格响应文件、商务技术响应文件，汇总评分后，再开启报价要求响应文件并评审报价的办法实施。</w:t>
      </w:r>
    </w:p>
    <w:p>
      <w:pPr>
        <w:autoSpaceDE w:val="0"/>
        <w:autoSpaceDN w:val="0"/>
        <w:adjustRightInd w:val="0"/>
        <w:spacing w:line="360" w:lineRule="auto"/>
        <w:rPr>
          <w:rFonts w:hint="eastAsia" w:ascii="宋体" w:hAnsi="宋体"/>
          <w:kern w:val="0"/>
          <w:sz w:val="24"/>
        </w:rPr>
      </w:pPr>
      <w:r>
        <w:rPr>
          <w:rFonts w:hint="eastAsia" w:ascii="宋体" w:hAnsi="宋体"/>
          <w:kern w:val="0"/>
          <w:sz w:val="24"/>
        </w:rPr>
        <w:t>采购组织机构将按照招标文件规定的时间通过“政府采购云平台”组织开标、开启投标文件，所有供应商均应当准时在线参加（或到开标现场参加）。投标供应商如不参加开标大会的，视同认可开标结果，事后不得对采购相关人员、开标过程和开标结果提出异议，同时投标供应商因未在线参加开标（或到开标现场参加）而导致投标文件无法按时解密等一切后果由供应商自行承担。</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若供应商法定代表人或授权代表到开标现场参加本项目开标的，建议携带笔记本电脑、插线板、保持电脑网络畅通、CA锁等开标工具，否则造成无法解密或其他一切问题由供应商自行承担。</w:t>
      </w:r>
    </w:p>
    <w:p>
      <w:pPr>
        <w:autoSpaceDE w:val="0"/>
        <w:autoSpaceDN w:val="0"/>
        <w:adjustRightInd w:val="0"/>
        <w:spacing w:line="360" w:lineRule="auto"/>
        <w:ind w:firstLine="480" w:firstLineChars="200"/>
        <w:rPr>
          <w:rFonts w:hint="eastAsia" w:ascii="宋体" w:hAnsi="宋体"/>
          <w:b/>
          <w:kern w:val="0"/>
          <w:sz w:val="24"/>
        </w:rPr>
      </w:pPr>
      <w:r>
        <w:rPr>
          <w:rFonts w:hint="eastAsia" w:ascii="宋体" w:hAnsi="宋体"/>
          <w:kern w:val="0"/>
          <w:sz w:val="24"/>
        </w:rPr>
        <w:t>疫情期间，进入开评标现场的人员，须佩戴好口罩，出示健康绿码，经体温测量正常和信息登记后方可进入开评标现场；不符合上述要求的人员不得进入开评标现场，进入后不得脱下口罩，不得随意走动，不与任何人员有密切接触，适当保持人员间隔距离，不扎堆聚集，不扎堆就餐，不面对就餐，避免就餐时说话，不喧哗闲聊，在接触自己面部、特别是鼻孔与眼睛前先洗手，做好健康防护，参与评审活动人员应严格遵守开评标现场及新冠肺炎疫情防控期间的相关规定，否则不得进入现场。</w:t>
      </w:r>
    </w:p>
    <w:p>
      <w:pPr>
        <w:pStyle w:val="18"/>
        <w:snapToGrid w:val="0"/>
        <w:spacing w:before="120" w:after="120" w:line="360" w:lineRule="auto"/>
        <w:ind w:firstLine="482" w:firstLineChars="200"/>
        <w:rPr>
          <w:rFonts w:hint="eastAsia" w:hAnsi="宋体"/>
          <w:b/>
        </w:rPr>
      </w:pPr>
      <w:r>
        <w:rPr>
          <w:rFonts w:hAnsi="宋体"/>
          <w:b/>
        </w:rPr>
        <w:t>（二） 开</w:t>
      </w:r>
      <w:r>
        <w:rPr>
          <w:rFonts w:hint="eastAsia" w:hAnsi="宋体"/>
          <w:b/>
        </w:rPr>
        <w:t>标、评标及定</w:t>
      </w:r>
      <w:r>
        <w:rPr>
          <w:rFonts w:hAnsi="宋体"/>
          <w:b/>
        </w:rPr>
        <w:t>标程序：</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1、开标会由招标项目负责人主持，主持人宣布开标会议开始；</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 xml:space="preserve">2、主持人介绍参加开标会的人员名单； </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3、主持人宣布评标期间的有关事项，告知应当回避的情形,提请有关人员回避；</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4、到达开标时间后，采购组织机构在政釆云平台发起电子加密投标文件“开始解密”，由供应商在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5、投标文件解密结束，通过邮件形式发送各供应商组织签署《政府采购活动现场确认声明书》，现场参加的，则现场签署。供应商未按时签署或拒不签署《政府采购活动现场确认声明书》的，其投标文件作无效标处理。</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6、开启投标文件，进入资格响应文件评审、资格审查；</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7、资格响应文件通过的投标供应商进入商务技术文件评审；</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8、通过发送电子邮件形式公布资格审查、符合性审查、商务技术文件评审无效供应商名称及理由；公布有效投标供应商的名单，同时公布其商务技术文件文件得分情况。商务技术文件仅宣布总得分，不公布各细项得分，供应商不得就此提出异议；</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9、开启通过资格响应文件评审、商务技术文件评审有效投标供应商的报价要求响应文件，通过发送电子邮件形式公布报价内容，供应商通过发送电子邮件形式对各自的报价进行回复确认（不予确认的应说明理由，否则视为已确认）。报价开启后，由评标委员会对报价的合理性、准确性等进行审查核实。享受政策优惠的供应商也同样通过上述方式进行电子邮件确认；</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10、评审结束后，通过发送邮件形式公布中标（成交）候选供应商名单，或在政釆云平台上进行公布结果；</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11、开标会议结束。</w:t>
      </w:r>
    </w:p>
    <w:p>
      <w:pPr>
        <w:snapToGrid w:val="0"/>
        <w:spacing w:line="360" w:lineRule="auto"/>
        <w:ind w:firstLine="480" w:firstLineChars="200"/>
        <w:jc w:val="left"/>
        <w:rPr>
          <w:rFonts w:hint="eastAsia" w:ascii="宋体" w:hAnsi="宋体"/>
          <w:kern w:val="0"/>
          <w:sz w:val="24"/>
        </w:rPr>
      </w:pPr>
      <w:r>
        <w:rPr>
          <w:rFonts w:hint="eastAsia" w:ascii="宋体" w:hAnsi="宋体"/>
          <w:kern w:val="0"/>
          <w:sz w:val="24"/>
        </w:rPr>
        <w:t>12、备注：如遇“政府采购云平台”电子化开标或评审程序调整的，按调整后程序执行。电子投标文件的加密及解密须为同一个CA锁，否则造成无法成功解密的后果，由供应商自行承担。若供应商在同一时间段参加多个项目投标的，请自行内部协调好，系统要求编制标书的CA与解密CA保持一致。</w:t>
      </w:r>
    </w:p>
    <w:p>
      <w:pPr>
        <w:snapToGrid w:val="0"/>
        <w:spacing w:line="360" w:lineRule="auto"/>
        <w:ind w:firstLine="723" w:firstLineChars="300"/>
        <w:jc w:val="left"/>
        <w:rPr>
          <w:rFonts w:hint="eastAsia" w:ascii="宋体" w:hAnsi="宋体"/>
          <w:b/>
          <w:kern w:val="0"/>
          <w:sz w:val="24"/>
        </w:rPr>
      </w:pPr>
      <w:r>
        <w:rPr>
          <w:rFonts w:hint="eastAsia" w:ascii="宋体" w:hAnsi="宋体"/>
          <w:b/>
          <w:kern w:val="0"/>
          <w:sz w:val="24"/>
        </w:rPr>
        <w:t>（三） 异常情况处理：</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采购过程中出现以下情形，导致电子交易平台无法正常运行，或者无法保证电子交易的公平、公正和安全时，采购组织机构可中止电子交易活动：</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1、电子交易平台发生故障而无法登录访问的；</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2、电子交易平台应用或数据库出现错误，不能进行正常操作的；</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3、电子交易平台发现严重安全漏洞，有潜在泄密危险的；</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4、病毒发作导致不能进行正常操作的；</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5、其他无法保证电子交易的公平、公正和安全的情况。</w:t>
      </w:r>
    </w:p>
    <w:p>
      <w:pPr>
        <w:autoSpaceDE w:val="0"/>
        <w:autoSpaceDN w:val="0"/>
        <w:adjustRightInd w:val="0"/>
        <w:spacing w:line="360" w:lineRule="auto"/>
        <w:ind w:firstLine="480" w:firstLineChars="200"/>
        <w:rPr>
          <w:rFonts w:hint="eastAsia" w:ascii="宋体" w:hAnsi="宋体" w:cs="宋体"/>
        </w:rPr>
      </w:pPr>
      <w:r>
        <w:rPr>
          <w:rFonts w:hint="eastAsia" w:ascii="宋体" w:hAnsi="宋体"/>
          <w:kern w:val="0"/>
          <w:sz w:val="24"/>
        </w:rPr>
        <w:t>出现前款规定情形，不影响采购公平、公正性的，采购组织机构可以待上述情形消除后继续组织电子交易活动。</w:t>
      </w:r>
    </w:p>
    <w:p>
      <w:pPr>
        <w:pStyle w:val="18"/>
        <w:snapToGrid w:val="0"/>
        <w:spacing w:before="120" w:beforeLines="0" w:after="120" w:afterLines="0" w:line="360" w:lineRule="auto"/>
        <w:rPr>
          <w:rFonts w:hAnsi="宋体"/>
          <w:b/>
          <w:sz w:val="30"/>
          <w:szCs w:val="30"/>
        </w:rPr>
      </w:pPr>
      <w:r>
        <w:rPr>
          <w:rFonts w:hAnsi="宋体"/>
          <w:b/>
          <w:sz w:val="30"/>
          <w:szCs w:val="30"/>
        </w:rPr>
        <w:t>五、评标</w:t>
      </w:r>
    </w:p>
    <w:p>
      <w:pPr>
        <w:pStyle w:val="18"/>
        <w:snapToGrid w:val="0"/>
        <w:spacing w:before="0" w:beforeLines="0" w:after="0" w:afterLines="0" w:line="360" w:lineRule="auto"/>
        <w:ind w:left="876" w:leftChars="128" w:hanging="518" w:hangingChars="215"/>
        <w:rPr>
          <w:rFonts w:hAnsi="宋体"/>
          <w:b/>
        </w:rPr>
      </w:pPr>
      <w:r>
        <w:rPr>
          <w:rFonts w:hAnsi="宋体"/>
          <w:b/>
        </w:rPr>
        <w:t>（一）组建评标委员会</w:t>
      </w:r>
    </w:p>
    <w:p>
      <w:pPr>
        <w:autoSpaceDE w:val="0"/>
        <w:autoSpaceDN w:val="0"/>
        <w:adjustRightInd w:val="0"/>
        <w:spacing w:line="360" w:lineRule="auto"/>
        <w:ind w:firstLine="480" w:firstLineChars="200"/>
        <w:rPr>
          <w:rFonts w:hint="eastAsia" w:ascii="宋体" w:hAnsi="宋体"/>
          <w:kern w:val="0"/>
          <w:sz w:val="24"/>
        </w:rPr>
      </w:pPr>
      <w:r>
        <w:rPr>
          <w:rFonts w:hint="eastAsia" w:ascii="宋体" w:hAnsi="宋体"/>
          <w:kern w:val="0"/>
          <w:sz w:val="24"/>
        </w:rPr>
        <w:t>本项目评标委员会依法组建组成。</w:t>
      </w:r>
    </w:p>
    <w:p>
      <w:pPr>
        <w:pStyle w:val="18"/>
        <w:snapToGrid w:val="0"/>
        <w:spacing w:before="0" w:beforeLines="0" w:after="0" w:afterLines="0" w:line="360" w:lineRule="auto"/>
        <w:ind w:left="879" w:leftChars="129" w:hanging="518" w:hangingChars="215"/>
        <w:rPr>
          <w:rFonts w:hAnsi="宋体"/>
          <w:b/>
        </w:rPr>
      </w:pPr>
      <w:r>
        <w:rPr>
          <w:rFonts w:hAnsi="宋体"/>
          <w:b/>
        </w:rPr>
        <w:t>（二）评标的方式</w:t>
      </w:r>
    </w:p>
    <w:p>
      <w:pPr>
        <w:pStyle w:val="18"/>
        <w:snapToGrid w:val="0"/>
        <w:spacing w:before="0" w:beforeLines="0" w:after="0" w:afterLines="0" w:line="360" w:lineRule="auto"/>
        <w:ind w:left="878" w:leftChars="228" w:hanging="240" w:hangingChars="100"/>
        <w:rPr>
          <w:rFonts w:hAnsi="宋体"/>
        </w:rPr>
      </w:pPr>
      <w:r>
        <w:rPr>
          <w:rFonts w:hAnsi="宋体"/>
        </w:rPr>
        <w:t>本项目采用不公开方式评标，评标的依据为招标文件和投标文件。</w:t>
      </w:r>
    </w:p>
    <w:p>
      <w:pPr>
        <w:pStyle w:val="18"/>
        <w:snapToGrid w:val="0"/>
        <w:spacing w:before="120" w:after="120" w:line="360" w:lineRule="auto"/>
        <w:ind w:left="879" w:leftChars="129" w:hanging="518" w:hangingChars="215"/>
        <w:rPr>
          <w:rFonts w:hAnsi="宋体"/>
          <w:b/>
        </w:rPr>
      </w:pPr>
      <w:r>
        <w:rPr>
          <w:rFonts w:hAnsi="宋体"/>
          <w:b/>
        </w:rPr>
        <w:t>（三）</w:t>
      </w:r>
      <w:r>
        <w:rPr>
          <w:rFonts w:hAnsi="宋体"/>
          <w:b/>
          <w:bCs/>
        </w:rPr>
        <w:t>评标程序</w:t>
      </w:r>
    </w:p>
    <w:p>
      <w:pPr>
        <w:snapToGrid w:val="0"/>
        <w:spacing w:line="360" w:lineRule="auto"/>
        <w:ind w:firstLine="472" w:firstLineChars="196"/>
        <w:rPr>
          <w:rFonts w:ascii="宋体" w:hAnsi="宋体"/>
          <w:b/>
          <w:bCs/>
          <w:sz w:val="24"/>
          <w:szCs w:val="20"/>
        </w:rPr>
      </w:pPr>
      <w:r>
        <w:rPr>
          <w:rFonts w:ascii="宋体" w:hAnsi="宋体"/>
          <w:b/>
          <w:bCs/>
          <w:sz w:val="24"/>
        </w:rPr>
        <w:t>1</w:t>
      </w:r>
      <w:r>
        <w:rPr>
          <w:rFonts w:hint="eastAsia" w:ascii="宋体" w:hAnsi="宋体"/>
          <w:b/>
          <w:bCs/>
          <w:sz w:val="24"/>
        </w:rPr>
        <w:t>.</w:t>
      </w:r>
      <w:r>
        <w:rPr>
          <w:rFonts w:ascii="宋体" w:hAnsi="宋体"/>
          <w:b/>
          <w:bCs/>
          <w:sz w:val="24"/>
        </w:rPr>
        <w:t>形式审查</w:t>
      </w:r>
    </w:p>
    <w:p>
      <w:pPr>
        <w:snapToGrid w:val="0"/>
        <w:spacing w:line="360" w:lineRule="auto"/>
        <w:ind w:firstLine="480" w:firstLineChars="200"/>
        <w:rPr>
          <w:rFonts w:hint="eastAsia" w:ascii="宋体" w:hAnsi="宋体"/>
          <w:b/>
          <w:sz w:val="24"/>
        </w:rPr>
      </w:pPr>
      <w:r>
        <w:rPr>
          <w:rFonts w:hint="eastAsia" w:ascii="宋体" w:hAnsi="宋体"/>
          <w:sz w:val="24"/>
        </w:rPr>
        <w:t>评标委员会对投标人的</w:t>
      </w:r>
      <w:r>
        <w:rPr>
          <w:rFonts w:ascii="宋体" w:hAnsi="宋体"/>
          <w:sz w:val="24"/>
        </w:rPr>
        <w:t>投标文件的完整性、合法性等进行审查。</w:t>
      </w:r>
    </w:p>
    <w:p>
      <w:pPr>
        <w:snapToGrid w:val="0"/>
        <w:spacing w:line="360" w:lineRule="auto"/>
        <w:ind w:firstLine="472" w:firstLineChars="196"/>
        <w:rPr>
          <w:rFonts w:ascii="宋体" w:hAnsi="宋体"/>
          <w:b/>
          <w:bCs/>
          <w:sz w:val="24"/>
          <w:szCs w:val="20"/>
        </w:rPr>
      </w:pPr>
      <w:r>
        <w:rPr>
          <w:rFonts w:ascii="宋体" w:hAnsi="宋体"/>
          <w:b/>
          <w:bCs/>
          <w:sz w:val="24"/>
        </w:rPr>
        <w:t>2</w:t>
      </w:r>
      <w:r>
        <w:rPr>
          <w:rFonts w:hint="eastAsia" w:ascii="宋体" w:hAnsi="宋体"/>
          <w:b/>
          <w:bCs/>
          <w:sz w:val="24"/>
        </w:rPr>
        <w:t>.</w:t>
      </w:r>
      <w:r>
        <w:rPr>
          <w:rFonts w:ascii="宋体" w:hAnsi="宋体"/>
          <w:b/>
          <w:bCs/>
          <w:sz w:val="24"/>
        </w:rPr>
        <w:t>实质审查与比较</w:t>
      </w:r>
    </w:p>
    <w:p>
      <w:pPr>
        <w:snapToGrid w:val="0"/>
        <w:spacing w:line="360" w:lineRule="auto"/>
        <w:ind w:firstLine="480" w:firstLineChars="200"/>
        <w:rPr>
          <w:rFonts w:ascii="宋体" w:hAnsi="宋体"/>
          <w:sz w:val="24"/>
          <w:szCs w:val="20"/>
        </w:rPr>
      </w:pPr>
      <w:r>
        <w:rPr>
          <w:rFonts w:hint="eastAsia" w:ascii="宋体" w:hAnsi="宋体"/>
          <w:sz w:val="24"/>
        </w:rPr>
        <w:t>（</w:t>
      </w:r>
      <w:r>
        <w:rPr>
          <w:rFonts w:ascii="宋体" w:hAnsi="宋体"/>
          <w:sz w:val="24"/>
        </w:rPr>
        <w:t>1）评标委员会审查投标文件的实质性内容是否符合招标文件的实质性要求。</w:t>
      </w:r>
    </w:p>
    <w:p>
      <w:pPr>
        <w:snapToGrid w:val="0"/>
        <w:spacing w:line="360" w:lineRule="auto"/>
        <w:ind w:firstLine="480" w:firstLineChars="200"/>
        <w:rPr>
          <w:rFonts w:ascii="宋体" w:hAnsi="宋体"/>
          <w:sz w:val="24"/>
          <w:szCs w:val="20"/>
        </w:rPr>
      </w:pPr>
      <w:r>
        <w:rPr>
          <w:rFonts w:hint="eastAsia" w:ascii="宋体" w:hAnsi="宋体"/>
          <w:sz w:val="24"/>
        </w:rPr>
        <w:t>（</w:t>
      </w:r>
      <w:r>
        <w:rPr>
          <w:rFonts w:ascii="宋体" w:hAnsi="宋体"/>
          <w:sz w:val="24"/>
        </w:rPr>
        <w:t>2）评标委员会将根据投标人的投标文件进行审查、核对,如有疑问,将对投标人进行询标,投标人要向评标委员会澄清有关问题,并最终以书面形式进行答复。</w:t>
      </w:r>
      <w:r>
        <w:rPr>
          <w:rFonts w:hint="eastAsia" w:ascii="宋体" w:hAnsi="宋体"/>
          <w:sz w:val="24"/>
        </w:rPr>
        <w:t>投标人代表未到场或者拒绝澄清或者澄清的内容改变了投标文件的实质性内容的，评标委员会有权对该投标文件作出不利于投标人的评判。</w:t>
      </w:r>
    </w:p>
    <w:p>
      <w:pPr>
        <w:snapToGrid w:val="0"/>
        <w:spacing w:line="360" w:lineRule="auto"/>
        <w:ind w:firstLine="480" w:firstLineChars="200"/>
        <w:rPr>
          <w:rFonts w:hint="eastAsia" w:ascii="宋体" w:hAnsi="宋体"/>
          <w:sz w:val="24"/>
          <w:szCs w:val="20"/>
        </w:rPr>
      </w:pPr>
      <w:r>
        <w:rPr>
          <w:rFonts w:hint="eastAsia" w:ascii="宋体" w:hAnsi="宋体"/>
          <w:sz w:val="24"/>
        </w:rPr>
        <w:t>（</w:t>
      </w:r>
      <w:r>
        <w:rPr>
          <w:rFonts w:ascii="宋体" w:hAnsi="宋体"/>
          <w:sz w:val="24"/>
        </w:rPr>
        <w:t>3）</w:t>
      </w:r>
      <w:r>
        <w:rPr>
          <w:rFonts w:hint="eastAsia" w:ascii="宋体" w:hAnsi="宋体"/>
          <w:sz w:val="24"/>
        </w:rPr>
        <w:t>各投标人的商务技术得分为所有评委的有效评分的算术平均数。</w:t>
      </w:r>
    </w:p>
    <w:p>
      <w:pPr>
        <w:snapToGrid w:val="0"/>
        <w:spacing w:line="360" w:lineRule="auto"/>
        <w:ind w:firstLine="480" w:firstLineChars="200"/>
        <w:rPr>
          <w:rFonts w:ascii="宋体" w:hAnsi="宋体"/>
          <w:sz w:val="24"/>
          <w:szCs w:val="20"/>
        </w:rPr>
      </w:pPr>
      <w:r>
        <w:rPr>
          <w:rFonts w:hint="eastAsia" w:ascii="宋体" w:hAnsi="宋体"/>
          <w:sz w:val="24"/>
        </w:rPr>
        <w:t>（4</w:t>
      </w:r>
      <w:r>
        <w:rPr>
          <w:rFonts w:ascii="宋体" w:hAnsi="宋体"/>
          <w:sz w:val="24"/>
        </w:rPr>
        <w:t>）</w:t>
      </w:r>
      <w:r>
        <w:rPr>
          <w:rFonts w:hint="eastAsia" w:ascii="宋体" w:hAnsi="宋体"/>
          <w:sz w:val="24"/>
        </w:rPr>
        <w:t>评标委员会完成评标后,评委对各部分得分汇总,计算出本项目最终得分。评标委员会按评标原则推荐中标候选人同时编写采购项目评标报告。</w:t>
      </w:r>
    </w:p>
    <w:p>
      <w:pPr>
        <w:snapToGrid w:val="0"/>
        <w:spacing w:line="360" w:lineRule="auto"/>
        <w:ind w:firstLine="359" w:firstLineChars="149"/>
        <w:rPr>
          <w:rFonts w:ascii="宋体" w:hAnsi="宋体"/>
          <w:b/>
          <w:sz w:val="24"/>
          <w:szCs w:val="20"/>
        </w:rPr>
      </w:pPr>
      <w:r>
        <w:rPr>
          <w:rFonts w:hint="eastAsia" w:ascii="宋体" w:hAnsi="宋体"/>
          <w:b/>
          <w:sz w:val="24"/>
        </w:rPr>
        <w:t>（四）澄清问题的形式</w:t>
      </w:r>
    </w:p>
    <w:p>
      <w:pPr>
        <w:snapToGrid w:val="0"/>
        <w:spacing w:line="360" w:lineRule="auto"/>
        <w:ind w:firstLine="480" w:firstLineChars="200"/>
        <w:rPr>
          <w:rFonts w:ascii="宋体" w:hAnsi="宋体"/>
          <w:sz w:val="24"/>
          <w:szCs w:val="20"/>
        </w:rPr>
      </w:pPr>
      <w:r>
        <w:rPr>
          <w:rFonts w:hint="eastAsia" w:ascii="宋体" w:hAnsi="宋体"/>
          <w:sz w:val="24"/>
        </w:rPr>
        <w:t>对投标文件中含义不明确、同类问题表述不一致或者有明显文字和计算错误的内容，评标委员会可要求投标人作出必要的澄清、说明或者纠正。投标人的澄清、说明或者补正应当采用书面形式，由其授权代表签字或盖章确认，并不得超出投标文件的范围或者改变投标文件的实质性内容。</w:t>
      </w:r>
    </w:p>
    <w:p>
      <w:pPr>
        <w:pStyle w:val="18"/>
        <w:snapToGrid w:val="0"/>
        <w:spacing w:before="120" w:after="120" w:line="360" w:lineRule="auto"/>
        <w:ind w:left="877" w:leftChars="129" w:hanging="516" w:hangingChars="214"/>
        <w:rPr>
          <w:rFonts w:hAnsi="宋体"/>
          <w:b/>
        </w:rPr>
      </w:pPr>
      <w:r>
        <w:rPr>
          <w:rFonts w:hAnsi="宋体"/>
          <w:b/>
        </w:rPr>
        <w:t>（五）错误修正</w:t>
      </w:r>
    </w:p>
    <w:p>
      <w:pPr>
        <w:snapToGrid w:val="0"/>
        <w:spacing w:line="360" w:lineRule="auto"/>
        <w:ind w:firstLine="480" w:firstLineChars="200"/>
        <w:rPr>
          <w:rFonts w:hint="eastAsia" w:ascii="宋体" w:hAnsi="宋体"/>
          <w:sz w:val="24"/>
        </w:rPr>
      </w:pPr>
      <w:r>
        <w:rPr>
          <w:rFonts w:hint="eastAsia" w:ascii="宋体" w:hAnsi="宋体"/>
          <w:sz w:val="24"/>
        </w:rPr>
        <w:t>投标文件如果出现计算或表达上的错误，修正错误的原则如下：</w:t>
      </w:r>
    </w:p>
    <w:p>
      <w:pPr>
        <w:snapToGrid w:val="0"/>
        <w:spacing w:line="360" w:lineRule="auto"/>
        <w:ind w:firstLine="480" w:firstLineChars="200"/>
        <w:rPr>
          <w:rFonts w:hint="eastAsia" w:ascii="宋体" w:hAnsi="宋体"/>
          <w:sz w:val="24"/>
        </w:rPr>
      </w:pPr>
      <w:r>
        <w:rPr>
          <w:rFonts w:hint="eastAsia" w:ascii="宋体" w:hAnsi="宋体"/>
          <w:sz w:val="24"/>
        </w:rPr>
        <w:t>1、投标文件中开标一览表内容与投标文件中相应内容不一致的，以开标一览表为准；</w:t>
      </w:r>
    </w:p>
    <w:p>
      <w:pPr>
        <w:snapToGrid w:val="0"/>
        <w:spacing w:line="360" w:lineRule="auto"/>
        <w:ind w:firstLine="480" w:firstLineChars="200"/>
        <w:rPr>
          <w:rFonts w:hint="eastAsia" w:ascii="宋体" w:hAnsi="宋体"/>
          <w:sz w:val="24"/>
        </w:rPr>
      </w:pPr>
      <w:r>
        <w:rPr>
          <w:rFonts w:hint="eastAsia" w:ascii="宋体" w:hAnsi="宋体"/>
          <w:sz w:val="24"/>
        </w:rPr>
        <w:t>2、大写金额和小写金额不一致的，以大写金额为准；</w:t>
      </w:r>
    </w:p>
    <w:p>
      <w:pPr>
        <w:snapToGrid w:val="0"/>
        <w:spacing w:line="360" w:lineRule="auto"/>
        <w:ind w:firstLine="480" w:firstLineChars="200"/>
        <w:rPr>
          <w:rFonts w:hint="eastAsia" w:ascii="宋体" w:hAnsi="宋体"/>
          <w:sz w:val="24"/>
        </w:rPr>
      </w:pPr>
      <w:r>
        <w:rPr>
          <w:rFonts w:hint="eastAsia" w:ascii="宋体" w:hAnsi="宋体"/>
          <w:sz w:val="24"/>
        </w:rPr>
        <w:t>3、单价金额小数点或者百分比有明显错位的，以开标一览表的总价为准，并修改单价；</w:t>
      </w:r>
    </w:p>
    <w:p>
      <w:pPr>
        <w:snapToGrid w:val="0"/>
        <w:spacing w:line="360" w:lineRule="auto"/>
        <w:ind w:firstLine="480" w:firstLineChars="200"/>
        <w:rPr>
          <w:rFonts w:hint="eastAsia" w:ascii="宋体" w:hAnsi="宋体" w:cs="宋体"/>
        </w:rPr>
      </w:pPr>
      <w:r>
        <w:rPr>
          <w:rFonts w:hint="eastAsia" w:ascii="宋体" w:hAnsi="宋体"/>
          <w:sz w:val="24"/>
        </w:rPr>
        <w:t>4、总价金额与按单价汇总金额不一致的，以总价金额为准，合理调整单价。</w:t>
      </w:r>
    </w:p>
    <w:p>
      <w:pPr>
        <w:snapToGrid w:val="0"/>
        <w:spacing w:line="360" w:lineRule="auto"/>
        <w:ind w:firstLine="482" w:firstLineChars="200"/>
        <w:rPr>
          <w:rFonts w:hint="eastAsia" w:ascii="宋体" w:hAnsi="宋体"/>
          <w:b/>
          <w:bCs/>
          <w:sz w:val="24"/>
        </w:rPr>
      </w:pPr>
      <w:r>
        <w:rPr>
          <w:rFonts w:hint="eastAsia" w:ascii="宋体" w:hAnsi="宋体"/>
          <w:b/>
          <w:bCs/>
          <w:sz w:val="24"/>
        </w:rPr>
        <w:t>同时出现两种以上不一致的，按照前款规定的顺序修正。按上述修正错误的原则及方法调整或修正投标文件的投标报价，投标人同意并签字确认后，调整后的投标报价对投标人具有约束作用。如果投标人不接受修正后的报价，则其投标将作为无效投标处理。</w:t>
      </w:r>
    </w:p>
    <w:p>
      <w:pPr>
        <w:autoSpaceDE w:val="0"/>
        <w:autoSpaceDN w:val="0"/>
        <w:adjustRightInd w:val="0"/>
        <w:spacing w:line="360" w:lineRule="auto"/>
        <w:ind w:firstLine="359" w:firstLineChars="149"/>
        <w:rPr>
          <w:rFonts w:ascii="宋体" w:hAnsi="宋体"/>
          <w:b/>
          <w:kern w:val="0"/>
          <w:sz w:val="24"/>
        </w:rPr>
      </w:pPr>
      <w:r>
        <w:rPr>
          <w:rFonts w:hint="eastAsia" w:ascii="宋体" w:hAnsi="宋体"/>
          <w:b/>
          <w:kern w:val="0"/>
          <w:sz w:val="24"/>
        </w:rPr>
        <w:t>（六）有下列情况之一的，本次招标作为废标处理，除采购任务取消外，由采购人重新组织招标：</w:t>
      </w:r>
    </w:p>
    <w:p>
      <w:pPr>
        <w:snapToGrid w:val="0"/>
        <w:spacing w:line="360" w:lineRule="auto"/>
        <w:ind w:firstLine="480" w:firstLineChars="200"/>
        <w:rPr>
          <w:rFonts w:hint="eastAsia" w:ascii="宋体" w:hAnsi="宋体"/>
          <w:sz w:val="24"/>
        </w:rPr>
      </w:pPr>
      <w:r>
        <w:rPr>
          <w:rFonts w:hint="eastAsia" w:ascii="宋体" w:hAnsi="宋体"/>
          <w:sz w:val="24"/>
        </w:rPr>
        <w:t>1、符合专业条件的供应商或者对招标文件作实质响应的供应商不足三家，评标委员会认定投标明显缺乏竞争的；</w:t>
      </w:r>
    </w:p>
    <w:p>
      <w:pPr>
        <w:snapToGrid w:val="0"/>
        <w:spacing w:line="360" w:lineRule="auto"/>
        <w:ind w:firstLine="480" w:firstLineChars="200"/>
        <w:rPr>
          <w:rFonts w:hint="eastAsia" w:ascii="宋体" w:hAnsi="宋体"/>
          <w:sz w:val="24"/>
        </w:rPr>
      </w:pPr>
      <w:r>
        <w:rPr>
          <w:rFonts w:hint="eastAsia" w:ascii="宋体" w:hAnsi="宋体"/>
          <w:sz w:val="24"/>
        </w:rPr>
        <w:t>2、出现影响采购公正的违法、违规行为的；</w:t>
      </w:r>
    </w:p>
    <w:p>
      <w:pPr>
        <w:snapToGrid w:val="0"/>
        <w:spacing w:line="360" w:lineRule="auto"/>
        <w:ind w:firstLine="480" w:firstLineChars="200"/>
        <w:rPr>
          <w:rFonts w:hint="eastAsia" w:ascii="宋体" w:hAnsi="宋体"/>
          <w:sz w:val="24"/>
        </w:rPr>
      </w:pPr>
      <w:r>
        <w:rPr>
          <w:rFonts w:hint="eastAsia" w:ascii="宋体" w:hAnsi="宋体"/>
          <w:sz w:val="24"/>
        </w:rPr>
        <w:t>3、投标人的报价均超过了采购预算，采购人不能支付的；</w:t>
      </w:r>
    </w:p>
    <w:p>
      <w:pPr>
        <w:snapToGrid w:val="0"/>
        <w:spacing w:line="360" w:lineRule="auto"/>
        <w:ind w:firstLine="480" w:firstLineChars="200"/>
        <w:rPr>
          <w:rFonts w:ascii="宋体" w:hAnsi="宋体"/>
          <w:sz w:val="24"/>
        </w:rPr>
      </w:pPr>
      <w:r>
        <w:rPr>
          <w:rFonts w:ascii="宋体" w:hAnsi="宋体"/>
          <w:sz w:val="24"/>
        </w:rPr>
        <w:t>4、因重大变故，采购任务取消的。</w:t>
      </w:r>
    </w:p>
    <w:p>
      <w:pPr>
        <w:pStyle w:val="18"/>
        <w:tabs>
          <w:tab w:val="left" w:pos="630"/>
        </w:tabs>
        <w:snapToGrid w:val="0"/>
        <w:spacing w:before="120" w:after="120" w:line="360" w:lineRule="auto"/>
        <w:ind w:firstLine="359" w:firstLineChars="149"/>
        <w:rPr>
          <w:rFonts w:hAnsi="宋体"/>
          <w:b/>
        </w:rPr>
      </w:pPr>
      <w:r>
        <w:rPr>
          <w:rFonts w:hAnsi="宋体"/>
          <w:b/>
        </w:rPr>
        <w:t>（七）评标原则和评标办法</w:t>
      </w:r>
    </w:p>
    <w:p>
      <w:pPr>
        <w:pStyle w:val="18"/>
        <w:snapToGrid w:val="0"/>
        <w:spacing w:before="120" w:after="120" w:line="360" w:lineRule="auto"/>
        <w:ind w:firstLine="480" w:firstLineChars="200"/>
        <w:rPr>
          <w:rFonts w:hAnsi="宋体"/>
        </w:rPr>
      </w:pPr>
      <w:r>
        <w:rPr>
          <w:rFonts w:hAnsi="宋体"/>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18"/>
        <w:snapToGrid w:val="0"/>
        <w:spacing w:before="120" w:after="120" w:line="360" w:lineRule="auto"/>
        <w:ind w:firstLine="480" w:firstLineChars="200"/>
        <w:rPr>
          <w:rFonts w:hAnsi="宋体"/>
        </w:rPr>
      </w:pPr>
      <w:r>
        <w:rPr>
          <w:rFonts w:hAnsi="宋体"/>
        </w:rPr>
        <w:t>2、评标办法。具体评标内容及评分标准等详见《第四章：评标办法及评分标准》。</w:t>
      </w:r>
    </w:p>
    <w:p>
      <w:pPr>
        <w:pStyle w:val="18"/>
        <w:snapToGrid w:val="0"/>
        <w:spacing w:before="120" w:after="120" w:line="360" w:lineRule="auto"/>
        <w:ind w:firstLine="359" w:firstLineChars="149"/>
        <w:rPr>
          <w:rFonts w:hAnsi="宋体"/>
          <w:b/>
        </w:rPr>
      </w:pPr>
      <w:r>
        <w:rPr>
          <w:rFonts w:hAnsi="宋体"/>
          <w:b/>
        </w:rPr>
        <w:t>（八）评标过程的监控</w:t>
      </w:r>
    </w:p>
    <w:p>
      <w:pPr>
        <w:pStyle w:val="32"/>
        <w:spacing w:before="0" w:beforeAutospacing="0" w:after="0" w:afterAutospacing="0" w:line="360" w:lineRule="auto"/>
        <w:ind w:firstLine="480" w:firstLineChars="200"/>
        <w:jc w:val="both"/>
        <w:rPr>
          <w:color w:val="auto"/>
        </w:rPr>
      </w:pPr>
      <w:r>
        <w:rPr>
          <w:color w:val="auto"/>
        </w:rPr>
        <w:t>本项目评标过程实行全程录音、录像监控，政府采购监管部门视情进行现场监督，投标人在评标过程中所进行的试图影响评标结果的不公正活动，可能导致其投标被拒绝。</w:t>
      </w:r>
    </w:p>
    <w:p>
      <w:pPr>
        <w:pStyle w:val="18"/>
        <w:snapToGrid w:val="0"/>
        <w:spacing w:before="120" w:after="120" w:line="360" w:lineRule="auto"/>
        <w:rPr>
          <w:rFonts w:hAnsi="宋体"/>
          <w:b/>
          <w:sz w:val="30"/>
          <w:szCs w:val="30"/>
        </w:rPr>
      </w:pPr>
      <w:r>
        <w:rPr>
          <w:rFonts w:hAnsi="宋体"/>
          <w:b/>
          <w:sz w:val="30"/>
          <w:szCs w:val="30"/>
        </w:rPr>
        <w:t>六、定标</w:t>
      </w:r>
    </w:p>
    <w:p>
      <w:pPr>
        <w:pStyle w:val="32"/>
        <w:spacing w:before="0" w:beforeAutospacing="0" w:after="0" w:afterAutospacing="0" w:line="360" w:lineRule="auto"/>
        <w:ind w:firstLine="480" w:firstLineChars="200"/>
        <w:jc w:val="both"/>
        <w:rPr>
          <w:color w:val="auto"/>
        </w:rPr>
      </w:pPr>
      <w:r>
        <w:rPr>
          <w:color w:val="auto"/>
        </w:rPr>
        <w:t>1、</w:t>
      </w:r>
      <w:r>
        <w:rPr>
          <w:rFonts w:hint="eastAsia" w:cs="宋体"/>
          <w:color w:val="auto"/>
          <w:szCs w:val="32"/>
        </w:rPr>
        <w:t>确定中标供应商。评标委员会根据采购单位的《授权意见确认书》，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spacing w:line="360" w:lineRule="auto"/>
        <w:ind w:firstLine="480" w:firstLineChars="200"/>
        <w:rPr>
          <w:rFonts w:hint="eastAsia" w:ascii="宋体" w:hAnsi="宋体" w:cs="宋体"/>
          <w:kern w:val="0"/>
          <w:sz w:val="24"/>
        </w:rPr>
      </w:pPr>
      <w:r>
        <w:rPr>
          <w:rFonts w:hint="eastAsia" w:ascii="宋体" w:hAnsi="宋体" w:cs="宋体"/>
          <w:sz w:val="24"/>
          <w:lang w:bidi="ar"/>
        </w:rPr>
        <w:t>2、</w:t>
      </w:r>
      <w:r>
        <w:rPr>
          <w:rFonts w:hint="eastAsia" w:ascii="宋体" w:hAnsi="宋体" w:cs="宋体"/>
          <w:sz w:val="24"/>
          <w:szCs w:val="32"/>
        </w:rPr>
        <w:t>发布中标结果公告。采购组织机构应当自中标人确定之日起2个工作日内，在省级以上财政部门指定的媒体及相关网站上公告中标结果，招标文件应当随中标结果同时公告。如发现中标供应商资格无效或其放弃中标资格，则按本次评标供应商得分排序结果依次替补或重新组织。</w:t>
      </w:r>
    </w:p>
    <w:p>
      <w:pPr>
        <w:spacing w:line="360" w:lineRule="auto"/>
        <w:ind w:firstLine="480" w:firstLineChars="200"/>
        <w:rPr>
          <w:rFonts w:hint="eastAsia" w:ascii="宋体" w:hAnsi="宋体" w:cs="宋体"/>
          <w:kern w:val="0"/>
          <w:sz w:val="24"/>
        </w:rPr>
      </w:pPr>
      <w:r>
        <w:rPr>
          <w:rFonts w:hint="eastAsia" w:ascii="宋体" w:hAnsi="宋体" w:cs="宋体"/>
          <w:kern w:val="0"/>
          <w:sz w:val="24"/>
          <w:lang w:bidi="ar"/>
        </w:rPr>
        <w:t>3、发出中标通知书。采购组织机构在发布中标结果的同时，向中标人发出中标通知书。</w:t>
      </w:r>
    </w:p>
    <w:p>
      <w:pPr>
        <w:pStyle w:val="18"/>
        <w:snapToGrid w:val="0"/>
        <w:spacing w:before="120" w:after="120" w:line="360" w:lineRule="auto"/>
        <w:rPr>
          <w:rFonts w:hAnsi="宋体"/>
          <w:b/>
          <w:sz w:val="30"/>
          <w:szCs w:val="30"/>
        </w:rPr>
      </w:pPr>
      <w:r>
        <w:rPr>
          <w:rFonts w:hAnsi="宋体"/>
          <w:b/>
          <w:sz w:val="30"/>
          <w:szCs w:val="30"/>
        </w:rPr>
        <w:t>七、合同授予</w:t>
      </w:r>
    </w:p>
    <w:p>
      <w:pPr>
        <w:spacing w:line="360" w:lineRule="auto"/>
        <w:ind w:firstLine="482" w:firstLineChars="200"/>
        <w:rPr>
          <w:rFonts w:hAnsi="宋体"/>
          <w:b/>
          <w:sz w:val="30"/>
          <w:szCs w:val="30"/>
        </w:rPr>
      </w:pPr>
      <w:r>
        <w:rPr>
          <w:rFonts w:hint="eastAsia" w:ascii="宋体" w:hAnsi="宋体" w:cs="宋体"/>
          <w:b/>
          <w:sz w:val="24"/>
          <w:lang w:bidi="ar"/>
        </w:rPr>
        <w:t>（一）签订合同</w:t>
      </w:r>
    </w:p>
    <w:p>
      <w:pPr>
        <w:pStyle w:val="32"/>
        <w:spacing w:before="0" w:beforeAutospacing="0" w:after="0" w:afterAutospacing="0" w:line="360" w:lineRule="auto"/>
        <w:ind w:firstLine="600" w:firstLineChars="250"/>
        <w:jc w:val="both"/>
        <w:rPr>
          <w:color w:val="auto"/>
        </w:rPr>
      </w:pPr>
      <w:r>
        <w:rPr>
          <w:color w:val="auto"/>
        </w:rPr>
        <w:t>1、采购人应当自中标通知书发出之日起</w:t>
      </w:r>
      <w:r>
        <w:rPr>
          <w:rFonts w:hint="eastAsia"/>
          <w:color w:val="auto"/>
        </w:rPr>
        <w:t>30</w:t>
      </w:r>
      <w:r>
        <w:rPr>
          <w:color w:val="auto"/>
        </w:rPr>
        <w:t>日内，按照招标文件和中标人投标文件的规定，与中标人签订书面合同。所签订的合同不得对招标文件确定的事项和中标人投标文件作实质性修改。</w:t>
      </w:r>
    </w:p>
    <w:p>
      <w:pPr>
        <w:pStyle w:val="32"/>
        <w:spacing w:before="0" w:beforeAutospacing="0" w:after="0" w:afterAutospacing="0" w:line="360" w:lineRule="auto"/>
        <w:ind w:firstLine="600" w:firstLineChars="250"/>
        <w:jc w:val="both"/>
        <w:rPr>
          <w:color w:val="auto"/>
        </w:rPr>
      </w:pPr>
      <w:r>
        <w:rPr>
          <w:color w:val="auto"/>
        </w:rPr>
        <w:t>2、采购人不得向中标人提出任何不合理的要求作为签订合同的条件。</w:t>
      </w:r>
    </w:p>
    <w:p>
      <w:pPr>
        <w:pStyle w:val="32"/>
        <w:spacing w:before="0" w:beforeAutospacing="0" w:after="0" w:afterAutospacing="0" w:line="360" w:lineRule="auto"/>
        <w:ind w:firstLine="600" w:firstLineChars="250"/>
        <w:jc w:val="both"/>
        <w:rPr>
          <w:color w:val="auto"/>
        </w:rPr>
      </w:pPr>
      <w:r>
        <w:rPr>
          <w:color w:val="auto"/>
        </w:rPr>
        <w:t>3、中标供应商无故拖延、拒签合同的,投标保证金将不予退还并取消中标资格。</w:t>
      </w:r>
    </w:p>
    <w:p>
      <w:pPr>
        <w:pStyle w:val="32"/>
        <w:spacing w:before="0" w:beforeAutospacing="0" w:after="0" w:afterAutospacing="0" w:line="360" w:lineRule="auto"/>
        <w:ind w:firstLine="600" w:firstLineChars="250"/>
        <w:jc w:val="both"/>
        <w:rPr>
          <w:color w:val="auto"/>
        </w:rPr>
      </w:pPr>
      <w:r>
        <w:rPr>
          <w:color w:val="auto"/>
        </w:rPr>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32"/>
        <w:spacing w:before="0" w:beforeAutospacing="0" w:after="0" w:afterAutospacing="0" w:line="360" w:lineRule="auto"/>
        <w:ind w:firstLine="600" w:firstLineChars="250"/>
        <w:jc w:val="both"/>
        <w:rPr>
          <w:color w:val="auto"/>
        </w:rPr>
      </w:pPr>
      <w:r>
        <w:rPr>
          <w:color w:val="auto"/>
        </w:rPr>
        <w:t>5、询问或者质疑事项可能影响中标结果的，采购人应当暂停签订合同，已经签订合同的，应当中止履行合同（中标结果的质疑期为中标结果公告期限届满之日起七个工作日）。</w:t>
      </w:r>
    </w:p>
    <w:p>
      <w:pPr>
        <w:pStyle w:val="32"/>
        <w:spacing w:line="360" w:lineRule="auto"/>
        <w:ind w:firstLine="424" w:firstLineChars="176"/>
        <w:rPr>
          <w:rFonts w:cs="仿宋_GB2312"/>
          <w:b/>
          <w:color w:val="auto"/>
        </w:rPr>
      </w:pPr>
      <w:r>
        <w:rPr>
          <w:b/>
          <w:color w:val="auto"/>
        </w:rPr>
        <w:t>（二）合同公告及备案</w:t>
      </w:r>
    </w:p>
    <w:p>
      <w:pPr>
        <w:pStyle w:val="32"/>
        <w:spacing w:before="0" w:beforeAutospacing="0" w:after="0" w:afterAutospacing="0" w:line="360" w:lineRule="auto"/>
        <w:ind w:firstLine="600" w:firstLineChars="250"/>
        <w:jc w:val="both"/>
        <w:rPr>
          <w:rFonts w:hint="eastAsia"/>
          <w:color w:val="auto"/>
        </w:rPr>
      </w:pPr>
      <w:r>
        <w:rPr>
          <w:rFonts w:hint="eastAsia"/>
          <w:color w:val="auto"/>
        </w:rPr>
        <w:t>采购人应当自政府采购合同签订之日起2个工作日内，在省级以上财政部门指定的政府采购信息发布媒体及相关网站上公告。</w:t>
      </w:r>
    </w:p>
    <w:p>
      <w:pPr>
        <w:pStyle w:val="18"/>
        <w:numPr>
          <w:ilvl w:val="0"/>
          <w:numId w:val="22"/>
        </w:numPr>
        <w:snapToGrid w:val="0"/>
        <w:spacing w:before="120" w:beforeLines="0" w:after="120" w:afterLines="0" w:line="240" w:lineRule="auto"/>
        <w:jc w:val="center"/>
        <w:rPr>
          <w:rFonts w:hAnsi="宋体"/>
          <w:b/>
          <w:sz w:val="30"/>
          <w:szCs w:val="30"/>
        </w:rPr>
      </w:pPr>
      <w:r>
        <w:rPr>
          <w:rFonts w:hAnsi="宋体"/>
          <w:b/>
          <w:sz w:val="30"/>
          <w:szCs w:val="30"/>
        </w:rPr>
        <w:br w:type="page"/>
      </w:r>
      <w:bookmarkStart w:id="373" w:name="第四章"/>
      <w:r>
        <w:rPr>
          <w:rFonts w:hAnsi="宋体"/>
          <w:b/>
          <w:sz w:val="30"/>
          <w:szCs w:val="30"/>
        </w:rPr>
        <w:t xml:space="preserve"> </w:t>
      </w:r>
      <w:bookmarkStart w:id="374" w:name="_Toc22477_WPSOffice_Level1"/>
      <w:r>
        <w:rPr>
          <w:rFonts w:hAnsi="宋体"/>
          <w:b/>
          <w:sz w:val="30"/>
          <w:szCs w:val="30"/>
        </w:rPr>
        <w:t>评标办法及评分标准</w:t>
      </w:r>
      <w:bookmarkEnd w:id="373"/>
      <w:bookmarkEnd w:id="374"/>
    </w:p>
    <w:p>
      <w:pPr>
        <w:spacing w:before="120" w:beforeLines="50" w:after="120" w:afterLines="50" w:line="440" w:lineRule="exact"/>
        <w:ind w:firstLine="420"/>
        <w:rPr>
          <w:rFonts w:hint="eastAsia" w:ascii="宋体" w:hAnsi="宋体" w:cs="宋体"/>
          <w:sz w:val="24"/>
        </w:rPr>
      </w:pPr>
      <w:r>
        <w:rPr>
          <w:rFonts w:hint="eastAsia" w:ascii="宋体" w:hAnsi="宋体" w:cs="宋体"/>
          <w:sz w:val="24"/>
          <w:lang w:bidi="ar"/>
        </w:rPr>
        <w:t>为公正、公平、科学地选择中标人，根据《中华人民共和国政府采购法》等有关法律法规的规定，并结合本项目的实际，制定本办法。</w:t>
      </w:r>
    </w:p>
    <w:p>
      <w:pPr>
        <w:spacing w:before="120" w:beforeLines="50" w:after="120" w:afterLines="50" w:line="440" w:lineRule="exact"/>
        <w:ind w:firstLine="420"/>
        <w:rPr>
          <w:rFonts w:hint="eastAsia" w:ascii="宋体" w:hAnsi="宋体" w:cs="宋体"/>
          <w:bCs/>
          <w:sz w:val="30"/>
          <w:szCs w:val="30"/>
        </w:rPr>
      </w:pPr>
      <w:r>
        <w:rPr>
          <w:rFonts w:hint="eastAsia" w:ascii="宋体" w:hAnsi="宋体" w:cs="宋体"/>
          <w:sz w:val="30"/>
          <w:szCs w:val="30"/>
          <w:lang w:bidi="ar"/>
        </w:rPr>
        <w:t>本办法适用于</w:t>
      </w:r>
      <w:r>
        <w:rPr>
          <w:rFonts w:hint="eastAsia" w:cs="宋体"/>
          <w:b/>
          <w:sz w:val="30"/>
          <w:szCs w:val="30"/>
          <w:lang w:bidi="ar"/>
        </w:rPr>
        <w:t>标段一</w:t>
      </w:r>
      <w:r>
        <w:rPr>
          <w:rFonts w:hint="eastAsia" w:ascii="宋体" w:hAnsi="宋体" w:cs="宋体"/>
          <w:bCs/>
          <w:sz w:val="30"/>
          <w:szCs w:val="30"/>
          <w:lang w:bidi="ar"/>
        </w:rPr>
        <w:t>的评标。</w:t>
      </w:r>
    </w:p>
    <w:p>
      <w:pPr>
        <w:spacing w:before="120" w:beforeLines="50" w:after="120" w:afterLines="50" w:line="360" w:lineRule="auto"/>
        <w:ind w:firstLine="472" w:firstLineChars="196"/>
        <w:rPr>
          <w:rFonts w:ascii="宋体" w:hAnsi="宋体"/>
          <w:b/>
          <w:sz w:val="24"/>
        </w:rPr>
      </w:pPr>
      <w:r>
        <w:rPr>
          <w:rFonts w:hint="eastAsia" w:ascii="宋体" w:hAnsi="宋体"/>
          <w:b/>
          <w:sz w:val="24"/>
        </w:rPr>
        <w:t>一、总则</w:t>
      </w:r>
    </w:p>
    <w:p>
      <w:pPr>
        <w:spacing w:before="120" w:beforeLines="50" w:after="120" w:afterLines="50" w:line="400" w:lineRule="exact"/>
        <w:ind w:firstLine="480" w:firstLineChars="200"/>
        <w:rPr>
          <w:rFonts w:hint="eastAsia" w:ascii="宋体" w:hAnsi="宋体" w:cs="宋体"/>
          <w:bCs/>
          <w:sz w:val="24"/>
        </w:rPr>
      </w:pPr>
      <w:r>
        <w:rPr>
          <w:rFonts w:hint="eastAsia" w:ascii="宋体" w:hAnsi="宋体" w:cs="宋体"/>
          <w:sz w:val="24"/>
          <w:lang w:bidi="ar"/>
        </w:rPr>
        <w:t>本次评标采用综合评分法，总分为100分，其中报价分30分、商务技术分70分两部分。合格投标人的评标得分为各项目汇总得分，中标候选资格按评标得分由高到低顺序排列，得分相同的，按投标报价由低到高顺序排列；得分且投标报价相同的，由采购人抽签确定。排名第一的的投标人为中标候选人,排名第二的投标人为候补中标候选人。</w:t>
      </w:r>
      <w:r>
        <w:rPr>
          <w:rFonts w:hint="eastAsia" w:ascii="宋体" w:hAnsi="宋体" w:cs="宋体"/>
          <w:bCs/>
          <w:sz w:val="24"/>
          <w:lang w:bidi="ar"/>
        </w:rPr>
        <w:t>评分过程中采用四舍五入法，并保留小数2位。</w:t>
      </w:r>
    </w:p>
    <w:p>
      <w:pPr>
        <w:spacing w:before="120" w:beforeLines="50" w:after="120" w:afterLines="50" w:line="400" w:lineRule="exact"/>
        <w:ind w:firstLine="480" w:firstLineChars="200"/>
        <w:rPr>
          <w:rFonts w:ascii="ˎ̥" w:hAnsi="ˎ̥" w:eastAsia="ˎ̥" w:cs="ˎ̥"/>
          <w:sz w:val="24"/>
        </w:rPr>
      </w:pPr>
      <w:r>
        <w:rPr>
          <w:rFonts w:hint="eastAsia" w:ascii="ˎ̥" w:hAnsi="ˎ̥" w:cs="宋体"/>
          <w:sz w:val="24"/>
          <w:lang w:bidi="ar"/>
        </w:rPr>
        <w:t>节能环保产品，自主创新产品，不发达地区、少数民族地区、监狱企业、残疾人企业、中小企业的产品在价格、技术、服务相同的情况下，优先采用。</w:t>
      </w:r>
    </w:p>
    <w:p>
      <w:pPr>
        <w:spacing w:before="120" w:beforeLines="50" w:after="120" w:afterLines="50" w:line="400" w:lineRule="exact"/>
        <w:ind w:firstLine="480" w:firstLineChars="200"/>
        <w:rPr>
          <w:rFonts w:hint="eastAsia" w:ascii="宋体" w:hAnsi="宋体" w:cs="宋体"/>
          <w:sz w:val="24"/>
        </w:rPr>
      </w:pPr>
      <w:r>
        <w:rPr>
          <w:rFonts w:hint="eastAsia" w:ascii="宋体" w:hAnsi="宋体" w:cs="宋体"/>
          <w:sz w:val="24"/>
          <w:lang w:bidi="ar"/>
        </w:rPr>
        <w:t>投标人评标</w:t>
      </w:r>
      <w:r>
        <w:rPr>
          <w:rFonts w:hint="eastAsia" w:ascii="宋体" w:hAnsi="宋体" w:cs="宋体"/>
          <w:bCs/>
          <w:sz w:val="24"/>
          <w:lang w:bidi="ar"/>
        </w:rPr>
        <w:t>综合得分=报价分+商务技术分</w:t>
      </w:r>
    </w:p>
    <w:p>
      <w:pPr>
        <w:spacing w:before="120" w:beforeLines="50" w:after="120" w:afterLines="50" w:line="360" w:lineRule="auto"/>
        <w:ind w:firstLine="482" w:firstLineChars="200"/>
        <w:rPr>
          <w:rFonts w:ascii="宋体" w:hAnsi="宋体"/>
          <w:b/>
          <w:sz w:val="24"/>
        </w:rPr>
      </w:pPr>
      <w:r>
        <w:rPr>
          <w:rFonts w:hint="eastAsia" w:ascii="宋体" w:hAnsi="宋体"/>
          <w:b/>
          <w:sz w:val="24"/>
        </w:rPr>
        <w:t>二、评标内容及标准</w:t>
      </w:r>
    </w:p>
    <w:p>
      <w:pPr>
        <w:pStyle w:val="32"/>
        <w:widowControl w:val="0"/>
        <w:spacing w:before="120" w:beforeLines="50" w:beforeAutospacing="0" w:after="120" w:afterLines="50" w:afterAutospacing="0"/>
        <w:ind w:firstLine="466" w:firstLineChars="200"/>
        <w:jc w:val="both"/>
        <w:rPr>
          <w:b/>
          <w:bCs/>
          <w:color w:val="auto"/>
          <w:szCs w:val="20"/>
        </w:rPr>
      </w:pPr>
      <w:r>
        <w:rPr>
          <w:rFonts w:hint="eastAsia"/>
          <w:b/>
          <w:color w:val="auto"/>
          <w:spacing w:val="-4"/>
          <w:kern w:val="2"/>
          <w:szCs w:val="20"/>
          <w:lang w:bidi="ar"/>
        </w:rPr>
        <w:t>（一）</w:t>
      </w:r>
      <w:r>
        <w:rPr>
          <w:rFonts w:hint="eastAsia"/>
          <w:b/>
          <w:bCs/>
          <w:color w:val="auto"/>
          <w:spacing w:val="-4"/>
          <w:kern w:val="2"/>
          <w:szCs w:val="20"/>
          <w:lang w:bidi="ar"/>
        </w:rPr>
        <w:t>报价分（30分）</w:t>
      </w:r>
    </w:p>
    <w:p>
      <w:pPr>
        <w:pStyle w:val="32"/>
        <w:widowControl w:val="0"/>
        <w:spacing w:before="120" w:beforeLines="50" w:beforeAutospacing="0" w:after="120" w:afterLines="50" w:afterAutospacing="0" w:line="400" w:lineRule="exact"/>
        <w:ind w:firstLine="464" w:firstLineChars="200"/>
        <w:jc w:val="both"/>
        <w:rPr>
          <w:bCs/>
          <w:color w:val="auto"/>
          <w:szCs w:val="20"/>
        </w:rPr>
      </w:pPr>
      <w:r>
        <w:rPr>
          <w:rFonts w:hint="eastAsia"/>
          <w:bCs/>
          <w:color w:val="auto"/>
          <w:spacing w:val="-4"/>
          <w:kern w:val="2"/>
          <w:szCs w:val="20"/>
          <w:lang w:bidi="ar"/>
        </w:rPr>
        <w:t>1.价格分采用低价优先法计算，即满足招标文件要求且投标价格最低的投标报价为评标基准价，其他投标人的价格分按照下列公式计算：</w:t>
      </w:r>
    </w:p>
    <w:p>
      <w:pPr>
        <w:pStyle w:val="32"/>
        <w:widowControl w:val="0"/>
        <w:spacing w:before="120" w:beforeLines="50" w:beforeAutospacing="0" w:after="120" w:afterLines="50" w:afterAutospacing="0" w:line="400" w:lineRule="exact"/>
        <w:ind w:firstLine="480" w:firstLineChars="200"/>
        <w:jc w:val="both"/>
        <w:rPr>
          <w:rFonts w:hint="eastAsia" w:cs="宋体"/>
          <w:color w:val="auto"/>
        </w:rPr>
      </w:pPr>
      <w:r>
        <w:rPr>
          <w:rFonts w:hint="eastAsia" w:cs="宋体"/>
          <w:color w:val="auto"/>
          <w:lang w:bidi="ar"/>
        </w:rPr>
        <w:t>价格分=（评标基准价/投标报价）×30%×100。</w:t>
      </w:r>
      <w:r>
        <w:rPr>
          <w:rFonts w:hint="eastAsia" w:cs="宋体"/>
          <w:bCs/>
          <w:color w:val="auto"/>
          <w:spacing w:val="-4"/>
          <w:kern w:val="2"/>
          <w:szCs w:val="20"/>
          <w:lang w:bidi="ar"/>
        </w:rPr>
        <w:t>（注：对于符合政府采购政策及优惠的企业产品给予6%的扣除，用扣除后的价格参与评审。具体执行依据见第2点“政府采购政策及优惠”内的规定。）</w:t>
      </w:r>
    </w:p>
    <w:p>
      <w:pPr>
        <w:autoSpaceDE w:val="0"/>
        <w:autoSpaceDN w:val="0"/>
        <w:adjustRightInd w:val="0"/>
        <w:spacing w:line="360" w:lineRule="auto"/>
        <w:ind w:right="85" w:firstLine="480" w:firstLineChars="200"/>
        <w:rPr>
          <w:rFonts w:hint="eastAsia" w:ascii="宋体" w:cs="宋体"/>
          <w:sz w:val="24"/>
          <w:lang w:val="zh-CN"/>
        </w:rPr>
      </w:pPr>
      <w:r>
        <w:rPr>
          <w:rFonts w:hint="eastAsia" w:ascii="宋体" w:hAnsi="宋体" w:cs="宋体"/>
          <w:sz w:val="24"/>
          <w:lang w:bidi="ar"/>
        </w:rPr>
        <w:t>2.</w:t>
      </w:r>
      <w:r>
        <w:rPr>
          <w:rFonts w:hint="eastAsia" w:ascii="宋体" w:cs="宋体"/>
          <w:sz w:val="24"/>
          <w:lang w:val="zh-CN" w:bidi="ar"/>
        </w:rPr>
        <w:t>政府采购政策及优惠：（1）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小微企业声明函》、“国家企业信用信息公示系统——小微企业名录”页面查询结果（查询时间为投标前一周内，并加盖单位公章）等相关证明材料（评标委员会据此进行核查）、《产品适用政府采购政策情况表》（见附件）；（2）监狱企业参加政府采购活动时，应当提供由省级以上监狱管理局、戒毒管理局（含新疆生产建设兵团）出具的属于监狱企业的证明文件和《产品适用政府采购政策情况表》（见附件），视同小型、微型企业，享受小微企业政府采购优惠政策；（3）残疾人福利性单位在参加政府采购活动时，应提供《残疾人福利性单位声明函》（见附件）和《产品适用政府采购政策情况表》（见附件），视同小型、微型企业，享受小微企业政府采购优惠政策。</w:t>
      </w:r>
    </w:p>
    <w:p>
      <w:pPr>
        <w:autoSpaceDE w:val="0"/>
        <w:autoSpaceDN w:val="0"/>
        <w:adjustRightInd w:val="0"/>
        <w:spacing w:line="360" w:lineRule="auto"/>
        <w:ind w:right="85" w:firstLine="480" w:firstLineChars="200"/>
        <w:rPr>
          <w:rFonts w:hint="eastAsia" w:ascii="宋体" w:hAnsi="宋体" w:cs="宋体"/>
          <w:sz w:val="24"/>
          <w:lang w:val="zh-CN"/>
        </w:rPr>
      </w:pPr>
      <w:r>
        <w:rPr>
          <w:rFonts w:hint="eastAsia" w:ascii="宋体" w:hAnsi="宋体" w:cs="宋体"/>
          <w:sz w:val="24"/>
          <w:lang w:val="zh-CN" w:bidi="ar"/>
        </w:rPr>
        <w:t>具体优惠：对于小型微型企业产品的价格给予</w:t>
      </w:r>
      <w:r>
        <w:rPr>
          <w:rFonts w:hint="eastAsia" w:ascii="宋体" w:hAnsi="宋体" w:cs="宋体"/>
          <w:sz w:val="24"/>
          <w:u w:val="single"/>
          <w:lang w:val="zh-CN" w:bidi="ar"/>
        </w:rPr>
        <w:t>6</w:t>
      </w:r>
      <w:r>
        <w:rPr>
          <w:rFonts w:hint="eastAsia" w:ascii="宋体" w:hAnsi="宋体" w:cs="宋体"/>
          <w:sz w:val="24"/>
          <w:lang w:val="zh-CN" w:bidi="ar"/>
        </w:rPr>
        <w:t>%的扣除，用扣除后的价格计算评审基准价和最后报价。同一供应商（包括联合体），小微企业、监狱企业、残疾人福利性单位价格扣除优惠只享受一次，不得重复享受。未按要求提供材料的，不享受折扣。</w:t>
      </w:r>
    </w:p>
    <w:p>
      <w:pPr>
        <w:spacing w:line="360" w:lineRule="auto"/>
        <w:ind w:firstLine="482" w:firstLineChars="200"/>
        <w:rPr>
          <w:rFonts w:hint="eastAsia" w:ascii="宋体" w:hAnsi="宋体"/>
          <w:b/>
          <w:sz w:val="24"/>
        </w:rPr>
      </w:pPr>
      <w:r>
        <w:rPr>
          <w:rFonts w:hint="eastAsia" w:ascii="宋体" w:hAnsi="宋体"/>
          <w:b/>
          <w:sz w:val="24"/>
          <w:lang w:bidi="ar"/>
        </w:rPr>
        <w:t>（二）商务</w:t>
      </w:r>
      <w:r>
        <w:rPr>
          <w:rFonts w:hint="eastAsia" w:ascii="宋体" w:hAnsi="宋体"/>
          <w:b/>
          <w:sz w:val="24"/>
        </w:rPr>
        <w:t>技术评审（70分）</w:t>
      </w:r>
    </w:p>
    <w:p>
      <w:pPr>
        <w:spacing w:before="120" w:beforeLines="50" w:after="120" w:afterLines="50"/>
        <w:ind w:firstLine="470" w:firstLineChars="196"/>
        <w:rPr>
          <w:rFonts w:hint="eastAsia" w:ascii="宋体" w:hAnsi="宋体" w:cs="宋体"/>
          <w:sz w:val="24"/>
          <w:lang w:bidi="ar"/>
        </w:rPr>
      </w:pPr>
      <w:r>
        <w:rPr>
          <w:rFonts w:hint="eastAsia" w:ascii="宋体" w:hAnsi="宋体" w:cs="宋体"/>
          <w:sz w:val="24"/>
          <w:lang w:bidi="ar"/>
        </w:rPr>
        <w:t>评标委员会对通过符合性审查的投标人的投标技术参数或方案充分审核后，进行综合评定独立打分。</w:t>
      </w:r>
    </w:p>
    <w:tbl>
      <w:tblPr>
        <w:tblStyle w:val="37"/>
        <w:tblW w:w="0" w:type="auto"/>
        <w:tblInd w:w="93" w:type="dxa"/>
        <w:tblLayout w:type="autofit"/>
        <w:tblCellMar>
          <w:top w:w="0" w:type="dxa"/>
          <w:left w:w="108" w:type="dxa"/>
          <w:bottom w:w="0" w:type="dxa"/>
          <w:right w:w="108" w:type="dxa"/>
        </w:tblCellMar>
      </w:tblPr>
      <w:tblGrid>
        <w:gridCol w:w="1213"/>
        <w:gridCol w:w="1523"/>
        <w:gridCol w:w="6235"/>
        <w:gridCol w:w="508"/>
      </w:tblGrid>
      <w:tr>
        <w:tblPrEx>
          <w:tblCellMar>
            <w:top w:w="0" w:type="dxa"/>
            <w:left w:w="108" w:type="dxa"/>
            <w:bottom w:w="0" w:type="dxa"/>
            <w:right w:w="108" w:type="dxa"/>
          </w:tblCellMar>
        </w:tblPrEx>
        <w:trPr>
          <w:trHeight w:val="555" w:hRule="atLeast"/>
        </w:trPr>
        <w:tc>
          <w:tcPr>
            <w:tcW w:w="0" w:type="auto"/>
            <w:tcBorders>
              <w:top w:val="single" w:color="auto" w:sz="8" w:space="0"/>
              <w:left w:val="single" w:color="auto" w:sz="8" w:space="0"/>
              <w:bottom w:val="single" w:color="auto" w:sz="8" w:space="0"/>
              <w:right w:val="single" w:color="auto" w:sz="8" w:space="0"/>
            </w:tcBorders>
            <w:noWrap w:val="0"/>
            <w:vAlign w:val="center"/>
          </w:tcPr>
          <w:p>
            <w:pPr>
              <w:widowControl/>
              <w:rPr>
                <w:rFonts w:hint="eastAsia" w:ascii="宋体" w:hAnsi="宋体" w:cs="宋体"/>
                <w:b/>
                <w:sz w:val="24"/>
              </w:rPr>
            </w:pPr>
            <w:r>
              <w:rPr>
                <w:rFonts w:hint="eastAsia" w:ascii="宋体" w:hAnsi="宋体" w:cs="宋体"/>
                <w:b/>
                <w:sz w:val="24"/>
                <w:lang w:bidi="ar"/>
              </w:rPr>
              <w:t>评分项目</w:t>
            </w:r>
          </w:p>
        </w:tc>
        <w:tc>
          <w:tcPr>
            <w:tcW w:w="0" w:type="auto"/>
            <w:gridSpan w:val="2"/>
            <w:tcBorders>
              <w:top w:val="single" w:color="auto" w:sz="8" w:space="0"/>
              <w:left w:val="nil"/>
              <w:bottom w:val="single" w:color="auto" w:sz="8" w:space="0"/>
              <w:right w:val="single" w:color="auto" w:sz="8" w:space="0"/>
            </w:tcBorders>
            <w:noWrap w:val="0"/>
            <w:vAlign w:val="center"/>
          </w:tcPr>
          <w:p>
            <w:pPr>
              <w:widowControl/>
              <w:jc w:val="center"/>
              <w:rPr>
                <w:rFonts w:hint="eastAsia" w:ascii="宋体" w:hAnsi="宋体" w:cs="宋体"/>
                <w:b/>
                <w:sz w:val="24"/>
              </w:rPr>
            </w:pPr>
            <w:r>
              <w:rPr>
                <w:rFonts w:hint="eastAsia" w:ascii="宋体" w:hAnsi="宋体" w:cs="宋体"/>
                <w:b/>
                <w:sz w:val="24"/>
                <w:lang w:bidi="ar"/>
              </w:rPr>
              <w:t>评分内容及细则</w:t>
            </w:r>
          </w:p>
        </w:tc>
        <w:tc>
          <w:tcPr>
            <w:tcW w:w="0" w:type="auto"/>
            <w:tcBorders>
              <w:top w:val="single" w:color="auto" w:sz="8" w:space="0"/>
              <w:left w:val="nil"/>
              <w:bottom w:val="single" w:color="auto" w:sz="8" w:space="0"/>
              <w:right w:val="single" w:color="auto" w:sz="8" w:space="0"/>
            </w:tcBorders>
            <w:noWrap w:val="0"/>
            <w:vAlign w:val="center"/>
          </w:tcPr>
          <w:p>
            <w:pPr>
              <w:widowControl/>
              <w:rPr>
                <w:rFonts w:hint="eastAsia" w:ascii="宋体" w:hAnsi="宋体" w:cs="宋体"/>
                <w:b/>
                <w:sz w:val="24"/>
              </w:rPr>
            </w:pPr>
            <w:r>
              <w:rPr>
                <w:rFonts w:hint="eastAsia" w:ascii="宋体" w:hAnsi="宋体" w:cs="宋体"/>
                <w:b/>
                <w:sz w:val="24"/>
                <w:lang w:bidi="ar"/>
              </w:rPr>
              <w:t>分值</w:t>
            </w:r>
          </w:p>
        </w:tc>
      </w:tr>
      <w:tr>
        <w:tblPrEx>
          <w:tblCellMar>
            <w:top w:w="0" w:type="dxa"/>
            <w:left w:w="108" w:type="dxa"/>
            <w:bottom w:w="0" w:type="dxa"/>
            <w:right w:w="108" w:type="dxa"/>
          </w:tblCellMar>
        </w:tblPrEx>
        <w:trPr>
          <w:trHeight w:val="1212" w:hRule="atLeast"/>
        </w:trPr>
        <w:tc>
          <w:tcPr>
            <w:tcW w:w="0" w:type="auto"/>
            <w:vMerge w:val="restart"/>
            <w:tcBorders>
              <w:top w:val="nil"/>
              <w:left w:val="single" w:color="auto" w:sz="4" w:space="0"/>
              <w:bottom w:val="single" w:color="auto" w:sz="4"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技术方案（20分）</w:t>
            </w:r>
          </w:p>
        </w:tc>
        <w:tc>
          <w:tcPr>
            <w:tcW w:w="0" w:type="auto"/>
            <w:gridSpan w:val="2"/>
            <w:tcBorders>
              <w:top w:val="single" w:color="auto" w:sz="8" w:space="0"/>
              <w:left w:val="nil"/>
              <w:bottom w:val="single" w:color="auto" w:sz="4"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详细阐述系统的体系架构、功能模块、实现思路和关键技术，结合</w:t>
            </w:r>
            <w:r>
              <w:rPr>
                <w:rFonts w:hint="eastAsia" w:ascii="宋体" w:hAnsi="宋体" w:cs="宋体"/>
                <w:b/>
                <w:sz w:val="24"/>
                <w:lang w:bidi="ar"/>
              </w:rPr>
              <w:t>亮点特色</w:t>
            </w:r>
            <w:r>
              <w:rPr>
                <w:rFonts w:hint="eastAsia" w:ascii="宋体" w:hAnsi="宋体" w:cs="宋体"/>
                <w:sz w:val="24"/>
                <w:lang w:bidi="ar"/>
              </w:rPr>
              <w:t>、质量保证等技术方案进行评价。优上10分，优9分，优下8分，良上7分，良6分，良下5分，一般4分，差1分。</w:t>
            </w:r>
          </w:p>
        </w:tc>
        <w:tc>
          <w:tcPr>
            <w:tcW w:w="0" w:type="auto"/>
            <w:tcBorders>
              <w:top w:val="nil"/>
              <w:left w:val="nil"/>
              <w:bottom w:val="single" w:color="auto" w:sz="4"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10</w:t>
            </w:r>
          </w:p>
        </w:tc>
      </w:tr>
      <w:tr>
        <w:tblPrEx>
          <w:tblCellMar>
            <w:top w:w="0" w:type="dxa"/>
            <w:left w:w="108" w:type="dxa"/>
            <w:bottom w:w="0" w:type="dxa"/>
            <w:right w:w="108" w:type="dxa"/>
          </w:tblCellMar>
        </w:tblPrEx>
        <w:trPr>
          <w:trHeight w:val="1579" w:hRule="atLeast"/>
        </w:trPr>
        <w:tc>
          <w:tcPr>
            <w:tcW w:w="0" w:type="auto"/>
            <w:vMerge w:val="continue"/>
            <w:tcBorders>
              <w:top w:val="single" w:color="auto" w:sz="4" w:space="0"/>
              <w:left w:val="single" w:color="auto" w:sz="4" w:space="0"/>
              <w:bottom w:val="single" w:color="auto" w:sz="4" w:space="0"/>
              <w:right w:val="single" w:color="auto" w:sz="8" w:space="0"/>
            </w:tcBorders>
            <w:noWrap w:val="0"/>
            <w:vAlign w:val="center"/>
          </w:tcPr>
          <w:p>
            <w:pPr>
              <w:rPr>
                <w:rFonts w:hint="eastAsia" w:ascii="宋体" w:hAnsi="宋体" w:cs="宋体"/>
                <w:sz w:val="24"/>
              </w:rPr>
            </w:pPr>
          </w:p>
        </w:tc>
        <w:tc>
          <w:tcPr>
            <w:tcW w:w="0" w:type="auto"/>
            <w:gridSpan w:val="2"/>
            <w:tcBorders>
              <w:top w:val="single" w:color="auto" w:sz="4" w:space="0"/>
              <w:left w:val="nil"/>
              <w:bottom w:val="single" w:color="auto" w:sz="4" w:space="0"/>
              <w:right w:val="single" w:color="auto" w:sz="8" w:space="0"/>
            </w:tcBorders>
            <w:noWrap w:val="0"/>
            <w:vAlign w:val="center"/>
          </w:tcPr>
          <w:p>
            <w:pPr>
              <w:widowControl/>
              <w:jc w:val="left"/>
              <w:rPr>
                <w:rFonts w:hint="eastAsia" w:ascii="宋体" w:hAnsi="宋体" w:cs="宋体"/>
                <w:sz w:val="24"/>
              </w:rPr>
            </w:pPr>
            <w:r>
              <w:rPr>
                <w:rFonts w:hint="eastAsia" w:ascii="宋体" w:hAnsi="宋体" w:cs="宋体"/>
                <w:sz w:val="24"/>
                <w:lang w:bidi="ar"/>
              </w:rPr>
              <w:t>根据投标人对项目前期准备情况、对前端点位建设的了解程度、图纸及</w:t>
            </w:r>
            <w:r>
              <w:rPr>
                <w:rFonts w:hint="eastAsia" w:ascii="宋体" w:hAnsi="宋体" w:cs="宋体"/>
                <w:b/>
                <w:sz w:val="24"/>
                <w:lang w:bidi="ar"/>
              </w:rPr>
              <w:t>方案优化</w:t>
            </w:r>
            <w:r>
              <w:rPr>
                <w:rFonts w:hint="eastAsia" w:ascii="宋体" w:hAnsi="宋体" w:cs="宋体"/>
                <w:sz w:val="24"/>
                <w:lang w:bidi="ar"/>
              </w:rPr>
              <w:t>、针对技术难点和关键部位施工技术措施的科学性和详细化程度等进行评价。优上10分，优9分，优下8分，良上7分，良6分，良下5分，一般4分，差1分。</w:t>
            </w:r>
          </w:p>
        </w:tc>
        <w:tc>
          <w:tcPr>
            <w:tcW w:w="0" w:type="auto"/>
            <w:tcBorders>
              <w:top w:val="single" w:color="auto" w:sz="4" w:space="0"/>
              <w:left w:val="nil"/>
              <w:bottom w:val="single" w:color="auto" w:sz="4" w:space="0"/>
              <w:right w:val="single" w:color="auto" w:sz="4" w:space="0"/>
            </w:tcBorders>
            <w:noWrap w:val="0"/>
            <w:vAlign w:val="center"/>
          </w:tcPr>
          <w:p>
            <w:pPr>
              <w:widowControl/>
              <w:rPr>
                <w:rFonts w:hint="eastAsia" w:ascii="宋体" w:hAnsi="宋体" w:cs="宋体"/>
                <w:sz w:val="24"/>
              </w:rPr>
            </w:pPr>
            <w:r>
              <w:rPr>
                <w:rFonts w:hint="eastAsia" w:ascii="宋体" w:hAnsi="宋体" w:cs="宋体"/>
                <w:sz w:val="24"/>
                <w:lang w:bidi="ar"/>
              </w:rPr>
              <w:t>10</w:t>
            </w:r>
          </w:p>
        </w:tc>
      </w:tr>
      <w:tr>
        <w:tblPrEx>
          <w:tblCellMar>
            <w:top w:w="0" w:type="dxa"/>
            <w:left w:w="108" w:type="dxa"/>
            <w:bottom w:w="0" w:type="dxa"/>
            <w:right w:w="108" w:type="dxa"/>
          </w:tblCellMar>
        </w:tblPrEx>
        <w:trPr>
          <w:trHeight w:val="1293" w:hRule="atLeast"/>
        </w:trPr>
        <w:tc>
          <w:tcPr>
            <w:tcW w:w="0" w:type="auto"/>
            <w:vMerge w:val="restart"/>
            <w:tcBorders>
              <w:top w:val="single" w:color="auto" w:sz="4" w:space="0"/>
              <w:left w:val="single" w:color="auto" w:sz="8" w:space="0"/>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设备配置选型情况（16分）</w:t>
            </w:r>
          </w:p>
        </w:tc>
        <w:tc>
          <w:tcPr>
            <w:tcW w:w="0" w:type="auto"/>
            <w:tcBorders>
              <w:top w:val="single" w:color="auto" w:sz="4" w:space="0"/>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400万超星光高清网络枪机</w:t>
            </w:r>
          </w:p>
        </w:tc>
        <w:tc>
          <w:tcPr>
            <w:tcW w:w="0" w:type="auto"/>
            <w:tcBorders>
              <w:top w:val="single" w:color="auto" w:sz="4" w:space="0"/>
              <w:left w:val="nil"/>
              <w:bottom w:val="single" w:color="auto" w:sz="8" w:space="0"/>
              <w:right w:val="single" w:color="auto" w:sz="8" w:space="0"/>
            </w:tcBorders>
            <w:noWrap w:val="0"/>
            <w:vAlign w:val="center"/>
          </w:tcPr>
          <w:p>
            <w:pPr>
              <w:widowControl/>
              <w:jc w:val="left"/>
              <w:rPr>
                <w:rFonts w:hint="eastAsia" w:ascii="宋体" w:hAnsi="宋体" w:cs="宋体"/>
                <w:sz w:val="24"/>
              </w:rPr>
            </w:pPr>
            <w:r>
              <w:rPr>
                <w:rFonts w:hint="eastAsia" w:ascii="宋体" w:hAnsi="宋体" w:cs="宋体"/>
                <w:sz w:val="24"/>
                <w:lang w:bidi="ar"/>
              </w:rPr>
              <w:t>根据指标参数、功能实现、响应程度、外观设计及公安部安防产品检测报告等内容作综合评分。优3分，良上2.5分，良2分，良下1.5分，一般1分，差0分。</w:t>
            </w:r>
          </w:p>
        </w:tc>
        <w:tc>
          <w:tcPr>
            <w:tcW w:w="0" w:type="auto"/>
            <w:tcBorders>
              <w:top w:val="single" w:color="auto" w:sz="4" w:space="0"/>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3</w:t>
            </w:r>
          </w:p>
        </w:tc>
      </w:tr>
      <w:tr>
        <w:tblPrEx>
          <w:tblCellMar>
            <w:top w:w="0" w:type="dxa"/>
            <w:left w:w="108" w:type="dxa"/>
            <w:bottom w:w="0" w:type="dxa"/>
            <w:right w:w="108" w:type="dxa"/>
          </w:tblCellMar>
        </w:tblPrEx>
        <w:trPr>
          <w:trHeight w:val="1000" w:hRule="atLeast"/>
        </w:trPr>
        <w:tc>
          <w:tcPr>
            <w:tcW w:w="0" w:type="auto"/>
            <w:vMerge w:val="continue"/>
            <w:tcBorders>
              <w:top w:val="nil"/>
              <w:left w:val="single" w:color="auto" w:sz="8" w:space="0"/>
              <w:bottom w:val="single" w:color="auto" w:sz="8" w:space="0"/>
              <w:right w:val="single" w:color="auto" w:sz="8" w:space="0"/>
            </w:tcBorders>
            <w:noWrap w:val="0"/>
            <w:vAlign w:val="center"/>
          </w:tcPr>
          <w:p>
            <w:pPr>
              <w:rPr>
                <w:rFonts w:hint="eastAsia" w:ascii="宋体" w:hAnsi="宋体" w:cs="宋体"/>
                <w:sz w:val="24"/>
              </w:rPr>
            </w:pP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400万IP球型摄像机</w:t>
            </w:r>
          </w:p>
        </w:tc>
        <w:tc>
          <w:tcPr>
            <w:tcW w:w="0" w:type="auto"/>
            <w:tcBorders>
              <w:top w:val="nil"/>
              <w:left w:val="nil"/>
              <w:bottom w:val="single" w:color="auto" w:sz="8" w:space="0"/>
              <w:right w:val="single" w:color="auto" w:sz="8" w:space="0"/>
            </w:tcBorders>
            <w:noWrap w:val="0"/>
            <w:vAlign w:val="center"/>
          </w:tcPr>
          <w:p>
            <w:pPr>
              <w:widowControl/>
              <w:jc w:val="left"/>
              <w:rPr>
                <w:rFonts w:hint="eastAsia" w:ascii="宋体" w:hAnsi="宋体" w:cs="宋体"/>
                <w:sz w:val="24"/>
              </w:rPr>
            </w:pPr>
            <w:r>
              <w:rPr>
                <w:rFonts w:hint="eastAsia" w:ascii="宋体" w:hAnsi="宋体" w:cs="宋体"/>
                <w:sz w:val="24"/>
                <w:lang w:bidi="ar"/>
              </w:rPr>
              <w:t>根据指标参数、功能实现、响应程度、外观设计及公安部安防产品检测报告等内容作综合评分。优2分，良1.5分，一般1分，差0分。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2</w:t>
            </w:r>
          </w:p>
        </w:tc>
      </w:tr>
      <w:tr>
        <w:tblPrEx>
          <w:tblCellMar>
            <w:top w:w="0" w:type="dxa"/>
            <w:left w:w="108" w:type="dxa"/>
            <w:bottom w:w="0" w:type="dxa"/>
            <w:right w:w="108" w:type="dxa"/>
          </w:tblCellMar>
        </w:tblPrEx>
        <w:trPr>
          <w:trHeight w:val="1150" w:hRule="atLeast"/>
        </w:trPr>
        <w:tc>
          <w:tcPr>
            <w:tcW w:w="0" w:type="auto"/>
            <w:vMerge w:val="continue"/>
            <w:tcBorders>
              <w:top w:val="nil"/>
              <w:left w:val="single" w:color="auto" w:sz="8" w:space="0"/>
              <w:bottom w:val="single" w:color="auto" w:sz="8" w:space="0"/>
              <w:right w:val="single" w:color="auto" w:sz="8" w:space="0"/>
            </w:tcBorders>
            <w:noWrap w:val="0"/>
            <w:vAlign w:val="center"/>
          </w:tcPr>
          <w:p>
            <w:pPr>
              <w:rPr>
                <w:rFonts w:hint="eastAsia" w:ascii="宋体" w:hAnsi="宋体" w:cs="宋体"/>
                <w:sz w:val="24"/>
              </w:rPr>
            </w:pP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400万高清网络人脸枪机</w:t>
            </w:r>
          </w:p>
        </w:tc>
        <w:tc>
          <w:tcPr>
            <w:tcW w:w="0" w:type="auto"/>
            <w:tcBorders>
              <w:top w:val="nil"/>
              <w:left w:val="nil"/>
              <w:bottom w:val="single" w:color="auto" w:sz="8" w:space="0"/>
              <w:right w:val="single" w:color="auto" w:sz="8" w:space="0"/>
            </w:tcBorders>
            <w:noWrap w:val="0"/>
            <w:vAlign w:val="center"/>
          </w:tcPr>
          <w:p>
            <w:pPr>
              <w:widowControl/>
              <w:jc w:val="left"/>
              <w:rPr>
                <w:rFonts w:hint="eastAsia" w:ascii="宋体" w:hAnsi="宋体" w:cs="宋体"/>
                <w:sz w:val="24"/>
              </w:rPr>
            </w:pPr>
            <w:r>
              <w:rPr>
                <w:rFonts w:hint="eastAsia" w:ascii="宋体" w:hAnsi="宋体" w:cs="宋体"/>
                <w:sz w:val="24"/>
                <w:lang w:bidi="ar"/>
              </w:rPr>
              <w:t>根据指标参数、功能实现、响应程度、外观设计及公安部安防产品检测报告等内容作综合评分。优3分，良上2.5分，良2分，良下1.5分，一般1分，差0分。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3</w:t>
            </w:r>
          </w:p>
        </w:tc>
      </w:tr>
      <w:tr>
        <w:tblPrEx>
          <w:tblCellMar>
            <w:top w:w="0" w:type="dxa"/>
            <w:left w:w="108" w:type="dxa"/>
            <w:bottom w:w="0" w:type="dxa"/>
            <w:right w:w="108" w:type="dxa"/>
          </w:tblCellMar>
        </w:tblPrEx>
        <w:trPr>
          <w:trHeight w:val="1150" w:hRule="atLeast"/>
        </w:trPr>
        <w:tc>
          <w:tcPr>
            <w:tcW w:w="0" w:type="auto"/>
            <w:vMerge w:val="continue"/>
            <w:tcBorders>
              <w:top w:val="nil"/>
              <w:left w:val="single" w:color="auto" w:sz="8" w:space="0"/>
              <w:bottom w:val="single" w:color="auto" w:sz="8" w:space="0"/>
              <w:right w:val="single" w:color="auto" w:sz="8" w:space="0"/>
            </w:tcBorders>
            <w:noWrap w:val="0"/>
            <w:vAlign w:val="center"/>
          </w:tcPr>
          <w:p>
            <w:pPr>
              <w:rPr>
                <w:rFonts w:hint="eastAsia" w:ascii="宋体" w:hAnsi="宋体" w:cs="宋体"/>
                <w:sz w:val="24"/>
              </w:rPr>
            </w:pP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400万人脸多摄抓拍机</w:t>
            </w:r>
          </w:p>
        </w:tc>
        <w:tc>
          <w:tcPr>
            <w:tcW w:w="0" w:type="auto"/>
            <w:tcBorders>
              <w:top w:val="nil"/>
              <w:left w:val="nil"/>
              <w:bottom w:val="single" w:color="auto" w:sz="8" w:space="0"/>
              <w:right w:val="single" w:color="auto" w:sz="8" w:space="0"/>
            </w:tcBorders>
            <w:noWrap w:val="0"/>
            <w:vAlign w:val="center"/>
          </w:tcPr>
          <w:p>
            <w:pPr>
              <w:widowControl/>
              <w:jc w:val="left"/>
              <w:rPr>
                <w:rFonts w:hint="eastAsia" w:ascii="宋体" w:hAnsi="宋体" w:cs="宋体"/>
                <w:sz w:val="24"/>
              </w:rPr>
            </w:pPr>
            <w:r>
              <w:rPr>
                <w:rFonts w:hint="eastAsia" w:ascii="宋体" w:hAnsi="宋体" w:cs="宋体"/>
                <w:sz w:val="24"/>
                <w:lang w:bidi="ar"/>
              </w:rPr>
              <w:t>根据指标参数、功能实现、响应程度、外观设计及公安部安防产品检测报告等内容作综合评分。优1分，良上0.7分，良0.5分，良下0.4分，一般0.2分，差0分。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1</w:t>
            </w:r>
          </w:p>
        </w:tc>
      </w:tr>
      <w:tr>
        <w:tblPrEx>
          <w:tblCellMar>
            <w:top w:w="0" w:type="dxa"/>
            <w:left w:w="108" w:type="dxa"/>
            <w:bottom w:w="0" w:type="dxa"/>
            <w:right w:w="108" w:type="dxa"/>
          </w:tblCellMar>
        </w:tblPrEx>
        <w:trPr>
          <w:trHeight w:val="1137" w:hRule="atLeast"/>
        </w:trPr>
        <w:tc>
          <w:tcPr>
            <w:tcW w:w="0" w:type="auto"/>
            <w:vMerge w:val="continue"/>
            <w:tcBorders>
              <w:top w:val="nil"/>
              <w:left w:val="single" w:color="auto" w:sz="8" w:space="0"/>
              <w:bottom w:val="single" w:color="auto" w:sz="8" w:space="0"/>
              <w:right w:val="single" w:color="auto" w:sz="8" w:space="0"/>
            </w:tcBorders>
            <w:noWrap w:val="0"/>
            <w:vAlign w:val="center"/>
          </w:tcPr>
          <w:p>
            <w:pPr>
              <w:rPr>
                <w:rFonts w:hint="eastAsia" w:ascii="宋体" w:hAnsi="宋体" w:cs="宋体"/>
                <w:sz w:val="24"/>
              </w:rPr>
            </w:pP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LED全景补光灯</w:t>
            </w:r>
          </w:p>
        </w:tc>
        <w:tc>
          <w:tcPr>
            <w:tcW w:w="0" w:type="auto"/>
            <w:tcBorders>
              <w:top w:val="nil"/>
              <w:left w:val="nil"/>
              <w:bottom w:val="single" w:color="auto" w:sz="8" w:space="0"/>
              <w:right w:val="single" w:color="auto" w:sz="8" w:space="0"/>
            </w:tcBorders>
            <w:noWrap w:val="0"/>
            <w:vAlign w:val="center"/>
          </w:tcPr>
          <w:p>
            <w:pPr>
              <w:widowControl/>
              <w:jc w:val="left"/>
              <w:rPr>
                <w:rFonts w:hint="eastAsia" w:ascii="宋体" w:hAnsi="宋体" w:cs="宋体"/>
                <w:sz w:val="24"/>
              </w:rPr>
            </w:pPr>
            <w:r>
              <w:rPr>
                <w:rFonts w:hint="eastAsia" w:ascii="宋体" w:hAnsi="宋体" w:cs="宋体"/>
                <w:sz w:val="24"/>
                <w:lang w:bidi="ar"/>
              </w:rPr>
              <w:t>根据指标参数、功能实现、响应程度、外观设计及公安部安防产品检测报告等内容作综合评分。优1分，良0.7分，一般0.3分，差0分。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1</w:t>
            </w:r>
          </w:p>
        </w:tc>
      </w:tr>
      <w:tr>
        <w:tblPrEx>
          <w:tblCellMar>
            <w:top w:w="0" w:type="dxa"/>
            <w:left w:w="108" w:type="dxa"/>
            <w:bottom w:w="0" w:type="dxa"/>
            <w:right w:w="108" w:type="dxa"/>
          </w:tblCellMar>
        </w:tblPrEx>
        <w:trPr>
          <w:trHeight w:val="1238" w:hRule="atLeast"/>
        </w:trPr>
        <w:tc>
          <w:tcPr>
            <w:tcW w:w="0" w:type="auto"/>
            <w:vMerge w:val="continue"/>
            <w:tcBorders>
              <w:top w:val="nil"/>
              <w:left w:val="single" w:color="auto" w:sz="8" w:space="0"/>
              <w:bottom w:val="single" w:color="auto" w:sz="8" w:space="0"/>
              <w:right w:val="single" w:color="auto" w:sz="8" w:space="0"/>
            </w:tcBorders>
            <w:noWrap w:val="0"/>
            <w:vAlign w:val="center"/>
          </w:tcPr>
          <w:p>
            <w:pPr>
              <w:rPr>
                <w:rFonts w:hint="eastAsia" w:ascii="宋体" w:hAnsi="宋体" w:cs="宋体"/>
                <w:sz w:val="24"/>
              </w:rPr>
            </w:pP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900万像素视频抓拍机</w:t>
            </w:r>
          </w:p>
        </w:tc>
        <w:tc>
          <w:tcPr>
            <w:tcW w:w="0" w:type="auto"/>
            <w:tcBorders>
              <w:top w:val="nil"/>
              <w:left w:val="nil"/>
              <w:bottom w:val="single" w:color="auto" w:sz="8" w:space="0"/>
              <w:right w:val="single" w:color="auto" w:sz="8" w:space="0"/>
            </w:tcBorders>
            <w:noWrap w:val="0"/>
            <w:vAlign w:val="center"/>
          </w:tcPr>
          <w:p>
            <w:pPr>
              <w:widowControl/>
              <w:jc w:val="left"/>
              <w:rPr>
                <w:rFonts w:hint="eastAsia" w:ascii="宋体" w:hAnsi="宋体" w:cs="宋体"/>
                <w:sz w:val="24"/>
              </w:rPr>
            </w:pPr>
            <w:r>
              <w:rPr>
                <w:rFonts w:hint="eastAsia" w:ascii="宋体" w:hAnsi="宋体" w:cs="宋体"/>
                <w:sz w:val="24"/>
                <w:lang w:bidi="ar"/>
              </w:rPr>
              <w:t>根据指标参数、功能实现、响应程度、外观设计及公安部安防产品检测报告等内容作综合评分。优2分，良1.5分，一般1分，差0分。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2</w:t>
            </w:r>
          </w:p>
        </w:tc>
      </w:tr>
      <w:tr>
        <w:tblPrEx>
          <w:tblCellMar>
            <w:top w:w="0" w:type="dxa"/>
            <w:left w:w="108" w:type="dxa"/>
            <w:bottom w:w="0" w:type="dxa"/>
            <w:right w:w="108" w:type="dxa"/>
          </w:tblCellMar>
        </w:tblPrEx>
        <w:trPr>
          <w:trHeight w:val="90" w:hRule="atLeast"/>
        </w:trPr>
        <w:tc>
          <w:tcPr>
            <w:tcW w:w="0" w:type="auto"/>
            <w:vMerge w:val="continue"/>
            <w:tcBorders>
              <w:top w:val="nil"/>
              <w:left w:val="single" w:color="auto" w:sz="8" w:space="0"/>
              <w:bottom w:val="single" w:color="auto" w:sz="8" w:space="0"/>
              <w:right w:val="single" w:color="auto" w:sz="8" w:space="0"/>
            </w:tcBorders>
            <w:noWrap w:val="0"/>
            <w:vAlign w:val="center"/>
          </w:tcPr>
          <w:p>
            <w:pPr>
              <w:rPr>
                <w:rFonts w:hint="eastAsia" w:ascii="宋体" w:hAnsi="宋体" w:cs="宋体"/>
                <w:sz w:val="24"/>
              </w:rPr>
            </w:pP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智能闪光灯</w:t>
            </w:r>
          </w:p>
        </w:tc>
        <w:tc>
          <w:tcPr>
            <w:tcW w:w="0" w:type="auto"/>
            <w:tcBorders>
              <w:top w:val="nil"/>
              <w:left w:val="nil"/>
              <w:bottom w:val="single" w:color="auto" w:sz="8" w:space="0"/>
              <w:right w:val="single" w:color="auto" w:sz="8" w:space="0"/>
            </w:tcBorders>
            <w:noWrap w:val="0"/>
            <w:vAlign w:val="center"/>
          </w:tcPr>
          <w:p>
            <w:pPr>
              <w:widowControl/>
              <w:jc w:val="left"/>
              <w:rPr>
                <w:rFonts w:hint="eastAsia" w:ascii="宋体" w:hAnsi="宋体" w:cs="宋体"/>
                <w:sz w:val="24"/>
              </w:rPr>
            </w:pPr>
            <w:r>
              <w:rPr>
                <w:rFonts w:hint="eastAsia" w:ascii="宋体" w:hAnsi="宋体" w:cs="宋体"/>
                <w:sz w:val="24"/>
                <w:lang w:bidi="ar"/>
              </w:rPr>
              <w:t>根据指标参数、功能实现、响应程度、外观设计及公安部安防产品检测报告等内容作综合评分。优1分，良0.7分，一般0.3分，差0分。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1</w:t>
            </w:r>
          </w:p>
        </w:tc>
      </w:tr>
      <w:tr>
        <w:tblPrEx>
          <w:tblCellMar>
            <w:top w:w="0" w:type="dxa"/>
            <w:left w:w="108" w:type="dxa"/>
            <w:bottom w:w="0" w:type="dxa"/>
            <w:right w:w="108" w:type="dxa"/>
          </w:tblCellMar>
        </w:tblPrEx>
        <w:trPr>
          <w:trHeight w:val="1075" w:hRule="atLeast"/>
        </w:trPr>
        <w:tc>
          <w:tcPr>
            <w:tcW w:w="0" w:type="auto"/>
            <w:vMerge w:val="continue"/>
            <w:tcBorders>
              <w:top w:val="nil"/>
              <w:left w:val="single" w:color="auto" w:sz="8" w:space="0"/>
              <w:bottom w:val="single" w:color="auto" w:sz="8" w:space="0"/>
              <w:right w:val="single" w:color="auto" w:sz="8" w:space="0"/>
            </w:tcBorders>
            <w:noWrap w:val="0"/>
            <w:vAlign w:val="center"/>
          </w:tcPr>
          <w:p>
            <w:pPr>
              <w:rPr>
                <w:rFonts w:hint="eastAsia" w:ascii="宋体" w:hAnsi="宋体" w:cs="宋体"/>
                <w:sz w:val="24"/>
              </w:rPr>
            </w:pP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立杆、借杆及基础配套</w:t>
            </w:r>
          </w:p>
        </w:tc>
        <w:tc>
          <w:tcPr>
            <w:tcW w:w="0" w:type="auto"/>
            <w:tcBorders>
              <w:top w:val="nil"/>
              <w:left w:val="nil"/>
              <w:bottom w:val="single" w:color="auto" w:sz="8" w:space="0"/>
              <w:right w:val="single" w:color="auto" w:sz="8" w:space="0"/>
            </w:tcBorders>
            <w:noWrap w:val="0"/>
            <w:vAlign w:val="center"/>
          </w:tcPr>
          <w:p>
            <w:pPr>
              <w:widowControl/>
              <w:jc w:val="left"/>
              <w:rPr>
                <w:rFonts w:hint="eastAsia" w:ascii="宋体" w:hAnsi="宋体" w:cs="宋体"/>
                <w:sz w:val="24"/>
              </w:rPr>
            </w:pPr>
            <w:r>
              <w:rPr>
                <w:rFonts w:hint="eastAsia" w:ascii="宋体" w:hAnsi="宋体" w:cs="宋体"/>
                <w:sz w:val="24"/>
                <w:lang w:bidi="ar"/>
              </w:rPr>
              <w:t>根据投标人选择的立杆、借杆和支架，以及立杆配套等设备的型号、指标参数、响应程度、生产厂家资质等综合评分。优</w:t>
            </w:r>
            <w:r>
              <w:rPr>
                <w:rFonts w:hint="eastAsia" w:ascii="宋体" w:hAnsi="宋体" w:cs="宋体"/>
                <w:sz w:val="24"/>
                <w:lang w:val="en-US" w:eastAsia="zh-CN" w:bidi="ar"/>
              </w:rPr>
              <w:t>2</w:t>
            </w:r>
            <w:r>
              <w:rPr>
                <w:rFonts w:hint="eastAsia" w:ascii="宋体" w:hAnsi="宋体" w:cs="宋体"/>
                <w:sz w:val="24"/>
                <w:lang w:bidi="ar"/>
              </w:rPr>
              <w:t>分，良</w:t>
            </w:r>
            <w:r>
              <w:rPr>
                <w:rFonts w:hint="eastAsia" w:ascii="宋体" w:hAnsi="宋体" w:cs="宋体"/>
                <w:sz w:val="24"/>
                <w:lang w:val="en-US" w:eastAsia="zh-CN" w:bidi="ar"/>
              </w:rPr>
              <w:t>1.5</w:t>
            </w:r>
            <w:r>
              <w:rPr>
                <w:rFonts w:hint="eastAsia" w:ascii="宋体" w:hAnsi="宋体" w:cs="宋体"/>
                <w:sz w:val="24"/>
                <w:lang w:bidi="ar"/>
              </w:rPr>
              <w:t>分，一般</w:t>
            </w:r>
            <w:r>
              <w:rPr>
                <w:rFonts w:hint="eastAsia" w:ascii="宋体" w:hAnsi="宋体" w:cs="宋体"/>
                <w:sz w:val="24"/>
                <w:lang w:val="en-US" w:eastAsia="zh-CN" w:bidi="ar"/>
              </w:rPr>
              <w:t>1</w:t>
            </w:r>
            <w:r>
              <w:rPr>
                <w:rFonts w:hint="eastAsia" w:ascii="宋体" w:hAnsi="宋体" w:cs="宋体"/>
                <w:sz w:val="24"/>
                <w:lang w:bidi="ar"/>
              </w:rPr>
              <w:t>分，差0分。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2</w:t>
            </w:r>
          </w:p>
        </w:tc>
      </w:tr>
      <w:tr>
        <w:tblPrEx>
          <w:tblCellMar>
            <w:top w:w="0" w:type="dxa"/>
            <w:left w:w="108" w:type="dxa"/>
            <w:bottom w:w="0" w:type="dxa"/>
            <w:right w:w="108" w:type="dxa"/>
          </w:tblCellMar>
        </w:tblPrEx>
        <w:trPr>
          <w:trHeight w:val="1162" w:hRule="atLeast"/>
        </w:trPr>
        <w:tc>
          <w:tcPr>
            <w:tcW w:w="0" w:type="auto"/>
            <w:vMerge w:val="continue"/>
            <w:tcBorders>
              <w:top w:val="nil"/>
              <w:left w:val="single" w:color="auto" w:sz="8" w:space="0"/>
              <w:bottom w:val="single" w:color="auto" w:sz="8" w:space="0"/>
              <w:right w:val="single" w:color="auto" w:sz="8" w:space="0"/>
            </w:tcBorders>
            <w:noWrap w:val="0"/>
            <w:vAlign w:val="center"/>
          </w:tcPr>
          <w:p>
            <w:pPr>
              <w:rPr>
                <w:rFonts w:hint="eastAsia" w:ascii="宋体" w:hAnsi="宋体" w:cs="宋体"/>
                <w:sz w:val="24"/>
              </w:rPr>
            </w:pP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挂杆机箱</w:t>
            </w:r>
          </w:p>
        </w:tc>
        <w:tc>
          <w:tcPr>
            <w:tcW w:w="0" w:type="auto"/>
            <w:tcBorders>
              <w:top w:val="nil"/>
              <w:left w:val="nil"/>
              <w:bottom w:val="single" w:color="auto" w:sz="8" w:space="0"/>
              <w:right w:val="single" w:color="auto" w:sz="8" w:space="0"/>
            </w:tcBorders>
            <w:noWrap w:val="0"/>
            <w:vAlign w:val="center"/>
          </w:tcPr>
          <w:p>
            <w:pPr>
              <w:widowControl/>
              <w:jc w:val="left"/>
              <w:rPr>
                <w:rFonts w:hint="eastAsia" w:ascii="宋体" w:hAnsi="宋体" w:cs="宋体"/>
                <w:sz w:val="24"/>
              </w:rPr>
            </w:pPr>
            <w:r>
              <w:rPr>
                <w:rFonts w:hint="eastAsia" w:ascii="宋体" w:hAnsi="宋体" w:cs="宋体"/>
                <w:sz w:val="24"/>
                <w:lang w:bidi="ar"/>
              </w:rPr>
              <w:t>根据投标人选择的挂杆机箱设备的型号、外观、指标参数、功能、响应程度等综合评分。优</w:t>
            </w:r>
            <w:r>
              <w:rPr>
                <w:rFonts w:hint="eastAsia" w:ascii="宋体" w:hAnsi="宋体" w:cs="宋体"/>
                <w:sz w:val="24"/>
                <w:lang w:val="en-US" w:eastAsia="zh-CN" w:bidi="ar"/>
              </w:rPr>
              <w:t>1</w:t>
            </w:r>
            <w:r>
              <w:rPr>
                <w:rFonts w:hint="eastAsia" w:ascii="宋体" w:hAnsi="宋体" w:cs="宋体"/>
                <w:sz w:val="24"/>
                <w:lang w:bidi="ar"/>
              </w:rPr>
              <w:t>分，良</w:t>
            </w:r>
            <w:r>
              <w:rPr>
                <w:rFonts w:hint="eastAsia" w:ascii="宋体" w:hAnsi="宋体" w:cs="宋体"/>
                <w:sz w:val="24"/>
                <w:lang w:val="en-US" w:eastAsia="zh-CN" w:bidi="ar"/>
              </w:rPr>
              <w:t>0.7</w:t>
            </w:r>
            <w:r>
              <w:rPr>
                <w:rFonts w:hint="eastAsia" w:ascii="宋体" w:hAnsi="宋体" w:cs="宋体"/>
                <w:sz w:val="24"/>
                <w:lang w:bidi="ar"/>
              </w:rPr>
              <w:t>分，一般0.</w:t>
            </w:r>
            <w:r>
              <w:rPr>
                <w:rFonts w:hint="eastAsia" w:ascii="宋体" w:hAnsi="宋体" w:cs="宋体"/>
                <w:sz w:val="24"/>
                <w:lang w:val="en-US" w:eastAsia="zh-CN" w:bidi="ar"/>
              </w:rPr>
              <w:t>3</w:t>
            </w:r>
            <w:r>
              <w:rPr>
                <w:rFonts w:hint="eastAsia" w:ascii="宋体" w:hAnsi="宋体" w:cs="宋体"/>
                <w:sz w:val="24"/>
                <w:lang w:bidi="ar"/>
              </w:rPr>
              <w:t>分，差0分。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1</w:t>
            </w:r>
          </w:p>
        </w:tc>
      </w:tr>
      <w:tr>
        <w:tblPrEx>
          <w:tblCellMar>
            <w:top w:w="0" w:type="dxa"/>
            <w:left w:w="108" w:type="dxa"/>
            <w:bottom w:w="0" w:type="dxa"/>
            <w:right w:w="108" w:type="dxa"/>
          </w:tblCellMar>
        </w:tblPrEx>
        <w:trPr>
          <w:trHeight w:val="1162" w:hRule="atLeast"/>
        </w:trPr>
        <w:tc>
          <w:tcPr>
            <w:tcW w:w="0" w:type="auto"/>
            <w:vMerge w:val="restart"/>
            <w:tcBorders>
              <w:top w:val="nil"/>
              <w:left w:val="single" w:color="auto" w:sz="8" w:space="0"/>
              <w:bottom w:val="single" w:color="auto" w:sz="8" w:space="0"/>
              <w:right w:val="single" w:color="auto" w:sz="8" w:space="0"/>
            </w:tcBorders>
            <w:noWrap w:val="0"/>
            <w:vAlign w:val="center"/>
          </w:tcPr>
          <w:p>
            <w:pPr>
              <w:widowControl/>
              <w:jc w:val="center"/>
              <w:rPr>
                <w:rFonts w:hint="eastAsia" w:ascii="宋体" w:hAnsi="宋体" w:cs="宋体"/>
                <w:sz w:val="24"/>
              </w:rPr>
            </w:pPr>
            <w:r>
              <w:rPr>
                <w:rFonts w:hint="eastAsia" w:ascii="宋体" w:hAnsi="宋体" w:cs="宋体"/>
                <w:sz w:val="24"/>
                <w:lang w:bidi="ar"/>
              </w:rPr>
              <w:t>施工组织计划（8分）</w:t>
            </w:r>
          </w:p>
        </w:tc>
        <w:tc>
          <w:tcPr>
            <w:tcW w:w="0" w:type="auto"/>
            <w:gridSpan w:val="2"/>
            <w:tcBorders>
              <w:top w:val="single" w:color="auto" w:sz="8" w:space="0"/>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根据投标人工期满足性进行评价（主要参考投标人提供的“项目实施进度计划表”、“项目组织计划表”，投标人提供人员、施工机械等相关证明材料做入标书）</w:t>
            </w:r>
            <w:r>
              <w:rPr>
                <w:rFonts w:hint="eastAsia" w:ascii="宋体" w:hAnsi="宋体" w:eastAsia="宋体" w:cs="宋体"/>
                <w:kern w:val="2"/>
                <w:sz w:val="24"/>
                <w:szCs w:val="24"/>
                <w:lang w:val="en-US" w:eastAsia="zh-CN" w:bidi="ar"/>
              </w:rPr>
              <w:t>内容完整、详细的得4分；内容基本完整的得3分；内容有明显缺陷的得2分；基本无内容的得1分。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4</w:t>
            </w:r>
          </w:p>
        </w:tc>
      </w:tr>
      <w:tr>
        <w:tblPrEx>
          <w:tblCellMar>
            <w:top w:w="0" w:type="dxa"/>
            <w:left w:w="108" w:type="dxa"/>
            <w:bottom w:w="0" w:type="dxa"/>
            <w:right w:w="108" w:type="dxa"/>
          </w:tblCellMar>
        </w:tblPrEx>
        <w:trPr>
          <w:trHeight w:val="1162" w:hRule="atLeast"/>
        </w:trPr>
        <w:tc>
          <w:tcPr>
            <w:tcW w:w="0" w:type="auto"/>
            <w:vMerge w:val="continue"/>
            <w:tcBorders>
              <w:top w:val="nil"/>
              <w:left w:val="single" w:color="auto" w:sz="8" w:space="0"/>
              <w:bottom w:val="single" w:color="auto" w:sz="8" w:space="0"/>
              <w:right w:val="single" w:color="auto" w:sz="8" w:space="0"/>
            </w:tcBorders>
            <w:noWrap w:val="0"/>
            <w:vAlign w:val="center"/>
          </w:tcPr>
          <w:p>
            <w:pPr>
              <w:rPr>
                <w:rFonts w:hint="eastAsia" w:ascii="宋体" w:hAnsi="宋体" w:cs="宋体"/>
                <w:sz w:val="24"/>
              </w:rPr>
            </w:pPr>
          </w:p>
        </w:tc>
        <w:tc>
          <w:tcPr>
            <w:tcW w:w="0" w:type="auto"/>
            <w:gridSpan w:val="2"/>
            <w:tcBorders>
              <w:top w:val="single" w:color="auto" w:sz="8" w:space="0"/>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根据施工方案（包括施工计划、质量保证措施、进度保证措施和环境保证措施等）合理性，进行评价。</w:t>
            </w:r>
            <w:r>
              <w:rPr>
                <w:rFonts w:hint="eastAsia" w:ascii="宋体" w:hAnsi="宋体" w:eastAsia="宋体" w:cs="宋体"/>
                <w:kern w:val="2"/>
                <w:sz w:val="24"/>
                <w:szCs w:val="24"/>
                <w:lang w:val="en-US" w:eastAsia="zh-CN" w:bidi="ar"/>
              </w:rPr>
              <w:t>内容完整、详细的得4分；内容基本完整的得3分；内容有明显缺陷的得2分；基本无内容的得1分。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4</w:t>
            </w:r>
          </w:p>
        </w:tc>
      </w:tr>
      <w:tr>
        <w:tblPrEx>
          <w:tblCellMar>
            <w:top w:w="0" w:type="dxa"/>
            <w:left w:w="108" w:type="dxa"/>
            <w:bottom w:w="0" w:type="dxa"/>
            <w:right w:w="108" w:type="dxa"/>
          </w:tblCellMar>
        </w:tblPrEx>
        <w:trPr>
          <w:trHeight w:val="1062" w:hRule="atLeast"/>
        </w:trPr>
        <w:tc>
          <w:tcPr>
            <w:tcW w:w="0" w:type="auto"/>
            <w:vMerge w:val="restart"/>
            <w:tcBorders>
              <w:top w:val="nil"/>
              <w:left w:val="single" w:color="auto" w:sz="8" w:space="0"/>
              <w:bottom w:val="single" w:color="000000"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运维保障能力（14分）</w:t>
            </w:r>
          </w:p>
        </w:tc>
        <w:tc>
          <w:tcPr>
            <w:tcW w:w="0" w:type="auto"/>
            <w:gridSpan w:val="2"/>
            <w:tcBorders>
              <w:top w:val="single" w:color="auto" w:sz="8" w:space="0"/>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根据运营服务整体方案情况进行评价。</w:t>
            </w:r>
            <w:r>
              <w:rPr>
                <w:rFonts w:hint="eastAsia" w:ascii="宋体" w:hAnsi="宋体" w:eastAsia="宋体" w:cs="宋体"/>
                <w:kern w:val="2"/>
                <w:sz w:val="24"/>
                <w:szCs w:val="24"/>
                <w:lang w:val="en-US" w:eastAsia="zh-CN" w:bidi="ar"/>
              </w:rPr>
              <w:t>内容完整、详细的得4分；内容基本完整的得3分；内容有明显缺陷的得2分；基本无内容的得1分。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4</w:t>
            </w:r>
          </w:p>
        </w:tc>
      </w:tr>
      <w:tr>
        <w:tblPrEx>
          <w:tblCellMar>
            <w:top w:w="0" w:type="dxa"/>
            <w:left w:w="108" w:type="dxa"/>
            <w:bottom w:w="0" w:type="dxa"/>
            <w:right w:w="108" w:type="dxa"/>
          </w:tblCellMar>
        </w:tblPrEx>
        <w:trPr>
          <w:trHeight w:val="2280" w:hRule="atLeast"/>
        </w:trPr>
        <w:tc>
          <w:tcPr>
            <w:tcW w:w="0" w:type="auto"/>
            <w:vMerge w:val="continue"/>
            <w:tcBorders>
              <w:top w:val="nil"/>
              <w:left w:val="single" w:color="auto" w:sz="8" w:space="0"/>
              <w:bottom w:val="single" w:color="000000" w:sz="8" w:space="0"/>
              <w:right w:val="single" w:color="auto" w:sz="8" w:space="0"/>
            </w:tcBorders>
            <w:noWrap w:val="0"/>
            <w:vAlign w:val="center"/>
          </w:tcPr>
          <w:p>
            <w:pPr>
              <w:rPr>
                <w:rFonts w:hint="eastAsia" w:ascii="宋体" w:hAnsi="宋体" w:cs="宋体"/>
                <w:sz w:val="24"/>
              </w:rPr>
            </w:pPr>
          </w:p>
        </w:tc>
        <w:tc>
          <w:tcPr>
            <w:tcW w:w="0" w:type="auto"/>
            <w:gridSpan w:val="2"/>
            <w:tcBorders>
              <w:top w:val="single" w:color="auto" w:sz="8" w:space="0"/>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投标人服务于此次项目的项目负责人，具有信息系统项目管理师或网络规划设计师或高级工程师等高级资格认证，得1分；具有系统集成项目管理工程师或网络工程师等中级资格认证，得0.5分；具有前端主要设备厂家工程师证书，得0.25分，（证书复印件加盖公章并提供在投标人处的6个月（含）以上社保证明复印件加盖公章，否则不得分）（有多本证书的按最高项计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1</w:t>
            </w:r>
          </w:p>
        </w:tc>
      </w:tr>
      <w:tr>
        <w:tblPrEx>
          <w:tblCellMar>
            <w:top w:w="0" w:type="dxa"/>
            <w:left w:w="108" w:type="dxa"/>
            <w:bottom w:w="0" w:type="dxa"/>
            <w:right w:w="108" w:type="dxa"/>
          </w:tblCellMar>
        </w:tblPrEx>
        <w:trPr>
          <w:trHeight w:val="1225" w:hRule="atLeast"/>
        </w:trPr>
        <w:tc>
          <w:tcPr>
            <w:tcW w:w="0" w:type="auto"/>
            <w:vMerge w:val="continue"/>
            <w:tcBorders>
              <w:top w:val="nil"/>
              <w:left w:val="single" w:color="auto" w:sz="8" w:space="0"/>
              <w:bottom w:val="single" w:color="000000" w:sz="8" w:space="0"/>
              <w:right w:val="single" w:color="auto" w:sz="8" w:space="0"/>
            </w:tcBorders>
            <w:noWrap w:val="0"/>
            <w:vAlign w:val="center"/>
          </w:tcPr>
          <w:p>
            <w:pPr>
              <w:rPr>
                <w:rFonts w:hint="eastAsia" w:ascii="宋体" w:hAnsi="宋体" w:cs="宋体"/>
                <w:sz w:val="24"/>
              </w:rPr>
            </w:pPr>
          </w:p>
        </w:tc>
        <w:tc>
          <w:tcPr>
            <w:tcW w:w="0" w:type="auto"/>
            <w:gridSpan w:val="2"/>
            <w:tcBorders>
              <w:top w:val="single" w:color="auto" w:sz="8" w:space="0"/>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投标人服务于此次项目的项目负责人具有类似项目建设主持经历的，每有一起项目经历的，得0.5分，最高得1分。提供项目建设主持经历相关证明。</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1</w:t>
            </w:r>
          </w:p>
        </w:tc>
      </w:tr>
      <w:tr>
        <w:tblPrEx>
          <w:tblCellMar>
            <w:top w:w="0" w:type="dxa"/>
            <w:left w:w="108" w:type="dxa"/>
            <w:bottom w:w="0" w:type="dxa"/>
            <w:right w:w="108" w:type="dxa"/>
          </w:tblCellMar>
        </w:tblPrEx>
        <w:trPr>
          <w:trHeight w:val="1287" w:hRule="atLeast"/>
        </w:trPr>
        <w:tc>
          <w:tcPr>
            <w:tcW w:w="0" w:type="auto"/>
            <w:vMerge w:val="continue"/>
            <w:tcBorders>
              <w:top w:val="nil"/>
              <w:left w:val="single" w:color="auto" w:sz="8" w:space="0"/>
              <w:bottom w:val="single" w:color="000000" w:sz="8" w:space="0"/>
              <w:right w:val="single" w:color="auto" w:sz="8" w:space="0"/>
            </w:tcBorders>
            <w:noWrap w:val="0"/>
            <w:vAlign w:val="center"/>
          </w:tcPr>
          <w:p>
            <w:pPr>
              <w:rPr>
                <w:rFonts w:hint="eastAsia" w:ascii="宋体" w:hAnsi="宋体" w:cs="宋体"/>
                <w:sz w:val="24"/>
              </w:rPr>
            </w:pPr>
          </w:p>
        </w:tc>
        <w:tc>
          <w:tcPr>
            <w:tcW w:w="0" w:type="auto"/>
            <w:gridSpan w:val="2"/>
            <w:tcBorders>
              <w:top w:val="single" w:color="auto" w:sz="8" w:space="0"/>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根据投标人服务于此次项目的实施团队的专业素质、技术能力等综合进行评分。必须提供项目管理团队成员在投标人处的6个月（含）以上社保证明复印件加盖公章，不提供该项不得分； 优3分、良2分、一般1分。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3</w:t>
            </w:r>
          </w:p>
        </w:tc>
      </w:tr>
      <w:tr>
        <w:tblPrEx>
          <w:tblCellMar>
            <w:top w:w="0" w:type="dxa"/>
            <w:left w:w="108" w:type="dxa"/>
            <w:bottom w:w="0" w:type="dxa"/>
            <w:right w:w="108" w:type="dxa"/>
          </w:tblCellMar>
        </w:tblPrEx>
        <w:trPr>
          <w:trHeight w:val="90" w:hRule="atLeast"/>
        </w:trPr>
        <w:tc>
          <w:tcPr>
            <w:tcW w:w="0" w:type="auto"/>
            <w:vMerge w:val="continue"/>
            <w:tcBorders>
              <w:top w:val="nil"/>
              <w:left w:val="single" w:color="auto" w:sz="8" w:space="0"/>
              <w:bottom w:val="single" w:color="000000" w:sz="8" w:space="0"/>
              <w:right w:val="single" w:color="auto" w:sz="8" w:space="0"/>
            </w:tcBorders>
            <w:noWrap w:val="0"/>
            <w:vAlign w:val="center"/>
          </w:tcPr>
          <w:p>
            <w:pPr>
              <w:rPr>
                <w:rFonts w:hint="eastAsia" w:ascii="宋体" w:hAnsi="宋体" w:cs="宋体"/>
                <w:sz w:val="24"/>
              </w:rPr>
            </w:pPr>
          </w:p>
        </w:tc>
        <w:tc>
          <w:tcPr>
            <w:tcW w:w="0" w:type="auto"/>
            <w:gridSpan w:val="2"/>
            <w:tcBorders>
              <w:top w:val="single" w:color="auto" w:sz="8" w:space="0"/>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配备不少于2辆的登高作业用车，每多一辆得1分，最高得2分；车辆可以租赁使用。（车辆行驶证、租赁合同复印件做入标书，否则不得分）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2</w:t>
            </w:r>
          </w:p>
        </w:tc>
      </w:tr>
      <w:tr>
        <w:tblPrEx>
          <w:tblCellMar>
            <w:top w:w="0" w:type="dxa"/>
            <w:left w:w="108" w:type="dxa"/>
            <w:bottom w:w="0" w:type="dxa"/>
            <w:right w:w="108" w:type="dxa"/>
          </w:tblCellMar>
        </w:tblPrEx>
        <w:trPr>
          <w:trHeight w:val="1125" w:hRule="atLeast"/>
        </w:trPr>
        <w:tc>
          <w:tcPr>
            <w:tcW w:w="0" w:type="auto"/>
            <w:vMerge w:val="continue"/>
            <w:tcBorders>
              <w:top w:val="nil"/>
              <w:left w:val="single" w:color="auto" w:sz="8" w:space="0"/>
              <w:bottom w:val="single" w:color="000000" w:sz="8" w:space="0"/>
              <w:right w:val="single" w:color="auto" w:sz="8" w:space="0"/>
            </w:tcBorders>
            <w:noWrap w:val="0"/>
            <w:vAlign w:val="center"/>
          </w:tcPr>
          <w:p>
            <w:pPr>
              <w:rPr>
                <w:rFonts w:hint="eastAsia" w:ascii="宋体" w:hAnsi="宋体" w:cs="宋体"/>
                <w:sz w:val="24"/>
              </w:rPr>
            </w:pPr>
          </w:p>
        </w:tc>
        <w:tc>
          <w:tcPr>
            <w:tcW w:w="0" w:type="auto"/>
            <w:gridSpan w:val="2"/>
            <w:tcBorders>
              <w:top w:val="single" w:color="auto" w:sz="8" w:space="0"/>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根据投标人提供的日常巡检方案、应急抢修措施流程和预案的全面性、针对性、合理性，以及除基本要求的巡检内容外增加的额外巡检范围及周期等作综合评分。</w:t>
            </w:r>
            <w:r>
              <w:rPr>
                <w:rFonts w:hint="eastAsia" w:ascii="宋体" w:hAnsi="宋体" w:eastAsia="宋体" w:cs="宋体"/>
                <w:kern w:val="2"/>
                <w:sz w:val="24"/>
                <w:szCs w:val="24"/>
                <w:lang w:val="en-US" w:eastAsia="zh-CN" w:bidi="ar"/>
              </w:rPr>
              <w:t>内容完整、详细的得3分；内容基本完整的得2分；内容有明显缺陷的得1分；基本无内容的得0分。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3</w:t>
            </w:r>
          </w:p>
        </w:tc>
      </w:tr>
      <w:tr>
        <w:tblPrEx>
          <w:tblCellMar>
            <w:top w:w="0" w:type="dxa"/>
            <w:left w:w="108" w:type="dxa"/>
            <w:bottom w:w="0" w:type="dxa"/>
            <w:right w:w="108" w:type="dxa"/>
          </w:tblCellMar>
        </w:tblPrEx>
        <w:trPr>
          <w:trHeight w:val="1225" w:hRule="atLeast"/>
        </w:trPr>
        <w:tc>
          <w:tcPr>
            <w:tcW w:w="0" w:type="auto"/>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企业业绩（2分）</w:t>
            </w:r>
          </w:p>
        </w:tc>
        <w:tc>
          <w:tcPr>
            <w:tcW w:w="0" w:type="auto"/>
            <w:gridSpan w:val="2"/>
            <w:tcBorders>
              <w:top w:val="single" w:color="auto" w:sz="8" w:space="0"/>
              <w:left w:val="nil"/>
              <w:bottom w:val="single" w:color="auto" w:sz="8" w:space="0"/>
              <w:right w:val="single" w:color="auto" w:sz="8" w:space="0"/>
            </w:tcBorders>
            <w:noWrap w:val="0"/>
            <w:vAlign w:val="center"/>
          </w:tcPr>
          <w:p>
            <w:pPr>
              <w:widowControl/>
              <w:jc w:val="left"/>
              <w:rPr>
                <w:rFonts w:hint="eastAsia" w:ascii="宋体" w:hAnsi="宋体" w:cs="宋体"/>
                <w:sz w:val="24"/>
              </w:rPr>
            </w:pPr>
            <w:r>
              <w:rPr>
                <w:rFonts w:hint="eastAsia" w:ascii="宋体" w:hAnsi="宋体" w:cs="宋体"/>
                <w:sz w:val="24"/>
                <w:lang w:bidi="ar"/>
              </w:rPr>
              <w:t>根据投标人提供的2017年9月份以来</w:t>
            </w:r>
            <w:r>
              <w:rPr>
                <w:rFonts w:hint="eastAsia" w:ascii="宋体" w:hAnsi="宋体" w:cs="宋体"/>
                <w:bCs/>
                <w:kern w:val="0"/>
                <w:sz w:val="24"/>
                <w:lang w:bidi="ar"/>
              </w:rPr>
              <w:t>（以合同签订时间为准）</w:t>
            </w:r>
            <w:r>
              <w:rPr>
                <w:rFonts w:hint="eastAsia" w:ascii="宋体" w:hAnsi="宋体" w:cs="宋体"/>
                <w:sz w:val="24"/>
                <w:lang w:bidi="ar"/>
              </w:rPr>
              <w:t>类似项目进行打分，每个项目得1分，满分2分。（合同复印件制作在投标文件中，未提供的不得分）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2</w:t>
            </w:r>
          </w:p>
        </w:tc>
      </w:tr>
      <w:tr>
        <w:tblPrEx>
          <w:tblCellMar>
            <w:top w:w="0" w:type="dxa"/>
            <w:left w:w="108" w:type="dxa"/>
            <w:bottom w:w="0" w:type="dxa"/>
            <w:right w:w="108" w:type="dxa"/>
          </w:tblCellMar>
        </w:tblPrEx>
        <w:trPr>
          <w:trHeight w:val="1305" w:hRule="atLeast"/>
        </w:trPr>
        <w:tc>
          <w:tcPr>
            <w:tcW w:w="0" w:type="auto"/>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项目服务优化（5分）</w:t>
            </w:r>
          </w:p>
        </w:tc>
        <w:tc>
          <w:tcPr>
            <w:tcW w:w="0" w:type="auto"/>
            <w:gridSpan w:val="2"/>
            <w:tcBorders>
              <w:top w:val="single" w:color="auto" w:sz="8" w:space="0"/>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根据投标人提供的本项目招标内容进行优化，提升服务内容，考虑提供服务的实际作用、可操作性、产品技术先进性等因素，进行综合评分。</w:t>
            </w:r>
            <w:r>
              <w:rPr>
                <w:rFonts w:hint="eastAsia" w:ascii="宋体" w:hAnsi="宋体" w:eastAsia="宋体" w:cs="宋体"/>
                <w:kern w:val="2"/>
                <w:sz w:val="24"/>
                <w:szCs w:val="24"/>
                <w:lang w:val="en-US" w:eastAsia="zh-CN" w:bidi="ar"/>
              </w:rPr>
              <w:t>内容完整、详细的得5分；内容基本完整的得3.5分；内容有明显缺陷的得2分；基本无内容的得0分。</w:t>
            </w:r>
            <w:r>
              <w:rPr>
                <w:rFonts w:hint="eastAsia" w:ascii="宋体" w:hAnsi="宋体" w:cs="宋体"/>
                <w:sz w:val="24"/>
                <w:lang w:bidi="ar"/>
              </w:rPr>
              <w:t>（所提供服务需出具书面承诺，未提书面承诺的不得分）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5</w:t>
            </w:r>
          </w:p>
        </w:tc>
      </w:tr>
      <w:tr>
        <w:tblPrEx>
          <w:tblCellMar>
            <w:top w:w="0" w:type="dxa"/>
            <w:left w:w="108" w:type="dxa"/>
            <w:bottom w:w="0" w:type="dxa"/>
            <w:right w:w="108" w:type="dxa"/>
          </w:tblCellMar>
        </w:tblPrEx>
        <w:trPr>
          <w:trHeight w:val="1215" w:hRule="atLeast"/>
        </w:trPr>
        <w:tc>
          <w:tcPr>
            <w:tcW w:w="0" w:type="auto"/>
            <w:tcBorders>
              <w:top w:val="nil"/>
              <w:left w:val="single" w:color="auto" w:sz="8" w:space="0"/>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安全责任保障（5分）</w:t>
            </w:r>
          </w:p>
        </w:tc>
        <w:tc>
          <w:tcPr>
            <w:tcW w:w="0" w:type="auto"/>
            <w:gridSpan w:val="2"/>
            <w:tcBorders>
              <w:top w:val="single" w:color="auto" w:sz="8" w:space="0"/>
              <w:left w:val="nil"/>
              <w:bottom w:val="single" w:color="auto" w:sz="8" w:space="0"/>
              <w:right w:val="single" w:color="auto" w:sz="8" w:space="0"/>
            </w:tcBorders>
            <w:noWrap w:val="0"/>
            <w:vAlign w:val="center"/>
          </w:tcPr>
          <w:p>
            <w:pPr>
              <w:widowControl/>
              <w:jc w:val="left"/>
              <w:rPr>
                <w:rFonts w:hint="eastAsia" w:ascii="宋体" w:hAnsi="宋体" w:cs="宋体"/>
                <w:sz w:val="24"/>
              </w:rPr>
            </w:pPr>
            <w:r>
              <w:rPr>
                <w:rFonts w:hint="eastAsia" w:ascii="宋体" w:hAnsi="宋体" w:cs="宋体"/>
                <w:sz w:val="24"/>
                <w:lang w:bidi="ar"/>
              </w:rPr>
              <w:t>根据投标人提供的本项目招标内容，结合施工和运维，提供配套的安全责任保障，根据安全责任保障内容的实际作用、可操作性等因素，进行综合评分。</w:t>
            </w:r>
            <w:r>
              <w:rPr>
                <w:rFonts w:hint="eastAsia" w:ascii="宋体" w:hAnsi="宋体" w:eastAsia="宋体" w:cs="宋体"/>
                <w:kern w:val="2"/>
                <w:sz w:val="24"/>
                <w:szCs w:val="24"/>
                <w:lang w:val="en-US" w:eastAsia="zh-CN" w:bidi="ar"/>
              </w:rPr>
              <w:t>内容完整、详细的得5分；内容基本完整的得3.5分；内容有明显缺陷的得2分；基本无内容的得0分。</w:t>
            </w:r>
            <w:r>
              <w:rPr>
                <w:rFonts w:hint="eastAsia" w:ascii="宋体" w:hAnsi="宋体" w:cs="宋体"/>
                <w:sz w:val="24"/>
                <w:lang w:bidi="ar"/>
              </w:rPr>
              <w:t>（所提供的安全责任保障需出具书面承诺，未提书面承诺的不得分）</w:t>
            </w:r>
          </w:p>
        </w:tc>
        <w:tc>
          <w:tcPr>
            <w:tcW w:w="0" w:type="auto"/>
            <w:tcBorders>
              <w:top w:val="nil"/>
              <w:left w:val="nil"/>
              <w:bottom w:val="single" w:color="auto" w:sz="8" w:space="0"/>
              <w:right w:val="single" w:color="auto" w:sz="8" w:space="0"/>
            </w:tcBorders>
            <w:noWrap w:val="0"/>
            <w:vAlign w:val="center"/>
          </w:tcPr>
          <w:p>
            <w:pPr>
              <w:widowControl/>
              <w:rPr>
                <w:rFonts w:hint="eastAsia" w:ascii="宋体" w:hAnsi="宋体" w:cs="宋体"/>
                <w:sz w:val="24"/>
              </w:rPr>
            </w:pPr>
            <w:r>
              <w:rPr>
                <w:rFonts w:hint="eastAsia" w:ascii="宋体" w:hAnsi="宋体" w:cs="宋体"/>
                <w:sz w:val="24"/>
                <w:lang w:bidi="ar"/>
              </w:rPr>
              <w:t>5</w:t>
            </w:r>
          </w:p>
        </w:tc>
      </w:tr>
    </w:tbl>
    <w:p>
      <w:pPr>
        <w:spacing w:before="120" w:beforeLines="50" w:after="120" w:afterLines="50" w:line="400" w:lineRule="exact"/>
        <w:ind w:firstLine="472" w:firstLineChars="196"/>
        <w:rPr>
          <w:rFonts w:hint="eastAsia" w:ascii="宋体" w:hAnsi="宋体" w:cs="宋体"/>
          <w:b/>
          <w:sz w:val="24"/>
          <w:lang w:bidi="ar"/>
        </w:rPr>
      </w:pPr>
      <w:r>
        <w:rPr>
          <w:rFonts w:hint="eastAsia" w:ascii="宋体" w:hAnsi="宋体" w:cs="宋体"/>
          <w:b/>
          <w:sz w:val="24"/>
          <w:lang w:bidi="ar"/>
        </w:rPr>
        <w:t>备注:投标文件中所提供的复印件均需清晰可见（建议采用原件的扫描件），否则评委作出不利于投标人的评分，由投标人自行负责。</w:t>
      </w:r>
    </w:p>
    <w:p>
      <w:pPr>
        <w:spacing w:before="120" w:beforeLines="50" w:after="120" w:afterLines="50" w:line="400" w:lineRule="exact"/>
        <w:ind w:firstLine="472" w:firstLineChars="196"/>
        <w:rPr>
          <w:rFonts w:hint="eastAsia" w:ascii="宋体" w:hAnsi="宋体" w:cs="宋体"/>
          <w:b/>
          <w:sz w:val="24"/>
        </w:rPr>
      </w:pPr>
      <w:r>
        <w:rPr>
          <w:rFonts w:hint="eastAsia" w:ascii="宋体" w:hAnsi="宋体" w:cs="宋体"/>
          <w:b/>
          <w:sz w:val="24"/>
          <w:lang w:bidi="ar"/>
        </w:rPr>
        <w:t>（三）技术、商务、资信及其他分的计算方式</w:t>
      </w:r>
    </w:p>
    <w:p>
      <w:pPr>
        <w:spacing w:line="440" w:lineRule="exact"/>
        <w:ind w:firstLine="480" w:firstLineChars="200"/>
        <w:rPr>
          <w:rFonts w:hint="eastAsia" w:ascii="宋体" w:hAnsi="宋体" w:cs="宋体"/>
          <w:sz w:val="24"/>
        </w:rPr>
      </w:pPr>
      <w:r>
        <w:rPr>
          <w:rFonts w:hint="eastAsia" w:ascii="宋体" w:hAnsi="宋体" w:cs="宋体"/>
          <w:sz w:val="24"/>
          <w:lang w:bidi="ar"/>
        </w:rPr>
        <w:t>（1）商务技术分按照评标委员会成员的独立评分结果汇总数后的算术平均分计算，计算公式为：</w:t>
      </w:r>
    </w:p>
    <w:p>
      <w:pPr>
        <w:pStyle w:val="32"/>
        <w:widowControl w:val="0"/>
        <w:spacing w:before="120" w:beforeLines="50" w:beforeAutospacing="0" w:after="120" w:afterLines="50" w:afterAutospacing="0" w:line="440" w:lineRule="exact"/>
        <w:ind w:firstLine="480" w:firstLineChars="200"/>
        <w:jc w:val="both"/>
        <w:rPr>
          <w:rFonts w:hint="eastAsia" w:cs="宋体"/>
          <w:color w:val="auto"/>
          <w:lang w:bidi="ar"/>
        </w:rPr>
      </w:pPr>
      <w:r>
        <w:rPr>
          <w:rFonts w:hint="eastAsia" w:cs="宋体"/>
          <w:color w:val="auto"/>
          <w:lang w:bidi="ar"/>
        </w:rPr>
        <w:t>商务技术分=评标委员会所有成员评分合计数/评标委员会组成人员数</w:t>
      </w:r>
    </w:p>
    <w:p>
      <w:pPr>
        <w:pStyle w:val="32"/>
        <w:widowControl w:val="0"/>
        <w:spacing w:before="120" w:beforeLines="50" w:beforeAutospacing="0" w:after="120" w:afterLines="50" w:afterAutospacing="0" w:line="440" w:lineRule="exact"/>
        <w:ind w:firstLine="466" w:firstLineChars="200"/>
        <w:jc w:val="both"/>
        <w:rPr>
          <w:b/>
          <w:color w:val="auto"/>
          <w:szCs w:val="20"/>
        </w:rPr>
      </w:pPr>
      <w:r>
        <w:rPr>
          <w:rFonts w:hint="eastAsia"/>
          <w:b/>
          <w:color w:val="auto"/>
          <w:spacing w:val="-4"/>
          <w:kern w:val="2"/>
          <w:szCs w:val="20"/>
          <w:lang w:bidi="ar"/>
        </w:rPr>
        <w:t>三、投标人义务</w:t>
      </w:r>
    </w:p>
    <w:p>
      <w:pPr>
        <w:pStyle w:val="32"/>
        <w:widowControl w:val="0"/>
        <w:spacing w:before="120" w:beforeLines="50" w:beforeAutospacing="0" w:after="120" w:afterLines="50" w:afterAutospacing="0" w:line="440" w:lineRule="exact"/>
        <w:ind w:firstLine="464" w:firstLineChars="200"/>
        <w:jc w:val="both"/>
        <w:rPr>
          <w:bCs/>
          <w:color w:val="auto"/>
        </w:rPr>
      </w:pPr>
      <w:r>
        <w:rPr>
          <w:rFonts w:hint="eastAsia"/>
          <w:bCs/>
          <w:color w:val="auto"/>
          <w:spacing w:val="-4"/>
          <w:kern w:val="2"/>
          <w:lang w:bidi="ar"/>
        </w:rPr>
        <w:t>评标期间，投标人应随时随地答复评标委员会的询标，解答包括有关的商务、技术问题等。</w:t>
      </w:r>
    </w:p>
    <w:p>
      <w:pPr>
        <w:spacing w:line="440" w:lineRule="exact"/>
        <w:ind w:firstLine="495"/>
        <w:rPr>
          <w:rFonts w:hint="eastAsia" w:ascii="宋体" w:hAnsi="宋体" w:cs="宋体"/>
          <w:sz w:val="24"/>
        </w:rPr>
      </w:pPr>
    </w:p>
    <w:p>
      <w:pPr>
        <w:spacing w:before="120" w:beforeLines="50" w:after="120" w:afterLines="50" w:line="440" w:lineRule="exact"/>
        <w:ind w:firstLine="420"/>
        <w:rPr>
          <w:rFonts w:hint="eastAsia" w:ascii="宋体" w:hAnsi="宋体" w:cs="宋体"/>
          <w:sz w:val="24"/>
          <w:lang w:bidi="ar"/>
        </w:rPr>
      </w:pPr>
    </w:p>
    <w:p>
      <w:pPr>
        <w:pStyle w:val="2"/>
        <w:rPr>
          <w:rFonts w:hint="eastAsia" w:ascii="宋体" w:hAnsi="宋体" w:cs="宋体"/>
          <w:lang w:bidi="ar"/>
        </w:rPr>
      </w:pPr>
    </w:p>
    <w:p>
      <w:pPr>
        <w:pStyle w:val="2"/>
        <w:rPr>
          <w:rFonts w:hint="eastAsia" w:ascii="宋体" w:hAnsi="宋体" w:cs="宋体"/>
          <w:lang w:bidi="ar"/>
        </w:rPr>
      </w:pPr>
    </w:p>
    <w:p>
      <w:pPr>
        <w:pStyle w:val="2"/>
        <w:rPr>
          <w:rFonts w:hint="eastAsia" w:ascii="宋体" w:hAnsi="宋体" w:cs="宋体"/>
          <w:lang w:bidi="ar"/>
        </w:rPr>
      </w:pPr>
    </w:p>
    <w:p>
      <w:pPr>
        <w:pStyle w:val="2"/>
        <w:rPr>
          <w:rFonts w:hint="eastAsia" w:ascii="宋体" w:hAnsi="宋体" w:cs="宋体"/>
          <w:lang w:bidi="ar"/>
        </w:rPr>
      </w:pPr>
    </w:p>
    <w:p>
      <w:pPr>
        <w:pStyle w:val="2"/>
        <w:rPr>
          <w:rFonts w:hint="eastAsia" w:ascii="宋体" w:hAnsi="宋体" w:cs="宋体"/>
          <w:lang w:bidi="ar"/>
        </w:rPr>
      </w:pPr>
    </w:p>
    <w:p>
      <w:pPr>
        <w:pStyle w:val="2"/>
        <w:rPr>
          <w:rFonts w:hint="eastAsia" w:ascii="宋体" w:hAnsi="宋体" w:cs="宋体"/>
          <w:lang w:bidi="ar"/>
        </w:rPr>
      </w:pPr>
    </w:p>
    <w:p>
      <w:pPr>
        <w:pStyle w:val="2"/>
        <w:rPr>
          <w:rFonts w:hint="eastAsia" w:ascii="宋体" w:hAnsi="宋体" w:cs="宋体"/>
          <w:lang w:bidi="ar"/>
        </w:rPr>
      </w:pPr>
    </w:p>
    <w:p>
      <w:pPr>
        <w:pStyle w:val="2"/>
        <w:rPr>
          <w:rFonts w:hint="eastAsia" w:ascii="宋体" w:hAnsi="宋体" w:cs="宋体"/>
          <w:lang w:bidi="ar"/>
        </w:rPr>
      </w:pPr>
    </w:p>
    <w:p>
      <w:pPr>
        <w:pStyle w:val="2"/>
        <w:rPr>
          <w:rFonts w:hint="eastAsia" w:ascii="宋体" w:hAnsi="宋体" w:cs="宋体"/>
          <w:lang w:bidi="ar"/>
        </w:rPr>
      </w:pPr>
    </w:p>
    <w:p>
      <w:pPr>
        <w:pStyle w:val="2"/>
        <w:rPr>
          <w:rFonts w:hint="eastAsia" w:ascii="宋体" w:hAnsi="宋体" w:cs="宋体"/>
          <w:lang w:bidi="ar"/>
        </w:rPr>
      </w:pPr>
    </w:p>
    <w:p>
      <w:pPr>
        <w:pStyle w:val="2"/>
        <w:rPr>
          <w:rFonts w:hint="eastAsia" w:ascii="宋体" w:hAnsi="宋体" w:cs="宋体"/>
          <w:lang w:bidi="ar"/>
        </w:rPr>
      </w:pPr>
    </w:p>
    <w:p>
      <w:pPr>
        <w:pStyle w:val="2"/>
        <w:rPr>
          <w:rFonts w:hint="eastAsia" w:ascii="宋体" w:hAnsi="宋体" w:cs="宋体"/>
          <w:lang w:bidi="ar"/>
        </w:rPr>
      </w:pPr>
    </w:p>
    <w:p>
      <w:pPr>
        <w:spacing w:before="120" w:beforeLines="50" w:after="120" w:afterLines="50" w:line="440" w:lineRule="exact"/>
        <w:ind w:firstLine="300" w:firstLineChars="100"/>
        <w:rPr>
          <w:rFonts w:hint="eastAsia" w:ascii="宋体" w:hAnsi="宋体" w:cs="宋体"/>
          <w:bCs/>
          <w:sz w:val="30"/>
          <w:szCs w:val="30"/>
        </w:rPr>
      </w:pPr>
      <w:r>
        <w:rPr>
          <w:rFonts w:hint="eastAsia" w:ascii="宋体" w:hAnsi="宋体" w:cs="宋体"/>
          <w:sz w:val="30"/>
          <w:szCs w:val="30"/>
          <w:lang w:bidi="ar"/>
        </w:rPr>
        <w:t>本办法适用于</w:t>
      </w:r>
      <w:r>
        <w:rPr>
          <w:rFonts w:hint="eastAsia" w:cs="宋体"/>
          <w:b/>
          <w:sz w:val="30"/>
          <w:szCs w:val="30"/>
          <w:lang w:bidi="ar"/>
        </w:rPr>
        <w:t>标段二</w:t>
      </w:r>
      <w:r>
        <w:rPr>
          <w:rFonts w:hint="eastAsia" w:ascii="宋体" w:hAnsi="宋体" w:cs="宋体"/>
          <w:bCs/>
          <w:sz w:val="30"/>
          <w:szCs w:val="30"/>
          <w:lang w:bidi="ar"/>
        </w:rPr>
        <w:t>的评标。</w:t>
      </w:r>
    </w:p>
    <w:p>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ascii="宋体" w:hAnsi="宋体"/>
          <w:b/>
          <w:sz w:val="24"/>
        </w:rPr>
      </w:pPr>
      <w:r>
        <w:rPr>
          <w:rFonts w:hint="eastAsia" w:ascii="宋体" w:hAnsi="宋体"/>
          <w:b/>
          <w:sz w:val="24"/>
        </w:rPr>
        <w:t>一、总则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cs="宋体"/>
          <w:bCs/>
          <w:sz w:val="24"/>
        </w:rPr>
      </w:pPr>
      <w:r>
        <w:rPr>
          <w:rFonts w:hint="eastAsia" w:ascii="宋体" w:hAnsi="宋体" w:cs="宋体"/>
          <w:sz w:val="24"/>
          <w:lang w:bidi="ar"/>
        </w:rPr>
        <w:t>本次评标采用综合评分法，总分为100分，其中报价分30分、商务技术分70分两部分。合格投标人的评标得分为各项目汇总得分，中标候选资格按评标得分由高到低顺序排列，得分相同的，按投标报价由低到高顺序排列；得分且投标报价相同的，由采购人抽签确定。排名第一的的投标人为中标候选人,排名第二的投标人为候补中标候选人。</w:t>
      </w:r>
      <w:r>
        <w:rPr>
          <w:rFonts w:hint="eastAsia" w:ascii="宋体" w:hAnsi="宋体" w:cs="宋体"/>
          <w:bCs/>
          <w:sz w:val="24"/>
          <w:lang w:bidi="ar"/>
        </w:rPr>
        <w:t>评分过程中采用四舍五入法，并保留小数2位。</w:t>
      </w:r>
    </w:p>
    <w:p>
      <w:pPr>
        <w:spacing w:before="120" w:beforeLines="50" w:after="120" w:afterLines="50" w:line="400" w:lineRule="exact"/>
        <w:ind w:firstLine="480" w:firstLineChars="200"/>
        <w:rPr>
          <w:rFonts w:ascii="ˎ̥" w:hAnsi="ˎ̥" w:eastAsia="ˎ̥" w:cs="ˎ̥"/>
          <w:sz w:val="24"/>
        </w:rPr>
      </w:pPr>
      <w:r>
        <w:rPr>
          <w:rFonts w:hint="eastAsia" w:ascii="ˎ̥" w:hAnsi="ˎ̥" w:cs="宋体"/>
          <w:sz w:val="24"/>
          <w:lang w:bidi="ar"/>
        </w:rPr>
        <w:t>节能环保产品，自主创新产品，不发达地区、少数民族地区、监狱企业、残疾人企业、中小企业的产品在价格、技术、服务相同的情况下，优先采用。</w:t>
      </w:r>
    </w:p>
    <w:p>
      <w:pPr>
        <w:spacing w:before="120" w:beforeLines="50" w:after="120" w:afterLines="50" w:line="400" w:lineRule="exact"/>
        <w:ind w:firstLine="480" w:firstLineChars="200"/>
        <w:rPr>
          <w:rFonts w:hint="eastAsia" w:ascii="宋体" w:hAnsi="宋体" w:cs="宋体"/>
          <w:sz w:val="24"/>
        </w:rPr>
      </w:pPr>
      <w:r>
        <w:rPr>
          <w:rFonts w:hint="eastAsia" w:ascii="宋体" w:hAnsi="宋体" w:cs="宋体"/>
          <w:sz w:val="24"/>
          <w:lang w:bidi="ar"/>
        </w:rPr>
        <w:t>投标人评标</w:t>
      </w:r>
      <w:r>
        <w:rPr>
          <w:rFonts w:hint="eastAsia" w:ascii="宋体" w:hAnsi="宋体" w:cs="宋体"/>
          <w:bCs/>
          <w:sz w:val="24"/>
          <w:lang w:bidi="ar"/>
        </w:rPr>
        <w:t>综合得分=报价分+商务技术分</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firstLine="482" w:firstLineChars="200"/>
        <w:textAlignment w:val="auto"/>
      </w:pPr>
      <w:r>
        <w:rPr>
          <w:rFonts w:hint="eastAsia" w:ascii="宋体" w:hAnsi="宋体"/>
          <w:b/>
          <w:sz w:val="24"/>
        </w:rPr>
        <w:t>评标内容及标准</w:t>
      </w:r>
    </w:p>
    <w:p>
      <w:pPr>
        <w:pStyle w:val="3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ind w:firstLine="466" w:firstLineChars="200"/>
        <w:jc w:val="both"/>
        <w:textAlignment w:val="auto"/>
        <w:rPr>
          <w:b/>
          <w:bCs/>
          <w:color w:val="auto"/>
          <w:szCs w:val="20"/>
        </w:rPr>
      </w:pPr>
      <w:r>
        <w:rPr>
          <w:rFonts w:hint="eastAsia"/>
          <w:b/>
          <w:color w:val="auto"/>
          <w:spacing w:val="-4"/>
          <w:kern w:val="2"/>
          <w:szCs w:val="20"/>
          <w:lang w:bidi="ar"/>
        </w:rPr>
        <w:t>（一）</w:t>
      </w:r>
      <w:r>
        <w:rPr>
          <w:rFonts w:hint="eastAsia"/>
          <w:b/>
          <w:bCs/>
          <w:color w:val="auto"/>
          <w:spacing w:val="-4"/>
          <w:kern w:val="2"/>
          <w:szCs w:val="20"/>
          <w:lang w:bidi="ar"/>
        </w:rPr>
        <w:t>报价分（30分）</w:t>
      </w:r>
    </w:p>
    <w:p>
      <w:pPr>
        <w:pStyle w:val="32"/>
        <w:widowControl w:val="0"/>
        <w:spacing w:before="120" w:beforeLines="50" w:beforeAutospacing="0" w:after="120" w:afterLines="50" w:afterAutospacing="0" w:line="400" w:lineRule="exact"/>
        <w:ind w:firstLine="464" w:firstLineChars="200"/>
        <w:jc w:val="both"/>
        <w:rPr>
          <w:bCs/>
          <w:color w:val="auto"/>
          <w:szCs w:val="20"/>
        </w:rPr>
      </w:pPr>
      <w:r>
        <w:rPr>
          <w:rFonts w:hint="eastAsia"/>
          <w:bCs/>
          <w:color w:val="auto"/>
          <w:spacing w:val="-4"/>
          <w:kern w:val="2"/>
          <w:szCs w:val="20"/>
          <w:lang w:bidi="ar"/>
        </w:rPr>
        <w:t>1.价格分采用低价优先法计算，即满足招标文件要求且投标价格最低的投标报价为评标基准价，其他投标人的价格分按照下列公式计算：</w:t>
      </w:r>
    </w:p>
    <w:p>
      <w:pPr>
        <w:pStyle w:val="32"/>
        <w:widowControl w:val="0"/>
        <w:spacing w:before="120" w:beforeLines="50" w:beforeAutospacing="0" w:after="120" w:afterLines="50" w:afterAutospacing="0" w:line="400" w:lineRule="exact"/>
        <w:ind w:firstLine="480" w:firstLineChars="200"/>
        <w:jc w:val="both"/>
        <w:rPr>
          <w:rFonts w:hint="eastAsia" w:cs="宋体"/>
          <w:color w:val="auto"/>
        </w:rPr>
      </w:pPr>
      <w:r>
        <w:rPr>
          <w:rFonts w:hint="eastAsia" w:cs="宋体"/>
          <w:color w:val="auto"/>
          <w:lang w:bidi="ar"/>
        </w:rPr>
        <w:t>价格分=（评标基准价/投标报价）×30%×100。</w:t>
      </w:r>
      <w:r>
        <w:rPr>
          <w:rFonts w:hint="eastAsia" w:cs="宋体"/>
          <w:bCs/>
          <w:color w:val="auto"/>
          <w:spacing w:val="-4"/>
          <w:kern w:val="2"/>
          <w:szCs w:val="20"/>
          <w:lang w:bidi="ar"/>
        </w:rPr>
        <w:t>（注：对于符合政府采购政策及优惠的企业产品给予6%的扣除，用扣除后的价格参与评审。具体执行依据见第2点“政府采购政策及优惠”内的规定。）</w:t>
      </w:r>
    </w:p>
    <w:p>
      <w:pPr>
        <w:autoSpaceDE w:val="0"/>
        <w:autoSpaceDN w:val="0"/>
        <w:adjustRightInd w:val="0"/>
        <w:spacing w:line="360" w:lineRule="auto"/>
        <w:ind w:right="85" w:firstLine="480" w:firstLineChars="200"/>
        <w:rPr>
          <w:rFonts w:hint="eastAsia" w:ascii="宋体" w:cs="宋体"/>
          <w:sz w:val="24"/>
          <w:lang w:val="zh-CN"/>
        </w:rPr>
      </w:pPr>
      <w:r>
        <w:rPr>
          <w:rFonts w:hint="eastAsia" w:ascii="宋体" w:hAnsi="宋体" w:cs="宋体"/>
          <w:sz w:val="24"/>
          <w:lang w:bidi="ar"/>
        </w:rPr>
        <w:t>2.</w:t>
      </w:r>
      <w:r>
        <w:rPr>
          <w:rFonts w:hint="eastAsia" w:ascii="宋体" w:cs="宋体"/>
          <w:sz w:val="24"/>
          <w:lang w:val="zh-CN" w:bidi="ar"/>
        </w:rPr>
        <w:t>政府采购政策及优惠：（1）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小微企业声明函》、“国家企业信用信息公示系统——小微企业名录”页面查询结果（查询时间为投标前一周内，并加盖单位公章）等相关证明材料（评标委员会据此进行核查）、《产品适用政府采购政策情况表》（见附件）；（2）监狱企业参加政府采购活动时，应当提供由省级以上监狱管理局、戒毒管理局（含新疆生产建设兵团）出具的属于监狱企业的证明文件和《产品适用政府采购政策情况表》（见附件），视同小型、微型企业，享受小微企业政府采购优惠政策；（3）残疾人福利性单位在参加政府采购活动时，应提供《残疾人福利性单位声明函》（见附件）和《产品适用政府采购政策情况表》（见附件），视同小型、微型企业，享受小微企业政府采购优惠政策。</w:t>
      </w:r>
    </w:p>
    <w:p>
      <w:pPr>
        <w:autoSpaceDE w:val="0"/>
        <w:autoSpaceDN w:val="0"/>
        <w:adjustRightInd w:val="0"/>
        <w:spacing w:line="360" w:lineRule="auto"/>
        <w:ind w:right="85" w:firstLine="480" w:firstLineChars="200"/>
        <w:rPr>
          <w:rFonts w:hint="eastAsia" w:ascii="宋体" w:hAnsi="宋体" w:cs="宋体"/>
          <w:sz w:val="24"/>
          <w:lang w:val="zh-CN"/>
        </w:rPr>
      </w:pPr>
      <w:r>
        <w:rPr>
          <w:rFonts w:hint="eastAsia" w:ascii="宋体" w:hAnsi="宋体" w:cs="宋体"/>
          <w:sz w:val="24"/>
          <w:lang w:val="zh-CN" w:bidi="ar"/>
        </w:rPr>
        <w:t>具体优惠：对于小型微型企业产品的价格给予</w:t>
      </w:r>
      <w:r>
        <w:rPr>
          <w:rFonts w:hint="eastAsia" w:ascii="宋体" w:hAnsi="宋体" w:cs="宋体"/>
          <w:sz w:val="24"/>
          <w:u w:val="single"/>
          <w:lang w:val="zh-CN" w:bidi="ar"/>
        </w:rPr>
        <w:t>6</w:t>
      </w:r>
      <w:r>
        <w:rPr>
          <w:rFonts w:hint="eastAsia" w:ascii="宋体" w:hAnsi="宋体" w:cs="宋体"/>
          <w:sz w:val="24"/>
          <w:lang w:val="zh-CN" w:bidi="ar"/>
        </w:rPr>
        <w:t>%的扣除，用扣除后的价格计算评审基准价和最后报价。同一供应商（包括联合体），小微企业、监狱企业、残疾人福利性单位价格扣除优惠只享受一次，不得重复享受。未按要求提供材料的，不享受折扣。</w:t>
      </w:r>
    </w:p>
    <w:p>
      <w:pPr>
        <w:spacing w:line="360" w:lineRule="auto"/>
        <w:ind w:firstLine="482" w:firstLineChars="200"/>
        <w:rPr>
          <w:rFonts w:hint="eastAsia" w:ascii="宋体" w:hAnsi="宋体"/>
          <w:b/>
          <w:sz w:val="24"/>
        </w:rPr>
      </w:pPr>
      <w:r>
        <w:rPr>
          <w:rFonts w:hint="eastAsia" w:ascii="宋体" w:hAnsi="宋体"/>
          <w:b/>
          <w:sz w:val="24"/>
          <w:lang w:bidi="ar"/>
        </w:rPr>
        <w:t>（二）</w:t>
      </w:r>
      <w:r>
        <w:rPr>
          <w:rFonts w:hint="eastAsia" w:ascii="宋体" w:hAnsi="宋体"/>
          <w:b/>
          <w:sz w:val="24"/>
        </w:rPr>
        <w:t>商务技术评审（70分）</w:t>
      </w:r>
    </w:p>
    <w:p>
      <w:pPr>
        <w:ind w:firstLine="470" w:firstLineChars="196"/>
        <w:rPr>
          <w:rFonts w:hint="eastAsia" w:ascii="宋体" w:hAnsi="宋体" w:cs="宋体"/>
          <w:sz w:val="24"/>
          <w:lang w:bidi="ar"/>
        </w:rPr>
      </w:pPr>
      <w:r>
        <w:rPr>
          <w:rFonts w:hint="eastAsia" w:ascii="宋体" w:hAnsi="宋体" w:cs="宋体"/>
          <w:sz w:val="24"/>
          <w:lang w:bidi="ar"/>
        </w:rPr>
        <w:t>评标委员会对通过符合性审查的投标人的投标技术参数或方案充分审核后，进行综合评定独立打分。</w:t>
      </w:r>
    </w:p>
    <w:tbl>
      <w:tblPr>
        <w:tblStyle w:val="3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360"/>
        <w:gridCol w:w="6966"/>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noWrap w:val="0"/>
            <w:vAlign w:val="center"/>
          </w:tcPr>
          <w:p>
            <w:pPr>
              <w:widowControl/>
              <w:rPr>
                <w:rFonts w:hint="eastAsia" w:ascii="宋体" w:hAnsi="宋体" w:cs="宋体"/>
                <w:b/>
                <w:sz w:val="24"/>
              </w:rPr>
            </w:pPr>
            <w:r>
              <w:rPr>
                <w:rFonts w:hint="eastAsia" w:ascii="宋体" w:hAnsi="宋体" w:cs="宋体"/>
                <w:b/>
                <w:sz w:val="24"/>
                <w:lang w:bidi="ar"/>
              </w:rPr>
              <w:t>评分项目</w:t>
            </w:r>
          </w:p>
        </w:tc>
        <w:tc>
          <w:tcPr>
            <w:tcW w:w="0" w:type="auto"/>
            <w:gridSpan w:val="2"/>
            <w:noWrap w:val="0"/>
            <w:vAlign w:val="center"/>
          </w:tcPr>
          <w:p>
            <w:pPr>
              <w:widowControl/>
              <w:jc w:val="center"/>
              <w:rPr>
                <w:rFonts w:hint="eastAsia" w:ascii="宋体" w:hAnsi="宋体" w:cs="宋体"/>
                <w:b/>
                <w:sz w:val="24"/>
              </w:rPr>
            </w:pPr>
            <w:r>
              <w:rPr>
                <w:rFonts w:hint="eastAsia" w:ascii="宋体" w:hAnsi="宋体" w:cs="宋体"/>
                <w:b/>
                <w:sz w:val="24"/>
                <w:lang w:bidi="ar"/>
              </w:rPr>
              <w:t>评分内容及细则</w:t>
            </w:r>
          </w:p>
        </w:tc>
        <w:tc>
          <w:tcPr>
            <w:tcW w:w="0" w:type="auto"/>
            <w:noWrap w:val="0"/>
            <w:vAlign w:val="center"/>
          </w:tcPr>
          <w:p>
            <w:pPr>
              <w:widowControl/>
              <w:rPr>
                <w:rFonts w:hint="eastAsia" w:ascii="宋体" w:hAnsi="宋体" w:cs="宋体"/>
                <w:b/>
                <w:sz w:val="24"/>
              </w:rPr>
            </w:pPr>
            <w:r>
              <w:rPr>
                <w:rFonts w:hint="eastAsia" w:ascii="宋体" w:hAnsi="宋体" w:cs="宋体"/>
                <w:b/>
                <w:sz w:val="24"/>
                <w:lang w:bidi="ar"/>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0" w:type="auto"/>
            <w:vMerge w:val="restart"/>
            <w:noWrap w:val="0"/>
            <w:vAlign w:val="center"/>
          </w:tcPr>
          <w:p>
            <w:pPr>
              <w:autoSpaceDE w:val="0"/>
              <w:autoSpaceDN w:val="0"/>
              <w:adjustRightInd w:val="0"/>
              <w:spacing w:line="360" w:lineRule="auto"/>
              <w:textAlignment w:val="bottom"/>
              <w:rPr>
                <w:rFonts w:hint="eastAsia" w:ascii="宋体" w:hAnsi="宋体" w:cs="宋体"/>
                <w:sz w:val="24"/>
              </w:rPr>
            </w:pPr>
            <w:r>
              <w:rPr>
                <w:rFonts w:hint="eastAsia" w:ascii="宋体" w:hAnsi="宋体" w:cs="宋体"/>
                <w:sz w:val="24"/>
                <w:lang w:bidi="ar"/>
              </w:rPr>
              <w:t>资信及运维（18分）</w:t>
            </w:r>
          </w:p>
        </w:tc>
        <w:tc>
          <w:tcPr>
            <w:tcW w:w="0" w:type="auto"/>
            <w:gridSpan w:val="2"/>
            <w:noWrap w:val="0"/>
            <w:vAlign w:val="top"/>
          </w:tcPr>
          <w:p>
            <w:pPr>
              <w:adjustRightInd w:val="0"/>
              <w:spacing w:line="360" w:lineRule="auto"/>
              <w:rPr>
                <w:rFonts w:hint="eastAsia" w:ascii="宋体" w:hAnsi="宋体" w:cs="宋体"/>
                <w:snapToGrid w:val="0"/>
                <w:sz w:val="24"/>
              </w:rPr>
            </w:pPr>
            <w:r>
              <w:rPr>
                <w:rFonts w:hint="eastAsia" w:ascii="宋体" w:hAnsi="宋体" w:cs="宋体"/>
                <w:sz w:val="24"/>
                <w:lang w:bidi="ar"/>
              </w:rPr>
              <w:t>本次投标人自2017年以来</w:t>
            </w:r>
            <w:r>
              <w:rPr>
                <w:rFonts w:hint="eastAsia" w:ascii="宋体" w:hAnsi="宋体" w:cs="宋体"/>
                <w:bCs/>
                <w:kern w:val="0"/>
                <w:sz w:val="24"/>
                <w:lang w:bidi="ar"/>
              </w:rPr>
              <w:t>（以合同签订时间为准）</w:t>
            </w:r>
            <w:r>
              <w:rPr>
                <w:rFonts w:hint="eastAsia" w:ascii="宋体" w:hAnsi="宋体" w:cs="宋体"/>
                <w:sz w:val="24"/>
                <w:lang w:bidi="ar"/>
              </w:rPr>
              <w:t xml:space="preserve">类似项目成功案例，根据各投标人所提供的合同（2个为上限）情况综合打分，每一个得1分，最高得2分。（合同复印件制作在投标文件中，未提供的不得分。）   </w:t>
            </w:r>
          </w:p>
        </w:tc>
        <w:tc>
          <w:tcPr>
            <w:tcW w:w="0" w:type="auto"/>
            <w:noWrap w:val="0"/>
            <w:vAlign w:val="center"/>
          </w:tcPr>
          <w:p>
            <w:pPr>
              <w:widowControl/>
              <w:rPr>
                <w:rFonts w:hint="eastAsia" w:ascii="宋体" w:hAnsi="宋体" w:cs="宋体"/>
                <w:sz w:val="24"/>
              </w:rPr>
            </w:pPr>
            <w:r>
              <w:rPr>
                <w:rFonts w:hint="eastAsia" w:ascii="宋体" w:hAnsi="宋体" w:cs="宋体"/>
                <w:sz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0" w:type="auto"/>
            <w:vMerge w:val="continue"/>
            <w:noWrap w:val="0"/>
            <w:vAlign w:val="center"/>
          </w:tcPr>
          <w:p>
            <w:pPr>
              <w:rPr>
                <w:rFonts w:hint="eastAsia" w:ascii="宋体" w:hAnsi="宋体" w:cs="宋体"/>
                <w:sz w:val="24"/>
              </w:rPr>
            </w:pPr>
          </w:p>
        </w:tc>
        <w:tc>
          <w:tcPr>
            <w:tcW w:w="0" w:type="auto"/>
            <w:gridSpan w:val="2"/>
            <w:noWrap w:val="0"/>
            <w:vAlign w:val="center"/>
          </w:tcPr>
          <w:p>
            <w:pPr>
              <w:adjustRightInd w:val="0"/>
              <w:spacing w:line="360" w:lineRule="auto"/>
              <w:rPr>
                <w:rFonts w:hint="eastAsia" w:ascii="宋体" w:hAnsi="宋体" w:cs="宋体"/>
                <w:snapToGrid w:val="0"/>
                <w:sz w:val="24"/>
              </w:rPr>
            </w:pPr>
            <w:r>
              <w:rPr>
                <w:rFonts w:hint="eastAsia" w:ascii="宋体" w:hAnsi="宋体" w:cs="宋体"/>
                <w:sz w:val="24"/>
                <w:lang w:bidi="ar"/>
              </w:rPr>
              <w:t>根据投标人的服务承诺、服务方案、应急措施等情况及本地化服务能力情况等进行评价，评价优上6分，优中5分，优下4分，评价良4分，评价一般2分，评价差1分。</w:t>
            </w:r>
          </w:p>
        </w:tc>
        <w:tc>
          <w:tcPr>
            <w:tcW w:w="0" w:type="auto"/>
            <w:noWrap w:val="0"/>
            <w:vAlign w:val="center"/>
          </w:tcPr>
          <w:p>
            <w:pPr>
              <w:widowControl/>
              <w:rPr>
                <w:rFonts w:hint="eastAsia" w:ascii="宋体" w:hAnsi="宋体" w:cs="宋体"/>
                <w:sz w:val="24"/>
              </w:rPr>
            </w:pPr>
            <w:r>
              <w:rPr>
                <w:rFonts w:hint="eastAsia" w:ascii="宋体" w:hAnsi="宋体" w:cs="宋体"/>
                <w:sz w:val="24"/>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trPr>
        <w:tc>
          <w:tcPr>
            <w:tcW w:w="0" w:type="auto"/>
            <w:vMerge w:val="continue"/>
            <w:noWrap w:val="0"/>
            <w:vAlign w:val="center"/>
          </w:tcPr>
          <w:p>
            <w:pPr>
              <w:rPr>
                <w:rFonts w:hint="eastAsia" w:ascii="宋体" w:hAnsi="宋体" w:cs="宋体"/>
                <w:sz w:val="24"/>
              </w:rPr>
            </w:pPr>
          </w:p>
        </w:tc>
        <w:tc>
          <w:tcPr>
            <w:tcW w:w="0" w:type="auto"/>
            <w:gridSpan w:val="2"/>
            <w:noWrap w:val="0"/>
            <w:vAlign w:val="center"/>
          </w:tcPr>
          <w:p>
            <w:pPr>
              <w:adjustRightInd w:val="0"/>
              <w:spacing w:line="360" w:lineRule="auto"/>
              <w:rPr>
                <w:rFonts w:hint="eastAsia" w:ascii="宋体" w:hAnsi="宋体" w:cs="宋体"/>
                <w:snapToGrid w:val="0"/>
                <w:sz w:val="24"/>
              </w:rPr>
            </w:pPr>
            <w:r>
              <w:rPr>
                <w:rFonts w:hint="eastAsia" w:ascii="宋体" w:hAnsi="宋体" w:cs="宋体"/>
                <w:sz w:val="24"/>
                <w:lang w:bidi="ar"/>
              </w:rPr>
              <w:t>根据投标人为此次项目提供的五年的运维保障团队的专业素质、技术能力、人员组成、运维方案、巡检周期、配套保障（车辆、设备等）情况综合进行评分。必须提供项目管理团队成员在投标人处的6个月（含）以上社保证明复印件加盖公章，不提供该项不得分；优上10分，优9分，优下8分，良上7分，良6分，良下5分，一般4分，差1分。</w:t>
            </w:r>
          </w:p>
        </w:tc>
        <w:tc>
          <w:tcPr>
            <w:tcW w:w="0" w:type="auto"/>
            <w:noWrap w:val="0"/>
            <w:vAlign w:val="center"/>
          </w:tcPr>
          <w:p>
            <w:pPr>
              <w:widowControl/>
              <w:rPr>
                <w:rFonts w:hint="eastAsia" w:ascii="宋体" w:hAnsi="宋体" w:cs="宋体"/>
                <w:sz w:val="24"/>
              </w:rPr>
            </w:pPr>
            <w:r>
              <w:rPr>
                <w:rFonts w:hint="eastAsia" w:ascii="宋体" w:hAnsi="宋体" w:cs="宋体"/>
                <w:sz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0" w:type="auto"/>
            <w:vMerge w:val="restart"/>
            <w:noWrap w:val="0"/>
            <w:vAlign w:val="center"/>
          </w:tcPr>
          <w:p>
            <w:pPr>
              <w:widowControl/>
              <w:rPr>
                <w:rFonts w:hint="eastAsia" w:ascii="宋体" w:hAnsi="宋体" w:cs="宋体"/>
                <w:sz w:val="24"/>
              </w:rPr>
            </w:pPr>
            <w:r>
              <w:rPr>
                <w:rFonts w:hint="eastAsia" w:ascii="宋体" w:hAnsi="宋体" w:cs="宋体"/>
                <w:sz w:val="24"/>
                <w:lang w:bidi="ar"/>
              </w:rPr>
              <w:t>平台及配置设备情况（31分）</w:t>
            </w:r>
          </w:p>
        </w:tc>
        <w:tc>
          <w:tcPr>
            <w:tcW w:w="1092" w:type="dxa"/>
            <w:noWrap w:val="0"/>
            <w:vAlign w:val="center"/>
          </w:tcPr>
          <w:p>
            <w:pPr>
              <w:adjustRightInd w:val="0"/>
              <w:spacing w:line="360" w:lineRule="auto"/>
              <w:rPr>
                <w:rFonts w:hint="eastAsia" w:ascii="宋体" w:hAnsi="宋体" w:cs="宋体"/>
                <w:sz w:val="24"/>
              </w:rPr>
            </w:pPr>
            <w:r>
              <w:rPr>
                <w:rFonts w:hint="eastAsia" w:ascii="宋体" w:hAnsi="宋体" w:cs="宋体"/>
                <w:sz w:val="24"/>
                <w:lang w:bidi="ar"/>
              </w:rPr>
              <w:t>存储平台</w:t>
            </w:r>
          </w:p>
        </w:tc>
        <w:tc>
          <w:tcPr>
            <w:tcW w:w="6949" w:type="dxa"/>
            <w:noWrap w:val="0"/>
            <w:vAlign w:val="center"/>
          </w:tcPr>
          <w:p>
            <w:pPr>
              <w:adjustRightInd w:val="0"/>
              <w:spacing w:line="360" w:lineRule="auto"/>
              <w:rPr>
                <w:rFonts w:hint="eastAsia" w:ascii="宋体" w:hAnsi="宋体" w:cs="宋体"/>
                <w:sz w:val="24"/>
              </w:rPr>
            </w:pPr>
            <w:r>
              <w:rPr>
                <w:rFonts w:hint="eastAsia" w:ascii="宋体" w:hAnsi="宋体" w:cs="宋体"/>
                <w:sz w:val="24"/>
                <w:lang w:bidi="ar"/>
              </w:rPr>
              <w:t>根据平台架构的科学合理性、接入方案、硬件性能、功能实现、指标参数、亮点特色和响应程度等综合评分。优上11分，优10分，优下9分，良上8分，良7分，良下6分，一般上5分，一般4分，一般下3分，差1分。</w:t>
            </w:r>
          </w:p>
        </w:tc>
        <w:tc>
          <w:tcPr>
            <w:tcW w:w="0" w:type="auto"/>
            <w:noWrap w:val="0"/>
            <w:vAlign w:val="center"/>
          </w:tcPr>
          <w:p>
            <w:pPr>
              <w:widowControl/>
              <w:rPr>
                <w:rFonts w:hint="eastAsia" w:ascii="宋体" w:hAnsi="宋体" w:cs="宋体"/>
                <w:sz w:val="24"/>
              </w:rPr>
            </w:pPr>
            <w:r>
              <w:rPr>
                <w:rFonts w:hint="eastAsia" w:ascii="宋体" w:hAnsi="宋体" w:cs="宋体"/>
                <w:sz w:val="24"/>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0" w:type="auto"/>
            <w:vMerge w:val="continue"/>
            <w:noWrap w:val="0"/>
            <w:vAlign w:val="center"/>
          </w:tcPr>
          <w:p>
            <w:pPr>
              <w:rPr>
                <w:rFonts w:hint="eastAsia" w:ascii="宋体" w:hAnsi="宋体" w:cs="宋体"/>
                <w:sz w:val="24"/>
              </w:rPr>
            </w:pPr>
          </w:p>
        </w:tc>
        <w:tc>
          <w:tcPr>
            <w:tcW w:w="1092" w:type="dxa"/>
            <w:noWrap w:val="0"/>
            <w:vAlign w:val="center"/>
          </w:tcPr>
          <w:p>
            <w:pPr>
              <w:adjustRightInd w:val="0"/>
              <w:spacing w:line="360" w:lineRule="auto"/>
              <w:rPr>
                <w:rFonts w:hint="eastAsia" w:ascii="宋体" w:hAnsi="宋体" w:cs="宋体"/>
                <w:sz w:val="24"/>
              </w:rPr>
            </w:pPr>
            <w:r>
              <w:rPr>
                <w:rFonts w:hint="eastAsia" w:ascii="宋体" w:hAnsi="宋体" w:cs="宋体"/>
                <w:sz w:val="24"/>
                <w:lang w:bidi="ar"/>
              </w:rPr>
              <w:t>人脸分析平台</w:t>
            </w:r>
          </w:p>
        </w:tc>
        <w:tc>
          <w:tcPr>
            <w:tcW w:w="6949" w:type="dxa"/>
            <w:noWrap w:val="0"/>
            <w:vAlign w:val="center"/>
          </w:tcPr>
          <w:p>
            <w:pPr>
              <w:adjustRightInd w:val="0"/>
              <w:spacing w:line="360" w:lineRule="auto"/>
              <w:rPr>
                <w:rFonts w:hint="eastAsia" w:ascii="宋体" w:hAnsi="宋体" w:cs="宋体"/>
                <w:sz w:val="24"/>
              </w:rPr>
            </w:pPr>
            <w:r>
              <w:rPr>
                <w:rFonts w:hint="eastAsia" w:ascii="宋体" w:hAnsi="宋体" w:cs="宋体"/>
                <w:sz w:val="24"/>
                <w:lang w:bidi="ar"/>
              </w:rPr>
              <w:t>根据平台架构的科学合理性、接入方案、硬件性能、功能实现、产品品牌、指标参数、亮点特色、响应程度及配套提供授权服务情况等综合评分。优上12分，优11分，优下10分，良上8分，良7分，良下6分，一般上4分，一般3分，一般下2分，差1分。</w:t>
            </w:r>
          </w:p>
        </w:tc>
        <w:tc>
          <w:tcPr>
            <w:tcW w:w="0" w:type="auto"/>
            <w:noWrap w:val="0"/>
            <w:vAlign w:val="center"/>
          </w:tcPr>
          <w:p>
            <w:pPr>
              <w:widowControl/>
              <w:rPr>
                <w:rFonts w:hint="eastAsia" w:ascii="宋体" w:hAnsi="宋体" w:cs="宋体"/>
                <w:sz w:val="24"/>
              </w:rPr>
            </w:pPr>
            <w:r>
              <w:rPr>
                <w:rFonts w:hint="eastAsia" w:ascii="宋体" w:hAnsi="宋体" w:cs="宋体"/>
                <w:sz w:val="24"/>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0" w:type="auto"/>
            <w:vMerge w:val="continue"/>
            <w:noWrap w:val="0"/>
            <w:vAlign w:val="center"/>
          </w:tcPr>
          <w:p>
            <w:pPr>
              <w:rPr>
                <w:rFonts w:hint="eastAsia" w:ascii="宋体" w:hAnsi="宋体" w:cs="宋体"/>
                <w:sz w:val="24"/>
              </w:rPr>
            </w:pPr>
          </w:p>
        </w:tc>
        <w:tc>
          <w:tcPr>
            <w:tcW w:w="1092" w:type="dxa"/>
            <w:noWrap w:val="0"/>
            <w:vAlign w:val="center"/>
          </w:tcPr>
          <w:p>
            <w:pPr>
              <w:adjustRightInd w:val="0"/>
              <w:spacing w:line="360" w:lineRule="auto"/>
              <w:rPr>
                <w:rFonts w:hint="eastAsia" w:ascii="宋体" w:hAnsi="宋体" w:cs="宋体"/>
                <w:sz w:val="24"/>
              </w:rPr>
            </w:pPr>
            <w:r>
              <w:rPr>
                <w:rFonts w:hint="eastAsia" w:ascii="宋体" w:hAnsi="宋体" w:cs="宋体"/>
                <w:sz w:val="24"/>
                <w:lang w:bidi="ar"/>
              </w:rPr>
              <w:t>网络安全平台</w:t>
            </w:r>
          </w:p>
        </w:tc>
        <w:tc>
          <w:tcPr>
            <w:tcW w:w="6949" w:type="dxa"/>
            <w:noWrap w:val="0"/>
            <w:vAlign w:val="center"/>
          </w:tcPr>
          <w:p>
            <w:pPr>
              <w:adjustRightInd w:val="0"/>
              <w:spacing w:line="360" w:lineRule="auto"/>
              <w:rPr>
                <w:rFonts w:hint="eastAsia" w:ascii="宋体" w:hAnsi="宋体" w:cs="宋体"/>
                <w:sz w:val="24"/>
              </w:rPr>
            </w:pPr>
            <w:r>
              <w:rPr>
                <w:rFonts w:hint="eastAsia" w:ascii="宋体" w:hAnsi="宋体" w:cs="宋体"/>
                <w:sz w:val="24"/>
                <w:lang w:bidi="ar"/>
              </w:rPr>
              <w:t>根据平台架构的科学合理性、接入方案、硬件性能、功能实现、指标参数、亮点特色、响应程度及组成设备的公安部安防产品检测报告等内容综合评分。优5分，良4分，中3分，一般2分，差1分。</w:t>
            </w:r>
          </w:p>
        </w:tc>
        <w:tc>
          <w:tcPr>
            <w:tcW w:w="0" w:type="auto"/>
            <w:noWrap w:val="0"/>
            <w:vAlign w:val="center"/>
          </w:tcPr>
          <w:p>
            <w:pPr>
              <w:widowControl/>
              <w:rPr>
                <w:rFonts w:hint="eastAsia" w:ascii="宋体" w:hAnsi="宋体" w:cs="宋体"/>
                <w:sz w:val="24"/>
              </w:rPr>
            </w:pPr>
            <w:r>
              <w:rPr>
                <w:rFonts w:hint="eastAsia" w:ascii="宋体" w:hAnsi="宋体" w:cs="宋体"/>
                <w:sz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0" w:type="auto"/>
            <w:vMerge w:val="continue"/>
            <w:noWrap w:val="0"/>
            <w:vAlign w:val="center"/>
          </w:tcPr>
          <w:p>
            <w:pPr>
              <w:rPr>
                <w:rFonts w:hint="eastAsia" w:ascii="宋体" w:hAnsi="宋体" w:cs="宋体"/>
                <w:sz w:val="24"/>
              </w:rPr>
            </w:pPr>
          </w:p>
        </w:tc>
        <w:tc>
          <w:tcPr>
            <w:tcW w:w="1092" w:type="dxa"/>
            <w:noWrap w:val="0"/>
            <w:vAlign w:val="center"/>
          </w:tcPr>
          <w:p>
            <w:pPr>
              <w:adjustRightInd w:val="0"/>
              <w:spacing w:line="360" w:lineRule="auto"/>
              <w:rPr>
                <w:rFonts w:hint="eastAsia" w:ascii="宋体" w:hAnsi="宋体" w:cs="宋体"/>
                <w:sz w:val="24"/>
              </w:rPr>
            </w:pPr>
            <w:r>
              <w:rPr>
                <w:rFonts w:hint="eastAsia" w:ascii="宋体" w:hAnsi="宋体" w:cs="宋体"/>
                <w:sz w:val="24"/>
                <w:lang w:bidi="ar"/>
              </w:rPr>
              <w:t>前端采集器</w:t>
            </w:r>
          </w:p>
        </w:tc>
        <w:tc>
          <w:tcPr>
            <w:tcW w:w="6949" w:type="dxa"/>
            <w:noWrap w:val="0"/>
            <w:vAlign w:val="center"/>
          </w:tcPr>
          <w:p>
            <w:pPr>
              <w:adjustRightInd w:val="0"/>
              <w:spacing w:line="360" w:lineRule="auto"/>
              <w:rPr>
                <w:rFonts w:hint="eastAsia" w:ascii="宋体" w:hAnsi="宋体" w:cs="宋体"/>
                <w:sz w:val="24"/>
              </w:rPr>
            </w:pPr>
            <w:r>
              <w:rPr>
                <w:rFonts w:hint="eastAsia" w:ascii="宋体" w:hAnsi="宋体" w:cs="宋体"/>
                <w:sz w:val="24"/>
                <w:lang w:bidi="ar"/>
              </w:rPr>
              <w:t>根据产品指标参数、功能实现、响应程度及公安部安防产品检测报告等内容作综合评分。优2分，良1.5分，中1分，一般0.5分，差0分。</w:t>
            </w:r>
          </w:p>
        </w:tc>
        <w:tc>
          <w:tcPr>
            <w:tcW w:w="0" w:type="auto"/>
            <w:noWrap w:val="0"/>
            <w:vAlign w:val="center"/>
          </w:tcPr>
          <w:p>
            <w:pPr>
              <w:widowControl/>
              <w:rPr>
                <w:rFonts w:hint="eastAsia" w:ascii="宋体" w:hAnsi="宋体" w:cs="宋体"/>
                <w:sz w:val="24"/>
              </w:rPr>
            </w:pPr>
            <w:r>
              <w:rPr>
                <w:rFonts w:hint="eastAsia" w:ascii="宋体" w:hAnsi="宋体" w:cs="宋体"/>
                <w:sz w:val="24"/>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0" w:type="auto"/>
            <w:vMerge w:val="continue"/>
            <w:noWrap w:val="0"/>
            <w:vAlign w:val="center"/>
          </w:tcPr>
          <w:p>
            <w:pPr>
              <w:rPr>
                <w:rFonts w:hint="eastAsia" w:ascii="宋体" w:hAnsi="宋体" w:cs="宋体"/>
                <w:sz w:val="24"/>
              </w:rPr>
            </w:pPr>
          </w:p>
        </w:tc>
        <w:tc>
          <w:tcPr>
            <w:tcW w:w="1092" w:type="dxa"/>
            <w:noWrap w:val="0"/>
            <w:vAlign w:val="center"/>
          </w:tcPr>
          <w:p>
            <w:pPr>
              <w:adjustRightInd w:val="0"/>
              <w:spacing w:line="360" w:lineRule="auto"/>
              <w:rPr>
                <w:rFonts w:hint="eastAsia" w:ascii="宋体" w:hAnsi="宋体" w:cs="宋体"/>
                <w:sz w:val="24"/>
              </w:rPr>
            </w:pPr>
            <w:r>
              <w:rPr>
                <w:rFonts w:hint="eastAsia" w:ascii="宋体" w:hAnsi="宋体" w:cs="宋体"/>
                <w:sz w:val="24"/>
                <w:lang w:bidi="ar"/>
              </w:rPr>
              <w:t>万兆交换设备</w:t>
            </w:r>
          </w:p>
        </w:tc>
        <w:tc>
          <w:tcPr>
            <w:tcW w:w="6949" w:type="dxa"/>
            <w:noWrap w:val="0"/>
            <w:vAlign w:val="center"/>
          </w:tcPr>
          <w:p>
            <w:pPr>
              <w:adjustRightInd w:val="0"/>
              <w:spacing w:line="360" w:lineRule="auto"/>
              <w:rPr>
                <w:rFonts w:hint="eastAsia" w:ascii="宋体" w:hAnsi="宋体" w:cs="宋体"/>
                <w:sz w:val="24"/>
              </w:rPr>
            </w:pPr>
            <w:r>
              <w:rPr>
                <w:rFonts w:hint="eastAsia" w:ascii="宋体" w:hAnsi="宋体" w:cs="宋体"/>
                <w:sz w:val="24"/>
                <w:lang w:bidi="ar"/>
              </w:rPr>
              <w:t>根据产品指标参数、功能实现等作综合评分。优1分，中0.5分，差0分。</w:t>
            </w:r>
          </w:p>
        </w:tc>
        <w:tc>
          <w:tcPr>
            <w:tcW w:w="0" w:type="auto"/>
            <w:noWrap w:val="0"/>
            <w:vAlign w:val="center"/>
          </w:tcPr>
          <w:p>
            <w:pPr>
              <w:widowControl/>
              <w:rPr>
                <w:rFonts w:hint="eastAsia" w:ascii="宋体" w:hAnsi="宋体" w:cs="宋体"/>
                <w:sz w:val="24"/>
              </w:rPr>
            </w:pPr>
            <w:r>
              <w:rPr>
                <w:rFonts w:hint="eastAsia" w:ascii="宋体" w:hAnsi="宋体" w:cs="宋体"/>
                <w:sz w:val="24"/>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0" w:type="auto"/>
            <w:vMerge w:val="restart"/>
            <w:noWrap w:val="0"/>
            <w:vAlign w:val="center"/>
          </w:tcPr>
          <w:p>
            <w:pPr>
              <w:widowControl/>
              <w:jc w:val="center"/>
              <w:rPr>
                <w:rFonts w:hint="eastAsia" w:ascii="宋体" w:hAnsi="宋体" w:cs="宋体"/>
                <w:sz w:val="24"/>
              </w:rPr>
            </w:pPr>
            <w:r>
              <w:rPr>
                <w:rFonts w:hint="eastAsia" w:ascii="宋体" w:hAnsi="宋体" w:cs="宋体"/>
                <w:sz w:val="24"/>
                <w:lang w:bidi="ar"/>
              </w:rPr>
              <w:t>施工组织计划（10分）</w:t>
            </w:r>
          </w:p>
        </w:tc>
        <w:tc>
          <w:tcPr>
            <w:tcW w:w="0" w:type="auto"/>
            <w:gridSpan w:val="2"/>
            <w:noWrap w:val="0"/>
            <w:vAlign w:val="center"/>
          </w:tcPr>
          <w:p>
            <w:pPr>
              <w:adjustRightInd w:val="0"/>
              <w:spacing w:line="360" w:lineRule="auto"/>
              <w:rPr>
                <w:rFonts w:hint="eastAsia" w:ascii="宋体" w:hAnsi="宋体" w:cs="宋体"/>
                <w:sz w:val="24"/>
              </w:rPr>
            </w:pPr>
            <w:r>
              <w:rPr>
                <w:rFonts w:hint="eastAsia" w:ascii="宋体" w:hAnsi="宋体" w:cs="宋体"/>
                <w:sz w:val="24"/>
                <w:lang w:bidi="ar"/>
              </w:rPr>
              <w:t>根据投标人施工方案（包括施工计划、质量保证措施、进度保证措施和环境保证措施等）合理性，进行评价。</w:t>
            </w:r>
            <w:r>
              <w:rPr>
                <w:rFonts w:hint="eastAsia" w:ascii="宋体" w:hAnsi="宋体" w:eastAsia="宋体" w:cs="Times New Roman"/>
                <w:sz w:val="24"/>
                <w:szCs w:val="24"/>
                <w:lang w:val="en-US" w:eastAsia="zh-CN" w:bidi="ar"/>
              </w:rPr>
              <w:t>内容完整、详细的得5分；内容基本完整的得3.5分；内容有明显缺陷的得2分；基本无内容的得0分。</w:t>
            </w:r>
          </w:p>
        </w:tc>
        <w:tc>
          <w:tcPr>
            <w:tcW w:w="0" w:type="auto"/>
            <w:noWrap w:val="0"/>
            <w:vAlign w:val="center"/>
          </w:tcPr>
          <w:p>
            <w:pPr>
              <w:widowControl/>
              <w:rPr>
                <w:rFonts w:hint="eastAsia" w:ascii="宋体" w:hAnsi="宋体" w:cs="宋体"/>
                <w:sz w:val="24"/>
              </w:rPr>
            </w:pPr>
            <w:r>
              <w:rPr>
                <w:rFonts w:hint="eastAsia" w:ascii="宋体" w:hAnsi="宋体" w:cs="宋体"/>
                <w:sz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0" w:type="auto"/>
            <w:vMerge w:val="continue"/>
            <w:noWrap w:val="0"/>
            <w:vAlign w:val="center"/>
          </w:tcPr>
          <w:p>
            <w:pPr>
              <w:rPr>
                <w:rFonts w:hint="eastAsia" w:ascii="宋体" w:hAnsi="宋体" w:cs="宋体"/>
                <w:sz w:val="24"/>
              </w:rPr>
            </w:pPr>
          </w:p>
        </w:tc>
        <w:tc>
          <w:tcPr>
            <w:tcW w:w="0" w:type="auto"/>
            <w:gridSpan w:val="2"/>
            <w:noWrap w:val="0"/>
            <w:vAlign w:val="center"/>
          </w:tcPr>
          <w:p>
            <w:pPr>
              <w:adjustRightInd w:val="0"/>
              <w:spacing w:line="360" w:lineRule="auto"/>
              <w:rPr>
                <w:rFonts w:hint="eastAsia" w:ascii="宋体" w:hAnsi="宋体" w:cs="宋体"/>
                <w:sz w:val="24"/>
              </w:rPr>
            </w:pPr>
            <w:r>
              <w:rPr>
                <w:rFonts w:hint="eastAsia" w:ascii="宋体" w:hAnsi="宋体" w:cs="宋体"/>
                <w:sz w:val="24"/>
                <w:lang w:bidi="ar"/>
              </w:rPr>
              <w:t>根据投标人保障方案和工期安排的合理性进行评价（主要参考投标人提供的施工人员组成、施工机械配备、“项目实施进度计划表”、“项目组织计划表”等相关材料）</w:t>
            </w:r>
            <w:r>
              <w:rPr>
                <w:rFonts w:hint="eastAsia" w:ascii="宋体" w:hAnsi="宋体" w:eastAsia="宋体" w:cs="Times New Roman"/>
                <w:sz w:val="24"/>
                <w:szCs w:val="24"/>
                <w:lang w:val="en-US" w:eastAsia="zh-CN" w:bidi="ar"/>
              </w:rPr>
              <w:t>内容完整、详细的得5分；内容基本完整的得3.5分；内容有明显缺陷的得2分；基本无内容的得0分。</w:t>
            </w:r>
          </w:p>
        </w:tc>
        <w:tc>
          <w:tcPr>
            <w:tcW w:w="0" w:type="auto"/>
            <w:noWrap w:val="0"/>
            <w:vAlign w:val="center"/>
          </w:tcPr>
          <w:p>
            <w:pPr>
              <w:widowControl/>
              <w:rPr>
                <w:rFonts w:hint="eastAsia" w:ascii="宋体" w:hAnsi="宋体" w:cs="宋体"/>
                <w:sz w:val="24"/>
              </w:rPr>
            </w:pPr>
            <w:r>
              <w:rPr>
                <w:rFonts w:hint="eastAsia" w:ascii="宋体" w:hAnsi="宋体" w:cs="宋体"/>
                <w:sz w:val="24"/>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0" w:type="auto"/>
            <w:noWrap w:val="0"/>
            <w:vAlign w:val="center"/>
          </w:tcPr>
          <w:p>
            <w:pPr>
              <w:widowControl/>
              <w:rPr>
                <w:rFonts w:hint="eastAsia" w:ascii="宋体" w:hAnsi="宋体" w:cs="宋体"/>
                <w:sz w:val="24"/>
              </w:rPr>
            </w:pPr>
            <w:r>
              <w:rPr>
                <w:rFonts w:hint="eastAsia" w:ascii="宋体" w:hAnsi="宋体" w:cs="宋体"/>
                <w:sz w:val="24"/>
                <w:lang w:bidi="ar"/>
              </w:rPr>
              <w:t>项目服务优化（6分）</w:t>
            </w:r>
          </w:p>
        </w:tc>
        <w:tc>
          <w:tcPr>
            <w:tcW w:w="0" w:type="auto"/>
            <w:gridSpan w:val="2"/>
            <w:noWrap w:val="0"/>
            <w:vAlign w:val="center"/>
          </w:tcPr>
          <w:p>
            <w:pPr>
              <w:adjustRightInd w:val="0"/>
              <w:spacing w:line="360" w:lineRule="auto"/>
              <w:rPr>
                <w:rFonts w:hint="eastAsia" w:ascii="宋体" w:hAnsi="宋体" w:cs="宋体"/>
                <w:sz w:val="24"/>
              </w:rPr>
            </w:pPr>
            <w:r>
              <w:rPr>
                <w:rFonts w:hint="eastAsia" w:ascii="宋体" w:hAnsi="宋体" w:cs="宋体"/>
                <w:sz w:val="24"/>
                <w:lang w:bidi="ar"/>
              </w:rPr>
              <w:t>根据投标人针对本次招标内容提供的优化、提升服务内容（考虑提供服务的实际作用、可操作性、产品技术先进性等因素），进行综合评分。</w:t>
            </w:r>
            <w:r>
              <w:rPr>
                <w:rFonts w:hint="eastAsia" w:ascii="宋体" w:hAnsi="宋体" w:eastAsia="宋体" w:cs="Times New Roman"/>
                <w:sz w:val="24"/>
                <w:szCs w:val="24"/>
                <w:lang w:val="en-US" w:eastAsia="zh-CN" w:bidi="ar"/>
              </w:rPr>
              <w:t>内容完整、详细的得6分；内容基本完整的得4分；内容有明显缺陷的得2分；基本无内容的得0分。</w:t>
            </w:r>
            <w:r>
              <w:rPr>
                <w:rFonts w:hint="eastAsia" w:ascii="宋体" w:hAnsi="宋体" w:cs="宋体"/>
                <w:sz w:val="24"/>
                <w:lang w:bidi="ar"/>
              </w:rPr>
              <w:t>（所提供服务需出具书面承诺，未提书面承诺的不得分）</w:t>
            </w:r>
          </w:p>
        </w:tc>
        <w:tc>
          <w:tcPr>
            <w:tcW w:w="0" w:type="auto"/>
            <w:noWrap w:val="0"/>
            <w:vAlign w:val="center"/>
          </w:tcPr>
          <w:p>
            <w:pPr>
              <w:widowControl/>
              <w:rPr>
                <w:rFonts w:hint="eastAsia" w:ascii="宋体" w:hAnsi="宋体" w:cs="宋体"/>
                <w:sz w:val="24"/>
              </w:rPr>
            </w:pPr>
            <w:r>
              <w:rPr>
                <w:rFonts w:hint="eastAsia" w:ascii="宋体" w:hAnsi="宋体" w:cs="宋体"/>
                <w:sz w:val="24"/>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trPr>
        <w:tc>
          <w:tcPr>
            <w:tcW w:w="0" w:type="auto"/>
            <w:noWrap w:val="0"/>
            <w:vAlign w:val="center"/>
          </w:tcPr>
          <w:p>
            <w:pPr>
              <w:widowControl/>
              <w:rPr>
                <w:rFonts w:hint="eastAsia" w:ascii="宋体" w:hAnsi="宋体" w:cs="宋体"/>
                <w:sz w:val="24"/>
              </w:rPr>
            </w:pPr>
            <w:r>
              <w:rPr>
                <w:rFonts w:hint="eastAsia" w:ascii="宋体" w:hAnsi="宋体" w:cs="宋体"/>
                <w:sz w:val="24"/>
                <w:lang w:bidi="ar"/>
              </w:rPr>
              <w:t>安全责任保障（5分）</w:t>
            </w:r>
          </w:p>
        </w:tc>
        <w:tc>
          <w:tcPr>
            <w:tcW w:w="0" w:type="auto"/>
            <w:gridSpan w:val="2"/>
            <w:noWrap w:val="0"/>
            <w:vAlign w:val="center"/>
          </w:tcPr>
          <w:p>
            <w:pPr>
              <w:adjustRightInd w:val="0"/>
              <w:spacing w:line="360" w:lineRule="auto"/>
              <w:rPr>
                <w:rFonts w:hint="eastAsia" w:ascii="宋体" w:hAnsi="宋体" w:cs="宋体"/>
                <w:sz w:val="24"/>
              </w:rPr>
            </w:pPr>
            <w:r>
              <w:rPr>
                <w:rFonts w:hint="eastAsia" w:ascii="宋体" w:hAnsi="宋体" w:cs="宋体"/>
                <w:sz w:val="24"/>
                <w:lang w:bidi="ar"/>
              </w:rPr>
              <w:t>根据投标人针对本次招标内容，结合施工和运维，提供的配套安全责任保障，根据安全责任保障内容的实际作用、可操作性等因素，进行综合评分。</w:t>
            </w:r>
            <w:r>
              <w:rPr>
                <w:rFonts w:hint="eastAsia" w:ascii="宋体" w:hAnsi="宋体" w:eastAsia="宋体" w:cs="Times New Roman"/>
                <w:sz w:val="24"/>
                <w:szCs w:val="24"/>
                <w:lang w:val="en-US" w:eastAsia="zh-CN" w:bidi="ar"/>
              </w:rPr>
              <w:t>内容完整、详细的得5分；内容基本完整的得3.5分；内容有明显缺陷的得2分；基本无内容的得0分。</w:t>
            </w:r>
            <w:r>
              <w:rPr>
                <w:rFonts w:hint="eastAsia" w:ascii="宋体" w:hAnsi="宋体" w:cs="宋体"/>
                <w:sz w:val="24"/>
                <w:lang w:bidi="ar"/>
              </w:rPr>
              <w:t>（所提供的安全责任保障需出具书面承诺，未提书面承诺的不得分）</w:t>
            </w:r>
          </w:p>
        </w:tc>
        <w:tc>
          <w:tcPr>
            <w:tcW w:w="0" w:type="auto"/>
            <w:noWrap w:val="0"/>
            <w:vAlign w:val="center"/>
          </w:tcPr>
          <w:p>
            <w:pPr>
              <w:widowControl/>
              <w:rPr>
                <w:rFonts w:hint="eastAsia" w:ascii="宋体" w:hAnsi="宋体" w:cs="宋体"/>
                <w:sz w:val="24"/>
              </w:rPr>
            </w:pPr>
            <w:r>
              <w:rPr>
                <w:rFonts w:hint="eastAsia" w:ascii="宋体" w:hAnsi="宋体" w:cs="宋体"/>
                <w:sz w:val="24"/>
                <w:lang w:bidi="ar"/>
              </w:rPr>
              <w:t>5</w:t>
            </w:r>
          </w:p>
        </w:tc>
      </w:tr>
    </w:tbl>
    <w:p>
      <w:pPr>
        <w:spacing w:before="120" w:beforeLines="50" w:after="120" w:afterLines="50" w:line="400" w:lineRule="exact"/>
        <w:ind w:firstLine="472" w:firstLineChars="196"/>
        <w:rPr>
          <w:rFonts w:ascii="宋体" w:hAnsi="宋体" w:cs="宋体"/>
          <w:b/>
          <w:sz w:val="24"/>
          <w:lang w:bidi="ar"/>
        </w:rPr>
      </w:pPr>
      <w:r>
        <w:rPr>
          <w:rFonts w:hint="eastAsia" w:ascii="宋体" w:hAnsi="宋体" w:cs="宋体"/>
          <w:b/>
          <w:sz w:val="24"/>
          <w:lang w:bidi="ar"/>
        </w:rPr>
        <w:t>备注:投标文件中所提供的复印件均需清晰可见（建议采用原件的扫描件），否则评委作出不利于投标人的评分，由投标人自行负责。</w:t>
      </w:r>
    </w:p>
    <w:p>
      <w:pPr>
        <w:spacing w:before="120" w:beforeLines="50" w:after="120" w:afterLines="50" w:line="400" w:lineRule="exact"/>
        <w:ind w:firstLine="472" w:firstLineChars="196"/>
        <w:rPr>
          <w:rFonts w:hint="eastAsia" w:ascii="宋体" w:hAnsi="宋体" w:cs="宋体"/>
          <w:b/>
          <w:sz w:val="24"/>
        </w:rPr>
      </w:pPr>
      <w:r>
        <w:rPr>
          <w:rFonts w:hint="eastAsia" w:ascii="宋体" w:hAnsi="宋体" w:cs="宋体"/>
          <w:b/>
          <w:sz w:val="24"/>
          <w:lang w:bidi="ar"/>
        </w:rPr>
        <w:t>（三）技术、商务、资信及其他分的计算方式</w:t>
      </w:r>
    </w:p>
    <w:p>
      <w:pPr>
        <w:spacing w:line="440" w:lineRule="exact"/>
        <w:ind w:firstLine="480" w:firstLineChars="200"/>
        <w:rPr>
          <w:rFonts w:hint="eastAsia" w:ascii="宋体" w:hAnsi="宋体" w:cs="宋体"/>
          <w:sz w:val="24"/>
        </w:rPr>
      </w:pPr>
      <w:r>
        <w:rPr>
          <w:rFonts w:hint="eastAsia" w:ascii="宋体" w:hAnsi="宋体" w:cs="宋体"/>
          <w:sz w:val="24"/>
          <w:lang w:bidi="ar"/>
        </w:rPr>
        <w:t>（1）商务技术分按照评标委员会成员的独立评分结果汇总数后的算术平均分计算，计算公式为：</w:t>
      </w:r>
    </w:p>
    <w:p>
      <w:pPr>
        <w:spacing w:line="440" w:lineRule="exact"/>
        <w:ind w:firstLine="495"/>
        <w:rPr>
          <w:rFonts w:hint="eastAsia" w:ascii="宋体" w:hAnsi="宋体" w:cs="宋体"/>
          <w:sz w:val="24"/>
        </w:rPr>
      </w:pPr>
      <w:r>
        <w:rPr>
          <w:rFonts w:hint="eastAsia" w:ascii="宋体" w:hAnsi="宋体" w:cs="宋体"/>
          <w:sz w:val="24"/>
          <w:lang w:bidi="ar"/>
        </w:rPr>
        <w:t>商务技术分=评标委员会所有成员评分合计数/评标委员会组成人员数</w:t>
      </w:r>
    </w:p>
    <w:p>
      <w:pPr>
        <w:pStyle w:val="32"/>
        <w:widowControl w:val="0"/>
        <w:spacing w:before="120" w:beforeLines="50" w:beforeAutospacing="0" w:after="120" w:afterLines="50" w:afterAutospacing="0" w:line="440" w:lineRule="exact"/>
        <w:ind w:firstLine="466" w:firstLineChars="200"/>
        <w:jc w:val="both"/>
        <w:rPr>
          <w:b/>
          <w:color w:val="auto"/>
          <w:szCs w:val="20"/>
        </w:rPr>
      </w:pPr>
      <w:r>
        <w:rPr>
          <w:rFonts w:hint="eastAsia"/>
          <w:b/>
          <w:color w:val="auto"/>
          <w:spacing w:val="-4"/>
          <w:kern w:val="2"/>
          <w:szCs w:val="20"/>
          <w:lang w:bidi="ar"/>
        </w:rPr>
        <w:t>三、投标人义务</w:t>
      </w:r>
    </w:p>
    <w:p>
      <w:pPr>
        <w:pStyle w:val="32"/>
        <w:widowControl w:val="0"/>
        <w:spacing w:before="120" w:beforeLines="50" w:beforeAutospacing="0" w:after="120" w:afterLines="50" w:afterAutospacing="0" w:line="440" w:lineRule="exact"/>
        <w:jc w:val="both"/>
        <w:rPr>
          <w:bCs/>
          <w:color w:val="auto"/>
        </w:rPr>
      </w:pPr>
      <w:r>
        <w:rPr>
          <w:rFonts w:hint="eastAsia"/>
          <w:bCs/>
          <w:color w:val="auto"/>
          <w:spacing w:val="-4"/>
          <w:kern w:val="2"/>
          <w:lang w:bidi="ar"/>
        </w:rPr>
        <w:t>评标期间，投标人应随时随地答复评标委员会的询标，解答包括有关的商务、技术问题等。</w:t>
      </w:r>
    </w:p>
    <w:p>
      <w:pPr>
        <w:jc w:val="center"/>
        <w:rPr>
          <w:rFonts w:hint="eastAsia" w:ascii="宋体" w:hAnsi="宋体" w:cs="宋体"/>
          <w:b/>
          <w:sz w:val="24"/>
        </w:rPr>
      </w:pPr>
      <w:r>
        <w:rPr>
          <w:rFonts w:hint="eastAsia" w:ascii="宋体" w:hAnsi="宋体" w:cs="宋体"/>
          <w:b/>
          <w:sz w:val="30"/>
          <w:szCs w:val="30"/>
          <w:lang w:bidi="ar"/>
        </w:rPr>
        <w:t>采购项目评分索引表</w:t>
      </w:r>
    </w:p>
    <w:p>
      <w:pPr>
        <w:snapToGrid w:val="0"/>
        <w:spacing w:before="100" w:beforeAutospacing="1" w:after="100" w:afterAutospacing="1" w:line="400" w:lineRule="exact"/>
        <w:jc w:val="left"/>
        <w:rPr>
          <w:rFonts w:hint="eastAsia" w:ascii="宋体" w:hAnsi="宋体" w:cs="宋体"/>
          <w:spacing w:val="-4"/>
          <w:sz w:val="24"/>
        </w:rPr>
      </w:pPr>
      <w:r>
        <w:rPr>
          <w:rFonts w:hint="eastAsia" w:ascii="宋体" w:hAnsi="宋体" w:cs="宋体"/>
          <w:b/>
          <w:spacing w:val="-4"/>
          <w:sz w:val="24"/>
          <w:lang w:bidi="ar"/>
        </w:rPr>
        <w:t>（本采购项目评分索引表放在商务技术文件目录的前页，以方便评委进行评审)</w:t>
      </w:r>
    </w:p>
    <w:p>
      <w:pPr>
        <w:snapToGrid w:val="0"/>
        <w:spacing w:before="100" w:beforeAutospacing="1" w:after="100" w:afterAutospacing="1" w:line="400" w:lineRule="exact"/>
        <w:jc w:val="left"/>
        <w:rPr>
          <w:rFonts w:hint="eastAsia" w:ascii="宋体" w:hAnsi="宋体" w:cs="宋体"/>
          <w:b/>
          <w:spacing w:val="-4"/>
          <w:sz w:val="24"/>
          <w:lang w:bidi="ar"/>
        </w:rPr>
      </w:pPr>
      <w:r>
        <w:rPr>
          <w:rFonts w:hint="eastAsia" w:ascii="宋体" w:hAnsi="宋体" w:cs="宋体"/>
          <w:b/>
          <w:spacing w:val="-4"/>
          <w:sz w:val="24"/>
          <w:lang w:bidi="ar"/>
        </w:rPr>
        <w:t>标段号：</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3601"/>
        <w:gridCol w:w="1134"/>
        <w:gridCol w:w="1982"/>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4107"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szCs w:val="21"/>
              </w:rPr>
            </w:pPr>
            <w:r>
              <w:rPr>
                <w:rFonts w:hint="eastAsia" w:ascii="宋体" w:hAnsi="宋体" w:cs="宋体"/>
                <w:sz w:val="21"/>
                <w:szCs w:val="21"/>
                <w:lang w:bidi="ar"/>
              </w:rPr>
              <w:t>评标内容</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szCs w:val="21"/>
              </w:rPr>
            </w:pPr>
            <w:r>
              <w:rPr>
                <w:rFonts w:hint="eastAsia" w:ascii="宋体" w:hAnsi="宋体" w:cs="宋体"/>
                <w:sz w:val="21"/>
                <w:szCs w:val="21"/>
                <w:lang w:bidi="ar"/>
              </w:rPr>
              <w:t>分值</w:t>
            </w:r>
          </w:p>
        </w:tc>
        <w:tc>
          <w:tcPr>
            <w:tcW w:w="19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szCs w:val="21"/>
              </w:rPr>
            </w:pPr>
            <w:r>
              <w:rPr>
                <w:rFonts w:hint="eastAsia" w:ascii="宋体" w:hAnsi="宋体" w:cs="宋体"/>
                <w:sz w:val="21"/>
                <w:szCs w:val="21"/>
                <w:lang w:bidi="ar"/>
              </w:rPr>
              <w:t>供应商</w:t>
            </w:r>
          </w:p>
          <w:p>
            <w:pPr>
              <w:jc w:val="center"/>
              <w:rPr>
                <w:rFonts w:hint="eastAsia" w:ascii="宋体" w:hAnsi="宋体" w:cs="宋体"/>
                <w:szCs w:val="21"/>
              </w:rPr>
            </w:pPr>
            <w:r>
              <w:rPr>
                <w:rFonts w:hint="eastAsia" w:ascii="宋体" w:hAnsi="宋体" w:cs="宋体"/>
                <w:sz w:val="21"/>
                <w:szCs w:val="21"/>
                <w:lang w:bidi="ar"/>
              </w:rPr>
              <w:t>投标文件响应页码</w:t>
            </w:r>
          </w:p>
        </w:tc>
        <w:tc>
          <w:tcPr>
            <w:tcW w:w="17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szCs w:val="21"/>
              </w:rPr>
            </w:pPr>
            <w:r>
              <w:rPr>
                <w:rFonts w:hint="eastAsia" w:ascii="宋体" w:hAnsi="宋体" w:cs="宋体"/>
                <w:sz w:val="21"/>
                <w:szCs w:val="21"/>
                <w:lang w:bidi="ar"/>
              </w:rPr>
              <w:t>需要说明内容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5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Cs/>
                <w:sz w:val="24"/>
              </w:rPr>
            </w:pPr>
            <w:r>
              <w:rPr>
                <w:rFonts w:hint="eastAsia" w:ascii="宋体" w:hAnsi="宋体" w:cs="宋体"/>
                <w:bCs/>
                <w:sz w:val="24"/>
                <w:lang w:bidi="ar"/>
              </w:rPr>
              <w:t>1</w:t>
            </w:r>
          </w:p>
        </w:tc>
        <w:tc>
          <w:tcPr>
            <w:tcW w:w="360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p>
        </w:tc>
        <w:tc>
          <w:tcPr>
            <w:tcW w:w="1982"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bCs/>
                <w:szCs w:val="21"/>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4" w:hRule="atLeast"/>
        </w:trPr>
        <w:tc>
          <w:tcPr>
            <w:tcW w:w="5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Cs/>
                <w:sz w:val="24"/>
              </w:rPr>
            </w:pPr>
            <w:r>
              <w:rPr>
                <w:rFonts w:hint="eastAsia" w:ascii="宋体" w:hAnsi="宋体" w:cs="宋体"/>
                <w:bCs/>
                <w:sz w:val="24"/>
                <w:lang w:bidi="ar"/>
              </w:rPr>
              <w:t>2</w:t>
            </w:r>
          </w:p>
        </w:tc>
        <w:tc>
          <w:tcPr>
            <w:tcW w:w="360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kern w:val="0"/>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p>
        </w:tc>
        <w:tc>
          <w:tcPr>
            <w:tcW w:w="1982"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bCs/>
                <w:szCs w:val="21"/>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trPr>
        <w:tc>
          <w:tcPr>
            <w:tcW w:w="5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Cs/>
                <w:sz w:val="24"/>
              </w:rPr>
            </w:pPr>
            <w:r>
              <w:rPr>
                <w:rFonts w:hint="eastAsia" w:ascii="宋体" w:hAnsi="宋体" w:cs="宋体"/>
                <w:bCs/>
                <w:sz w:val="24"/>
                <w:lang w:bidi="ar"/>
              </w:rPr>
              <w:t>3</w:t>
            </w:r>
          </w:p>
        </w:tc>
        <w:tc>
          <w:tcPr>
            <w:tcW w:w="360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p>
        </w:tc>
        <w:tc>
          <w:tcPr>
            <w:tcW w:w="1982"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bCs/>
                <w:szCs w:val="21"/>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Cs/>
                <w:sz w:val="24"/>
              </w:rPr>
            </w:pPr>
            <w:r>
              <w:rPr>
                <w:rFonts w:hint="eastAsia" w:ascii="宋体" w:hAnsi="宋体" w:cs="宋体"/>
                <w:bCs/>
                <w:sz w:val="24"/>
                <w:lang w:bidi="ar"/>
              </w:rPr>
              <w:t>4</w:t>
            </w:r>
          </w:p>
        </w:tc>
        <w:tc>
          <w:tcPr>
            <w:tcW w:w="360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p>
        </w:tc>
        <w:tc>
          <w:tcPr>
            <w:tcW w:w="1982"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bCs/>
                <w:szCs w:val="21"/>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6" w:hRule="atLeast"/>
        </w:trPr>
        <w:tc>
          <w:tcPr>
            <w:tcW w:w="5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Cs/>
                <w:sz w:val="24"/>
              </w:rPr>
            </w:pPr>
            <w:r>
              <w:rPr>
                <w:rFonts w:hint="eastAsia" w:ascii="宋体" w:hAnsi="宋体" w:cs="宋体"/>
                <w:bCs/>
                <w:sz w:val="24"/>
                <w:lang w:bidi="ar"/>
              </w:rPr>
              <w:t>5</w:t>
            </w:r>
          </w:p>
        </w:tc>
        <w:tc>
          <w:tcPr>
            <w:tcW w:w="360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p>
        </w:tc>
        <w:tc>
          <w:tcPr>
            <w:tcW w:w="1982"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s="宋体"/>
                <w:bCs/>
                <w:szCs w:val="21"/>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0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lang w:bidi="ar"/>
              </w:rPr>
              <w:t>6</w:t>
            </w:r>
          </w:p>
        </w:tc>
        <w:tc>
          <w:tcPr>
            <w:tcW w:w="360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cs="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p>
        </w:tc>
        <w:tc>
          <w:tcPr>
            <w:tcW w:w="1982"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jc w:val="both"/>
              <w:rPr>
                <w:rFonts w:hint="eastAsia" w:cs="宋体"/>
                <w:bCs/>
                <w:color w:val="auto"/>
                <w:szCs w:val="21"/>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pStyle w:val="32"/>
              <w:widowControl w:val="0"/>
              <w:spacing w:before="0" w:beforeAutospacing="0" w:after="0" w:afterAutospacing="0"/>
              <w:jc w:val="both"/>
              <w:rPr>
                <w:rFonts w:hint="eastAsia"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0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lang w:bidi="ar"/>
              </w:rPr>
              <w:t>7</w:t>
            </w:r>
          </w:p>
        </w:tc>
        <w:tc>
          <w:tcPr>
            <w:tcW w:w="360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p>
        </w:tc>
        <w:tc>
          <w:tcPr>
            <w:tcW w:w="1982"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jc w:val="both"/>
              <w:rPr>
                <w:rFonts w:hint="eastAsia" w:cs="宋体"/>
                <w:bCs/>
                <w:color w:val="auto"/>
                <w:szCs w:val="21"/>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pStyle w:val="32"/>
              <w:widowControl w:val="0"/>
              <w:spacing w:before="0" w:beforeAutospacing="0" w:after="0" w:afterAutospacing="0"/>
              <w:rPr>
                <w:rFonts w:hint="eastAsia"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0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lang w:bidi="ar"/>
              </w:rPr>
              <w:t>8</w:t>
            </w:r>
          </w:p>
        </w:tc>
        <w:tc>
          <w:tcPr>
            <w:tcW w:w="3601"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jc w:val="both"/>
              <w:rPr>
                <w:rFonts w:hint="eastAsia" w:cs="宋体"/>
                <w:color w:val="auto"/>
                <w:spacing w:val="-6"/>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p>
        </w:tc>
        <w:tc>
          <w:tcPr>
            <w:tcW w:w="1982"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jc w:val="both"/>
              <w:rPr>
                <w:rFonts w:hint="eastAsia" w:cs="宋体"/>
                <w:bCs/>
                <w:color w:val="auto"/>
                <w:szCs w:val="21"/>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pStyle w:val="32"/>
              <w:widowControl w:val="0"/>
              <w:spacing w:before="0" w:beforeAutospacing="0" w:after="0" w:afterAutospacing="0"/>
              <w:jc w:val="both"/>
              <w:rPr>
                <w:rFonts w:hint="eastAsia"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0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lang w:bidi="ar"/>
              </w:rPr>
              <w:t>9</w:t>
            </w:r>
          </w:p>
        </w:tc>
        <w:tc>
          <w:tcPr>
            <w:tcW w:w="3601"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jc w:val="both"/>
              <w:rPr>
                <w:rFonts w:hint="eastAsia" w:cs="宋体"/>
                <w:color w:val="auto"/>
                <w:spacing w:val="-6"/>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p>
        </w:tc>
        <w:tc>
          <w:tcPr>
            <w:tcW w:w="1982"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jc w:val="both"/>
              <w:rPr>
                <w:rFonts w:hint="eastAsia" w:cs="宋体"/>
                <w:bCs/>
                <w:color w:val="auto"/>
                <w:szCs w:val="21"/>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pStyle w:val="32"/>
              <w:widowControl w:val="0"/>
              <w:spacing w:before="0" w:beforeAutospacing="0" w:after="0" w:afterAutospacing="0"/>
              <w:ind w:firstLine="420"/>
              <w:jc w:val="both"/>
              <w:rPr>
                <w:rFonts w:hint="eastAsia"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0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lang w:bidi="ar"/>
              </w:rPr>
              <w:t>10</w:t>
            </w:r>
          </w:p>
        </w:tc>
        <w:tc>
          <w:tcPr>
            <w:tcW w:w="3601"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ind w:left="114" w:hanging="114" w:hangingChars="50"/>
              <w:jc w:val="both"/>
              <w:rPr>
                <w:rFonts w:hint="eastAsia" w:cs="宋体"/>
                <w:color w:val="auto"/>
                <w:spacing w:val="-6"/>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p>
        </w:tc>
        <w:tc>
          <w:tcPr>
            <w:tcW w:w="1982"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jc w:val="both"/>
              <w:rPr>
                <w:rFonts w:hint="eastAsia" w:cs="宋体"/>
                <w:bCs/>
                <w:color w:val="auto"/>
                <w:szCs w:val="21"/>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pStyle w:val="32"/>
              <w:widowControl w:val="0"/>
              <w:spacing w:before="0" w:beforeAutospacing="0" w:after="0" w:afterAutospacing="0"/>
              <w:jc w:val="both"/>
              <w:rPr>
                <w:rFonts w:hint="eastAsia" w:cs="宋体"/>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50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4"/>
              </w:rPr>
            </w:pPr>
            <w:r>
              <w:rPr>
                <w:rFonts w:hint="eastAsia" w:ascii="宋体" w:hAnsi="宋体" w:cs="宋体"/>
                <w:kern w:val="0"/>
                <w:sz w:val="24"/>
                <w:lang w:bidi="ar"/>
              </w:rPr>
              <w:t>11</w:t>
            </w:r>
          </w:p>
        </w:tc>
        <w:tc>
          <w:tcPr>
            <w:tcW w:w="3601"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ind w:left="114" w:hanging="114" w:hangingChars="50"/>
              <w:jc w:val="both"/>
              <w:rPr>
                <w:rFonts w:hint="eastAsia" w:cs="宋体"/>
                <w:color w:val="auto"/>
                <w:spacing w:val="-6"/>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p>
        </w:tc>
        <w:tc>
          <w:tcPr>
            <w:tcW w:w="1982"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pacing w:before="0" w:beforeAutospacing="0" w:after="0" w:afterAutospacing="0"/>
              <w:jc w:val="both"/>
              <w:rPr>
                <w:rFonts w:hint="eastAsia" w:cs="宋体"/>
                <w:bCs/>
                <w:color w:val="auto"/>
                <w:szCs w:val="21"/>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pStyle w:val="32"/>
              <w:widowControl w:val="0"/>
              <w:spacing w:before="0" w:beforeAutospacing="0" w:after="0" w:afterAutospacing="0"/>
              <w:jc w:val="both"/>
              <w:rPr>
                <w:rFonts w:hint="eastAsia" w:cs="宋体"/>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410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合计</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sz w:val="24"/>
              </w:rPr>
            </w:pPr>
            <w:r>
              <w:rPr>
                <w:rFonts w:hint="eastAsia" w:ascii="宋体" w:hAnsi="宋体" w:cs="宋体"/>
                <w:sz w:val="24"/>
                <w:lang w:bidi="ar"/>
              </w:rPr>
              <w:t>70分</w:t>
            </w:r>
          </w:p>
        </w:tc>
        <w:tc>
          <w:tcPr>
            <w:tcW w:w="1982" w:type="dxa"/>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cs="宋体"/>
                <w:bCs/>
                <w:szCs w:val="21"/>
                <w:lang w:val="zh-CN"/>
              </w:rPr>
            </w:pPr>
          </w:p>
        </w:tc>
        <w:tc>
          <w:tcPr>
            <w:tcW w:w="1700" w:type="dxa"/>
            <w:tcBorders>
              <w:top w:val="single" w:color="auto" w:sz="4" w:space="0"/>
              <w:left w:val="single" w:color="auto" w:sz="4" w:space="0"/>
              <w:bottom w:val="single" w:color="auto" w:sz="4" w:space="0"/>
              <w:right w:val="single" w:color="auto" w:sz="4" w:space="0"/>
            </w:tcBorders>
            <w:noWrap w:val="0"/>
            <w:vAlign w:val="top"/>
          </w:tcPr>
          <w:p>
            <w:pPr>
              <w:snapToGrid w:val="0"/>
              <w:rPr>
                <w:rFonts w:hint="eastAsia" w:ascii="宋体" w:hAnsi="宋体" w:cs="宋体"/>
                <w:bCs/>
                <w:szCs w:val="21"/>
                <w:lang w:val="zh-CN"/>
              </w:rPr>
            </w:pPr>
          </w:p>
        </w:tc>
      </w:tr>
    </w:tbl>
    <w:p>
      <w:pPr>
        <w:pStyle w:val="25"/>
        <w:spacing w:line="360" w:lineRule="auto"/>
        <w:rPr>
          <w:rFonts w:ascii="黑体" w:eastAsia="黑体"/>
          <w:b/>
          <w:sz w:val="32"/>
          <w:szCs w:val="32"/>
        </w:rPr>
      </w:pPr>
      <w:r>
        <w:rPr>
          <w:rFonts w:ascii="宋体" w:hAnsi="宋体"/>
          <w:kern w:val="0"/>
          <w:sz w:val="24"/>
        </w:rPr>
        <w:br w:type="page"/>
      </w:r>
      <w:r>
        <w:rPr>
          <w:rFonts w:ascii="宋体" w:hAnsi="宋体"/>
          <w:sz w:val="32"/>
        </w:rPr>
        <w:t xml:space="preserve"> </w:t>
      </w:r>
      <w:bookmarkStart w:id="375" w:name="_Toc517158299"/>
      <w:bookmarkStart w:id="376" w:name="_Toc31340_WPSOffice_Level1"/>
      <w:bookmarkStart w:id="377" w:name="第五章"/>
      <w:r>
        <w:rPr>
          <w:rFonts w:hint="eastAsia" w:ascii="黑体" w:eastAsia="黑体"/>
          <w:b/>
          <w:sz w:val="32"/>
          <w:szCs w:val="32"/>
        </w:rPr>
        <w:t>第五章 合同格式（仅参考）</w:t>
      </w:r>
      <w:bookmarkEnd w:id="375"/>
      <w:bookmarkEnd w:id="376"/>
      <w:bookmarkEnd w:id="377"/>
    </w:p>
    <w:p>
      <w:pPr>
        <w:pStyle w:val="32"/>
        <w:widowControl w:val="0"/>
        <w:snapToGrid w:val="0"/>
        <w:spacing w:before="120" w:beforeLines="50" w:beforeAutospacing="0" w:after="0" w:afterAutospacing="0" w:line="480" w:lineRule="exact"/>
        <w:jc w:val="both"/>
        <w:rPr>
          <w:color w:val="auto"/>
        </w:rPr>
      </w:pPr>
      <w:bookmarkStart w:id="378" w:name="_Toc25861_WPSOffice_Level1"/>
      <w:bookmarkStart w:id="379" w:name="第六章"/>
      <w:r>
        <w:rPr>
          <w:rFonts w:hint="eastAsia"/>
          <w:color w:val="auto"/>
          <w:lang w:bidi="ar"/>
        </w:rPr>
        <w:t>项目名称：                                  项目编号：</w:t>
      </w:r>
    </w:p>
    <w:p>
      <w:pPr>
        <w:pStyle w:val="32"/>
        <w:widowControl w:val="0"/>
        <w:snapToGrid w:val="0"/>
        <w:spacing w:before="120" w:beforeLines="50" w:beforeAutospacing="0" w:after="0" w:afterAutospacing="0" w:line="480" w:lineRule="exact"/>
        <w:jc w:val="both"/>
        <w:rPr>
          <w:color w:val="auto"/>
        </w:rPr>
      </w:pPr>
      <w:r>
        <w:rPr>
          <w:rFonts w:hint="eastAsia"/>
          <w:color w:val="auto"/>
          <w:lang w:bidi="ar"/>
        </w:rPr>
        <w:t>甲方：（买方）                              乙方：（卖方）</w:t>
      </w:r>
    </w:p>
    <w:p>
      <w:pPr>
        <w:pStyle w:val="32"/>
        <w:widowControl w:val="0"/>
        <w:snapToGrid w:val="0"/>
        <w:spacing w:before="120" w:beforeLines="50" w:beforeAutospacing="0" w:after="0" w:afterAutospacing="0" w:line="480" w:lineRule="exact"/>
        <w:jc w:val="both"/>
        <w:rPr>
          <w:b/>
          <w:color w:val="auto"/>
        </w:rPr>
      </w:pPr>
      <w:r>
        <w:rPr>
          <w:rFonts w:hint="eastAsia"/>
          <w:color w:val="auto"/>
          <w:lang w:bidi="ar"/>
        </w:rPr>
        <w:t>鉴证方：浙江天平投资咨询有限公司</w:t>
      </w:r>
    </w:p>
    <w:p>
      <w:pPr>
        <w:pStyle w:val="32"/>
        <w:widowControl w:val="0"/>
        <w:snapToGrid w:val="0"/>
        <w:spacing w:before="120" w:beforeLines="50" w:beforeAutospacing="0" w:after="0" w:afterAutospacing="0" w:line="480" w:lineRule="exact"/>
        <w:ind w:firstLine="480" w:firstLineChars="200"/>
        <w:jc w:val="both"/>
        <w:rPr>
          <w:b/>
          <w:color w:val="auto"/>
        </w:rPr>
      </w:pPr>
      <w:r>
        <w:rPr>
          <w:rFonts w:hint="eastAsia"/>
          <w:color w:val="auto"/>
          <w:lang w:bidi="ar"/>
        </w:rPr>
        <w:t>甲、乙双方根据《中华人民共和国政府采购法》、《中华人民共和国合同法》和_______________________项目招标文件的相关规定，双方达成一致签署本合同。</w:t>
      </w:r>
    </w:p>
    <w:p>
      <w:pPr>
        <w:pStyle w:val="32"/>
        <w:widowControl w:val="0"/>
        <w:snapToGrid w:val="0"/>
        <w:spacing w:before="120" w:beforeLines="50" w:beforeAutospacing="0" w:after="0" w:afterAutospacing="0" w:line="480" w:lineRule="exact"/>
        <w:jc w:val="both"/>
        <w:rPr>
          <w:b/>
          <w:color w:val="auto"/>
        </w:rPr>
      </w:pPr>
      <w:r>
        <w:rPr>
          <w:rFonts w:hint="eastAsia"/>
          <w:b/>
          <w:color w:val="auto"/>
          <w:lang w:bidi="ar"/>
        </w:rPr>
        <w:t>一、货物内容</w:t>
      </w:r>
    </w:p>
    <w:p>
      <w:pPr>
        <w:pStyle w:val="32"/>
        <w:widowControl w:val="0"/>
        <w:snapToGrid w:val="0"/>
        <w:spacing w:before="120" w:beforeLines="50" w:beforeAutospacing="0" w:after="0" w:afterAutospacing="0" w:line="480" w:lineRule="exact"/>
        <w:jc w:val="both"/>
        <w:rPr>
          <w:color w:val="auto"/>
        </w:rPr>
      </w:pPr>
      <w:r>
        <w:rPr>
          <w:rFonts w:hint="eastAsia"/>
          <w:color w:val="auto"/>
          <w:lang w:bidi="ar"/>
        </w:rPr>
        <w:t>1. 货物名称：</w:t>
      </w:r>
    </w:p>
    <w:p>
      <w:pPr>
        <w:pStyle w:val="32"/>
        <w:widowControl w:val="0"/>
        <w:snapToGrid w:val="0"/>
        <w:spacing w:before="120" w:beforeLines="50" w:beforeAutospacing="0" w:after="0" w:afterAutospacing="0" w:line="480" w:lineRule="exact"/>
        <w:jc w:val="both"/>
        <w:rPr>
          <w:color w:val="auto"/>
        </w:rPr>
      </w:pPr>
      <w:r>
        <w:rPr>
          <w:rFonts w:hint="eastAsia"/>
          <w:color w:val="auto"/>
          <w:lang w:bidi="ar"/>
        </w:rPr>
        <w:t>2. 型号规格：</w:t>
      </w:r>
    </w:p>
    <w:p>
      <w:pPr>
        <w:pStyle w:val="32"/>
        <w:widowControl w:val="0"/>
        <w:snapToGrid w:val="0"/>
        <w:spacing w:before="120" w:beforeLines="50" w:beforeAutospacing="0" w:after="0" w:afterAutospacing="0" w:line="480" w:lineRule="exact"/>
        <w:jc w:val="both"/>
        <w:rPr>
          <w:color w:val="auto"/>
        </w:rPr>
      </w:pPr>
      <w:r>
        <w:rPr>
          <w:rFonts w:hint="eastAsia"/>
          <w:color w:val="auto"/>
          <w:lang w:bidi="ar"/>
        </w:rPr>
        <w:t>3. 技术参数：</w:t>
      </w:r>
    </w:p>
    <w:p>
      <w:pPr>
        <w:pStyle w:val="32"/>
        <w:widowControl w:val="0"/>
        <w:snapToGrid w:val="0"/>
        <w:spacing w:before="120" w:beforeLines="50" w:beforeAutospacing="0" w:after="0" w:afterAutospacing="0" w:line="480" w:lineRule="exact"/>
        <w:jc w:val="both"/>
        <w:rPr>
          <w:color w:val="auto"/>
        </w:rPr>
      </w:pPr>
      <w:r>
        <w:rPr>
          <w:rFonts w:hint="eastAsia"/>
          <w:color w:val="auto"/>
          <w:lang w:bidi="ar"/>
        </w:rPr>
        <w:t>4. 数量（单位）：</w:t>
      </w:r>
    </w:p>
    <w:p>
      <w:pPr>
        <w:pStyle w:val="32"/>
        <w:widowControl w:val="0"/>
        <w:snapToGrid w:val="0"/>
        <w:spacing w:before="120" w:beforeLines="50" w:beforeAutospacing="0" w:after="0" w:afterAutospacing="0" w:line="480" w:lineRule="exact"/>
        <w:jc w:val="both"/>
        <w:rPr>
          <w:b/>
          <w:color w:val="auto"/>
        </w:rPr>
      </w:pPr>
      <w:r>
        <w:rPr>
          <w:rFonts w:hint="eastAsia"/>
          <w:b/>
          <w:color w:val="auto"/>
          <w:lang w:bidi="ar"/>
        </w:rPr>
        <w:t>二、合同金额</w:t>
      </w:r>
    </w:p>
    <w:p>
      <w:pPr>
        <w:pStyle w:val="32"/>
        <w:widowControl w:val="0"/>
        <w:snapToGrid w:val="0"/>
        <w:spacing w:before="120" w:beforeLines="50" w:beforeAutospacing="0" w:after="0" w:afterAutospacing="0" w:line="480" w:lineRule="exact"/>
        <w:jc w:val="both"/>
        <w:rPr>
          <w:b/>
          <w:color w:val="auto"/>
        </w:rPr>
      </w:pPr>
      <w:r>
        <w:rPr>
          <w:rFonts w:hint="eastAsia"/>
          <w:color w:val="auto"/>
          <w:lang w:bidi="ar"/>
        </w:rPr>
        <w:t>本合同金额为（大写）：_____________________________元（￥_____元）人民币。</w:t>
      </w:r>
    </w:p>
    <w:p>
      <w:pPr>
        <w:pStyle w:val="32"/>
        <w:widowControl w:val="0"/>
        <w:snapToGrid w:val="0"/>
        <w:spacing w:before="120" w:beforeLines="50" w:beforeAutospacing="0" w:after="0" w:afterAutospacing="0" w:line="480" w:lineRule="exact"/>
        <w:jc w:val="both"/>
        <w:rPr>
          <w:b/>
          <w:color w:val="auto"/>
        </w:rPr>
      </w:pPr>
      <w:r>
        <w:rPr>
          <w:rFonts w:hint="eastAsia"/>
          <w:b/>
          <w:color w:val="auto"/>
          <w:lang w:bidi="ar"/>
        </w:rPr>
        <w:t>三、技术资料</w:t>
      </w:r>
    </w:p>
    <w:p>
      <w:pPr>
        <w:pStyle w:val="32"/>
        <w:widowControl w:val="0"/>
        <w:snapToGrid w:val="0"/>
        <w:spacing w:before="120" w:beforeLines="50" w:beforeAutospacing="0" w:after="0" w:afterAutospacing="0" w:line="480" w:lineRule="exact"/>
        <w:ind w:left="410" w:hanging="410" w:hangingChars="171"/>
        <w:jc w:val="both"/>
        <w:rPr>
          <w:color w:val="auto"/>
        </w:rPr>
      </w:pPr>
      <w:r>
        <w:rPr>
          <w:rFonts w:hint="eastAsia"/>
          <w:color w:val="auto"/>
          <w:lang w:bidi="ar"/>
        </w:rPr>
        <w:t>1.乙方应按招标文件规定的时间向甲方提供使用货物的有关技术资料。</w:t>
      </w:r>
    </w:p>
    <w:p>
      <w:pPr>
        <w:pStyle w:val="32"/>
        <w:widowControl w:val="0"/>
        <w:snapToGrid w:val="0"/>
        <w:spacing w:before="120" w:beforeLines="50" w:beforeAutospacing="0" w:after="0" w:afterAutospacing="0" w:line="480" w:lineRule="exact"/>
        <w:jc w:val="both"/>
        <w:rPr>
          <w:color w:val="auto"/>
        </w:rPr>
      </w:pPr>
      <w:r>
        <w:rPr>
          <w:rFonts w:hint="eastAsia"/>
          <w:color w:val="auto"/>
          <w:lang w:bidi="ar"/>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32"/>
        <w:widowControl w:val="0"/>
        <w:snapToGrid w:val="0"/>
        <w:spacing w:before="120" w:beforeLines="50" w:beforeAutospacing="0" w:after="0" w:afterAutospacing="0" w:line="480" w:lineRule="exact"/>
        <w:ind w:left="412" w:hanging="412" w:hangingChars="171"/>
        <w:jc w:val="both"/>
        <w:rPr>
          <w:b/>
          <w:color w:val="auto"/>
        </w:rPr>
      </w:pPr>
      <w:r>
        <w:rPr>
          <w:rFonts w:hint="eastAsia"/>
          <w:b/>
          <w:color w:val="auto"/>
          <w:lang w:bidi="ar"/>
        </w:rPr>
        <w:t>四、知识产权</w:t>
      </w:r>
    </w:p>
    <w:p>
      <w:pPr>
        <w:pStyle w:val="32"/>
        <w:widowControl w:val="0"/>
        <w:snapToGrid w:val="0"/>
        <w:spacing w:before="120" w:beforeLines="50" w:beforeAutospacing="0" w:after="0" w:afterAutospacing="0" w:line="480" w:lineRule="exact"/>
        <w:jc w:val="both"/>
        <w:rPr>
          <w:bCs/>
          <w:color w:val="auto"/>
        </w:rPr>
      </w:pPr>
      <w:r>
        <w:rPr>
          <w:rFonts w:hint="eastAsia"/>
          <w:color w:val="auto"/>
          <w:lang w:bidi="ar"/>
        </w:rPr>
        <w:t>乙方应保证所提供的货物或其任何一部分均不会侵犯任何第三方的知识产权</w:t>
      </w:r>
      <w:r>
        <w:rPr>
          <w:rFonts w:hint="eastAsia"/>
          <w:bCs/>
          <w:color w:val="auto"/>
          <w:lang w:bidi="ar"/>
        </w:rPr>
        <w:t>。</w:t>
      </w:r>
    </w:p>
    <w:p>
      <w:pPr>
        <w:pStyle w:val="32"/>
        <w:widowControl w:val="0"/>
        <w:snapToGrid w:val="0"/>
        <w:spacing w:before="120" w:beforeLines="50" w:beforeAutospacing="0" w:after="0" w:afterAutospacing="0" w:line="480" w:lineRule="exact"/>
        <w:jc w:val="both"/>
        <w:rPr>
          <w:color w:val="auto"/>
          <w:u w:val="single"/>
        </w:rPr>
      </w:pPr>
      <w:r>
        <w:rPr>
          <w:rFonts w:hint="eastAsia"/>
          <w:b/>
          <w:color w:val="auto"/>
          <w:lang w:bidi="ar"/>
        </w:rPr>
        <w:t>五、产权担保</w:t>
      </w:r>
    </w:p>
    <w:p>
      <w:pPr>
        <w:pStyle w:val="32"/>
        <w:widowControl w:val="0"/>
        <w:snapToGrid w:val="0"/>
        <w:spacing w:before="120" w:beforeLines="50" w:beforeAutospacing="0" w:after="0" w:afterAutospacing="0" w:line="480" w:lineRule="exact"/>
        <w:ind w:left="408" w:hanging="408" w:hangingChars="170"/>
        <w:jc w:val="both"/>
        <w:rPr>
          <w:color w:val="auto"/>
          <w:u w:val="single"/>
        </w:rPr>
      </w:pPr>
      <w:r>
        <w:rPr>
          <w:rFonts w:hint="eastAsia"/>
          <w:color w:val="auto"/>
          <w:lang w:bidi="ar"/>
        </w:rPr>
        <w:t>乙方保证所交付的货物的所有权完全属于乙方且无任何抵押、查封等产权瑕疵。</w:t>
      </w:r>
    </w:p>
    <w:p>
      <w:pPr>
        <w:pStyle w:val="32"/>
        <w:widowControl w:val="0"/>
        <w:snapToGrid w:val="0"/>
        <w:spacing w:before="120" w:beforeLines="50" w:beforeAutospacing="0" w:after="0" w:afterAutospacing="0" w:line="480" w:lineRule="exact"/>
        <w:ind w:left="410" w:hanging="410" w:hangingChars="170"/>
        <w:jc w:val="both"/>
        <w:rPr>
          <w:b/>
          <w:color w:val="auto"/>
        </w:rPr>
      </w:pPr>
      <w:r>
        <w:rPr>
          <w:rFonts w:hint="eastAsia"/>
          <w:b/>
          <w:color w:val="auto"/>
          <w:lang w:bidi="ar"/>
        </w:rPr>
        <w:t>六、履约保证金</w:t>
      </w:r>
    </w:p>
    <w:p>
      <w:pPr>
        <w:pStyle w:val="32"/>
        <w:widowControl w:val="0"/>
        <w:snapToGrid w:val="0"/>
        <w:spacing w:before="120" w:beforeLines="50" w:beforeAutospacing="0" w:after="0" w:afterAutospacing="0" w:line="480" w:lineRule="exact"/>
        <w:ind w:left="408" w:hanging="408" w:hangingChars="170"/>
        <w:jc w:val="both"/>
        <w:rPr>
          <w:color w:val="auto"/>
        </w:rPr>
      </w:pPr>
      <w:r>
        <w:rPr>
          <w:rFonts w:hint="eastAsia"/>
          <w:color w:val="auto"/>
          <w:lang w:bidi="ar"/>
        </w:rPr>
        <w:t>乙方交纳</w:t>
      </w:r>
      <w:r>
        <w:rPr>
          <w:rFonts w:hint="eastAsia"/>
          <w:color w:val="auto"/>
          <w:u w:val="single"/>
          <w:lang w:bidi="ar"/>
        </w:rPr>
        <w:t xml:space="preserve">      </w:t>
      </w:r>
      <w:r>
        <w:rPr>
          <w:rFonts w:hint="eastAsia"/>
          <w:color w:val="auto"/>
          <w:lang w:bidi="ar"/>
        </w:rPr>
        <w:t>元作为本合同的履约保证金。</w:t>
      </w:r>
    </w:p>
    <w:p>
      <w:pPr>
        <w:spacing w:line="480" w:lineRule="exact"/>
        <w:rPr>
          <w:rFonts w:hint="eastAsia" w:ascii="宋体" w:hAnsi="宋体" w:cs="宋体"/>
          <w:b/>
          <w:sz w:val="24"/>
        </w:rPr>
      </w:pPr>
      <w:r>
        <w:rPr>
          <w:rFonts w:hint="eastAsia" w:ascii="宋体" w:hAnsi="宋体" w:cs="宋体"/>
          <w:b/>
          <w:sz w:val="24"/>
          <w:lang w:bidi="ar"/>
        </w:rPr>
        <w:t>七、转包或分包</w:t>
      </w:r>
    </w:p>
    <w:p>
      <w:pPr>
        <w:spacing w:line="480" w:lineRule="exact"/>
        <w:rPr>
          <w:rFonts w:hint="eastAsia" w:ascii="宋体" w:hAnsi="宋体" w:cs="宋体"/>
          <w:sz w:val="24"/>
        </w:rPr>
      </w:pPr>
      <w:r>
        <w:rPr>
          <w:rFonts w:hint="eastAsia" w:ascii="宋体" w:hAnsi="宋体" w:cs="宋体"/>
          <w:sz w:val="24"/>
          <w:lang w:bidi="ar"/>
        </w:rPr>
        <w:t>1.本合同范围的货物，应由乙方直接供应，不得转让他人供应；</w:t>
      </w:r>
    </w:p>
    <w:p>
      <w:pPr>
        <w:spacing w:line="480" w:lineRule="exact"/>
        <w:rPr>
          <w:rFonts w:hint="eastAsia" w:ascii="宋体" w:hAnsi="宋体" w:cs="宋体"/>
          <w:sz w:val="24"/>
        </w:rPr>
      </w:pPr>
      <w:r>
        <w:rPr>
          <w:rFonts w:hint="eastAsia" w:ascii="宋体" w:hAnsi="宋体" w:cs="宋体"/>
          <w:sz w:val="24"/>
          <w:lang w:bidi="ar"/>
        </w:rPr>
        <w:t>2.除非得到甲方的书面同意，乙方不得将本合同范围的货物全部或部分分包给他人供应；</w:t>
      </w:r>
    </w:p>
    <w:p>
      <w:pPr>
        <w:spacing w:line="480" w:lineRule="exact"/>
        <w:rPr>
          <w:rFonts w:hint="eastAsia" w:ascii="宋体" w:hAnsi="宋体" w:cs="宋体"/>
          <w:sz w:val="24"/>
        </w:rPr>
      </w:pPr>
      <w:r>
        <w:rPr>
          <w:rFonts w:hint="eastAsia" w:ascii="宋体" w:hAnsi="宋体" w:cs="宋体"/>
          <w:sz w:val="24"/>
          <w:lang w:bidi="ar"/>
        </w:rPr>
        <w:t>3.如有转让和未经甲方同意的分包行为，甲方有权解除合同，履约保证金不予退回并追究乙方的违约责任。</w:t>
      </w:r>
    </w:p>
    <w:p>
      <w:pPr>
        <w:pStyle w:val="32"/>
        <w:widowControl w:val="0"/>
        <w:snapToGrid w:val="0"/>
        <w:spacing w:before="120" w:beforeLines="50" w:beforeAutospacing="0" w:after="0" w:afterAutospacing="0" w:line="480" w:lineRule="exact"/>
        <w:jc w:val="both"/>
        <w:rPr>
          <w:color w:val="auto"/>
        </w:rPr>
      </w:pPr>
      <w:r>
        <w:rPr>
          <w:rFonts w:hint="eastAsia"/>
          <w:b/>
          <w:color w:val="auto"/>
          <w:lang w:bidi="ar"/>
        </w:rPr>
        <w:t>八、保修期和质保金</w:t>
      </w:r>
    </w:p>
    <w:p>
      <w:pPr>
        <w:pStyle w:val="32"/>
        <w:widowControl w:val="0"/>
        <w:snapToGrid w:val="0"/>
        <w:spacing w:before="120" w:beforeLines="50" w:beforeAutospacing="0" w:after="0" w:afterAutospacing="0" w:line="480" w:lineRule="exact"/>
        <w:ind w:left="410" w:hanging="410" w:hangingChars="171"/>
        <w:jc w:val="both"/>
        <w:rPr>
          <w:color w:val="auto"/>
        </w:rPr>
      </w:pPr>
      <w:r>
        <w:rPr>
          <w:rFonts w:hint="eastAsia"/>
          <w:color w:val="auto"/>
          <w:lang w:bidi="ar"/>
        </w:rPr>
        <w:t>1.保修期</w:t>
      </w:r>
      <w:r>
        <w:rPr>
          <w:rFonts w:hint="eastAsia"/>
          <w:color w:val="auto"/>
          <w:u w:val="single"/>
          <w:lang w:bidi="ar"/>
        </w:rPr>
        <w:t xml:space="preserve">    </w:t>
      </w:r>
      <w:r>
        <w:rPr>
          <w:rFonts w:hint="eastAsia"/>
          <w:color w:val="auto"/>
          <w:lang w:bidi="ar"/>
        </w:rPr>
        <w:t>年。（自交货验收合格之日起计）</w:t>
      </w:r>
    </w:p>
    <w:p>
      <w:pPr>
        <w:pStyle w:val="32"/>
        <w:widowControl w:val="0"/>
        <w:snapToGrid w:val="0"/>
        <w:spacing w:before="120" w:beforeLines="50" w:beforeAutospacing="0" w:after="0" w:afterAutospacing="0" w:line="480" w:lineRule="exact"/>
        <w:ind w:left="410" w:hanging="410" w:hangingChars="171"/>
        <w:jc w:val="both"/>
        <w:rPr>
          <w:color w:val="auto"/>
        </w:rPr>
      </w:pPr>
      <w:r>
        <w:rPr>
          <w:rFonts w:hint="eastAsia"/>
          <w:color w:val="auto"/>
          <w:lang w:bidi="ar"/>
        </w:rPr>
        <w:t>2.保修金。</w:t>
      </w:r>
    </w:p>
    <w:p>
      <w:pPr>
        <w:pStyle w:val="32"/>
        <w:widowControl w:val="0"/>
        <w:snapToGrid w:val="0"/>
        <w:spacing w:before="120" w:beforeLines="50" w:beforeAutospacing="0" w:after="0" w:afterAutospacing="0" w:line="480" w:lineRule="exact"/>
        <w:jc w:val="both"/>
        <w:rPr>
          <w:b/>
          <w:color w:val="auto"/>
        </w:rPr>
      </w:pPr>
      <w:r>
        <w:rPr>
          <w:rFonts w:hint="eastAsia"/>
          <w:b/>
          <w:color w:val="auto"/>
          <w:lang w:bidi="ar"/>
        </w:rPr>
        <w:t>九、交货期、交货方式及交货地点</w:t>
      </w:r>
    </w:p>
    <w:p>
      <w:pPr>
        <w:pStyle w:val="32"/>
        <w:widowControl w:val="0"/>
        <w:snapToGrid w:val="0"/>
        <w:spacing w:before="120" w:beforeLines="50" w:beforeAutospacing="0" w:after="0" w:afterAutospacing="0" w:line="480" w:lineRule="exact"/>
        <w:jc w:val="both"/>
        <w:rPr>
          <w:bCs/>
          <w:color w:val="auto"/>
        </w:rPr>
      </w:pPr>
      <w:r>
        <w:rPr>
          <w:rFonts w:hint="eastAsia"/>
          <w:bCs/>
          <w:color w:val="auto"/>
          <w:lang w:bidi="ar"/>
        </w:rPr>
        <w:t>1. 交货期：</w:t>
      </w:r>
    </w:p>
    <w:p>
      <w:pPr>
        <w:pStyle w:val="32"/>
        <w:widowControl w:val="0"/>
        <w:snapToGrid w:val="0"/>
        <w:spacing w:before="120" w:beforeLines="50" w:beforeAutospacing="0" w:after="0" w:afterAutospacing="0" w:line="480" w:lineRule="exact"/>
        <w:jc w:val="both"/>
        <w:rPr>
          <w:bCs/>
          <w:color w:val="auto"/>
        </w:rPr>
      </w:pPr>
      <w:r>
        <w:rPr>
          <w:rFonts w:hint="eastAsia"/>
          <w:bCs/>
          <w:color w:val="auto"/>
          <w:lang w:bidi="ar"/>
        </w:rPr>
        <w:t>2. 交货方式：</w:t>
      </w:r>
    </w:p>
    <w:p>
      <w:pPr>
        <w:pStyle w:val="32"/>
        <w:widowControl w:val="0"/>
        <w:snapToGrid w:val="0"/>
        <w:spacing w:before="120" w:beforeLines="50" w:beforeAutospacing="0" w:after="0" w:afterAutospacing="0" w:line="480" w:lineRule="exact"/>
        <w:jc w:val="both"/>
        <w:rPr>
          <w:b/>
          <w:color w:val="auto"/>
        </w:rPr>
      </w:pPr>
      <w:r>
        <w:rPr>
          <w:rFonts w:hint="eastAsia"/>
          <w:bCs/>
          <w:color w:val="auto"/>
          <w:lang w:bidi="ar"/>
        </w:rPr>
        <w:t>3. 交货地点：</w:t>
      </w:r>
    </w:p>
    <w:p>
      <w:pPr>
        <w:pStyle w:val="32"/>
        <w:widowControl w:val="0"/>
        <w:snapToGrid w:val="0"/>
        <w:spacing w:before="120" w:beforeLines="50" w:beforeAutospacing="0" w:after="0" w:afterAutospacing="0" w:line="480" w:lineRule="exact"/>
        <w:jc w:val="both"/>
        <w:rPr>
          <w:b/>
          <w:color w:val="auto"/>
        </w:rPr>
      </w:pPr>
      <w:r>
        <w:rPr>
          <w:rFonts w:hint="eastAsia"/>
          <w:b/>
          <w:color w:val="auto"/>
          <w:lang w:bidi="ar"/>
        </w:rPr>
        <w:t>十、货款支付</w:t>
      </w:r>
    </w:p>
    <w:p>
      <w:pPr>
        <w:pStyle w:val="32"/>
        <w:widowControl w:val="0"/>
        <w:snapToGrid w:val="0"/>
        <w:spacing w:before="120" w:beforeLines="50" w:beforeAutospacing="0" w:after="0" w:afterAutospacing="0" w:line="480" w:lineRule="exact"/>
        <w:jc w:val="both"/>
        <w:rPr>
          <w:b/>
          <w:color w:val="auto"/>
        </w:rPr>
      </w:pPr>
      <w:r>
        <w:rPr>
          <w:rFonts w:hint="eastAsia" w:cs="宋体"/>
          <w:bCs/>
          <w:color w:val="auto"/>
        </w:rPr>
        <w:t>1.支付方式：</w:t>
      </w:r>
    </w:p>
    <w:p>
      <w:pPr>
        <w:pStyle w:val="32"/>
        <w:widowControl w:val="0"/>
        <w:snapToGrid w:val="0"/>
        <w:spacing w:before="120" w:beforeLines="50" w:beforeAutospacing="0" w:after="0" w:afterAutospacing="0" w:line="480" w:lineRule="exact"/>
        <w:jc w:val="both"/>
        <w:rPr>
          <w:b/>
          <w:color w:val="auto"/>
        </w:rPr>
      </w:pPr>
      <w:r>
        <w:rPr>
          <w:rFonts w:hint="eastAsia" w:hAnsi="Courier New"/>
          <w:b/>
          <w:color w:val="auto"/>
          <w:lang w:bidi="ar"/>
        </w:rPr>
        <w:t>十一、税费</w:t>
      </w:r>
    </w:p>
    <w:p>
      <w:pPr>
        <w:spacing w:line="480" w:lineRule="exact"/>
        <w:rPr>
          <w:sz w:val="24"/>
        </w:rPr>
      </w:pPr>
      <w:r>
        <w:rPr>
          <w:rFonts w:hint="eastAsia" w:cs="宋体"/>
          <w:sz w:val="24"/>
          <w:lang w:bidi="ar"/>
        </w:rPr>
        <w:t>本合同执行中相关的一切税费均由乙方负担。</w:t>
      </w:r>
    </w:p>
    <w:p>
      <w:pPr>
        <w:pStyle w:val="32"/>
        <w:widowControl w:val="0"/>
        <w:snapToGrid w:val="0"/>
        <w:spacing w:before="120" w:beforeLines="50" w:beforeAutospacing="0" w:after="0" w:afterAutospacing="0" w:line="480" w:lineRule="exact"/>
        <w:ind w:left="412" w:hanging="412" w:hangingChars="171"/>
        <w:jc w:val="both"/>
        <w:rPr>
          <w:color w:val="auto"/>
        </w:rPr>
      </w:pPr>
      <w:r>
        <w:rPr>
          <w:rFonts w:hint="eastAsia"/>
          <w:b/>
          <w:color w:val="auto"/>
          <w:lang w:bidi="ar"/>
        </w:rPr>
        <w:t>十二、质量保证及售后服务</w:t>
      </w:r>
    </w:p>
    <w:p>
      <w:pPr>
        <w:pStyle w:val="18"/>
        <w:snapToGrid w:val="0"/>
        <w:spacing w:before="120" w:after="120" w:line="360" w:lineRule="auto"/>
        <w:ind w:left="410" w:hanging="410" w:hangingChars="171"/>
        <w:rPr>
          <w:rFonts w:hint="eastAsia" w:hAnsi="宋体" w:cs="宋体"/>
        </w:rPr>
      </w:pPr>
      <w:r>
        <w:rPr>
          <w:rFonts w:hint="eastAsia" w:hAnsi="宋体" w:cs="宋体"/>
        </w:rPr>
        <w:t>1．乙方应按招标文件规定向甲方提供服务。</w:t>
      </w:r>
    </w:p>
    <w:p>
      <w:pPr>
        <w:pStyle w:val="18"/>
        <w:snapToGrid w:val="0"/>
        <w:spacing w:before="120" w:after="120" w:line="360" w:lineRule="auto"/>
        <w:ind w:left="480" w:hanging="480" w:hangingChars="200"/>
        <w:rPr>
          <w:rFonts w:hint="eastAsia" w:hAnsi="宋体" w:cs="宋体"/>
        </w:rPr>
      </w:pPr>
      <w:r>
        <w:rPr>
          <w:rFonts w:hint="eastAsia" w:hAnsi="宋体" w:cs="宋体"/>
        </w:rPr>
        <w:t>2．乙方提供的服务成果在服务质量保证期内发生故障，乙方应负责免费提供后续服务。对达不到要求者，根据实际情况，经双方协商，可按以下办法处理：</w:t>
      </w:r>
    </w:p>
    <w:p>
      <w:pPr>
        <w:pStyle w:val="18"/>
        <w:snapToGrid w:val="0"/>
        <w:spacing w:before="120" w:after="120" w:line="360" w:lineRule="auto"/>
        <w:ind w:firstLine="420"/>
        <w:rPr>
          <w:rFonts w:hint="eastAsia" w:hAnsi="宋体" w:cs="宋体"/>
        </w:rPr>
      </w:pPr>
      <w:r>
        <w:rPr>
          <w:rFonts w:hint="eastAsia" w:hAnsi="宋体" w:cs="宋体"/>
        </w:rPr>
        <w:t>⑴重做：由乙方承担所发生的全部费用。</w:t>
      </w:r>
    </w:p>
    <w:p>
      <w:pPr>
        <w:pStyle w:val="18"/>
        <w:snapToGrid w:val="0"/>
        <w:spacing w:before="120" w:after="120" w:line="360" w:lineRule="auto"/>
        <w:ind w:firstLine="420"/>
        <w:rPr>
          <w:rFonts w:hint="eastAsia" w:hAnsi="宋体" w:cs="宋体"/>
        </w:rPr>
      </w:pPr>
      <w:r>
        <w:rPr>
          <w:rFonts w:hint="eastAsia" w:hAnsi="宋体" w:cs="宋体"/>
        </w:rPr>
        <w:t>⑵贬值处理：由甲乙双方合议定价。</w:t>
      </w:r>
    </w:p>
    <w:p>
      <w:pPr>
        <w:pStyle w:val="18"/>
        <w:snapToGrid w:val="0"/>
        <w:spacing w:before="120" w:after="120" w:line="360" w:lineRule="auto"/>
        <w:ind w:left="560" w:leftChars="200"/>
        <w:rPr>
          <w:rFonts w:hint="eastAsia" w:hAnsi="宋体" w:cs="宋体"/>
        </w:rPr>
      </w:pPr>
      <w:r>
        <w:rPr>
          <w:rFonts w:hint="eastAsia" w:hAnsi="宋体" w:cs="宋体"/>
        </w:rPr>
        <w:t>⑶解除合同。</w:t>
      </w:r>
    </w:p>
    <w:p>
      <w:pPr>
        <w:pStyle w:val="18"/>
        <w:snapToGrid w:val="0"/>
        <w:spacing w:before="120" w:after="120" w:line="360" w:lineRule="auto"/>
        <w:rPr>
          <w:rFonts w:hint="eastAsia" w:hAnsi="宋体" w:cs="宋体"/>
        </w:rPr>
      </w:pPr>
      <w:r>
        <w:rPr>
          <w:rFonts w:hint="eastAsia" w:hAnsi="宋体" w:cs="宋体"/>
        </w:rPr>
        <w:t>3．如在使用过程中发生问题，乙方在接到甲方通知后在</w:t>
      </w:r>
      <w:r>
        <w:rPr>
          <w:rFonts w:hint="eastAsia" w:hAnsi="宋体" w:cs="宋体"/>
          <w:u w:val="single"/>
        </w:rPr>
        <w:t xml:space="preserve">   </w:t>
      </w:r>
      <w:r>
        <w:rPr>
          <w:rFonts w:hint="eastAsia" w:hAnsi="宋体" w:cs="宋体"/>
        </w:rPr>
        <w:t>小时内到达甲方现场。</w:t>
      </w:r>
    </w:p>
    <w:p>
      <w:pPr>
        <w:pStyle w:val="32"/>
        <w:widowControl w:val="0"/>
        <w:snapToGrid w:val="0"/>
        <w:spacing w:before="120" w:beforeLines="50" w:beforeAutospacing="0" w:after="0" w:afterAutospacing="0" w:line="480" w:lineRule="exact"/>
        <w:jc w:val="both"/>
        <w:rPr>
          <w:rFonts w:hint="eastAsia" w:cs="宋体"/>
          <w:color w:val="auto"/>
        </w:rPr>
      </w:pPr>
      <w:r>
        <w:rPr>
          <w:rFonts w:hint="eastAsia" w:cs="宋体"/>
          <w:color w:val="auto"/>
        </w:rPr>
        <w:t>4．在</w:t>
      </w:r>
      <w:r>
        <w:rPr>
          <w:rFonts w:hint="eastAsia" w:cs="宋体"/>
          <w:b/>
          <w:color w:val="auto"/>
        </w:rPr>
        <w:t>服务质量保证期</w:t>
      </w:r>
      <w:r>
        <w:rPr>
          <w:rFonts w:hint="eastAsia" w:cs="宋体"/>
          <w:color w:val="auto"/>
        </w:rPr>
        <w:t>内，</w:t>
      </w:r>
    </w:p>
    <w:p>
      <w:pPr>
        <w:pStyle w:val="32"/>
        <w:widowControl w:val="0"/>
        <w:snapToGrid w:val="0"/>
        <w:spacing w:before="120" w:beforeLines="50" w:beforeAutospacing="0" w:after="0" w:afterAutospacing="0" w:line="480" w:lineRule="exact"/>
        <w:jc w:val="both"/>
        <w:rPr>
          <w:b/>
          <w:color w:val="auto"/>
        </w:rPr>
      </w:pPr>
      <w:r>
        <w:rPr>
          <w:rFonts w:hint="eastAsia"/>
          <w:b/>
          <w:color w:val="auto"/>
          <w:lang w:bidi="ar"/>
        </w:rPr>
        <w:t>十三、违约责任</w:t>
      </w:r>
    </w:p>
    <w:p>
      <w:pPr>
        <w:pStyle w:val="32"/>
        <w:widowControl w:val="0"/>
        <w:snapToGrid w:val="0"/>
        <w:spacing w:before="120" w:beforeLines="50" w:beforeAutospacing="0" w:after="0" w:afterAutospacing="0" w:line="480" w:lineRule="exact"/>
        <w:jc w:val="both"/>
        <w:rPr>
          <w:rFonts w:hint="eastAsia"/>
          <w:bCs/>
          <w:color w:val="auto"/>
          <w:lang w:bidi="ar"/>
        </w:rPr>
      </w:pPr>
      <w:r>
        <w:rPr>
          <w:rFonts w:hint="eastAsia"/>
          <w:bCs/>
          <w:color w:val="auto"/>
          <w:lang w:bidi="ar"/>
        </w:rPr>
        <w:t>1．甲方无正当理由拒收接受服务的，甲方向乙方偿付合同款项百分之五作为违约金。</w:t>
      </w:r>
    </w:p>
    <w:p>
      <w:pPr>
        <w:pStyle w:val="32"/>
        <w:widowControl w:val="0"/>
        <w:snapToGrid w:val="0"/>
        <w:spacing w:before="120" w:beforeLines="50" w:beforeAutospacing="0" w:after="0" w:afterAutospacing="0" w:line="480" w:lineRule="exact"/>
        <w:jc w:val="both"/>
        <w:rPr>
          <w:rFonts w:hint="eastAsia"/>
          <w:bCs/>
          <w:color w:val="auto"/>
          <w:lang w:bidi="ar"/>
        </w:rPr>
      </w:pPr>
      <w:r>
        <w:rPr>
          <w:rFonts w:hint="eastAsia"/>
          <w:bCs/>
          <w:color w:val="auto"/>
          <w:lang w:bidi="ar"/>
        </w:rPr>
        <w:t>2．甲方无故逾期验收和办理款项支付手续的,甲方应按逾期付款总额每日万分之五向乙方支付违约金。</w:t>
      </w:r>
    </w:p>
    <w:p>
      <w:pPr>
        <w:pStyle w:val="32"/>
        <w:widowControl w:val="0"/>
        <w:snapToGrid w:val="0"/>
        <w:spacing w:before="120" w:beforeLines="50" w:beforeAutospacing="0" w:after="0" w:afterAutospacing="0" w:line="480" w:lineRule="exact"/>
        <w:jc w:val="both"/>
        <w:rPr>
          <w:rFonts w:hint="eastAsia"/>
          <w:bCs/>
          <w:color w:val="auto"/>
          <w:lang w:bidi="ar"/>
        </w:rPr>
      </w:pPr>
      <w:r>
        <w:rPr>
          <w:rFonts w:hint="eastAsia"/>
          <w:bCs/>
          <w:color w:val="auto"/>
          <w:lang w:bidi="ar"/>
        </w:rPr>
        <w:t xml:space="preserve">3．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 </w:t>
      </w:r>
    </w:p>
    <w:p>
      <w:pPr>
        <w:pStyle w:val="32"/>
        <w:widowControl w:val="0"/>
        <w:snapToGrid w:val="0"/>
        <w:spacing w:before="120" w:beforeLines="50" w:beforeAutospacing="0" w:after="0" w:afterAutospacing="0" w:line="480" w:lineRule="exact"/>
        <w:jc w:val="both"/>
        <w:rPr>
          <w:b/>
          <w:color w:val="auto"/>
        </w:rPr>
      </w:pPr>
      <w:r>
        <w:rPr>
          <w:rFonts w:hint="eastAsia"/>
          <w:b/>
          <w:color w:val="auto"/>
          <w:lang w:bidi="ar"/>
        </w:rPr>
        <w:t>十四、不可抗力事件处理</w:t>
      </w:r>
    </w:p>
    <w:p>
      <w:pPr>
        <w:pStyle w:val="32"/>
        <w:widowControl w:val="0"/>
        <w:snapToGrid w:val="0"/>
        <w:spacing w:before="120" w:beforeLines="50" w:beforeAutospacing="0" w:after="0" w:afterAutospacing="0" w:line="480" w:lineRule="exact"/>
        <w:jc w:val="both"/>
        <w:rPr>
          <w:color w:val="auto"/>
        </w:rPr>
      </w:pPr>
      <w:r>
        <w:rPr>
          <w:rFonts w:hint="eastAsia"/>
          <w:color w:val="auto"/>
          <w:lang w:bidi="ar"/>
        </w:rPr>
        <w:t>1.在合同有效期内，任何一方因不可抗力事件导致不能履行合同，则合同履行期可延长，其延长期与不可抗力影响期相同。</w:t>
      </w:r>
    </w:p>
    <w:p>
      <w:pPr>
        <w:pStyle w:val="32"/>
        <w:widowControl w:val="0"/>
        <w:snapToGrid w:val="0"/>
        <w:spacing w:before="120" w:beforeLines="50" w:beforeAutospacing="0" w:after="0" w:afterAutospacing="0" w:line="480" w:lineRule="exact"/>
        <w:jc w:val="both"/>
        <w:rPr>
          <w:color w:val="auto"/>
        </w:rPr>
      </w:pPr>
      <w:r>
        <w:rPr>
          <w:rFonts w:hint="eastAsia"/>
          <w:color w:val="auto"/>
          <w:lang w:bidi="ar"/>
        </w:rPr>
        <w:t>2.不可抗力事件发生后，应立即通知对方，并寄送有关权威机构出具的证明。</w:t>
      </w:r>
    </w:p>
    <w:p>
      <w:pPr>
        <w:pStyle w:val="32"/>
        <w:widowControl w:val="0"/>
        <w:snapToGrid w:val="0"/>
        <w:spacing w:before="120" w:beforeLines="50" w:beforeAutospacing="0" w:after="0" w:afterAutospacing="0" w:line="480" w:lineRule="exact"/>
        <w:jc w:val="both"/>
        <w:rPr>
          <w:color w:val="auto"/>
        </w:rPr>
      </w:pPr>
      <w:r>
        <w:rPr>
          <w:rFonts w:hint="eastAsia"/>
          <w:color w:val="auto"/>
          <w:lang w:bidi="ar"/>
        </w:rPr>
        <w:t>3.不可抗力事件延续120天以上，双方应通过友好协商，确定是否继续履行合同。</w:t>
      </w:r>
    </w:p>
    <w:p>
      <w:pPr>
        <w:pStyle w:val="32"/>
        <w:widowControl w:val="0"/>
        <w:snapToGrid w:val="0"/>
        <w:spacing w:before="120" w:beforeLines="50" w:beforeAutospacing="0" w:after="0" w:afterAutospacing="0" w:line="480" w:lineRule="exact"/>
        <w:jc w:val="both"/>
        <w:rPr>
          <w:b/>
          <w:color w:val="auto"/>
        </w:rPr>
      </w:pPr>
      <w:r>
        <w:rPr>
          <w:rFonts w:hint="eastAsia"/>
          <w:b/>
          <w:color w:val="auto"/>
          <w:lang w:bidi="ar"/>
        </w:rPr>
        <w:t>十五、诉讼</w:t>
      </w:r>
    </w:p>
    <w:p>
      <w:pPr>
        <w:pStyle w:val="32"/>
        <w:widowControl w:val="0"/>
        <w:snapToGrid w:val="0"/>
        <w:spacing w:before="120" w:beforeLines="50" w:beforeAutospacing="0" w:after="0" w:afterAutospacing="0" w:line="480" w:lineRule="exact"/>
        <w:ind w:firstLine="480" w:firstLineChars="200"/>
        <w:jc w:val="both"/>
        <w:rPr>
          <w:color w:val="auto"/>
        </w:rPr>
      </w:pPr>
      <w:r>
        <w:rPr>
          <w:rFonts w:hint="eastAsia"/>
          <w:color w:val="auto"/>
          <w:lang w:bidi="ar"/>
        </w:rPr>
        <w:t>双方在执行合同中所发生的一切争议，应通过协商解决。如协商不成，可向甲方所在地人民法院起诉。</w:t>
      </w:r>
    </w:p>
    <w:p>
      <w:pPr>
        <w:pStyle w:val="32"/>
        <w:widowControl w:val="0"/>
        <w:snapToGrid w:val="0"/>
        <w:spacing w:before="120" w:beforeLines="50" w:beforeAutospacing="0" w:after="0" w:afterAutospacing="0" w:line="480" w:lineRule="exact"/>
        <w:jc w:val="both"/>
        <w:rPr>
          <w:b/>
          <w:color w:val="auto"/>
        </w:rPr>
      </w:pPr>
      <w:r>
        <w:rPr>
          <w:rFonts w:hint="eastAsia"/>
          <w:b/>
          <w:color w:val="auto"/>
          <w:lang w:bidi="ar"/>
        </w:rPr>
        <w:t>十六、合同生效及其它</w:t>
      </w:r>
    </w:p>
    <w:p>
      <w:pPr>
        <w:pStyle w:val="32"/>
        <w:widowControl w:val="0"/>
        <w:snapToGrid w:val="0"/>
        <w:spacing w:before="120" w:beforeLines="50" w:beforeAutospacing="0" w:after="0" w:afterAutospacing="0" w:line="480" w:lineRule="exact"/>
        <w:jc w:val="both"/>
        <w:rPr>
          <w:color w:val="auto"/>
        </w:rPr>
      </w:pPr>
      <w:r>
        <w:rPr>
          <w:rFonts w:hint="eastAsia"/>
          <w:color w:val="auto"/>
          <w:lang w:bidi="ar"/>
        </w:rPr>
        <w:t>1.合同经双方法定代表人或授权代表签字并加盖单位公章后生效。</w:t>
      </w:r>
    </w:p>
    <w:p>
      <w:pPr>
        <w:pStyle w:val="32"/>
        <w:widowControl w:val="0"/>
        <w:snapToGrid w:val="0"/>
        <w:spacing w:before="120" w:beforeLines="50" w:beforeAutospacing="0" w:after="0" w:afterAutospacing="0" w:line="480" w:lineRule="exact"/>
        <w:ind w:left="480" w:hanging="480" w:hangingChars="200"/>
        <w:jc w:val="both"/>
        <w:rPr>
          <w:color w:val="auto"/>
        </w:rPr>
      </w:pPr>
      <w:r>
        <w:rPr>
          <w:rFonts w:hint="eastAsia"/>
          <w:color w:val="auto"/>
          <w:lang w:bidi="ar"/>
        </w:rPr>
        <w:t>2.本合同未尽事宜，遵照《合同法》有关条文执行。</w:t>
      </w:r>
    </w:p>
    <w:p>
      <w:pPr>
        <w:pStyle w:val="32"/>
        <w:widowControl w:val="0"/>
        <w:snapToGrid w:val="0"/>
        <w:spacing w:before="120" w:beforeLines="50" w:beforeAutospacing="0" w:after="0" w:afterAutospacing="0" w:line="480" w:lineRule="exact"/>
        <w:ind w:firstLine="240" w:firstLineChars="100"/>
        <w:jc w:val="both"/>
        <w:rPr>
          <w:color w:val="auto"/>
        </w:rPr>
      </w:pPr>
      <w:r>
        <w:rPr>
          <w:rFonts w:hint="eastAsia"/>
          <w:color w:val="auto"/>
          <w:lang w:bidi="ar"/>
        </w:rPr>
        <w:t xml:space="preserve">甲方：                                   乙方： </w:t>
      </w:r>
    </w:p>
    <w:p>
      <w:pPr>
        <w:pStyle w:val="32"/>
        <w:widowControl w:val="0"/>
        <w:snapToGrid w:val="0"/>
        <w:spacing w:before="120" w:beforeLines="50" w:beforeAutospacing="0" w:after="0" w:afterAutospacing="0" w:line="480" w:lineRule="exact"/>
        <w:jc w:val="both"/>
        <w:rPr>
          <w:color w:val="auto"/>
        </w:rPr>
      </w:pPr>
      <w:r>
        <w:rPr>
          <w:rFonts w:hint="eastAsia"/>
          <w:color w:val="auto"/>
          <w:lang w:bidi="ar"/>
        </w:rPr>
        <w:t xml:space="preserve">  地址：                                   地址： </w:t>
      </w:r>
    </w:p>
    <w:p>
      <w:pPr>
        <w:pStyle w:val="32"/>
        <w:widowControl w:val="0"/>
        <w:snapToGrid w:val="0"/>
        <w:spacing w:before="120" w:beforeLines="50" w:beforeAutospacing="0" w:after="0" w:afterAutospacing="0" w:line="480" w:lineRule="exact"/>
        <w:jc w:val="both"/>
        <w:rPr>
          <w:color w:val="auto"/>
        </w:rPr>
      </w:pPr>
      <w:r>
        <w:rPr>
          <w:rFonts w:hint="eastAsia"/>
          <w:color w:val="auto"/>
          <w:lang w:bidi="ar"/>
        </w:rPr>
        <w:t xml:space="preserve">  法定（授权）代表人：                     法定（授权）代表人：</w:t>
      </w:r>
    </w:p>
    <w:p>
      <w:pPr>
        <w:pStyle w:val="32"/>
        <w:widowControl w:val="0"/>
        <w:snapToGrid w:val="0"/>
        <w:spacing w:before="120" w:beforeLines="50" w:beforeAutospacing="0" w:after="0" w:afterAutospacing="0" w:line="480" w:lineRule="exact"/>
        <w:ind w:firstLine="360" w:firstLineChars="150"/>
        <w:jc w:val="both"/>
        <w:rPr>
          <w:color w:val="auto"/>
        </w:rPr>
      </w:pPr>
      <w:r>
        <w:rPr>
          <w:rFonts w:hint="eastAsia"/>
          <w:color w:val="auto"/>
          <w:lang w:bidi="ar"/>
        </w:rPr>
        <w:t>签订日期：     年　  月　 日            签订日期：     年　  月　 日</w:t>
      </w:r>
    </w:p>
    <w:p>
      <w:pPr>
        <w:pStyle w:val="18"/>
        <w:tabs>
          <w:tab w:val="left" w:pos="2472"/>
        </w:tabs>
        <w:snapToGrid w:val="0"/>
        <w:spacing w:before="120" w:beforeLines="0" w:after="120" w:afterLines="0" w:line="240" w:lineRule="auto"/>
        <w:jc w:val="center"/>
        <w:rPr>
          <w:rFonts w:ascii="Times New Roman" w:hAnsi="宋体"/>
          <w:sz w:val="21"/>
          <w:lang w:bidi="ar"/>
        </w:rPr>
      </w:pPr>
      <w:r>
        <w:rPr>
          <w:rFonts w:hint="eastAsia" w:ascii="Times New Roman" w:hAnsi="宋体"/>
          <w:sz w:val="21"/>
          <w:lang w:bidi="ar"/>
        </w:rPr>
        <w:t>鉴证方：（盖章）</w:t>
      </w:r>
      <w:r>
        <w:rPr>
          <w:rFonts w:ascii="Times New Roman" w:hAnsi="宋体"/>
          <w:sz w:val="21"/>
          <w:lang w:bidi="ar"/>
        </w:rPr>
        <w:t xml:space="preserve"> </w:t>
      </w:r>
    </w:p>
    <w:p>
      <w:pPr>
        <w:spacing w:line="600" w:lineRule="exact"/>
        <w:rPr>
          <w:rFonts w:hint="eastAsia" w:ascii="宋体" w:hAnsi="宋体" w:cs="宋体"/>
          <w:b/>
          <w:bCs/>
          <w:sz w:val="24"/>
        </w:rPr>
      </w:pPr>
      <w:bookmarkStart w:id="380" w:name="_Toc328381300"/>
      <w:bookmarkStart w:id="381" w:name="_Toc326765771"/>
      <w:bookmarkStart w:id="382" w:name="_Toc350327365"/>
      <w:bookmarkStart w:id="383" w:name="_Toc339872468"/>
      <w:bookmarkStart w:id="384" w:name="_Toc349721554"/>
      <w:r>
        <w:rPr>
          <w:rFonts w:hint="eastAsia" w:ascii="宋体" w:hAnsi="宋体" w:cs="宋体"/>
          <w:b/>
          <w:bCs/>
          <w:sz w:val="24"/>
        </w:rPr>
        <w:t xml:space="preserve"> 此仅为合同书样本，中标单位需根据实际情况和采购人签订相应的合同！</w:t>
      </w:r>
      <w:bookmarkEnd w:id="380"/>
      <w:bookmarkEnd w:id="381"/>
      <w:bookmarkEnd w:id="382"/>
      <w:bookmarkEnd w:id="383"/>
      <w:bookmarkEnd w:id="384"/>
    </w:p>
    <w:p>
      <w:pPr>
        <w:pStyle w:val="18"/>
        <w:tabs>
          <w:tab w:val="left" w:pos="2472"/>
        </w:tabs>
        <w:snapToGrid w:val="0"/>
        <w:spacing w:before="120" w:beforeLines="0" w:after="120" w:afterLines="0" w:line="240" w:lineRule="auto"/>
        <w:jc w:val="center"/>
        <w:rPr>
          <w:rFonts w:hAnsi="宋体"/>
          <w:b/>
          <w:sz w:val="32"/>
          <w:szCs w:val="32"/>
        </w:rPr>
      </w:pPr>
      <w:r>
        <w:rPr>
          <w:rFonts w:hAnsi="宋体"/>
          <w:b/>
          <w:sz w:val="32"/>
          <w:szCs w:val="32"/>
        </w:rPr>
        <w:t>第六章　投标文件格式</w:t>
      </w:r>
      <w:bookmarkEnd w:id="378"/>
    </w:p>
    <w:bookmarkEnd w:id="379"/>
    <w:p>
      <w:pPr>
        <w:snapToGrid w:val="0"/>
        <w:spacing w:before="50" w:after="50"/>
        <w:rPr>
          <w:rFonts w:hint="eastAsia" w:ascii="宋体" w:hAnsi="宋体" w:cs="宋体"/>
          <w:b/>
          <w:sz w:val="22"/>
          <w:szCs w:val="22"/>
        </w:rPr>
      </w:pPr>
      <w:r>
        <w:rPr>
          <w:rFonts w:hint="eastAsia" w:ascii="宋体" w:hAnsi="宋体" w:cs="宋体"/>
          <w:b/>
          <w:sz w:val="22"/>
          <w:szCs w:val="22"/>
        </w:rPr>
        <w:t>附件1：</w:t>
      </w:r>
    </w:p>
    <w:p>
      <w:pPr>
        <w:adjustRightInd w:val="0"/>
        <w:snapToGrid w:val="0"/>
        <w:spacing w:line="360" w:lineRule="auto"/>
        <w:ind w:right="480"/>
        <w:jc w:val="center"/>
        <w:rPr>
          <w:rFonts w:ascii="宋体" w:hAnsi="宋体" w:cs="宋体"/>
          <w:b/>
          <w:kern w:val="0"/>
          <w:sz w:val="32"/>
          <w:szCs w:val="32"/>
          <w:lang w:val="zh-CN"/>
        </w:rPr>
      </w:pPr>
      <w:r>
        <w:rPr>
          <w:rFonts w:hint="eastAsia" w:ascii="宋体" w:hAnsi="宋体" w:cs="宋体"/>
          <w:b/>
          <w:kern w:val="0"/>
          <w:sz w:val="32"/>
          <w:szCs w:val="32"/>
          <w:lang w:val="zh-CN"/>
        </w:rPr>
        <w:t>投标声明书</w:t>
      </w:r>
    </w:p>
    <w:p>
      <w:pPr>
        <w:spacing w:line="420" w:lineRule="exact"/>
        <w:rPr>
          <w:rFonts w:ascii="宋体" w:hAnsi="宋体" w:cs="宋体"/>
          <w:kern w:val="0"/>
          <w:sz w:val="24"/>
        </w:rPr>
      </w:pPr>
      <w:r>
        <w:rPr>
          <w:rFonts w:hint="eastAsia" w:ascii="宋体" w:hAnsi="宋体" w:cs="宋体"/>
          <w:kern w:val="0"/>
          <w:sz w:val="24"/>
        </w:rPr>
        <w:t>台州市公安局集聚区分局：</w:t>
      </w:r>
    </w:p>
    <w:p>
      <w:pPr>
        <w:snapToGrid w:val="0"/>
        <w:spacing w:before="120" w:beforeLines="50" w:after="50" w:line="324" w:lineRule="auto"/>
        <w:rPr>
          <w:rFonts w:ascii="宋体" w:hAnsi="宋体" w:cs="宋体"/>
          <w:kern w:val="0"/>
          <w:sz w:val="24"/>
        </w:rPr>
      </w:pPr>
      <w:r>
        <w:rPr>
          <w:rFonts w:hint="eastAsia" w:ascii="宋体" w:hAnsi="宋体" w:cs="宋体"/>
          <w:kern w:val="0"/>
          <w:sz w:val="24"/>
          <w:u w:val="single"/>
        </w:rPr>
        <w:t xml:space="preserve">                </w:t>
      </w:r>
      <w:r>
        <w:rPr>
          <w:rFonts w:hint="eastAsia" w:ascii="宋体" w:hAnsi="宋体" w:cs="宋体"/>
          <w:kern w:val="0"/>
          <w:sz w:val="24"/>
        </w:rPr>
        <w:t>（供应商名称）系中华人民共和国合法企业，经营地址：</w:t>
      </w:r>
      <w:r>
        <w:rPr>
          <w:rFonts w:hint="eastAsia" w:ascii="宋体" w:hAnsi="宋体" w:cs="宋体"/>
          <w:kern w:val="0"/>
          <w:sz w:val="24"/>
          <w:u w:val="single"/>
        </w:rPr>
        <w:t xml:space="preserve">        </w:t>
      </w:r>
      <w:r>
        <w:rPr>
          <w:rFonts w:hint="eastAsia" w:ascii="宋体" w:hAnsi="宋体" w:cs="宋体"/>
          <w:kern w:val="0"/>
          <w:sz w:val="24"/>
        </w:rPr>
        <w:t>。</w:t>
      </w:r>
    </w:p>
    <w:p>
      <w:pPr>
        <w:snapToGrid w:val="0"/>
        <w:spacing w:before="120" w:beforeLines="50" w:after="50" w:line="360" w:lineRule="auto"/>
        <w:ind w:firstLine="480" w:firstLineChars="200"/>
        <w:rPr>
          <w:rFonts w:ascii="宋体" w:hAnsi="宋体" w:cs="宋体"/>
          <w:kern w:val="0"/>
          <w:sz w:val="24"/>
        </w:rPr>
      </w:pPr>
      <w:r>
        <w:rPr>
          <w:rFonts w:hint="eastAsia" w:ascii="宋体" w:hAnsi="宋体" w:cs="宋体"/>
          <w:kern w:val="0"/>
          <w:sz w:val="24"/>
        </w:rPr>
        <w:t>我（</w:t>
      </w:r>
      <w:r>
        <w:rPr>
          <w:rFonts w:hint="eastAsia" w:ascii="宋体" w:hAnsi="宋体" w:cs="宋体"/>
          <w:kern w:val="0"/>
          <w:sz w:val="24"/>
          <w:u w:val="single"/>
        </w:rPr>
        <w:t xml:space="preserve"> 姓名 </w:t>
      </w:r>
      <w:r>
        <w:rPr>
          <w:rFonts w:hint="eastAsia" w:ascii="宋体" w:hAnsi="宋体" w:cs="宋体"/>
          <w:kern w:val="0"/>
          <w:sz w:val="24"/>
        </w:rPr>
        <w:t>）系（</w:t>
      </w:r>
      <w:r>
        <w:rPr>
          <w:rFonts w:hint="eastAsia" w:ascii="宋体" w:hAnsi="宋体" w:cs="宋体"/>
          <w:kern w:val="0"/>
          <w:sz w:val="24"/>
          <w:u w:val="single"/>
        </w:rPr>
        <w:t xml:space="preserve"> 供应商名称 </w:t>
      </w:r>
      <w:r>
        <w:rPr>
          <w:rFonts w:hint="eastAsia" w:ascii="宋体" w:hAnsi="宋体" w:cs="宋体"/>
          <w:kern w:val="0"/>
          <w:sz w:val="24"/>
        </w:rPr>
        <w:t>）的法定代表人，我公司自愿参加贵方组织的台州市公安局集聚区分局雪亮工程（三期）前端点位建设项目、台州市公安局集聚区分局雪亮工程（三期）后端保障服务项目（编号为TPTZ-2020-TZ0910号，标段：</w:t>
      </w:r>
      <w:r>
        <w:rPr>
          <w:rFonts w:hint="eastAsia" w:ascii="宋体" w:hAnsi="宋体" w:cs="宋体"/>
          <w:kern w:val="0"/>
          <w:sz w:val="24"/>
          <w:u w:val="single"/>
        </w:rPr>
        <w:t xml:space="preserve">       </w:t>
      </w:r>
      <w:r>
        <w:rPr>
          <w:rFonts w:hint="eastAsia" w:ascii="宋体" w:hAnsi="宋体" w:cs="宋体"/>
          <w:kern w:val="0"/>
          <w:sz w:val="24"/>
        </w:rPr>
        <w:t>）的投标，为此，我公司就本次投标有关事项郑重声明如下：</w:t>
      </w:r>
    </w:p>
    <w:p>
      <w:pPr>
        <w:snapToGrid w:val="0"/>
        <w:spacing w:before="120" w:beforeLines="50" w:after="50" w:line="360" w:lineRule="auto"/>
        <w:ind w:firstLine="480" w:firstLineChars="200"/>
        <w:rPr>
          <w:rFonts w:ascii="宋体" w:hAnsi="宋体" w:cs="宋体"/>
          <w:b/>
          <w:kern w:val="0"/>
          <w:sz w:val="24"/>
        </w:rPr>
      </w:pPr>
      <w:r>
        <w:rPr>
          <w:rFonts w:hint="eastAsia" w:ascii="宋体" w:hAnsi="宋体" w:cs="宋体"/>
          <w:kern w:val="0"/>
          <w:sz w:val="24"/>
        </w:rPr>
        <w:t>1、</w:t>
      </w:r>
      <w:r>
        <w:rPr>
          <w:rFonts w:hint="eastAsia" w:ascii="宋体" w:hAnsi="宋体" w:cs="宋体"/>
          <w:sz w:val="24"/>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snapToGrid w:val="0"/>
        <w:spacing w:before="120" w:beforeLines="50" w:after="50" w:line="360" w:lineRule="auto"/>
        <w:ind w:firstLine="480" w:firstLineChars="200"/>
        <w:rPr>
          <w:rFonts w:ascii="宋体" w:hAnsi="宋体" w:cs="宋体"/>
          <w:kern w:val="0"/>
          <w:sz w:val="24"/>
        </w:rPr>
      </w:pPr>
      <w:r>
        <w:rPr>
          <w:rFonts w:hint="eastAsia" w:ascii="宋体" w:hAnsi="宋体" w:cs="宋体"/>
          <w:kern w:val="0"/>
          <w:sz w:val="24"/>
        </w:rPr>
        <w:t>2、我公司在参与投标前已详细审查了采购文件和所有相关资料，我方完全明白并认为此采购文件没有倾向性，也没有存在排斥潜在投标人的内容，我方同意采购文件的相关条款，放弃对采购文件提出误解和质疑的一切权利。</w:t>
      </w:r>
    </w:p>
    <w:p>
      <w:pPr>
        <w:snapToGrid w:val="0"/>
        <w:spacing w:before="120" w:beforeLines="50" w:after="50" w:line="360" w:lineRule="auto"/>
        <w:ind w:firstLine="480" w:firstLineChars="200"/>
        <w:rPr>
          <w:rFonts w:ascii="宋体" w:hAnsi="宋体" w:cs="宋体"/>
          <w:sz w:val="24"/>
        </w:rPr>
      </w:pPr>
      <w:r>
        <w:rPr>
          <w:rFonts w:hint="eastAsia" w:ascii="宋体" w:hAnsi="宋体" w:cs="宋体"/>
          <w:sz w:val="24"/>
        </w:rPr>
        <w:t>3、我</w:t>
      </w:r>
      <w:r>
        <w:rPr>
          <w:rFonts w:hint="eastAsia" w:ascii="宋体" w:hAnsi="宋体" w:cs="宋体"/>
          <w:kern w:val="0"/>
          <w:sz w:val="24"/>
          <w:lang w:val="zh-CN"/>
        </w:rPr>
        <w:t>公司</w:t>
      </w:r>
      <w:r>
        <w:rPr>
          <w:rFonts w:hint="eastAsia" w:ascii="宋体" w:hAnsi="宋体" w:cs="宋体"/>
          <w:sz w:val="24"/>
        </w:rPr>
        <w:t>不是采购人的附属机构；在获知本项目采购信息后，与采购人聘请的为此项目提供咨询服务的公司及其附属机构没有任何联系。</w:t>
      </w:r>
    </w:p>
    <w:p>
      <w:pPr>
        <w:snapToGrid w:val="0"/>
        <w:spacing w:before="120" w:beforeLines="50" w:after="50" w:line="360" w:lineRule="auto"/>
        <w:ind w:firstLine="480" w:firstLineChars="200"/>
        <w:rPr>
          <w:rFonts w:ascii="宋体" w:hAnsi="宋体" w:cs="宋体"/>
          <w:kern w:val="0"/>
          <w:sz w:val="24"/>
          <w:lang w:val="af-ZA"/>
        </w:rPr>
      </w:pPr>
      <w:r>
        <w:rPr>
          <w:rFonts w:hint="eastAsia" w:ascii="宋体" w:hAnsi="宋体" w:cs="宋体"/>
          <w:sz w:val="24"/>
        </w:rPr>
        <w:t>4、</w:t>
      </w:r>
      <w:r>
        <w:rPr>
          <w:rFonts w:hint="eastAsia" w:ascii="宋体" w:hAnsi="宋体" w:cs="宋体"/>
          <w:kern w:val="0"/>
          <w:sz w:val="24"/>
        </w:rPr>
        <w:t>我</w:t>
      </w:r>
      <w:r>
        <w:rPr>
          <w:rFonts w:hint="eastAsia" w:ascii="宋体" w:hAnsi="宋体" w:cs="宋体"/>
          <w:kern w:val="0"/>
          <w:sz w:val="24"/>
          <w:lang w:val="zh-CN"/>
        </w:rPr>
        <w:t>公司</w:t>
      </w:r>
      <w:r>
        <w:rPr>
          <w:rFonts w:hint="eastAsia" w:ascii="宋体" w:hAnsi="宋体" w:cs="宋体"/>
          <w:kern w:val="0"/>
          <w:sz w:val="24"/>
        </w:rPr>
        <w:t>保证，</w:t>
      </w:r>
      <w:r>
        <w:rPr>
          <w:rFonts w:hint="eastAsia" w:ascii="宋体" w:hAnsi="宋体" w:cs="宋体"/>
          <w:kern w:val="0"/>
          <w:sz w:val="24"/>
          <w:lang w:val="af-ZA"/>
        </w:rPr>
        <w:t>采购人在中华人民共和国境内使用</w:t>
      </w:r>
      <w:r>
        <w:rPr>
          <w:rFonts w:hint="eastAsia" w:ascii="宋体" w:hAnsi="宋体" w:cs="宋体"/>
          <w:kern w:val="0"/>
          <w:sz w:val="24"/>
        </w:rPr>
        <w:t>我</w:t>
      </w:r>
      <w:r>
        <w:rPr>
          <w:rFonts w:hint="eastAsia" w:ascii="宋体" w:hAnsi="宋体" w:cs="宋体"/>
          <w:kern w:val="0"/>
          <w:sz w:val="24"/>
          <w:lang w:val="zh-CN"/>
        </w:rPr>
        <w:t>公司</w:t>
      </w:r>
      <w:r>
        <w:rPr>
          <w:rFonts w:hint="eastAsia" w:ascii="宋体" w:hAnsi="宋体" w:cs="宋体"/>
          <w:kern w:val="0"/>
          <w:sz w:val="24"/>
          <w:lang w:val="af-ZA"/>
        </w:rPr>
        <w:t>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pPr>
        <w:snapToGrid w:val="0"/>
        <w:spacing w:before="120" w:beforeLines="50" w:after="50" w:line="360" w:lineRule="auto"/>
        <w:ind w:firstLine="480" w:firstLineChars="200"/>
        <w:rPr>
          <w:rFonts w:ascii="宋体" w:hAnsi="宋体" w:cs="宋体"/>
          <w:sz w:val="24"/>
        </w:rPr>
      </w:pPr>
      <w:r>
        <w:rPr>
          <w:rFonts w:hint="eastAsia" w:ascii="宋体" w:hAnsi="宋体" w:cs="宋体"/>
          <w:kern w:val="0"/>
          <w:sz w:val="24"/>
          <w:lang w:val="af-ZA"/>
        </w:rPr>
        <w:t>5、我</w:t>
      </w:r>
      <w:r>
        <w:rPr>
          <w:rFonts w:hint="eastAsia" w:ascii="宋体" w:hAnsi="宋体" w:cs="宋体"/>
          <w:kern w:val="0"/>
          <w:sz w:val="24"/>
          <w:lang w:val="zh-CN"/>
        </w:rPr>
        <w:t>公司</w:t>
      </w:r>
      <w:r>
        <w:rPr>
          <w:rFonts w:hint="eastAsia" w:ascii="宋体" w:hAnsi="宋体" w:cs="宋体"/>
          <w:kern w:val="0"/>
          <w:sz w:val="24"/>
          <w:lang w:val="af-ZA"/>
        </w:rPr>
        <w:t>严格履行政府采购合同，不降低合同约定的产品质量和服务，不擅自变更、中止、终止合同，或拒绝履行合同义务；</w:t>
      </w:r>
    </w:p>
    <w:p>
      <w:pPr>
        <w:snapToGrid w:val="0"/>
        <w:spacing w:before="120" w:beforeLines="50" w:after="50" w:line="360" w:lineRule="auto"/>
        <w:ind w:firstLine="480" w:firstLineChars="200"/>
        <w:rPr>
          <w:rFonts w:ascii="宋体" w:hAnsi="宋体" w:cs="宋体"/>
          <w:sz w:val="24"/>
        </w:rPr>
      </w:pPr>
      <w:r>
        <w:rPr>
          <w:rFonts w:hint="eastAsia" w:ascii="宋体" w:hAnsi="宋体" w:cs="宋体"/>
          <w:sz w:val="24"/>
        </w:rPr>
        <w:t>6、以上事项如有虚假或隐瞒，我</w:t>
      </w:r>
      <w:r>
        <w:rPr>
          <w:rFonts w:hint="eastAsia" w:ascii="宋体" w:hAnsi="宋体" w:cs="宋体"/>
          <w:kern w:val="0"/>
          <w:sz w:val="24"/>
          <w:lang w:val="zh-CN"/>
        </w:rPr>
        <w:t>公司</w:t>
      </w:r>
      <w:r>
        <w:rPr>
          <w:rFonts w:hint="eastAsia" w:ascii="宋体" w:hAnsi="宋体" w:cs="宋体"/>
          <w:sz w:val="24"/>
        </w:rPr>
        <w:t>愿意承担一切后果，并不再寻求任何旨在减轻或免除法律责任的辩解。</w:t>
      </w:r>
    </w:p>
    <w:p>
      <w:pPr>
        <w:adjustRightInd w:val="0"/>
        <w:snapToGrid w:val="0"/>
        <w:spacing w:line="360" w:lineRule="auto"/>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rPr>
        <w:t>（盖章）</w:t>
      </w:r>
      <w:r>
        <w:rPr>
          <w:rFonts w:hint="eastAsia" w:ascii="宋体" w:hAnsi="宋体" w:cs="宋体"/>
          <w:kern w:val="0"/>
          <w:sz w:val="24"/>
          <w:lang w:val="zh-CN"/>
        </w:rPr>
        <w:t>：</w:t>
      </w:r>
    </w:p>
    <w:p>
      <w:pPr>
        <w:adjustRightInd w:val="0"/>
        <w:snapToGrid w:val="0"/>
        <w:spacing w:line="360" w:lineRule="auto"/>
        <w:rPr>
          <w:rFonts w:ascii="宋体" w:hAnsi="宋体" w:cs="宋体"/>
          <w:kern w:val="0"/>
          <w:sz w:val="24"/>
          <w:lang w:val="zh-CN"/>
        </w:rPr>
      </w:pPr>
      <w:r>
        <w:rPr>
          <w:rFonts w:hint="eastAsia" w:ascii="宋体" w:hAnsi="宋体" w:cs="宋体"/>
          <w:sz w:val="24"/>
        </w:rPr>
        <w:t>法定代表人或授权委托人(签字或盖章)</w:t>
      </w:r>
      <w:r>
        <w:rPr>
          <w:rFonts w:hint="eastAsia" w:ascii="宋体" w:hAnsi="宋体" w:cs="宋体"/>
          <w:kern w:val="0"/>
          <w:sz w:val="24"/>
          <w:lang w:val="zh-CN"/>
        </w:rPr>
        <w:t>：</w:t>
      </w:r>
    </w:p>
    <w:p>
      <w:pPr>
        <w:adjustRightInd w:val="0"/>
        <w:snapToGrid w:val="0"/>
        <w:spacing w:line="360" w:lineRule="auto"/>
        <w:ind w:right="480"/>
        <w:rPr>
          <w:rFonts w:ascii="宋体" w:hAnsi="宋体" w:cs="宋体"/>
          <w:kern w:val="0"/>
          <w:sz w:val="24"/>
          <w:lang w:val="zh-CN"/>
        </w:rPr>
      </w:pPr>
      <w:r>
        <w:rPr>
          <w:rFonts w:hint="eastAsia" w:ascii="宋体" w:hAnsi="宋体" w:cs="宋体"/>
          <w:kern w:val="0"/>
          <w:sz w:val="24"/>
          <w:lang w:val="zh-CN"/>
        </w:rPr>
        <w:t>日期：</w:t>
      </w:r>
    </w:p>
    <w:p>
      <w:pPr>
        <w:spacing w:line="460" w:lineRule="exact"/>
        <w:jc w:val="left"/>
        <w:rPr>
          <w:rFonts w:ascii="宋体" w:hAnsi="宋体" w:cs="宋体"/>
          <w:b/>
          <w:sz w:val="22"/>
          <w:szCs w:val="22"/>
        </w:rPr>
      </w:pPr>
      <w:r>
        <w:rPr>
          <w:rFonts w:hint="eastAsia" w:ascii="宋体" w:hAnsi="宋体" w:cs="宋体"/>
          <w:b/>
          <w:sz w:val="22"/>
          <w:szCs w:val="22"/>
        </w:rPr>
        <w:t>附件2：</w:t>
      </w:r>
    </w:p>
    <w:p>
      <w:pPr>
        <w:spacing w:line="460" w:lineRule="exact"/>
        <w:jc w:val="center"/>
        <w:rPr>
          <w:rFonts w:hint="eastAsia" w:ascii="宋体" w:hAnsi="宋体" w:cs="宋体"/>
          <w:szCs w:val="28"/>
        </w:rPr>
      </w:pPr>
      <w:r>
        <w:rPr>
          <w:rFonts w:hint="eastAsia" w:ascii="宋体" w:hAnsi="宋体" w:cs="宋体"/>
          <w:b/>
          <w:sz w:val="22"/>
          <w:szCs w:val="22"/>
        </w:rPr>
        <w:t>法定代表人授权书</w:t>
      </w:r>
    </w:p>
    <w:p>
      <w:pPr>
        <w:spacing w:line="420" w:lineRule="exact"/>
        <w:rPr>
          <w:rFonts w:hint="eastAsia" w:ascii="宋体" w:hAnsi="宋体" w:cs="宋体"/>
          <w:b/>
          <w:sz w:val="22"/>
          <w:szCs w:val="22"/>
        </w:rPr>
      </w:pPr>
    </w:p>
    <w:p>
      <w:pPr>
        <w:spacing w:line="420" w:lineRule="exact"/>
        <w:rPr>
          <w:rFonts w:hint="eastAsia" w:ascii="宋体" w:hAnsi="宋体" w:cs="宋体"/>
          <w:sz w:val="22"/>
          <w:szCs w:val="22"/>
        </w:rPr>
      </w:pPr>
      <w:r>
        <w:rPr>
          <w:rFonts w:hint="eastAsia" w:ascii="宋体" w:hAnsi="宋体" w:cs="宋体"/>
          <w:sz w:val="22"/>
          <w:szCs w:val="22"/>
        </w:rPr>
        <w:t>台州市公安局集聚区分局：</w:t>
      </w:r>
    </w:p>
    <w:p>
      <w:pPr>
        <w:spacing w:line="460" w:lineRule="exact"/>
        <w:rPr>
          <w:rFonts w:hint="eastAsia" w:ascii="宋体" w:hAnsi="宋体" w:cs="宋体"/>
          <w:sz w:val="22"/>
          <w:szCs w:val="22"/>
          <w:u w:val="single"/>
        </w:rPr>
      </w:pPr>
    </w:p>
    <w:p>
      <w:pPr>
        <w:spacing w:line="360" w:lineRule="auto"/>
        <w:rPr>
          <w:rFonts w:hint="eastAsia" w:ascii="宋体" w:hAnsi="宋体" w:cs="宋体"/>
          <w:sz w:val="24"/>
          <w:u w:val="single"/>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（单位全称）法定代表人</w:t>
      </w:r>
      <w:r>
        <w:rPr>
          <w:rFonts w:hint="eastAsia" w:ascii="宋体" w:hAnsi="宋体" w:cs="宋体"/>
          <w:sz w:val="24"/>
          <w:u w:val="single"/>
        </w:rPr>
        <w:t xml:space="preserve">        </w:t>
      </w:r>
      <w:r>
        <w:rPr>
          <w:rFonts w:hint="eastAsia" w:ascii="宋体" w:hAnsi="宋体" w:cs="宋体"/>
          <w:sz w:val="24"/>
        </w:rPr>
        <w:t xml:space="preserve">（姓名）  </w:t>
      </w:r>
    </w:p>
    <w:p>
      <w:pPr>
        <w:spacing w:line="360" w:lineRule="auto"/>
        <w:rPr>
          <w:rFonts w:hint="eastAsia" w:ascii="宋体" w:hAnsi="宋体" w:cs="宋体"/>
          <w:sz w:val="24"/>
        </w:rPr>
      </w:pPr>
      <w:r>
        <w:rPr>
          <w:rFonts w:hint="eastAsia" w:ascii="宋体" w:hAnsi="宋体" w:cs="宋体"/>
          <w:sz w:val="24"/>
        </w:rPr>
        <w:t xml:space="preserve">授权 </w:t>
      </w:r>
      <w:r>
        <w:rPr>
          <w:rFonts w:hint="eastAsia" w:ascii="宋体" w:hAnsi="宋体" w:cs="宋体"/>
          <w:sz w:val="24"/>
          <w:u w:val="single"/>
        </w:rPr>
        <w:t xml:space="preserve">        </w:t>
      </w:r>
      <w:r>
        <w:rPr>
          <w:rFonts w:hint="eastAsia" w:ascii="宋体" w:hAnsi="宋体" w:cs="宋体"/>
          <w:sz w:val="24"/>
        </w:rPr>
        <w:t>（ 投标人代表名称）为全权代表，参加贵处组织的</w:t>
      </w:r>
      <w:r>
        <w:rPr>
          <w:rFonts w:hint="eastAsia" w:ascii="宋体" w:hAnsi="宋体" w:cs="宋体"/>
          <w:sz w:val="24"/>
          <w:u w:val="single"/>
        </w:rPr>
        <w:t xml:space="preserve"> 台州市公安局集聚区分局雪亮工程（三期）前端点位建设项目</w:t>
      </w:r>
      <w:r>
        <w:rPr>
          <w:rFonts w:hint="eastAsia" w:ascii="宋体" w:hAnsi="宋体" w:cs="宋体"/>
          <w:b/>
          <w:bCs/>
          <w:sz w:val="24"/>
          <w:u w:val="single"/>
        </w:rPr>
        <w:t>或</w:t>
      </w:r>
      <w:r>
        <w:rPr>
          <w:rFonts w:hint="eastAsia" w:ascii="宋体" w:hAnsi="宋体" w:cs="宋体"/>
          <w:sz w:val="24"/>
          <w:u w:val="single"/>
        </w:rPr>
        <w:t>台州市公安局集聚区分局雪亮工程（三期）后端保障服务项目</w:t>
      </w:r>
      <w:r>
        <w:rPr>
          <w:rFonts w:hint="eastAsia" w:ascii="宋体" w:hAnsi="宋体" w:cs="宋体"/>
          <w:sz w:val="24"/>
        </w:rPr>
        <w:t>（项目名称），全权处理招标活动中的一切事宜。同时宣布承诺如下：</w:t>
      </w:r>
    </w:p>
    <w:p>
      <w:pPr>
        <w:spacing w:line="360" w:lineRule="auto"/>
        <w:ind w:left="600"/>
        <w:rPr>
          <w:rFonts w:hint="eastAsia" w:ascii="宋体" w:hAnsi="宋体" w:cs="宋体"/>
          <w:sz w:val="24"/>
        </w:rPr>
      </w:pPr>
      <w:r>
        <w:rPr>
          <w:rFonts w:hint="eastAsia" w:ascii="宋体" w:hAnsi="宋体" w:cs="宋体"/>
          <w:sz w:val="24"/>
        </w:rPr>
        <w:t>1.投标人已详细阅读全部招标文件（含修改文件），并理解其实质性内</w:t>
      </w:r>
    </w:p>
    <w:p>
      <w:pPr>
        <w:spacing w:line="360" w:lineRule="auto"/>
        <w:rPr>
          <w:rFonts w:hint="eastAsia" w:ascii="宋体" w:hAnsi="宋体" w:cs="宋体"/>
          <w:sz w:val="24"/>
        </w:rPr>
      </w:pPr>
      <w:r>
        <w:rPr>
          <w:rFonts w:hint="eastAsia" w:ascii="宋体" w:hAnsi="宋体" w:cs="宋体"/>
          <w:sz w:val="24"/>
        </w:rPr>
        <w:t>容，同意承担招标文件规定的全部义务和相关责任。</w:t>
      </w:r>
    </w:p>
    <w:p>
      <w:pPr>
        <w:spacing w:line="360" w:lineRule="auto"/>
        <w:ind w:left="600"/>
        <w:rPr>
          <w:rFonts w:hint="eastAsia" w:ascii="宋体" w:hAnsi="宋体" w:cs="宋体"/>
          <w:sz w:val="24"/>
        </w:rPr>
      </w:pPr>
      <w:r>
        <w:rPr>
          <w:rFonts w:hint="eastAsia" w:ascii="宋体" w:hAnsi="宋体" w:cs="宋体"/>
          <w:sz w:val="24"/>
        </w:rPr>
        <w:t>2.投标人同意提供招标人可能要求的与其投标有关的一切数据或资料。</w:t>
      </w:r>
    </w:p>
    <w:p>
      <w:pPr>
        <w:spacing w:line="360" w:lineRule="auto"/>
        <w:ind w:left="600"/>
        <w:rPr>
          <w:rFonts w:hint="eastAsia" w:ascii="宋体" w:hAnsi="宋体" w:cs="宋体"/>
          <w:sz w:val="24"/>
        </w:rPr>
      </w:pPr>
      <w:r>
        <w:rPr>
          <w:rFonts w:hint="eastAsia" w:ascii="宋体" w:hAnsi="宋体" w:cs="宋体"/>
          <w:sz w:val="24"/>
        </w:rPr>
        <w:t>3.投标人所提交的一切投标资料均为合法且真实有效。</w:t>
      </w:r>
    </w:p>
    <w:p>
      <w:pPr>
        <w:spacing w:line="360" w:lineRule="auto"/>
        <w:rPr>
          <w:rFonts w:hint="eastAsia" w:ascii="宋体" w:hAnsi="宋体" w:cs="宋体"/>
          <w:sz w:val="24"/>
        </w:rPr>
      </w:pPr>
    </w:p>
    <w:p>
      <w:pPr>
        <w:rPr>
          <w:rFonts w:hint="eastAsia" w:ascii="宋体" w:hAnsi="宋体" w:cs="宋体"/>
          <w:sz w:val="24"/>
        </w:rPr>
      </w:pPr>
      <w:r>
        <w:rPr>
          <w:rFonts w:hint="eastAsia" w:ascii="宋体" w:hAnsi="宋体" w:cs="宋体"/>
          <w:sz w:val="24"/>
        </w:rPr>
        <w:t>法定代表人（签字或盖章）：</w:t>
      </w:r>
    </w:p>
    <w:p>
      <w:pPr>
        <w:rPr>
          <w:rFonts w:hint="eastAsia" w:ascii="宋体" w:hAnsi="宋体" w:cs="宋体"/>
          <w:sz w:val="24"/>
        </w:rPr>
      </w:pPr>
    </w:p>
    <w:p>
      <w:pPr>
        <w:rPr>
          <w:rFonts w:hint="eastAsia" w:ascii="宋体" w:hAnsi="宋体" w:cs="宋体"/>
          <w:sz w:val="24"/>
        </w:rPr>
      </w:pPr>
    </w:p>
    <w:p>
      <w:pPr>
        <w:rPr>
          <w:rFonts w:hint="eastAsia" w:ascii="宋体" w:hAnsi="宋体" w:cs="宋体"/>
          <w:sz w:val="24"/>
        </w:rPr>
      </w:pPr>
      <w:r>
        <w:rPr>
          <w:rFonts w:hint="eastAsia" w:ascii="宋体" w:hAnsi="宋体" w:cs="宋体"/>
          <w:sz w:val="24"/>
        </w:rPr>
        <w:t>投标人全称（公章）：                日  期：</w:t>
      </w:r>
    </w:p>
    <w:p>
      <w:pPr>
        <w:rPr>
          <w:rFonts w:hint="eastAsia" w:ascii="宋体" w:hAnsi="宋体" w:cs="宋体"/>
          <w:sz w:val="24"/>
        </w:rPr>
      </w:pPr>
    </w:p>
    <w:p>
      <w:pPr>
        <w:spacing w:line="380" w:lineRule="atLeast"/>
        <w:rPr>
          <w:rFonts w:hint="eastAsia" w:ascii="宋体" w:hAnsi="宋体" w:cs="宋体"/>
          <w:sz w:val="24"/>
        </w:rPr>
      </w:pPr>
    </w:p>
    <w:tbl>
      <w:tblPr>
        <w:tblStyle w:val="37"/>
        <w:tblpPr w:leftFromText="180" w:rightFromText="180" w:vertAnchor="text" w:horzAnchor="margin" w:tblpXSpec="right"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noWrap w:val="0"/>
            <w:vAlign w:val="top"/>
          </w:tcPr>
          <w:p>
            <w:pPr>
              <w:spacing w:line="400" w:lineRule="atLeast"/>
              <w:rPr>
                <w:rFonts w:hint="eastAsia" w:ascii="宋体" w:hAnsi="宋体" w:cs="宋体"/>
                <w:sz w:val="24"/>
              </w:rPr>
            </w:pPr>
          </w:p>
          <w:p>
            <w:pPr>
              <w:spacing w:line="400" w:lineRule="atLeast"/>
              <w:rPr>
                <w:rFonts w:hint="eastAsia" w:ascii="宋体" w:hAnsi="宋体" w:cs="宋体"/>
                <w:sz w:val="24"/>
              </w:rPr>
            </w:pPr>
            <w:r>
              <w:rPr>
                <w:rFonts w:hint="eastAsia" w:ascii="宋体" w:hAnsi="宋体" w:cs="宋体"/>
                <w:sz w:val="24"/>
              </w:rPr>
              <w:t>全权代表身份证复印件粘帖处（或附后）</w:t>
            </w:r>
          </w:p>
        </w:tc>
      </w:tr>
    </w:tbl>
    <w:p>
      <w:pPr>
        <w:spacing w:line="400" w:lineRule="atLeast"/>
        <w:rPr>
          <w:rFonts w:hint="eastAsia" w:ascii="宋体" w:hAnsi="宋体" w:cs="宋体"/>
          <w:sz w:val="24"/>
        </w:rPr>
      </w:pPr>
      <w:r>
        <w:rPr>
          <w:rFonts w:hint="eastAsia" w:ascii="宋体" w:hAnsi="宋体" w:cs="宋体"/>
          <w:sz w:val="24"/>
        </w:rPr>
        <w:t>附：</w:t>
      </w:r>
    </w:p>
    <w:p>
      <w:pPr>
        <w:spacing w:line="400" w:lineRule="atLeast"/>
        <w:rPr>
          <w:rFonts w:hint="eastAsia" w:ascii="宋体" w:hAnsi="宋体" w:cs="宋体"/>
          <w:sz w:val="24"/>
        </w:rPr>
      </w:pPr>
      <w:r>
        <w:rPr>
          <w:rFonts w:hint="eastAsia" w:ascii="宋体" w:hAnsi="宋体" w:cs="宋体"/>
          <w:sz w:val="24"/>
        </w:rPr>
        <w:t xml:space="preserve">全权代表姓名：       职务：                           </w:t>
      </w:r>
    </w:p>
    <w:p>
      <w:pPr>
        <w:spacing w:line="400" w:lineRule="atLeast"/>
        <w:rPr>
          <w:rFonts w:hint="eastAsia" w:ascii="宋体" w:hAnsi="宋体" w:cs="宋体"/>
          <w:sz w:val="24"/>
        </w:rPr>
      </w:pPr>
      <w:r>
        <w:rPr>
          <w:rFonts w:hint="eastAsia" w:ascii="宋体" w:hAnsi="宋体" w:cs="宋体"/>
          <w:sz w:val="24"/>
        </w:rPr>
        <w:t>传真：</w:t>
      </w:r>
    </w:p>
    <w:p>
      <w:pPr>
        <w:spacing w:line="400" w:lineRule="atLeast"/>
        <w:rPr>
          <w:rFonts w:hint="eastAsia" w:ascii="宋体" w:hAnsi="宋体" w:cs="宋体"/>
          <w:sz w:val="24"/>
        </w:rPr>
      </w:pPr>
      <w:r>
        <w:rPr>
          <w:rFonts w:hint="eastAsia" w:ascii="宋体" w:hAnsi="宋体" w:cs="宋体"/>
          <w:sz w:val="24"/>
        </w:rPr>
        <w:t>手机号码：</w:t>
      </w:r>
    </w:p>
    <w:p>
      <w:pPr>
        <w:spacing w:line="400" w:lineRule="atLeast"/>
        <w:rPr>
          <w:rFonts w:hint="eastAsia" w:ascii="宋体" w:hAnsi="宋体" w:cs="宋体"/>
          <w:sz w:val="24"/>
        </w:rPr>
      </w:pPr>
      <w:r>
        <w:rPr>
          <w:rFonts w:hint="eastAsia" w:ascii="宋体" w:hAnsi="宋体" w:cs="宋体"/>
          <w:sz w:val="24"/>
        </w:rPr>
        <w:t>电子邮箱（建议为qq邮箱）：</w:t>
      </w:r>
    </w:p>
    <w:p>
      <w:pPr>
        <w:spacing w:line="400" w:lineRule="atLeast"/>
        <w:rPr>
          <w:rFonts w:hint="eastAsia" w:ascii="宋体" w:hAnsi="宋体" w:cs="宋体"/>
          <w:b/>
          <w:sz w:val="24"/>
        </w:rPr>
      </w:pPr>
    </w:p>
    <w:p>
      <w:pPr>
        <w:spacing w:line="400" w:lineRule="atLeast"/>
        <w:rPr>
          <w:rFonts w:hint="eastAsia" w:ascii="宋体" w:hAnsi="宋体" w:cs="宋体"/>
          <w:b/>
          <w:sz w:val="24"/>
        </w:rPr>
      </w:pPr>
    </w:p>
    <w:p>
      <w:pPr>
        <w:spacing w:line="400" w:lineRule="atLeast"/>
        <w:rPr>
          <w:rFonts w:hint="eastAsia" w:ascii="宋体" w:hAnsi="宋体" w:cs="宋体"/>
          <w:b/>
          <w:sz w:val="24"/>
        </w:rPr>
      </w:pPr>
      <w:r>
        <w:rPr>
          <w:rFonts w:hint="eastAsia" w:ascii="宋体" w:hAnsi="宋体" w:cs="宋体"/>
          <w:b/>
          <w:sz w:val="24"/>
        </w:rPr>
        <w:t>备注：全权代表的手机号码和电子邮箱必须准确填写，开评标过程中须保持手机号码和电子邮箱畅通，随时进行项目开标情况通报及回执。</w:t>
      </w:r>
    </w:p>
    <w:p>
      <w:pPr>
        <w:spacing w:line="480" w:lineRule="auto"/>
        <w:rPr>
          <w:rFonts w:hint="eastAsia" w:ascii="宋体" w:hAnsi="宋体" w:cs="宋体"/>
          <w:b/>
          <w:bCs/>
          <w:sz w:val="22"/>
          <w:szCs w:val="22"/>
        </w:rPr>
      </w:pPr>
    </w:p>
    <w:p>
      <w:pPr>
        <w:spacing w:line="480" w:lineRule="auto"/>
        <w:ind w:left="1260" w:hanging="559"/>
        <w:rPr>
          <w:rFonts w:hint="eastAsia" w:ascii="宋体" w:hAnsi="宋体" w:cs="宋体"/>
          <w:b/>
          <w:bCs/>
          <w:sz w:val="22"/>
          <w:szCs w:val="22"/>
        </w:rPr>
      </w:pPr>
    </w:p>
    <w:p>
      <w:pPr>
        <w:snapToGrid w:val="0"/>
        <w:spacing w:before="50" w:after="50"/>
        <w:rPr>
          <w:rFonts w:hint="eastAsia" w:ascii="宋体" w:hAnsi="宋体" w:cs="宋体"/>
          <w:sz w:val="24"/>
        </w:rPr>
      </w:pPr>
    </w:p>
    <w:p>
      <w:pPr>
        <w:pStyle w:val="98"/>
        <w:rPr>
          <w:rFonts w:hint="eastAsia" w:ascii="宋体" w:hAnsi="宋体" w:cs="宋体"/>
          <w:sz w:val="24"/>
        </w:rPr>
      </w:pPr>
    </w:p>
    <w:p>
      <w:pPr>
        <w:pStyle w:val="98"/>
        <w:rPr>
          <w:rFonts w:hint="eastAsia" w:ascii="宋体" w:hAnsi="宋体" w:cs="宋体"/>
          <w:sz w:val="24"/>
        </w:rPr>
      </w:pPr>
    </w:p>
    <w:p>
      <w:pPr>
        <w:pStyle w:val="98"/>
        <w:rPr>
          <w:rFonts w:hint="eastAsia" w:ascii="宋体" w:hAnsi="宋体" w:cs="宋体"/>
          <w:sz w:val="24"/>
        </w:rPr>
      </w:pPr>
    </w:p>
    <w:p>
      <w:pPr>
        <w:spacing w:line="460" w:lineRule="exact"/>
        <w:jc w:val="left"/>
        <w:rPr>
          <w:rFonts w:hint="eastAsia" w:ascii="宋体" w:hAnsi="宋体" w:cs="宋体"/>
          <w:b/>
          <w:sz w:val="22"/>
          <w:szCs w:val="22"/>
        </w:rPr>
      </w:pPr>
      <w:r>
        <w:rPr>
          <w:rFonts w:hint="eastAsia" w:ascii="宋体" w:hAnsi="宋体" w:cs="宋体"/>
          <w:b/>
          <w:sz w:val="22"/>
          <w:szCs w:val="22"/>
        </w:rPr>
        <w:t>附件3：</w:t>
      </w:r>
    </w:p>
    <w:p>
      <w:pPr>
        <w:ind w:left="-33" w:leftChars="-150" w:right="-395" w:rightChars="-141" w:hanging="387" w:hangingChars="121"/>
        <w:jc w:val="center"/>
        <w:rPr>
          <w:rFonts w:hint="eastAsia" w:ascii="宋体" w:hAnsi="宋体" w:cs="宋体"/>
          <w:bCs/>
          <w:sz w:val="32"/>
          <w:szCs w:val="32"/>
        </w:rPr>
      </w:pPr>
      <w:r>
        <w:rPr>
          <w:rFonts w:hint="eastAsia" w:ascii="宋体" w:hAnsi="宋体" w:cs="宋体"/>
          <w:bCs/>
          <w:sz w:val="32"/>
          <w:szCs w:val="32"/>
        </w:rPr>
        <w:t>法定代表人身份证明</w:t>
      </w:r>
    </w:p>
    <w:p>
      <w:pPr>
        <w:ind w:left="-33" w:leftChars="-150" w:right="-395" w:rightChars="-141" w:hanging="387" w:hangingChars="121"/>
        <w:jc w:val="center"/>
        <w:rPr>
          <w:rFonts w:hint="eastAsia" w:ascii="宋体" w:hAnsi="宋体" w:cs="宋体"/>
          <w:bCs/>
          <w:sz w:val="32"/>
          <w:szCs w:val="32"/>
        </w:rPr>
      </w:pPr>
    </w:p>
    <w:p>
      <w:pPr>
        <w:pStyle w:val="84"/>
        <w:ind w:firstLine="420"/>
        <w:rPr>
          <w:rFonts w:hint="eastAsia" w:hAnsi="宋体" w:eastAsia="宋体" w:cs="宋体"/>
          <w:sz w:val="24"/>
          <w:szCs w:val="24"/>
        </w:rPr>
      </w:pPr>
      <w:r>
        <w:rPr>
          <w:rFonts w:hint="eastAsia" w:hAnsi="宋体" w:eastAsia="宋体" w:cs="宋体"/>
          <w:sz w:val="24"/>
          <w:szCs w:val="24"/>
        </w:rPr>
        <w:t>投标人名称：</w:t>
      </w:r>
      <w:r>
        <w:rPr>
          <w:rFonts w:hint="eastAsia" w:hAnsi="宋体" w:eastAsia="宋体" w:cs="宋体"/>
          <w:sz w:val="24"/>
          <w:szCs w:val="24"/>
          <w:u w:val="single"/>
        </w:rPr>
        <w:t>　　　　　　　　　　　　　　　　　　</w:t>
      </w:r>
    </w:p>
    <w:p>
      <w:pPr>
        <w:pStyle w:val="84"/>
        <w:ind w:firstLine="420"/>
        <w:rPr>
          <w:rFonts w:hint="eastAsia" w:hAnsi="宋体" w:eastAsia="宋体" w:cs="宋体"/>
          <w:sz w:val="24"/>
          <w:szCs w:val="24"/>
          <w:u w:val="single"/>
        </w:rPr>
      </w:pPr>
    </w:p>
    <w:p>
      <w:pPr>
        <w:pStyle w:val="84"/>
        <w:ind w:firstLine="420"/>
        <w:rPr>
          <w:rFonts w:hint="eastAsia" w:hAnsi="宋体" w:eastAsia="宋体" w:cs="宋体"/>
          <w:sz w:val="24"/>
          <w:szCs w:val="24"/>
        </w:rPr>
      </w:pPr>
      <w:r>
        <w:rPr>
          <w:rFonts w:hint="eastAsia" w:hAnsi="宋体" w:eastAsia="宋体" w:cs="宋体"/>
          <w:sz w:val="24"/>
          <w:szCs w:val="24"/>
        </w:rPr>
        <w:t>我单位的法定代表人身份信息如下：</w:t>
      </w:r>
    </w:p>
    <w:p>
      <w:pPr>
        <w:pStyle w:val="84"/>
        <w:ind w:firstLine="420"/>
        <w:rPr>
          <w:rFonts w:hint="eastAsia" w:hAnsi="宋体" w:eastAsia="宋体" w:cs="宋体"/>
          <w:sz w:val="24"/>
          <w:szCs w:val="24"/>
        </w:rPr>
      </w:pPr>
    </w:p>
    <w:p>
      <w:pPr>
        <w:pStyle w:val="84"/>
        <w:ind w:firstLine="420"/>
        <w:rPr>
          <w:rFonts w:hint="eastAsia" w:hAnsi="宋体" w:eastAsia="宋体" w:cs="宋体"/>
          <w:sz w:val="24"/>
          <w:szCs w:val="24"/>
        </w:rPr>
      </w:pPr>
      <w:r>
        <w:rPr>
          <w:rFonts w:hint="eastAsia" w:hAnsi="宋体" w:eastAsia="宋体" w:cs="宋体"/>
          <w:sz w:val="24"/>
          <w:szCs w:val="24"/>
        </w:rPr>
        <w:t>姓名：</w:t>
      </w:r>
      <w:r>
        <w:rPr>
          <w:rFonts w:hint="eastAsia" w:hAnsi="宋体" w:eastAsia="宋体" w:cs="宋体"/>
          <w:sz w:val="24"/>
          <w:szCs w:val="24"/>
          <w:u w:val="single"/>
        </w:rPr>
        <w:t xml:space="preserve">           </w:t>
      </w:r>
      <w:r>
        <w:rPr>
          <w:rFonts w:hint="eastAsia" w:hAnsi="宋体" w:eastAsia="宋体" w:cs="宋体"/>
          <w:sz w:val="24"/>
          <w:szCs w:val="24"/>
        </w:rPr>
        <w:t>；性别：</w:t>
      </w:r>
      <w:r>
        <w:rPr>
          <w:rFonts w:hint="eastAsia" w:hAnsi="宋体" w:eastAsia="宋体" w:cs="宋体"/>
          <w:sz w:val="24"/>
          <w:szCs w:val="24"/>
          <w:u w:val="single"/>
        </w:rPr>
        <w:t xml:space="preserve">        </w:t>
      </w:r>
      <w:r>
        <w:rPr>
          <w:rFonts w:hint="eastAsia" w:hAnsi="宋体" w:eastAsia="宋体" w:cs="宋体"/>
          <w:sz w:val="24"/>
          <w:szCs w:val="24"/>
        </w:rPr>
        <w:t>；</w:t>
      </w:r>
    </w:p>
    <w:p>
      <w:pPr>
        <w:pStyle w:val="84"/>
        <w:ind w:firstLine="420"/>
        <w:rPr>
          <w:rFonts w:hint="eastAsia" w:hAnsi="宋体" w:eastAsia="宋体" w:cs="宋体"/>
          <w:sz w:val="24"/>
          <w:szCs w:val="24"/>
        </w:rPr>
      </w:pPr>
    </w:p>
    <w:p>
      <w:pPr>
        <w:pStyle w:val="84"/>
        <w:ind w:firstLine="420"/>
        <w:rPr>
          <w:rFonts w:hint="eastAsia" w:hAnsi="宋体" w:eastAsia="宋体" w:cs="宋体"/>
          <w:sz w:val="24"/>
          <w:szCs w:val="24"/>
        </w:rPr>
      </w:pPr>
      <w:r>
        <w:rPr>
          <w:rFonts w:hint="eastAsia" w:hAnsi="宋体" w:eastAsia="宋体" w:cs="宋体"/>
          <w:sz w:val="24"/>
          <w:szCs w:val="24"/>
        </w:rPr>
        <w:t>身份证号码：</w:t>
      </w:r>
      <w:r>
        <w:rPr>
          <w:rFonts w:hint="eastAsia" w:hAnsi="宋体" w:eastAsia="宋体" w:cs="宋体"/>
          <w:sz w:val="24"/>
          <w:szCs w:val="24"/>
          <w:u w:val="single"/>
        </w:rPr>
        <w:t xml:space="preserve">                     </w:t>
      </w:r>
      <w:r>
        <w:rPr>
          <w:rFonts w:hint="eastAsia" w:hAnsi="宋体" w:eastAsia="宋体" w:cs="宋体"/>
          <w:sz w:val="24"/>
          <w:szCs w:val="24"/>
        </w:rPr>
        <w:t xml:space="preserve">； </w:t>
      </w:r>
    </w:p>
    <w:p>
      <w:pPr>
        <w:pStyle w:val="84"/>
        <w:ind w:firstLine="420"/>
        <w:rPr>
          <w:rFonts w:hint="eastAsia" w:hAnsi="宋体" w:eastAsia="宋体" w:cs="宋体"/>
          <w:sz w:val="24"/>
          <w:szCs w:val="24"/>
        </w:rPr>
      </w:pPr>
    </w:p>
    <w:p>
      <w:pPr>
        <w:pStyle w:val="84"/>
        <w:ind w:firstLine="420"/>
        <w:rPr>
          <w:rFonts w:hint="eastAsia" w:hAnsi="宋体" w:eastAsia="宋体" w:cs="宋体"/>
          <w:sz w:val="24"/>
          <w:szCs w:val="24"/>
        </w:rPr>
      </w:pPr>
      <w:r>
        <w:rPr>
          <w:rFonts w:hint="eastAsia" w:hAnsi="宋体" w:eastAsia="宋体" w:cs="宋体"/>
          <w:sz w:val="24"/>
          <w:szCs w:val="24"/>
        </w:rPr>
        <w:t>手机号码：</w:t>
      </w:r>
      <w:r>
        <w:rPr>
          <w:rFonts w:hint="eastAsia" w:hAnsi="宋体" w:eastAsia="宋体" w:cs="宋体"/>
          <w:sz w:val="24"/>
          <w:szCs w:val="24"/>
          <w:u w:val="single"/>
        </w:rPr>
        <w:t xml:space="preserve">                     </w:t>
      </w:r>
      <w:r>
        <w:rPr>
          <w:rFonts w:hint="eastAsia" w:hAnsi="宋体" w:eastAsia="宋体" w:cs="宋体"/>
          <w:sz w:val="24"/>
          <w:szCs w:val="24"/>
        </w:rPr>
        <w:t>；</w:t>
      </w:r>
    </w:p>
    <w:p>
      <w:pPr>
        <w:pStyle w:val="84"/>
        <w:ind w:firstLine="420"/>
        <w:rPr>
          <w:rFonts w:hint="eastAsia" w:hAnsi="宋体" w:eastAsia="宋体" w:cs="宋体"/>
          <w:sz w:val="24"/>
          <w:szCs w:val="24"/>
        </w:rPr>
      </w:pPr>
    </w:p>
    <w:p>
      <w:pPr>
        <w:pStyle w:val="84"/>
        <w:ind w:firstLine="420"/>
        <w:rPr>
          <w:rFonts w:hint="eastAsia" w:hAnsi="宋体" w:eastAsia="宋体" w:cs="宋体"/>
          <w:sz w:val="24"/>
          <w:szCs w:val="24"/>
        </w:rPr>
      </w:pPr>
      <w:r>
        <w:rPr>
          <w:rFonts w:hint="eastAsia" w:hAnsi="宋体" w:eastAsia="宋体" w:cs="宋体"/>
          <w:sz w:val="24"/>
          <w:szCs w:val="24"/>
        </w:rPr>
        <w:t>电子邮箱（建议为qq邮箱）：</w:t>
      </w:r>
      <w:r>
        <w:rPr>
          <w:rFonts w:hint="eastAsia" w:hAnsi="宋体" w:eastAsia="宋体" w:cs="宋体"/>
          <w:sz w:val="24"/>
          <w:szCs w:val="24"/>
          <w:u w:val="single"/>
        </w:rPr>
        <w:t xml:space="preserve">                     </w:t>
      </w:r>
      <w:r>
        <w:rPr>
          <w:rFonts w:hint="eastAsia" w:hAnsi="宋体" w:eastAsia="宋体" w:cs="宋体"/>
          <w:sz w:val="24"/>
          <w:szCs w:val="24"/>
        </w:rPr>
        <w:t>；</w:t>
      </w:r>
    </w:p>
    <w:p>
      <w:pPr>
        <w:pStyle w:val="84"/>
        <w:ind w:firstLine="420"/>
        <w:rPr>
          <w:rFonts w:hint="eastAsia" w:hAnsi="宋体" w:eastAsia="宋体" w:cs="宋体"/>
          <w:sz w:val="24"/>
          <w:szCs w:val="24"/>
        </w:rPr>
      </w:pPr>
    </w:p>
    <w:p>
      <w:pPr>
        <w:pStyle w:val="84"/>
        <w:ind w:firstLine="420"/>
        <w:rPr>
          <w:rFonts w:hint="eastAsia" w:hAnsi="宋体" w:eastAsia="宋体" w:cs="宋体"/>
          <w:sz w:val="24"/>
          <w:szCs w:val="24"/>
        </w:rPr>
      </w:pPr>
      <w:r>
        <w:rPr>
          <w:rFonts w:hint="eastAsia" w:hAnsi="宋体" w:eastAsia="宋体" w:cs="宋体"/>
          <w:sz w:val="24"/>
          <w:szCs w:val="24"/>
        </w:rPr>
        <w:t>特此证明。</w:t>
      </w:r>
    </w:p>
    <w:p>
      <w:pPr>
        <w:pStyle w:val="84"/>
        <w:ind w:firstLine="420"/>
        <w:rPr>
          <w:rFonts w:hint="eastAsia" w:hAnsi="宋体" w:eastAsia="宋体" w:cs="宋体"/>
          <w:sz w:val="24"/>
          <w:szCs w:val="24"/>
        </w:rPr>
      </w:pPr>
    </w:p>
    <w:tbl>
      <w:tblPr>
        <w:tblStyle w:val="37"/>
        <w:tblW w:w="0" w:type="auto"/>
        <w:tblInd w:w="1511" w:type="dxa"/>
        <w:tblLayout w:type="fixed"/>
        <w:tblCellMar>
          <w:top w:w="0" w:type="dxa"/>
          <w:left w:w="108" w:type="dxa"/>
          <w:bottom w:w="0" w:type="dxa"/>
          <w:right w:w="108" w:type="dxa"/>
        </w:tblCellMar>
      </w:tblPr>
      <w:tblGrid>
        <w:gridCol w:w="6071"/>
      </w:tblGrid>
      <w:tr>
        <w:tblPrEx>
          <w:tblCellMar>
            <w:top w:w="0" w:type="dxa"/>
            <w:left w:w="108" w:type="dxa"/>
            <w:bottom w:w="0" w:type="dxa"/>
            <w:right w:w="108" w:type="dxa"/>
          </w:tblCellMar>
        </w:tblPrEx>
        <w:trPr>
          <w:trHeight w:val="2485" w:hRule="atLeast"/>
        </w:trPr>
        <w:tc>
          <w:tcPr>
            <w:tcW w:w="6071" w:type="dxa"/>
            <w:tcBorders>
              <w:top w:val="single" w:color="000000" w:sz="4" w:space="0"/>
              <w:left w:val="single" w:color="000000" w:sz="4" w:space="0"/>
              <w:bottom w:val="single" w:color="000000" w:sz="4" w:space="0"/>
              <w:right w:val="single" w:color="000000" w:sz="4" w:space="0"/>
            </w:tcBorders>
            <w:noWrap w:val="0"/>
            <w:vAlign w:val="center"/>
          </w:tcPr>
          <w:p>
            <w:pPr>
              <w:pStyle w:val="84"/>
              <w:ind w:firstLine="560"/>
              <w:jc w:val="center"/>
              <w:rPr>
                <w:rFonts w:hint="eastAsia" w:hAnsi="宋体" w:eastAsia="宋体" w:cs="宋体"/>
                <w:sz w:val="24"/>
                <w:szCs w:val="24"/>
              </w:rPr>
            </w:pPr>
            <w:r>
              <w:rPr>
                <w:rFonts w:hint="eastAsia" w:hAnsi="宋体" w:eastAsia="宋体" w:cs="宋体"/>
                <w:sz w:val="24"/>
                <w:szCs w:val="24"/>
              </w:rPr>
              <w:t>法定代表人身份证复印件</w:t>
            </w:r>
            <w:r>
              <w:rPr>
                <w:rFonts w:hint="eastAsia" w:hAnsi="宋体" w:eastAsia="宋体" w:cs="宋体"/>
                <w:sz w:val="24"/>
              </w:rPr>
              <w:t>粘帖处（或附后）</w:t>
            </w:r>
          </w:p>
        </w:tc>
      </w:tr>
    </w:tbl>
    <w:p>
      <w:pPr>
        <w:pStyle w:val="84"/>
        <w:ind w:firstLine="420"/>
        <w:rPr>
          <w:rFonts w:hint="eastAsia" w:hAnsi="宋体" w:eastAsia="宋体" w:cs="宋体"/>
          <w:sz w:val="24"/>
          <w:szCs w:val="24"/>
        </w:rPr>
      </w:pPr>
    </w:p>
    <w:p>
      <w:pPr>
        <w:spacing w:line="360" w:lineRule="auto"/>
        <w:ind w:firstLine="410" w:firstLineChars="171"/>
        <w:rPr>
          <w:rFonts w:hint="eastAsia" w:ascii="宋体" w:hAnsi="宋体" w:cs="宋体"/>
          <w:sz w:val="24"/>
        </w:rPr>
      </w:pPr>
      <w:r>
        <w:rPr>
          <w:rFonts w:hint="eastAsia" w:ascii="宋体" w:hAnsi="宋体" w:cs="宋体"/>
          <w:sz w:val="24"/>
        </w:rPr>
        <w:t>投标人名称(盖章)：</w:t>
      </w:r>
      <w:r>
        <w:rPr>
          <w:rFonts w:hint="eastAsia" w:ascii="宋体" w:hAnsi="宋体" w:cs="宋体"/>
          <w:sz w:val="24"/>
          <w:u w:val="single"/>
        </w:rPr>
        <w:t xml:space="preserve">                              </w:t>
      </w:r>
    </w:p>
    <w:p>
      <w:pPr>
        <w:spacing w:line="360" w:lineRule="auto"/>
        <w:ind w:firstLine="410" w:firstLineChars="171"/>
        <w:rPr>
          <w:rFonts w:hint="eastAsia" w:ascii="宋体" w:hAnsi="宋体" w:cs="宋体"/>
          <w:sz w:val="24"/>
        </w:rPr>
      </w:pPr>
      <w:r>
        <w:rPr>
          <w:rFonts w:hint="eastAsia" w:ascii="宋体" w:hAnsi="宋体" w:cs="宋体"/>
          <w:sz w:val="24"/>
        </w:rPr>
        <w:t>法定代表人（签字或盖章）：</w:t>
      </w:r>
      <w:r>
        <w:rPr>
          <w:rFonts w:hint="eastAsia" w:ascii="宋体" w:hAnsi="宋体" w:cs="宋体"/>
          <w:sz w:val="24"/>
          <w:u w:val="single"/>
        </w:rPr>
        <w:t xml:space="preserve">                    </w:t>
      </w:r>
    </w:p>
    <w:p>
      <w:pPr>
        <w:pStyle w:val="84"/>
        <w:ind w:firstLine="422"/>
        <w:rPr>
          <w:rFonts w:hint="eastAsia" w:hAnsi="宋体" w:eastAsia="宋体" w:cs="宋体"/>
          <w:b/>
          <w:sz w:val="24"/>
          <w:szCs w:val="24"/>
        </w:rPr>
      </w:pPr>
      <w:r>
        <w:rPr>
          <w:rFonts w:hint="eastAsia" w:hAnsi="宋体" w:eastAsia="宋体" w:cs="宋体"/>
          <w:sz w:val="24"/>
        </w:rPr>
        <w:t>日期：</w:t>
      </w:r>
      <w:r>
        <w:rPr>
          <w:rFonts w:hint="eastAsia" w:hAnsi="宋体" w:eastAsia="宋体" w:cs="宋体"/>
          <w:sz w:val="24"/>
          <w:u w:val="single"/>
        </w:rPr>
        <w:t xml:space="preserve">                    </w:t>
      </w:r>
    </w:p>
    <w:p>
      <w:pPr>
        <w:pStyle w:val="84"/>
        <w:ind w:firstLine="420"/>
        <w:rPr>
          <w:rFonts w:hint="eastAsia" w:hAnsi="宋体" w:eastAsia="宋体" w:cs="宋体"/>
          <w:b/>
          <w:sz w:val="24"/>
          <w:szCs w:val="24"/>
        </w:rPr>
      </w:pPr>
    </w:p>
    <w:p>
      <w:pPr>
        <w:pStyle w:val="84"/>
        <w:ind w:firstLine="420"/>
        <w:rPr>
          <w:rFonts w:hint="eastAsia" w:hAnsi="宋体" w:eastAsia="宋体" w:cs="宋体"/>
          <w:b/>
          <w:sz w:val="24"/>
          <w:szCs w:val="24"/>
        </w:rPr>
      </w:pPr>
    </w:p>
    <w:p>
      <w:pPr>
        <w:pStyle w:val="84"/>
        <w:ind w:firstLine="420"/>
        <w:rPr>
          <w:rFonts w:hint="eastAsia" w:hAnsi="宋体" w:eastAsia="宋体" w:cs="宋体"/>
          <w:b/>
          <w:sz w:val="24"/>
          <w:szCs w:val="24"/>
        </w:rPr>
      </w:pPr>
      <w:r>
        <w:rPr>
          <w:rFonts w:hint="eastAsia" w:hAnsi="宋体" w:eastAsia="宋体" w:cs="宋体"/>
          <w:b/>
          <w:sz w:val="24"/>
          <w:szCs w:val="24"/>
        </w:rPr>
        <w:t>备注：手机号码和电子邮箱必须准确填写，开评标过程中须保持手机号码和电子邮箱畅通，随时进行项目开标情况通报及回执。</w:t>
      </w:r>
    </w:p>
    <w:p>
      <w:pPr>
        <w:pStyle w:val="8"/>
        <w:spacing w:line="360" w:lineRule="auto"/>
        <w:jc w:val="center"/>
        <w:rPr>
          <w:rFonts w:hint="eastAsia" w:ascii="宋体" w:hAnsi="宋体" w:cs="宋体"/>
          <w:sz w:val="24"/>
        </w:rPr>
      </w:pPr>
    </w:p>
    <w:p>
      <w:pPr>
        <w:snapToGrid w:val="0"/>
        <w:spacing w:before="50" w:after="50"/>
        <w:rPr>
          <w:rFonts w:hint="eastAsia" w:ascii="宋体" w:hAnsi="宋体" w:cs="宋体"/>
          <w:sz w:val="24"/>
        </w:rPr>
      </w:pPr>
    </w:p>
    <w:p>
      <w:pPr>
        <w:snapToGrid w:val="0"/>
        <w:spacing w:before="50" w:after="50"/>
        <w:rPr>
          <w:rFonts w:hint="eastAsia" w:ascii="宋体" w:hAnsi="宋体" w:cs="宋体"/>
          <w:sz w:val="24"/>
        </w:rPr>
      </w:pPr>
    </w:p>
    <w:p>
      <w:pPr>
        <w:snapToGrid w:val="0"/>
        <w:spacing w:before="50" w:after="50"/>
        <w:rPr>
          <w:rFonts w:hint="eastAsia" w:ascii="宋体" w:hAnsi="宋体" w:cs="宋体"/>
          <w:b/>
          <w:sz w:val="22"/>
          <w:szCs w:val="22"/>
        </w:rPr>
      </w:pPr>
      <w:r>
        <w:rPr>
          <w:rFonts w:hint="eastAsia" w:ascii="宋体" w:hAnsi="宋体" w:cs="宋体"/>
          <w:sz w:val="24"/>
        </w:rPr>
        <w:br w:type="page"/>
      </w:r>
      <w:r>
        <w:rPr>
          <w:rFonts w:hint="eastAsia" w:ascii="宋体" w:hAnsi="宋体" w:cs="宋体"/>
          <w:b/>
          <w:sz w:val="22"/>
          <w:szCs w:val="22"/>
        </w:rPr>
        <w:t>附件4</w:t>
      </w:r>
    </w:p>
    <w:p>
      <w:pPr>
        <w:spacing w:line="360" w:lineRule="atLeast"/>
        <w:ind w:left="641" w:leftChars="229" w:firstLine="2870" w:firstLineChars="953"/>
        <w:rPr>
          <w:rFonts w:hint="eastAsia" w:ascii="宋体" w:hAnsi="宋体" w:cs="宋体"/>
          <w:sz w:val="24"/>
        </w:rPr>
      </w:pPr>
      <w:r>
        <w:rPr>
          <w:rFonts w:hint="eastAsia" w:ascii="宋体" w:hAnsi="宋体" w:cs="宋体"/>
          <w:b/>
          <w:sz w:val="30"/>
        </w:rPr>
        <w:t>开标一览表</w:t>
      </w:r>
    </w:p>
    <w:p>
      <w:pPr>
        <w:snapToGrid w:val="0"/>
        <w:spacing w:before="120" w:beforeLines="50" w:after="50" w:line="480" w:lineRule="auto"/>
        <w:rPr>
          <w:rFonts w:hint="eastAsia" w:ascii="宋体" w:hAnsi="宋体" w:cs="宋体"/>
          <w:bCs/>
          <w:sz w:val="24"/>
          <w:szCs w:val="20"/>
        </w:rPr>
      </w:pPr>
      <w:r>
        <w:rPr>
          <w:rFonts w:hint="eastAsia" w:ascii="宋体" w:hAnsi="宋体" w:cs="宋体"/>
        </w:rPr>
        <w:t xml:space="preserve"> </w:t>
      </w:r>
      <w:r>
        <w:rPr>
          <w:rFonts w:hint="eastAsia" w:ascii="宋体" w:hAnsi="宋体" w:cs="宋体"/>
          <w:bCs/>
          <w:sz w:val="24"/>
        </w:rPr>
        <w:t>项目名称：台州市公安局集聚区分局雪亮工程（三期）前端点位建设项目</w:t>
      </w:r>
      <w:r>
        <w:rPr>
          <w:rFonts w:hint="eastAsia" w:ascii="宋体" w:hAnsi="宋体" w:cs="宋体"/>
          <w:b/>
          <w:bCs w:val="0"/>
          <w:sz w:val="24"/>
          <w:lang w:eastAsia="zh-CN"/>
        </w:rPr>
        <w:t>或</w:t>
      </w:r>
      <w:r>
        <w:rPr>
          <w:rFonts w:hint="eastAsia" w:ascii="宋体" w:hAnsi="宋体" w:cs="宋体"/>
          <w:bCs/>
          <w:sz w:val="24"/>
        </w:rPr>
        <w:t>台州市公安局集聚区分局雪亮工程（三期）后端保障服务项目</w:t>
      </w:r>
    </w:p>
    <w:p>
      <w:pPr>
        <w:keepNext w:val="0"/>
        <w:keepLines w:val="0"/>
        <w:pageBreakBefore w:val="0"/>
        <w:widowControl w:val="0"/>
        <w:kinsoku/>
        <w:wordWrap/>
        <w:overflowPunct/>
        <w:topLinePunct w:val="0"/>
        <w:autoSpaceDE/>
        <w:autoSpaceDN/>
        <w:bidi w:val="0"/>
        <w:adjustRightInd/>
        <w:snapToGrid w:val="0"/>
        <w:spacing w:line="480" w:lineRule="auto"/>
        <w:textAlignment w:val="auto"/>
        <w:rPr>
          <w:rFonts w:hint="eastAsia"/>
        </w:rPr>
      </w:pPr>
      <w:r>
        <w:rPr>
          <w:rFonts w:hint="eastAsia" w:ascii="宋体" w:hAnsi="宋体" w:cs="宋体"/>
          <w:sz w:val="24"/>
        </w:rPr>
        <w:t>项目编号：TPTZ-2020-TZ0910       项目标段：</w:t>
      </w:r>
      <w:r>
        <w:rPr>
          <w:rFonts w:hint="eastAsia" w:ascii="宋体" w:hAnsi="宋体" w:cs="宋体"/>
          <w:sz w:val="24"/>
          <w:lang w:eastAsia="zh-CN"/>
        </w:rPr>
        <w:t>一</w:t>
      </w:r>
      <w:r>
        <w:rPr>
          <w:rFonts w:hint="eastAsia" w:ascii="宋体" w:hAnsi="宋体" w:cs="宋体"/>
          <w:b/>
          <w:bCs/>
          <w:sz w:val="24"/>
          <w:lang w:eastAsia="zh-CN"/>
        </w:rPr>
        <w:t>或</w:t>
      </w:r>
      <w:r>
        <w:rPr>
          <w:rFonts w:hint="eastAsia" w:ascii="宋体" w:hAnsi="宋体" w:cs="宋体"/>
          <w:sz w:val="24"/>
          <w:lang w:eastAsia="zh-CN"/>
        </w:rPr>
        <w:t>二</w:t>
      </w:r>
      <w:r>
        <w:rPr>
          <w:rFonts w:hint="eastAsia" w:ascii="宋体" w:hAnsi="宋体" w:cs="宋体"/>
          <w:sz w:val="24"/>
        </w:rPr>
        <w:t xml:space="preserve">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76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napToGrid w:val="0"/>
              <w:spacing w:before="120" w:beforeLines="50" w:beforeAutospacing="0" w:after="0" w:afterAutospacing="0"/>
              <w:jc w:val="center"/>
              <w:rPr>
                <w:rFonts w:hint="eastAsia" w:cs="宋体"/>
                <w:color w:val="auto"/>
              </w:rPr>
            </w:pPr>
            <w:r>
              <w:rPr>
                <w:rFonts w:hint="eastAsia" w:cs="宋体"/>
                <w:color w:val="auto"/>
                <w:kern w:val="2"/>
                <w:lang w:bidi="ar"/>
              </w:rPr>
              <w:t>名称</w:t>
            </w:r>
          </w:p>
        </w:tc>
        <w:tc>
          <w:tcPr>
            <w:tcW w:w="576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napToGrid w:val="0"/>
              <w:spacing w:before="120" w:beforeLines="50" w:beforeAutospacing="0" w:after="0" w:afterAutospacing="0"/>
              <w:jc w:val="center"/>
              <w:rPr>
                <w:rFonts w:hint="eastAsia" w:cs="宋体"/>
                <w:color w:val="auto"/>
              </w:rPr>
            </w:pPr>
            <w:r>
              <w:rPr>
                <w:rFonts w:hint="eastAsia" w:cs="宋体"/>
                <w:color w:val="auto"/>
                <w:kern w:val="2"/>
                <w:lang w:bidi="ar"/>
              </w:rPr>
              <w:t>内容</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napToGrid w:val="0"/>
              <w:spacing w:before="120" w:beforeLines="50" w:beforeAutospacing="0" w:after="0" w:afterAutospacing="0"/>
              <w:jc w:val="center"/>
              <w:rPr>
                <w:rFonts w:hint="eastAsia" w:cs="宋体"/>
                <w:color w:val="auto"/>
              </w:rPr>
            </w:pPr>
            <w:r>
              <w:rPr>
                <w:rFonts w:hint="eastAsia" w:cs="宋体"/>
                <w:color w:val="auto"/>
                <w:kern w:val="2"/>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6"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napToGrid w:val="0"/>
              <w:spacing w:before="120" w:beforeLines="50" w:beforeAutospacing="0" w:after="0" w:afterAutospacing="0"/>
              <w:jc w:val="center"/>
              <w:rPr>
                <w:rFonts w:hint="eastAsia" w:cs="宋体"/>
                <w:color w:val="auto"/>
              </w:rPr>
            </w:pPr>
          </w:p>
          <w:p>
            <w:pPr>
              <w:pStyle w:val="32"/>
              <w:widowControl w:val="0"/>
              <w:snapToGrid w:val="0"/>
              <w:spacing w:before="120" w:beforeLines="50" w:beforeAutospacing="0" w:after="0" w:afterAutospacing="0"/>
              <w:jc w:val="center"/>
              <w:rPr>
                <w:rFonts w:hint="eastAsia" w:cs="宋体"/>
                <w:color w:val="auto"/>
              </w:rPr>
            </w:pPr>
            <w:r>
              <w:rPr>
                <w:rFonts w:hint="eastAsia" w:cs="宋体"/>
                <w:b/>
                <w:color w:val="auto"/>
                <w:kern w:val="2"/>
                <w:lang w:bidi="ar"/>
              </w:rPr>
              <w:t>投标报价</w:t>
            </w:r>
          </w:p>
          <w:p>
            <w:pPr>
              <w:pStyle w:val="32"/>
              <w:widowControl w:val="0"/>
              <w:snapToGrid w:val="0"/>
              <w:spacing w:before="120" w:beforeLines="50" w:beforeAutospacing="0" w:after="0" w:afterAutospacing="0"/>
              <w:jc w:val="center"/>
              <w:rPr>
                <w:rFonts w:hint="eastAsia" w:cs="宋体"/>
                <w:color w:val="auto"/>
              </w:rPr>
            </w:pPr>
          </w:p>
          <w:p>
            <w:pPr>
              <w:pStyle w:val="32"/>
              <w:widowControl w:val="0"/>
              <w:snapToGrid w:val="0"/>
              <w:spacing w:before="120" w:beforeLines="50" w:beforeAutospacing="0" w:after="0" w:afterAutospacing="0"/>
              <w:jc w:val="center"/>
              <w:rPr>
                <w:rFonts w:hint="eastAsia" w:cs="宋体"/>
                <w:color w:val="auto"/>
              </w:rPr>
            </w:pPr>
          </w:p>
          <w:p>
            <w:pPr>
              <w:pStyle w:val="32"/>
              <w:widowControl w:val="0"/>
              <w:snapToGrid w:val="0"/>
              <w:spacing w:before="120" w:beforeLines="50" w:beforeAutospacing="0" w:after="0" w:afterAutospacing="0"/>
              <w:jc w:val="center"/>
              <w:rPr>
                <w:rFonts w:hint="eastAsia" w:cs="宋体"/>
                <w:color w:val="auto"/>
              </w:rPr>
            </w:pPr>
          </w:p>
        </w:tc>
        <w:tc>
          <w:tcPr>
            <w:tcW w:w="5760" w:type="dxa"/>
            <w:tcBorders>
              <w:top w:val="single" w:color="auto" w:sz="4" w:space="0"/>
              <w:left w:val="single" w:color="auto" w:sz="4" w:space="0"/>
              <w:bottom w:val="single" w:color="auto" w:sz="4" w:space="0"/>
              <w:right w:val="single" w:color="auto" w:sz="4" w:space="0"/>
            </w:tcBorders>
            <w:noWrap w:val="0"/>
            <w:vAlign w:val="center"/>
          </w:tcPr>
          <w:p>
            <w:pPr>
              <w:pStyle w:val="32"/>
              <w:widowControl w:val="0"/>
              <w:snapToGrid w:val="0"/>
              <w:spacing w:before="120" w:beforeLines="50" w:beforeAutospacing="0" w:after="0" w:afterAutospacing="0"/>
              <w:jc w:val="both"/>
              <w:rPr>
                <w:rFonts w:hint="eastAsia" w:cs="宋体"/>
                <w:color w:val="auto"/>
              </w:rPr>
            </w:pPr>
          </w:p>
          <w:p>
            <w:pPr>
              <w:pStyle w:val="32"/>
              <w:widowControl w:val="0"/>
              <w:snapToGrid w:val="0"/>
              <w:spacing w:before="120" w:beforeLines="50" w:beforeAutospacing="0" w:after="0" w:afterAutospacing="0"/>
              <w:jc w:val="both"/>
              <w:rPr>
                <w:rFonts w:hint="eastAsia" w:cs="宋体"/>
                <w:color w:val="auto"/>
              </w:rPr>
            </w:pPr>
            <w:r>
              <w:rPr>
                <w:rFonts w:hint="eastAsia" w:cs="宋体"/>
                <w:b/>
                <w:color w:val="auto"/>
                <w:kern w:val="2"/>
                <w:lang w:bidi="ar"/>
              </w:rPr>
              <w:t>大写：_____________________________</w:t>
            </w:r>
          </w:p>
          <w:p>
            <w:pPr>
              <w:pStyle w:val="32"/>
              <w:widowControl w:val="0"/>
              <w:snapToGrid w:val="0"/>
              <w:spacing w:before="120" w:beforeLines="50" w:beforeAutospacing="0" w:after="0" w:afterAutospacing="0"/>
              <w:jc w:val="both"/>
              <w:rPr>
                <w:rFonts w:hint="eastAsia" w:cs="宋体"/>
                <w:color w:val="auto"/>
              </w:rPr>
            </w:pPr>
          </w:p>
          <w:p>
            <w:pPr>
              <w:pStyle w:val="32"/>
              <w:widowControl w:val="0"/>
              <w:snapToGrid w:val="0"/>
              <w:spacing w:before="120" w:beforeLines="50" w:beforeAutospacing="0" w:after="0" w:afterAutospacing="0"/>
              <w:jc w:val="both"/>
              <w:rPr>
                <w:rFonts w:hint="eastAsia" w:cs="宋体"/>
                <w:color w:val="auto"/>
              </w:rPr>
            </w:pPr>
          </w:p>
          <w:p>
            <w:pPr>
              <w:pStyle w:val="32"/>
              <w:widowControl w:val="0"/>
              <w:snapToGrid w:val="0"/>
              <w:spacing w:before="120" w:beforeLines="50" w:beforeAutospacing="0" w:after="0" w:afterAutospacing="0"/>
              <w:jc w:val="both"/>
              <w:rPr>
                <w:rFonts w:hint="eastAsia" w:cs="宋体"/>
                <w:color w:val="auto"/>
              </w:rPr>
            </w:pPr>
            <w:r>
              <w:rPr>
                <w:rFonts w:hint="eastAsia" w:cs="宋体"/>
                <w:b/>
                <w:color w:val="auto"/>
                <w:kern w:val="2"/>
                <w:lang w:bidi="ar"/>
              </w:rPr>
              <w:t>小写：_____________________________</w:t>
            </w:r>
          </w:p>
          <w:p>
            <w:pPr>
              <w:pStyle w:val="32"/>
              <w:widowControl w:val="0"/>
              <w:snapToGrid w:val="0"/>
              <w:spacing w:before="120" w:beforeLines="50" w:beforeAutospacing="0" w:after="0" w:afterAutospacing="0"/>
              <w:jc w:val="both"/>
              <w:rPr>
                <w:rFonts w:hint="eastAsia" w:cs="宋体"/>
                <w:color w:val="auto"/>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pStyle w:val="32"/>
              <w:widowControl w:val="0"/>
              <w:snapToGrid w:val="0"/>
              <w:spacing w:before="120" w:beforeLines="50" w:beforeAutospacing="0" w:after="0" w:afterAutospacing="0"/>
              <w:jc w:val="both"/>
              <w:rPr>
                <w:rFonts w:hint="eastAsia" w:cs="宋体"/>
                <w:color w:val="auto"/>
              </w:rPr>
            </w:pPr>
          </w:p>
        </w:tc>
      </w:tr>
    </w:tbl>
    <w:p>
      <w:pPr>
        <w:snapToGrid w:val="0"/>
        <w:spacing w:before="120" w:beforeLines="50" w:after="50" w:line="480" w:lineRule="auto"/>
        <w:rPr>
          <w:rFonts w:hint="eastAsia" w:ascii="宋体" w:hAnsi="宋体" w:cs="宋体"/>
          <w:bCs/>
          <w:sz w:val="24"/>
        </w:rPr>
      </w:pPr>
      <w:r>
        <w:rPr>
          <w:rFonts w:hint="eastAsia" w:ascii="宋体" w:hAnsi="宋体" w:cs="宋体"/>
          <w:bCs/>
          <w:sz w:val="24"/>
        </w:rPr>
        <w:t>注: 1、报价一经涂改，应在涂改处加盖单位公章或者由法定代表人或授权委托人签字或盖章，否则其投标作无效标处理。</w:t>
      </w:r>
    </w:p>
    <w:p>
      <w:pPr>
        <w:spacing w:line="320" w:lineRule="exact"/>
        <w:ind w:left="420"/>
        <w:rPr>
          <w:rFonts w:hint="eastAsia" w:ascii="宋体" w:hAnsi="宋体" w:cs="宋体"/>
          <w:sz w:val="24"/>
        </w:rPr>
      </w:pPr>
    </w:p>
    <w:p>
      <w:pPr>
        <w:spacing w:line="320" w:lineRule="exact"/>
        <w:ind w:left="420"/>
        <w:rPr>
          <w:rFonts w:hint="eastAsia" w:ascii="宋体" w:hAnsi="宋体" w:cs="宋体"/>
          <w:sz w:val="24"/>
        </w:rPr>
      </w:pPr>
      <w:r>
        <w:rPr>
          <w:rFonts w:hint="eastAsia" w:ascii="宋体" w:hAnsi="宋体" w:cs="宋体"/>
        </w:rPr>
        <w:t xml:space="preserve">投标人名称（盖章）：  </w:t>
      </w:r>
      <w:r>
        <w:rPr>
          <w:rFonts w:hint="eastAsia" w:ascii="宋体" w:hAnsi="宋体" w:cs="宋体"/>
          <w:sz w:val="24"/>
        </w:rPr>
        <w:t xml:space="preserve">   </w:t>
      </w:r>
    </w:p>
    <w:p>
      <w:pPr>
        <w:spacing w:line="320" w:lineRule="exact"/>
        <w:ind w:left="420"/>
        <w:rPr>
          <w:rFonts w:hint="eastAsia" w:ascii="宋体" w:hAnsi="宋体" w:cs="宋体"/>
          <w:sz w:val="24"/>
        </w:rPr>
      </w:pPr>
    </w:p>
    <w:p>
      <w:pPr>
        <w:spacing w:line="320" w:lineRule="exact"/>
        <w:ind w:left="420"/>
        <w:rPr>
          <w:rFonts w:hint="eastAsia" w:ascii="宋体" w:hAnsi="宋体" w:cs="宋体"/>
          <w:sz w:val="24"/>
        </w:rPr>
      </w:pPr>
      <w:r>
        <w:rPr>
          <w:rFonts w:hint="eastAsia" w:ascii="宋体" w:hAnsi="宋体" w:cs="宋体"/>
          <w:sz w:val="24"/>
        </w:rPr>
        <w:t xml:space="preserve"> </w:t>
      </w:r>
      <w:r>
        <w:rPr>
          <w:rFonts w:hint="eastAsia" w:ascii="宋体" w:hAnsi="宋体" w:cs="宋体"/>
        </w:rPr>
        <w:t>法定代表人或授权代表（签字或盖章）</w:t>
      </w:r>
      <w:r>
        <w:rPr>
          <w:rFonts w:hint="eastAsia" w:ascii="宋体" w:hAnsi="宋体" w:cs="宋体"/>
          <w:sz w:val="24"/>
        </w:rPr>
        <w:t xml:space="preserve">：               日期：                            </w:t>
      </w:r>
    </w:p>
    <w:p>
      <w:pPr>
        <w:snapToGrid w:val="0"/>
        <w:spacing w:line="520" w:lineRule="exact"/>
        <w:jc w:val="left"/>
        <w:rPr>
          <w:rFonts w:hint="eastAsia" w:ascii="宋体" w:hAnsi="宋体" w:cs="宋体"/>
          <w:spacing w:val="6"/>
          <w:sz w:val="32"/>
          <w:szCs w:val="32"/>
        </w:rPr>
      </w:pPr>
      <w:r>
        <w:rPr>
          <w:rFonts w:hint="eastAsia" w:ascii="宋体" w:hAnsi="宋体" w:cs="宋体"/>
          <w:spacing w:val="6"/>
          <w:sz w:val="32"/>
          <w:szCs w:val="32"/>
        </w:rPr>
        <w:t xml:space="preserve"> </w:t>
      </w:r>
    </w:p>
    <w:p>
      <w:pPr>
        <w:spacing w:line="360" w:lineRule="atLeast"/>
        <w:ind w:left="641" w:leftChars="229" w:firstLine="2870" w:firstLineChars="953"/>
        <w:rPr>
          <w:rFonts w:hint="eastAsia" w:ascii="宋体" w:hAnsi="宋体" w:cs="宋体"/>
          <w:b/>
          <w:sz w:val="30"/>
        </w:rPr>
      </w:pPr>
    </w:p>
    <w:p>
      <w:pPr>
        <w:spacing w:line="360" w:lineRule="atLeast"/>
        <w:ind w:left="641" w:leftChars="229" w:firstLine="2870" w:firstLineChars="953"/>
        <w:rPr>
          <w:rFonts w:hint="eastAsia" w:ascii="宋体" w:hAnsi="宋体" w:cs="宋体"/>
          <w:b/>
          <w:sz w:val="30"/>
        </w:rPr>
      </w:pPr>
    </w:p>
    <w:p>
      <w:pPr>
        <w:spacing w:line="360" w:lineRule="atLeast"/>
        <w:ind w:left="641" w:leftChars="229" w:firstLine="2870" w:firstLineChars="953"/>
        <w:rPr>
          <w:rFonts w:hint="eastAsia" w:ascii="宋体" w:hAnsi="宋体" w:cs="宋体"/>
          <w:b/>
          <w:sz w:val="30"/>
        </w:rPr>
      </w:pPr>
    </w:p>
    <w:p>
      <w:pPr>
        <w:spacing w:line="360" w:lineRule="atLeast"/>
        <w:ind w:left="641" w:leftChars="229" w:firstLine="2870" w:firstLineChars="953"/>
        <w:rPr>
          <w:rFonts w:hint="eastAsia" w:ascii="宋体" w:hAnsi="宋体" w:cs="宋体"/>
          <w:b/>
          <w:sz w:val="30"/>
        </w:rPr>
      </w:pPr>
    </w:p>
    <w:p>
      <w:pPr>
        <w:spacing w:line="360" w:lineRule="atLeast"/>
        <w:ind w:left="641" w:leftChars="229" w:firstLine="2870" w:firstLineChars="953"/>
        <w:rPr>
          <w:rFonts w:hint="eastAsia" w:ascii="宋体" w:hAnsi="宋体" w:cs="宋体"/>
          <w:b/>
          <w:sz w:val="30"/>
        </w:rPr>
      </w:pPr>
    </w:p>
    <w:p>
      <w:pPr>
        <w:spacing w:line="360" w:lineRule="atLeast"/>
        <w:ind w:left="641" w:leftChars="229" w:firstLine="2870" w:firstLineChars="953"/>
        <w:rPr>
          <w:rFonts w:hint="eastAsia" w:ascii="宋体" w:hAnsi="宋体" w:cs="宋体"/>
          <w:b/>
          <w:sz w:val="30"/>
        </w:rPr>
      </w:pPr>
    </w:p>
    <w:p>
      <w:pPr>
        <w:spacing w:line="360" w:lineRule="atLeast"/>
        <w:ind w:left="641" w:leftChars="229" w:firstLine="2870" w:firstLineChars="953"/>
        <w:rPr>
          <w:rFonts w:hint="eastAsia" w:ascii="宋体" w:hAnsi="宋体" w:cs="宋体"/>
          <w:b/>
          <w:sz w:val="30"/>
        </w:rPr>
      </w:pPr>
    </w:p>
    <w:p>
      <w:pPr>
        <w:snapToGrid w:val="0"/>
        <w:spacing w:before="50" w:after="50"/>
        <w:rPr>
          <w:rFonts w:hint="eastAsia" w:ascii="宋体" w:hAnsi="宋体" w:cs="宋体"/>
          <w:b/>
          <w:sz w:val="22"/>
          <w:szCs w:val="22"/>
        </w:rPr>
      </w:pPr>
    </w:p>
    <w:p>
      <w:pPr>
        <w:snapToGrid w:val="0"/>
        <w:spacing w:before="50" w:after="50"/>
        <w:rPr>
          <w:rFonts w:hint="eastAsia" w:ascii="宋体" w:hAnsi="宋体" w:cs="宋体"/>
          <w:b/>
          <w:sz w:val="22"/>
          <w:szCs w:val="22"/>
        </w:rPr>
      </w:pPr>
    </w:p>
    <w:p>
      <w:pPr>
        <w:snapToGrid w:val="0"/>
        <w:spacing w:before="50" w:after="50"/>
        <w:rPr>
          <w:rFonts w:hint="eastAsia" w:ascii="宋体" w:hAnsi="宋体" w:cs="宋体"/>
          <w:b/>
          <w:sz w:val="22"/>
          <w:szCs w:val="22"/>
        </w:rPr>
      </w:pPr>
    </w:p>
    <w:p>
      <w:pPr>
        <w:snapToGrid w:val="0"/>
        <w:spacing w:before="50" w:after="50"/>
        <w:rPr>
          <w:rFonts w:hint="eastAsia" w:ascii="宋体" w:hAnsi="宋体" w:cs="宋体"/>
          <w:b/>
          <w:sz w:val="22"/>
          <w:szCs w:val="22"/>
        </w:rPr>
      </w:pPr>
    </w:p>
    <w:p>
      <w:pPr>
        <w:snapToGrid w:val="0"/>
        <w:spacing w:before="50" w:after="50"/>
        <w:rPr>
          <w:rFonts w:hint="eastAsia" w:ascii="宋体" w:hAnsi="宋体" w:cs="宋体"/>
          <w:b/>
          <w:sz w:val="22"/>
          <w:szCs w:val="22"/>
        </w:rPr>
      </w:pPr>
    </w:p>
    <w:p>
      <w:pPr>
        <w:snapToGrid w:val="0"/>
        <w:spacing w:before="50" w:after="50"/>
        <w:rPr>
          <w:rFonts w:hint="eastAsia" w:ascii="宋体" w:hAnsi="宋体" w:cs="宋体"/>
          <w:b/>
          <w:sz w:val="22"/>
          <w:szCs w:val="22"/>
        </w:rPr>
      </w:pPr>
    </w:p>
    <w:p>
      <w:pPr>
        <w:snapToGrid w:val="0"/>
        <w:spacing w:before="50" w:after="50"/>
        <w:rPr>
          <w:rFonts w:hint="eastAsia" w:ascii="宋体" w:hAnsi="宋体" w:cs="宋体"/>
          <w:b/>
          <w:sz w:val="22"/>
          <w:szCs w:val="22"/>
        </w:rPr>
      </w:pPr>
      <w:r>
        <w:rPr>
          <w:rFonts w:hint="eastAsia" w:ascii="宋体" w:hAnsi="宋体" w:cs="宋体"/>
          <w:b/>
          <w:sz w:val="22"/>
          <w:szCs w:val="22"/>
        </w:rPr>
        <w:t xml:space="preserve">附件5 </w:t>
      </w:r>
    </w:p>
    <w:p>
      <w:pPr>
        <w:spacing w:line="360" w:lineRule="atLeast"/>
        <w:ind w:left="480"/>
        <w:jc w:val="center"/>
        <w:rPr>
          <w:rFonts w:hint="eastAsia" w:ascii="宋体" w:hAnsi="宋体" w:cs="宋体"/>
        </w:rPr>
      </w:pPr>
      <w:r>
        <w:rPr>
          <w:rFonts w:hint="eastAsia" w:ascii="宋体" w:hAnsi="宋体" w:cs="宋体"/>
          <w:b/>
          <w:bCs/>
          <w:szCs w:val="28"/>
        </w:rPr>
        <w:t>报价明细表</w:t>
      </w:r>
      <w:r>
        <w:rPr>
          <w:rFonts w:hint="eastAsia" w:ascii="宋体" w:hAnsi="宋体" w:cs="宋体"/>
        </w:rPr>
        <w:t xml:space="preserve">                                                                                                                                              </w:t>
      </w:r>
    </w:p>
    <w:p>
      <w:pPr>
        <w:snapToGrid w:val="0"/>
        <w:spacing w:before="120" w:beforeLines="50" w:after="50" w:line="480" w:lineRule="auto"/>
        <w:rPr>
          <w:rFonts w:hint="eastAsia" w:ascii="宋体" w:hAnsi="宋体" w:cs="宋体"/>
          <w:bCs/>
          <w:sz w:val="24"/>
          <w:szCs w:val="20"/>
        </w:rPr>
      </w:pPr>
      <w:r>
        <w:rPr>
          <w:rFonts w:hint="eastAsia" w:ascii="宋体" w:hAnsi="宋体" w:cs="宋体"/>
        </w:rPr>
        <w:t xml:space="preserve"> </w:t>
      </w:r>
      <w:r>
        <w:rPr>
          <w:rFonts w:hint="eastAsia" w:ascii="宋体" w:hAnsi="宋体" w:cs="宋体"/>
          <w:bCs/>
          <w:sz w:val="24"/>
        </w:rPr>
        <w:t>项目名称：台州市公安局集聚区分局雪亮工程（三期）前端点位建设项目</w:t>
      </w:r>
      <w:r>
        <w:rPr>
          <w:rFonts w:hint="eastAsia" w:ascii="宋体" w:hAnsi="宋体" w:cs="宋体"/>
          <w:b/>
          <w:bCs w:val="0"/>
          <w:sz w:val="24"/>
          <w:lang w:eastAsia="zh-CN"/>
        </w:rPr>
        <w:t>或</w:t>
      </w:r>
      <w:r>
        <w:rPr>
          <w:rFonts w:hint="eastAsia" w:ascii="宋体" w:hAnsi="宋体" w:cs="宋体"/>
          <w:bCs/>
          <w:sz w:val="24"/>
        </w:rPr>
        <w:t>台州市公安局集聚区分局雪亮工程（三期）后端保障服务项目</w:t>
      </w:r>
    </w:p>
    <w:p>
      <w:pPr>
        <w:keepNext w:val="0"/>
        <w:keepLines w:val="0"/>
        <w:pageBreakBefore w:val="0"/>
        <w:widowControl w:val="0"/>
        <w:kinsoku/>
        <w:wordWrap/>
        <w:overflowPunct/>
        <w:topLinePunct w:val="0"/>
        <w:autoSpaceDE/>
        <w:autoSpaceDN/>
        <w:bidi w:val="0"/>
        <w:adjustRightInd/>
        <w:snapToGrid w:val="0"/>
        <w:spacing w:line="480" w:lineRule="auto"/>
        <w:textAlignment w:val="auto"/>
        <w:rPr>
          <w:rFonts w:hint="eastAsia"/>
        </w:rPr>
      </w:pPr>
      <w:r>
        <w:rPr>
          <w:rFonts w:hint="eastAsia" w:ascii="宋体" w:hAnsi="宋体" w:cs="宋体"/>
          <w:sz w:val="24"/>
        </w:rPr>
        <w:t>项目编号：TPTZ-2020-TZ0910       项目标段：</w:t>
      </w:r>
      <w:r>
        <w:rPr>
          <w:rFonts w:hint="eastAsia" w:ascii="宋体" w:hAnsi="宋体" w:cs="宋体"/>
          <w:sz w:val="24"/>
          <w:lang w:eastAsia="zh-CN"/>
        </w:rPr>
        <w:t>一</w:t>
      </w:r>
      <w:r>
        <w:rPr>
          <w:rFonts w:hint="eastAsia" w:ascii="宋体" w:hAnsi="宋体" w:cs="宋体"/>
          <w:b/>
          <w:bCs/>
          <w:sz w:val="24"/>
          <w:lang w:eastAsia="zh-CN"/>
        </w:rPr>
        <w:t>或</w:t>
      </w:r>
      <w:r>
        <w:rPr>
          <w:rFonts w:hint="eastAsia" w:ascii="宋体" w:hAnsi="宋体" w:cs="宋体"/>
          <w:sz w:val="24"/>
          <w:lang w:eastAsia="zh-CN"/>
        </w:rPr>
        <w:t>二</w:t>
      </w:r>
      <w:r>
        <w:rPr>
          <w:rFonts w:hint="eastAsia" w:ascii="宋体" w:hAnsi="宋体" w:cs="宋体"/>
          <w:sz w:val="24"/>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636"/>
        <w:gridCol w:w="1260"/>
        <w:gridCol w:w="840"/>
        <w:gridCol w:w="1113"/>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2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bCs/>
                <w:sz w:val="24"/>
              </w:rPr>
            </w:pPr>
            <w:r>
              <w:rPr>
                <w:rFonts w:hint="eastAsia" w:ascii="宋体" w:hAnsi="宋体" w:cs="宋体"/>
                <w:b/>
                <w:bCs/>
              </w:rPr>
              <w:t>序号</w:t>
            </w:r>
          </w:p>
        </w:tc>
        <w:tc>
          <w:tcPr>
            <w:tcW w:w="2636"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
                <w:bCs/>
                <w:sz w:val="24"/>
              </w:rPr>
            </w:pPr>
            <w:r>
              <w:rPr>
                <w:rFonts w:hint="eastAsia" w:ascii="宋体" w:hAnsi="宋体" w:cs="宋体"/>
                <w:b/>
                <w:bCs/>
              </w:rPr>
              <w:t xml:space="preserve">项目名称 </w:t>
            </w:r>
          </w:p>
        </w:tc>
        <w:tc>
          <w:tcPr>
            <w:tcW w:w="1260"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
                <w:bCs/>
                <w:sz w:val="24"/>
              </w:rPr>
            </w:pPr>
            <w:r>
              <w:rPr>
                <w:rFonts w:hint="eastAsia" w:ascii="宋体" w:hAnsi="宋体" w:cs="宋体"/>
                <w:b/>
                <w:bCs/>
              </w:rPr>
              <w:t>数量</w:t>
            </w:r>
          </w:p>
        </w:tc>
        <w:tc>
          <w:tcPr>
            <w:tcW w:w="840"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
                <w:bCs/>
                <w:sz w:val="24"/>
              </w:rPr>
            </w:pPr>
            <w:r>
              <w:rPr>
                <w:rFonts w:hint="eastAsia" w:ascii="宋体" w:hAnsi="宋体" w:cs="宋体"/>
                <w:b/>
                <w:bCs/>
              </w:rPr>
              <w:t>单位</w:t>
            </w:r>
          </w:p>
        </w:tc>
        <w:tc>
          <w:tcPr>
            <w:tcW w:w="1113"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
                <w:bCs/>
                <w:sz w:val="24"/>
              </w:rPr>
            </w:pPr>
            <w:r>
              <w:rPr>
                <w:rFonts w:hint="eastAsia" w:ascii="宋体" w:hAnsi="宋体" w:cs="宋体"/>
                <w:b/>
                <w:bCs/>
              </w:rPr>
              <w:t>单价</w:t>
            </w:r>
          </w:p>
        </w:tc>
        <w:tc>
          <w:tcPr>
            <w:tcW w:w="1512"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
                <w:bCs/>
                <w:sz w:val="24"/>
              </w:rPr>
            </w:pPr>
            <w:r>
              <w:rPr>
                <w:rFonts w:hint="eastAsia" w:ascii="宋体" w:hAnsi="宋体" w:cs="宋体"/>
                <w:b/>
                <w:bCs/>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2636"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b/>
                <w:bCs/>
                <w:sz w:val="24"/>
              </w:rPr>
            </w:pPr>
          </w:p>
        </w:tc>
        <w:tc>
          <w:tcPr>
            <w:tcW w:w="1260"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840"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113"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512"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2636"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b/>
                <w:bCs/>
                <w:sz w:val="24"/>
              </w:rPr>
            </w:pPr>
          </w:p>
        </w:tc>
        <w:tc>
          <w:tcPr>
            <w:tcW w:w="1260"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sz w:val="24"/>
              </w:rPr>
            </w:pPr>
          </w:p>
        </w:tc>
        <w:tc>
          <w:tcPr>
            <w:tcW w:w="840"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113"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512"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2636"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b/>
                <w:bCs/>
                <w:sz w:val="24"/>
              </w:rPr>
            </w:pPr>
          </w:p>
        </w:tc>
        <w:tc>
          <w:tcPr>
            <w:tcW w:w="1260"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sz w:val="24"/>
              </w:rPr>
            </w:pPr>
          </w:p>
        </w:tc>
        <w:tc>
          <w:tcPr>
            <w:tcW w:w="840"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113"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512"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2636"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b/>
                <w:bCs/>
                <w:sz w:val="24"/>
              </w:rPr>
            </w:pPr>
          </w:p>
        </w:tc>
        <w:tc>
          <w:tcPr>
            <w:tcW w:w="1260"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sz w:val="24"/>
              </w:rPr>
            </w:pPr>
          </w:p>
        </w:tc>
        <w:tc>
          <w:tcPr>
            <w:tcW w:w="840"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113"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512"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2636"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b/>
                <w:bCs/>
                <w:sz w:val="24"/>
              </w:rPr>
            </w:pPr>
          </w:p>
        </w:tc>
        <w:tc>
          <w:tcPr>
            <w:tcW w:w="1260"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sz w:val="24"/>
              </w:rPr>
            </w:pPr>
          </w:p>
        </w:tc>
        <w:tc>
          <w:tcPr>
            <w:tcW w:w="840"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113"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512"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2636"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b/>
                <w:bCs/>
                <w:sz w:val="24"/>
              </w:rPr>
            </w:pPr>
          </w:p>
        </w:tc>
        <w:tc>
          <w:tcPr>
            <w:tcW w:w="1260"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sz w:val="24"/>
              </w:rPr>
            </w:pPr>
          </w:p>
        </w:tc>
        <w:tc>
          <w:tcPr>
            <w:tcW w:w="840"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113"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512"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2636"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b/>
                <w:bCs/>
                <w:sz w:val="24"/>
              </w:rPr>
            </w:pPr>
          </w:p>
        </w:tc>
        <w:tc>
          <w:tcPr>
            <w:tcW w:w="1260"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sz w:val="24"/>
              </w:rPr>
            </w:pPr>
          </w:p>
        </w:tc>
        <w:tc>
          <w:tcPr>
            <w:tcW w:w="840"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113"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512"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2636"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b/>
                <w:bCs/>
                <w:sz w:val="24"/>
              </w:rPr>
            </w:pPr>
          </w:p>
        </w:tc>
        <w:tc>
          <w:tcPr>
            <w:tcW w:w="1260" w:type="dxa"/>
            <w:tcBorders>
              <w:top w:val="single" w:color="auto" w:sz="4" w:space="0"/>
              <w:left w:val="nil"/>
              <w:bottom w:val="single" w:color="auto" w:sz="4" w:space="0"/>
              <w:right w:val="single" w:color="auto" w:sz="4" w:space="0"/>
            </w:tcBorders>
            <w:noWrap w:val="0"/>
            <w:vAlign w:val="top"/>
          </w:tcPr>
          <w:p>
            <w:pPr>
              <w:spacing w:line="480" w:lineRule="auto"/>
              <w:jc w:val="center"/>
              <w:rPr>
                <w:rFonts w:hint="eastAsia" w:ascii="宋体" w:hAnsi="宋体" w:cs="宋体"/>
                <w:sz w:val="24"/>
              </w:rPr>
            </w:pPr>
          </w:p>
        </w:tc>
        <w:tc>
          <w:tcPr>
            <w:tcW w:w="840"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113"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c>
          <w:tcPr>
            <w:tcW w:w="1512" w:type="dxa"/>
            <w:tcBorders>
              <w:top w:val="single" w:color="auto" w:sz="4" w:space="0"/>
              <w:left w:val="nil"/>
              <w:bottom w:val="single" w:color="auto" w:sz="4" w:space="0"/>
              <w:right w:val="single" w:color="auto" w:sz="4" w:space="0"/>
            </w:tcBorders>
            <w:noWrap w:val="0"/>
            <w:vAlign w:val="center"/>
          </w:tcPr>
          <w:p>
            <w:pPr>
              <w:spacing w:line="480" w:lineRule="auto"/>
              <w:jc w:val="center"/>
              <w:rPr>
                <w:rFonts w:hint="eastAsia" w:ascii="宋体" w:hAnsi="宋体" w:cs="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109" w:type="dxa"/>
            <w:gridSpan w:val="5"/>
            <w:tcBorders>
              <w:top w:val="single" w:color="auto" w:sz="4" w:space="0"/>
              <w:left w:val="single" w:color="auto" w:sz="4" w:space="0"/>
              <w:bottom w:val="single" w:color="auto" w:sz="4" w:space="0"/>
              <w:right w:val="single" w:color="auto" w:sz="4" w:space="0"/>
            </w:tcBorders>
            <w:noWrap w:val="0"/>
            <w:vAlign w:val="center"/>
          </w:tcPr>
          <w:p>
            <w:pPr>
              <w:spacing w:line="480" w:lineRule="auto"/>
              <w:rPr>
                <w:rFonts w:hint="eastAsia" w:ascii="宋体" w:hAnsi="宋体" w:cs="宋体"/>
                <w:b/>
                <w:bCs/>
                <w:szCs w:val="28"/>
              </w:rPr>
            </w:pPr>
            <w:r>
              <w:rPr>
                <w:rFonts w:hint="eastAsia" w:ascii="宋体" w:hAnsi="宋体" w:cs="宋体"/>
                <w:b/>
                <w:bCs/>
                <w:szCs w:val="28"/>
              </w:rPr>
              <w:t>合计大写（人民币）：</w:t>
            </w:r>
          </w:p>
        </w:tc>
        <w:tc>
          <w:tcPr>
            <w:tcW w:w="1512" w:type="dxa"/>
            <w:tcBorders>
              <w:top w:val="single" w:color="auto" w:sz="4" w:space="0"/>
              <w:left w:val="nil"/>
              <w:bottom w:val="single" w:color="auto" w:sz="4" w:space="0"/>
              <w:right w:val="single" w:color="auto" w:sz="4" w:space="0"/>
            </w:tcBorders>
            <w:noWrap w:val="0"/>
            <w:vAlign w:val="center"/>
          </w:tcPr>
          <w:p>
            <w:pPr>
              <w:spacing w:line="480" w:lineRule="auto"/>
              <w:rPr>
                <w:rFonts w:hint="eastAsia" w:ascii="宋体" w:hAnsi="宋体" w:cs="宋体"/>
                <w:b/>
                <w:bCs/>
                <w:szCs w:val="28"/>
              </w:rPr>
            </w:pPr>
            <w:r>
              <w:rPr>
                <w:rFonts w:hint="eastAsia" w:ascii="宋体" w:hAnsi="宋体" w:cs="宋体"/>
                <w:b/>
                <w:bCs/>
                <w:szCs w:val="28"/>
              </w:rPr>
              <w:t>￥</w:t>
            </w:r>
          </w:p>
        </w:tc>
      </w:tr>
    </w:tbl>
    <w:p>
      <w:pPr>
        <w:autoSpaceDE w:val="0"/>
        <w:autoSpaceDN w:val="0"/>
        <w:adjustRightInd w:val="0"/>
        <w:spacing w:line="440" w:lineRule="exact"/>
        <w:rPr>
          <w:rFonts w:hint="eastAsia" w:ascii="宋体" w:hAnsi="宋体" w:cs="宋体"/>
        </w:rPr>
      </w:pPr>
      <w:r>
        <w:rPr>
          <w:rFonts w:hint="eastAsia" w:ascii="宋体" w:hAnsi="宋体" w:cs="宋体"/>
        </w:rPr>
        <w:t>备注：</w:t>
      </w:r>
    </w:p>
    <w:p>
      <w:pPr>
        <w:autoSpaceDE w:val="0"/>
        <w:autoSpaceDN w:val="0"/>
        <w:adjustRightInd w:val="0"/>
        <w:spacing w:line="440" w:lineRule="exact"/>
        <w:rPr>
          <w:rFonts w:hint="eastAsia" w:ascii="宋体" w:hAnsi="宋体" w:cs="宋体"/>
        </w:rPr>
      </w:pPr>
      <w:r>
        <w:rPr>
          <w:rFonts w:hint="eastAsia" w:ascii="宋体" w:hAnsi="宋体" w:cs="宋体"/>
        </w:rPr>
        <w:t>1、此表在不改变格式内容时，可自行制作。</w:t>
      </w:r>
    </w:p>
    <w:p>
      <w:pPr>
        <w:autoSpaceDE w:val="0"/>
        <w:autoSpaceDN w:val="0"/>
        <w:adjustRightInd w:val="0"/>
        <w:spacing w:line="440" w:lineRule="exact"/>
        <w:rPr>
          <w:rFonts w:hint="eastAsia" w:ascii="宋体" w:hAnsi="宋体" w:cs="宋体"/>
        </w:rPr>
      </w:pPr>
      <w:r>
        <w:rPr>
          <w:rFonts w:hint="eastAsia" w:ascii="宋体" w:hAnsi="宋体" w:cs="宋体"/>
        </w:rPr>
        <w:t>2、分项报价表中合计总价应与开标一览表中的相应报价相一致，不一致时，以开标一览表报价为准。</w:t>
      </w:r>
    </w:p>
    <w:p>
      <w:pPr>
        <w:pStyle w:val="13"/>
        <w:rPr>
          <w:rFonts w:hint="eastAsia" w:ascii="宋体" w:hAnsi="宋体" w:cs="宋体"/>
        </w:rPr>
      </w:pPr>
      <w:r>
        <w:rPr>
          <w:rFonts w:hint="eastAsia" w:ascii="宋体" w:hAnsi="宋体" w:cs="宋体"/>
        </w:rPr>
        <w:t>3、如与招标文件第二章“招标需求”中相比较有缺项、漏项均视为投标报价中已包含相关费用，采购人无需另外支付任何费用。</w:t>
      </w:r>
    </w:p>
    <w:p>
      <w:pPr>
        <w:pStyle w:val="13"/>
        <w:rPr>
          <w:rFonts w:hint="eastAsia" w:ascii="宋体" w:hAnsi="宋体" w:cs="宋体"/>
        </w:rPr>
      </w:pPr>
    </w:p>
    <w:p>
      <w:pPr>
        <w:wordWrap w:val="0"/>
        <w:autoSpaceDE w:val="0"/>
        <w:autoSpaceDN w:val="0"/>
        <w:adjustRightInd w:val="0"/>
        <w:spacing w:line="440" w:lineRule="exact"/>
        <w:jc w:val="right"/>
        <w:rPr>
          <w:rFonts w:hint="eastAsia" w:ascii="宋体" w:hAnsi="宋体" w:cs="宋体"/>
        </w:rPr>
      </w:pPr>
      <w:r>
        <w:rPr>
          <w:rFonts w:hint="eastAsia" w:ascii="宋体" w:hAnsi="宋体" w:cs="宋体"/>
        </w:rPr>
        <w:t xml:space="preserve">                                              投标人（盖章）：     </w:t>
      </w:r>
    </w:p>
    <w:p>
      <w:pPr>
        <w:wordWrap w:val="0"/>
        <w:autoSpaceDE w:val="0"/>
        <w:autoSpaceDN w:val="0"/>
        <w:adjustRightInd w:val="0"/>
        <w:spacing w:line="440" w:lineRule="exact"/>
        <w:jc w:val="right"/>
        <w:rPr>
          <w:rFonts w:hint="eastAsia" w:ascii="宋体" w:hAnsi="宋体" w:cs="宋体"/>
        </w:rPr>
      </w:pPr>
      <w:r>
        <w:rPr>
          <w:rFonts w:hint="eastAsia" w:ascii="宋体" w:hAnsi="宋体" w:cs="宋体"/>
        </w:rPr>
        <w:t xml:space="preserve">                                 法定代表人或授权代表（签字或盖章）：     </w:t>
      </w:r>
    </w:p>
    <w:p>
      <w:pPr>
        <w:ind w:right="630"/>
        <w:jc w:val="right"/>
        <w:rPr>
          <w:rFonts w:hint="eastAsia" w:ascii="宋体" w:hAnsi="宋体" w:cs="宋体"/>
        </w:rPr>
      </w:pPr>
      <w:r>
        <w:rPr>
          <w:rFonts w:hint="eastAsia" w:ascii="宋体" w:hAnsi="宋体" w:cs="宋体"/>
        </w:rPr>
        <w:t xml:space="preserve"> 日期：2020年  月   日</w:t>
      </w:r>
    </w:p>
    <w:p>
      <w:pPr>
        <w:rPr>
          <w:rFonts w:hint="eastAsia" w:ascii="宋体" w:hAnsi="宋体" w:cs="宋体"/>
        </w:rPr>
        <w:sectPr>
          <w:footnotePr>
            <w:numRestart w:val="eachPage"/>
          </w:footnotePr>
          <w:endnotePr>
            <w:numRestart w:val="eachSect"/>
          </w:endnotePr>
          <w:pgSz w:w="11907" w:h="16840"/>
          <w:pgMar w:top="1361" w:right="1247" w:bottom="1247" w:left="1304" w:header="851" w:footer="992" w:gutter="0"/>
          <w:pgBorders>
            <w:top w:val="none" w:sz="0" w:space="0"/>
            <w:left w:val="none" w:sz="0" w:space="0"/>
            <w:bottom w:val="none" w:sz="0" w:space="0"/>
            <w:right w:val="none" w:sz="0" w:space="0"/>
          </w:pgBorders>
          <w:cols w:space="720" w:num="1"/>
          <w:docGrid w:linePitch="435" w:charSpace="-6554"/>
        </w:sectPr>
      </w:pPr>
    </w:p>
    <w:p>
      <w:pPr>
        <w:snapToGrid w:val="0"/>
        <w:spacing w:before="50" w:after="50"/>
        <w:rPr>
          <w:rFonts w:ascii="宋体" w:hAnsi="宋体" w:cs="宋体"/>
          <w:b/>
          <w:sz w:val="22"/>
          <w:szCs w:val="22"/>
        </w:rPr>
      </w:pPr>
      <w:r>
        <w:rPr>
          <w:rFonts w:hint="eastAsia" w:ascii="宋体" w:hAnsi="宋体" w:cs="宋体"/>
          <w:b/>
          <w:sz w:val="22"/>
          <w:szCs w:val="22"/>
        </w:rPr>
        <w:t>附件6：</w:t>
      </w:r>
    </w:p>
    <w:p>
      <w:pPr>
        <w:rPr>
          <w:rFonts w:hint="eastAsia" w:ascii="宋体" w:hAnsi="宋体" w:cs="宋体"/>
        </w:rPr>
      </w:pPr>
    </w:p>
    <w:p>
      <w:pPr>
        <w:spacing w:line="360" w:lineRule="auto"/>
        <w:jc w:val="center"/>
        <w:rPr>
          <w:rFonts w:hint="eastAsia" w:ascii="宋体" w:hAnsi="宋体" w:cs="宋体"/>
          <w:b/>
        </w:rPr>
      </w:pPr>
      <w:r>
        <w:rPr>
          <w:rFonts w:hint="eastAsia" w:ascii="宋体" w:hAnsi="宋体" w:cs="宋体"/>
          <w:b/>
        </w:rPr>
        <w:t>业绩一览表</w:t>
      </w:r>
    </w:p>
    <w:p>
      <w:pPr>
        <w:snapToGrid w:val="0"/>
        <w:spacing w:before="120" w:beforeLines="50" w:after="50" w:line="480" w:lineRule="auto"/>
        <w:rPr>
          <w:rFonts w:hint="eastAsia" w:ascii="宋体" w:hAnsi="宋体" w:cs="宋体"/>
          <w:bCs/>
          <w:sz w:val="24"/>
          <w:szCs w:val="20"/>
        </w:rPr>
      </w:pPr>
      <w:r>
        <w:rPr>
          <w:rFonts w:hint="eastAsia" w:ascii="宋体" w:hAnsi="宋体" w:cs="宋体"/>
        </w:rPr>
        <w:t xml:space="preserve"> </w:t>
      </w:r>
      <w:r>
        <w:rPr>
          <w:rFonts w:hint="eastAsia" w:ascii="宋体" w:hAnsi="宋体" w:cs="宋体"/>
          <w:bCs/>
          <w:sz w:val="24"/>
        </w:rPr>
        <w:t>项目名称：</w:t>
      </w:r>
      <w:r>
        <w:rPr>
          <w:rFonts w:hint="eastAsia" w:ascii="宋体" w:hAnsi="宋体" w:cs="宋体"/>
          <w:bCs/>
          <w:sz w:val="22"/>
          <w:szCs w:val="22"/>
        </w:rPr>
        <w:t>台州市公安局集聚区分局雪亮工程（三期）前端点位建设项目</w:t>
      </w:r>
      <w:r>
        <w:rPr>
          <w:rFonts w:hint="eastAsia" w:ascii="宋体" w:hAnsi="宋体" w:cs="宋体"/>
          <w:b/>
          <w:bCs w:val="0"/>
          <w:sz w:val="22"/>
          <w:szCs w:val="22"/>
          <w:lang w:eastAsia="zh-CN"/>
        </w:rPr>
        <w:t>或</w:t>
      </w:r>
      <w:r>
        <w:rPr>
          <w:rFonts w:hint="eastAsia" w:ascii="宋体" w:hAnsi="宋体" w:cs="宋体"/>
          <w:bCs/>
          <w:sz w:val="22"/>
          <w:szCs w:val="22"/>
        </w:rPr>
        <w:t>台州市公安局集聚区分局雪亮工程（三期）后端保障服务项目</w:t>
      </w:r>
    </w:p>
    <w:p>
      <w:pPr>
        <w:keepNext w:val="0"/>
        <w:keepLines w:val="0"/>
        <w:pageBreakBefore w:val="0"/>
        <w:widowControl w:val="0"/>
        <w:kinsoku/>
        <w:wordWrap/>
        <w:overflowPunct/>
        <w:topLinePunct w:val="0"/>
        <w:autoSpaceDE/>
        <w:autoSpaceDN/>
        <w:bidi w:val="0"/>
        <w:adjustRightInd/>
        <w:snapToGrid w:val="0"/>
        <w:spacing w:line="480" w:lineRule="auto"/>
        <w:textAlignment w:val="auto"/>
        <w:rPr>
          <w:rFonts w:hint="eastAsia"/>
        </w:rPr>
      </w:pPr>
      <w:r>
        <w:rPr>
          <w:rFonts w:hint="eastAsia" w:ascii="宋体" w:hAnsi="宋体" w:cs="宋体"/>
          <w:sz w:val="24"/>
        </w:rPr>
        <w:t>项目编号：TPTZ-2020-TZ0910       项目标段：</w:t>
      </w:r>
      <w:r>
        <w:rPr>
          <w:rFonts w:hint="eastAsia" w:ascii="宋体" w:hAnsi="宋体" w:cs="宋体"/>
          <w:sz w:val="24"/>
          <w:lang w:eastAsia="zh-CN"/>
        </w:rPr>
        <w:t>一</w:t>
      </w:r>
      <w:r>
        <w:rPr>
          <w:rFonts w:hint="eastAsia" w:ascii="宋体" w:hAnsi="宋体" w:cs="宋体"/>
          <w:b/>
          <w:bCs/>
          <w:sz w:val="24"/>
          <w:lang w:eastAsia="zh-CN"/>
        </w:rPr>
        <w:t>或</w:t>
      </w:r>
      <w:r>
        <w:rPr>
          <w:rFonts w:hint="eastAsia" w:ascii="宋体" w:hAnsi="宋体" w:cs="宋体"/>
          <w:sz w:val="24"/>
          <w:lang w:eastAsia="zh-CN"/>
        </w:rPr>
        <w:t>二</w:t>
      </w:r>
      <w:r>
        <w:rPr>
          <w:rFonts w:hint="eastAsia" w:ascii="宋体" w:hAnsi="宋体" w:cs="宋体"/>
          <w:sz w:val="24"/>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3177"/>
        <w:gridCol w:w="2306"/>
        <w:gridCol w:w="2980"/>
        <w:gridCol w:w="3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483" w:type="dxa"/>
            <w:noWrap w:val="0"/>
            <w:vAlign w:val="center"/>
          </w:tcPr>
          <w:p>
            <w:pPr>
              <w:spacing w:line="360" w:lineRule="auto"/>
              <w:jc w:val="center"/>
              <w:rPr>
                <w:rFonts w:hint="eastAsia" w:ascii="宋体" w:hAnsi="宋体" w:cs="宋体"/>
                <w:sz w:val="24"/>
              </w:rPr>
            </w:pPr>
            <w:r>
              <w:rPr>
                <w:rFonts w:hint="eastAsia" w:ascii="宋体" w:hAnsi="宋体" w:cs="宋体"/>
                <w:sz w:val="24"/>
              </w:rPr>
              <w:t>序号</w:t>
            </w:r>
          </w:p>
        </w:tc>
        <w:tc>
          <w:tcPr>
            <w:tcW w:w="3177" w:type="dxa"/>
            <w:noWrap w:val="0"/>
            <w:vAlign w:val="center"/>
          </w:tcPr>
          <w:p>
            <w:pPr>
              <w:spacing w:line="360" w:lineRule="auto"/>
              <w:jc w:val="center"/>
              <w:rPr>
                <w:rFonts w:hint="eastAsia" w:ascii="宋体" w:hAnsi="宋体" w:cs="宋体"/>
                <w:sz w:val="24"/>
              </w:rPr>
            </w:pPr>
            <w:r>
              <w:rPr>
                <w:rFonts w:hint="eastAsia" w:ascii="宋体" w:hAnsi="宋体" w:cs="宋体"/>
                <w:sz w:val="24"/>
              </w:rPr>
              <w:t>项目名称</w:t>
            </w:r>
          </w:p>
        </w:tc>
        <w:tc>
          <w:tcPr>
            <w:tcW w:w="2306" w:type="dxa"/>
            <w:noWrap w:val="0"/>
            <w:vAlign w:val="center"/>
          </w:tcPr>
          <w:p>
            <w:pPr>
              <w:spacing w:line="360" w:lineRule="auto"/>
              <w:jc w:val="center"/>
              <w:rPr>
                <w:rFonts w:hint="eastAsia" w:ascii="宋体" w:hAnsi="宋体" w:cs="宋体"/>
                <w:sz w:val="24"/>
              </w:rPr>
            </w:pPr>
            <w:r>
              <w:rPr>
                <w:rFonts w:hint="eastAsia" w:ascii="宋体" w:hAnsi="宋体" w:cs="宋体"/>
                <w:sz w:val="24"/>
              </w:rPr>
              <w:t>项目规模</w:t>
            </w:r>
          </w:p>
        </w:tc>
        <w:tc>
          <w:tcPr>
            <w:tcW w:w="2980" w:type="dxa"/>
            <w:noWrap w:val="0"/>
            <w:vAlign w:val="center"/>
          </w:tcPr>
          <w:p>
            <w:pPr>
              <w:spacing w:line="360" w:lineRule="auto"/>
              <w:jc w:val="center"/>
              <w:rPr>
                <w:rFonts w:hint="eastAsia" w:ascii="宋体" w:hAnsi="宋体" w:cs="宋体"/>
                <w:sz w:val="24"/>
              </w:rPr>
            </w:pPr>
            <w:r>
              <w:rPr>
                <w:rFonts w:hint="eastAsia" w:ascii="宋体" w:hAnsi="宋体" w:cs="宋体"/>
                <w:sz w:val="24"/>
              </w:rPr>
              <w:t>业主单位名称</w:t>
            </w:r>
          </w:p>
          <w:p>
            <w:pPr>
              <w:spacing w:line="360" w:lineRule="auto"/>
              <w:jc w:val="center"/>
              <w:rPr>
                <w:rFonts w:hint="eastAsia" w:ascii="宋体" w:hAnsi="宋体" w:cs="宋体"/>
                <w:sz w:val="24"/>
              </w:rPr>
            </w:pPr>
            <w:r>
              <w:rPr>
                <w:rFonts w:hint="eastAsia" w:ascii="宋体" w:hAnsi="宋体" w:cs="宋体"/>
                <w:sz w:val="24"/>
              </w:rPr>
              <w:t>（联系人、联系电话）</w:t>
            </w:r>
          </w:p>
        </w:tc>
        <w:tc>
          <w:tcPr>
            <w:tcW w:w="3097" w:type="dxa"/>
            <w:noWrap w:val="0"/>
            <w:vAlign w:val="center"/>
          </w:tcPr>
          <w:p>
            <w:pPr>
              <w:spacing w:line="360" w:lineRule="auto"/>
              <w:jc w:val="center"/>
              <w:rPr>
                <w:rFonts w:hint="eastAsia" w:ascii="宋体" w:hAnsi="宋体" w:cs="宋体"/>
                <w:sz w:val="24"/>
              </w:rPr>
            </w:pPr>
            <w:r>
              <w:rPr>
                <w:rFonts w:hint="eastAsia" w:ascii="宋体" w:hAnsi="宋体" w:cs="宋体"/>
                <w:sz w:val="24"/>
              </w:rPr>
              <w:t>提供的资料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83" w:type="dxa"/>
            <w:noWrap w:val="0"/>
            <w:vAlign w:val="center"/>
          </w:tcPr>
          <w:p>
            <w:pPr>
              <w:tabs>
                <w:tab w:val="left" w:pos="322"/>
              </w:tabs>
              <w:spacing w:line="360" w:lineRule="auto"/>
              <w:jc w:val="center"/>
              <w:rPr>
                <w:rFonts w:hint="eastAsia" w:ascii="宋体" w:hAnsi="宋体" w:cs="宋体"/>
                <w:sz w:val="24"/>
              </w:rPr>
            </w:pPr>
            <w:r>
              <w:rPr>
                <w:rFonts w:hint="eastAsia" w:ascii="宋体" w:hAnsi="宋体" w:cs="宋体"/>
                <w:sz w:val="24"/>
              </w:rPr>
              <w:t>1</w:t>
            </w:r>
          </w:p>
        </w:tc>
        <w:tc>
          <w:tcPr>
            <w:tcW w:w="3177" w:type="dxa"/>
            <w:noWrap w:val="0"/>
            <w:vAlign w:val="center"/>
          </w:tcPr>
          <w:p>
            <w:pPr>
              <w:spacing w:line="360" w:lineRule="auto"/>
              <w:jc w:val="center"/>
              <w:rPr>
                <w:rFonts w:hint="eastAsia" w:ascii="宋体" w:hAnsi="宋体" w:cs="宋体"/>
                <w:sz w:val="24"/>
              </w:rPr>
            </w:pPr>
          </w:p>
        </w:tc>
        <w:tc>
          <w:tcPr>
            <w:tcW w:w="2306" w:type="dxa"/>
            <w:noWrap w:val="0"/>
            <w:vAlign w:val="center"/>
          </w:tcPr>
          <w:p>
            <w:pPr>
              <w:spacing w:line="360" w:lineRule="auto"/>
              <w:jc w:val="center"/>
              <w:rPr>
                <w:rFonts w:hint="eastAsia" w:ascii="宋体" w:hAnsi="宋体" w:cs="宋体"/>
                <w:sz w:val="24"/>
              </w:rPr>
            </w:pPr>
          </w:p>
        </w:tc>
        <w:tc>
          <w:tcPr>
            <w:tcW w:w="2980" w:type="dxa"/>
            <w:noWrap w:val="0"/>
            <w:vAlign w:val="center"/>
          </w:tcPr>
          <w:p>
            <w:pPr>
              <w:spacing w:line="360" w:lineRule="auto"/>
              <w:jc w:val="center"/>
              <w:rPr>
                <w:rFonts w:hint="eastAsia" w:ascii="宋体" w:hAnsi="宋体" w:cs="宋体"/>
                <w:sz w:val="24"/>
              </w:rPr>
            </w:pPr>
          </w:p>
        </w:tc>
        <w:tc>
          <w:tcPr>
            <w:tcW w:w="3097" w:type="dxa"/>
            <w:noWrap w:val="0"/>
            <w:vAlign w:val="center"/>
          </w:tcPr>
          <w:p>
            <w:pPr>
              <w:spacing w:line="360" w:lineRule="auto"/>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83" w:type="dxa"/>
            <w:noWrap w:val="0"/>
            <w:vAlign w:val="center"/>
          </w:tcPr>
          <w:p>
            <w:pPr>
              <w:tabs>
                <w:tab w:val="left" w:pos="322"/>
              </w:tabs>
              <w:spacing w:line="360" w:lineRule="auto"/>
              <w:jc w:val="center"/>
              <w:rPr>
                <w:rFonts w:hint="eastAsia" w:ascii="宋体" w:hAnsi="宋体" w:cs="宋体"/>
                <w:sz w:val="24"/>
              </w:rPr>
            </w:pPr>
            <w:r>
              <w:rPr>
                <w:rFonts w:hint="eastAsia" w:ascii="宋体" w:hAnsi="宋体" w:cs="宋体"/>
                <w:sz w:val="24"/>
              </w:rPr>
              <w:t>2</w:t>
            </w:r>
          </w:p>
        </w:tc>
        <w:tc>
          <w:tcPr>
            <w:tcW w:w="3177" w:type="dxa"/>
            <w:noWrap w:val="0"/>
            <w:vAlign w:val="center"/>
          </w:tcPr>
          <w:p>
            <w:pPr>
              <w:spacing w:line="360" w:lineRule="auto"/>
              <w:jc w:val="center"/>
              <w:rPr>
                <w:rFonts w:hint="eastAsia" w:ascii="宋体" w:hAnsi="宋体" w:cs="宋体"/>
                <w:sz w:val="24"/>
              </w:rPr>
            </w:pPr>
          </w:p>
        </w:tc>
        <w:tc>
          <w:tcPr>
            <w:tcW w:w="2306" w:type="dxa"/>
            <w:noWrap w:val="0"/>
            <w:vAlign w:val="center"/>
          </w:tcPr>
          <w:p>
            <w:pPr>
              <w:spacing w:line="360" w:lineRule="auto"/>
              <w:jc w:val="center"/>
              <w:rPr>
                <w:rFonts w:hint="eastAsia" w:ascii="宋体" w:hAnsi="宋体" w:cs="宋体"/>
                <w:sz w:val="24"/>
              </w:rPr>
            </w:pPr>
          </w:p>
        </w:tc>
        <w:tc>
          <w:tcPr>
            <w:tcW w:w="2980" w:type="dxa"/>
            <w:noWrap w:val="0"/>
            <w:vAlign w:val="center"/>
          </w:tcPr>
          <w:p>
            <w:pPr>
              <w:spacing w:line="360" w:lineRule="auto"/>
              <w:jc w:val="center"/>
              <w:rPr>
                <w:rFonts w:hint="eastAsia" w:ascii="宋体" w:hAnsi="宋体" w:cs="宋体"/>
                <w:sz w:val="24"/>
              </w:rPr>
            </w:pPr>
          </w:p>
        </w:tc>
        <w:tc>
          <w:tcPr>
            <w:tcW w:w="3097" w:type="dxa"/>
            <w:noWrap w:val="0"/>
            <w:vAlign w:val="center"/>
          </w:tcPr>
          <w:p>
            <w:pPr>
              <w:spacing w:line="360" w:lineRule="auto"/>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83" w:type="dxa"/>
            <w:noWrap w:val="0"/>
            <w:vAlign w:val="center"/>
          </w:tcPr>
          <w:p>
            <w:pPr>
              <w:tabs>
                <w:tab w:val="left" w:pos="322"/>
              </w:tabs>
              <w:spacing w:line="360" w:lineRule="auto"/>
              <w:jc w:val="center"/>
              <w:rPr>
                <w:rFonts w:hint="eastAsia" w:ascii="宋体" w:hAnsi="宋体" w:cs="宋体"/>
                <w:sz w:val="24"/>
              </w:rPr>
            </w:pPr>
            <w:r>
              <w:rPr>
                <w:rFonts w:hint="eastAsia" w:ascii="宋体" w:hAnsi="宋体" w:cs="宋体"/>
                <w:sz w:val="24"/>
              </w:rPr>
              <w:t>3</w:t>
            </w:r>
          </w:p>
        </w:tc>
        <w:tc>
          <w:tcPr>
            <w:tcW w:w="3177" w:type="dxa"/>
            <w:noWrap w:val="0"/>
            <w:vAlign w:val="center"/>
          </w:tcPr>
          <w:p>
            <w:pPr>
              <w:spacing w:line="360" w:lineRule="auto"/>
              <w:jc w:val="center"/>
              <w:rPr>
                <w:rFonts w:hint="eastAsia" w:ascii="宋体" w:hAnsi="宋体" w:cs="宋体"/>
                <w:sz w:val="24"/>
              </w:rPr>
            </w:pPr>
          </w:p>
        </w:tc>
        <w:tc>
          <w:tcPr>
            <w:tcW w:w="2306" w:type="dxa"/>
            <w:noWrap w:val="0"/>
            <w:vAlign w:val="center"/>
          </w:tcPr>
          <w:p>
            <w:pPr>
              <w:spacing w:line="360" w:lineRule="auto"/>
              <w:jc w:val="center"/>
              <w:rPr>
                <w:rFonts w:hint="eastAsia" w:ascii="宋体" w:hAnsi="宋体" w:cs="宋体"/>
                <w:sz w:val="24"/>
              </w:rPr>
            </w:pPr>
          </w:p>
        </w:tc>
        <w:tc>
          <w:tcPr>
            <w:tcW w:w="2980" w:type="dxa"/>
            <w:noWrap w:val="0"/>
            <w:vAlign w:val="center"/>
          </w:tcPr>
          <w:p>
            <w:pPr>
              <w:spacing w:line="360" w:lineRule="auto"/>
              <w:jc w:val="center"/>
              <w:rPr>
                <w:rFonts w:hint="eastAsia" w:ascii="宋体" w:hAnsi="宋体" w:cs="宋体"/>
                <w:sz w:val="24"/>
              </w:rPr>
            </w:pPr>
          </w:p>
        </w:tc>
        <w:tc>
          <w:tcPr>
            <w:tcW w:w="3097" w:type="dxa"/>
            <w:noWrap w:val="0"/>
            <w:vAlign w:val="center"/>
          </w:tcPr>
          <w:p>
            <w:pPr>
              <w:spacing w:line="360" w:lineRule="auto"/>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83" w:type="dxa"/>
            <w:noWrap w:val="0"/>
            <w:vAlign w:val="center"/>
          </w:tcPr>
          <w:p>
            <w:pPr>
              <w:tabs>
                <w:tab w:val="left" w:pos="322"/>
              </w:tabs>
              <w:spacing w:line="360" w:lineRule="auto"/>
              <w:jc w:val="center"/>
              <w:rPr>
                <w:rFonts w:hint="eastAsia" w:ascii="宋体" w:hAnsi="宋体" w:cs="宋体"/>
                <w:sz w:val="24"/>
              </w:rPr>
            </w:pPr>
            <w:r>
              <w:rPr>
                <w:rFonts w:hint="eastAsia" w:ascii="宋体" w:hAnsi="宋体" w:cs="宋体"/>
                <w:sz w:val="24"/>
              </w:rPr>
              <w:t>4</w:t>
            </w:r>
          </w:p>
        </w:tc>
        <w:tc>
          <w:tcPr>
            <w:tcW w:w="3177" w:type="dxa"/>
            <w:noWrap w:val="0"/>
            <w:vAlign w:val="center"/>
          </w:tcPr>
          <w:p>
            <w:pPr>
              <w:spacing w:line="360" w:lineRule="auto"/>
              <w:jc w:val="center"/>
              <w:rPr>
                <w:rFonts w:hint="eastAsia" w:ascii="宋体" w:hAnsi="宋体" w:cs="宋体"/>
                <w:sz w:val="24"/>
              </w:rPr>
            </w:pPr>
          </w:p>
        </w:tc>
        <w:tc>
          <w:tcPr>
            <w:tcW w:w="2306" w:type="dxa"/>
            <w:noWrap w:val="0"/>
            <w:vAlign w:val="center"/>
          </w:tcPr>
          <w:p>
            <w:pPr>
              <w:spacing w:line="360" w:lineRule="auto"/>
              <w:jc w:val="center"/>
              <w:rPr>
                <w:rFonts w:hint="eastAsia" w:ascii="宋体" w:hAnsi="宋体" w:cs="宋体"/>
                <w:sz w:val="24"/>
              </w:rPr>
            </w:pPr>
          </w:p>
        </w:tc>
        <w:tc>
          <w:tcPr>
            <w:tcW w:w="2980" w:type="dxa"/>
            <w:noWrap w:val="0"/>
            <w:vAlign w:val="center"/>
          </w:tcPr>
          <w:p>
            <w:pPr>
              <w:spacing w:line="360" w:lineRule="auto"/>
              <w:jc w:val="center"/>
              <w:rPr>
                <w:rFonts w:hint="eastAsia" w:ascii="宋体" w:hAnsi="宋体" w:cs="宋体"/>
                <w:sz w:val="24"/>
              </w:rPr>
            </w:pPr>
          </w:p>
        </w:tc>
        <w:tc>
          <w:tcPr>
            <w:tcW w:w="3097" w:type="dxa"/>
            <w:noWrap w:val="0"/>
            <w:vAlign w:val="center"/>
          </w:tcPr>
          <w:p>
            <w:pPr>
              <w:spacing w:line="360" w:lineRule="auto"/>
              <w:jc w:val="center"/>
              <w:rPr>
                <w:rFonts w:hint="eastAsia" w:ascii="宋体" w:hAnsi="宋体" w:cs="宋体"/>
                <w:sz w:val="24"/>
              </w:rPr>
            </w:pPr>
          </w:p>
        </w:tc>
      </w:tr>
    </w:tbl>
    <w:p>
      <w:pPr>
        <w:spacing w:line="360" w:lineRule="auto"/>
        <w:ind w:firstLine="211" w:firstLineChars="100"/>
        <w:rPr>
          <w:rFonts w:hint="eastAsia" w:ascii="宋体" w:hAnsi="宋体" w:cs="宋体"/>
          <w:b/>
          <w:sz w:val="21"/>
        </w:rPr>
      </w:pPr>
      <w:r>
        <w:rPr>
          <w:rFonts w:hint="eastAsia" w:ascii="宋体" w:hAnsi="宋体" w:cs="宋体"/>
          <w:b/>
          <w:sz w:val="21"/>
        </w:rPr>
        <w:t>注：投标人可根据需要扩展表格。</w:t>
      </w:r>
    </w:p>
    <w:p>
      <w:pPr>
        <w:spacing w:line="360" w:lineRule="auto"/>
        <w:ind w:left="185" w:leftChars="66" w:firstLine="422" w:firstLineChars="200"/>
        <w:rPr>
          <w:rFonts w:hint="eastAsia" w:ascii="宋体" w:hAnsi="宋体" w:cs="宋体"/>
          <w:b/>
          <w:sz w:val="21"/>
        </w:rPr>
      </w:pPr>
      <w:r>
        <w:rPr>
          <w:rFonts w:hint="eastAsia" w:ascii="宋体" w:hAnsi="宋体" w:cs="宋体"/>
          <w:b/>
          <w:sz w:val="21"/>
        </w:rPr>
        <w:t>我方保证以上提供的资料是真实、准确的，如有虚假，愿接受被没收投标担保的处罚，并愿意承担法律责任。</w:t>
      </w:r>
    </w:p>
    <w:p>
      <w:pPr>
        <w:rPr>
          <w:rFonts w:hint="eastAsia" w:ascii="宋体" w:hAnsi="宋体" w:cs="宋体"/>
        </w:rPr>
      </w:pPr>
      <w:r>
        <w:rPr>
          <w:rFonts w:hint="eastAsia" w:ascii="宋体" w:hAnsi="宋体" w:cs="宋体"/>
        </w:rPr>
        <w:t xml:space="preserve">法定代表人或授权代表（签字或盖章）：     </w:t>
      </w:r>
    </w:p>
    <w:p>
      <w:pPr>
        <w:rPr>
          <w:rFonts w:hint="eastAsia" w:ascii="宋体" w:hAnsi="宋体" w:cs="宋体"/>
        </w:rPr>
      </w:pPr>
      <w:r>
        <w:rPr>
          <w:rFonts w:hint="eastAsia" w:ascii="宋体" w:hAnsi="宋体" w:cs="宋体"/>
        </w:rPr>
        <w:t xml:space="preserve">投标人（盖章）：                   </w:t>
      </w:r>
    </w:p>
    <w:p>
      <w:pPr>
        <w:jc w:val="center"/>
        <w:rPr>
          <w:rFonts w:hint="eastAsia" w:ascii="宋体" w:hAnsi="宋体" w:cs="宋体"/>
        </w:rPr>
        <w:sectPr>
          <w:pgSz w:w="16840" w:h="11907" w:orient="landscape"/>
          <w:pgMar w:top="1304" w:right="1361" w:bottom="1247" w:left="1247" w:header="851" w:footer="851" w:gutter="0"/>
          <w:pgBorders>
            <w:top w:val="none" w:sz="0" w:space="0"/>
            <w:left w:val="none" w:sz="0" w:space="0"/>
            <w:bottom w:val="none" w:sz="0" w:space="0"/>
            <w:right w:val="none" w:sz="0" w:space="0"/>
          </w:pgBorders>
          <w:cols w:space="720" w:num="1"/>
          <w:titlePg/>
          <w:docGrid w:linePitch="312" w:charSpace="0"/>
        </w:sectPr>
      </w:pPr>
      <w:r>
        <w:rPr>
          <w:rFonts w:hint="eastAsia" w:ascii="宋体" w:hAnsi="宋体" w:cs="宋体"/>
        </w:rPr>
        <w:t xml:space="preserve">                                              </w:t>
      </w:r>
      <w:bookmarkStart w:id="385" w:name="_Toc11529_WPSOffice_Level1"/>
      <w:r>
        <w:rPr>
          <w:rFonts w:hint="eastAsia" w:ascii="宋体" w:hAnsi="宋体" w:cs="宋体"/>
        </w:rPr>
        <w:t>日期：   年   月   日</w:t>
      </w:r>
      <w:bookmarkEnd w:id="385"/>
    </w:p>
    <w:p>
      <w:pPr>
        <w:snapToGrid w:val="0"/>
        <w:spacing w:before="50" w:after="50"/>
        <w:rPr>
          <w:rFonts w:hint="eastAsia" w:ascii="宋体" w:hAnsi="宋体" w:cs="宋体"/>
          <w:b/>
          <w:sz w:val="22"/>
          <w:szCs w:val="22"/>
        </w:rPr>
      </w:pPr>
      <w:bookmarkStart w:id="386" w:name="_Toc386005314"/>
      <w:bookmarkStart w:id="387" w:name="_Toc184281694"/>
      <w:bookmarkStart w:id="388" w:name="_Toc343495772"/>
      <w:bookmarkStart w:id="389" w:name="_Toc184281693"/>
      <w:r>
        <w:rPr>
          <w:rFonts w:hint="eastAsia" w:ascii="宋体" w:hAnsi="宋体" w:cs="宋体"/>
          <w:b/>
          <w:sz w:val="22"/>
          <w:szCs w:val="22"/>
        </w:rPr>
        <w:t>附件7：</w:t>
      </w:r>
    </w:p>
    <w:p>
      <w:pPr>
        <w:pStyle w:val="32"/>
        <w:widowControl w:val="0"/>
        <w:spacing w:before="0" w:beforeAutospacing="0" w:after="0" w:afterAutospacing="0" w:line="360" w:lineRule="auto"/>
        <w:jc w:val="center"/>
        <w:rPr>
          <w:rFonts w:hint="eastAsia" w:cs="宋体"/>
          <w:bCs/>
          <w:color w:val="auto"/>
          <w:kern w:val="2"/>
          <w:sz w:val="28"/>
          <w:szCs w:val="21"/>
          <w:lang w:bidi="ar"/>
        </w:rPr>
      </w:pPr>
      <w:r>
        <w:rPr>
          <w:rFonts w:hint="eastAsia" w:cs="宋体"/>
          <w:bCs/>
          <w:color w:val="auto"/>
          <w:kern w:val="2"/>
          <w:sz w:val="28"/>
          <w:szCs w:val="21"/>
          <w:lang w:val="zh-CN" w:bidi="ar"/>
        </w:rPr>
        <w:t>供货清单</w:t>
      </w:r>
      <w:r>
        <w:rPr>
          <w:rFonts w:hint="eastAsia" w:cs="宋体"/>
          <w:bCs/>
          <w:color w:val="auto"/>
          <w:kern w:val="2"/>
          <w:sz w:val="28"/>
          <w:szCs w:val="21"/>
          <w:lang w:bidi="ar"/>
        </w:rPr>
        <w:t>表</w:t>
      </w:r>
    </w:p>
    <w:p>
      <w:pPr>
        <w:snapToGrid w:val="0"/>
        <w:spacing w:before="120" w:beforeLines="50" w:after="50" w:line="480" w:lineRule="auto"/>
        <w:rPr>
          <w:rFonts w:hint="eastAsia" w:ascii="宋体" w:hAnsi="宋体" w:cs="宋体"/>
          <w:bCs/>
          <w:sz w:val="24"/>
          <w:szCs w:val="20"/>
        </w:rPr>
      </w:pPr>
      <w:r>
        <w:rPr>
          <w:rFonts w:hint="eastAsia" w:ascii="宋体" w:hAnsi="宋体" w:cs="宋体"/>
        </w:rPr>
        <w:t xml:space="preserve"> </w:t>
      </w:r>
      <w:r>
        <w:rPr>
          <w:rFonts w:hint="eastAsia" w:ascii="宋体" w:hAnsi="宋体" w:cs="宋体"/>
          <w:bCs/>
          <w:sz w:val="24"/>
        </w:rPr>
        <w:t>项目名称：台州市公安局集聚区分局雪亮工程（三期）前端点位建设项目</w:t>
      </w:r>
      <w:r>
        <w:rPr>
          <w:rFonts w:hint="eastAsia" w:ascii="宋体" w:hAnsi="宋体" w:cs="宋体"/>
          <w:b/>
          <w:bCs w:val="0"/>
          <w:sz w:val="24"/>
          <w:lang w:eastAsia="zh-CN"/>
        </w:rPr>
        <w:t>或</w:t>
      </w:r>
      <w:r>
        <w:rPr>
          <w:rFonts w:hint="eastAsia" w:ascii="宋体" w:hAnsi="宋体" w:cs="宋体"/>
          <w:bCs/>
          <w:sz w:val="24"/>
        </w:rPr>
        <w:t>台州市公安局集聚区分局雪亮工程（三期）后端保障服务项目</w:t>
      </w:r>
    </w:p>
    <w:p>
      <w:pPr>
        <w:keepNext w:val="0"/>
        <w:keepLines w:val="0"/>
        <w:pageBreakBefore w:val="0"/>
        <w:widowControl w:val="0"/>
        <w:kinsoku/>
        <w:wordWrap/>
        <w:overflowPunct/>
        <w:topLinePunct w:val="0"/>
        <w:autoSpaceDE/>
        <w:autoSpaceDN/>
        <w:bidi w:val="0"/>
        <w:adjustRightInd/>
        <w:snapToGrid w:val="0"/>
        <w:spacing w:line="480" w:lineRule="auto"/>
        <w:textAlignment w:val="auto"/>
        <w:rPr>
          <w:rFonts w:hint="eastAsia"/>
        </w:rPr>
      </w:pPr>
      <w:r>
        <w:rPr>
          <w:rFonts w:hint="eastAsia" w:ascii="宋体" w:hAnsi="宋体" w:cs="宋体"/>
          <w:sz w:val="24"/>
        </w:rPr>
        <w:t>项目编号：TPTZ-2020-TZ0910       项目标段：</w:t>
      </w:r>
      <w:r>
        <w:rPr>
          <w:rFonts w:hint="eastAsia" w:ascii="宋体" w:hAnsi="宋体" w:cs="宋体"/>
          <w:sz w:val="24"/>
          <w:lang w:eastAsia="zh-CN"/>
        </w:rPr>
        <w:t>一</w:t>
      </w:r>
      <w:r>
        <w:rPr>
          <w:rFonts w:hint="eastAsia" w:ascii="宋体" w:hAnsi="宋体" w:cs="宋体"/>
          <w:b/>
          <w:bCs/>
          <w:sz w:val="24"/>
          <w:lang w:eastAsia="zh-CN"/>
        </w:rPr>
        <w:t>或</w:t>
      </w:r>
      <w:r>
        <w:rPr>
          <w:rFonts w:hint="eastAsia" w:ascii="宋体" w:hAnsi="宋体" w:cs="宋体"/>
          <w:sz w:val="24"/>
          <w:lang w:eastAsia="zh-CN"/>
        </w:rPr>
        <w:t>二</w:t>
      </w:r>
      <w:r>
        <w:rPr>
          <w:rFonts w:hint="eastAsia" w:ascii="宋体" w:hAnsi="宋体" w:cs="宋体"/>
          <w:sz w:val="24"/>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848"/>
        <w:gridCol w:w="1156"/>
        <w:gridCol w:w="868"/>
        <w:gridCol w:w="1646"/>
        <w:gridCol w:w="1060"/>
        <w:gridCol w:w="1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jc w:val="center"/>
        </w:trPr>
        <w:tc>
          <w:tcPr>
            <w:tcW w:w="99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line="360" w:lineRule="auto"/>
              <w:jc w:val="center"/>
              <w:rPr>
                <w:rFonts w:hint="eastAsia" w:ascii="宋体" w:hAnsi="宋体" w:cs="宋体"/>
                <w:b/>
              </w:rPr>
            </w:pPr>
            <w:r>
              <w:rPr>
                <w:rFonts w:hint="eastAsia" w:ascii="宋体" w:hAnsi="宋体" w:cs="宋体"/>
                <w:b/>
                <w:lang w:bidi="ar"/>
              </w:rPr>
              <w:t>序号</w:t>
            </w:r>
          </w:p>
        </w:tc>
        <w:tc>
          <w:tcPr>
            <w:tcW w:w="184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line="360" w:lineRule="auto"/>
              <w:jc w:val="center"/>
              <w:rPr>
                <w:rFonts w:hint="eastAsia" w:ascii="宋体" w:hAnsi="宋体" w:cs="宋体"/>
                <w:b/>
              </w:rPr>
            </w:pPr>
            <w:r>
              <w:rPr>
                <w:rFonts w:hint="eastAsia" w:ascii="宋体" w:hAnsi="宋体" w:cs="宋体"/>
                <w:b/>
                <w:lang w:bidi="ar"/>
              </w:rPr>
              <w:t>名称</w:t>
            </w:r>
          </w:p>
        </w:tc>
        <w:tc>
          <w:tcPr>
            <w:tcW w:w="115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line="360" w:lineRule="auto"/>
              <w:jc w:val="center"/>
              <w:rPr>
                <w:rFonts w:hint="eastAsia" w:ascii="宋体" w:hAnsi="宋体" w:cs="宋体"/>
                <w:b/>
              </w:rPr>
            </w:pPr>
            <w:r>
              <w:rPr>
                <w:rFonts w:hint="eastAsia" w:ascii="宋体" w:hAnsi="宋体" w:cs="宋体"/>
                <w:b/>
                <w:lang w:bidi="ar"/>
              </w:rPr>
              <w:t>品牌</w:t>
            </w:r>
          </w:p>
        </w:tc>
        <w:tc>
          <w:tcPr>
            <w:tcW w:w="86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line="360" w:lineRule="auto"/>
              <w:jc w:val="center"/>
              <w:rPr>
                <w:rFonts w:hint="eastAsia" w:ascii="宋体" w:hAnsi="宋体" w:cs="宋体"/>
                <w:b/>
              </w:rPr>
            </w:pPr>
            <w:r>
              <w:rPr>
                <w:rFonts w:hint="eastAsia" w:ascii="宋体" w:hAnsi="宋体"/>
                <w:b/>
                <w:sz w:val="24"/>
              </w:rPr>
              <w:t>规格型号</w:t>
            </w:r>
          </w:p>
        </w:tc>
        <w:tc>
          <w:tcPr>
            <w:tcW w:w="1646" w:type="dxa"/>
            <w:tcBorders>
              <w:top w:val="single" w:color="auto" w:sz="4" w:space="0"/>
              <w:left w:val="single" w:color="auto" w:sz="4" w:space="0"/>
              <w:bottom w:val="single" w:color="auto" w:sz="4" w:space="0"/>
              <w:right w:val="single" w:color="auto" w:sz="4" w:space="0"/>
            </w:tcBorders>
            <w:noWrap w:val="0"/>
            <w:vAlign w:val="center"/>
          </w:tcPr>
          <w:p>
            <w:pPr>
              <w:tabs>
                <w:tab w:val="left" w:pos="1065"/>
              </w:tabs>
              <w:snapToGrid w:val="0"/>
              <w:spacing w:before="50" w:after="120" w:afterLines="50" w:line="360" w:lineRule="auto"/>
              <w:jc w:val="center"/>
              <w:rPr>
                <w:rFonts w:hint="eastAsia" w:ascii="宋体" w:hAnsi="宋体" w:cs="宋体"/>
                <w:b/>
              </w:rPr>
            </w:pPr>
            <w:r>
              <w:rPr>
                <w:rFonts w:hint="eastAsia" w:ascii="宋体" w:hAnsi="宋体" w:cs="宋体"/>
                <w:b/>
                <w:lang w:bidi="ar"/>
              </w:rPr>
              <w:t>产地</w:t>
            </w:r>
          </w:p>
        </w:tc>
        <w:tc>
          <w:tcPr>
            <w:tcW w:w="1060" w:type="dxa"/>
            <w:tcBorders>
              <w:top w:val="single" w:color="auto" w:sz="4" w:space="0"/>
              <w:left w:val="single" w:color="auto" w:sz="4" w:space="0"/>
              <w:bottom w:val="single" w:color="auto" w:sz="4" w:space="0"/>
              <w:right w:val="single" w:color="auto" w:sz="4" w:space="0"/>
            </w:tcBorders>
            <w:noWrap w:val="0"/>
            <w:vAlign w:val="center"/>
          </w:tcPr>
          <w:p>
            <w:pPr>
              <w:tabs>
                <w:tab w:val="left" w:pos="1065"/>
              </w:tabs>
              <w:snapToGrid w:val="0"/>
              <w:spacing w:before="50" w:after="120" w:afterLines="50" w:line="360" w:lineRule="auto"/>
              <w:jc w:val="center"/>
              <w:rPr>
                <w:rFonts w:hint="eastAsia" w:ascii="宋体" w:hAnsi="宋体" w:cs="宋体"/>
                <w:b/>
              </w:rPr>
            </w:pPr>
            <w:r>
              <w:rPr>
                <w:rFonts w:hint="eastAsia" w:ascii="宋体" w:hAnsi="宋体" w:cs="宋体"/>
                <w:b/>
                <w:lang w:bidi="ar"/>
              </w:rPr>
              <w:t>数量</w:t>
            </w:r>
          </w:p>
        </w:tc>
        <w:tc>
          <w:tcPr>
            <w:tcW w:w="154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120" w:afterLines="50" w:line="360" w:lineRule="auto"/>
              <w:jc w:val="center"/>
              <w:rPr>
                <w:rFonts w:hint="eastAsia" w:ascii="宋体" w:hAnsi="宋体" w:cs="宋体"/>
                <w:b/>
              </w:rPr>
            </w:pPr>
            <w:r>
              <w:rPr>
                <w:rFonts w:hint="eastAsia" w:ascii="宋体" w:hAnsi="宋体" w:cs="宋体"/>
                <w:b/>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99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84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15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86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64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06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54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99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84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15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86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64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06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54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99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84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15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86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64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06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54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99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84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15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86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64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06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54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99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84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15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86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64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06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54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99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84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15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86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64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06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54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99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84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15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868"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646"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06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c>
          <w:tcPr>
            <w:tcW w:w="1542"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120" w:afterLines="50" w:line="480" w:lineRule="auto"/>
              <w:rPr>
                <w:rFonts w:hint="eastAsia" w:ascii="宋体" w:hAnsi="宋体" w:cs="宋体"/>
              </w:rPr>
            </w:pPr>
          </w:p>
        </w:tc>
      </w:tr>
    </w:tbl>
    <w:p>
      <w:pPr>
        <w:rPr>
          <w:rFonts w:hint="eastAsia" w:ascii="宋体" w:hAnsi="宋体" w:cs="宋体"/>
          <w:bCs/>
          <w:snapToGrid w:val="0"/>
        </w:rPr>
      </w:pPr>
    </w:p>
    <w:p>
      <w:pPr>
        <w:snapToGrid w:val="0"/>
        <w:spacing w:before="50" w:after="120" w:afterLines="50"/>
        <w:jc w:val="left"/>
        <w:rPr>
          <w:rFonts w:hint="eastAsia" w:ascii="宋体" w:hAnsi="宋体" w:cs="宋体"/>
          <w:spacing w:val="20"/>
          <w:sz w:val="24"/>
        </w:rPr>
      </w:pPr>
      <w:r>
        <w:rPr>
          <w:rFonts w:hint="eastAsia" w:ascii="宋体" w:hAnsi="宋体" w:cs="宋体"/>
          <w:spacing w:val="20"/>
          <w:sz w:val="24"/>
          <w:lang w:bidi="ar"/>
        </w:rPr>
        <w:t xml:space="preserve"> 法定代表人或授权代表（签字或盖章）：            投标人（盖章）：</w:t>
      </w:r>
    </w:p>
    <w:p>
      <w:pPr>
        <w:snapToGrid w:val="0"/>
        <w:spacing w:before="50" w:after="120" w:afterLines="50"/>
        <w:jc w:val="left"/>
        <w:rPr>
          <w:rFonts w:hint="eastAsia" w:ascii="宋体" w:hAnsi="宋体" w:cs="宋体"/>
          <w:sz w:val="24"/>
          <w:szCs w:val="20"/>
        </w:rPr>
      </w:pPr>
      <w:r>
        <w:rPr>
          <w:rFonts w:hint="eastAsia" w:ascii="宋体" w:hAnsi="宋体" w:cs="宋体"/>
          <w:sz w:val="24"/>
          <w:szCs w:val="20"/>
          <w:lang w:bidi="ar"/>
        </w:rPr>
        <w:t>日期：</w:t>
      </w:r>
    </w:p>
    <w:p>
      <w:pPr>
        <w:pStyle w:val="32"/>
        <w:widowControl w:val="0"/>
        <w:spacing w:before="0" w:beforeAutospacing="0" w:after="0" w:afterAutospacing="0" w:line="360" w:lineRule="auto"/>
        <w:ind w:firstLine="480" w:firstLineChars="200"/>
        <w:jc w:val="both"/>
        <w:rPr>
          <w:rFonts w:hint="eastAsia" w:cs="宋体"/>
          <w:color w:val="auto"/>
        </w:rPr>
      </w:pPr>
    </w:p>
    <w:p>
      <w:pPr>
        <w:pStyle w:val="32"/>
        <w:widowControl w:val="0"/>
        <w:spacing w:before="0" w:beforeAutospacing="0" w:after="0" w:afterAutospacing="0" w:line="360" w:lineRule="auto"/>
        <w:ind w:firstLine="480" w:firstLineChars="200"/>
        <w:jc w:val="both"/>
        <w:rPr>
          <w:rFonts w:hint="eastAsia" w:cs="宋体"/>
          <w:color w:val="auto"/>
        </w:rPr>
      </w:pPr>
    </w:p>
    <w:p>
      <w:pPr>
        <w:pStyle w:val="32"/>
        <w:widowControl w:val="0"/>
        <w:spacing w:before="0" w:beforeAutospacing="0" w:after="0" w:afterAutospacing="0" w:line="360" w:lineRule="auto"/>
        <w:ind w:firstLine="480" w:firstLineChars="200"/>
        <w:jc w:val="both"/>
        <w:rPr>
          <w:rFonts w:hint="eastAsia" w:cs="宋体"/>
          <w:color w:val="auto"/>
        </w:rPr>
      </w:pPr>
    </w:p>
    <w:p>
      <w:pPr>
        <w:pStyle w:val="32"/>
        <w:widowControl w:val="0"/>
        <w:spacing w:before="0" w:beforeAutospacing="0" w:after="0" w:afterAutospacing="0" w:line="360" w:lineRule="auto"/>
        <w:ind w:firstLine="480" w:firstLineChars="200"/>
        <w:jc w:val="both"/>
        <w:rPr>
          <w:rFonts w:hint="eastAsia" w:cs="宋体"/>
          <w:color w:val="auto"/>
        </w:rPr>
      </w:pPr>
    </w:p>
    <w:p>
      <w:pPr>
        <w:snapToGrid w:val="0"/>
        <w:spacing w:before="50" w:after="50"/>
        <w:rPr>
          <w:rFonts w:ascii="宋体" w:hAnsi="宋体" w:cs="宋体"/>
          <w:b/>
          <w:sz w:val="22"/>
          <w:szCs w:val="22"/>
        </w:rPr>
      </w:pPr>
      <w:r>
        <w:rPr>
          <w:rFonts w:hint="eastAsia" w:ascii="宋体" w:hAnsi="宋体" w:cs="宋体"/>
          <w:b/>
          <w:sz w:val="22"/>
          <w:szCs w:val="22"/>
        </w:rPr>
        <w:t>附件8：</w:t>
      </w:r>
    </w:p>
    <w:p>
      <w:pPr>
        <w:snapToGrid w:val="0"/>
        <w:spacing w:before="120" w:beforeLines="50" w:after="50" w:line="360" w:lineRule="auto"/>
        <w:jc w:val="center"/>
        <w:rPr>
          <w:rFonts w:hint="eastAsia" w:ascii="宋体" w:hAnsi="宋体" w:cs="宋体"/>
          <w:bCs/>
          <w:lang w:bidi="ar"/>
        </w:rPr>
      </w:pPr>
      <w:r>
        <w:rPr>
          <w:rFonts w:hint="eastAsia" w:ascii="宋体" w:hAnsi="宋体" w:cs="宋体"/>
          <w:bCs/>
          <w:lang w:bidi="ar"/>
        </w:rPr>
        <w:t>技术需求响应表</w:t>
      </w:r>
    </w:p>
    <w:p>
      <w:pPr>
        <w:snapToGrid w:val="0"/>
        <w:spacing w:before="120" w:beforeLines="50" w:after="50" w:line="480" w:lineRule="auto"/>
        <w:rPr>
          <w:rFonts w:hint="eastAsia" w:ascii="宋体" w:hAnsi="宋体" w:cs="宋体"/>
          <w:bCs/>
          <w:sz w:val="24"/>
          <w:szCs w:val="20"/>
        </w:rPr>
      </w:pPr>
      <w:r>
        <w:rPr>
          <w:rFonts w:hint="eastAsia" w:ascii="宋体" w:hAnsi="宋体" w:cs="宋体"/>
        </w:rPr>
        <w:t xml:space="preserve"> </w:t>
      </w:r>
      <w:r>
        <w:rPr>
          <w:rFonts w:hint="eastAsia" w:ascii="宋体" w:hAnsi="宋体" w:cs="宋体"/>
          <w:bCs/>
          <w:sz w:val="24"/>
        </w:rPr>
        <w:t>项目名称：台州市公安局集聚区分局雪亮工程（三期）前端点位建设项目</w:t>
      </w:r>
      <w:r>
        <w:rPr>
          <w:rFonts w:hint="eastAsia" w:ascii="宋体" w:hAnsi="宋体" w:cs="宋体"/>
          <w:b/>
          <w:bCs w:val="0"/>
          <w:sz w:val="24"/>
          <w:lang w:eastAsia="zh-CN"/>
        </w:rPr>
        <w:t>或</w:t>
      </w:r>
      <w:r>
        <w:rPr>
          <w:rFonts w:hint="eastAsia" w:ascii="宋体" w:hAnsi="宋体" w:cs="宋体"/>
          <w:bCs/>
          <w:sz w:val="24"/>
        </w:rPr>
        <w:t>台州市公安局集聚区分局雪亮工程（三期）后端保障服务项目</w:t>
      </w:r>
    </w:p>
    <w:p>
      <w:pPr>
        <w:snapToGrid w:val="0"/>
        <w:spacing w:before="120" w:beforeLines="50" w:after="50" w:line="480" w:lineRule="auto"/>
        <w:rPr>
          <w:rFonts w:hint="eastAsia"/>
        </w:rPr>
      </w:pPr>
      <w:r>
        <w:rPr>
          <w:rFonts w:hint="eastAsia" w:ascii="宋体" w:hAnsi="宋体" w:cs="宋体"/>
          <w:sz w:val="24"/>
        </w:rPr>
        <w:t>项目编号：TPTZ-2020-TZ0910       项目标段：</w:t>
      </w:r>
      <w:r>
        <w:rPr>
          <w:rFonts w:hint="eastAsia" w:ascii="宋体" w:hAnsi="宋体" w:cs="宋体"/>
          <w:sz w:val="24"/>
          <w:lang w:eastAsia="zh-CN"/>
        </w:rPr>
        <w:t>一</w:t>
      </w:r>
      <w:r>
        <w:rPr>
          <w:rFonts w:hint="eastAsia" w:ascii="宋体" w:hAnsi="宋体" w:cs="宋体"/>
          <w:b/>
          <w:bCs/>
          <w:sz w:val="24"/>
          <w:lang w:eastAsia="zh-CN"/>
        </w:rPr>
        <w:t>或</w:t>
      </w:r>
      <w:r>
        <w:rPr>
          <w:rFonts w:hint="eastAsia" w:ascii="宋体" w:hAnsi="宋体" w:cs="宋体"/>
          <w:sz w:val="24"/>
          <w:lang w:eastAsia="zh-CN"/>
        </w:rPr>
        <w:t>二</w:t>
      </w:r>
      <w:r>
        <w:rPr>
          <w:rFonts w:hint="eastAsia" w:ascii="宋体" w:hAnsi="宋体" w:cs="宋体"/>
          <w:sz w:val="24"/>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96"/>
        <w:gridCol w:w="1621"/>
        <w:gridCol w:w="1745"/>
        <w:gridCol w:w="1567"/>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22" w:type="dxa"/>
            <w:noWrap w:val="0"/>
            <w:vAlign w:val="center"/>
          </w:tcPr>
          <w:p>
            <w:pPr>
              <w:spacing w:line="360" w:lineRule="auto"/>
              <w:rPr>
                <w:rFonts w:ascii="宋体" w:hAnsi="宋体" w:cs="宋体"/>
                <w:b/>
                <w:sz w:val="24"/>
              </w:rPr>
            </w:pPr>
            <w:r>
              <w:rPr>
                <w:rFonts w:hint="eastAsia" w:ascii="宋体" w:hAnsi="宋体" w:cs="宋体"/>
                <w:b/>
                <w:sz w:val="24"/>
              </w:rPr>
              <w:t>序号</w:t>
            </w:r>
          </w:p>
        </w:tc>
        <w:tc>
          <w:tcPr>
            <w:tcW w:w="1996" w:type="dxa"/>
            <w:noWrap w:val="0"/>
            <w:vAlign w:val="center"/>
          </w:tcPr>
          <w:p>
            <w:pPr>
              <w:spacing w:line="360" w:lineRule="auto"/>
              <w:ind w:left="17" w:leftChars="6" w:firstLine="482" w:firstLineChars="200"/>
              <w:rPr>
                <w:rFonts w:ascii="宋体" w:hAnsi="宋体" w:cs="宋体"/>
                <w:b/>
                <w:sz w:val="24"/>
              </w:rPr>
            </w:pPr>
            <w:r>
              <w:rPr>
                <w:rFonts w:hint="eastAsia" w:ascii="宋体" w:hAnsi="宋体" w:cs="宋体"/>
                <w:b/>
                <w:sz w:val="24"/>
              </w:rPr>
              <w:t>名称</w:t>
            </w:r>
          </w:p>
        </w:tc>
        <w:tc>
          <w:tcPr>
            <w:tcW w:w="1621" w:type="dxa"/>
            <w:noWrap w:val="0"/>
            <w:vAlign w:val="center"/>
          </w:tcPr>
          <w:p>
            <w:pPr>
              <w:spacing w:line="360" w:lineRule="auto"/>
              <w:ind w:left="52"/>
              <w:rPr>
                <w:rFonts w:ascii="宋体" w:hAnsi="宋体" w:cs="宋体"/>
                <w:b/>
                <w:sz w:val="24"/>
              </w:rPr>
            </w:pPr>
            <w:r>
              <w:rPr>
                <w:rFonts w:hint="eastAsia" w:ascii="宋体" w:hAnsi="宋体" w:cs="宋体"/>
                <w:b/>
                <w:sz w:val="24"/>
              </w:rPr>
              <w:t>规格型号</w:t>
            </w:r>
          </w:p>
        </w:tc>
        <w:tc>
          <w:tcPr>
            <w:tcW w:w="1745" w:type="dxa"/>
            <w:noWrap w:val="0"/>
            <w:vAlign w:val="center"/>
          </w:tcPr>
          <w:p>
            <w:pPr>
              <w:spacing w:line="360" w:lineRule="auto"/>
              <w:ind w:left="152"/>
              <w:rPr>
                <w:rFonts w:ascii="宋体" w:hAnsi="宋体" w:cs="宋体"/>
                <w:b/>
                <w:sz w:val="24"/>
              </w:rPr>
            </w:pPr>
            <w:r>
              <w:rPr>
                <w:rFonts w:hint="eastAsia" w:ascii="宋体" w:hAnsi="宋体" w:cs="宋体"/>
                <w:b/>
                <w:sz w:val="24"/>
              </w:rPr>
              <w:t>招标参数</w:t>
            </w:r>
          </w:p>
        </w:tc>
        <w:tc>
          <w:tcPr>
            <w:tcW w:w="1567" w:type="dxa"/>
            <w:noWrap w:val="0"/>
            <w:vAlign w:val="center"/>
          </w:tcPr>
          <w:p>
            <w:pPr>
              <w:spacing w:line="360" w:lineRule="auto"/>
              <w:rPr>
                <w:rFonts w:ascii="宋体" w:hAnsi="宋体" w:cs="宋体"/>
                <w:b/>
                <w:sz w:val="24"/>
              </w:rPr>
            </w:pPr>
            <w:r>
              <w:rPr>
                <w:rFonts w:hint="eastAsia" w:ascii="宋体" w:hAnsi="宋体" w:cs="宋体"/>
                <w:b/>
                <w:sz w:val="24"/>
              </w:rPr>
              <w:t>投标参数</w:t>
            </w:r>
          </w:p>
        </w:tc>
        <w:tc>
          <w:tcPr>
            <w:tcW w:w="1527" w:type="dxa"/>
            <w:noWrap w:val="0"/>
            <w:vAlign w:val="center"/>
          </w:tcPr>
          <w:p>
            <w:pPr>
              <w:spacing w:line="360" w:lineRule="auto"/>
              <w:rPr>
                <w:rFonts w:ascii="宋体" w:hAnsi="宋体" w:cs="宋体"/>
                <w:b/>
                <w:sz w:val="24"/>
              </w:rPr>
            </w:pPr>
            <w:r>
              <w:rPr>
                <w:rFonts w:hint="eastAsia" w:ascii="宋体" w:hAnsi="宋体" w:cs="宋体"/>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822" w:type="dxa"/>
            <w:noWrap w:val="0"/>
            <w:vAlign w:val="center"/>
          </w:tcPr>
          <w:p>
            <w:pPr>
              <w:spacing w:line="360" w:lineRule="auto"/>
              <w:rPr>
                <w:rFonts w:ascii="宋体" w:hAnsi="宋体" w:cs="宋体"/>
                <w:sz w:val="24"/>
              </w:rPr>
            </w:pPr>
          </w:p>
        </w:tc>
        <w:tc>
          <w:tcPr>
            <w:tcW w:w="1996" w:type="dxa"/>
            <w:noWrap w:val="0"/>
            <w:vAlign w:val="center"/>
          </w:tcPr>
          <w:p>
            <w:pPr>
              <w:spacing w:line="360" w:lineRule="auto"/>
              <w:rPr>
                <w:rFonts w:ascii="宋体" w:hAnsi="宋体" w:cs="宋体"/>
                <w:sz w:val="24"/>
              </w:rPr>
            </w:pPr>
          </w:p>
        </w:tc>
        <w:tc>
          <w:tcPr>
            <w:tcW w:w="1621" w:type="dxa"/>
            <w:noWrap w:val="0"/>
            <w:vAlign w:val="center"/>
          </w:tcPr>
          <w:p>
            <w:pPr>
              <w:spacing w:line="360" w:lineRule="auto"/>
              <w:rPr>
                <w:rFonts w:ascii="宋体" w:hAnsi="宋体" w:cs="宋体"/>
                <w:sz w:val="24"/>
              </w:rPr>
            </w:pPr>
          </w:p>
        </w:tc>
        <w:tc>
          <w:tcPr>
            <w:tcW w:w="1745" w:type="dxa"/>
            <w:noWrap w:val="0"/>
            <w:vAlign w:val="center"/>
          </w:tcPr>
          <w:p>
            <w:pPr>
              <w:spacing w:line="360" w:lineRule="auto"/>
              <w:rPr>
                <w:rFonts w:ascii="宋体" w:hAnsi="宋体" w:cs="宋体"/>
                <w:sz w:val="24"/>
              </w:rPr>
            </w:pPr>
          </w:p>
        </w:tc>
        <w:tc>
          <w:tcPr>
            <w:tcW w:w="1567" w:type="dxa"/>
            <w:noWrap w:val="0"/>
            <w:vAlign w:val="center"/>
          </w:tcPr>
          <w:p>
            <w:pPr>
              <w:spacing w:line="360" w:lineRule="auto"/>
              <w:rPr>
                <w:rFonts w:ascii="宋体" w:hAnsi="宋体" w:cs="宋体"/>
                <w:sz w:val="24"/>
              </w:rPr>
            </w:pPr>
          </w:p>
        </w:tc>
        <w:tc>
          <w:tcPr>
            <w:tcW w:w="1527" w:type="dxa"/>
            <w:noWrap w:val="0"/>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822" w:type="dxa"/>
            <w:noWrap w:val="0"/>
            <w:vAlign w:val="center"/>
          </w:tcPr>
          <w:p>
            <w:pPr>
              <w:spacing w:line="360" w:lineRule="auto"/>
              <w:rPr>
                <w:rFonts w:ascii="宋体" w:hAnsi="宋体" w:cs="宋体"/>
                <w:sz w:val="24"/>
              </w:rPr>
            </w:pPr>
          </w:p>
        </w:tc>
        <w:tc>
          <w:tcPr>
            <w:tcW w:w="1996" w:type="dxa"/>
            <w:noWrap w:val="0"/>
            <w:vAlign w:val="center"/>
          </w:tcPr>
          <w:p>
            <w:pPr>
              <w:spacing w:line="360" w:lineRule="auto"/>
              <w:rPr>
                <w:rFonts w:ascii="宋体" w:hAnsi="宋体" w:cs="宋体"/>
                <w:sz w:val="24"/>
              </w:rPr>
            </w:pPr>
          </w:p>
        </w:tc>
        <w:tc>
          <w:tcPr>
            <w:tcW w:w="1621" w:type="dxa"/>
            <w:noWrap w:val="0"/>
            <w:vAlign w:val="center"/>
          </w:tcPr>
          <w:p>
            <w:pPr>
              <w:spacing w:line="360" w:lineRule="auto"/>
              <w:rPr>
                <w:rFonts w:ascii="宋体" w:hAnsi="宋体" w:cs="宋体"/>
                <w:sz w:val="24"/>
              </w:rPr>
            </w:pPr>
          </w:p>
        </w:tc>
        <w:tc>
          <w:tcPr>
            <w:tcW w:w="1745" w:type="dxa"/>
            <w:noWrap w:val="0"/>
            <w:vAlign w:val="center"/>
          </w:tcPr>
          <w:p>
            <w:pPr>
              <w:spacing w:line="360" w:lineRule="auto"/>
              <w:rPr>
                <w:rFonts w:ascii="宋体" w:hAnsi="宋体" w:cs="宋体"/>
                <w:sz w:val="24"/>
              </w:rPr>
            </w:pPr>
          </w:p>
        </w:tc>
        <w:tc>
          <w:tcPr>
            <w:tcW w:w="1567" w:type="dxa"/>
            <w:noWrap w:val="0"/>
            <w:vAlign w:val="center"/>
          </w:tcPr>
          <w:p>
            <w:pPr>
              <w:spacing w:line="360" w:lineRule="auto"/>
              <w:rPr>
                <w:rFonts w:ascii="宋体" w:hAnsi="宋体" w:cs="宋体"/>
                <w:sz w:val="24"/>
              </w:rPr>
            </w:pPr>
          </w:p>
        </w:tc>
        <w:tc>
          <w:tcPr>
            <w:tcW w:w="1527" w:type="dxa"/>
            <w:noWrap w:val="0"/>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822" w:type="dxa"/>
            <w:noWrap w:val="0"/>
            <w:vAlign w:val="center"/>
          </w:tcPr>
          <w:p>
            <w:pPr>
              <w:spacing w:line="360" w:lineRule="auto"/>
              <w:rPr>
                <w:rFonts w:ascii="宋体" w:hAnsi="宋体" w:cs="宋体"/>
                <w:sz w:val="24"/>
              </w:rPr>
            </w:pPr>
          </w:p>
        </w:tc>
        <w:tc>
          <w:tcPr>
            <w:tcW w:w="1996" w:type="dxa"/>
            <w:noWrap w:val="0"/>
            <w:vAlign w:val="center"/>
          </w:tcPr>
          <w:p>
            <w:pPr>
              <w:spacing w:line="360" w:lineRule="auto"/>
              <w:rPr>
                <w:rFonts w:ascii="宋体" w:hAnsi="宋体" w:cs="宋体"/>
                <w:sz w:val="24"/>
              </w:rPr>
            </w:pPr>
          </w:p>
        </w:tc>
        <w:tc>
          <w:tcPr>
            <w:tcW w:w="1621" w:type="dxa"/>
            <w:noWrap w:val="0"/>
            <w:vAlign w:val="center"/>
          </w:tcPr>
          <w:p>
            <w:pPr>
              <w:spacing w:line="360" w:lineRule="auto"/>
              <w:rPr>
                <w:rFonts w:ascii="宋体" w:hAnsi="宋体" w:cs="宋体"/>
                <w:sz w:val="24"/>
              </w:rPr>
            </w:pPr>
          </w:p>
        </w:tc>
        <w:tc>
          <w:tcPr>
            <w:tcW w:w="1745" w:type="dxa"/>
            <w:noWrap w:val="0"/>
            <w:vAlign w:val="center"/>
          </w:tcPr>
          <w:p>
            <w:pPr>
              <w:spacing w:line="360" w:lineRule="auto"/>
              <w:rPr>
                <w:rFonts w:ascii="宋体" w:hAnsi="宋体" w:cs="宋体"/>
                <w:sz w:val="24"/>
              </w:rPr>
            </w:pPr>
          </w:p>
        </w:tc>
        <w:tc>
          <w:tcPr>
            <w:tcW w:w="1567" w:type="dxa"/>
            <w:noWrap w:val="0"/>
            <w:vAlign w:val="center"/>
          </w:tcPr>
          <w:p>
            <w:pPr>
              <w:spacing w:line="360" w:lineRule="auto"/>
              <w:rPr>
                <w:rFonts w:ascii="宋体" w:hAnsi="宋体" w:cs="宋体"/>
                <w:sz w:val="24"/>
              </w:rPr>
            </w:pPr>
          </w:p>
        </w:tc>
        <w:tc>
          <w:tcPr>
            <w:tcW w:w="1527" w:type="dxa"/>
            <w:noWrap w:val="0"/>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822" w:type="dxa"/>
            <w:noWrap w:val="0"/>
            <w:vAlign w:val="center"/>
          </w:tcPr>
          <w:p>
            <w:pPr>
              <w:spacing w:line="360" w:lineRule="auto"/>
              <w:rPr>
                <w:rFonts w:ascii="宋体" w:hAnsi="宋体" w:cs="宋体"/>
                <w:sz w:val="24"/>
              </w:rPr>
            </w:pPr>
          </w:p>
        </w:tc>
        <w:tc>
          <w:tcPr>
            <w:tcW w:w="1996" w:type="dxa"/>
            <w:noWrap w:val="0"/>
            <w:vAlign w:val="center"/>
          </w:tcPr>
          <w:p>
            <w:pPr>
              <w:spacing w:line="360" w:lineRule="auto"/>
              <w:rPr>
                <w:rFonts w:ascii="宋体" w:hAnsi="宋体" w:cs="宋体"/>
                <w:sz w:val="24"/>
              </w:rPr>
            </w:pPr>
          </w:p>
        </w:tc>
        <w:tc>
          <w:tcPr>
            <w:tcW w:w="1621" w:type="dxa"/>
            <w:noWrap w:val="0"/>
            <w:vAlign w:val="center"/>
          </w:tcPr>
          <w:p>
            <w:pPr>
              <w:spacing w:line="360" w:lineRule="auto"/>
              <w:rPr>
                <w:rFonts w:ascii="宋体" w:hAnsi="宋体" w:cs="宋体"/>
                <w:sz w:val="24"/>
              </w:rPr>
            </w:pPr>
          </w:p>
        </w:tc>
        <w:tc>
          <w:tcPr>
            <w:tcW w:w="1745" w:type="dxa"/>
            <w:noWrap w:val="0"/>
            <w:vAlign w:val="center"/>
          </w:tcPr>
          <w:p>
            <w:pPr>
              <w:spacing w:line="360" w:lineRule="auto"/>
              <w:rPr>
                <w:rFonts w:ascii="宋体" w:hAnsi="宋体" w:cs="宋体"/>
                <w:sz w:val="24"/>
              </w:rPr>
            </w:pPr>
          </w:p>
        </w:tc>
        <w:tc>
          <w:tcPr>
            <w:tcW w:w="1567" w:type="dxa"/>
            <w:noWrap w:val="0"/>
            <w:vAlign w:val="center"/>
          </w:tcPr>
          <w:p>
            <w:pPr>
              <w:spacing w:line="360" w:lineRule="auto"/>
              <w:rPr>
                <w:rFonts w:ascii="宋体" w:hAnsi="宋体" w:cs="宋体"/>
                <w:sz w:val="24"/>
              </w:rPr>
            </w:pPr>
          </w:p>
        </w:tc>
        <w:tc>
          <w:tcPr>
            <w:tcW w:w="1527" w:type="dxa"/>
            <w:noWrap w:val="0"/>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822" w:type="dxa"/>
            <w:noWrap w:val="0"/>
            <w:vAlign w:val="center"/>
          </w:tcPr>
          <w:p>
            <w:pPr>
              <w:spacing w:line="360" w:lineRule="auto"/>
              <w:rPr>
                <w:rFonts w:ascii="宋体" w:hAnsi="宋体" w:cs="宋体"/>
                <w:sz w:val="24"/>
              </w:rPr>
            </w:pPr>
          </w:p>
        </w:tc>
        <w:tc>
          <w:tcPr>
            <w:tcW w:w="1996" w:type="dxa"/>
            <w:noWrap w:val="0"/>
            <w:vAlign w:val="center"/>
          </w:tcPr>
          <w:p>
            <w:pPr>
              <w:spacing w:line="360" w:lineRule="auto"/>
              <w:rPr>
                <w:rFonts w:ascii="宋体" w:hAnsi="宋体" w:cs="宋体"/>
                <w:sz w:val="24"/>
              </w:rPr>
            </w:pPr>
          </w:p>
        </w:tc>
        <w:tc>
          <w:tcPr>
            <w:tcW w:w="1621" w:type="dxa"/>
            <w:noWrap w:val="0"/>
            <w:vAlign w:val="center"/>
          </w:tcPr>
          <w:p>
            <w:pPr>
              <w:spacing w:line="360" w:lineRule="auto"/>
              <w:rPr>
                <w:rFonts w:ascii="宋体" w:hAnsi="宋体" w:cs="宋体"/>
                <w:sz w:val="24"/>
              </w:rPr>
            </w:pPr>
          </w:p>
        </w:tc>
        <w:tc>
          <w:tcPr>
            <w:tcW w:w="1745" w:type="dxa"/>
            <w:noWrap w:val="0"/>
            <w:vAlign w:val="center"/>
          </w:tcPr>
          <w:p>
            <w:pPr>
              <w:spacing w:line="360" w:lineRule="auto"/>
              <w:rPr>
                <w:rFonts w:ascii="宋体" w:hAnsi="宋体" w:cs="宋体"/>
                <w:sz w:val="24"/>
              </w:rPr>
            </w:pPr>
          </w:p>
        </w:tc>
        <w:tc>
          <w:tcPr>
            <w:tcW w:w="1567" w:type="dxa"/>
            <w:noWrap w:val="0"/>
            <w:vAlign w:val="center"/>
          </w:tcPr>
          <w:p>
            <w:pPr>
              <w:spacing w:line="360" w:lineRule="auto"/>
              <w:rPr>
                <w:rFonts w:ascii="宋体" w:hAnsi="宋体" w:cs="宋体"/>
                <w:sz w:val="24"/>
              </w:rPr>
            </w:pPr>
          </w:p>
        </w:tc>
        <w:tc>
          <w:tcPr>
            <w:tcW w:w="1527" w:type="dxa"/>
            <w:noWrap w:val="0"/>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822" w:type="dxa"/>
            <w:noWrap w:val="0"/>
            <w:vAlign w:val="center"/>
          </w:tcPr>
          <w:p>
            <w:pPr>
              <w:spacing w:line="360" w:lineRule="auto"/>
              <w:rPr>
                <w:rFonts w:ascii="宋体" w:hAnsi="宋体" w:cs="宋体"/>
                <w:sz w:val="24"/>
              </w:rPr>
            </w:pPr>
          </w:p>
        </w:tc>
        <w:tc>
          <w:tcPr>
            <w:tcW w:w="1996" w:type="dxa"/>
            <w:noWrap w:val="0"/>
            <w:vAlign w:val="center"/>
          </w:tcPr>
          <w:p>
            <w:pPr>
              <w:spacing w:line="360" w:lineRule="auto"/>
              <w:rPr>
                <w:rFonts w:ascii="宋体" w:hAnsi="宋体" w:cs="宋体"/>
                <w:sz w:val="24"/>
              </w:rPr>
            </w:pPr>
          </w:p>
        </w:tc>
        <w:tc>
          <w:tcPr>
            <w:tcW w:w="1621" w:type="dxa"/>
            <w:noWrap w:val="0"/>
            <w:vAlign w:val="center"/>
          </w:tcPr>
          <w:p>
            <w:pPr>
              <w:spacing w:line="360" w:lineRule="auto"/>
              <w:rPr>
                <w:rFonts w:ascii="宋体" w:hAnsi="宋体" w:cs="宋体"/>
                <w:sz w:val="24"/>
              </w:rPr>
            </w:pPr>
          </w:p>
        </w:tc>
        <w:tc>
          <w:tcPr>
            <w:tcW w:w="1745" w:type="dxa"/>
            <w:noWrap w:val="0"/>
            <w:vAlign w:val="center"/>
          </w:tcPr>
          <w:p>
            <w:pPr>
              <w:spacing w:line="360" w:lineRule="auto"/>
              <w:rPr>
                <w:rFonts w:ascii="宋体" w:hAnsi="宋体" w:cs="宋体"/>
                <w:sz w:val="24"/>
              </w:rPr>
            </w:pPr>
          </w:p>
        </w:tc>
        <w:tc>
          <w:tcPr>
            <w:tcW w:w="1567" w:type="dxa"/>
            <w:noWrap w:val="0"/>
            <w:vAlign w:val="center"/>
          </w:tcPr>
          <w:p>
            <w:pPr>
              <w:spacing w:line="360" w:lineRule="auto"/>
              <w:rPr>
                <w:rFonts w:ascii="宋体" w:hAnsi="宋体" w:cs="宋体"/>
                <w:sz w:val="24"/>
              </w:rPr>
            </w:pPr>
          </w:p>
        </w:tc>
        <w:tc>
          <w:tcPr>
            <w:tcW w:w="1527" w:type="dxa"/>
            <w:noWrap w:val="0"/>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822" w:type="dxa"/>
            <w:noWrap w:val="0"/>
            <w:vAlign w:val="center"/>
          </w:tcPr>
          <w:p>
            <w:pPr>
              <w:spacing w:line="360" w:lineRule="auto"/>
              <w:rPr>
                <w:rFonts w:ascii="宋体" w:hAnsi="宋体" w:cs="宋体"/>
                <w:sz w:val="24"/>
              </w:rPr>
            </w:pPr>
          </w:p>
        </w:tc>
        <w:tc>
          <w:tcPr>
            <w:tcW w:w="1996" w:type="dxa"/>
            <w:noWrap w:val="0"/>
            <w:vAlign w:val="center"/>
          </w:tcPr>
          <w:p>
            <w:pPr>
              <w:spacing w:line="360" w:lineRule="auto"/>
              <w:rPr>
                <w:rFonts w:ascii="宋体" w:hAnsi="宋体" w:cs="宋体"/>
                <w:sz w:val="24"/>
              </w:rPr>
            </w:pPr>
          </w:p>
        </w:tc>
        <w:tc>
          <w:tcPr>
            <w:tcW w:w="1621" w:type="dxa"/>
            <w:noWrap w:val="0"/>
            <w:vAlign w:val="center"/>
          </w:tcPr>
          <w:p>
            <w:pPr>
              <w:spacing w:line="360" w:lineRule="auto"/>
              <w:rPr>
                <w:rFonts w:ascii="宋体" w:hAnsi="宋体" w:cs="宋体"/>
                <w:sz w:val="24"/>
              </w:rPr>
            </w:pPr>
          </w:p>
        </w:tc>
        <w:tc>
          <w:tcPr>
            <w:tcW w:w="1745" w:type="dxa"/>
            <w:noWrap w:val="0"/>
            <w:vAlign w:val="center"/>
          </w:tcPr>
          <w:p>
            <w:pPr>
              <w:spacing w:line="360" w:lineRule="auto"/>
              <w:rPr>
                <w:rFonts w:ascii="宋体" w:hAnsi="宋体" w:cs="宋体"/>
                <w:sz w:val="24"/>
              </w:rPr>
            </w:pPr>
          </w:p>
        </w:tc>
        <w:tc>
          <w:tcPr>
            <w:tcW w:w="1567" w:type="dxa"/>
            <w:noWrap w:val="0"/>
            <w:vAlign w:val="center"/>
          </w:tcPr>
          <w:p>
            <w:pPr>
              <w:spacing w:line="360" w:lineRule="auto"/>
              <w:rPr>
                <w:rFonts w:ascii="宋体" w:hAnsi="宋体" w:cs="宋体"/>
                <w:sz w:val="24"/>
              </w:rPr>
            </w:pPr>
          </w:p>
        </w:tc>
        <w:tc>
          <w:tcPr>
            <w:tcW w:w="1527" w:type="dxa"/>
            <w:noWrap w:val="0"/>
            <w:vAlign w:val="center"/>
          </w:tcPr>
          <w:p>
            <w:pPr>
              <w:spacing w:line="360" w:lineRule="auto"/>
              <w:rPr>
                <w:rFonts w:ascii="宋体" w:hAnsi="宋体" w:cs="宋体"/>
                <w:sz w:val="24"/>
              </w:rPr>
            </w:pPr>
          </w:p>
        </w:tc>
      </w:tr>
    </w:tbl>
    <w:p>
      <w:pPr>
        <w:pStyle w:val="75"/>
        <w:rPr>
          <w:rFonts w:hint="eastAsia"/>
        </w:rPr>
      </w:pPr>
    </w:p>
    <w:p>
      <w:pPr>
        <w:spacing w:line="360" w:lineRule="auto"/>
        <w:ind w:firstLine="482" w:firstLineChars="200"/>
        <w:rPr>
          <w:rFonts w:ascii="宋体" w:hAnsi="宋体" w:cs="宋体"/>
          <w:sz w:val="24"/>
        </w:rPr>
      </w:pPr>
      <w:r>
        <w:rPr>
          <w:rFonts w:hint="eastAsia" w:ascii="宋体" w:hAnsi="宋体" w:cs="宋体"/>
          <w:b/>
          <w:sz w:val="24"/>
          <w:szCs w:val="20"/>
          <w:lang w:bidi="ar"/>
        </w:rPr>
        <w:t>注：</w:t>
      </w:r>
      <w:r>
        <w:rPr>
          <w:rFonts w:hint="eastAsia" w:ascii="宋体" w:hAnsi="宋体" w:cs="宋体"/>
          <w:sz w:val="24"/>
        </w:rPr>
        <w:t>1.本表参照本招标文件第二章“招标需求”内“主要设备清单技术参数”填制，投标人应根据投标设备的性能指标、服务指标，对照招标文件要求在“偏离情况”栏注明“正偏离”、“负偏离”或“无偏离”。</w:t>
      </w:r>
    </w:p>
    <w:p>
      <w:pPr>
        <w:spacing w:line="360" w:lineRule="auto"/>
        <w:ind w:firstLine="480" w:firstLineChars="200"/>
        <w:rPr>
          <w:rFonts w:hint="eastAsia" w:ascii="宋体" w:hAnsi="宋体" w:cs="宋体"/>
          <w:sz w:val="24"/>
        </w:rPr>
      </w:pPr>
      <w:r>
        <w:rPr>
          <w:rFonts w:hint="eastAsia" w:ascii="宋体" w:hAnsi="宋体" w:cs="宋体"/>
          <w:sz w:val="24"/>
        </w:rPr>
        <w:t>2.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pStyle w:val="75"/>
        <w:rPr>
          <w:rFonts w:hint="eastAsia"/>
          <w:lang w:eastAsia="zh-CN"/>
        </w:rPr>
      </w:pPr>
    </w:p>
    <w:p>
      <w:pPr>
        <w:pStyle w:val="75"/>
        <w:rPr>
          <w:rFonts w:hint="eastAsia"/>
          <w:lang w:eastAsia="zh-CN"/>
        </w:rPr>
      </w:pPr>
    </w:p>
    <w:p>
      <w:pPr>
        <w:pStyle w:val="75"/>
        <w:rPr>
          <w:rFonts w:hint="eastAsia"/>
          <w:lang w:eastAsia="zh-CN"/>
        </w:rPr>
      </w:pPr>
    </w:p>
    <w:p>
      <w:pPr>
        <w:snapToGrid w:val="0"/>
        <w:spacing w:before="50" w:after="120" w:afterLines="50"/>
        <w:rPr>
          <w:rFonts w:hint="eastAsia" w:ascii="宋体" w:hAnsi="宋体" w:cs="宋体"/>
          <w:spacing w:val="20"/>
        </w:rPr>
      </w:pPr>
      <w:r>
        <w:rPr>
          <w:rFonts w:hint="eastAsia" w:ascii="宋体" w:hAnsi="宋体" w:cs="宋体"/>
          <w:spacing w:val="20"/>
          <w:lang w:bidi="ar"/>
        </w:rPr>
        <w:t xml:space="preserve"> 法定代表人或授权代表（签字或盖章）：      投标人（盖章）：</w:t>
      </w:r>
    </w:p>
    <w:p>
      <w:pPr>
        <w:pStyle w:val="32"/>
        <w:widowControl w:val="0"/>
        <w:spacing w:before="0" w:beforeAutospacing="0" w:after="0" w:afterAutospacing="0" w:line="360" w:lineRule="auto"/>
        <w:jc w:val="both"/>
        <w:rPr>
          <w:rFonts w:hint="eastAsia" w:cs="宋体"/>
          <w:color w:val="auto"/>
          <w:spacing w:val="20"/>
        </w:rPr>
      </w:pPr>
    </w:p>
    <w:p>
      <w:pPr>
        <w:pStyle w:val="32"/>
        <w:widowControl w:val="0"/>
        <w:spacing w:before="0" w:beforeAutospacing="0" w:after="0" w:afterAutospacing="0" w:line="360" w:lineRule="auto"/>
        <w:ind w:firstLine="640" w:firstLineChars="200"/>
        <w:jc w:val="right"/>
        <w:rPr>
          <w:rFonts w:hint="eastAsia" w:cs="宋体"/>
          <w:color w:val="auto"/>
          <w:spacing w:val="20"/>
        </w:rPr>
      </w:pPr>
      <w:r>
        <w:rPr>
          <w:rFonts w:hint="eastAsia" w:cs="宋体"/>
          <w:color w:val="auto"/>
          <w:spacing w:val="20"/>
          <w:kern w:val="2"/>
          <w:sz w:val="28"/>
          <w:szCs w:val="21"/>
          <w:lang w:bidi="ar"/>
        </w:rPr>
        <w:t xml:space="preserve">日期：   年    月   日 </w:t>
      </w:r>
    </w:p>
    <w:p>
      <w:pPr>
        <w:pStyle w:val="32"/>
        <w:widowControl w:val="0"/>
        <w:spacing w:before="0" w:beforeAutospacing="0" w:after="0" w:afterAutospacing="0" w:line="360" w:lineRule="auto"/>
        <w:ind w:firstLine="560" w:firstLineChars="200"/>
        <w:jc w:val="both"/>
        <w:rPr>
          <w:rFonts w:hint="eastAsia" w:cs="宋体"/>
          <w:color w:val="auto"/>
          <w:spacing w:val="20"/>
        </w:rPr>
      </w:pPr>
    </w:p>
    <w:p>
      <w:pPr>
        <w:snapToGrid w:val="0"/>
        <w:spacing w:before="50" w:after="50"/>
        <w:rPr>
          <w:rFonts w:hint="eastAsia" w:ascii="宋体" w:hAnsi="宋体" w:cs="宋体"/>
          <w:b/>
          <w:sz w:val="22"/>
          <w:szCs w:val="22"/>
        </w:rPr>
      </w:pPr>
    </w:p>
    <w:p>
      <w:pPr>
        <w:snapToGrid w:val="0"/>
        <w:spacing w:before="50" w:after="50"/>
        <w:rPr>
          <w:rFonts w:ascii="宋体" w:hAnsi="宋体" w:cs="宋体"/>
          <w:b/>
          <w:sz w:val="22"/>
          <w:szCs w:val="22"/>
        </w:rPr>
      </w:pPr>
      <w:r>
        <w:rPr>
          <w:rFonts w:hint="eastAsia" w:ascii="宋体" w:hAnsi="宋体" w:cs="宋体"/>
          <w:b/>
          <w:sz w:val="22"/>
          <w:szCs w:val="22"/>
        </w:rPr>
        <w:t>附件9：</w:t>
      </w:r>
    </w:p>
    <w:p>
      <w:pPr>
        <w:snapToGrid w:val="0"/>
        <w:spacing w:before="50"/>
        <w:jc w:val="center"/>
        <w:rPr>
          <w:rFonts w:hint="eastAsia" w:ascii="宋体" w:hAnsi="宋体" w:cs="宋体"/>
          <w:bCs/>
          <w:sz w:val="24"/>
          <w:lang w:bidi="ar"/>
        </w:rPr>
      </w:pPr>
      <w:r>
        <w:rPr>
          <w:rFonts w:hint="eastAsia" w:ascii="宋体" w:hAnsi="宋体" w:cs="宋体"/>
          <w:bCs/>
          <w:sz w:val="24"/>
          <w:lang w:bidi="ar"/>
        </w:rPr>
        <w:t>商务响应表</w:t>
      </w:r>
    </w:p>
    <w:p>
      <w:pPr>
        <w:snapToGrid w:val="0"/>
        <w:spacing w:before="120" w:beforeLines="50" w:after="50" w:line="480" w:lineRule="auto"/>
        <w:rPr>
          <w:rFonts w:hint="eastAsia" w:ascii="宋体" w:hAnsi="宋体" w:cs="宋体"/>
          <w:bCs/>
          <w:sz w:val="24"/>
          <w:szCs w:val="20"/>
        </w:rPr>
      </w:pPr>
      <w:r>
        <w:rPr>
          <w:rFonts w:hint="eastAsia" w:ascii="宋体" w:hAnsi="宋体" w:cs="宋体"/>
          <w:bCs/>
          <w:sz w:val="24"/>
        </w:rPr>
        <w:t>项目名称：台州市公安局集聚区分局雪亮工程（三期）前端点位建设项目</w:t>
      </w:r>
      <w:r>
        <w:rPr>
          <w:rFonts w:hint="eastAsia" w:ascii="宋体" w:hAnsi="宋体" w:cs="宋体"/>
          <w:b/>
          <w:bCs w:val="0"/>
          <w:sz w:val="24"/>
          <w:lang w:eastAsia="zh-CN"/>
        </w:rPr>
        <w:t>或</w:t>
      </w:r>
      <w:r>
        <w:rPr>
          <w:rFonts w:hint="eastAsia" w:ascii="宋体" w:hAnsi="宋体" w:cs="宋体"/>
          <w:bCs/>
          <w:sz w:val="24"/>
        </w:rPr>
        <w:t>台州市公安局集聚区分局雪亮工程（三期）后端保障服务项目</w:t>
      </w:r>
    </w:p>
    <w:p>
      <w:pPr>
        <w:snapToGrid w:val="0"/>
        <w:spacing w:before="120" w:beforeLines="50" w:after="50" w:line="480" w:lineRule="auto"/>
        <w:rPr>
          <w:rFonts w:hint="eastAsia"/>
        </w:rPr>
      </w:pPr>
      <w:r>
        <w:rPr>
          <w:rFonts w:hint="eastAsia" w:ascii="宋体" w:hAnsi="宋体" w:cs="宋体"/>
          <w:sz w:val="24"/>
        </w:rPr>
        <w:t>项目编号：TPTZ-2020-TZ0910       项目标段：</w:t>
      </w:r>
      <w:r>
        <w:rPr>
          <w:rFonts w:hint="eastAsia" w:ascii="宋体" w:hAnsi="宋体" w:cs="宋体"/>
          <w:sz w:val="24"/>
          <w:lang w:eastAsia="zh-CN"/>
        </w:rPr>
        <w:t>一</w:t>
      </w:r>
      <w:r>
        <w:rPr>
          <w:rFonts w:hint="eastAsia" w:ascii="宋体" w:hAnsi="宋体" w:cs="宋体"/>
          <w:b/>
          <w:bCs/>
          <w:sz w:val="24"/>
          <w:lang w:eastAsia="zh-CN"/>
        </w:rPr>
        <w:t>或</w:t>
      </w:r>
      <w:r>
        <w:rPr>
          <w:rFonts w:hint="eastAsia" w:ascii="宋体" w:hAnsi="宋体" w:cs="宋体"/>
          <w:sz w:val="24"/>
          <w:lang w:eastAsia="zh-CN"/>
        </w:rPr>
        <w:t>二</w:t>
      </w:r>
      <w:r>
        <w:rPr>
          <w:rFonts w:hint="eastAsia" w:ascii="宋体" w:hAnsi="宋体" w:cs="宋体"/>
          <w:sz w:val="24"/>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368"/>
        <w:gridCol w:w="2877"/>
        <w:gridCol w:w="1259"/>
        <w:gridCol w:w="3018"/>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jc w:val="center"/>
              <w:rPr>
                <w:rFonts w:hint="eastAsia" w:ascii="宋体" w:hAnsi="宋体" w:cs="宋体"/>
                <w:b/>
                <w:sz w:val="24"/>
                <w:szCs w:val="20"/>
              </w:rPr>
            </w:pPr>
            <w:r>
              <w:rPr>
                <w:rFonts w:hint="eastAsia" w:ascii="宋体" w:hAnsi="宋体" w:cs="宋体"/>
                <w:b/>
                <w:sz w:val="24"/>
                <w:lang w:bidi="ar"/>
              </w:rPr>
              <w:t>序号</w:t>
            </w:r>
          </w:p>
        </w:tc>
        <w:tc>
          <w:tcPr>
            <w:tcW w:w="2877"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jc w:val="center"/>
              <w:rPr>
                <w:rFonts w:hint="eastAsia" w:ascii="宋体" w:hAnsi="宋体" w:cs="宋体"/>
                <w:b/>
                <w:sz w:val="24"/>
                <w:szCs w:val="20"/>
              </w:rPr>
            </w:pPr>
            <w:r>
              <w:rPr>
                <w:rFonts w:hint="eastAsia" w:ascii="宋体" w:hAnsi="宋体" w:cs="宋体"/>
                <w:b/>
                <w:sz w:val="24"/>
                <w:lang w:bidi="ar"/>
              </w:rPr>
              <w:t>招标文件要求</w:t>
            </w:r>
          </w:p>
        </w:tc>
        <w:tc>
          <w:tcPr>
            <w:tcW w:w="125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jc w:val="center"/>
              <w:rPr>
                <w:rFonts w:hint="eastAsia" w:ascii="宋体" w:hAnsi="宋体" w:cs="宋体"/>
                <w:b/>
                <w:sz w:val="24"/>
                <w:szCs w:val="20"/>
              </w:rPr>
            </w:pPr>
            <w:r>
              <w:rPr>
                <w:rFonts w:hint="eastAsia" w:ascii="宋体" w:hAnsi="宋体" w:cs="宋体"/>
                <w:b/>
                <w:sz w:val="24"/>
                <w:lang w:bidi="ar"/>
              </w:rPr>
              <w:t>是否响应</w:t>
            </w:r>
          </w:p>
        </w:tc>
        <w:tc>
          <w:tcPr>
            <w:tcW w:w="301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jc w:val="center"/>
              <w:rPr>
                <w:rFonts w:hint="eastAsia" w:ascii="宋体" w:hAnsi="宋体" w:cs="宋体"/>
                <w:b/>
                <w:sz w:val="24"/>
                <w:szCs w:val="20"/>
              </w:rPr>
            </w:pPr>
            <w:r>
              <w:rPr>
                <w:rFonts w:hint="eastAsia" w:ascii="宋体" w:hAnsi="宋体" w:cs="宋体"/>
                <w:b/>
                <w:sz w:val="24"/>
                <w:lang w:bidi="ar"/>
              </w:rPr>
              <w:t>投标人的承诺或说明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69"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r>
              <w:rPr>
                <w:rFonts w:hint="eastAsia" w:ascii="宋体" w:hAnsi="宋体" w:cs="宋体"/>
                <w:sz w:val="24"/>
                <w:szCs w:val="20"/>
              </w:rPr>
              <w:t>1</w:t>
            </w:r>
          </w:p>
        </w:tc>
        <w:tc>
          <w:tcPr>
            <w:tcW w:w="2877"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r>
              <w:rPr>
                <w:rFonts w:hint="eastAsia" w:ascii="宋体" w:hAnsi="宋体" w:cs="宋体"/>
                <w:szCs w:val="20"/>
                <w:lang w:bidi="ar"/>
              </w:rPr>
              <w:t>质保期</w:t>
            </w:r>
          </w:p>
        </w:tc>
        <w:tc>
          <w:tcPr>
            <w:tcW w:w="125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301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9"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r>
              <w:rPr>
                <w:rFonts w:hint="eastAsia" w:ascii="宋体" w:hAnsi="宋体" w:cs="宋体"/>
                <w:sz w:val="24"/>
                <w:szCs w:val="20"/>
              </w:rPr>
              <w:t>2</w:t>
            </w:r>
          </w:p>
        </w:tc>
        <w:tc>
          <w:tcPr>
            <w:tcW w:w="2877"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r>
              <w:rPr>
                <w:rFonts w:hint="eastAsia" w:ascii="宋体" w:hAnsi="宋体" w:cs="宋体"/>
                <w:szCs w:val="20"/>
                <w:lang w:bidi="ar"/>
              </w:rPr>
              <w:t>供货期</w:t>
            </w:r>
          </w:p>
        </w:tc>
        <w:tc>
          <w:tcPr>
            <w:tcW w:w="125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301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38"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r>
              <w:rPr>
                <w:rFonts w:hint="eastAsia" w:ascii="宋体" w:hAnsi="宋体" w:cs="宋体"/>
                <w:sz w:val="24"/>
                <w:szCs w:val="20"/>
              </w:rPr>
              <w:t>3</w:t>
            </w:r>
          </w:p>
        </w:tc>
        <w:tc>
          <w:tcPr>
            <w:tcW w:w="2877"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r>
              <w:rPr>
                <w:rFonts w:hint="eastAsia" w:ascii="宋体" w:hAnsi="宋体" w:cs="宋体"/>
                <w:szCs w:val="20"/>
                <w:lang w:bidi="ar"/>
              </w:rPr>
              <w:t>付款方式</w:t>
            </w:r>
          </w:p>
        </w:tc>
        <w:tc>
          <w:tcPr>
            <w:tcW w:w="125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ind w:left="86"/>
              <w:rPr>
                <w:rFonts w:hint="eastAsia" w:ascii="宋体" w:hAnsi="宋体" w:cs="宋体"/>
                <w:sz w:val="24"/>
                <w:szCs w:val="20"/>
              </w:rPr>
            </w:pPr>
          </w:p>
        </w:tc>
        <w:tc>
          <w:tcPr>
            <w:tcW w:w="301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ind w:left="86"/>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20"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r>
              <w:rPr>
                <w:rFonts w:hint="eastAsia" w:ascii="宋体" w:hAnsi="宋体" w:cs="宋体"/>
                <w:sz w:val="24"/>
                <w:szCs w:val="20"/>
              </w:rPr>
              <w:t>4</w:t>
            </w:r>
          </w:p>
        </w:tc>
        <w:tc>
          <w:tcPr>
            <w:tcW w:w="2877"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r>
              <w:rPr>
                <w:rFonts w:hint="eastAsia" w:ascii="宋体" w:hAnsi="宋体" w:cs="宋体"/>
                <w:sz w:val="24"/>
                <w:szCs w:val="20"/>
              </w:rPr>
              <w:t>服务运营期限</w:t>
            </w:r>
          </w:p>
        </w:tc>
        <w:tc>
          <w:tcPr>
            <w:tcW w:w="125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301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r>
              <w:rPr>
                <w:rFonts w:hint="eastAsia" w:ascii="宋体" w:hAnsi="宋体" w:cs="宋体"/>
                <w:sz w:val="24"/>
                <w:szCs w:val="20"/>
              </w:rPr>
              <w:t>....</w:t>
            </w:r>
          </w:p>
        </w:tc>
        <w:tc>
          <w:tcPr>
            <w:tcW w:w="2877"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125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301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4"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2877"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125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301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4"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2877"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125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301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4"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2877"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125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301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4"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2877"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125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301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4"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2877"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125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301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4" w:hRule="atLeast"/>
          <w:jc w:val="center"/>
        </w:trPr>
        <w:tc>
          <w:tcPr>
            <w:tcW w:w="136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2877"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1259"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c>
          <w:tcPr>
            <w:tcW w:w="3018"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line="360" w:lineRule="auto"/>
              <w:rPr>
                <w:rFonts w:hint="eastAsia" w:ascii="宋体" w:hAnsi="宋体" w:cs="宋体"/>
                <w:sz w:val="24"/>
                <w:szCs w:val="20"/>
              </w:rPr>
            </w:pPr>
          </w:p>
        </w:tc>
      </w:tr>
    </w:tbl>
    <w:p>
      <w:pPr>
        <w:snapToGrid w:val="0"/>
        <w:spacing w:before="120" w:beforeLines="50"/>
        <w:rPr>
          <w:rFonts w:hint="eastAsia" w:ascii="宋体" w:hAnsi="宋体" w:cs="宋体"/>
          <w:b/>
          <w:sz w:val="24"/>
          <w:szCs w:val="20"/>
        </w:rPr>
      </w:pPr>
      <w:r>
        <w:rPr>
          <w:rFonts w:hint="eastAsia" w:ascii="宋体" w:hAnsi="宋体" w:cs="宋体"/>
          <w:b/>
          <w:sz w:val="24"/>
          <w:szCs w:val="20"/>
          <w:lang w:bidi="ar"/>
        </w:rPr>
        <w:t>注：投标人应在此表中列明与招标文件要求有正偏离或负偏离的情况。</w:t>
      </w:r>
    </w:p>
    <w:p>
      <w:pPr>
        <w:pStyle w:val="32"/>
        <w:widowControl w:val="0"/>
        <w:snapToGrid w:val="0"/>
        <w:spacing w:before="120" w:beforeLines="50" w:beforeAutospacing="0" w:after="120" w:afterLines="50" w:afterAutospacing="0"/>
        <w:ind w:firstLine="281" w:firstLineChars="100"/>
        <w:jc w:val="both"/>
        <w:rPr>
          <w:rFonts w:hint="eastAsia" w:cs="宋体"/>
          <w:color w:val="auto"/>
        </w:rPr>
      </w:pPr>
      <w:r>
        <w:rPr>
          <w:rFonts w:hint="eastAsia" w:cs="宋体"/>
          <w:b/>
          <w:color w:val="auto"/>
          <w:spacing w:val="20"/>
          <w:kern w:val="2"/>
          <w:lang w:bidi="ar"/>
        </w:rPr>
        <w:t>法定代表人或授权代表（签字或盖章）：            投标人（盖章）：</w:t>
      </w:r>
    </w:p>
    <w:p>
      <w:pPr>
        <w:widowControl/>
        <w:jc w:val="left"/>
        <w:rPr>
          <w:rFonts w:hint="eastAsia" w:ascii="宋体" w:hAnsi="宋体" w:cs="宋体"/>
          <w:sz w:val="24"/>
        </w:rPr>
      </w:pPr>
      <w:r>
        <w:rPr>
          <w:rFonts w:hint="eastAsia" w:ascii="宋体" w:hAnsi="宋体" w:cs="宋体"/>
          <w:sz w:val="24"/>
          <w:lang w:bidi="ar"/>
        </w:rPr>
        <w:t xml:space="preserve">  日期：</w:t>
      </w:r>
    </w:p>
    <w:p>
      <w:pPr>
        <w:widowControl/>
        <w:jc w:val="left"/>
        <w:rPr>
          <w:rFonts w:hint="eastAsia" w:ascii="宋体" w:hAnsi="宋体" w:cs="宋体"/>
          <w:sz w:val="24"/>
        </w:rPr>
      </w:pPr>
    </w:p>
    <w:p>
      <w:pPr>
        <w:pStyle w:val="32"/>
        <w:spacing w:line="375" w:lineRule="atLeast"/>
        <w:jc w:val="both"/>
        <w:rPr>
          <w:rFonts w:hint="eastAsia" w:cs="宋体"/>
          <w:bCs/>
          <w:color w:val="auto"/>
        </w:rPr>
      </w:pPr>
    </w:p>
    <w:p>
      <w:pPr>
        <w:snapToGrid w:val="0"/>
        <w:spacing w:before="50" w:after="50"/>
        <w:rPr>
          <w:rFonts w:ascii="宋体" w:hAnsi="宋体" w:cs="宋体"/>
          <w:b/>
          <w:sz w:val="22"/>
          <w:szCs w:val="22"/>
        </w:rPr>
      </w:pPr>
      <w:r>
        <w:rPr>
          <w:rFonts w:hint="eastAsia" w:ascii="宋体" w:hAnsi="宋体" w:cs="宋体"/>
          <w:b/>
          <w:sz w:val="22"/>
          <w:szCs w:val="22"/>
        </w:rPr>
        <w:t>附件10：</w:t>
      </w:r>
    </w:p>
    <w:p>
      <w:pPr>
        <w:snapToGrid w:val="0"/>
        <w:spacing w:before="120" w:beforeLines="50" w:after="50" w:line="360" w:lineRule="auto"/>
        <w:jc w:val="center"/>
        <w:rPr>
          <w:rFonts w:hint="eastAsia" w:ascii="宋体" w:hAnsi="宋体" w:cs="宋体"/>
          <w:sz w:val="24"/>
        </w:rPr>
      </w:pPr>
      <w:r>
        <w:rPr>
          <w:rFonts w:hint="eastAsia" w:ascii="宋体" w:hAnsi="宋体" w:cs="宋体"/>
          <w:sz w:val="24"/>
        </w:rPr>
        <w:t>项目实施人员一览表</w:t>
      </w:r>
    </w:p>
    <w:p>
      <w:pPr>
        <w:snapToGrid w:val="0"/>
        <w:spacing w:before="120" w:beforeLines="50" w:after="50" w:line="480" w:lineRule="auto"/>
        <w:rPr>
          <w:rFonts w:hint="eastAsia" w:ascii="宋体" w:hAnsi="宋体" w:cs="宋体"/>
          <w:bCs/>
          <w:sz w:val="24"/>
          <w:szCs w:val="20"/>
        </w:rPr>
      </w:pPr>
      <w:r>
        <w:rPr>
          <w:rFonts w:hint="eastAsia" w:ascii="宋体" w:hAnsi="宋体" w:cs="宋体"/>
          <w:bCs/>
          <w:sz w:val="24"/>
        </w:rPr>
        <w:t>项目名称：台州市公安局集聚区分局雪亮工程（三期）前端点位建设项目</w:t>
      </w:r>
      <w:r>
        <w:rPr>
          <w:rFonts w:hint="eastAsia" w:ascii="宋体" w:hAnsi="宋体" w:cs="宋体"/>
          <w:b/>
          <w:bCs w:val="0"/>
          <w:sz w:val="24"/>
          <w:lang w:eastAsia="zh-CN"/>
        </w:rPr>
        <w:t>或</w:t>
      </w:r>
      <w:r>
        <w:rPr>
          <w:rFonts w:hint="eastAsia" w:ascii="宋体" w:hAnsi="宋体" w:cs="宋体"/>
          <w:bCs/>
          <w:sz w:val="24"/>
        </w:rPr>
        <w:t>台州市公安局集聚区分局雪亮工程（三期）后端保障服务项目</w:t>
      </w:r>
    </w:p>
    <w:p>
      <w:pPr>
        <w:snapToGrid w:val="0"/>
        <w:spacing w:before="120" w:beforeLines="50" w:after="50" w:line="480" w:lineRule="auto"/>
        <w:rPr>
          <w:rFonts w:hint="eastAsia"/>
        </w:rPr>
      </w:pPr>
      <w:r>
        <w:rPr>
          <w:rFonts w:hint="eastAsia" w:ascii="宋体" w:hAnsi="宋体" w:cs="宋体"/>
          <w:sz w:val="24"/>
        </w:rPr>
        <w:t>项目编号：TPTZ-2020-TZ0910       项目标段：</w:t>
      </w:r>
      <w:r>
        <w:rPr>
          <w:rFonts w:hint="eastAsia" w:ascii="宋体" w:hAnsi="宋体" w:cs="宋体"/>
          <w:sz w:val="24"/>
          <w:lang w:eastAsia="zh-CN"/>
        </w:rPr>
        <w:t>一</w:t>
      </w:r>
      <w:r>
        <w:rPr>
          <w:rFonts w:hint="eastAsia" w:ascii="宋体" w:hAnsi="宋体" w:cs="宋体"/>
          <w:b/>
          <w:bCs/>
          <w:sz w:val="24"/>
          <w:lang w:eastAsia="zh-CN"/>
        </w:rPr>
        <w:t>或</w:t>
      </w:r>
      <w:r>
        <w:rPr>
          <w:rFonts w:hint="eastAsia" w:ascii="宋体" w:hAnsi="宋体" w:cs="宋体"/>
          <w:sz w:val="24"/>
          <w:lang w:eastAsia="zh-CN"/>
        </w:rPr>
        <w:t>二</w:t>
      </w:r>
      <w:r>
        <w:rPr>
          <w:rFonts w:hint="eastAsia" w:ascii="宋体" w:hAnsi="宋体" w:cs="宋体"/>
          <w:sz w:val="24"/>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6"/>
        <w:gridCol w:w="1290"/>
        <w:gridCol w:w="1784"/>
        <w:gridCol w:w="1140"/>
        <w:gridCol w:w="1096"/>
        <w:gridCol w:w="1140"/>
        <w:gridCol w:w="145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9"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50" w:line="360" w:lineRule="auto"/>
              <w:jc w:val="center"/>
              <w:rPr>
                <w:rFonts w:hint="eastAsia" w:ascii="宋体" w:hAnsi="宋体" w:cs="宋体"/>
                <w:sz w:val="24"/>
              </w:rPr>
            </w:pPr>
            <w:r>
              <w:rPr>
                <w:rFonts w:hint="eastAsia" w:ascii="宋体" w:hAnsi="宋体" w:cs="宋体"/>
                <w:sz w:val="24"/>
              </w:rPr>
              <w:t>序号</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50" w:line="360" w:lineRule="auto"/>
              <w:jc w:val="center"/>
              <w:rPr>
                <w:rFonts w:hint="eastAsia" w:ascii="宋体" w:hAnsi="宋体" w:cs="宋体"/>
                <w:sz w:val="24"/>
              </w:rPr>
            </w:pPr>
            <w:r>
              <w:rPr>
                <w:rFonts w:hint="eastAsia" w:ascii="宋体" w:hAnsi="宋体" w:cs="宋体"/>
                <w:sz w:val="24"/>
              </w:rPr>
              <w:t>姓名</w:t>
            </w:r>
          </w:p>
        </w:tc>
        <w:tc>
          <w:tcPr>
            <w:tcW w:w="178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50" w:line="360" w:lineRule="auto"/>
              <w:jc w:val="center"/>
              <w:rPr>
                <w:rFonts w:hint="eastAsia" w:ascii="宋体" w:hAnsi="宋体" w:cs="宋体"/>
                <w:sz w:val="24"/>
              </w:rPr>
            </w:pPr>
            <w:r>
              <w:rPr>
                <w:rFonts w:hint="eastAsia" w:ascii="宋体" w:hAnsi="宋体" w:cs="宋体"/>
                <w:sz w:val="24"/>
              </w:rPr>
              <w:t>拟任工作</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50" w:line="360" w:lineRule="auto"/>
              <w:jc w:val="center"/>
              <w:rPr>
                <w:rFonts w:hint="eastAsia" w:ascii="宋体" w:hAnsi="宋体" w:cs="宋体"/>
                <w:sz w:val="24"/>
              </w:rPr>
            </w:pPr>
            <w:r>
              <w:rPr>
                <w:rFonts w:hint="eastAsia" w:ascii="宋体" w:hAnsi="宋体" w:cs="宋体"/>
                <w:sz w:val="24"/>
              </w:rPr>
              <w:t>年龄</w:t>
            </w:r>
          </w:p>
        </w:tc>
        <w:tc>
          <w:tcPr>
            <w:tcW w:w="109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50" w:line="360" w:lineRule="auto"/>
              <w:jc w:val="center"/>
              <w:rPr>
                <w:rFonts w:hint="eastAsia" w:ascii="宋体" w:hAnsi="宋体" w:cs="宋体"/>
                <w:sz w:val="24"/>
              </w:rPr>
            </w:pPr>
            <w:r>
              <w:rPr>
                <w:rFonts w:hint="eastAsia" w:ascii="宋体" w:hAnsi="宋体" w:cs="宋体"/>
                <w:sz w:val="24"/>
              </w:rPr>
              <w:t>性别</w:t>
            </w:r>
          </w:p>
        </w:tc>
        <w:tc>
          <w:tcPr>
            <w:tcW w:w="114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50" w:line="360" w:lineRule="auto"/>
              <w:jc w:val="center"/>
              <w:rPr>
                <w:rFonts w:hint="eastAsia" w:ascii="宋体" w:hAnsi="宋体" w:cs="宋体"/>
                <w:sz w:val="24"/>
              </w:rPr>
            </w:pPr>
            <w:r>
              <w:rPr>
                <w:rFonts w:hint="eastAsia" w:ascii="宋体" w:hAnsi="宋体" w:cs="宋体"/>
                <w:sz w:val="24"/>
              </w:rPr>
              <w:t>学历</w:t>
            </w:r>
          </w:p>
        </w:tc>
        <w:tc>
          <w:tcPr>
            <w:tcW w:w="14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50" w:line="360" w:lineRule="auto"/>
              <w:jc w:val="center"/>
              <w:rPr>
                <w:rFonts w:hint="eastAsia" w:ascii="宋体" w:hAnsi="宋体" w:cs="宋体"/>
                <w:sz w:val="24"/>
              </w:rPr>
            </w:pPr>
            <w:r>
              <w:rPr>
                <w:rFonts w:hint="eastAsia" w:ascii="宋体" w:hAnsi="宋体" w:cs="宋体"/>
                <w:sz w:val="24"/>
              </w:rPr>
              <w:t>专业技术资格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r>
              <w:rPr>
                <w:rFonts w:hint="eastAsia" w:ascii="宋体" w:hAnsi="宋体" w:cs="宋体"/>
                <w:sz w:val="24"/>
              </w:rPr>
              <w:t>1</w:t>
            </w:r>
          </w:p>
        </w:tc>
        <w:tc>
          <w:tcPr>
            <w:tcW w:w="129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78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09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45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r>
              <w:rPr>
                <w:rFonts w:hint="eastAsia" w:ascii="宋体" w:hAnsi="宋体" w:cs="宋体"/>
                <w:sz w:val="24"/>
              </w:rPr>
              <w:t>2</w:t>
            </w:r>
          </w:p>
        </w:tc>
        <w:tc>
          <w:tcPr>
            <w:tcW w:w="129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78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09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45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r>
              <w:rPr>
                <w:rFonts w:hint="eastAsia" w:ascii="宋体" w:hAnsi="宋体" w:cs="宋体"/>
                <w:sz w:val="24"/>
              </w:rPr>
              <w:t>3</w:t>
            </w:r>
          </w:p>
        </w:tc>
        <w:tc>
          <w:tcPr>
            <w:tcW w:w="129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78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pStyle w:val="19"/>
              <w:snapToGrid w:val="0"/>
              <w:spacing w:before="120" w:beforeLines="50" w:after="50" w:line="360" w:lineRule="auto"/>
              <w:ind w:left="7000"/>
              <w:rPr>
                <w:rFonts w:hint="eastAsia" w:ascii="宋体" w:hAnsi="宋体" w:eastAsia="宋体" w:cs="宋体"/>
                <w:sz w:val="24"/>
                <w:szCs w:val="24"/>
              </w:rPr>
            </w:pPr>
          </w:p>
        </w:tc>
        <w:tc>
          <w:tcPr>
            <w:tcW w:w="1096" w:type="dxa"/>
            <w:tcBorders>
              <w:top w:val="single" w:color="auto" w:sz="4" w:space="0"/>
              <w:left w:val="single" w:color="auto" w:sz="4" w:space="0"/>
              <w:bottom w:val="single" w:color="auto" w:sz="4" w:space="0"/>
              <w:right w:val="single" w:color="auto" w:sz="4" w:space="0"/>
            </w:tcBorders>
            <w:noWrap w:val="0"/>
            <w:vAlign w:val="top"/>
          </w:tcPr>
          <w:p>
            <w:pPr>
              <w:pStyle w:val="19"/>
              <w:snapToGrid w:val="0"/>
              <w:spacing w:before="120" w:beforeLines="50" w:after="50" w:line="360" w:lineRule="auto"/>
              <w:ind w:left="7000"/>
              <w:rPr>
                <w:rFonts w:hint="eastAsia" w:ascii="宋体" w:hAnsi="宋体" w:eastAsia="宋体" w:cs="宋体"/>
                <w:sz w:val="24"/>
                <w:szCs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pStyle w:val="19"/>
              <w:snapToGrid w:val="0"/>
              <w:spacing w:before="120" w:beforeLines="50" w:after="50" w:line="360" w:lineRule="auto"/>
              <w:ind w:left="7000"/>
              <w:rPr>
                <w:rFonts w:hint="eastAsia" w:ascii="宋体" w:hAnsi="宋体" w:eastAsia="宋体" w:cs="宋体"/>
                <w:sz w:val="24"/>
                <w:szCs w:val="24"/>
              </w:rPr>
            </w:pPr>
          </w:p>
        </w:tc>
        <w:tc>
          <w:tcPr>
            <w:tcW w:w="1454" w:type="dxa"/>
            <w:tcBorders>
              <w:top w:val="single" w:color="auto" w:sz="4" w:space="0"/>
              <w:left w:val="single" w:color="auto" w:sz="4" w:space="0"/>
              <w:bottom w:val="single" w:color="auto" w:sz="4" w:space="0"/>
              <w:right w:val="single" w:color="auto" w:sz="4" w:space="0"/>
            </w:tcBorders>
            <w:noWrap w:val="0"/>
            <w:vAlign w:val="top"/>
          </w:tcPr>
          <w:p>
            <w:pPr>
              <w:pStyle w:val="19"/>
              <w:snapToGrid w:val="0"/>
              <w:spacing w:before="120" w:beforeLines="50" w:after="50" w:line="360" w:lineRule="auto"/>
              <w:ind w:left="700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64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r>
              <w:rPr>
                <w:rFonts w:hint="eastAsia" w:ascii="宋体" w:hAnsi="宋体" w:cs="宋体"/>
                <w:sz w:val="24"/>
              </w:rPr>
              <w:t>...</w:t>
            </w:r>
          </w:p>
        </w:tc>
        <w:tc>
          <w:tcPr>
            <w:tcW w:w="129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r>
              <w:rPr>
                <w:rFonts w:hint="eastAsia" w:ascii="宋体" w:hAnsi="宋体" w:cs="宋体"/>
                <w:sz w:val="24"/>
              </w:rPr>
              <w:t>....</w:t>
            </w:r>
          </w:p>
        </w:tc>
        <w:tc>
          <w:tcPr>
            <w:tcW w:w="178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r>
              <w:rPr>
                <w:rFonts w:hint="eastAsia" w:ascii="宋体" w:hAnsi="宋体" w:cs="宋体"/>
                <w:sz w:val="24"/>
              </w:rPr>
              <w:t>.......</w:t>
            </w:r>
          </w:p>
        </w:tc>
        <w:tc>
          <w:tcPr>
            <w:tcW w:w="114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096"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c>
          <w:tcPr>
            <w:tcW w:w="1454"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50" w:line="360" w:lineRule="auto"/>
              <w:rPr>
                <w:rFonts w:hint="eastAsia" w:ascii="宋体" w:hAnsi="宋体" w:cs="宋体"/>
                <w:sz w:val="24"/>
              </w:rPr>
            </w:pPr>
          </w:p>
        </w:tc>
      </w:tr>
    </w:tbl>
    <w:p>
      <w:pPr>
        <w:ind w:left="420"/>
        <w:rPr>
          <w:rFonts w:hint="eastAsia" w:ascii="宋体" w:hAnsi="宋体" w:cs="宋体"/>
          <w:sz w:val="24"/>
        </w:rPr>
      </w:pPr>
      <w:r>
        <w:rPr>
          <w:rFonts w:hint="eastAsia" w:ascii="宋体" w:hAnsi="宋体" w:cs="宋体"/>
          <w:sz w:val="24"/>
        </w:rPr>
        <w:t>投标人名称（盖章）：</w:t>
      </w:r>
      <w:r>
        <w:rPr>
          <w:rFonts w:hint="eastAsia" w:ascii="宋体" w:hAnsi="宋体" w:cs="宋体"/>
          <w:sz w:val="24"/>
          <w:u w:val="single"/>
        </w:rPr>
        <w:t xml:space="preserve">                      </w:t>
      </w:r>
      <w:r>
        <w:rPr>
          <w:rFonts w:hint="eastAsia" w:ascii="宋体" w:hAnsi="宋体" w:cs="宋体"/>
          <w:sz w:val="24"/>
        </w:rPr>
        <w:t xml:space="preserve"> </w:t>
      </w:r>
    </w:p>
    <w:p>
      <w:pPr>
        <w:ind w:firstLine="435"/>
        <w:rPr>
          <w:rFonts w:hint="eastAsia" w:ascii="宋体" w:hAnsi="宋体" w:cs="宋体"/>
          <w:sz w:val="24"/>
        </w:rPr>
      </w:pPr>
      <w:r>
        <w:rPr>
          <w:rFonts w:hint="eastAsia" w:ascii="宋体" w:hAnsi="宋体" w:cs="宋体"/>
          <w:sz w:val="24"/>
        </w:rPr>
        <w:t>法定代表人或授权代表（签字或盖章）：</w:t>
      </w:r>
      <w:r>
        <w:rPr>
          <w:rFonts w:hint="eastAsia" w:ascii="宋体" w:hAnsi="宋体" w:cs="宋体"/>
          <w:sz w:val="24"/>
          <w:u w:val="single"/>
        </w:rPr>
        <w:t xml:space="preserve">                          </w:t>
      </w:r>
    </w:p>
    <w:p>
      <w:pPr>
        <w:ind w:firstLine="435"/>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p>
    <w:p>
      <w:pPr>
        <w:spacing w:line="360" w:lineRule="auto"/>
        <w:rPr>
          <w:rFonts w:hint="eastAsia" w:ascii="宋体" w:hAnsi="宋体" w:cs="宋体"/>
          <w:sz w:val="24"/>
        </w:rPr>
      </w:pPr>
      <w:r>
        <w:rPr>
          <w:rFonts w:hint="eastAsia" w:ascii="宋体" w:hAnsi="宋体" w:cs="宋体"/>
          <w:sz w:val="24"/>
        </w:rPr>
        <w:t>说明：在填写时，如本表格不适合投标单位的实际情况，可根据本表格式自行划表填写。</w:t>
      </w:r>
    </w:p>
    <w:p>
      <w:pPr>
        <w:pStyle w:val="32"/>
        <w:spacing w:line="375" w:lineRule="atLeast"/>
        <w:jc w:val="both"/>
        <w:rPr>
          <w:rFonts w:hint="eastAsia" w:cs="宋体"/>
          <w:bCs/>
          <w:color w:val="auto"/>
        </w:rPr>
      </w:pPr>
    </w:p>
    <w:p>
      <w:pPr>
        <w:snapToGrid w:val="0"/>
        <w:spacing w:before="120" w:beforeLines="50" w:after="50" w:line="360" w:lineRule="auto"/>
        <w:jc w:val="center"/>
        <w:rPr>
          <w:rFonts w:hint="eastAsia" w:ascii="宋体" w:hAnsi="宋体" w:cs="宋体"/>
          <w:sz w:val="24"/>
        </w:rPr>
      </w:pPr>
    </w:p>
    <w:p>
      <w:pPr>
        <w:snapToGrid w:val="0"/>
        <w:spacing w:before="120" w:beforeLines="50" w:after="50" w:line="360" w:lineRule="auto"/>
        <w:jc w:val="center"/>
        <w:rPr>
          <w:rFonts w:hint="eastAsia" w:ascii="宋体" w:hAnsi="宋体" w:cs="宋体"/>
          <w:sz w:val="24"/>
        </w:rPr>
      </w:pPr>
    </w:p>
    <w:p>
      <w:pPr>
        <w:snapToGrid w:val="0"/>
        <w:spacing w:before="120" w:beforeLines="50" w:after="50" w:line="360" w:lineRule="auto"/>
        <w:jc w:val="center"/>
        <w:rPr>
          <w:rFonts w:hint="eastAsia" w:ascii="宋体" w:hAnsi="宋体" w:cs="宋体"/>
          <w:sz w:val="24"/>
        </w:rPr>
      </w:pPr>
    </w:p>
    <w:p>
      <w:pPr>
        <w:snapToGrid w:val="0"/>
        <w:spacing w:before="120" w:beforeLines="50" w:after="50" w:line="360" w:lineRule="auto"/>
        <w:jc w:val="center"/>
        <w:rPr>
          <w:rFonts w:hint="eastAsia" w:ascii="宋体" w:hAnsi="宋体" w:cs="宋体"/>
          <w:sz w:val="24"/>
        </w:rPr>
      </w:pPr>
    </w:p>
    <w:p>
      <w:pPr>
        <w:snapToGrid w:val="0"/>
        <w:spacing w:before="120" w:beforeLines="50" w:after="50" w:line="360" w:lineRule="auto"/>
        <w:jc w:val="center"/>
        <w:rPr>
          <w:rFonts w:hint="eastAsia" w:ascii="宋体" w:hAnsi="宋体" w:cs="宋体"/>
          <w:sz w:val="24"/>
        </w:rPr>
      </w:pPr>
    </w:p>
    <w:p>
      <w:pPr>
        <w:pStyle w:val="36"/>
        <w:rPr>
          <w:rFonts w:hAnsi="宋体" w:cs="宋体"/>
          <w:sz w:val="24"/>
        </w:rPr>
      </w:pPr>
    </w:p>
    <w:p>
      <w:pPr>
        <w:pStyle w:val="36"/>
        <w:rPr>
          <w:rFonts w:hAnsi="宋体" w:cs="宋体"/>
          <w:sz w:val="24"/>
        </w:rPr>
      </w:pPr>
    </w:p>
    <w:p>
      <w:pPr>
        <w:pStyle w:val="36"/>
        <w:rPr>
          <w:rFonts w:hAnsi="宋体" w:cs="宋体"/>
          <w:sz w:val="24"/>
        </w:rPr>
      </w:pPr>
    </w:p>
    <w:p>
      <w:pPr>
        <w:pStyle w:val="36"/>
        <w:rPr>
          <w:rFonts w:hAnsi="宋体" w:cs="宋体"/>
          <w:sz w:val="24"/>
        </w:rPr>
      </w:pPr>
    </w:p>
    <w:p>
      <w:pPr>
        <w:pStyle w:val="36"/>
        <w:rPr>
          <w:rFonts w:hAnsi="宋体" w:cs="宋体"/>
          <w:sz w:val="24"/>
        </w:rPr>
      </w:pPr>
    </w:p>
    <w:p>
      <w:pPr>
        <w:pStyle w:val="36"/>
        <w:rPr>
          <w:rFonts w:hAnsi="宋体" w:cs="宋体"/>
          <w:sz w:val="24"/>
        </w:rPr>
      </w:pPr>
    </w:p>
    <w:p>
      <w:pPr>
        <w:pStyle w:val="36"/>
        <w:rPr>
          <w:rFonts w:hAnsi="宋体" w:cs="宋体"/>
          <w:sz w:val="24"/>
        </w:rPr>
      </w:pPr>
    </w:p>
    <w:bookmarkEnd w:id="386"/>
    <w:bookmarkEnd w:id="387"/>
    <w:bookmarkEnd w:id="388"/>
    <w:bookmarkEnd w:id="389"/>
    <w:p>
      <w:pPr>
        <w:snapToGrid w:val="0"/>
        <w:spacing w:before="50" w:after="50"/>
        <w:rPr>
          <w:rFonts w:ascii="宋体" w:hAnsi="宋体" w:cs="宋体"/>
          <w:b/>
          <w:sz w:val="22"/>
          <w:szCs w:val="22"/>
        </w:rPr>
      </w:pPr>
      <w:r>
        <w:rPr>
          <w:rFonts w:hint="eastAsia" w:ascii="宋体" w:hAnsi="宋体" w:cs="宋体"/>
          <w:b/>
          <w:sz w:val="22"/>
          <w:szCs w:val="22"/>
        </w:rPr>
        <w:t>附件11：</w:t>
      </w:r>
    </w:p>
    <w:p>
      <w:pPr>
        <w:spacing w:line="360" w:lineRule="auto"/>
        <w:ind w:right="-110"/>
        <w:jc w:val="center"/>
        <w:rPr>
          <w:rFonts w:ascii="宋体" w:hAnsi="宋体"/>
          <w:b/>
          <w:sz w:val="32"/>
          <w:szCs w:val="32"/>
        </w:rPr>
      </w:pPr>
      <w:r>
        <w:rPr>
          <w:rFonts w:hint="eastAsia" w:ascii="宋体" w:hAnsi="宋体"/>
          <w:b/>
          <w:sz w:val="32"/>
          <w:szCs w:val="32"/>
        </w:rPr>
        <w:t>小</w:t>
      </w:r>
      <w:r>
        <w:rPr>
          <w:rFonts w:hint="eastAsia" w:ascii="宋体" w:hAnsi="宋体"/>
          <w:b/>
          <w:sz w:val="32"/>
          <w:szCs w:val="32"/>
          <w:lang w:val="en-GB"/>
        </w:rPr>
        <w:t>微</w:t>
      </w:r>
      <w:r>
        <w:rPr>
          <w:rFonts w:hint="eastAsia" w:ascii="宋体" w:hAnsi="宋体"/>
          <w:b/>
          <w:sz w:val="32"/>
          <w:szCs w:val="32"/>
        </w:rPr>
        <w:t>企业声明函</w:t>
      </w:r>
    </w:p>
    <w:p>
      <w:pPr>
        <w:pStyle w:val="74"/>
        <w:spacing w:line="360" w:lineRule="auto"/>
        <w:ind w:firstLine="504" w:firstLineChars="200"/>
        <w:rPr>
          <w:rFonts w:ascii="宋体" w:hAnsi="宋体"/>
          <w:spacing w:val="6"/>
          <w:sz w:val="24"/>
        </w:rPr>
      </w:pPr>
      <w:r>
        <w:rPr>
          <w:rFonts w:hint="eastAsia" w:ascii="宋体" w:hAnsi="宋体"/>
          <w:spacing w:val="6"/>
          <w:sz w:val="24"/>
        </w:rPr>
        <w:t>本公司郑重声明，根据《政府采购促进中小企业发展暂行办法》（财库[2011]181号）的规定，本公司为______（请填写：小型、微型）企业。即，本公司同时满足以下条件：</w:t>
      </w:r>
    </w:p>
    <w:p>
      <w:pPr>
        <w:pStyle w:val="74"/>
        <w:spacing w:line="360" w:lineRule="auto"/>
        <w:ind w:firstLine="504" w:firstLineChars="200"/>
        <w:rPr>
          <w:rFonts w:ascii="宋体" w:hAnsi="宋体"/>
          <w:spacing w:val="6"/>
          <w:sz w:val="24"/>
        </w:rPr>
      </w:pPr>
      <w:r>
        <w:rPr>
          <w:rFonts w:hint="eastAsia" w:ascii="宋体" w:hAnsi="宋体"/>
          <w:spacing w:val="6"/>
          <w:sz w:val="24"/>
        </w:rPr>
        <w:t>1.根据《工业和信息化部、国家统计局、国家发展和改革委员会、财政部关于印发中小企业划型标准规定的通知》（工信部联企业[2011]300号）规定的划分标准：第四条第______项______行业，本公司</w:t>
      </w:r>
      <w:r>
        <w:rPr>
          <w:rFonts w:hint="eastAsia" w:ascii="宋体" w:hAnsi="宋体"/>
          <w:i/>
          <w:spacing w:val="6"/>
          <w:sz w:val="24"/>
          <w:u w:val="dash"/>
        </w:rPr>
        <w:t>（此处填写从业人员和营业收入的具体数据）</w:t>
      </w:r>
      <w:r>
        <w:rPr>
          <w:rFonts w:hint="eastAsia" w:ascii="宋体" w:hAnsi="宋体"/>
          <w:spacing w:val="6"/>
          <w:sz w:val="24"/>
        </w:rPr>
        <w:t>，为______（请填写：小型、微型）企业。</w:t>
      </w:r>
    </w:p>
    <w:p>
      <w:pPr>
        <w:pStyle w:val="74"/>
        <w:spacing w:line="360" w:lineRule="auto"/>
        <w:ind w:firstLine="504" w:firstLineChars="200"/>
        <w:rPr>
          <w:rFonts w:ascii="宋体" w:hAnsi="宋体"/>
          <w:spacing w:val="6"/>
          <w:sz w:val="24"/>
        </w:rPr>
      </w:pPr>
      <w:r>
        <w:rPr>
          <w:rFonts w:hint="eastAsia" w:ascii="宋体" w:hAnsi="宋体"/>
          <w:spacing w:val="6"/>
          <w:sz w:val="24"/>
        </w:rPr>
        <w:t>2.本公司参加</w:t>
      </w:r>
      <w:r>
        <w:rPr>
          <w:rFonts w:hint="eastAsia" w:ascii="宋体" w:hAnsi="宋体"/>
          <w:sz w:val="24"/>
        </w:rPr>
        <w:t>浙江建航工程咨询有限公司组织</w:t>
      </w:r>
      <w:r>
        <w:rPr>
          <w:rFonts w:hint="eastAsia" w:ascii="宋体" w:hAnsi="宋体"/>
          <w:spacing w:val="6"/>
          <w:sz w:val="24"/>
        </w:rPr>
        <w:t>的台州广播电视大学（台州社区大学）智慧校园物联网平台采购项目（项目编号：ZJJH-2020-GK020号）采购活动提供本企业制造的货物，由本企业承担工程、提供服务，或者提供其他______（请填写：小型、微型）企业制造的货物。本条所称货物不包括使用大型企业注册商标的货物。</w:t>
      </w:r>
    </w:p>
    <w:p>
      <w:pPr>
        <w:pStyle w:val="74"/>
        <w:spacing w:line="360" w:lineRule="auto"/>
        <w:ind w:firstLine="504" w:firstLineChars="200"/>
        <w:rPr>
          <w:rFonts w:ascii="宋体" w:hAnsi="宋体"/>
          <w:spacing w:val="6"/>
          <w:sz w:val="24"/>
        </w:rPr>
      </w:pPr>
      <w:r>
        <w:rPr>
          <w:rFonts w:hint="eastAsia" w:ascii="宋体" w:hAnsi="宋体"/>
          <w:spacing w:val="6"/>
          <w:sz w:val="24"/>
        </w:rPr>
        <w:t>本公司对上述声明的真实性负责。如有虚假，将依法承担相应责任。</w:t>
      </w:r>
    </w:p>
    <w:p>
      <w:pPr>
        <w:pStyle w:val="74"/>
        <w:spacing w:line="360" w:lineRule="auto"/>
        <w:ind w:firstLine="504" w:firstLineChars="200"/>
        <w:rPr>
          <w:rFonts w:ascii="宋体" w:hAnsi="宋体"/>
          <w:spacing w:val="6"/>
          <w:sz w:val="24"/>
        </w:rPr>
      </w:pPr>
    </w:p>
    <w:p>
      <w:pPr>
        <w:pStyle w:val="74"/>
        <w:spacing w:line="360" w:lineRule="auto"/>
        <w:ind w:left="5670" w:leftChars="2025"/>
        <w:rPr>
          <w:rFonts w:ascii="宋体" w:hAnsi="宋体"/>
          <w:sz w:val="24"/>
        </w:rPr>
      </w:pPr>
      <w:r>
        <w:rPr>
          <w:rFonts w:hint="eastAsia" w:ascii="宋体" w:hAnsi="宋体"/>
          <w:sz w:val="24"/>
        </w:rPr>
        <w:t>投 标 人（单位公章）：</w:t>
      </w:r>
    </w:p>
    <w:p>
      <w:pPr>
        <w:pStyle w:val="74"/>
        <w:spacing w:line="360" w:lineRule="auto"/>
        <w:ind w:left="5670" w:leftChars="2025" w:right="360"/>
        <w:jc w:val="right"/>
        <w:rPr>
          <w:rFonts w:ascii="宋体" w:hAnsi="宋体"/>
          <w:spacing w:val="6"/>
          <w:sz w:val="24"/>
        </w:rPr>
      </w:pPr>
      <w:r>
        <w:rPr>
          <w:rFonts w:hint="eastAsia" w:ascii="宋体" w:hAnsi="宋体"/>
          <w:sz w:val="24"/>
        </w:rPr>
        <w:t>日期： ××</w:t>
      </w:r>
      <w:r>
        <w:rPr>
          <w:rFonts w:hint="eastAsia" w:ascii="宋体" w:hAnsi="宋体" w:cs="Arial"/>
          <w:sz w:val="24"/>
        </w:rPr>
        <w:t>年</w:t>
      </w:r>
      <w:r>
        <w:rPr>
          <w:rFonts w:hint="eastAsia" w:ascii="宋体" w:hAnsi="宋体"/>
          <w:sz w:val="24"/>
        </w:rPr>
        <w:t>××</w:t>
      </w:r>
      <w:r>
        <w:rPr>
          <w:rFonts w:hint="eastAsia" w:ascii="宋体" w:hAnsi="宋体" w:cs="Arial"/>
          <w:sz w:val="24"/>
        </w:rPr>
        <w:t>月</w:t>
      </w:r>
      <w:r>
        <w:rPr>
          <w:rFonts w:hint="eastAsia" w:ascii="宋体" w:hAnsi="宋体"/>
          <w:sz w:val="24"/>
        </w:rPr>
        <w:t>××</w:t>
      </w:r>
      <w:r>
        <w:rPr>
          <w:rFonts w:hint="eastAsia" w:ascii="宋体" w:hAnsi="宋体" w:cs="Arial"/>
          <w:sz w:val="24"/>
        </w:rPr>
        <w:t>日</w:t>
      </w:r>
    </w:p>
    <w:p>
      <w:pPr>
        <w:pStyle w:val="74"/>
        <w:spacing w:line="360" w:lineRule="auto"/>
        <w:rPr>
          <w:rFonts w:ascii="宋体" w:hAnsi="宋体"/>
          <w:sz w:val="24"/>
        </w:rPr>
      </w:pPr>
    </w:p>
    <w:p>
      <w:pPr>
        <w:pStyle w:val="74"/>
        <w:spacing w:line="360" w:lineRule="auto"/>
        <w:jc w:val="center"/>
        <w:rPr>
          <w:rFonts w:ascii="宋体" w:hAnsi="宋体"/>
          <w:b/>
          <w:spacing w:val="6"/>
          <w:sz w:val="32"/>
          <w:szCs w:val="32"/>
        </w:rPr>
      </w:pPr>
      <w:r>
        <w:rPr>
          <w:rFonts w:hint="eastAsia" w:ascii="宋体" w:hAnsi="宋体"/>
          <w:b/>
          <w:sz w:val="32"/>
          <w:szCs w:val="32"/>
          <w:lang w:val="en-GB"/>
        </w:rPr>
        <w:t>小微企业声明函（制造商）</w:t>
      </w:r>
    </w:p>
    <w:p>
      <w:pPr>
        <w:pStyle w:val="74"/>
        <w:spacing w:line="360" w:lineRule="auto"/>
        <w:ind w:firstLine="504" w:firstLineChars="200"/>
        <w:rPr>
          <w:rFonts w:ascii="宋体" w:hAnsi="宋体"/>
          <w:spacing w:val="6"/>
          <w:sz w:val="24"/>
        </w:rPr>
      </w:pPr>
      <w:r>
        <w:rPr>
          <w:rFonts w:hint="eastAsia" w:ascii="宋体" w:hAnsi="宋体"/>
          <w:spacing w:val="6"/>
          <w:sz w:val="24"/>
        </w:rPr>
        <w:t>本公司郑重声明，根据《政府采购促进中小企业发展暂行办法》（财库[2011]181号）的规定和《工业和信息化部、国家统计局、国家发展和改革委员会、财政部关于印发中小企业划型标准规定的通知》（工信部联企业[2011]300号）规定的划分标准：第四条第______项______行业，本公司（此处填写营业收入和从业人员的具体数据），为______（请填写：小型、微型）企业。</w:t>
      </w:r>
    </w:p>
    <w:p>
      <w:pPr>
        <w:pStyle w:val="74"/>
        <w:spacing w:line="360" w:lineRule="auto"/>
        <w:ind w:firstLine="504" w:firstLineChars="200"/>
        <w:rPr>
          <w:rFonts w:ascii="宋体" w:hAnsi="宋体"/>
          <w:spacing w:val="6"/>
          <w:sz w:val="24"/>
        </w:rPr>
      </w:pPr>
      <w:r>
        <w:rPr>
          <w:rFonts w:hint="eastAsia" w:ascii="宋体" w:hAnsi="宋体"/>
          <w:spacing w:val="6"/>
          <w:sz w:val="24"/>
        </w:rPr>
        <w:t>本公司对上述声明的真实性负责。如有虚假，将依法承担相应责任。</w:t>
      </w:r>
    </w:p>
    <w:p>
      <w:pPr>
        <w:pStyle w:val="74"/>
        <w:spacing w:line="360" w:lineRule="auto"/>
        <w:ind w:firstLine="504" w:firstLineChars="200"/>
        <w:rPr>
          <w:rFonts w:ascii="宋体" w:hAnsi="宋体"/>
          <w:spacing w:val="6"/>
          <w:sz w:val="24"/>
        </w:rPr>
      </w:pPr>
    </w:p>
    <w:p>
      <w:pPr>
        <w:pStyle w:val="74"/>
        <w:spacing w:line="360" w:lineRule="auto"/>
        <w:ind w:firstLine="504" w:firstLineChars="200"/>
        <w:jc w:val="right"/>
        <w:rPr>
          <w:rFonts w:ascii="宋体" w:hAnsi="宋体"/>
          <w:spacing w:val="6"/>
          <w:sz w:val="24"/>
        </w:rPr>
      </w:pPr>
      <w:r>
        <w:rPr>
          <w:rFonts w:hint="eastAsia" w:ascii="宋体" w:hAnsi="宋体"/>
          <w:spacing w:val="6"/>
          <w:sz w:val="24"/>
        </w:rPr>
        <w:t>企业名称（单位公章）：</w:t>
      </w:r>
    </w:p>
    <w:p>
      <w:pPr>
        <w:pStyle w:val="8"/>
      </w:pPr>
      <w:r>
        <w:rPr>
          <w:rFonts w:hint="eastAsia" w:ascii="宋体" w:hAnsi="宋体"/>
          <w:sz w:val="24"/>
        </w:rPr>
        <w:t>日期：   ××</w:t>
      </w:r>
      <w:r>
        <w:rPr>
          <w:rFonts w:hint="eastAsia" w:ascii="宋体" w:hAnsi="宋体" w:cs="Arial"/>
          <w:sz w:val="24"/>
        </w:rPr>
        <w:t>年</w:t>
      </w:r>
      <w:r>
        <w:rPr>
          <w:rFonts w:hint="eastAsia" w:ascii="宋体" w:hAnsi="宋体"/>
          <w:sz w:val="24"/>
        </w:rPr>
        <w:t>××</w:t>
      </w:r>
      <w:r>
        <w:rPr>
          <w:rFonts w:hint="eastAsia" w:ascii="宋体" w:hAnsi="宋体" w:cs="Arial"/>
          <w:sz w:val="24"/>
        </w:rPr>
        <w:t>月</w:t>
      </w:r>
      <w:r>
        <w:rPr>
          <w:rFonts w:hint="eastAsia" w:ascii="宋体" w:hAnsi="宋体"/>
          <w:sz w:val="24"/>
        </w:rPr>
        <w:t>××</w:t>
      </w:r>
      <w:r>
        <w:rPr>
          <w:rFonts w:hint="eastAsia" w:ascii="宋体" w:hAnsi="宋体" w:cs="Arial"/>
          <w:sz w:val="24"/>
        </w:rPr>
        <w:t>日</w:t>
      </w:r>
    </w:p>
    <w:p>
      <w:pPr>
        <w:snapToGrid w:val="0"/>
        <w:spacing w:line="360" w:lineRule="auto"/>
        <w:jc w:val="center"/>
        <w:rPr>
          <w:rFonts w:hint="eastAsia" w:ascii="宋体" w:hAnsi="宋体" w:cs="宋体"/>
        </w:rPr>
      </w:pPr>
    </w:p>
    <w:p>
      <w:pPr>
        <w:pStyle w:val="18"/>
        <w:snapToGrid w:val="0"/>
        <w:spacing w:before="120" w:beforeLines="0" w:after="120" w:afterLines="0" w:line="240" w:lineRule="auto"/>
        <w:jc w:val="center"/>
        <w:rPr>
          <w:rFonts w:hint="eastAsia" w:hAnsi="宋体" w:cs="宋体"/>
          <w:b/>
        </w:rPr>
      </w:pPr>
    </w:p>
    <w:p>
      <w:pPr>
        <w:snapToGrid w:val="0"/>
        <w:spacing w:before="50" w:after="50"/>
        <w:rPr>
          <w:rFonts w:ascii="宋体" w:hAnsi="宋体" w:cs="宋体"/>
          <w:b/>
          <w:sz w:val="22"/>
          <w:szCs w:val="22"/>
        </w:rPr>
      </w:pPr>
      <w:r>
        <w:rPr>
          <w:rFonts w:hint="eastAsia" w:ascii="宋体" w:hAnsi="宋体" w:cs="宋体"/>
          <w:b/>
          <w:sz w:val="22"/>
          <w:szCs w:val="22"/>
        </w:rPr>
        <w:t>附件12：</w:t>
      </w:r>
    </w:p>
    <w:p>
      <w:pPr>
        <w:pStyle w:val="18"/>
        <w:snapToGrid w:val="0"/>
        <w:spacing w:before="120" w:beforeLines="0" w:after="120" w:afterLines="0" w:line="240" w:lineRule="auto"/>
        <w:jc w:val="center"/>
        <w:rPr>
          <w:rFonts w:hint="eastAsia" w:hAnsi="宋体" w:cs="宋体"/>
          <w:b/>
        </w:rPr>
      </w:pPr>
      <w:r>
        <w:rPr>
          <w:rFonts w:hint="eastAsia" w:hAnsi="宋体" w:cs="宋体"/>
          <w:b/>
        </w:rPr>
        <w:t>产品适用政府采购政策情况表</w:t>
      </w:r>
    </w:p>
    <w:p>
      <w:pPr>
        <w:pStyle w:val="18"/>
        <w:snapToGrid w:val="0"/>
        <w:spacing w:before="120" w:beforeLines="0" w:after="120" w:afterLines="0" w:line="240" w:lineRule="auto"/>
        <w:rPr>
          <w:rFonts w:hint="eastAsia" w:hAnsi="宋体" w:cs="宋体"/>
          <w:b/>
        </w:r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268"/>
        <w:gridCol w:w="1706"/>
        <w:gridCol w:w="1706"/>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restart"/>
            <w:noWrap w:val="0"/>
            <w:vAlign w:val="center"/>
          </w:tcPr>
          <w:p>
            <w:pPr>
              <w:pStyle w:val="18"/>
              <w:snapToGrid w:val="0"/>
              <w:spacing w:before="120" w:beforeLines="0" w:after="120" w:afterLines="0" w:line="240" w:lineRule="auto"/>
              <w:jc w:val="center"/>
              <w:rPr>
                <w:rFonts w:hint="eastAsia" w:hAnsi="宋体" w:cs="宋体"/>
                <w:sz w:val="21"/>
                <w:szCs w:val="21"/>
              </w:rPr>
            </w:pPr>
            <w:r>
              <w:rPr>
                <w:rFonts w:hint="eastAsia" w:hAnsi="宋体" w:cs="宋体"/>
                <w:sz w:val="21"/>
                <w:szCs w:val="21"/>
              </w:rPr>
              <w:t>小企业扶持政策</w:t>
            </w:r>
          </w:p>
        </w:tc>
        <w:tc>
          <w:tcPr>
            <w:tcW w:w="7386" w:type="dxa"/>
            <w:gridSpan w:val="4"/>
            <w:noWrap w:val="0"/>
            <w:vAlign w:val="top"/>
          </w:tcPr>
          <w:p>
            <w:pPr>
              <w:pStyle w:val="18"/>
              <w:snapToGrid w:val="0"/>
              <w:spacing w:before="120" w:beforeLines="0" w:after="120" w:afterLines="0" w:line="240" w:lineRule="auto"/>
              <w:rPr>
                <w:rFonts w:hint="eastAsia" w:hAnsi="宋体" w:cs="宋体"/>
                <w:sz w:val="21"/>
                <w:szCs w:val="21"/>
              </w:rPr>
            </w:pPr>
            <w:r>
              <w:rPr>
                <w:rFonts w:hint="eastAsia" w:hAnsi="宋体" w:cs="宋体"/>
                <w:sz w:val="21"/>
                <w:szCs w:val="21"/>
              </w:rPr>
              <w:t>如属所列情形的，请在括号内打“√”</w:t>
            </w:r>
          </w:p>
          <w:p>
            <w:pPr>
              <w:pStyle w:val="18"/>
              <w:snapToGrid w:val="0"/>
              <w:spacing w:before="120" w:beforeLines="0" w:after="120" w:afterLines="0" w:line="240" w:lineRule="auto"/>
              <w:rPr>
                <w:rFonts w:hint="eastAsia" w:hAnsi="宋体" w:cs="宋体"/>
                <w:sz w:val="21"/>
                <w:szCs w:val="21"/>
              </w:rPr>
            </w:pPr>
            <w:r>
              <w:rPr>
                <w:rFonts w:hint="eastAsia" w:hAnsi="宋体" w:cs="宋体"/>
                <w:sz w:val="21"/>
                <w:szCs w:val="21"/>
              </w:rPr>
              <w:t>（ ）小型、微型企业投标且提供本企业制造的产品。</w:t>
            </w:r>
          </w:p>
          <w:p>
            <w:pPr>
              <w:pStyle w:val="18"/>
              <w:snapToGrid w:val="0"/>
              <w:spacing w:before="120" w:beforeLines="0" w:after="120" w:afterLines="0" w:line="240" w:lineRule="auto"/>
              <w:rPr>
                <w:rFonts w:hint="eastAsia" w:hAnsi="宋体" w:cs="宋体"/>
                <w:sz w:val="21"/>
                <w:szCs w:val="21"/>
              </w:rPr>
            </w:pPr>
            <w:r>
              <w:rPr>
                <w:rFonts w:hint="eastAsia" w:hAnsi="宋体" w:cs="宋体"/>
                <w:sz w:val="21"/>
                <w:szCs w:val="21"/>
              </w:rPr>
              <w:t>（ ）小微企业投标且提供其它小型、微型企业产品的，请填写下表内容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top"/>
          </w:tcPr>
          <w:p>
            <w:pPr>
              <w:pStyle w:val="18"/>
              <w:snapToGrid w:val="0"/>
              <w:spacing w:before="120" w:beforeLines="0" w:after="120" w:afterLines="0" w:line="240" w:lineRule="auto"/>
              <w:jc w:val="center"/>
              <w:rPr>
                <w:rFonts w:hint="eastAsia" w:hAnsi="宋体" w:cs="宋体"/>
                <w:sz w:val="21"/>
                <w:szCs w:val="21"/>
              </w:rPr>
            </w:pPr>
          </w:p>
        </w:tc>
        <w:tc>
          <w:tcPr>
            <w:tcW w:w="2268" w:type="dxa"/>
            <w:noWrap w:val="0"/>
            <w:vAlign w:val="top"/>
          </w:tcPr>
          <w:p>
            <w:pPr>
              <w:pStyle w:val="18"/>
              <w:snapToGrid w:val="0"/>
              <w:spacing w:before="120" w:beforeLines="0" w:after="120" w:afterLines="0" w:line="240" w:lineRule="auto"/>
              <w:jc w:val="center"/>
              <w:rPr>
                <w:rFonts w:hint="eastAsia" w:hAnsi="宋体" w:cs="宋体"/>
                <w:sz w:val="21"/>
                <w:szCs w:val="21"/>
              </w:rPr>
            </w:pPr>
            <w:r>
              <w:rPr>
                <w:rFonts w:hint="eastAsia" w:hAnsi="宋体" w:cs="宋体"/>
                <w:sz w:val="21"/>
                <w:szCs w:val="21"/>
              </w:rPr>
              <w:t>产品名称（品牌、型号）</w:t>
            </w:r>
          </w:p>
        </w:tc>
        <w:tc>
          <w:tcPr>
            <w:tcW w:w="1706" w:type="dxa"/>
            <w:noWrap w:val="0"/>
            <w:vAlign w:val="top"/>
          </w:tcPr>
          <w:p>
            <w:pPr>
              <w:pStyle w:val="18"/>
              <w:snapToGrid w:val="0"/>
              <w:spacing w:before="120" w:beforeLines="0" w:after="120" w:afterLines="0" w:line="240" w:lineRule="auto"/>
              <w:jc w:val="center"/>
              <w:rPr>
                <w:rFonts w:hint="eastAsia" w:hAnsi="宋体" w:cs="宋体"/>
                <w:sz w:val="21"/>
                <w:szCs w:val="21"/>
              </w:rPr>
            </w:pPr>
            <w:r>
              <w:rPr>
                <w:rFonts w:hint="eastAsia" w:hAnsi="宋体" w:cs="宋体"/>
                <w:sz w:val="21"/>
                <w:szCs w:val="21"/>
              </w:rPr>
              <w:t>制造商</w:t>
            </w:r>
          </w:p>
        </w:tc>
        <w:tc>
          <w:tcPr>
            <w:tcW w:w="1706" w:type="dxa"/>
            <w:noWrap w:val="0"/>
            <w:vAlign w:val="top"/>
          </w:tcPr>
          <w:p>
            <w:pPr>
              <w:pStyle w:val="18"/>
              <w:snapToGrid w:val="0"/>
              <w:spacing w:before="120" w:beforeLines="0" w:after="120" w:afterLines="0" w:line="240" w:lineRule="auto"/>
              <w:jc w:val="center"/>
              <w:rPr>
                <w:rFonts w:hint="eastAsia" w:hAnsi="宋体" w:cs="宋体"/>
                <w:sz w:val="21"/>
                <w:szCs w:val="21"/>
              </w:rPr>
            </w:pPr>
            <w:r>
              <w:rPr>
                <w:rFonts w:hint="eastAsia" w:hAnsi="宋体" w:cs="宋体"/>
                <w:sz w:val="21"/>
                <w:szCs w:val="21"/>
              </w:rPr>
              <w:t>制造商企业类型</w:t>
            </w:r>
          </w:p>
        </w:tc>
        <w:tc>
          <w:tcPr>
            <w:tcW w:w="1706" w:type="dxa"/>
            <w:noWrap w:val="0"/>
            <w:vAlign w:val="top"/>
          </w:tcPr>
          <w:p>
            <w:pPr>
              <w:pStyle w:val="18"/>
              <w:snapToGrid w:val="0"/>
              <w:spacing w:before="120" w:beforeLines="0" w:after="120" w:afterLines="0" w:line="240" w:lineRule="auto"/>
              <w:jc w:val="center"/>
              <w:rPr>
                <w:rFonts w:hint="eastAsia" w:hAnsi="宋体" w:cs="宋体"/>
                <w:sz w:val="21"/>
                <w:szCs w:val="21"/>
              </w:rPr>
            </w:pPr>
            <w:r>
              <w:rPr>
                <w:rFonts w:hint="eastAsia" w:hAnsi="宋体" w:cs="宋体"/>
                <w:sz w:val="21"/>
                <w:szCs w:val="21"/>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top"/>
          </w:tcPr>
          <w:p>
            <w:pPr>
              <w:pStyle w:val="18"/>
              <w:snapToGrid w:val="0"/>
              <w:spacing w:before="120" w:beforeLines="0" w:after="120" w:afterLines="0" w:line="240" w:lineRule="auto"/>
              <w:jc w:val="center"/>
              <w:rPr>
                <w:rFonts w:hint="eastAsia" w:hAnsi="宋体" w:cs="宋体"/>
                <w:sz w:val="21"/>
                <w:szCs w:val="21"/>
              </w:rPr>
            </w:pPr>
          </w:p>
        </w:tc>
        <w:tc>
          <w:tcPr>
            <w:tcW w:w="2268" w:type="dxa"/>
            <w:noWrap w:val="0"/>
            <w:vAlign w:val="top"/>
          </w:tcPr>
          <w:p>
            <w:pPr>
              <w:pStyle w:val="18"/>
              <w:snapToGrid w:val="0"/>
              <w:spacing w:before="120" w:beforeLines="0" w:after="120" w:afterLines="0" w:line="240" w:lineRule="auto"/>
              <w:jc w:val="center"/>
              <w:rPr>
                <w:rFonts w:hint="eastAsia" w:hAnsi="宋体" w:cs="宋体"/>
                <w:sz w:val="21"/>
                <w:szCs w:val="21"/>
              </w:rPr>
            </w:pPr>
          </w:p>
        </w:tc>
        <w:tc>
          <w:tcPr>
            <w:tcW w:w="1706" w:type="dxa"/>
            <w:noWrap w:val="0"/>
            <w:vAlign w:val="top"/>
          </w:tcPr>
          <w:p>
            <w:pPr>
              <w:pStyle w:val="18"/>
              <w:snapToGrid w:val="0"/>
              <w:spacing w:before="120" w:beforeLines="0" w:after="120" w:afterLines="0" w:line="240" w:lineRule="auto"/>
              <w:jc w:val="center"/>
              <w:rPr>
                <w:rFonts w:hint="eastAsia" w:hAnsi="宋体" w:cs="宋体"/>
                <w:sz w:val="21"/>
                <w:szCs w:val="21"/>
              </w:rPr>
            </w:pPr>
          </w:p>
        </w:tc>
        <w:tc>
          <w:tcPr>
            <w:tcW w:w="1706" w:type="dxa"/>
            <w:noWrap w:val="0"/>
            <w:vAlign w:val="top"/>
          </w:tcPr>
          <w:p>
            <w:pPr>
              <w:pStyle w:val="18"/>
              <w:snapToGrid w:val="0"/>
              <w:spacing w:before="120" w:beforeLines="0" w:after="120" w:afterLines="0" w:line="240" w:lineRule="auto"/>
              <w:jc w:val="center"/>
              <w:rPr>
                <w:rFonts w:hint="eastAsia" w:hAnsi="宋体" w:cs="宋体"/>
                <w:sz w:val="21"/>
                <w:szCs w:val="21"/>
              </w:rPr>
            </w:pPr>
          </w:p>
        </w:tc>
        <w:tc>
          <w:tcPr>
            <w:tcW w:w="1706" w:type="dxa"/>
            <w:noWrap w:val="0"/>
            <w:vAlign w:val="top"/>
          </w:tcPr>
          <w:p>
            <w:pPr>
              <w:pStyle w:val="18"/>
              <w:snapToGrid w:val="0"/>
              <w:spacing w:before="120" w:beforeLines="0" w:after="120" w:afterLines="0" w:line="240" w:lineRule="auto"/>
              <w:jc w:val="center"/>
              <w:rPr>
                <w:rFonts w:hint="eastAsia"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top"/>
          </w:tcPr>
          <w:p>
            <w:pPr>
              <w:pStyle w:val="18"/>
              <w:snapToGrid w:val="0"/>
              <w:spacing w:before="120" w:beforeLines="0" w:after="120" w:afterLines="0" w:line="240" w:lineRule="auto"/>
              <w:jc w:val="center"/>
              <w:rPr>
                <w:rFonts w:hint="eastAsia" w:hAnsi="宋体" w:cs="宋体"/>
                <w:sz w:val="21"/>
                <w:szCs w:val="21"/>
              </w:rPr>
            </w:pPr>
          </w:p>
        </w:tc>
        <w:tc>
          <w:tcPr>
            <w:tcW w:w="2268" w:type="dxa"/>
            <w:noWrap w:val="0"/>
            <w:vAlign w:val="top"/>
          </w:tcPr>
          <w:p>
            <w:pPr>
              <w:pStyle w:val="18"/>
              <w:snapToGrid w:val="0"/>
              <w:spacing w:before="120" w:beforeLines="0" w:after="120" w:afterLines="0" w:line="240" w:lineRule="auto"/>
              <w:jc w:val="center"/>
              <w:rPr>
                <w:rFonts w:hint="eastAsia" w:hAnsi="宋体" w:cs="宋体"/>
                <w:sz w:val="21"/>
                <w:szCs w:val="21"/>
              </w:rPr>
            </w:pPr>
          </w:p>
        </w:tc>
        <w:tc>
          <w:tcPr>
            <w:tcW w:w="1706" w:type="dxa"/>
            <w:noWrap w:val="0"/>
            <w:vAlign w:val="top"/>
          </w:tcPr>
          <w:p>
            <w:pPr>
              <w:pStyle w:val="18"/>
              <w:snapToGrid w:val="0"/>
              <w:spacing w:before="120" w:beforeLines="0" w:after="120" w:afterLines="0" w:line="240" w:lineRule="auto"/>
              <w:jc w:val="center"/>
              <w:rPr>
                <w:rFonts w:hint="eastAsia" w:hAnsi="宋体" w:cs="宋体"/>
                <w:sz w:val="21"/>
                <w:szCs w:val="21"/>
              </w:rPr>
            </w:pPr>
          </w:p>
        </w:tc>
        <w:tc>
          <w:tcPr>
            <w:tcW w:w="1706" w:type="dxa"/>
            <w:noWrap w:val="0"/>
            <w:vAlign w:val="top"/>
          </w:tcPr>
          <w:p>
            <w:pPr>
              <w:pStyle w:val="18"/>
              <w:snapToGrid w:val="0"/>
              <w:spacing w:before="120" w:beforeLines="0" w:after="120" w:afterLines="0" w:line="240" w:lineRule="auto"/>
              <w:jc w:val="center"/>
              <w:rPr>
                <w:rFonts w:hint="eastAsia" w:hAnsi="宋体" w:cs="宋体"/>
                <w:sz w:val="21"/>
                <w:szCs w:val="21"/>
              </w:rPr>
            </w:pPr>
          </w:p>
        </w:tc>
        <w:tc>
          <w:tcPr>
            <w:tcW w:w="1706" w:type="dxa"/>
            <w:noWrap w:val="0"/>
            <w:vAlign w:val="top"/>
          </w:tcPr>
          <w:p>
            <w:pPr>
              <w:pStyle w:val="18"/>
              <w:snapToGrid w:val="0"/>
              <w:spacing w:before="120" w:beforeLines="0" w:after="120" w:afterLines="0" w:line="240" w:lineRule="auto"/>
              <w:jc w:val="center"/>
              <w:rPr>
                <w:rFonts w:hint="eastAsia"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top"/>
          </w:tcPr>
          <w:p>
            <w:pPr>
              <w:pStyle w:val="18"/>
              <w:snapToGrid w:val="0"/>
              <w:spacing w:before="120" w:beforeLines="0" w:after="120" w:afterLines="0" w:line="240" w:lineRule="auto"/>
              <w:jc w:val="center"/>
              <w:rPr>
                <w:rFonts w:hint="eastAsia" w:hAnsi="宋体" w:cs="宋体"/>
                <w:sz w:val="21"/>
                <w:szCs w:val="21"/>
              </w:rPr>
            </w:pPr>
          </w:p>
        </w:tc>
        <w:tc>
          <w:tcPr>
            <w:tcW w:w="2268" w:type="dxa"/>
            <w:noWrap w:val="0"/>
            <w:vAlign w:val="top"/>
          </w:tcPr>
          <w:p>
            <w:pPr>
              <w:pStyle w:val="18"/>
              <w:snapToGrid w:val="0"/>
              <w:spacing w:before="120" w:beforeLines="0" w:after="120" w:afterLines="0" w:line="240" w:lineRule="auto"/>
              <w:jc w:val="center"/>
              <w:rPr>
                <w:rFonts w:hint="eastAsia" w:hAnsi="宋体" w:cs="宋体"/>
                <w:sz w:val="21"/>
                <w:szCs w:val="21"/>
              </w:rPr>
            </w:pPr>
          </w:p>
        </w:tc>
        <w:tc>
          <w:tcPr>
            <w:tcW w:w="1706" w:type="dxa"/>
            <w:noWrap w:val="0"/>
            <w:vAlign w:val="top"/>
          </w:tcPr>
          <w:p>
            <w:pPr>
              <w:pStyle w:val="18"/>
              <w:snapToGrid w:val="0"/>
              <w:spacing w:before="120" w:beforeLines="0" w:after="120" w:afterLines="0" w:line="240" w:lineRule="auto"/>
              <w:jc w:val="center"/>
              <w:rPr>
                <w:rFonts w:hint="eastAsia" w:hAnsi="宋体" w:cs="宋体"/>
                <w:sz w:val="21"/>
                <w:szCs w:val="21"/>
              </w:rPr>
            </w:pPr>
          </w:p>
        </w:tc>
        <w:tc>
          <w:tcPr>
            <w:tcW w:w="1706" w:type="dxa"/>
            <w:noWrap w:val="0"/>
            <w:vAlign w:val="top"/>
          </w:tcPr>
          <w:p>
            <w:pPr>
              <w:pStyle w:val="18"/>
              <w:snapToGrid w:val="0"/>
              <w:spacing w:before="120" w:beforeLines="0" w:after="120" w:afterLines="0" w:line="240" w:lineRule="auto"/>
              <w:jc w:val="center"/>
              <w:rPr>
                <w:rFonts w:hint="eastAsia" w:hAnsi="宋体" w:cs="宋体"/>
                <w:sz w:val="21"/>
                <w:szCs w:val="21"/>
              </w:rPr>
            </w:pPr>
          </w:p>
        </w:tc>
        <w:tc>
          <w:tcPr>
            <w:tcW w:w="1706" w:type="dxa"/>
            <w:noWrap w:val="0"/>
            <w:vAlign w:val="top"/>
          </w:tcPr>
          <w:p>
            <w:pPr>
              <w:pStyle w:val="18"/>
              <w:snapToGrid w:val="0"/>
              <w:spacing w:before="120" w:beforeLines="0" w:after="120" w:afterLines="0" w:line="240" w:lineRule="auto"/>
              <w:jc w:val="center"/>
              <w:rPr>
                <w:rFonts w:hint="eastAsia"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Merge w:val="continue"/>
            <w:noWrap w:val="0"/>
            <w:vAlign w:val="top"/>
          </w:tcPr>
          <w:p>
            <w:pPr>
              <w:pStyle w:val="18"/>
              <w:snapToGrid w:val="0"/>
              <w:spacing w:before="120" w:beforeLines="0" w:after="120" w:afterLines="0" w:line="240" w:lineRule="auto"/>
              <w:jc w:val="center"/>
              <w:rPr>
                <w:rFonts w:hint="eastAsia" w:hAnsi="宋体" w:cs="宋体"/>
                <w:sz w:val="21"/>
                <w:szCs w:val="21"/>
              </w:rPr>
            </w:pPr>
          </w:p>
        </w:tc>
        <w:tc>
          <w:tcPr>
            <w:tcW w:w="5680" w:type="dxa"/>
            <w:gridSpan w:val="3"/>
            <w:noWrap w:val="0"/>
            <w:vAlign w:val="top"/>
          </w:tcPr>
          <w:p>
            <w:pPr>
              <w:pStyle w:val="18"/>
              <w:snapToGrid w:val="0"/>
              <w:spacing w:before="120" w:beforeLines="0" w:after="120" w:afterLines="0" w:line="240" w:lineRule="auto"/>
              <w:jc w:val="center"/>
              <w:rPr>
                <w:rFonts w:hint="eastAsia" w:hAnsi="宋体" w:cs="宋体"/>
                <w:sz w:val="21"/>
                <w:szCs w:val="21"/>
              </w:rPr>
            </w:pPr>
            <w:r>
              <w:rPr>
                <w:rFonts w:hint="eastAsia" w:hAnsi="宋体" w:cs="宋体"/>
                <w:sz w:val="21"/>
                <w:szCs w:val="21"/>
              </w:rPr>
              <w:t>小型、微型企业产品金额合计</w:t>
            </w:r>
          </w:p>
        </w:tc>
        <w:tc>
          <w:tcPr>
            <w:tcW w:w="1706" w:type="dxa"/>
            <w:noWrap w:val="0"/>
            <w:vAlign w:val="top"/>
          </w:tcPr>
          <w:p>
            <w:pPr>
              <w:pStyle w:val="18"/>
              <w:snapToGrid w:val="0"/>
              <w:spacing w:before="120" w:beforeLines="0" w:after="120" w:afterLines="0" w:line="240" w:lineRule="auto"/>
              <w:jc w:val="center"/>
              <w:rPr>
                <w:rFonts w:hint="eastAsia" w:hAnsi="宋体" w:cs="宋体"/>
                <w:sz w:val="21"/>
                <w:szCs w:val="21"/>
              </w:rPr>
            </w:pPr>
          </w:p>
        </w:tc>
      </w:tr>
    </w:tbl>
    <w:p>
      <w:pPr>
        <w:pStyle w:val="18"/>
        <w:snapToGrid w:val="0"/>
        <w:spacing w:before="120" w:beforeLines="0" w:after="120" w:afterLines="0" w:line="240" w:lineRule="auto"/>
        <w:rPr>
          <w:rFonts w:hint="eastAsia" w:hAnsi="宋体" w:cs="宋体"/>
          <w:sz w:val="21"/>
          <w:szCs w:val="21"/>
        </w:rPr>
      </w:pPr>
      <w:r>
        <w:rPr>
          <w:rFonts w:hint="eastAsia" w:hAnsi="宋体" w:cs="宋体"/>
          <w:sz w:val="21"/>
          <w:szCs w:val="21"/>
        </w:rPr>
        <w:t>填报要求：</w:t>
      </w:r>
    </w:p>
    <w:p>
      <w:pPr>
        <w:pStyle w:val="18"/>
        <w:numPr>
          <w:ilvl w:val="0"/>
          <w:numId w:val="24"/>
        </w:numPr>
        <w:snapToGrid w:val="0"/>
        <w:spacing w:before="120" w:beforeLines="0" w:after="120" w:afterLines="0" w:line="240" w:lineRule="auto"/>
        <w:rPr>
          <w:rFonts w:hint="eastAsia" w:hAnsi="宋体" w:cs="宋体"/>
          <w:sz w:val="21"/>
          <w:szCs w:val="21"/>
        </w:rPr>
      </w:pPr>
      <w:r>
        <w:rPr>
          <w:rFonts w:hint="eastAsia" w:hAnsi="宋体" w:cs="宋体"/>
          <w:sz w:val="21"/>
          <w:szCs w:val="21"/>
        </w:rPr>
        <w:t>本表的产品名称、规格型号和注册商标、金额与《报价明细表》一致。</w:t>
      </w:r>
    </w:p>
    <w:p>
      <w:pPr>
        <w:pStyle w:val="18"/>
        <w:numPr>
          <w:ilvl w:val="0"/>
          <w:numId w:val="24"/>
        </w:numPr>
        <w:snapToGrid w:val="0"/>
        <w:spacing w:before="120" w:beforeLines="0" w:after="120" w:afterLines="0" w:line="240" w:lineRule="auto"/>
        <w:rPr>
          <w:rFonts w:hint="eastAsia" w:hAnsi="宋体" w:cs="宋体"/>
          <w:b/>
          <w:sz w:val="21"/>
          <w:szCs w:val="21"/>
          <w:u w:val="single"/>
          <w:shd w:val="pct10" w:color="auto" w:fill="FFFFFF"/>
        </w:rPr>
      </w:pPr>
      <w:r>
        <w:rPr>
          <w:rFonts w:hint="eastAsia" w:hAnsi="宋体" w:cs="宋体"/>
          <w:b/>
          <w:sz w:val="21"/>
          <w:szCs w:val="21"/>
          <w:u w:val="single"/>
          <w:shd w:val="pct10" w:color="auto" w:fill="FFFFFF"/>
        </w:rPr>
        <w:t>报价明细表中产品制造商如为小型或微型企业的，需填写“制造商企业类型”栏，填写内容为“小型”或微型，同时提供该制造商为小型或微型企业的证明资料，否则不予认定。</w:t>
      </w:r>
    </w:p>
    <w:p>
      <w:pPr>
        <w:pStyle w:val="18"/>
        <w:numPr>
          <w:ilvl w:val="0"/>
          <w:numId w:val="24"/>
        </w:numPr>
        <w:snapToGrid w:val="0"/>
        <w:spacing w:before="120" w:beforeLines="0" w:after="120" w:afterLines="0" w:line="240" w:lineRule="auto"/>
        <w:rPr>
          <w:rFonts w:hint="eastAsia" w:hAnsi="宋体" w:cs="宋体"/>
          <w:b/>
          <w:sz w:val="21"/>
          <w:szCs w:val="21"/>
          <w:u w:val="single"/>
          <w:shd w:val="pct10" w:color="auto" w:fill="FFFFFF"/>
        </w:rPr>
      </w:pPr>
      <w:r>
        <w:rPr>
          <w:rFonts w:hint="eastAsia" w:hAnsi="宋体" w:cs="宋体"/>
          <w:sz w:val="21"/>
          <w:szCs w:val="21"/>
        </w:rPr>
        <w:t>小型、微型企业提供中型企业制造的货物的，视同为中型企业。</w:t>
      </w:r>
    </w:p>
    <w:p>
      <w:pPr>
        <w:rPr>
          <w:rFonts w:hint="eastAsia" w:ascii="宋体" w:hAnsi="宋体" w:cs="宋体"/>
        </w:rPr>
      </w:pPr>
    </w:p>
    <w:p>
      <w:pPr>
        <w:rPr>
          <w:rFonts w:hint="eastAsia" w:ascii="宋体" w:hAnsi="宋体" w:cs="宋体"/>
        </w:rPr>
      </w:pPr>
    </w:p>
    <w:p>
      <w:pPr>
        <w:pStyle w:val="18"/>
        <w:snapToGrid w:val="0"/>
        <w:spacing w:before="120" w:beforeLines="0" w:after="120" w:afterLines="0" w:line="360" w:lineRule="auto"/>
        <w:rPr>
          <w:rFonts w:hint="eastAsia" w:hAnsi="宋体" w:cs="宋体"/>
          <w:bCs/>
        </w:rPr>
      </w:pPr>
    </w:p>
    <w:p>
      <w:pPr>
        <w:pStyle w:val="18"/>
        <w:snapToGrid w:val="0"/>
        <w:spacing w:before="120" w:beforeLines="0" w:after="120" w:afterLines="0" w:line="240" w:lineRule="auto"/>
        <w:rPr>
          <w:rFonts w:hint="eastAsia" w:hAnsi="宋体" w:cs="宋体"/>
          <w:spacing w:val="20"/>
        </w:rPr>
      </w:pPr>
      <w:r>
        <w:rPr>
          <w:rFonts w:hint="eastAsia" w:hAnsi="宋体" w:cs="宋体"/>
        </w:rPr>
        <w:t>法定代表人或授权代表（签字或盖章）：</w:t>
      </w:r>
      <w:r>
        <w:rPr>
          <w:rFonts w:hint="eastAsia" w:hAnsi="宋体" w:cs="宋体"/>
          <w:spacing w:val="20"/>
        </w:rPr>
        <w:t xml:space="preserve">          投标人（盖章）： </w:t>
      </w:r>
    </w:p>
    <w:p>
      <w:pPr>
        <w:snapToGrid w:val="0"/>
        <w:spacing w:line="360" w:lineRule="auto"/>
        <w:jc w:val="center"/>
        <w:rPr>
          <w:rFonts w:hint="eastAsia" w:ascii="宋体" w:hAnsi="宋体" w:cs="宋体"/>
        </w:rPr>
      </w:pPr>
      <w:r>
        <w:rPr>
          <w:rFonts w:hint="eastAsia" w:ascii="宋体" w:hAnsi="宋体" w:cs="宋体"/>
        </w:rPr>
        <w:t xml:space="preserve">                                              </w:t>
      </w:r>
    </w:p>
    <w:p>
      <w:pPr>
        <w:snapToGrid w:val="0"/>
        <w:spacing w:line="360" w:lineRule="auto"/>
        <w:jc w:val="center"/>
        <w:rPr>
          <w:rFonts w:hint="eastAsia" w:ascii="宋体" w:hAnsi="宋体" w:cs="宋体"/>
        </w:rPr>
      </w:pPr>
      <w:r>
        <w:rPr>
          <w:rFonts w:hint="eastAsia" w:ascii="宋体" w:hAnsi="宋体" w:cs="宋体"/>
        </w:rPr>
        <w:t xml:space="preserve">                                        日期:_____年___月___日</w:t>
      </w:r>
    </w:p>
    <w:p>
      <w:pPr>
        <w:pStyle w:val="75"/>
        <w:rPr>
          <w:rFonts w:hint="eastAsia" w:ascii="宋体" w:hAnsi="宋体" w:cs="宋体"/>
          <w:lang w:eastAsia="zh-CN"/>
        </w:rPr>
      </w:pPr>
    </w:p>
    <w:p>
      <w:pPr>
        <w:pStyle w:val="75"/>
        <w:rPr>
          <w:rFonts w:hint="eastAsia" w:ascii="宋体" w:hAnsi="宋体" w:cs="宋体"/>
          <w:lang w:eastAsia="zh-CN"/>
        </w:rPr>
      </w:pPr>
    </w:p>
    <w:p>
      <w:pPr>
        <w:pStyle w:val="75"/>
        <w:rPr>
          <w:rFonts w:hint="eastAsia" w:ascii="宋体" w:hAnsi="宋体" w:cs="宋体"/>
          <w:lang w:eastAsia="zh-CN"/>
        </w:rPr>
      </w:pPr>
    </w:p>
    <w:p>
      <w:pPr>
        <w:pStyle w:val="75"/>
        <w:rPr>
          <w:rFonts w:hint="eastAsia" w:ascii="宋体" w:hAnsi="宋体" w:cs="宋体"/>
          <w:lang w:eastAsia="zh-CN"/>
        </w:rPr>
      </w:pPr>
    </w:p>
    <w:p>
      <w:pPr>
        <w:pStyle w:val="75"/>
        <w:rPr>
          <w:rFonts w:hint="eastAsia" w:ascii="宋体" w:hAnsi="宋体" w:cs="宋体"/>
          <w:lang w:eastAsia="zh-CN"/>
        </w:rPr>
      </w:pPr>
    </w:p>
    <w:p>
      <w:pPr>
        <w:pStyle w:val="75"/>
        <w:rPr>
          <w:rFonts w:hint="eastAsia" w:ascii="宋体" w:hAnsi="宋体" w:cs="宋体"/>
          <w:lang w:eastAsia="zh-CN"/>
        </w:rPr>
      </w:pPr>
    </w:p>
    <w:p>
      <w:pPr>
        <w:spacing w:line="588" w:lineRule="exact"/>
        <w:ind w:firstLine="1222" w:firstLineChars="350"/>
        <w:jc w:val="center"/>
        <w:rPr>
          <w:rFonts w:hint="eastAsia" w:ascii="宋体" w:hAnsi="宋体" w:cs="宋体"/>
          <w:b/>
          <w:spacing w:val="14"/>
          <w:kern w:val="24"/>
          <w:sz w:val="32"/>
          <w:szCs w:val="20"/>
        </w:rPr>
      </w:pPr>
      <w:bookmarkStart w:id="390" w:name="OLE_LINK14"/>
      <w:bookmarkStart w:id="391" w:name="OLE_LINK13"/>
    </w:p>
    <w:p>
      <w:pPr>
        <w:spacing w:line="588" w:lineRule="exact"/>
        <w:ind w:firstLine="1222" w:firstLineChars="350"/>
        <w:jc w:val="center"/>
        <w:rPr>
          <w:rFonts w:hint="eastAsia" w:ascii="宋体" w:hAnsi="宋体" w:cs="宋体"/>
          <w:b/>
          <w:spacing w:val="14"/>
          <w:kern w:val="24"/>
          <w:sz w:val="32"/>
          <w:szCs w:val="20"/>
        </w:rPr>
      </w:pPr>
    </w:p>
    <w:p>
      <w:pPr>
        <w:snapToGrid w:val="0"/>
        <w:spacing w:before="50" w:after="50"/>
        <w:rPr>
          <w:rFonts w:hint="eastAsia" w:ascii="宋体" w:hAnsi="宋体" w:cs="宋体"/>
          <w:b/>
          <w:sz w:val="22"/>
          <w:szCs w:val="22"/>
        </w:rPr>
      </w:pPr>
    </w:p>
    <w:p>
      <w:pPr>
        <w:snapToGrid w:val="0"/>
        <w:spacing w:before="50" w:after="50"/>
        <w:rPr>
          <w:rFonts w:ascii="宋体" w:hAnsi="宋体" w:cs="宋体"/>
          <w:b/>
          <w:sz w:val="22"/>
          <w:szCs w:val="22"/>
        </w:rPr>
      </w:pPr>
      <w:r>
        <w:rPr>
          <w:rFonts w:hint="eastAsia" w:ascii="宋体" w:hAnsi="宋体" w:cs="宋体"/>
          <w:b/>
          <w:sz w:val="22"/>
          <w:szCs w:val="22"/>
        </w:rPr>
        <w:t>附件13：</w:t>
      </w:r>
    </w:p>
    <w:p>
      <w:pPr>
        <w:spacing w:line="588" w:lineRule="exact"/>
        <w:ind w:firstLine="1222" w:firstLineChars="350"/>
        <w:jc w:val="center"/>
        <w:rPr>
          <w:rFonts w:hint="eastAsia" w:ascii="宋体" w:hAnsi="宋体" w:cs="宋体"/>
          <w:spacing w:val="6"/>
          <w:sz w:val="24"/>
        </w:rPr>
      </w:pPr>
      <w:r>
        <w:rPr>
          <w:rFonts w:hint="eastAsia" w:ascii="宋体" w:hAnsi="宋体" w:cs="宋体"/>
          <w:b/>
          <w:spacing w:val="14"/>
          <w:kern w:val="24"/>
          <w:sz w:val="32"/>
          <w:szCs w:val="20"/>
        </w:rPr>
        <w:t>残疾人福利性单位声明函</w:t>
      </w:r>
    </w:p>
    <w:bookmarkEnd w:id="390"/>
    <w:bookmarkEnd w:id="391"/>
    <w:p>
      <w:pPr>
        <w:spacing w:line="588" w:lineRule="exact"/>
        <w:ind w:firstLine="882" w:firstLineChars="350"/>
        <w:rPr>
          <w:rFonts w:hint="eastAsia" w:ascii="宋体" w:hAnsi="宋体" w:cs="宋体"/>
          <w:spacing w:val="6"/>
          <w:sz w:val="24"/>
        </w:rPr>
      </w:pPr>
    </w:p>
    <w:p>
      <w:pPr>
        <w:spacing w:line="588" w:lineRule="exact"/>
        <w:ind w:firstLine="882" w:firstLineChars="350"/>
        <w:rPr>
          <w:rFonts w:hint="eastAsia"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882" w:firstLineChars="350"/>
        <w:rPr>
          <w:rFonts w:hint="eastAsia" w:ascii="宋体" w:hAnsi="宋体" w:cs="宋体"/>
          <w:spacing w:val="6"/>
          <w:sz w:val="24"/>
        </w:rPr>
      </w:pPr>
      <w:r>
        <w:rPr>
          <w:rFonts w:hint="eastAsia" w:ascii="宋体" w:hAnsi="宋体" w:cs="宋体"/>
          <w:spacing w:val="6"/>
          <w:sz w:val="24"/>
        </w:rPr>
        <w:t>本单位对上述声明的真实性负责。如有虚假，将依法承担相应责任。</w:t>
      </w:r>
    </w:p>
    <w:p>
      <w:pPr>
        <w:spacing w:line="588" w:lineRule="exact"/>
        <w:ind w:firstLine="882" w:firstLineChars="350"/>
        <w:rPr>
          <w:rFonts w:hint="eastAsia" w:ascii="宋体" w:hAnsi="宋体" w:cs="宋体"/>
          <w:spacing w:val="6"/>
          <w:sz w:val="24"/>
        </w:rPr>
      </w:pPr>
    </w:p>
    <w:p>
      <w:pPr>
        <w:spacing w:line="588" w:lineRule="exact"/>
        <w:ind w:firstLine="882" w:firstLineChars="350"/>
        <w:rPr>
          <w:rFonts w:hint="eastAsia" w:ascii="宋体" w:hAnsi="宋体" w:cs="宋体"/>
          <w:spacing w:val="6"/>
          <w:sz w:val="24"/>
        </w:rPr>
      </w:pPr>
    </w:p>
    <w:p>
      <w:pPr>
        <w:spacing w:line="588" w:lineRule="exact"/>
        <w:ind w:firstLine="882" w:firstLineChars="350"/>
        <w:rPr>
          <w:rFonts w:hint="eastAsia" w:ascii="宋体" w:hAnsi="宋体" w:cs="宋体"/>
          <w:spacing w:val="6"/>
          <w:sz w:val="24"/>
        </w:rPr>
      </w:pPr>
      <w:r>
        <w:rPr>
          <w:rFonts w:hint="eastAsia" w:ascii="宋体" w:hAnsi="宋体" w:cs="宋体"/>
          <w:spacing w:val="6"/>
          <w:sz w:val="24"/>
        </w:rPr>
        <w:t xml:space="preserve">                          投标供应商全称（盖单位公章）：</w:t>
      </w:r>
    </w:p>
    <w:p>
      <w:pPr>
        <w:spacing w:line="588" w:lineRule="exact"/>
        <w:ind w:firstLine="882" w:firstLineChars="350"/>
        <w:rPr>
          <w:rFonts w:hint="eastAsia" w:ascii="宋体" w:hAnsi="宋体" w:cs="宋体"/>
          <w:spacing w:val="6"/>
          <w:sz w:val="24"/>
        </w:rPr>
      </w:pPr>
      <w:r>
        <w:rPr>
          <w:rFonts w:hint="eastAsia" w:ascii="宋体" w:hAnsi="宋体" w:cs="宋体"/>
          <w:spacing w:val="6"/>
          <w:sz w:val="24"/>
        </w:rPr>
        <w:t xml:space="preserve">                               日  期：</w:t>
      </w:r>
    </w:p>
    <w:p>
      <w:pPr>
        <w:pStyle w:val="75"/>
        <w:rPr>
          <w:rFonts w:hint="eastAsia" w:ascii="宋体" w:hAnsi="宋体" w:cs="宋体"/>
        </w:rPr>
      </w:pPr>
    </w:p>
    <w:p>
      <w:pPr>
        <w:snapToGrid w:val="0"/>
        <w:spacing w:before="50"/>
        <w:jc w:val="left"/>
        <w:rPr>
          <w:rFonts w:hint="eastAsia" w:ascii="宋体" w:hAnsi="宋体" w:cs="宋体"/>
          <w:b/>
        </w:rPr>
      </w:pPr>
    </w:p>
    <w:p>
      <w:pPr>
        <w:snapToGrid w:val="0"/>
        <w:spacing w:before="50"/>
        <w:jc w:val="left"/>
        <w:rPr>
          <w:rFonts w:hint="eastAsia" w:ascii="宋体" w:hAnsi="宋体"/>
          <w:b/>
        </w:rPr>
      </w:pPr>
    </w:p>
    <w:sectPr>
      <w:headerReference r:id="rId5" w:type="default"/>
      <w:footerReference r:id="rId6" w:type="default"/>
      <w:footerReference r:id="rId7" w:type="even"/>
      <w:pgSz w:w="11907" w:h="16840"/>
      <w:pgMar w:top="1361" w:right="1247" w:bottom="1247" w:left="1304"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1" w:usb1="080E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1" w:usb1="080E0000" w:usb2="00000010" w:usb3="00000000" w:csb0="00040000" w:csb1="00000000"/>
  </w:font>
  <w:font w:name="Arial Unicode MS">
    <w:altName w:val="宋体"/>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E0002AFF" w:usb1="C0007843" w:usb2="00000009" w:usb3="00000000" w:csb0="000001FF" w:csb1="00000000"/>
  </w:font>
  <w:font w:name="ˎ̥">
    <w:altName w:val="Times New Roman"/>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30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149</w:t>
                          </w:r>
                          <w:r>
                            <w:rPr>
                              <w:rFonts w:hint="eastAsia"/>
                            </w:rPr>
                            <w:fldChar w:fldCharType="end"/>
                          </w:r>
                        </w:p>
                      </w:txbxContent>
                    </wps:txbx>
                    <wps:bodyPr wrap="none" lIns="0" tIns="0" rIns="0" bIns="0" upright="0">
                      <a:spAutoFit/>
                    </wps:bodyPr>
                  </wps:wsp>
                </a:graphicData>
              </a:graphic>
            </wp:anchor>
          </w:drawing>
        </mc:Choice>
        <mc:Fallback>
          <w:pict>
            <v:shape id="文本框 307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 AQAADwAAAGRycy9kb3ducmV2LnhtbE2PQUsDMRCF70L/Q5iCl9ImLSLrdrMFhd4UbCt4TTfj7tbN ZEnSbfXXO5WCXoZ5vOHN94rV2XViwBBbTxrmMwUCqfK2pVrD2249zUDEZMiazhNq+MIIq3J0U5jc +hNtcNimWnAIxdxoaFLqcylj1aAzceZ7JPY+fHAmsQy1tMGcONx1cqHUvXSmJf7QmB6fGqw+t0en 4f35G3GTPU4mw93hENT64bWSL1rfjudqCSLhOf0dwwWf0aFkpr0/ko2i08BF0u9kb5FlLPfXRZaF /E9f/gBQSwMEFAAAAAgAh07iQKX+pszUAQAApwMAAA4AAABkcnMvZTJvRG9jLnhtbK1TzY7TMBC+ I+07WL5vk+1qIURNV6BqV0gIkBYewHXsxpL/5HGb9AXgDThx4c5z9TkYO0kXlsseuDgznvE3830z Wd0ORpODCKCcbejVoqREWO5aZXcN/fL57rKiBCKzLdPOioYeBdDb9cWLVe9rsXSd060IBEEs1L1v aBejr4sCeCcMg4XzwmJQumBYRDfsijawHtGNLpZl+bLoXWh9cFwA4O1mDNIJMTwH0EmpuNg4vjfC xhE1CM0iUoJOeaDr3K2UgsePUoKIRDcUmcZ8YhG0t+ks1itW7wLzneJTC+w5LTzhZJiyWPQMtWGR kX1Q/0AZxYMDJ+OCO1OMRLIiyOKqfKLNQ8e8yFxQavBn0eH/wfIPh0+BqLahy9eUWGZw4qfv304/ fp1+fiXX5aubJFHvocbMB4+5cXjrBlyc+R7wMjEfZDDpi5wIxlHg41lgMUTC06NqWVUlhjjGZgfx i8fnPkC8F86QZDQ04ASzsOzwHuKYOqekatbdKa3zFLUlPaLeVNjzXyFE1xaLJBZjt8mKw3aYqG1d e0RmPa5BQy1uPSX6nUWV08bMRpiN7WzsfVC7Lq9Uqgf+zT5iO7nLVGGEnQrj/DLPadfSgvzp56zH /2v9G1BLAwQKAAAAAACHTuJAAAAAAAAAAAAAAAAABgAAAF9yZWxzL1BLAwQUAAAACACHTuJAihRm PNEAAACUAQAACwAAAF9yZWxzLy5yZWxzpZDBasMwDIbvg72D0X1xmsMYo04vo9Br6R7A2IpjGltG Mtn69vMOg2X0tqN+oe8T//7wmRa1IkukbGDX9aAwO/IxBwPvl+PTCyipNnu7UEYDNxQ4jI8P+zMu trYjmWMR1ShZDMy1lletxc2YrHRUMLfNRJxsbSMHXay72oB66Ptnzb8ZMG6Y6uQN8MkPoC630sx/ 2Ck6JqGpdo6SpmmK7h5VB7Zlju7INuEbuUazHLAa8CwaB2pZ134EfV+/+6fe00c+47rVfoeM649X b7ocvwBQSwMEFAAAAAgAh07iQH7m5SD3AAAA4QEAABMAAABbQ29udGVudF9UeXBlc10ueG1slZFB TsMwEEX3SNzB8hYlTrtACCXpgrRLQKgcYGRPEotkbHlMaG+Pk7YbRJFY2jP/vye73BzGQUwY2Dqq 5CovpEDSzljqKvm+32UPUnAEMjA4wkoekeWmvr0p90ePLFKauJJ9jP5RKdY9jsC580hp0rowQkzH 0CkP+gM6VOuiuFfaUUSKWZw7ZF022MLnEMX2kK5PJgEHluLptDizKgneD1ZDTKZqIvODkp0JeUou O9xbz3dJQ6pfCfPkOuCce0lPE6xB8QohPsOYNJQJrIz7ooBT/nfJbDly5trWasybwE2KveF0sbrW jmvXOP3f8u2SunSr5YPqb1BLAQIUABQAAAAIAIdO4kB+5uUg9wAAAOEBAAATAAAAAAAAAAEAIAAA AEAEAABbQ29udGVudF9UeXBlc10ueG1sUEsBAhQACgAAAAAAh07iQAAAAAAAAAAAAAAAAAYAAAAA AAAAAAAQAAAAIgMAAF9yZWxzL1BLAQIUABQAAAAIAIdO4kCKFGY80QAAAJQBAAALAAAAAAAAAAEA IAAAAEYDAABfcmVscy8ucmVsc1BLAQIUAAoAAAAAAIdO4kAAAAAAAAAAAAAAAAAEAAAAAAAAAAAA EAAAAAAAAABkcnMvUEsBAhQAFAAAAAgAh07iQGhpgkvTAAAABQEAAA8AAAAAAAAAAQAgAAAAIgAA AGRycy9kb3ducmV2LnhtbFBLAQIUABQAAAAIAIdO4kCl/qbM1AEAAKcDAAAOAAAAAAAAAAEAIAAA ACIBAABkcnMvZTJvRG9jLnhtbFBLBQYAAAAABgAGAFkBAABoBQAAAAA= ">
              <v:fill on="f" focussize="0,0"/>
              <v:stroke on="f" weight="1.25pt"/>
              <v:imagedata o:title=""/>
              <o:lock v:ext="edit" aspectratio="f"/>
              <v:textbox inset="0mm,0mm,0mm,0mm" style="mso-fit-shape-to-text:t;">
                <w:txbxContent>
                  <w:p>
                    <w:pPr>
                      <w:pStyle w:val="22"/>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rPr>
                      <w:t>149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30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2"/>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rPr>
                            <w:t>184</w:t>
                          </w:r>
                          <w:r>
                            <w:rPr>
                              <w:rFonts w:hint="eastAsia"/>
                              <w:lang w:eastAsia="zh-CN"/>
                            </w:rPr>
                            <w:fldChar w:fldCharType="end"/>
                          </w:r>
                        </w:p>
                      </w:txbxContent>
                    </wps:txbx>
                    <wps:bodyPr wrap="none" lIns="0" tIns="0" rIns="0" bIns="0" upright="0">
                      <a:spAutoFit/>
                    </wps:bodyPr>
                  </wps:wsp>
                </a:graphicData>
              </a:graphic>
            </wp:anchor>
          </w:drawing>
        </mc:Choice>
        <mc:Fallback>
          <w:pict>
            <v:shape id="文本框 307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 AQAADwAAAGRycy9kb3ducmV2LnhtbE2PQUsDMRCF70L/Q5iCl9ImLSLrdrMFhd4UbCt4TTfj7tbN ZEnSbfXXO5WCXoZ5vOHN94rV2XViwBBbTxrmMwUCqfK2pVrD2249zUDEZMiazhNq+MIIq3J0U5jc +hNtcNimWnAIxdxoaFLqcylj1aAzceZ7JPY+fHAmsQy1tMGcONx1cqHUvXSmJf7QmB6fGqw+t0en 4f35G3GTPU4mw93hENT64bWSL1rfjudqCSLhOf0dwwWf0aFkpr0/ko2i08BF0u9kb5FlLPfXRZaF /E9f/gBQSwMEFAAAAAgAh07iQKdVO2PWAQAApwMAAA4AAABkcnMvZTJvRG9jLnhtbK1TS27bMBDd F+gdCO5jKU7TCILloIWRokDRFkhzAJoiLQL8gUNb8gXaG3TVTfc9l8/RISU5QbrJohtqhjN8M+/N aHU7GE0OIoBytqGXi5ISYblrld019OHb3UVFCURmW6adFQ09CqC369evVr2vxdJ1TrciEASxUPe+ oV2Mvi4K4J0wDBbOC4tB6YJhEd2wK9rAekQ3uliW5duid6H1wXEBgLebMUgnxPASQCel4mLj+N4I G0fUIDSLSAk65YGuc7dSCh6/SAkiEt1QZBrziUXQ3qazWK9YvQvMd4pPLbCXtPCMk2HKYtEz1IZF RvZB/QNlFA8OnIwL7kwxEsmKIIvL8pk29x3zInNBqcGfRYf/B8s/H74GotqGLnHulhmc+Onnj9Ov P6ff38lVefMmSdR7qDHz3mNuHN67ARdnvge8TMwHGUz6IieCcRT4eBZYDJHw9KhaVlWJIY6x2UH8 4vG5DxA/CGdIMhoacIJZWHb4BHFMnVNSNevulNZ5itqSHlGvq5vr/OIcQnRtsUhiMXabrDhsh4na 1rVHZNbjGjTU4tZToj9aVDltzGyE2djOxt4HtevySqVWwL/bR2wnd5kqjLBTYZxf5jntWlqQp37O evy/1n8BUEsDBAoAAAAAAIdO4kAAAAAAAAAAAAAAAAAGAAAAX3JlbHMvUEsDBBQAAAAIAIdO4kCK FGY80QAAAJQBAAALAAAAX3JlbHMvLnJlbHOlkMFqwzAMhu+DvYPRfXGawxijTi+j0GvpHsDYimMa W0Yy2fr28w6DZfS2o36h7xP//vCZFrUiS6RsYNf1oDA78jEHA++X49MLKKk2e7tQRgM3FDiMjw/7 My62tiOZYxHVKFkMzLWWV63FzZisdFQwt81EnGxtIwddrLvagHro+2fNvxkwbpjq5A3wyQ+gLrfS zH/YKTomoal2jpKmaYruHlUHtmWO7sg24Ru5RrMcsBrwLBoHalnXfgR9X7/7p97TRz7jutV+h4zr j1dvuhy/AFBLAwQUAAAACACHTuJAfublIPcAAADhAQAAEwAAAFtDb250ZW50X1R5cGVzXS54bWyV kUFOwzAQRfdI3MHyFiVOu0AIJemCtEtAqBxgZE8Si2RseUxob4+TthtEkVjaM/+/J7vcHMZBTBjY OqrkKi+kQNLOWOoq+b7fZQ9ScAQyMDjCSh6R5aa+vSn3R48sUpq4kn2M/lEp1j2OwLnzSGnSujBC TMfQKQ/6AzpU66K4V9pRRIpZnDtkXTbYwucQxfaQrk8mAQeW4um0OLMqCd4PVkNMpmoi84OSnQl5 Si473FvPd0lDql8J8+Q64Jx7SU8TrEHxCiE+w5g0lAmsjPuigFP+d8lsOXLm2tZqzJvATYq94XSx utaOa9c4/d/y7ZK6dKvlg+pvUEsBAhQAFAAAAAgAh07iQH7m5SD3AAAA4QEAABMAAAAAAAAAAQAg AAAAQgQAAFtDb250ZW50X1R5cGVzXS54bWxQSwECFAAKAAAAAACHTuJAAAAAAAAAAAAAAAAABgAA AAAAAAAAABAAAAAkAwAAX3JlbHMvUEsBAhQAFAAAAAgAh07iQIoUZjzRAAAAlAEAAAsAAAAAAAAA AQAgAAAASAMAAF9yZWxzLy5yZWxzUEsBAhQACgAAAAAAh07iQAAAAAAAAAAAAAAAAAQAAAAAAAAA AAAQAAAAAAAAAGRycy9QSwECFAAUAAAACACHTuJAaGmCS9MAAAAFAQAADwAAAAAAAAABACAAAAAi AAAAZHJzL2Rvd25yZXYueG1sUEsBAhQAFAAAAAgAh07iQKdVO2PWAQAApwMAAA4AAAAAAAAAAQAg AAAAIgEAAGRycy9lMm9Eb2MueG1sUEsFBgAAAAAGAAYAWQEAAGoFAAAAAA== ">
              <v:fill on="f" focussize="0,0"/>
              <v:stroke on="f" weight="1.25pt"/>
              <v:imagedata o:title=""/>
              <o:lock v:ext="edit" aspectratio="f"/>
              <v:textbox inset="0mm,0mm,0mm,0mm" style="mso-fit-shape-to-text:t;">
                <w:txbxContent>
                  <w:p>
                    <w:pPr>
                      <w:pStyle w:val="22"/>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rPr>
                      <w:t>184</w:t>
                    </w:r>
                    <w:r>
                      <w:rPr>
                        <w:rFonts w:hint="eastAsia"/>
                        <w:lang w:eastAsia="zh-CN"/>
                      </w:rPr>
                      <w:fldChar w:fldCharType="end"/>
                    </w:r>
                  </w:p>
                </w:txbxContent>
              </v:textbox>
            </v:shape>
          </w:pict>
        </mc:Fallback>
      </mc:AlternateContent>
    </w:r>
    <w:r>
      <w:rPr>
        <w:rFonts w:hint="eastAsia"/>
        <w:kern w:val="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41"/>
      </w:rPr>
    </w:pPr>
    <w:r>
      <w:fldChar w:fldCharType="begin"/>
    </w:r>
    <w:r>
      <w:rPr>
        <w:rStyle w:val="41"/>
      </w:rPr>
      <w:instrText xml:space="preserve">PAGE  </w:instrText>
    </w:r>
    <w:r>
      <w:fldChar w:fldCharType="separate"/>
    </w:r>
    <w:r>
      <w:rPr>
        <w:rStyle w:val="41"/>
      </w:rPr>
      <w:t>1</w:t>
    </w:r>
    <w:r>
      <w:fldChar w:fldCharType="end"/>
    </w:r>
  </w:p>
  <w:p>
    <w:pPr>
      <w:pStyle w:val="2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rFonts w:hint="eastAsia"/>
        <w:b/>
        <w:color w:val="808080"/>
        <w:w w:val="66"/>
        <w:sz w:val="1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0130DA"/>
    <w:multiLevelType w:val="multilevel"/>
    <w:tmpl w:val="A10130D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
    <w:nsid w:val="A28588EB"/>
    <w:multiLevelType w:val="multilevel"/>
    <w:tmpl w:val="A28588EB"/>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2">
    <w:nsid w:val="B49A88BD"/>
    <w:multiLevelType w:val="multilevel"/>
    <w:tmpl w:val="B49A88BD"/>
    <w:lvl w:ilvl="0" w:tentative="0">
      <w:start w:val="1"/>
      <w:numFmt w:val="decimal"/>
      <w:lvlText w:val="%1)"/>
      <w:lvlJc w:val="left"/>
      <w:pPr>
        <w:tabs>
          <w:tab w:val="left" w:pos="656"/>
        </w:tabs>
        <w:ind w:left="656" w:hanging="420"/>
      </w:pPr>
      <w:rPr>
        <w:rFonts w:hint="default" w:ascii="Times New Roman" w:hAnsi="Times New Roman" w:cs="Times New Roman"/>
      </w:rPr>
    </w:lvl>
    <w:lvl w:ilvl="1" w:tentative="0">
      <w:start w:val="1"/>
      <w:numFmt w:val="bullet"/>
      <w:lvlText w:val=""/>
      <w:lvlJc w:val="left"/>
      <w:pPr>
        <w:tabs>
          <w:tab w:val="left" w:pos="1076"/>
        </w:tabs>
        <w:ind w:left="1076" w:hanging="420"/>
      </w:pPr>
      <w:rPr>
        <w:rFonts w:hint="default" w:ascii="Wingdings" w:hAnsi="Wingdings" w:cs="Wingdings"/>
      </w:rPr>
    </w:lvl>
    <w:lvl w:ilvl="2" w:tentative="0">
      <w:start w:val="1"/>
      <w:numFmt w:val="lowerRoman"/>
      <w:lvlText w:val="%3."/>
      <w:lvlJc w:val="right"/>
      <w:pPr>
        <w:tabs>
          <w:tab w:val="left" w:pos="1496"/>
        </w:tabs>
        <w:ind w:left="1496" w:hanging="420"/>
      </w:pPr>
      <w:rPr>
        <w:rFonts w:hint="default" w:ascii="Times New Roman" w:hAnsi="Times New Roman" w:cs="Times New Roman"/>
      </w:rPr>
    </w:lvl>
    <w:lvl w:ilvl="3" w:tentative="0">
      <w:start w:val="1"/>
      <w:numFmt w:val="decimal"/>
      <w:lvlText w:val="%4."/>
      <w:lvlJc w:val="left"/>
      <w:pPr>
        <w:tabs>
          <w:tab w:val="left" w:pos="1916"/>
        </w:tabs>
        <w:ind w:left="1916" w:hanging="420"/>
      </w:pPr>
      <w:rPr>
        <w:rFonts w:hint="default" w:ascii="Times New Roman" w:hAnsi="Times New Roman" w:cs="Times New Roman"/>
      </w:rPr>
    </w:lvl>
    <w:lvl w:ilvl="4" w:tentative="0">
      <w:start w:val="1"/>
      <w:numFmt w:val="lowerLetter"/>
      <w:lvlText w:val="%5)"/>
      <w:lvlJc w:val="left"/>
      <w:pPr>
        <w:tabs>
          <w:tab w:val="left" w:pos="2336"/>
        </w:tabs>
        <w:ind w:left="2336" w:hanging="420"/>
      </w:pPr>
      <w:rPr>
        <w:rFonts w:hint="default" w:ascii="Times New Roman" w:hAnsi="Times New Roman" w:cs="Times New Roman"/>
      </w:rPr>
    </w:lvl>
    <w:lvl w:ilvl="5" w:tentative="0">
      <w:start w:val="1"/>
      <w:numFmt w:val="lowerRoman"/>
      <w:lvlText w:val="%6."/>
      <w:lvlJc w:val="right"/>
      <w:pPr>
        <w:tabs>
          <w:tab w:val="left" w:pos="2756"/>
        </w:tabs>
        <w:ind w:left="2756" w:hanging="420"/>
      </w:pPr>
      <w:rPr>
        <w:rFonts w:hint="default" w:ascii="Times New Roman" w:hAnsi="Times New Roman" w:cs="Times New Roman"/>
      </w:rPr>
    </w:lvl>
    <w:lvl w:ilvl="6" w:tentative="0">
      <w:start w:val="1"/>
      <w:numFmt w:val="decimal"/>
      <w:lvlText w:val="%7."/>
      <w:lvlJc w:val="left"/>
      <w:pPr>
        <w:tabs>
          <w:tab w:val="left" w:pos="3176"/>
        </w:tabs>
        <w:ind w:left="3176" w:hanging="420"/>
      </w:pPr>
      <w:rPr>
        <w:rFonts w:hint="default" w:ascii="Times New Roman" w:hAnsi="Times New Roman" w:cs="Times New Roman"/>
      </w:rPr>
    </w:lvl>
    <w:lvl w:ilvl="7" w:tentative="0">
      <w:start w:val="1"/>
      <w:numFmt w:val="lowerLetter"/>
      <w:lvlText w:val="%8)"/>
      <w:lvlJc w:val="left"/>
      <w:pPr>
        <w:tabs>
          <w:tab w:val="left" w:pos="3596"/>
        </w:tabs>
        <w:ind w:left="3596" w:hanging="420"/>
      </w:pPr>
      <w:rPr>
        <w:rFonts w:hint="default" w:ascii="Times New Roman" w:hAnsi="Times New Roman" w:cs="Times New Roman"/>
      </w:rPr>
    </w:lvl>
    <w:lvl w:ilvl="8" w:tentative="0">
      <w:start w:val="1"/>
      <w:numFmt w:val="lowerRoman"/>
      <w:lvlText w:val="%9."/>
      <w:lvlJc w:val="right"/>
      <w:pPr>
        <w:tabs>
          <w:tab w:val="left" w:pos="4016"/>
        </w:tabs>
        <w:ind w:left="4016" w:hanging="420"/>
      </w:pPr>
      <w:rPr>
        <w:rFonts w:hint="default" w:ascii="Times New Roman" w:hAnsi="Times New Roman" w:cs="Times New Roman"/>
      </w:rPr>
    </w:lvl>
  </w:abstractNum>
  <w:abstractNum w:abstractNumId="3">
    <w:nsid w:val="B6CC1A06"/>
    <w:multiLevelType w:val="multilevel"/>
    <w:tmpl w:val="B6CC1A06"/>
    <w:lvl w:ilvl="0" w:tentative="0">
      <w:start w:val="1"/>
      <w:numFmt w:val="japaneseCounting"/>
      <w:lvlText w:val="%1、"/>
      <w:lvlJc w:val="left"/>
      <w:pPr>
        <w:tabs>
          <w:tab w:val="left" w:pos="0"/>
        </w:tabs>
        <w:ind w:left="1282" w:hanging="720"/>
      </w:pPr>
      <w:rPr>
        <w:rFonts w:hint="default" w:ascii="Times New Roman" w:hAnsi="Times New Roman" w:cs="Times New Roman"/>
      </w:rPr>
    </w:lvl>
    <w:lvl w:ilvl="1" w:tentative="0">
      <w:start w:val="1"/>
      <w:numFmt w:val="lowerLetter"/>
      <w:lvlText w:val="%2)"/>
      <w:lvlJc w:val="left"/>
      <w:pPr>
        <w:tabs>
          <w:tab w:val="left" w:pos="0"/>
        </w:tabs>
        <w:ind w:left="1402" w:hanging="420"/>
      </w:pPr>
      <w:rPr>
        <w:rFonts w:hint="default" w:ascii="Times New Roman" w:hAnsi="Times New Roman" w:cs="Times New Roman"/>
      </w:rPr>
    </w:lvl>
    <w:lvl w:ilvl="2" w:tentative="0">
      <w:start w:val="1"/>
      <w:numFmt w:val="lowerRoman"/>
      <w:lvlText w:val="%3."/>
      <w:lvlJc w:val="right"/>
      <w:pPr>
        <w:tabs>
          <w:tab w:val="left" w:pos="0"/>
        </w:tabs>
        <w:ind w:left="1822" w:hanging="420"/>
      </w:pPr>
      <w:rPr>
        <w:rFonts w:hint="default" w:ascii="Times New Roman" w:hAnsi="Times New Roman" w:cs="Times New Roman"/>
      </w:rPr>
    </w:lvl>
    <w:lvl w:ilvl="3" w:tentative="0">
      <w:start w:val="1"/>
      <w:numFmt w:val="decimal"/>
      <w:lvlText w:val="%4."/>
      <w:lvlJc w:val="left"/>
      <w:pPr>
        <w:tabs>
          <w:tab w:val="left" w:pos="0"/>
        </w:tabs>
        <w:ind w:left="2242" w:hanging="420"/>
      </w:pPr>
      <w:rPr>
        <w:rFonts w:hint="default" w:ascii="Times New Roman" w:hAnsi="Times New Roman" w:cs="Times New Roman"/>
      </w:rPr>
    </w:lvl>
    <w:lvl w:ilvl="4" w:tentative="0">
      <w:start w:val="1"/>
      <w:numFmt w:val="lowerLetter"/>
      <w:lvlText w:val="%5)"/>
      <w:lvlJc w:val="left"/>
      <w:pPr>
        <w:tabs>
          <w:tab w:val="left" w:pos="0"/>
        </w:tabs>
        <w:ind w:left="2662" w:hanging="420"/>
      </w:pPr>
      <w:rPr>
        <w:rFonts w:hint="default" w:ascii="Times New Roman" w:hAnsi="Times New Roman" w:cs="Times New Roman"/>
      </w:rPr>
    </w:lvl>
    <w:lvl w:ilvl="5" w:tentative="0">
      <w:start w:val="1"/>
      <w:numFmt w:val="lowerRoman"/>
      <w:lvlText w:val="%6."/>
      <w:lvlJc w:val="right"/>
      <w:pPr>
        <w:tabs>
          <w:tab w:val="left" w:pos="0"/>
        </w:tabs>
        <w:ind w:left="3082" w:hanging="420"/>
      </w:pPr>
      <w:rPr>
        <w:rFonts w:hint="default" w:ascii="Times New Roman" w:hAnsi="Times New Roman" w:cs="Times New Roman"/>
      </w:rPr>
    </w:lvl>
    <w:lvl w:ilvl="6" w:tentative="0">
      <w:start w:val="1"/>
      <w:numFmt w:val="decimal"/>
      <w:lvlText w:val="%7."/>
      <w:lvlJc w:val="left"/>
      <w:pPr>
        <w:tabs>
          <w:tab w:val="left" w:pos="0"/>
        </w:tabs>
        <w:ind w:left="3502" w:hanging="420"/>
      </w:pPr>
      <w:rPr>
        <w:rFonts w:hint="default" w:ascii="Times New Roman" w:hAnsi="Times New Roman" w:cs="Times New Roman"/>
      </w:rPr>
    </w:lvl>
    <w:lvl w:ilvl="7" w:tentative="0">
      <w:start w:val="1"/>
      <w:numFmt w:val="lowerLetter"/>
      <w:lvlText w:val="%8)"/>
      <w:lvlJc w:val="left"/>
      <w:pPr>
        <w:tabs>
          <w:tab w:val="left" w:pos="0"/>
        </w:tabs>
        <w:ind w:left="3922" w:hanging="420"/>
      </w:pPr>
      <w:rPr>
        <w:rFonts w:hint="default" w:ascii="Times New Roman" w:hAnsi="Times New Roman" w:cs="Times New Roman"/>
      </w:rPr>
    </w:lvl>
    <w:lvl w:ilvl="8" w:tentative="0">
      <w:start w:val="1"/>
      <w:numFmt w:val="lowerRoman"/>
      <w:lvlText w:val="%9."/>
      <w:lvlJc w:val="right"/>
      <w:pPr>
        <w:tabs>
          <w:tab w:val="left" w:pos="0"/>
        </w:tabs>
        <w:ind w:left="4342" w:hanging="420"/>
      </w:pPr>
      <w:rPr>
        <w:rFonts w:hint="default" w:ascii="Times New Roman" w:hAnsi="Times New Roman" w:cs="Times New Roman"/>
      </w:rPr>
    </w:lvl>
  </w:abstractNum>
  <w:abstractNum w:abstractNumId="4">
    <w:nsid w:val="BBE66FDD"/>
    <w:multiLevelType w:val="multilevel"/>
    <w:tmpl w:val="BBE66FDD"/>
    <w:lvl w:ilvl="0" w:tentative="0">
      <w:start w:val="1"/>
      <w:numFmt w:val="lowerLetter"/>
      <w:lvlText w:val="%1)"/>
      <w:lvlJc w:val="left"/>
      <w:pPr>
        <w:tabs>
          <w:tab w:val="left" w:pos="0"/>
        </w:tabs>
        <w:ind w:left="840" w:hanging="420"/>
      </w:pPr>
      <w:rPr>
        <w:rFonts w:hint="eastAsia" w:ascii="宋体" w:hAnsi="宋体" w:eastAsia="宋体" w:cs="宋体"/>
      </w:rPr>
    </w:lvl>
    <w:lvl w:ilvl="1" w:tentative="0">
      <w:start w:val="1"/>
      <w:numFmt w:val="lowerLetter"/>
      <w:lvlText w:val="%2)"/>
      <w:lvlJc w:val="left"/>
      <w:pPr>
        <w:tabs>
          <w:tab w:val="left" w:pos="0"/>
        </w:tabs>
        <w:ind w:left="1260" w:hanging="420"/>
      </w:pPr>
      <w:rPr>
        <w:rFonts w:hint="default" w:ascii="Times New Roman" w:hAnsi="Times New Roman" w:cs="Times New Roman"/>
      </w:rPr>
    </w:lvl>
    <w:lvl w:ilvl="2" w:tentative="0">
      <w:start w:val="1"/>
      <w:numFmt w:val="lowerRoman"/>
      <w:lvlText w:val="%3."/>
      <w:lvlJc w:val="right"/>
      <w:pPr>
        <w:tabs>
          <w:tab w:val="left" w:pos="0"/>
        </w:tabs>
        <w:ind w:left="1680" w:hanging="420"/>
      </w:pPr>
      <w:rPr>
        <w:rFonts w:hint="default" w:ascii="Times New Roman" w:hAnsi="Times New Roman" w:cs="Times New Roman"/>
      </w:rPr>
    </w:lvl>
    <w:lvl w:ilvl="3" w:tentative="0">
      <w:start w:val="1"/>
      <w:numFmt w:val="decimal"/>
      <w:lvlText w:val="%4."/>
      <w:lvlJc w:val="left"/>
      <w:pPr>
        <w:tabs>
          <w:tab w:val="left" w:pos="0"/>
        </w:tabs>
        <w:ind w:left="2100" w:hanging="420"/>
      </w:pPr>
      <w:rPr>
        <w:rFonts w:hint="default" w:ascii="Times New Roman" w:hAnsi="Times New Roman" w:cs="Times New Roman"/>
      </w:rPr>
    </w:lvl>
    <w:lvl w:ilvl="4" w:tentative="0">
      <w:start w:val="1"/>
      <w:numFmt w:val="lowerLetter"/>
      <w:lvlText w:val="%5)"/>
      <w:lvlJc w:val="left"/>
      <w:pPr>
        <w:tabs>
          <w:tab w:val="left" w:pos="0"/>
        </w:tabs>
        <w:ind w:left="2520" w:hanging="420"/>
      </w:pPr>
      <w:rPr>
        <w:rFonts w:hint="default" w:ascii="Times New Roman" w:hAnsi="Times New Roman" w:cs="Times New Roman"/>
      </w:rPr>
    </w:lvl>
    <w:lvl w:ilvl="5" w:tentative="0">
      <w:start w:val="1"/>
      <w:numFmt w:val="lowerRoman"/>
      <w:lvlText w:val="%6."/>
      <w:lvlJc w:val="right"/>
      <w:pPr>
        <w:tabs>
          <w:tab w:val="left" w:pos="0"/>
        </w:tabs>
        <w:ind w:left="2940" w:hanging="420"/>
      </w:pPr>
      <w:rPr>
        <w:rFonts w:hint="default" w:ascii="Times New Roman" w:hAnsi="Times New Roman" w:cs="Times New Roman"/>
      </w:rPr>
    </w:lvl>
    <w:lvl w:ilvl="6" w:tentative="0">
      <w:start w:val="1"/>
      <w:numFmt w:val="decimal"/>
      <w:lvlText w:val="%7."/>
      <w:lvlJc w:val="left"/>
      <w:pPr>
        <w:tabs>
          <w:tab w:val="left" w:pos="0"/>
        </w:tabs>
        <w:ind w:left="3360" w:hanging="420"/>
      </w:pPr>
      <w:rPr>
        <w:rFonts w:hint="default" w:ascii="Times New Roman" w:hAnsi="Times New Roman" w:cs="Times New Roman"/>
      </w:rPr>
    </w:lvl>
    <w:lvl w:ilvl="7" w:tentative="0">
      <w:start w:val="1"/>
      <w:numFmt w:val="lowerLetter"/>
      <w:lvlText w:val="%8)"/>
      <w:lvlJc w:val="left"/>
      <w:pPr>
        <w:tabs>
          <w:tab w:val="left" w:pos="0"/>
        </w:tabs>
        <w:ind w:left="3780" w:hanging="420"/>
      </w:pPr>
      <w:rPr>
        <w:rFonts w:hint="default" w:ascii="Times New Roman" w:hAnsi="Times New Roman" w:cs="Times New Roman"/>
      </w:rPr>
    </w:lvl>
    <w:lvl w:ilvl="8" w:tentative="0">
      <w:start w:val="1"/>
      <w:numFmt w:val="lowerRoman"/>
      <w:lvlText w:val="%9."/>
      <w:lvlJc w:val="right"/>
      <w:pPr>
        <w:tabs>
          <w:tab w:val="left" w:pos="0"/>
        </w:tabs>
        <w:ind w:left="4200" w:hanging="420"/>
      </w:pPr>
      <w:rPr>
        <w:rFonts w:hint="default" w:ascii="Times New Roman" w:hAnsi="Times New Roman" w:cs="Times New Roman"/>
      </w:rPr>
    </w:lvl>
  </w:abstractNum>
  <w:abstractNum w:abstractNumId="5">
    <w:nsid w:val="BDA09F4B"/>
    <w:multiLevelType w:val="multilevel"/>
    <w:tmpl w:val="BDA09F4B"/>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6">
    <w:nsid w:val="C925F243"/>
    <w:multiLevelType w:val="multilevel"/>
    <w:tmpl w:val="C925F243"/>
    <w:lvl w:ilvl="0" w:tentative="0">
      <w:start w:val="1"/>
      <w:numFmt w:val="bullet"/>
      <w:lvlText w:val=""/>
      <w:lvlJc w:val="left"/>
      <w:pPr>
        <w:tabs>
          <w:tab w:val="left" w:pos="902"/>
        </w:tabs>
        <w:ind w:left="902" w:hanging="420"/>
      </w:pPr>
      <w:rPr>
        <w:rFonts w:hint="default" w:ascii="Wingdings" w:hAnsi="Wingdings" w:cs="Wingdings"/>
      </w:rPr>
    </w:lvl>
    <w:lvl w:ilvl="1" w:tentative="0">
      <w:start w:val="1"/>
      <w:numFmt w:val="bullet"/>
      <w:lvlText w:val=""/>
      <w:lvlJc w:val="left"/>
      <w:pPr>
        <w:tabs>
          <w:tab w:val="left" w:pos="1322"/>
        </w:tabs>
        <w:ind w:left="1322" w:hanging="420"/>
      </w:pPr>
      <w:rPr>
        <w:rFonts w:hint="default" w:ascii="Wingdings" w:hAnsi="Wingdings" w:cs="Wingdings"/>
      </w:rPr>
    </w:lvl>
    <w:lvl w:ilvl="2" w:tentative="0">
      <w:start w:val="1"/>
      <w:numFmt w:val="bullet"/>
      <w:lvlText w:val=""/>
      <w:lvlJc w:val="left"/>
      <w:pPr>
        <w:tabs>
          <w:tab w:val="left" w:pos="1742"/>
        </w:tabs>
        <w:ind w:left="1742" w:hanging="420"/>
      </w:pPr>
      <w:rPr>
        <w:rFonts w:hint="default" w:ascii="Wingdings" w:hAnsi="Wingdings" w:cs="Wingdings"/>
      </w:rPr>
    </w:lvl>
    <w:lvl w:ilvl="3" w:tentative="0">
      <w:start w:val="1"/>
      <w:numFmt w:val="bullet"/>
      <w:lvlText w:val=""/>
      <w:lvlJc w:val="left"/>
      <w:pPr>
        <w:tabs>
          <w:tab w:val="left" w:pos="2162"/>
        </w:tabs>
        <w:ind w:left="2162" w:hanging="420"/>
      </w:pPr>
      <w:rPr>
        <w:rFonts w:hint="default" w:ascii="Wingdings" w:hAnsi="Wingdings" w:cs="Wingdings"/>
      </w:rPr>
    </w:lvl>
    <w:lvl w:ilvl="4" w:tentative="0">
      <w:start w:val="1"/>
      <w:numFmt w:val="bullet"/>
      <w:lvlText w:val=""/>
      <w:lvlJc w:val="left"/>
      <w:pPr>
        <w:tabs>
          <w:tab w:val="left" w:pos="2582"/>
        </w:tabs>
        <w:ind w:left="2582" w:hanging="420"/>
      </w:pPr>
      <w:rPr>
        <w:rFonts w:hint="default" w:ascii="Wingdings" w:hAnsi="Wingdings" w:cs="Wingdings"/>
      </w:rPr>
    </w:lvl>
    <w:lvl w:ilvl="5" w:tentative="0">
      <w:start w:val="1"/>
      <w:numFmt w:val="bullet"/>
      <w:lvlText w:val=""/>
      <w:lvlJc w:val="left"/>
      <w:pPr>
        <w:tabs>
          <w:tab w:val="left" w:pos="3002"/>
        </w:tabs>
        <w:ind w:left="3002" w:hanging="420"/>
      </w:pPr>
      <w:rPr>
        <w:rFonts w:hint="default" w:ascii="Wingdings" w:hAnsi="Wingdings" w:cs="Wingdings"/>
      </w:rPr>
    </w:lvl>
    <w:lvl w:ilvl="6" w:tentative="0">
      <w:start w:val="1"/>
      <w:numFmt w:val="bullet"/>
      <w:lvlText w:val=""/>
      <w:lvlJc w:val="left"/>
      <w:pPr>
        <w:tabs>
          <w:tab w:val="left" w:pos="3422"/>
        </w:tabs>
        <w:ind w:left="3422" w:hanging="420"/>
      </w:pPr>
      <w:rPr>
        <w:rFonts w:hint="default" w:ascii="Wingdings" w:hAnsi="Wingdings" w:cs="Wingdings"/>
      </w:rPr>
    </w:lvl>
    <w:lvl w:ilvl="7" w:tentative="0">
      <w:start w:val="1"/>
      <w:numFmt w:val="bullet"/>
      <w:lvlText w:val=""/>
      <w:lvlJc w:val="left"/>
      <w:pPr>
        <w:tabs>
          <w:tab w:val="left" w:pos="3842"/>
        </w:tabs>
        <w:ind w:left="3842" w:hanging="420"/>
      </w:pPr>
      <w:rPr>
        <w:rFonts w:hint="default" w:ascii="Wingdings" w:hAnsi="Wingdings" w:cs="Wingdings"/>
      </w:rPr>
    </w:lvl>
    <w:lvl w:ilvl="8" w:tentative="0">
      <w:start w:val="1"/>
      <w:numFmt w:val="bullet"/>
      <w:lvlText w:val=""/>
      <w:lvlJc w:val="left"/>
      <w:pPr>
        <w:tabs>
          <w:tab w:val="left" w:pos="4262"/>
        </w:tabs>
        <w:ind w:left="4262" w:hanging="420"/>
      </w:pPr>
      <w:rPr>
        <w:rFonts w:hint="default" w:ascii="Wingdings" w:hAnsi="Wingdings" w:cs="Wingdings"/>
      </w:rPr>
    </w:lvl>
  </w:abstractNum>
  <w:abstractNum w:abstractNumId="7">
    <w:nsid w:val="C97D6EC6"/>
    <w:multiLevelType w:val="multilevel"/>
    <w:tmpl w:val="C97D6EC6"/>
    <w:lvl w:ilvl="0" w:tentative="0">
      <w:start w:val="1"/>
      <w:numFmt w:val="decimal"/>
      <w:lvlText w:val="%1)"/>
      <w:lvlJc w:val="left"/>
      <w:pPr>
        <w:tabs>
          <w:tab w:val="left" w:pos="0"/>
        </w:tabs>
        <w:ind w:left="900" w:hanging="420"/>
      </w:pPr>
      <w:rPr>
        <w:rFonts w:hint="default" w:ascii="Times New Roman" w:hAnsi="Times New Roman" w:cs="Times New Roman"/>
      </w:rPr>
    </w:lvl>
    <w:lvl w:ilvl="1" w:tentative="0">
      <w:start w:val="1"/>
      <w:numFmt w:val="lowerLetter"/>
      <w:lvlText w:val="%2)"/>
      <w:lvlJc w:val="left"/>
      <w:pPr>
        <w:tabs>
          <w:tab w:val="left" w:pos="0"/>
        </w:tabs>
        <w:ind w:left="1320" w:hanging="420"/>
      </w:pPr>
      <w:rPr>
        <w:rFonts w:hint="default" w:ascii="Times New Roman" w:hAnsi="Times New Roman" w:cs="Times New Roman"/>
      </w:rPr>
    </w:lvl>
    <w:lvl w:ilvl="2" w:tentative="0">
      <w:start w:val="1"/>
      <w:numFmt w:val="lowerRoman"/>
      <w:lvlText w:val="%3."/>
      <w:lvlJc w:val="right"/>
      <w:pPr>
        <w:tabs>
          <w:tab w:val="left" w:pos="0"/>
        </w:tabs>
        <w:ind w:left="1740" w:hanging="420"/>
      </w:pPr>
      <w:rPr>
        <w:rFonts w:hint="default" w:ascii="Times New Roman" w:hAnsi="Times New Roman" w:cs="Times New Roman"/>
      </w:rPr>
    </w:lvl>
    <w:lvl w:ilvl="3" w:tentative="0">
      <w:start w:val="1"/>
      <w:numFmt w:val="decimal"/>
      <w:lvlText w:val="%4."/>
      <w:lvlJc w:val="left"/>
      <w:pPr>
        <w:tabs>
          <w:tab w:val="left" w:pos="0"/>
        </w:tabs>
        <w:ind w:left="2160" w:hanging="420"/>
      </w:pPr>
      <w:rPr>
        <w:rFonts w:hint="default" w:ascii="Times New Roman" w:hAnsi="Times New Roman" w:cs="Times New Roman"/>
      </w:rPr>
    </w:lvl>
    <w:lvl w:ilvl="4" w:tentative="0">
      <w:start w:val="1"/>
      <w:numFmt w:val="lowerLetter"/>
      <w:lvlText w:val="%5)"/>
      <w:lvlJc w:val="left"/>
      <w:pPr>
        <w:tabs>
          <w:tab w:val="left" w:pos="0"/>
        </w:tabs>
        <w:ind w:left="2580" w:hanging="420"/>
      </w:pPr>
      <w:rPr>
        <w:rFonts w:hint="default" w:ascii="Times New Roman" w:hAnsi="Times New Roman" w:cs="Times New Roman"/>
      </w:rPr>
    </w:lvl>
    <w:lvl w:ilvl="5" w:tentative="0">
      <w:start w:val="1"/>
      <w:numFmt w:val="lowerRoman"/>
      <w:lvlText w:val="%6."/>
      <w:lvlJc w:val="right"/>
      <w:pPr>
        <w:tabs>
          <w:tab w:val="left" w:pos="0"/>
        </w:tabs>
        <w:ind w:left="3000" w:hanging="420"/>
      </w:pPr>
      <w:rPr>
        <w:rFonts w:hint="default" w:ascii="Times New Roman" w:hAnsi="Times New Roman" w:cs="Times New Roman"/>
      </w:rPr>
    </w:lvl>
    <w:lvl w:ilvl="6" w:tentative="0">
      <w:start w:val="1"/>
      <w:numFmt w:val="decimal"/>
      <w:lvlText w:val="%7."/>
      <w:lvlJc w:val="left"/>
      <w:pPr>
        <w:tabs>
          <w:tab w:val="left" w:pos="0"/>
        </w:tabs>
        <w:ind w:left="3420" w:hanging="420"/>
      </w:pPr>
      <w:rPr>
        <w:rFonts w:hint="default" w:ascii="Times New Roman" w:hAnsi="Times New Roman" w:cs="Times New Roman"/>
      </w:rPr>
    </w:lvl>
    <w:lvl w:ilvl="7" w:tentative="0">
      <w:start w:val="1"/>
      <w:numFmt w:val="lowerLetter"/>
      <w:lvlText w:val="%8)"/>
      <w:lvlJc w:val="left"/>
      <w:pPr>
        <w:tabs>
          <w:tab w:val="left" w:pos="0"/>
        </w:tabs>
        <w:ind w:left="3840" w:hanging="420"/>
      </w:pPr>
      <w:rPr>
        <w:rFonts w:hint="default" w:ascii="Times New Roman" w:hAnsi="Times New Roman" w:cs="Times New Roman"/>
      </w:rPr>
    </w:lvl>
    <w:lvl w:ilvl="8" w:tentative="0">
      <w:start w:val="1"/>
      <w:numFmt w:val="lowerRoman"/>
      <w:lvlText w:val="%9."/>
      <w:lvlJc w:val="right"/>
      <w:pPr>
        <w:tabs>
          <w:tab w:val="left" w:pos="0"/>
        </w:tabs>
        <w:ind w:left="4260" w:hanging="420"/>
      </w:pPr>
      <w:rPr>
        <w:rFonts w:hint="default" w:ascii="Times New Roman" w:hAnsi="Times New Roman" w:cs="Times New Roman"/>
      </w:rPr>
    </w:lvl>
  </w:abstractNum>
  <w:abstractNum w:abstractNumId="8">
    <w:nsid w:val="E3C996B0"/>
    <w:multiLevelType w:val="singleLevel"/>
    <w:tmpl w:val="E3C996B0"/>
    <w:lvl w:ilvl="0" w:tentative="0">
      <w:start w:val="2"/>
      <w:numFmt w:val="chineseCounting"/>
      <w:suff w:val="nothing"/>
      <w:lvlText w:val="%1、"/>
      <w:lvlJc w:val="left"/>
      <w:rPr>
        <w:rFonts w:hint="eastAsia"/>
      </w:rPr>
    </w:lvl>
  </w:abstractNum>
  <w:abstractNum w:abstractNumId="9">
    <w:nsid w:val="EA59FB81"/>
    <w:multiLevelType w:val="multilevel"/>
    <w:tmpl w:val="EA59FB81"/>
    <w:lvl w:ilvl="0" w:tentative="0">
      <w:start w:val="1"/>
      <w:numFmt w:val="bullet"/>
      <w:lvlText w:val=""/>
      <w:lvlJc w:val="left"/>
      <w:pPr>
        <w:tabs>
          <w:tab w:val="left" w:pos="0"/>
        </w:tabs>
        <w:ind w:left="900" w:hanging="420"/>
      </w:pPr>
      <w:rPr>
        <w:rFonts w:hint="default" w:ascii="Wingdings" w:hAnsi="Wingdings" w:cs="Wingdings"/>
      </w:rPr>
    </w:lvl>
    <w:lvl w:ilvl="1" w:tentative="0">
      <w:start w:val="1"/>
      <w:numFmt w:val="bullet"/>
      <w:lvlText w:val=""/>
      <w:lvlJc w:val="left"/>
      <w:pPr>
        <w:tabs>
          <w:tab w:val="left" w:pos="0"/>
        </w:tabs>
        <w:ind w:left="1320" w:hanging="420"/>
      </w:pPr>
      <w:rPr>
        <w:rFonts w:hint="default" w:ascii="Wingdings" w:hAnsi="Wingdings" w:cs="Wingdings"/>
      </w:rPr>
    </w:lvl>
    <w:lvl w:ilvl="2" w:tentative="0">
      <w:start w:val="1"/>
      <w:numFmt w:val="bullet"/>
      <w:lvlText w:val=""/>
      <w:lvlJc w:val="left"/>
      <w:pPr>
        <w:tabs>
          <w:tab w:val="left" w:pos="0"/>
        </w:tabs>
        <w:ind w:left="1740" w:hanging="420"/>
      </w:pPr>
      <w:rPr>
        <w:rFonts w:hint="default" w:ascii="Wingdings" w:hAnsi="Wingdings" w:cs="Wingdings"/>
      </w:rPr>
    </w:lvl>
    <w:lvl w:ilvl="3" w:tentative="0">
      <w:start w:val="1"/>
      <w:numFmt w:val="bullet"/>
      <w:lvlText w:val=""/>
      <w:lvlJc w:val="left"/>
      <w:pPr>
        <w:tabs>
          <w:tab w:val="left" w:pos="0"/>
        </w:tabs>
        <w:ind w:left="2160" w:hanging="420"/>
      </w:pPr>
      <w:rPr>
        <w:rFonts w:hint="default" w:ascii="Wingdings" w:hAnsi="Wingdings" w:cs="Wingdings"/>
      </w:rPr>
    </w:lvl>
    <w:lvl w:ilvl="4" w:tentative="0">
      <w:start w:val="1"/>
      <w:numFmt w:val="bullet"/>
      <w:lvlText w:val=""/>
      <w:lvlJc w:val="left"/>
      <w:pPr>
        <w:tabs>
          <w:tab w:val="left" w:pos="0"/>
        </w:tabs>
        <w:ind w:left="2580" w:hanging="420"/>
      </w:pPr>
      <w:rPr>
        <w:rFonts w:hint="default" w:ascii="Wingdings" w:hAnsi="Wingdings" w:cs="Wingdings"/>
      </w:rPr>
    </w:lvl>
    <w:lvl w:ilvl="5" w:tentative="0">
      <w:start w:val="1"/>
      <w:numFmt w:val="bullet"/>
      <w:lvlText w:val=""/>
      <w:lvlJc w:val="left"/>
      <w:pPr>
        <w:tabs>
          <w:tab w:val="left" w:pos="0"/>
        </w:tabs>
        <w:ind w:left="3000" w:hanging="420"/>
      </w:pPr>
      <w:rPr>
        <w:rFonts w:hint="default" w:ascii="Wingdings" w:hAnsi="Wingdings" w:cs="Wingdings"/>
      </w:rPr>
    </w:lvl>
    <w:lvl w:ilvl="6" w:tentative="0">
      <w:start w:val="1"/>
      <w:numFmt w:val="bullet"/>
      <w:lvlText w:val=""/>
      <w:lvlJc w:val="left"/>
      <w:pPr>
        <w:tabs>
          <w:tab w:val="left" w:pos="0"/>
        </w:tabs>
        <w:ind w:left="3420" w:hanging="420"/>
      </w:pPr>
      <w:rPr>
        <w:rFonts w:hint="default" w:ascii="Wingdings" w:hAnsi="Wingdings" w:cs="Wingdings"/>
      </w:rPr>
    </w:lvl>
    <w:lvl w:ilvl="7" w:tentative="0">
      <w:start w:val="1"/>
      <w:numFmt w:val="bullet"/>
      <w:lvlText w:val=""/>
      <w:lvlJc w:val="left"/>
      <w:pPr>
        <w:tabs>
          <w:tab w:val="left" w:pos="0"/>
        </w:tabs>
        <w:ind w:left="3840" w:hanging="420"/>
      </w:pPr>
      <w:rPr>
        <w:rFonts w:hint="default" w:ascii="Wingdings" w:hAnsi="Wingdings" w:cs="Wingdings"/>
      </w:rPr>
    </w:lvl>
    <w:lvl w:ilvl="8" w:tentative="0">
      <w:start w:val="1"/>
      <w:numFmt w:val="bullet"/>
      <w:lvlText w:val=""/>
      <w:lvlJc w:val="left"/>
      <w:pPr>
        <w:tabs>
          <w:tab w:val="left" w:pos="0"/>
        </w:tabs>
        <w:ind w:left="4260" w:hanging="420"/>
      </w:pPr>
      <w:rPr>
        <w:rFonts w:hint="default" w:ascii="Wingdings" w:hAnsi="Wingdings" w:cs="Wingdings"/>
      </w:rPr>
    </w:lvl>
  </w:abstractNum>
  <w:abstractNum w:abstractNumId="10">
    <w:nsid w:val="EEDD1B68"/>
    <w:multiLevelType w:val="multilevel"/>
    <w:tmpl w:val="EEDD1B68"/>
    <w:lvl w:ilvl="0" w:tentative="0">
      <w:start w:val="1"/>
      <w:numFmt w:val="japaneseCounting"/>
      <w:lvlText w:val="%1."/>
      <w:lvlJc w:val="left"/>
      <w:pPr>
        <w:tabs>
          <w:tab w:val="left" w:pos="0"/>
        </w:tabs>
        <w:ind w:left="995" w:hanging="435"/>
      </w:pPr>
      <w:rPr>
        <w:rFonts w:hint="default" w:ascii="Times New Roman" w:hAnsi="Times New Roman" w:cs="Times New Roman"/>
      </w:rPr>
    </w:lvl>
    <w:lvl w:ilvl="1" w:tentative="0">
      <w:start w:val="1"/>
      <w:numFmt w:val="lowerLetter"/>
      <w:lvlText w:val="%2)"/>
      <w:lvlJc w:val="left"/>
      <w:pPr>
        <w:tabs>
          <w:tab w:val="left" w:pos="0"/>
        </w:tabs>
        <w:ind w:left="1400" w:hanging="420"/>
      </w:pPr>
      <w:rPr>
        <w:rFonts w:hint="default" w:ascii="Times New Roman" w:hAnsi="Times New Roman" w:cs="Times New Roman"/>
      </w:rPr>
    </w:lvl>
    <w:lvl w:ilvl="2" w:tentative="0">
      <w:start w:val="1"/>
      <w:numFmt w:val="lowerRoman"/>
      <w:lvlText w:val="%3."/>
      <w:lvlJc w:val="right"/>
      <w:pPr>
        <w:tabs>
          <w:tab w:val="left" w:pos="0"/>
        </w:tabs>
        <w:ind w:left="1820" w:hanging="420"/>
      </w:pPr>
      <w:rPr>
        <w:rFonts w:hint="default" w:ascii="Times New Roman" w:hAnsi="Times New Roman" w:cs="Times New Roman"/>
      </w:rPr>
    </w:lvl>
    <w:lvl w:ilvl="3" w:tentative="0">
      <w:start w:val="1"/>
      <w:numFmt w:val="decimal"/>
      <w:lvlText w:val="%4."/>
      <w:lvlJc w:val="left"/>
      <w:pPr>
        <w:tabs>
          <w:tab w:val="left" w:pos="0"/>
        </w:tabs>
        <w:ind w:left="2240" w:hanging="420"/>
      </w:pPr>
      <w:rPr>
        <w:rFonts w:hint="default" w:ascii="Times New Roman" w:hAnsi="Times New Roman" w:cs="Times New Roman"/>
      </w:rPr>
    </w:lvl>
    <w:lvl w:ilvl="4" w:tentative="0">
      <w:start w:val="1"/>
      <w:numFmt w:val="lowerLetter"/>
      <w:lvlText w:val="%5)"/>
      <w:lvlJc w:val="left"/>
      <w:pPr>
        <w:tabs>
          <w:tab w:val="left" w:pos="0"/>
        </w:tabs>
        <w:ind w:left="2660" w:hanging="420"/>
      </w:pPr>
      <w:rPr>
        <w:rFonts w:hint="default" w:ascii="Times New Roman" w:hAnsi="Times New Roman" w:cs="Times New Roman"/>
      </w:rPr>
    </w:lvl>
    <w:lvl w:ilvl="5" w:tentative="0">
      <w:start w:val="1"/>
      <w:numFmt w:val="lowerRoman"/>
      <w:lvlText w:val="%6."/>
      <w:lvlJc w:val="right"/>
      <w:pPr>
        <w:tabs>
          <w:tab w:val="left" w:pos="0"/>
        </w:tabs>
        <w:ind w:left="3080" w:hanging="420"/>
      </w:pPr>
      <w:rPr>
        <w:rFonts w:hint="default" w:ascii="Times New Roman" w:hAnsi="Times New Roman" w:cs="Times New Roman"/>
      </w:rPr>
    </w:lvl>
    <w:lvl w:ilvl="6" w:tentative="0">
      <w:start w:val="1"/>
      <w:numFmt w:val="decimal"/>
      <w:lvlText w:val="%7."/>
      <w:lvlJc w:val="left"/>
      <w:pPr>
        <w:tabs>
          <w:tab w:val="left" w:pos="0"/>
        </w:tabs>
        <w:ind w:left="3500" w:hanging="420"/>
      </w:pPr>
      <w:rPr>
        <w:rFonts w:hint="default" w:ascii="Times New Roman" w:hAnsi="Times New Roman" w:cs="Times New Roman"/>
      </w:rPr>
    </w:lvl>
    <w:lvl w:ilvl="7" w:tentative="0">
      <w:start w:val="1"/>
      <w:numFmt w:val="lowerLetter"/>
      <w:lvlText w:val="%8)"/>
      <w:lvlJc w:val="left"/>
      <w:pPr>
        <w:tabs>
          <w:tab w:val="left" w:pos="0"/>
        </w:tabs>
        <w:ind w:left="3920" w:hanging="420"/>
      </w:pPr>
      <w:rPr>
        <w:rFonts w:hint="default" w:ascii="Times New Roman" w:hAnsi="Times New Roman" w:cs="Times New Roman"/>
      </w:rPr>
    </w:lvl>
    <w:lvl w:ilvl="8" w:tentative="0">
      <w:start w:val="1"/>
      <w:numFmt w:val="lowerRoman"/>
      <w:lvlText w:val="%9."/>
      <w:lvlJc w:val="right"/>
      <w:pPr>
        <w:tabs>
          <w:tab w:val="left" w:pos="0"/>
        </w:tabs>
        <w:ind w:left="4340" w:hanging="420"/>
      </w:pPr>
      <w:rPr>
        <w:rFonts w:hint="default" w:ascii="Times New Roman" w:hAnsi="Times New Roman" w:cs="Times New Roman"/>
      </w:rPr>
    </w:lvl>
  </w:abstractNum>
  <w:abstractNum w:abstractNumId="11">
    <w:nsid w:val="FEF80A57"/>
    <w:multiLevelType w:val="multilevel"/>
    <w:tmpl w:val="FEF80A57"/>
    <w:lvl w:ilvl="0" w:tentative="0">
      <w:start w:val="1"/>
      <w:numFmt w:val="japaneseCounting"/>
      <w:lvlText w:val="（%1）"/>
      <w:lvlJc w:val="left"/>
      <w:pPr>
        <w:tabs>
          <w:tab w:val="left" w:pos="0"/>
        </w:tabs>
        <w:ind w:left="720" w:hanging="720"/>
      </w:pPr>
      <w:rPr>
        <w:rFonts w:hint="default" w:ascii="Times New Roman" w:hAnsi="Times New Roman" w:cs="Times New Roman"/>
      </w:rPr>
    </w:lvl>
    <w:lvl w:ilvl="1" w:tentative="0">
      <w:start w:val="1"/>
      <w:numFmt w:val="lowerLetter"/>
      <w:lvlText w:val="%2)"/>
      <w:lvlJc w:val="left"/>
      <w:pPr>
        <w:tabs>
          <w:tab w:val="left" w:pos="0"/>
        </w:tabs>
        <w:ind w:left="840" w:hanging="420"/>
      </w:pPr>
      <w:rPr>
        <w:rFonts w:hint="default" w:ascii="Times New Roman" w:hAnsi="Times New Roman" w:cs="Times New Roman"/>
      </w:rPr>
    </w:lvl>
    <w:lvl w:ilvl="2" w:tentative="0">
      <w:start w:val="1"/>
      <w:numFmt w:val="lowerRoman"/>
      <w:lvlText w:val="%3."/>
      <w:lvlJc w:val="right"/>
      <w:pPr>
        <w:tabs>
          <w:tab w:val="left" w:pos="0"/>
        </w:tabs>
        <w:ind w:left="1260" w:hanging="420"/>
      </w:pPr>
      <w:rPr>
        <w:rFonts w:hint="default" w:ascii="Times New Roman" w:hAnsi="Times New Roman" w:cs="Times New Roman"/>
      </w:rPr>
    </w:lvl>
    <w:lvl w:ilvl="3" w:tentative="0">
      <w:start w:val="1"/>
      <w:numFmt w:val="decimal"/>
      <w:lvlText w:val="%4."/>
      <w:lvlJc w:val="left"/>
      <w:pPr>
        <w:tabs>
          <w:tab w:val="left" w:pos="0"/>
        </w:tabs>
        <w:ind w:left="1680" w:hanging="420"/>
      </w:pPr>
      <w:rPr>
        <w:rFonts w:hint="default" w:ascii="Times New Roman" w:hAnsi="Times New Roman" w:cs="Times New Roman"/>
      </w:rPr>
    </w:lvl>
    <w:lvl w:ilvl="4" w:tentative="0">
      <w:start w:val="1"/>
      <w:numFmt w:val="lowerLetter"/>
      <w:lvlText w:val="%5)"/>
      <w:lvlJc w:val="left"/>
      <w:pPr>
        <w:tabs>
          <w:tab w:val="left" w:pos="0"/>
        </w:tabs>
        <w:ind w:left="2100" w:hanging="420"/>
      </w:pPr>
      <w:rPr>
        <w:rFonts w:hint="default" w:ascii="Times New Roman" w:hAnsi="Times New Roman" w:cs="Times New Roman"/>
      </w:rPr>
    </w:lvl>
    <w:lvl w:ilvl="5" w:tentative="0">
      <w:start w:val="1"/>
      <w:numFmt w:val="lowerRoman"/>
      <w:lvlText w:val="%6."/>
      <w:lvlJc w:val="right"/>
      <w:pPr>
        <w:tabs>
          <w:tab w:val="left" w:pos="0"/>
        </w:tabs>
        <w:ind w:left="2520" w:hanging="420"/>
      </w:pPr>
      <w:rPr>
        <w:rFonts w:hint="default" w:ascii="Times New Roman" w:hAnsi="Times New Roman" w:cs="Times New Roman"/>
      </w:rPr>
    </w:lvl>
    <w:lvl w:ilvl="6" w:tentative="0">
      <w:start w:val="1"/>
      <w:numFmt w:val="decimal"/>
      <w:lvlText w:val="%7."/>
      <w:lvlJc w:val="left"/>
      <w:pPr>
        <w:tabs>
          <w:tab w:val="left" w:pos="0"/>
        </w:tabs>
        <w:ind w:left="2940" w:hanging="420"/>
      </w:pPr>
      <w:rPr>
        <w:rFonts w:hint="default" w:ascii="Times New Roman" w:hAnsi="Times New Roman" w:cs="Times New Roman"/>
      </w:rPr>
    </w:lvl>
    <w:lvl w:ilvl="7" w:tentative="0">
      <w:start w:val="1"/>
      <w:numFmt w:val="lowerLetter"/>
      <w:lvlText w:val="%8)"/>
      <w:lvlJc w:val="left"/>
      <w:pPr>
        <w:tabs>
          <w:tab w:val="left" w:pos="0"/>
        </w:tabs>
        <w:ind w:left="3360" w:hanging="420"/>
      </w:pPr>
      <w:rPr>
        <w:rFonts w:hint="default" w:ascii="Times New Roman" w:hAnsi="Times New Roman" w:cs="Times New Roman"/>
      </w:rPr>
    </w:lvl>
    <w:lvl w:ilvl="8" w:tentative="0">
      <w:start w:val="1"/>
      <w:numFmt w:val="lowerRoman"/>
      <w:lvlText w:val="%9."/>
      <w:lvlJc w:val="right"/>
      <w:pPr>
        <w:tabs>
          <w:tab w:val="left" w:pos="0"/>
        </w:tabs>
        <w:ind w:left="3780" w:hanging="420"/>
      </w:pPr>
      <w:rPr>
        <w:rFonts w:hint="default" w:ascii="Times New Roman" w:hAnsi="Times New Roman" w:cs="Times New Roman"/>
      </w:rPr>
    </w:lvl>
  </w:abstractNum>
  <w:abstractNum w:abstractNumId="12">
    <w:nsid w:val="0000000D"/>
    <w:multiLevelType w:val="multilevel"/>
    <w:tmpl w:val="0000000D"/>
    <w:lvl w:ilvl="0" w:tentative="0">
      <w:start w:val="1"/>
      <w:numFmt w:val="decimal"/>
      <w:pStyle w:val="15"/>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0E"/>
    <w:multiLevelType w:val="singleLevel"/>
    <w:tmpl w:val="0000000E"/>
    <w:lvl w:ilvl="0" w:tentative="0">
      <w:start w:val="4"/>
      <w:numFmt w:val="chineseCounting"/>
      <w:suff w:val="space"/>
      <w:lvlText w:val="第%1章"/>
      <w:lvlJc w:val="left"/>
      <w:rPr>
        <w:rFonts w:hint="eastAsia"/>
      </w:rPr>
    </w:lvl>
  </w:abstractNum>
  <w:abstractNum w:abstractNumId="14">
    <w:nsid w:val="069117E3"/>
    <w:multiLevelType w:val="multilevel"/>
    <w:tmpl w:val="069117E3"/>
    <w:lvl w:ilvl="0" w:tentative="0">
      <w:start w:val="1"/>
      <w:numFmt w:val="bullet"/>
      <w:lvlText w:val=""/>
      <w:lvlJc w:val="left"/>
      <w:pPr>
        <w:tabs>
          <w:tab w:val="left" w:pos="0"/>
        </w:tabs>
        <w:ind w:left="900" w:hanging="420"/>
      </w:pPr>
      <w:rPr>
        <w:rFonts w:hint="default" w:ascii="Wingdings" w:hAnsi="Wingdings" w:cs="Wingdings"/>
      </w:rPr>
    </w:lvl>
    <w:lvl w:ilvl="1" w:tentative="0">
      <w:start w:val="1"/>
      <w:numFmt w:val="bullet"/>
      <w:lvlText w:val=""/>
      <w:lvlJc w:val="left"/>
      <w:pPr>
        <w:tabs>
          <w:tab w:val="left" w:pos="0"/>
        </w:tabs>
        <w:ind w:left="1320" w:hanging="420"/>
      </w:pPr>
      <w:rPr>
        <w:rFonts w:hint="default" w:ascii="Wingdings" w:hAnsi="Wingdings" w:cs="Wingdings"/>
      </w:rPr>
    </w:lvl>
    <w:lvl w:ilvl="2" w:tentative="0">
      <w:start w:val="1"/>
      <w:numFmt w:val="bullet"/>
      <w:lvlText w:val=""/>
      <w:lvlJc w:val="left"/>
      <w:pPr>
        <w:tabs>
          <w:tab w:val="left" w:pos="0"/>
        </w:tabs>
        <w:ind w:left="1740" w:hanging="420"/>
      </w:pPr>
      <w:rPr>
        <w:rFonts w:hint="default" w:ascii="Wingdings" w:hAnsi="Wingdings" w:cs="Wingdings"/>
      </w:rPr>
    </w:lvl>
    <w:lvl w:ilvl="3" w:tentative="0">
      <w:start w:val="1"/>
      <w:numFmt w:val="bullet"/>
      <w:lvlText w:val=""/>
      <w:lvlJc w:val="left"/>
      <w:pPr>
        <w:tabs>
          <w:tab w:val="left" w:pos="0"/>
        </w:tabs>
        <w:ind w:left="2160" w:hanging="420"/>
      </w:pPr>
      <w:rPr>
        <w:rFonts w:hint="default" w:ascii="Wingdings" w:hAnsi="Wingdings" w:cs="Wingdings"/>
      </w:rPr>
    </w:lvl>
    <w:lvl w:ilvl="4" w:tentative="0">
      <w:start w:val="1"/>
      <w:numFmt w:val="bullet"/>
      <w:lvlText w:val=""/>
      <w:lvlJc w:val="left"/>
      <w:pPr>
        <w:tabs>
          <w:tab w:val="left" w:pos="0"/>
        </w:tabs>
        <w:ind w:left="2580" w:hanging="420"/>
      </w:pPr>
      <w:rPr>
        <w:rFonts w:hint="default" w:ascii="Wingdings" w:hAnsi="Wingdings" w:cs="Wingdings"/>
      </w:rPr>
    </w:lvl>
    <w:lvl w:ilvl="5" w:tentative="0">
      <w:start w:val="1"/>
      <w:numFmt w:val="bullet"/>
      <w:lvlText w:val=""/>
      <w:lvlJc w:val="left"/>
      <w:pPr>
        <w:tabs>
          <w:tab w:val="left" w:pos="0"/>
        </w:tabs>
        <w:ind w:left="3000" w:hanging="420"/>
      </w:pPr>
      <w:rPr>
        <w:rFonts w:hint="default" w:ascii="Wingdings" w:hAnsi="Wingdings" w:cs="Wingdings"/>
      </w:rPr>
    </w:lvl>
    <w:lvl w:ilvl="6" w:tentative="0">
      <w:start w:val="1"/>
      <w:numFmt w:val="bullet"/>
      <w:lvlText w:val=""/>
      <w:lvlJc w:val="left"/>
      <w:pPr>
        <w:tabs>
          <w:tab w:val="left" w:pos="0"/>
        </w:tabs>
        <w:ind w:left="3420" w:hanging="420"/>
      </w:pPr>
      <w:rPr>
        <w:rFonts w:hint="default" w:ascii="Wingdings" w:hAnsi="Wingdings" w:cs="Wingdings"/>
      </w:rPr>
    </w:lvl>
    <w:lvl w:ilvl="7" w:tentative="0">
      <w:start w:val="1"/>
      <w:numFmt w:val="bullet"/>
      <w:lvlText w:val=""/>
      <w:lvlJc w:val="left"/>
      <w:pPr>
        <w:tabs>
          <w:tab w:val="left" w:pos="0"/>
        </w:tabs>
        <w:ind w:left="3840" w:hanging="420"/>
      </w:pPr>
      <w:rPr>
        <w:rFonts w:hint="default" w:ascii="Wingdings" w:hAnsi="Wingdings" w:cs="Wingdings"/>
      </w:rPr>
    </w:lvl>
    <w:lvl w:ilvl="8" w:tentative="0">
      <w:start w:val="1"/>
      <w:numFmt w:val="bullet"/>
      <w:lvlText w:val=""/>
      <w:lvlJc w:val="left"/>
      <w:pPr>
        <w:tabs>
          <w:tab w:val="left" w:pos="0"/>
        </w:tabs>
        <w:ind w:left="4260" w:hanging="420"/>
      </w:pPr>
      <w:rPr>
        <w:rFonts w:hint="default" w:ascii="Wingdings" w:hAnsi="Wingdings" w:cs="Wingdings"/>
      </w:rPr>
    </w:lvl>
  </w:abstractNum>
  <w:abstractNum w:abstractNumId="15">
    <w:nsid w:val="1363D3C1"/>
    <w:multiLevelType w:val="multilevel"/>
    <w:tmpl w:val="1363D3C1"/>
    <w:lvl w:ilvl="0" w:tentative="0">
      <w:start w:val="1"/>
      <w:numFmt w:val="bullet"/>
      <w:lvlText w:val=""/>
      <w:lvlJc w:val="left"/>
      <w:pPr>
        <w:tabs>
          <w:tab w:val="left" w:pos="0"/>
        </w:tabs>
        <w:ind w:left="900" w:hanging="420"/>
      </w:pPr>
      <w:rPr>
        <w:rFonts w:hint="default" w:ascii="Wingdings" w:hAnsi="Wingdings" w:cs="Wingdings"/>
      </w:rPr>
    </w:lvl>
    <w:lvl w:ilvl="1" w:tentative="0">
      <w:start w:val="1"/>
      <w:numFmt w:val="bullet"/>
      <w:lvlText w:val=""/>
      <w:lvlJc w:val="left"/>
      <w:pPr>
        <w:tabs>
          <w:tab w:val="left" w:pos="0"/>
        </w:tabs>
        <w:ind w:left="1320" w:hanging="420"/>
      </w:pPr>
      <w:rPr>
        <w:rFonts w:hint="default" w:ascii="Wingdings" w:hAnsi="Wingdings" w:cs="Wingdings"/>
      </w:rPr>
    </w:lvl>
    <w:lvl w:ilvl="2" w:tentative="0">
      <w:start w:val="1"/>
      <w:numFmt w:val="bullet"/>
      <w:lvlText w:val=""/>
      <w:lvlJc w:val="left"/>
      <w:pPr>
        <w:tabs>
          <w:tab w:val="left" w:pos="0"/>
        </w:tabs>
        <w:ind w:left="1740" w:hanging="420"/>
      </w:pPr>
      <w:rPr>
        <w:rFonts w:hint="default" w:ascii="Wingdings" w:hAnsi="Wingdings" w:cs="Wingdings"/>
      </w:rPr>
    </w:lvl>
    <w:lvl w:ilvl="3" w:tentative="0">
      <w:start w:val="1"/>
      <w:numFmt w:val="bullet"/>
      <w:lvlText w:val=""/>
      <w:lvlJc w:val="left"/>
      <w:pPr>
        <w:tabs>
          <w:tab w:val="left" w:pos="0"/>
        </w:tabs>
        <w:ind w:left="2160" w:hanging="420"/>
      </w:pPr>
      <w:rPr>
        <w:rFonts w:hint="default" w:ascii="Wingdings" w:hAnsi="Wingdings" w:cs="Wingdings"/>
      </w:rPr>
    </w:lvl>
    <w:lvl w:ilvl="4" w:tentative="0">
      <w:start w:val="1"/>
      <w:numFmt w:val="bullet"/>
      <w:lvlText w:val=""/>
      <w:lvlJc w:val="left"/>
      <w:pPr>
        <w:tabs>
          <w:tab w:val="left" w:pos="0"/>
        </w:tabs>
        <w:ind w:left="2580" w:hanging="420"/>
      </w:pPr>
      <w:rPr>
        <w:rFonts w:hint="default" w:ascii="Wingdings" w:hAnsi="Wingdings" w:cs="Wingdings"/>
      </w:rPr>
    </w:lvl>
    <w:lvl w:ilvl="5" w:tentative="0">
      <w:start w:val="1"/>
      <w:numFmt w:val="bullet"/>
      <w:lvlText w:val=""/>
      <w:lvlJc w:val="left"/>
      <w:pPr>
        <w:tabs>
          <w:tab w:val="left" w:pos="0"/>
        </w:tabs>
        <w:ind w:left="3000" w:hanging="420"/>
      </w:pPr>
      <w:rPr>
        <w:rFonts w:hint="default" w:ascii="Wingdings" w:hAnsi="Wingdings" w:cs="Wingdings"/>
      </w:rPr>
    </w:lvl>
    <w:lvl w:ilvl="6" w:tentative="0">
      <w:start w:val="1"/>
      <w:numFmt w:val="bullet"/>
      <w:lvlText w:val=""/>
      <w:lvlJc w:val="left"/>
      <w:pPr>
        <w:tabs>
          <w:tab w:val="left" w:pos="0"/>
        </w:tabs>
        <w:ind w:left="3420" w:hanging="420"/>
      </w:pPr>
      <w:rPr>
        <w:rFonts w:hint="default" w:ascii="Wingdings" w:hAnsi="Wingdings" w:cs="Wingdings"/>
      </w:rPr>
    </w:lvl>
    <w:lvl w:ilvl="7" w:tentative="0">
      <w:start w:val="1"/>
      <w:numFmt w:val="bullet"/>
      <w:lvlText w:val=""/>
      <w:lvlJc w:val="left"/>
      <w:pPr>
        <w:tabs>
          <w:tab w:val="left" w:pos="0"/>
        </w:tabs>
        <w:ind w:left="3840" w:hanging="420"/>
      </w:pPr>
      <w:rPr>
        <w:rFonts w:hint="default" w:ascii="Wingdings" w:hAnsi="Wingdings" w:cs="Wingdings"/>
      </w:rPr>
    </w:lvl>
    <w:lvl w:ilvl="8" w:tentative="0">
      <w:start w:val="1"/>
      <w:numFmt w:val="bullet"/>
      <w:lvlText w:val=""/>
      <w:lvlJc w:val="left"/>
      <w:pPr>
        <w:tabs>
          <w:tab w:val="left" w:pos="0"/>
        </w:tabs>
        <w:ind w:left="4260" w:hanging="420"/>
      </w:pPr>
      <w:rPr>
        <w:rFonts w:hint="default" w:ascii="Wingdings" w:hAnsi="Wingdings" w:cs="Wingdings"/>
      </w:rPr>
    </w:lvl>
  </w:abstractNum>
  <w:abstractNum w:abstractNumId="16">
    <w:nsid w:val="15D37413"/>
    <w:multiLevelType w:val="multilevel"/>
    <w:tmpl w:val="15D3741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EE0BD2D"/>
    <w:multiLevelType w:val="multilevel"/>
    <w:tmpl w:val="1EE0BD2D"/>
    <w:lvl w:ilvl="0" w:tentative="0">
      <w:start w:val="1"/>
      <w:numFmt w:val="japaneseCounting"/>
      <w:lvlText w:val="（%1）"/>
      <w:lvlJc w:val="left"/>
      <w:pPr>
        <w:tabs>
          <w:tab w:val="left" w:pos="0"/>
        </w:tabs>
        <w:ind w:left="720" w:hanging="720"/>
      </w:pPr>
      <w:rPr>
        <w:rFonts w:hint="default" w:ascii="Times New Roman" w:hAnsi="Times New Roman" w:cs="Times New Roman"/>
      </w:rPr>
    </w:lvl>
    <w:lvl w:ilvl="1" w:tentative="0">
      <w:start w:val="1"/>
      <w:numFmt w:val="lowerLetter"/>
      <w:lvlText w:val="%2)"/>
      <w:lvlJc w:val="left"/>
      <w:pPr>
        <w:tabs>
          <w:tab w:val="left" w:pos="0"/>
        </w:tabs>
        <w:ind w:left="840" w:hanging="420"/>
      </w:pPr>
      <w:rPr>
        <w:rFonts w:hint="default" w:ascii="Times New Roman" w:hAnsi="Times New Roman" w:cs="Times New Roman"/>
      </w:rPr>
    </w:lvl>
    <w:lvl w:ilvl="2" w:tentative="0">
      <w:start w:val="1"/>
      <w:numFmt w:val="lowerRoman"/>
      <w:lvlText w:val="%3."/>
      <w:lvlJc w:val="right"/>
      <w:pPr>
        <w:tabs>
          <w:tab w:val="left" w:pos="0"/>
        </w:tabs>
        <w:ind w:left="1260" w:hanging="420"/>
      </w:pPr>
      <w:rPr>
        <w:rFonts w:hint="default" w:ascii="Times New Roman" w:hAnsi="Times New Roman" w:cs="Times New Roman"/>
      </w:rPr>
    </w:lvl>
    <w:lvl w:ilvl="3" w:tentative="0">
      <w:start w:val="1"/>
      <w:numFmt w:val="decimal"/>
      <w:lvlText w:val="%4."/>
      <w:lvlJc w:val="left"/>
      <w:pPr>
        <w:tabs>
          <w:tab w:val="left" w:pos="0"/>
        </w:tabs>
        <w:ind w:left="1680" w:hanging="420"/>
      </w:pPr>
      <w:rPr>
        <w:rFonts w:hint="default" w:ascii="Times New Roman" w:hAnsi="Times New Roman" w:cs="Times New Roman"/>
      </w:rPr>
    </w:lvl>
    <w:lvl w:ilvl="4" w:tentative="0">
      <w:start w:val="1"/>
      <w:numFmt w:val="lowerLetter"/>
      <w:lvlText w:val="%5)"/>
      <w:lvlJc w:val="left"/>
      <w:pPr>
        <w:tabs>
          <w:tab w:val="left" w:pos="0"/>
        </w:tabs>
        <w:ind w:left="2100" w:hanging="420"/>
      </w:pPr>
      <w:rPr>
        <w:rFonts w:hint="default" w:ascii="Times New Roman" w:hAnsi="Times New Roman" w:cs="Times New Roman"/>
      </w:rPr>
    </w:lvl>
    <w:lvl w:ilvl="5" w:tentative="0">
      <w:start w:val="1"/>
      <w:numFmt w:val="lowerRoman"/>
      <w:lvlText w:val="%6."/>
      <w:lvlJc w:val="right"/>
      <w:pPr>
        <w:tabs>
          <w:tab w:val="left" w:pos="0"/>
        </w:tabs>
        <w:ind w:left="2520" w:hanging="420"/>
      </w:pPr>
      <w:rPr>
        <w:rFonts w:hint="default" w:ascii="Times New Roman" w:hAnsi="Times New Roman" w:cs="Times New Roman"/>
      </w:rPr>
    </w:lvl>
    <w:lvl w:ilvl="6" w:tentative="0">
      <w:start w:val="1"/>
      <w:numFmt w:val="decimal"/>
      <w:lvlText w:val="%7."/>
      <w:lvlJc w:val="left"/>
      <w:pPr>
        <w:tabs>
          <w:tab w:val="left" w:pos="0"/>
        </w:tabs>
        <w:ind w:left="2940" w:hanging="420"/>
      </w:pPr>
      <w:rPr>
        <w:rFonts w:hint="default" w:ascii="Times New Roman" w:hAnsi="Times New Roman" w:cs="Times New Roman"/>
      </w:rPr>
    </w:lvl>
    <w:lvl w:ilvl="7" w:tentative="0">
      <w:start w:val="1"/>
      <w:numFmt w:val="lowerLetter"/>
      <w:lvlText w:val="%8)"/>
      <w:lvlJc w:val="left"/>
      <w:pPr>
        <w:tabs>
          <w:tab w:val="left" w:pos="0"/>
        </w:tabs>
        <w:ind w:left="3360" w:hanging="420"/>
      </w:pPr>
      <w:rPr>
        <w:rFonts w:hint="default" w:ascii="Times New Roman" w:hAnsi="Times New Roman" w:cs="Times New Roman"/>
      </w:rPr>
    </w:lvl>
    <w:lvl w:ilvl="8" w:tentative="0">
      <w:start w:val="1"/>
      <w:numFmt w:val="lowerRoman"/>
      <w:lvlText w:val="%9."/>
      <w:lvlJc w:val="right"/>
      <w:pPr>
        <w:tabs>
          <w:tab w:val="left" w:pos="0"/>
        </w:tabs>
        <w:ind w:left="3780" w:hanging="420"/>
      </w:pPr>
      <w:rPr>
        <w:rFonts w:hint="default" w:ascii="Times New Roman" w:hAnsi="Times New Roman" w:cs="Times New Roman"/>
      </w:rPr>
    </w:lvl>
  </w:abstractNum>
  <w:abstractNum w:abstractNumId="18">
    <w:nsid w:val="24947018"/>
    <w:multiLevelType w:val="multilevel"/>
    <w:tmpl w:val="24947018"/>
    <w:lvl w:ilvl="0" w:tentative="0">
      <w:start w:val="1"/>
      <w:numFmt w:val="decimal"/>
      <w:lvlText w:val="%1"/>
      <w:lvlJc w:val="left"/>
      <w:pPr>
        <w:ind w:left="432" w:hanging="432"/>
      </w:pPr>
      <w:rPr>
        <w:rFonts w:hint="eastAsia"/>
        <w:sz w:val="44"/>
      </w:rPr>
    </w:lvl>
    <w:lvl w:ilvl="1" w:tentative="0">
      <w:start w:val="1"/>
      <w:numFmt w:val="decimal"/>
      <w:lvlText w:val="%1.%2"/>
      <w:lvlJc w:val="left"/>
      <w:pPr>
        <w:ind w:left="576" w:hanging="576"/>
      </w:pPr>
      <w:rPr>
        <w:rFonts w:ascii="宋体" w:hAnsi="宋体" w:eastAsia="宋体"/>
      </w:r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9">
    <w:nsid w:val="425FE18B"/>
    <w:multiLevelType w:val="multilevel"/>
    <w:tmpl w:val="425FE18B"/>
    <w:lvl w:ilvl="0" w:tentative="0">
      <w:start w:val="1"/>
      <w:numFmt w:val="decimal"/>
      <w:lvlText w:val="%1)"/>
      <w:lvlJc w:val="left"/>
      <w:pPr>
        <w:tabs>
          <w:tab w:val="left" w:pos="0"/>
        </w:tabs>
        <w:ind w:left="900" w:hanging="420"/>
      </w:pPr>
      <w:rPr>
        <w:rFonts w:hint="default" w:ascii="Times New Roman" w:hAnsi="Times New Roman" w:cs="Times New Roman"/>
      </w:rPr>
    </w:lvl>
    <w:lvl w:ilvl="1" w:tentative="0">
      <w:start w:val="1"/>
      <w:numFmt w:val="lowerLetter"/>
      <w:lvlText w:val="%2)"/>
      <w:lvlJc w:val="left"/>
      <w:pPr>
        <w:tabs>
          <w:tab w:val="left" w:pos="0"/>
        </w:tabs>
        <w:ind w:left="1320" w:hanging="420"/>
      </w:pPr>
      <w:rPr>
        <w:rFonts w:hint="default" w:ascii="Times New Roman" w:hAnsi="Times New Roman" w:cs="Times New Roman"/>
      </w:rPr>
    </w:lvl>
    <w:lvl w:ilvl="2" w:tentative="0">
      <w:start w:val="1"/>
      <w:numFmt w:val="lowerRoman"/>
      <w:lvlText w:val="%3."/>
      <w:lvlJc w:val="right"/>
      <w:pPr>
        <w:tabs>
          <w:tab w:val="left" w:pos="0"/>
        </w:tabs>
        <w:ind w:left="1740" w:hanging="420"/>
      </w:pPr>
      <w:rPr>
        <w:rFonts w:hint="default" w:ascii="Times New Roman" w:hAnsi="Times New Roman" w:cs="Times New Roman"/>
      </w:rPr>
    </w:lvl>
    <w:lvl w:ilvl="3" w:tentative="0">
      <w:start w:val="1"/>
      <w:numFmt w:val="decimal"/>
      <w:lvlText w:val="%4."/>
      <w:lvlJc w:val="left"/>
      <w:pPr>
        <w:tabs>
          <w:tab w:val="left" w:pos="0"/>
        </w:tabs>
        <w:ind w:left="2160" w:hanging="420"/>
      </w:pPr>
      <w:rPr>
        <w:rFonts w:hint="default" w:ascii="Times New Roman" w:hAnsi="Times New Roman" w:cs="Times New Roman"/>
      </w:rPr>
    </w:lvl>
    <w:lvl w:ilvl="4" w:tentative="0">
      <w:start w:val="1"/>
      <w:numFmt w:val="lowerLetter"/>
      <w:lvlText w:val="%5)"/>
      <w:lvlJc w:val="left"/>
      <w:pPr>
        <w:tabs>
          <w:tab w:val="left" w:pos="0"/>
        </w:tabs>
        <w:ind w:left="2580" w:hanging="420"/>
      </w:pPr>
      <w:rPr>
        <w:rFonts w:hint="default" w:ascii="Times New Roman" w:hAnsi="Times New Roman" w:cs="Times New Roman"/>
      </w:rPr>
    </w:lvl>
    <w:lvl w:ilvl="5" w:tentative="0">
      <w:start w:val="1"/>
      <w:numFmt w:val="lowerRoman"/>
      <w:lvlText w:val="%6."/>
      <w:lvlJc w:val="right"/>
      <w:pPr>
        <w:tabs>
          <w:tab w:val="left" w:pos="0"/>
        </w:tabs>
        <w:ind w:left="3000" w:hanging="420"/>
      </w:pPr>
      <w:rPr>
        <w:rFonts w:hint="default" w:ascii="Times New Roman" w:hAnsi="Times New Roman" w:cs="Times New Roman"/>
      </w:rPr>
    </w:lvl>
    <w:lvl w:ilvl="6" w:tentative="0">
      <w:start w:val="1"/>
      <w:numFmt w:val="decimal"/>
      <w:lvlText w:val="%7."/>
      <w:lvlJc w:val="left"/>
      <w:pPr>
        <w:tabs>
          <w:tab w:val="left" w:pos="0"/>
        </w:tabs>
        <w:ind w:left="3420" w:hanging="420"/>
      </w:pPr>
      <w:rPr>
        <w:rFonts w:hint="default" w:ascii="Times New Roman" w:hAnsi="Times New Roman" w:cs="Times New Roman"/>
      </w:rPr>
    </w:lvl>
    <w:lvl w:ilvl="7" w:tentative="0">
      <w:start w:val="1"/>
      <w:numFmt w:val="lowerLetter"/>
      <w:lvlText w:val="%8)"/>
      <w:lvlJc w:val="left"/>
      <w:pPr>
        <w:tabs>
          <w:tab w:val="left" w:pos="0"/>
        </w:tabs>
        <w:ind w:left="3840" w:hanging="420"/>
      </w:pPr>
      <w:rPr>
        <w:rFonts w:hint="default" w:ascii="Times New Roman" w:hAnsi="Times New Roman" w:cs="Times New Roman"/>
      </w:rPr>
    </w:lvl>
    <w:lvl w:ilvl="8" w:tentative="0">
      <w:start w:val="1"/>
      <w:numFmt w:val="lowerRoman"/>
      <w:lvlText w:val="%9."/>
      <w:lvlJc w:val="right"/>
      <w:pPr>
        <w:tabs>
          <w:tab w:val="left" w:pos="0"/>
        </w:tabs>
        <w:ind w:left="4260" w:hanging="420"/>
      </w:pPr>
      <w:rPr>
        <w:rFonts w:hint="default" w:ascii="Times New Roman" w:hAnsi="Times New Roman" w:cs="Times New Roman"/>
      </w:rPr>
    </w:lvl>
  </w:abstractNum>
  <w:abstractNum w:abstractNumId="20">
    <w:nsid w:val="5A24B44E"/>
    <w:multiLevelType w:val="multilevel"/>
    <w:tmpl w:val="5A24B44E"/>
    <w:lvl w:ilvl="0" w:tentative="0">
      <w:start w:val="1"/>
      <w:numFmt w:val="decimal"/>
      <w:lvlText w:val="%1"/>
      <w:lvlJc w:val="left"/>
      <w:pPr>
        <w:tabs>
          <w:tab w:val="left" w:pos="0"/>
        </w:tabs>
        <w:ind w:left="432" w:hanging="432"/>
      </w:pPr>
      <w:rPr>
        <w:rFonts w:hint="eastAsia" w:ascii="宋体" w:hAnsi="宋体" w:eastAsia="宋体" w:cs="宋体"/>
        <w:sz w:val="44"/>
        <w:szCs w:val="44"/>
      </w:rPr>
    </w:lvl>
    <w:lvl w:ilvl="1" w:tentative="0">
      <w:start w:val="1"/>
      <w:numFmt w:val="decimal"/>
      <w:lvlText w:val="%1.%2"/>
      <w:lvlJc w:val="left"/>
      <w:pPr>
        <w:tabs>
          <w:tab w:val="left" w:pos="0"/>
        </w:tabs>
        <w:ind w:left="576" w:hanging="576"/>
      </w:pPr>
      <w:rPr>
        <w:rFonts w:hint="eastAsia" w:ascii="宋体" w:hAnsi="宋体" w:eastAsia="宋体" w:cs="宋体"/>
      </w:rPr>
    </w:lvl>
    <w:lvl w:ilvl="2" w:tentative="0">
      <w:start w:val="1"/>
      <w:numFmt w:val="decimal"/>
      <w:lvlText w:val="%1.%2.%3"/>
      <w:lvlJc w:val="left"/>
      <w:pPr>
        <w:tabs>
          <w:tab w:val="left" w:pos="0"/>
        </w:tabs>
        <w:ind w:left="720" w:hanging="720"/>
      </w:pPr>
      <w:rPr>
        <w:rFonts w:hint="default" w:ascii="Times New Roman" w:hAnsi="Times New Roman" w:cs="Times New Roman"/>
      </w:rPr>
    </w:lvl>
    <w:lvl w:ilvl="3" w:tentative="0">
      <w:start w:val="1"/>
      <w:numFmt w:val="decimal"/>
      <w:lvlText w:val="%1.%2.%3.%4"/>
      <w:lvlJc w:val="left"/>
      <w:pPr>
        <w:tabs>
          <w:tab w:val="left" w:pos="0"/>
        </w:tabs>
        <w:ind w:left="864" w:hanging="864"/>
      </w:pPr>
      <w:rPr>
        <w:rFonts w:hint="default" w:ascii="Times New Roman" w:hAnsi="Times New Roman" w:cs="Times New Roman"/>
      </w:rPr>
    </w:lvl>
    <w:lvl w:ilvl="4" w:tentative="0">
      <w:start w:val="1"/>
      <w:numFmt w:val="decimal"/>
      <w:lvlText w:val="%1.%2.%3.%4.%5"/>
      <w:lvlJc w:val="left"/>
      <w:pPr>
        <w:tabs>
          <w:tab w:val="left" w:pos="0"/>
        </w:tabs>
        <w:ind w:left="1008" w:hanging="1008"/>
      </w:pPr>
      <w:rPr>
        <w:rFonts w:hint="default" w:ascii="Times New Roman" w:hAnsi="Times New Roman" w:cs="Times New Roman"/>
      </w:rPr>
    </w:lvl>
    <w:lvl w:ilvl="5" w:tentative="0">
      <w:start w:val="1"/>
      <w:numFmt w:val="decimal"/>
      <w:lvlText w:val="%1.%2.%3.%4.%5.%6"/>
      <w:lvlJc w:val="left"/>
      <w:pPr>
        <w:tabs>
          <w:tab w:val="left" w:pos="0"/>
        </w:tabs>
        <w:ind w:left="1152" w:hanging="1152"/>
      </w:pPr>
      <w:rPr>
        <w:rFonts w:hint="default" w:ascii="Times New Roman" w:hAnsi="Times New Roman" w:cs="Times New Roman"/>
      </w:rPr>
    </w:lvl>
    <w:lvl w:ilvl="6" w:tentative="0">
      <w:start w:val="1"/>
      <w:numFmt w:val="decimal"/>
      <w:lvlText w:val="%1.%2.%3.%4.%5.%6.%7"/>
      <w:lvlJc w:val="left"/>
      <w:pPr>
        <w:tabs>
          <w:tab w:val="left" w:pos="0"/>
        </w:tabs>
        <w:ind w:left="1296" w:hanging="1296"/>
      </w:pPr>
      <w:rPr>
        <w:rFonts w:hint="default" w:ascii="Times New Roman" w:hAnsi="Times New Roman" w:cs="Times New Roman"/>
      </w:rPr>
    </w:lvl>
    <w:lvl w:ilvl="7" w:tentative="0">
      <w:start w:val="1"/>
      <w:numFmt w:val="decimal"/>
      <w:lvlText w:val="%1.%2.%3.%4.%5.%6.%7.%8"/>
      <w:lvlJc w:val="left"/>
      <w:pPr>
        <w:tabs>
          <w:tab w:val="left" w:pos="0"/>
        </w:tabs>
        <w:ind w:left="1440" w:hanging="1440"/>
      </w:pPr>
      <w:rPr>
        <w:rFonts w:hint="default" w:ascii="Times New Roman" w:hAnsi="Times New Roman" w:cs="Times New Roman"/>
      </w:rPr>
    </w:lvl>
    <w:lvl w:ilvl="8" w:tentative="0">
      <w:start w:val="1"/>
      <w:numFmt w:val="decimal"/>
      <w:lvlText w:val="%1.%2.%3.%4.%5.%6.%7.%8.%9"/>
      <w:lvlJc w:val="left"/>
      <w:pPr>
        <w:tabs>
          <w:tab w:val="left" w:pos="0"/>
        </w:tabs>
        <w:ind w:left="1584" w:hanging="1584"/>
      </w:pPr>
      <w:rPr>
        <w:rFonts w:hint="default" w:ascii="Times New Roman" w:hAnsi="Times New Roman" w:cs="Times New Roman"/>
      </w:rPr>
    </w:lvl>
  </w:abstractNum>
  <w:abstractNum w:abstractNumId="21">
    <w:nsid w:val="6153C7B1"/>
    <w:multiLevelType w:val="multilevel"/>
    <w:tmpl w:val="6153C7B1"/>
    <w:lvl w:ilvl="0" w:tentative="0">
      <w:start w:val="1"/>
      <w:numFmt w:val="decimal"/>
      <w:lvlText w:val="(%1)"/>
      <w:lvlJc w:val="left"/>
      <w:pPr>
        <w:tabs>
          <w:tab w:val="left" w:pos="0"/>
        </w:tabs>
        <w:ind w:left="420" w:hanging="420"/>
      </w:pPr>
      <w:rPr>
        <w:rFonts w:hint="eastAsia" w:ascii="宋体" w:hAnsi="宋体" w:eastAsia="宋体" w:cs="宋体"/>
      </w:rPr>
    </w:lvl>
    <w:lvl w:ilvl="1" w:tentative="0">
      <w:start w:val="1"/>
      <w:numFmt w:val="lowerLetter"/>
      <w:lvlText w:val="%2)"/>
      <w:lvlJc w:val="left"/>
      <w:pPr>
        <w:tabs>
          <w:tab w:val="left" w:pos="0"/>
        </w:tabs>
        <w:ind w:left="840" w:hanging="420"/>
      </w:pPr>
      <w:rPr>
        <w:rFonts w:hint="default" w:ascii="Times New Roman" w:hAnsi="Times New Roman" w:cs="Times New Roman"/>
      </w:rPr>
    </w:lvl>
    <w:lvl w:ilvl="2" w:tentative="0">
      <w:start w:val="1"/>
      <w:numFmt w:val="lowerRoman"/>
      <w:lvlText w:val="%3."/>
      <w:lvlJc w:val="right"/>
      <w:pPr>
        <w:tabs>
          <w:tab w:val="left" w:pos="0"/>
        </w:tabs>
        <w:ind w:left="1260" w:hanging="420"/>
      </w:pPr>
      <w:rPr>
        <w:rFonts w:hint="default" w:ascii="Times New Roman" w:hAnsi="Times New Roman" w:cs="Times New Roman"/>
      </w:rPr>
    </w:lvl>
    <w:lvl w:ilvl="3" w:tentative="0">
      <w:start w:val="1"/>
      <w:numFmt w:val="decimal"/>
      <w:lvlText w:val="%4."/>
      <w:lvlJc w:val="left"/>
      <w:pPr>
        <w:tabs>
          <w:tab w:val="left" w:pos="0"/>
        </w:tabs>
        <w:ind w:left="1680" w:hanging="420"/>
      </w:pPr>
      <w:rPr>
        <w:rFonts w:hint="default" w:ascii="Times New Roman" w:hAnsi="Times New Roman" w:cs="Times New Roman"/>
      </w:rPr>
    </w:lvl>
    <w:lvl w:ilvl="4" w:tentative="0">
      <w:start w:val="1"/>
      <w:numFmt w:val="lowerLetter"/>
      <w:lvlText w:val="%5)"/>
      <w:lvlJc w:val="left"/>
      <w:pPr>
        <w:tabs>
          <w:tab w:val="left" w:pos="0"/>
        </w:tabs>
        <w:ind w:left="2100" w:hanging="420"/>
      </w:pPr>
      <w:rPr>
        <w:rFonts w:hint="default" w:ascii="Times New Roman" w:hAnsi="Times New Roman" w:cs="Times New Roman"/>
      </w:rPr>
    </w:lvl>
    <w:lvl w:ilvl="5" w:tentative="0">
      <w:start w:val="1"/>
      <w:numFmt w:val="lowerRoman"/>
      <w:lvlText w:val="%6."/>
      <w:lvlJc w:val="right"/>
      <w:pPr>
        <w:tabs>
          <w:tab w:val="left" w:pos="0"/>
        </w:tabs>
        <w:ind w:left="2520" w:hanging="420"/>
      </w:pPr>
      <w:rPr>
        <w:rFonts w:hint="default" w:ascii="Times New Roman" w:hAnsi="Times New Roman" w:cs="Times New Roman"/>
      </w:rPr>
    </w:lvl>
    <w:lvl w:ilvl="6" w:tentative="0">
      <w:start w:val="1"/>
      <w:numFmt w:val="decimal"/>
      <w:lvlText w:val="%7."/>
      <w:lvlJc w:val="left"/>
      <w:pPr>
        <w:tabs>
          <w:tab w:val="left" w:pos="0"/>
        </w:tabs>
        <w:ind w:left="2940" w:hanging="420"/>
      </w:pPr>
      <w:rPr>
        <w:rFonts w:hint="default" w:ascii="Times New Roman" w:hAnsi="Times New Roman" w:cs="Times New Roman"/>
      </w:rPr>
    </w:lvl>
    <w:lvl w:ilvl="7" w:tentative="0">
      <w:start w:val="1"/>
      <w:numFmt w:val="lowerLetter"/>
      <w:lvlText w:val="%8)"/>
      <w:lvlJc w:val="left"/>
      <w:pPr>
        <w:tabs>
          <w:tab w:val="left" w:pos="0"/>
        </w:tabs>
        <w:ind w:left="3360" w:hanging="420"/>
      </w:pPr>
      <w:rPr>
        <w:rFonts w:hint="default" w:ascii="Times New Roman" w:hAnsi="Times New Roman" w:cs="Times New Roman"/>
      </w:rPr>
    </w:lvl>
    <w:lvl w:ilvl="8" w:tentative="0">
      <w:start w:val="1"/>
      <w:numFmt w:val="lowerRoman"/>
      <w:lvlText w:val="%9."/>
      <w:lvlJc w:val="right"/>
      <w:pPr>
        <w:tabs>
          <w:tab w:val="left" w:pos="0"/>
        </w:tabs>
        <w:ind w:left="3780" w:hanging="420"/>
      </w:pPr>
      <w:rPr>
        <w:rFonts w:hint="default" w:ascii="Times New Roman" w:hAnsi="Times New Roman" w:cs="Times New Roman"/>
      </w:rPr>
    </w:lvl>
  </w:abstractNum>
  <w:abstractNum w:abstractNumId="22">
    <w:nsid w:val="789A6DC5"/>
    <w:multiLevelType w:val="singleLevel"/>
    <w:tmpl w:val="789A6DC5"/>
    <w:lvl w:ilvl="0" w:tentative="0">
      <w:start w:val="3"/>
      <w:numFmt w:val="decimal"/>
      <w:suff w:val="nothing"/>
      <w:lvlText w:val="%1、"/>
      <w:lvlJc w:val="left"/>
    </w:lvl>
  </w:abstractNum>
  <w:abstractNum w:abstractNumId="23">
    <w:nsid w:val="7A8D9605"/>
    <w:multiLevelType w:val="multilevel"/>
    <w:tmpl w:val="7A8D9605"/>
    <w:lvl w:ilvl="0" w:tentative="0">
      <w:start w:val="1"/>
      <w:numFmt w:val="decimal"/>
      <w:lvlText w:val="%1)"/>
      <w:lvlJc w:val="left"/>
      <w:pPr>
        <w:tabs>
          <w:tab w:val="left" w:pos="656"/>
        </w:tabs>
        <w:ind w:left="656" w:hanging="420"/>
      </w:pPr>
      <w:rPr>
        <w:rFonts w:hint="default" w:ascii="Times New Roman" w:hAnsi="Times New Roman" w:cs="Times New Roman"/>
      </w:rPr>
    </w:lvl>
    <w:lvl w:ilvl="1" w:tentative="0">
      <w:start w:val="1"/>
      <w:numFmt w:val="bullet"/>
      <w:lvlText w:val=""/>
      <w:lvlJc w:val="left"/>
      <w:pPr>
        <w:tabs>
          <w:tab w:val="left" w:pos="1076"/>
        </w:tabs>
        <w:ind w:left="1076" w:hanging="420"/>
      </w:pPr>
      <w:rPr>
        <w:rFonts w:hint="default" w:ascii="Wingdings" w:hAnsi="Wingdings" w:cs="Wingdings"/>
      </w:rPr>
    </w:lvl>
    <w:lvl w:ilvl="2" w:tentative="0">
      <w:start w:val="1"/>
      <w:numFmt w:val="lowerRoman"/>
      <w:lvlText w:val="%3."/>
      <w:lvlJc w:val="right"/>
      <w:pPr>
        <w:tabs>
          <w:tab w:val="left" w:pos="1496"/>
        </w:tabs>
        <w:ind w:left="1496" w:hanging="420"/>
      </w:pPr>
      <w:rPr>
        <w:rFonts w:hint="default" w:ascii="Times New Roman" w:hAnsi="Times New Roman" w:cs="Times New Roman"/>
      </w:rPr>
    </w:lvl>
    <w:lvl w:ilvl="3" w:tentative="0">
      <w:start w:val="1"/>
      <w:numFmt w:val="decimal"/>
      <w:lvlText w:val="%4."/>
      <w:lvlJc w:val="left"/>
      <w:pPr>
        <w:tabs>
          <w:tab w:val="left" w:pos="1916"/>
        </w:tabs>
        <w:ind w:left="1916" w:hanging="420"/>
      </w:pPr>
      <w:rPr>
        <w:rFonts w:hint="default" w:ascii="Times New Roman" w:hAnsi="Times New Roman" w:cs="Times New Roman"/>
      </w:rPr>
    </w:lvl>
    <w:lvl w:ilvl="4" w:tentative="0">
      <w:start w:val="1"/>
      <w:numFmt w:val="lowerLetter"/>
      <w:lvlText w:val="%5)"/>
      <w:lvlJc w:val="left"/>
      <w:pPr>
        <w:tabs>
          <w:tab w:val="left" w:pos="2336"/>
        </w:tabs>
        <w:ind w:left="2336" w:hanging="420"/>
      </w:pPr>
      <w:rPr>
        <w:rFonts w:hint="default" w:ascii="Times New Roman" w:hAnsi="Times New Roman" w:cs="Times New Roman"/>
      </w:rPr>
    </w:lvl>
    <w:lvl w:ilvl="5" w:tentative="0">
      <w:start w:val="1"/>
      <w:numFmt w:val="lowerRoman"/>
      <w:lvlText w:val="%6."/>
      <w:lvlJc w:val="right"/>
      <w:pPr>
        <w:tabs>
          <w:tab w:val="left" w:pos="2756"/>
        </w:tabs>
        <w:ind w:left="2756" w:hanging="420"/>
      </w:pPr>
      <w:rPr>
        <w:rFonts w:hint="default" w:ascii="Times New Roman" w:hAnsi="Times New Roman" w:cs="Times New Roman"/>
      </w:rPr>
    </w:lvl>
    <w:lvl w:ilvl="6" w:tentative="0">
      <w:start w:val="1"/>
      <w:numFmt w:val="decimal"/>
      <w:lvlText w:val="%7."/>
      <w:lvlJc w:val="left"/>
      <w:pPr>
        <w:tabs>
          <w:tab w:val="left" w:pos="3176"/>
        </w:tabs>
        <w:ind w:left="3176" w:hanging="420"/>
      </w:pPr>
      <w:rPr>
        <w:rFonts w:hint="default" w:ascii="Times New Roman" w:hAnsi="Times New Roman" w:cs="Times New Roman"/>
      </w:rPr>
    </w:lvl>
    <w:lvl w:ilvl="7" w:tentative="0">
      <w:start w:val="1"/>
      <w:numFmt w:val="lowerLetter"/>
      <w:lvlText w:val="%8)"/>
      <w:lvlJc w:val="left"/>
      <w:pPr>
        <w:tabs>
          <w:tab w:val="left" w:pos="3596"/>
        </w:tabs>
        <w:ind w:left="3596" w:hanging="420"/>
      </w:pPr>
      <w:rPr>
        <w:rFonts w:hint="default" w:ascii="Times New Roman" w:hAnsi="Times New Roman" w:cs="Times New Roman"/>
      </w:rPr>
    </w:lvl>
    <w:lvl w:ilvl="8" w:tentative="0">
      <w:start w:val="1"/>
      <w:numFmt w:val="lowerRoman"/>
      <w:lvlText w:val="%9."/>
      <w:lvlJc w:val="right"/>
      <w:pPr>
        <w:tabs>
          <w:tab w:val="left" w:pos="4016"/>
        </w:tabs>
        <w:ind w:left="4016" w:hanging="420"/>
      </w:pPr>
      <w:rPr>
        <w:rFonts w:hint="default" w:ascii="Times New Roman" w:hAnsi="Times New Roman" w:cs="Times New Roman"/>
      </w:rPr>
    </w:lvl>
  </w:abstractNum>
  <w:num w:numId="1">
    <w:abstractNumId w:val="18"/>
  </w:num>
  <w:num w:numId="2">
    <w:abstractNumId w:val="12"/>
  </w:num>
  <w:num w:numId="3">
    <w:abstractNumId w:val="20"/>
  </w:num>
  <w:num w:numId="4">
    <w:abstractNumId w:val="3"/>
  </w:num>
  <w:num w:numId="5">
    <w:abstractNumId w:val="10"/>
  </w:num>
  <w:num w:numId="6">
    <w:abstractNumId w:val="7"/>
  </w:num>
  <w:num w:numId="7">
    <w:abstractNumId w:val="19"/>
  </w:num>
  <w:num w:numId="8">
    <w:abstractNumId w:val="21"/>
  </w:num>
  <w:num w:numId="9">
    <w:abstractNumId w:val="4"/>
  </w:num>
  <w:num w:numId="10">
    <w:abstractNumId w:val="17"/>
  </w:num>
  <w:num w:numId="11">
    <w:abstractNumId w:val="11"/>
  </w:num>
  <w:num w:numId="12">
    <w:abstractNumId w:val="15"/>
  </w:num>
  <w:num w:numId="13">
    <w:abstractNumId w:val="14"/>
  </w:num>
  <w:num w:numId="14">
    <w:abstractNumId w:val="6"/>
  </w:num>
  <w:num w:numId="15">
    <w:abstractNumId w:val="9"/>
  </w:num>
  <w:num w:numId="16">
    <w:abstractNumId w:val="0"/>
  </w:num>
  <w:num w:numId="17">
    <w:abstractNumId w:val="1"/>
  </w:num>
  <w:num w:numId="18">
    <w:abstractNumId w:val="5"/>
  </w:num>
  <w:num w:numId="19">
    <w:abstractNumId w:val="2"/>
  </w:num>
  <w:num w:numId="20">
    <w:abstractNumId w:val="23"/>
  </w:num>
  <w:num w:numId="21">
    <w:abstractNumId w:val="22"/>
  </w:num>
  <w:num w:numId="22">
    <w:abstractNumId w:val="13"/>
  </w:num>
  <w:num w:numId="23">
    <w:abstractNumId w:val="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40"/>
  <w:drawingGridVerticalSpacing w:val="381"/>
  <w:displayHorizontalDrawingGridEvery w:val="0"/>
  <w:displayVerticalDrawingGridEvery w:val="2"/>
  <w:characterSpacingControl w:val="compressPunctuation"/>
  <w:doNotValidateAgainstSchema/>
  <w:doNotDemarcateInvalidXml/>
  <w:hdrShapeDefaults>
    <o:shapelayout v:ext="edit">
      <o:idmap v:ext="edit" data="2,3,4,5"/>
    </o:shapelayout>
  </w:hdrShapeDefaults>
  <w:footnotePr>
    <w:numRestart w:val="eachPage"/>
  </w:footnotePr>
  <w:endnotePr>
    <w:numRestart w:val="eachSect"/>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6F8B"/>
    <w:rsid w:val="00033F4E"/>
    <w:rsid w:val="00042144"/>
    <w:rsid w:val="0006620D"/>
    <w:rsid w:val="00082601"/>
    <w:rsid w:val="00087430"/>
    <w:rsid w:val="000B69A0"/>
    <w:rsid w:val="000C5B78"/>
    <w:rsid w:val="000F21D7"/>
    <w:rsid w:val="001D4FC1"/>
    <w:rsid w:val="00272D55"/>
    <w:rsid w:val="002B6046"/>
    <w:rsid w:val="002D4C35"/>
    <w:rsid w:val="002E4834"/>
    <w:rsid w:val="002F4922"/>
    <w:rsid w:val="00302939"/>
    <w:rsid w:val="00356F20"/>
    <w:rsid w:val="00390FE6"/>
    <w:rsid w:val="0039143B"/>
    <w:rsid w:val="0040335B"/>
    <w:rsid w:val="004322FF"/>
    <w:rsid w:val="00480E67"/>
    <w:rsid w:val="004C3A05"/>
    <w:rsid w:val="004F219E"/>
    <w:rsid w:val="004F278E"/>
    <w:rsid w:val="00515927"/>
    <w:rsid w:val="00535D78"/>
    <w:rsid w:val="00582FF7"/>
    <w:rsid w:val="005A5F5B"/>
    <w:rsid w:val="005D171A"/>
    <w:rsid w:val="005F348C"/>
    <w:rsid w:val="00611BD0"/>
    <w:rsid w:val="006325B8"/>
    <w:rsid w:val="00652C39"/>
    <w:rsid w:val="00682808"/>
    <w:rsid w:val="006A2145"/>
    <w:rsid w:val="00794230"/>
    <w:rsid w:val="007A1223"/>
    <w:rsid w:val="007E30F2"/>
    <w:rsid w:val="00835D3B"/>
    <w:rsid w:val="008577E0"/>
    <w:rsid w:val="008E75E0"/>
    <w:rsid w:val="00904310"/>
    <w:rsid w:val="009100B1"/>
    <w:rsid w:val="00912467"/>
    <w:rsid w:val="00941CEF"/>
    <w:rsid w:val="00952B82"/>
    <w:rsid w:val="0098363B"/>
    <w:rsid w:val="00A73CA8"/>
    <w:rsid w:val="00A747F2"/>
    <w:rsid w:val="00A75607"/>
    <w:rsid w:val="00A969DA"/>
    <w:rsid w:val="00AA28BD"/>
    <w:rsid w:val="00B15929"/>
    <w:rsid w:val="00C16E3D"/>
    <w:rsid w:val="00C553FE"/>
    <w:rsid w:val="00C75EE2"/>
    <w:rsid w:val="00C87C25"/>
    <w:rsid w:val="00CA23F0"/>
    <w:rsid w:val="00D04F67"/>
    <w:rsid w:val="00D05226"/>
    <w:rsid w:val="00D0564E"/>
    <w:rsid w:val="00D24718"/>
    <w:rsid w:val="00D3516F"/>
    <w:rsid w:val="00D512D8"/>
    <w:rsid w:val="00D5562B"/>
    <w:rsid w:val="00D6029C"/>
    <w:rsid w:val="00DA7BA7"/>
    <w:rsid w:val="00DC15E4"/>
    <w:rsid w:val="00DE241C"/>
    <w:rsid w:val="00F516AD"/>
    <w:rsid w:val="00F63855"/>
    <w:rsid w:val="00FA7AC0"/>
    <w:rsid w:val="01503696"/>
    <w:rsid w:val="01942525"/>
    <w:rsid w:val="042B6C46"/>
    <w:rsid w:val="06377F2C"/>
    <w:rsid w:val="06C13ABA"/>
    <w:rsid w:val="08F513DA"/>
    <w:rsid w:val="09001BF3"/>
    <w:rsid w:val="09D803DC"/>
    <w:rsid w:val="0A26642A"/>
    <w:rsid w:val="0A8C01A3"/>
    <w:rsid w:val="0AE0724A"/>
    <w:rsid w:val="0AFA42C5"/>
    <w:rsid w:val="0DFC6E71"/>
    <w:rsid w:val="104F1966"/>
    <w:rsid w:val="114A06D8"/>
    <w:rsid w:val="123A080C"/>
    <w:rsid w:val="128505D7"/>
    <w:rsid w:val="129C766D"/>
    <w:rsid w:val="13746B1F"/>
    <w:rsid w:val="13905BC1"/>
    <w:rsid w:val="143C6801"/>
    <w:rsid w:val="14891876"/>
    <w:rsid w:val="14F212AB"/>
    <w:rsid w:val="159A5317"/>
    <w:rsid w:val="1798232A"/>
    <w:rsid w:val="18B669E8"/>
    <w:rsid w:val="1A5C63C4"/>
    <w:rsid w:val="1D4665DA"/>
    <w:rsid w:val="1D4909F6"/>
    <w:rsid w:val="1E2819A6"/>
    <w:rsid w:val="1EA81E8F"/>
    <w:rsid w:val="1FE84E43"/>
    <w:rsid w:val="208C551A"/>
    <w:rsid w:val="21092A00"/>
    <w:rsid w:val="22165FC1"/>
    <w:rsid w:val="241636EE"/>
    <w:rsid w:val="244D4992"/>
    <w:rsid w:val="24757D5C"/>
    <w:rsid w:val="253E0856"/>
    <w:rsid w:val="25606D56"/>
    <w:rsid w:val="290167D3"/>
    <w:rsid w:val="290D62B1"/>
    <w:rsid w:val="29380763"/>
    <w:rsid w:val="2AC82FD4"/>
    <w:rsid w:val="2B9F302A"/>
    <w:rsid w:val="2BDD5797"/>
    <w:rsid w:val="2C194708"/>
    <w:rsid w:val="2DED0D1F"/>
    <w:rsid w:val="2F2B49C2"/>
    <w:rsid w:val="303774AA"/>
    <w:rsid w:val="308105C8"/>
    <w:rsid w:val="30BB7FBB"/>
    <w:rsid w:val="354A0CD7"/>
    <w:rsid w:val="35822983"/>
    <w:rsid w:val="37F92931"/>
    <w:rsid w:val="38FE1FBD"/>
    <w:rsid w:val="3A885DF8"/>
    <w:rsid w:val="3B12471E"/>
    <w:rsid w:val="3B5C66E2"/>
    <w:rsid w:val="3D7F0546"/>
    <w:rsid w:val="3EEF483A"/>
    <w:rsid w:val="41E46934"/>
    <w:rsid w:val="42A06A3C"/>
    <w:rsid w:val="435D160E"/>
    <w:rsid w:val="444742C5"/>
    <w:rsid w:val="444D4EF7"/>
    <w:rsid w:val="45212AA3"/>
    <w:rsid w:val="45B6577B"/>
    <w:rsid w:val="4BB65798"/>
    <w:rsid w:val="4C4208EE"/>
    <w:rsid w:val="4DB14BCF"/>
    <w:rsid w:val="4DEE642A"/>
    <w:rsid w:val="4F933D0F"/>
    <w:rsid w:val="4F9E2762"/>
    <w:rsid w:val="5078514C"/>
    <w:rsid w:val="52042243"/>
    <w:rsid w:val="52385729"/>
    <w:rsid w:val="528262BC"/>
    <w:rsid w:val="5300146C"/>
    <w:rsid w:val="53B80121"/>
    <w:rsid w:val="557F77F3"/>
    <w:rsid w:val="564071DC"/>
    <w:rsid w:val="56A54664"/>
    <w:rsid w:val="58FB1AF6"/>
    <w:rsid w:val="59EE4676"/>
    <w:rsid w:val="5A64590F"/>
    <w:rsid w:val="5E4026CE"/>
    <w:rsid w:val="5E862DF2"/>
    <w:rsid w:val="5FB827D3"/>
    <w:rsid w:val="61634383"/>
    <w:rsid w:val="61931AD5"/>
    <w:rsid w:val="61965A39"/>
    <w:rsid w:val="624B5B3C"/>
    <w:rsid w:val="62B40D3D"/>
    <w:rsid w:val="62CF144B"/>
    <w:rsid w:val="63075542"/>
    <w:rsid w:val="644165CB"/>
    <w:rsid w:val="659B10A9"/>
    <w:rsid w:val="680F5DAA"/>
    <w:rsid w:val="689D2CC9"/>
    <w:rsid w:val="69565452"/>
    <w:rsid w:val="6A0131F7"/>
    <w:rsid w:val="6B7C4F42"/>
    <w:rsid w:val="6CFB48B3"/>
    <w:rsid w:val="6D281DA8"/>
    <w:rsid w:val="6D4A2BEE"/>
    <w:rsid w:val="6D4B46B1"/>
    <w:rsid w:val="6D582400"/>
    <w:rsid w:val="6D7A1AA2"/>
    <w:rsid w:val="6E8140B3"/>
    <w:rsid w:val="6EE601AB"/>
    <w:rsid w:val="6F5140F5"/>
    <w:rsid w:val="727017A2"/>
    <w:rsid w:val="73375CE3"/>
    <w:rsid w:val="74D908CB"/>
    <w:rsid w:val="751C396C"/>
    <w:rsid w:val="77AA7B27"/>
    <w:rsid w:val="7826343A"/>
    <w:rsid w:val="796E5CBC"/>
    <w:rsid w:val="7AF30C66"/>
    <w:rsid w:val="7C6135A5"/>
    <w:rsid w:val="7D3873E1"/>
    <w:rsid w:val="7E6065D4"/>
    <w:rsid w:val="7F5C4AE6"/>
    <w:rsid w:val="7FA0666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qFormat="1" w:unhideWhenUsed="0" w:uiPriority="99" w:semiHidden="0" w:name="toc 2"/>
    <w:lsdException w:uiPriority="39" w:name="toc 3"/>
    <w:lsdException w:uiPriority="39" w:name="toc 4"/>
    <w:lsdException w:uiPriority="39" w:name="toc 5"/>
    <w:lsdException w:qFormat="1" w:unhideWhenUsed="0" w:uiPriority="99" w:semiHidden="0" w:name="toc 6"/>
    <w:lsdException w:uiPriority="39" w:name="toc 7"/>
    <w:lsdException w:uiPriority="39" w:name="toc 8"/>
    <w:lsdException w:uiPriority="39" w:name="toc 9"/>
    <w:lsdException w:unhideWhenUsed="0" w:uiPriority="0" w:semiHidden="0" w:name="Normal Indent"/>
    <w:lsdException w:unhideWhenUsed="0" w:uiPriority="0" w:semiHidden="0" w:name="footnote text"/>
    <w:lsdException w:uiPriority="99" w:semiHidden="0" w:name="annotation text"/>
    <w:lsdException w:unhideWhenUsed="0" w:uiPriority="0" w:semiHidden="0" w:name="header"/>
    <w:lsdException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nhideWhenUsed="0" w:uiPriority="0" w:semiHidden="0" w:name="footnote reference"/>
    <w:lsdException w:uiPriority="99"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nhideWhenUsed="0" w:uiPriority="0" w:semiHidden="0" w:name="List Number"/>
    <w:lsdException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nhideWhenUsed="0" w:uiPriority="0" w:semiHidden="0"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8"/>
      <w:szCs w:val="24"/>
      <w:lang w:val="en-US" w:eastAsia="zh-CN" w:bidi="ar-SA"/>
    </w:rPr>
  </w:style>
  <w:style w:type="paragraph" w:styleId="3">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4">
    <w:name w:val="heading 2"/>
    <w:basedOn w:val="1"/>
    <w:next w:val="1"/>
    <w:qFormat/>
    <w:uiPriority w:val="0"/>
    <w:pPr>
      <w:keepNext/>
      <w:keepLines/>
      <w:spacing w:before="260" w:beforeLines="0" w:after="260" w:afterLines="0" w:line="415" w:lineRule="auto"/>
      <w:outlineLvl w:val="1"/>
    </w:pPr>
    <w:rPr>
      <w:rFonts w:ascii="Arial" w:hAnsi="Arial" w:eastAsia="黑体"/>
      <w:b/>
      <w:bCs/>
      <w:sz w:val="32"/>
      <w:szCs w:val="32"/>
    </w:rPr>
  </w:style>
  <w:style w:type="paragraph" w:styleId="5">
    <w:name w:val="heading 3"/>
    <w:next w:val="1"/>
    <w:qFormat/>
    <w:uiPriority w:val="0"/>
    <w:pPr>
      <w:keepNext/>
      <w:keepLines/>
      <w:numPr>
        <w:ilvl w:val="2"/>
        <w:numId w:val="1"/>
      </w:numPr>
      <w:snapToGrid w:val="0"/>
      <w:spacing w:beforeLines="50" w:afterLines="50" w:line="300" w:lineRule="auto"/>
      <w:jc w:val="both"/>
      <w:outlineLvl w:val="2"/>
    </w:pPr>
    <w:rPr>
      <w:bCs/>
      <w:sz w:val="24"/>
      <w:lang w:val="en-US" w:eastAsia="zh-CN" w:bidi="ar-SA"/>
    </w:rPr>
  </w:style>
  <w:style w:type="paragraph" w:styleId="6">
    <w:name w:val="heading 4"/>
    <w:basedOn w:val="1"/>
    <w:next w:val="1"/>
    <w:qFormat/>
    <w:uiPriority w:val="0"/>
    <w:pPr>
      <w:keepNext/>
      <w:keepLines/>
      <w:numPr>
        <w:ilvl w:val="3"/>
        <w:numId w:val="1"/>
      </w:numPr>
      <w:snapToGrid w:val="0"/>
      <w:ind w:firstLine="0" w:firstLineChars="0"/>
      <w:outlineLvl w:val="3"/>
    </w:pPr>
    <w:rPr>
      <w:bCs/>
      <w:szCs w:val="24"/>
    </w:rPr>
  </w:style>
  <w:style w:type="character" w:default="1" w:styleId="39">
    <w:name w:val="Default Paragraph Font"/>
    <w:uiPriority w:val="0"/>
  </w:style>
  <w:style w:type="table" w:default="1" w:styleId="37">
    <w:name w:val="Normal Table"/>
    <w:unhideWhenUsed/>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Style w:val="37"/>
      <w:tblCellMar>
        <w:top w:w="0" w:type="dxa"/>
        <w:left w:w="108" w:type="dxa"/>
        <w:bottom w:w="0" w:type="dxa"/>
        <w:right w:w="108" w:type="dxa"/>
      </w:tblCellMar>
    </w:tblPr>
  </w:style>
  <w:style w:type="paragraph" w:customStyle="1" w:styleId="2">
    <w:name w:val="正文（首行缩进2字符）"/>
    <w:basedOn w:val="1"/>
    <w:qFormat/>
    <w:uiPriority w:val="0"/>
    <w:pPr>
      <w:ind w:firstLine="480" w:firstLineChars="200"/>
    </w:pPr>
    <w:rPr>
      <w:sz w:val="24"/>
      <w:szCs w:val="20"/>
    </w:rPr>
  </w:style>
  <w:style w:type="paragraph" w:styleId="7">
    <w:name w:val="List Number"/>
    <w:basedOn w:val="1"/>
    <w:uiPriority w:val="0"/>
    <w:pPr>
      <w:widowControl/>
      <w:tabs>
        <w:tab w:val="left" w:pos="454"/>
        <w:tab w:val="left" w:pos="720"/>
        <w:tab w:val="left" w:pos="900"/>
      </w:tabs>
      <w:spacing w:after="156" w:afterLines="50"/>
      <w:ind w:left="454" w:hanging="284"/>
      <w:jc w:val="left"/>
    </w:pPr>
    <w:rPr>
      <w:kern w:val="0"/>
      <w:sz w:val="24"/>
      <w:szCs w:val="20"/>
    </w:rPr>
  </w:style>
  <w:style w:type="paragraph" w:styleId="8">
    <w:name w:val="Normal Indent"/>
    <w:basedOn w:val="1"/>
    <w:next w:val="9"/>
    <w:uiPriority w:val="0"/>
    <w:pPr>
      <w:ind w:firstLine="420"/>
    </w:pPr>
    <w:rPr>
      <w:sz w:val="21"/>
      <w:szCs w:val="20"/>
    </w:rPr>
  </w:style>
  <w:style w:type="paragraph" w:styleId="9">
    <w:name w:val="toc 2"/>
    <w:basedOn w:val="1"/>
    <w:next w:val="1"/>
    <w:qFormat/>
    <w:uiPriority w:val="99"/>
    <w:pPr>
      <w:ind w:left="420" w:leftChars="200"/>
    </w:pPr>
  </w:style>
  <w:style w:type="paragraph" w:styleId="10">
    <w:name w:val="caption"/>
    <w:basedOn w:val="1"/>
    <w:next w:val="1"/>
    <w:qFormat/>
    <w:uiPriority w:val="0"/>
    <w:pPr>
      <w:spacing w:before="152" w:beforeLines="0" w:after="160" w:afterLines="0"/>
    </w:pPr>
    <w:rPr>
      <w:rFonts w:ascii="Arial" w:hAnsi="Arial" w:eastAsia="黑体" w:cs="Arial"/>
      <w:sz w:val="20"/>
      <w:szCs w:val="20"/>
    </w:rPr>
  </w:style>
  <w:style w:type="paragraph" w:styleId="11">
    <w:name w:val="annotation text"/>
    <w:basedOn w:val="1"/>
    <w:link w:val="64"/>
    <w:unhideWhenUsed/>
    <w:uiPriority w:val="99"/>
    <w:pPr>
      <w:jc w:val="left"/>
    </w:pPr>
  </w:style>
  <w:style w:type="paragraph" w:styleId="12">
    <w:name w:val="Body Text 3"/>
    <w:basedOn w:val="1"/>
    <w:uiPriority w:val="0"/>
    <w:pPr>
      <w:snapToGrid w:val="0"/>
      <w:spacing w:before="50" w:beforeLines="0" w:after="50" w:afterLines="0"/>
    </w:pPr>
    <w:rPr>
      <w:rFonts w:hAnsi="宋体" w:eastAsia="仿宋_GB2312"/>
      <w:b/>
      <w:bCs/>
      <w:sz w:val="24"/>
      <w:szCs w:val="20"/>
    </w:rPr>
  </w:style>
  <w:style w:type="paragraph" w:styleId="13">
    <w:name w:val="Body Text"/>
    <w:basedOn w:val="1"/>
    <w:uiPriority w:val="0"/>
    <w:pPr>
      <w:spacing w:after="120" w:afterLines="0"/>
    </w:pPr>
  </w:style>
  <w:style w:type="paragraph" w:styleId="14">
    <w:name w:val="Body Text Indent"/>
    <w:basedOn w:val="1"/>
    <w:next w:val="1"/>
    <w:link w:val="51"/>
    <w:uiPriority w:val="0"/>
    <w:pPr>
      <w:spacing w:line="200" w:lineRule="atLeast"/>
      <w:ind w:firstLine="301"/>
    </w:pPr>
    <w:rPr>
      <w:rFonts w:hint="eastAsia" w:ascii="宋体" w:hAnsi="Courier New"/>
      <w:spacing w:val="-4"/>
      <w:sz w:val="18"/>
      <w:szCs w:val="20"/>
    </w:rPr>
  </w:style>
  <w:style w:type="paragraph" w:styleId="15">
    <w:name w:val="List Number 3"/>
    <w:basedOn w:val="1"/>
    <w:uiPriority w:val="0"/>
    <w:pPr>
      <w:numPr>
        <w:ilvl w:val="0"/>
        <w:numId w:val="2"/>
      </w:numPr>
      <w:tabs>
        <w:tab w:val="left" w:pos="1200"/>
      </w:tabs>
      <w:ind w:left="720"/>
    </w:pPr>
    <w:rPr>
      <w:sz w:val="21"/>
    </w:rPr>
  </w:style>
  <w:style w:type="paragraph" w:styleId="16">
    <w:name w:val="List 2"/>
    <w:basedOn w:val="1"/>
    <w:uiPriority w:val="0"/>
    <w:pPr>
      <w:ind w:leftChars="200" w:hanging="200" w:hangingChars="200"/>
    </w:pPr>
  </w:style>
  <w:style w:type="paragraph" w:styleId="17">
    <w:name w:val="Block Text"/>
    <w:basedOn w:val="1"/>
    <w:uiPriority w:val="0"/>
    <w:pPr>
      <w:autoSpaceDE w:val="0"/>
      <w:autoSpaceDN w:val="0"/>
      <w:adjustRightInd w:val="0"/>
      <w:spacing w:line="240" w:lineRule="atLeast"/>
      <w:ind w:left="1797" w:rightChars="857" w:firstLine="542" w:firstLineChars="226"/>
      <w:jc w:val="left"/>
    </w:pPr>
    <w:rPr>
      <w:rFonts w:hint="eastAsia" w:ascii="宋体"/>
      <w:color w:val="000000"/>
      <w:kern w:val="0"/>
      <w:sz w:val="24"/>
    </w:rPr>
  </w:style>
  <w:style w:type="paragraph" w:styleId="18">
    <w:name w:val="Plain Text"/>
    <w:basedOn w:val="1"/>
    <w:link w:val="53"/>
    <w:uiPriority w:val="0"/>
    <w:pPr>
      <w:spacing w:before="156" w:beforeLines="50" w:after="156" w:afterLines="50" w:line="400" w:lineRule="atLeast"/>
    </w:pPr>
    <w:rPr>
      <w:rFonts w:ascii="宋体" w:hAnsi="Courier New"/>
      <w:sz w:val="24"/>
    </w:rPr>
  </w:style>
  <w:style w:type="paragraph" w:styleId="19">
    <w:name w:val="Date"/>
    <w:basedOn w:val="1"/>
    <w:next w:val="1"/>
    <w:uiPriority w:val="0"/>
    <w:pPr>
      <w:ind w:leftChars="2500"/>
    </w:pPr>
    <w:rPr>
      <w:rFonts w:eastAsia="楷体_GB2312"/>
      <w:sz w:val="32"/>
      <w:szCs w:val="20"/>
    </w:rPr>
  </w:style>
  <w:style w:type="paragraph" w:styleId="20">
    <w:name w:val="Body Text Indent 2"/>
    <w:basedOn w:val="1"/>
    <w:uiPriority w:val="0"/>
    <w:pPr>
      <w:snapToGrid w:val="0"/>
      <w:ind w:firstLine="542" w:firstLineChars="225"/>
    </w:pPr>
    <w:rPr>
      <w:rFonts w:ascii="仿宋_GB2312" w:hAnsi="宋体" w:cs="Arial"/>
      <w:b/>
      <w:bCs/>
      <w:color w:val="000000"/>
      <w:sz w:val="24"/>
    </w:rPr>
  </w:style>
  <w:style w:type="paragraph" w:styleId="21">
    <w:name w:val="Balloon Text"/>
    <w:basedOn w:val="1"/>
    <w:link w:val="49"/>
    <w:uiPriority w:val="0"/>
    <w:rPr>
      <w:sz w:val="18"/>
      <w:szCs w:val="18"/>
    </w:rPr>
  </w:style>
  <w:style w:type="paragraph" w:styleId="22">
    <w:name w:val="footer"/>
    <w:basedOn w:val="1"/>
    <w:link w:val="52"/>
    <w:uiPriority w:val="0"/>
    <w:pPr>
      <w:tabs>
        <w:tab w:val="center" w:pos="4153"/>
        <w:tab w:val="right" w:pos="8306"/>
      </w:tabs>
      <w:snapToGrid w:val="0"/>
      <w:jc w:val="left"/>
    </w:pPr>
    <w:rPr>
      <w:sz w:val="18"/>
      <w:szCs w:val="18"/>
    </w:rPr>
  </w:style>
  <w:style w:type="paragraph" w:styleId="23">
    <w:name w:val="header"/>
    <w:basedOn w:val="1"/>
    <w:link w:val="63"/>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uiPriority w:val="0"/>
    <w:rPr>
      <w:sz w:val="21"/>
    </w:rPr>
  </w:style>
  <w:style w:type="paragraph" w:styleId="25">
    <w:name w:val="Subtitle"/>
    <w:basedOn w:val="1"/>
    <w:next w:val="1"/>
    <w:qFormat/>
    <w:uiPriority w:val="11"/>
    <w:pPr>
      <w:spacing w:after="60"/>
      <w:jc w:val="center"/>
      <w:outlineLvl w:val="1"/>
    </w:pPr>
    <w:rPr>
      <w:rFonts w:ascii="Cambria" w:hAnsi="Cambria"/>
    </w:rPr>
  </w:style>
  <w:style w:type="paragraph" w:styleId="26">
    <w:name w:val="List"/>
    <w:basedOn w:val="1"/>
    <w:uiPriority w:val="0"/>
    <w:pPr>
      <w:ind w:left="200" w:hanging="200" w:hangingChars="200"/>
    </w:pPr>
  </w:style>
  <w:style w:type="paragraph" w:styleId="27">
    <w:name w:val="footnote text"/>
    <w:basedOn w:val="1"/>
    <w:uiPriority w:val="0"/>
    <w:pPr>
      <w:snapToGrid w:val="0"/>
      <w:jc w:val="left"/>
    </w:pPr>
    <w:rPr>
      <w:rFonts w:eastAsia="仿宋_GB2312"/>
      <w:sz w:val="18"/>
      <w:szCs w:val="20"/>
    </w:rPr>
  </w:style>
  <w:style w:type="paragraph" w:styleId="28">
    <w:name w:val="toc 6"/>
    <w:basedOn w:val="1"/>
    <w:next w:val="1"/>
    <w:qFormat/>
    <w:uiPriority w:val="99"/>
    <w:pPr>
      <w:ind w:left="1050"/>
      <w:jc w:val="left"/>
    </w:pPr>
    <w:rPr>
      <w:rFonts w:ascii="Calibri" w:hAnsi="Calibri" w:cs="Calibri"/>
      <w:sz w:val="18"/>
      <w:szCs w:val="18"/>
    </w:rPr>
  </w:style>
  <w:style w:type="paragraph" w:styleId="29">
    <w:name w:val="Body Text Indent 3"/>
    <w:basedOn w:val="1"/>
    <w:uiPriority w:val="0"/>
    <w:pPr>
      <w:spacing w:after="120" w:afterLines="0"/>
      <w:ind w:left="420" w:leftChars="200"/>
    </w:pPr>
    <w:rPr>
      <w:sz w:val="16"/>
      <w:szCs w:val="16"/>
    </w:rPr>
  </w:style>
  <w:style w:type="paragraph" w:styleId="30">
    <w:name w:val="Body Text 2"/>
    <w:basedOn w:val="1"/>
    <w:uiPriority w:val="0"/>
    <w:pPr>
      <w:widowControl/>
      <w:snapToGrid w:val="0"/>
      <w:spacing w:before="50" w:beforeLines="0" w:after="156" w:afterLines="50" w:line="400" w:lineRule="atLeast"/>
      <w:jc w:val="left"/>
    </w:pPr>
    <w:rPr>
      <w:rFonts w:hint="eastAsia" w:ascii="宋体" w:hAnsi="宋体"/>
      <w:color w:val="000000"/>
      <w:sz w:val="24"/>
    </w:rPr>
  </w:style>
  <w:style w:type="paragraph" w:styleId="31">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2">
    <w:name w:val="Normal (Web)"/>
    <w:basedOn w:val="1"/>
    <w:uiPriority w:val="0"/>
    <w:pPr>
      <w:widowControl/>
      <w:spacing w:before="100" w:beforeLines="0" w:beforeAutospacing="1" w:after="100" w:afterLines="0" w:afterAutospacing="1"/>
      <w:jc w:val="left"/>
    </w:pPr>
    <w:rPr>
      <w:rFonts w:ascii="宋体" w:hAnsi="宋体"/>
      <w:color w:val="000000"/>
      <w:kern w:val="0"/>
      <w:sz w:val="24"/>
    </w:rPr>
  </w:style>
  <w:style w:type="paragraph" w:styleId="33">
    <w:name w:val="Title"/>
    <w:basedOn w:val="1"/>
    <w:next w:val="1"/>
    <w:link w:val="47"/>
    <w:qFormat/>
    <w:uiPriority w:val="0"/>
    <w:pPr>
      <w:spacing w:before="240" w:beforeLines="0" w:after="60" w:afterLines="0"/>
      <w:jc w:val="center"/>
      <w:outlineLvl w:val="0"/>
    </w:pPr>
    <w:rPr>
      <w:rFonts w:ascii="Arial" w:hAnsi="Arial" w:cs="Arial"/>
      <w:b/>
      <w:bCs/>
      <w:sz w:val="32"/>
      <w:szCs w:val="32"/>
    </w:rPr>
  </w:style>
  <w:style w:type="paragraph" w:styleId="34">
    <w:name w:val="annotation subject"/>
    <w:basedOn w:val="11"/>
    <w:next w:val="11"/>
    <w:link w:val="48"/>
    <w:unhideWhenUsed/>
    <w:uiPriority w:val="99"/>
    <w:rPr>
      <w:b/>
      <w:bCs/>
    </w:rPr>
  </w:style>
  <w:style w:type="paragraph" w:styleId="35">
    <w:name w:val="Body Text First Indent"/>
    <w:basedOn w:val="13"/>
    <w:next w:val="28"/>
    <w:unhideWhenUsed/>
    <w:qFormat/>
    <w:uiPriority w:val="99"/>
    <w:pPr>
      <w:keepNext w:val="0"/>
      <w:keepLines w:val="0"/>
      <w:widowControl/>
      <w:suppressLineNumbers w:val="0"/>
      <w:spacing w:before="0" w:beforeAutospacing="0" w:after="120" w:afterAutospacing="0"/>
      <w:ind w:left="0" w:right="0" w:firstLine="420" w:firstLineChars="100"/>
      <w:jc w:val="both"/>
    </w:pPr>
    <w:rPr>
      <w:rFonts w:hint="default" w:ascii="Times New Roman" w:hAnsi="Times New Roman" w:eastAsia="宋体" w:cs="Times New Roman"/>
      <w:kern w:val="2"/>
      <w:sz w:val="24"/>
      <w:szCs w:val="20"/>
      <w:lang w:val="en-US" w:eastAsia="zh-CN" w:bidi="ar"/>
    </w:rPr>
  </w:style>
  <w:style w:type="paragraph" w:styleId="36">
    <w:name w:val="Body Text First Indent 2"/>
    <w:basedOn w:val="14"/>
    <w:qFormat/>
    <w:uiPriority w:val="0"/>
    <w:pPr>
      <w:ind w:firstLine="420"/>
    </w:pPr>
  </w:style>
  <w:style w:type="table" w:styleId="38">
    <w:name w:val="Table Grid"/>
    <w:basedOn w:val="3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Style w:val="37"/>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styleId="40">
    <w:name w:val="Strong"/>
    <w:basedOn w:val="39"/>
    <w:qFormat/>
    <w:uiPriority w:val="22"/>
    <w:rPr>
      <w:b/>
      <w:color w:val="000000"/>
    </w:rPr>
  </w:style>
  <w:style w:type="character" w:styleId="41">
    <w:name w:val="page number"/>
    <w:basedOn w:val="39"/>
    <w:uiPriority w:val="0"/>
  </w:style>
  <w:style w:type="character" w:styleId="42">
    <w:name w:val="FollowedHyperlink"/>
    <w:basedOn w:val="39"/>
    <w:unhideWhenUsed/>
    <w:uiPriority w:val="99"/>
    <w:rPr>
      <w:color w:val="800080"/>
      <w:u w:val="single"/>
    </w:rPr>
  </w:style>
  <w:style w:type="character" w:styleId="43">
    <w:name w:val="Hyperlink"/>
    <w:uiPriority w:val="0"/>
    <w:rPr>
      <w:color w:val="0000FF"/>
      <w:u w:val="single"/>
    </w:rPr>
  </w:style>
  <w:style w:type="character" w:styleId="44">
    <w:name w:val="annotation reference"/>
    <w:unhideWhenUsed/>
    <w:uiPriority w:val="99"/>
    <w:rPr>
      <w:sz w:val="21"/>
      <w:szCs w:val="21"/>
    </w:rPr>
  </w:style>
  <w:style w:type="character" w:styleId="45">
    <w:name w:val="footnote reference"/>
    <w:uiPriority w:val="0"/>
    <w:rPr>
      <w:vertAlign w:val="superscript"/>
    </w:rPr>
  </w:style>
  <w:style w:type="character" w:customStyle="1" w:styleId="46">
    <w:name w:val="bjh-strong"/>
    <w:basedOn w:val="39"/>
    <w:qFormat/>
    <w:uiPriority w:val="0"/>
  </w:style>
  <w:style w:type="character" w:customStyle="1" w:styleId="47">
    <w:name w:val="标题 Char"/>
    <w:link w:val="33"/>
    <w:uiPriority w:val="0"/>
    <w:rPr>
      <w:rFonts w:ascii="Arial" w:hAnsi="Arial" w:eastAsia="宋体" w:cs="Arial"/>
      <w:b/>
      <w:bCs/>
      <w:kern w:val="2"/>
      <w:sz w:val="32"/>
      <w:szCs w:val="32"/>
      <w:lang w:val="en-US" w:eastAsia="zh-CN" w:bidi="ar-SA"/>
    </w:rPr>
  </w:style>
  <w:style w:type="character" w:customStyle="1" w:styleId="48">
    <w:name w:val="批注主题 Char"/>
    <w:link w:val="34"/>
    <w:semiHidden/>
    <w:uiPriority w:val="99"/>
    <w:rPr>
      <w:b/>
      <w:bCs/>
      <w:kern w:val="2"/>
      <w:sz w:val="28"/>
      <w:szCs w:val="24"/>
    </w:rPr>
  </w:style>
  <w:style w:type="character" w:customStyle="1" w:styleId="49">
    <w:name w:val="批注框文本 Char"/>
    <w:link w:val="21"/>
    <w:uiPriority w:val="0"/>
    <w:rPr>
      <w:kern w:val="2"/>
      <w:sz w:val="18"/>
      <w:szCs w:val="18"/>
    </w:rPr>
  </w:style>
  <w:style w:type="character" w:customStyle="1" w:styleId="50">
    <w:name w:val="正文（首行缩进2字符） Char"/>
    <w:basedOn w:val="39"/>
    <w:uiPriority w:val="0"/>
    <w:rPr>
      <w:kern w:val="2"/>
      <w:sz w:val="24"/>
      <w:szCs w:val="24"/>
      <w:lang w:val="zh-CN"/>
    </w:rPr>
  </w:style>
  <w:style w:type="character" w:customStyle="1" w:styleId="51">
    <w:name w:val="正文文本缩进 Char"/>
    <w:basedOn w:val="39"/>
    <w:link w:val="14"/>
    <w:uiPriority w:val="0"/>
    <w:rPr>
      <w:kern w:val="2"/>
      <w:sz w:val="21"/>
      <w:szCs w:val="24"/>
    </w:rPr>
  </w:style>
  <w:style w:type="character" w:customStyle="1" w:styleId="52">
    <w:name w:val="页脚 Char"/>
    <w:link w:val="22"/>
    <w:uiPriority w:val="0"/>
    <w:rPr>
      <w:kern w:val="2"/>
      <w:sz w:val="18"/>
      <w:szCs w:val="18"/>
    </w:rPr>
  </w:style>
  <w:style w:type="character" w:customStyle="1" w:styleId="53">
    <w:name w:val="纯文本 Char"/>
    <w:link w:val="18"/>
    <w:uiPriority w:val="0"/>
    <w:rPr>
      <w:rFonts w:ascii="宋体" w:hAnsi="Courier New" w:eastAsia="宋体"/>
      <w:kern w:val="2"/>
      <w:sz w:val="24"/>
      <w:szCs w:val="24"/>
      <w:lang w:val="en-US" w:eastAsia="zh-CN" w:bidi="ar-SA"/>
    </w:rPr>
  </w:style>
  <w:style w:type="character" w:customStyle="1" w:styleId="54">
    <w:name w:val="16"/>
    <w:basedOn w:val="39"/>
    <w:uiPriority w:val="0"/>
    <w:rPr>
      <w:rFonts w:hint="default" w:ascii="Times New Roman" w:hAnsi="Times New Roman" w:cs="Times New Roman"/>
      <w:b/>
      <w:color w:val="FF6600"/>
    </w:rPr>
  </w:style>
  <w:style w:type="character" w:customStyle="1" w:styleId="55">
    <w:name w:val="17"/>
    <w:basedOn w:val="39"/>
    <w:uiPriority w:val="0"/>
    <w:rPr>
      <w:rFonts w:hint="default" w:ascii="Calibri" w:hAnsi="Calibri" w:eastAsia="宋体" w:cs="Calibri"/>
    </w:rPr>
  </w:style>
  <w:style w:type="character" w:customStyle="1" w:styleId="56">
    <w:name w:val="纯文本 Char1"/>
    <w:aliases w:val="普通文字 Char Char1,纯文本 Char Char Char,纯文本 Char Char1,普通文字 Char Char Char1,Texte Char,普通文字 Char1,普通文字1 Char,普通文字2 Char,普通文字3 Char,普通文字4 Char,普通文字5 Char,普通文字6 Char,普通文字11 Char,普通文字21 Char,普通文字31 Char,普通文字41 Char,普通文字7 Char,正 文 1 Char,小 Char,孙普文字 Char"/>
    <w:uiPriority w:val="0"/>
    <w:rPr>
      <w:rFonts w:ascii="宋体" w:hAnsi="Courier New" w:eastAsia="宋体"/>
      <w:kern w:val="2"/>
      <w:sz w:val="24"/>
      <w:szCs w:val="24"/>
      <w:lang w:val="en-US" w:eastAsia="zh-CN" w:bidi="ar-SA"/>
    </w:rPr>
  </w:style>
  <w:style w:type="character" w:customStyle="1" w:styleId="57">
    <w:name w:val="正文文本缩进 Char1"/>
    <w:basedOn w:val="39"/>
    <w:uiPriority w:val="0"/>
    <w:rPr>
      <w:kern w:val="2"/>
      <w:sz w:val="21"/>
      <w:szCs w:val="24"/>
    </w:rPr>
  </w:style>
  <w:style w:type="character" w:customStyle="1" w:styleId="58">
    <w:name w:val="style11"/>
    <w:qFormat/>
    <w:uiPriority w:val="0"/>
    <w:rPr>
      <w:b/>
      <w:bCs/>
      <w:color w:val="FF6600"/>
    </w:rPr>
  </w:style>
  <w:style w:type="character" w:customStyle="1" w:styleId="59">
    <w:name w:val="纯文本 Char1"/>
    <w:basedOn w:val="39"/>
    <w:uiPriority w:val="0"/>
    <w:rPr>
      <w:rFonts w:hint="eastAsia" w:ascii="宋体" w:hAnsi="Courier New" w:eastAsia="宋体" w:cs="Courier New"/>
      <w:kern w:val="2"/>
      <w:sz w:val="21"/>
      <w:szCs w:val="21"/>
    </w:rPr>
  </w:style>
  <w:style w:type="character" w:customStyle="1" w:styleId="60">
    <w:name w:val="10"/>
    <w:basedOn w:val="39"/>
    <w:uiPriority w:val="0"/>
    <w:rPr>
      <w:rFonts w:hint="default" w:ascii="Times New Roman" w:hAnsi="Times New Roman" w:cs="Times New Roman"/>
    </w:rPr>
  </w:style>
  <w:style w:type="character" w:customStyle="1" w:styleId="61">
    <w:name w:val="18"/>
    <w:basedOn w:val="39"/>
    <w:uiPriority w:val="0"/>
    <w:rPr>
      <w:rFonts w:hint="default" w:ascii="Times New Roman" w:hAnsi="Times New Roman" w:cs="Times New Roman"/>
    </w:rPr>
  </w:style>
  <w:style w:type="character" w:customStyle="1" w:styleId="62">
    <w:name w:val="Char Char1"/>
    <w:qFormat/>
    <w:uiPriority w:val="0"/>
    <w:rPr>
      <w:rFonts w:ascii="Calibri" w:hAnsi="Calibri" w:eastAsia="宋体"/>
      <w:lang w:bidi="ar-SA"/>
    </w:rPr>
  </w:style>
  <w:style w:type="character" w:customStyle="1" w:styleId="63">
    <w:name w:val="页眉 Char"/>
    <w:link w:val="23"/>
    <w:uiPriority w:val="0"/>
    <w:rPr>
      <w:kern w:val="2"/>
      <w:sz w:val="18"/>
      <w:szCs w:val="18"/>
    </w:rPr>
  </w:style>
  <w:style w:type="character" w:customStyle="1" w:styleId="64">
    <w:name w:val="批注文字 Char"/>
    <w:link w:val="11"/>
    <w:semiHidden/>
    <w:uiPriority w:val="99"/>
    <w:rPr>
      <w:kern w:val="2"/>
      <w:sz w:val="28"/>
      <w:szCs w:val="24"/>
    </w:rPr>
  </w:style>
  <w:style w:type="character" w:customStyle="1" w:styleId="65">
    <w:name w:val="标题 1 Char Char"/>
    <w:uiPriority w:val="0"/>
    <w:rPr>
      <w:rFonts w:eastAsia="宋体"/>
      <w:b/>
      <w:spacing w:val="-2"/>
      <w:sz w:val="24"/>
      <w:lang w:val="en-US" w:eastAsia="zh-CN" w:bidi="ar-SA"/>
    </w:rPr>
  </w:style>
  <w:style w:type="character" w:customStyle="1" w:styleId="66">
    <w:name w:val="15"/>
    <w:basedOn w:val="39"/>
    <w:uiPriority w:val="0"/>
    <w:rPr>
      <w:rFonts w:hint="default" w:ascii="Times New Roman" w:hAnsi="Times New Roman" w:cs="Times New Roman"/>
    </w:rPr>
  </w:style>
  <w:style w:type="paragraph" w:customStyle="1" w:styleId="67">
    <w:name w:val="Normal (Web)"/>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68">
    <w:name w:val="Char"/>
    <w:basedOn w:val="1"/>
    <w:uiPriority w:val="0"/>
    <w:rPr>
      <w:sz w:val="21"/>
    </w:rPr>
  </w:style>
  <w:style w:type="paragraph" w:customStyle="1" w:styleId="69">
    <w:name w:val=" Char1"/>
    <w:basedOn w:val="1"/>
    <w:uiPriority w:val="0"/>
    <w:pPr>
      <w:jc w:val="center"/>
    </w:pPr>
    <w:rPr>
      <w:rFonts w:ascii="仿宋_GB2312" w:eastAsia="仿宋_GB2312"/>
      <w:b/>
      <w:kern w:val="0"/>
      <w:sz w:val="32"/>
      <w:szCs w:val="32"/>
      <w:lang w:val="en-GB"/>
    </w:rPr>
  </w:style>
  <w:style w:type="paragraph" w:customStyle="1" w:styleId="70">
    <w:name w:val="Char1 Char Char Char"/>
    <w:basedOn w:val="1"/>
    <w:qFormat/>
    <w:uiPriority w:val="0"/>
  </w:style>
  <w:style w:type="paragraph" w:customStyle="1" w:styleId="71">
    <w:name w:val=" Char Char Char1"/>
    <w:basedOn w:val="1"/>
    <w:uiPriority w:val="0"/>
    <w:rPr>
      <w:sz w:val="21"/>
    </w:rPr>
  </w:style>
  <w:style w:type="paragraph" w:customStyle="1" w:styleId="72">
    <w:name w:val="正文_1_0"/>
    <w:qFormat/>
    <w:uiPriority w:val="0"/>
    <w:pPr>
      <w:widowControl w:val="0"/>
      <w:spacing w:after="200" w:line="276" w:lineRule="auto"/>
      <w:jc w:val="both"/>
    </w:pPr>
    <w:rPr>
      <w:rFonts w:ascii="Calibri" w:hAnsi="Calibri"/>
      <w:kern w:val="2"/>
      <w:sz w:val="21"/>
      <w:szCs w:val="24"/>
      <w:lang w:val="en-US" w:eastAsia="zh-CN" w:bidi="ar-SA"/>
    </w:rPr>
  </w:style>
  <w:style w:type="paragraph" w:customStyle="1" w:styleId="73">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paragraph" w:customStyle="1" w:styleId="74">
    <w:name w:val="正文_6"/>
    <w:qFormat/>
    <w:uiPriority w:val="0"/>
    <w:pPr>
      <w:widowControl w:val="0"/>
      <w:jc w:val="both"/>
    </w:pPr>
    <w:rPr>
      <w:kern w:val="2"/>
      <w:sz w:val="21"/>
      <w:szCs w:val="24"/>
      <w:lang w:val="en-US" w:eastAsia="zh-CN" w:bidi="ar-SA"/>
    </w:rPr>
  </w:style>
  <w:style w:type="paragraph" w:customStyle="1" w:styleId="75">
    <w:name w:val="Style1"/>
    <w:basedOn w:val="1"/>
    <w:qFormat/>
    <w:uiPriority w:val="0"/>
    <w:pPr>
      <w:widowControl/>
      <w:tabs>
        <w:tab w:val="left" w:pos="-720"/>
      </w:tabs>
      <w:spacing w:after="120" w:afterLines="0"/>
    </w:pPr>
    <w:rPr>
      <w:rFonts w:ascii="Times New Roman" w:hAnsi="Times New Roman" w:eastAsia="宋体" w:cs="Times New Roman"/>
      <w:spacing w:val="-3"/>
      <w:kern w:val="0"/>
      <w:sz w:val="24"/>
      <w:szCs w:val="20"/>
      <w:lang w:val="en-AU" w:eastAsia="en-US"/>
    </w:rPr>
  </w:style>
  <w:style w:type="paragraph" w:customStyle="1" w:styleId="76">
    <w:name w:val="默认段落字体 Para Char Char Char Char Char Char Char Char Char1 Char Char Char Char"/>
    <w:basedOn w:val="1"/>
    <w:uiPriority w:val="0"/>
    <w:rPr>
      <w:rFonts w:ascii="Tahoma" w:hAnsi="Tahoma"/>
      <w:sz w:val="24"/>
      <w:szCs w:val="20"/>
    </w:rPr>
  </w:style>
  <w:style w:type="paragraph" w:customStyle="1" w:styleId="77">
    <w:name w:val="hik 正文"/>
    <w:basedOn w:val="1"/>
    <w:qFormat/>
    <w:uiPriority w:val="0"/>
    <w:pPr>
      <w:adjustRightInd/>
      <w:ind w:firstLine="480"/>
      <w:textAlignment w:val="auto"/>
    </w:pPr>
    <w:rPr>
      <w:szCs w:val="24"/>
    </w:rPr>
  </w:style>
  <w:style w:type="paragraph" w:customStyle="1" w:styleId="78">
    <w:name w:val="WPSOffice手动目录 1"/>
    <w:uiPriority w:val="0"/>
    <w:rPr>
      <w:lang w:val="en-US" w:eastAsia="zh-CN" w:bidi="ar-SA"/>
    </w:rPr>
  </w:style>
  <w:style w:type="paragraph" w:customStyle="1" w:styleId="79">
    <w:name w:val="样式 列出段落 + 首行缩进:  2 字符"/>
    <w:basedOn w:val="80"/>
    <w:qFormat/>
    <w:uiPriority w:val="0"/>
    <w:pPr>
      <w:ind w:firstLine="200"/>
    </w:pPr>
    <w:rPr>
      <w:rFonts w:cs="宋体"/>
    </w:rPr>
  </w:style>
  <w:style w:type="paragraph" w:customStyle="1" w:styleId="80">
    <w:name w:val="列出段落1"/>
    <w:basedOn w:val="1"/>
    <w:qFormat/>
    <w:uiPriority w:val="0"/>
    <w:pPr>
      <w:ind w:firstLine="420"/>
    </w:pPr>
  </w:style>
  <w:style w:type="paragraph" w:customStyle="1" w:styleId="81">
    <w:name w:val="列出段落4"/>
    <w:basedOn w:val="1"/>
    <w:qFormat/>
    <w:uiPriority w:val="99"/>
    <w:pPr>
      <w:adjustRightInd/>
      <w:ind w:firstLine="420"/>
      <w:textAlignment w:val="auto"/>
    </w:pPr>
    <w:rPr>
      <w:kern w:val="2"/>
      <w:szCs w:val="24"/>
    </w:rPr>
  </w:style>
  <w:style w:type="paragraph" w:customStyle="1" w:styleId="82">
    <w:name w:val="标准中文版式_正文"/>
    <w:basedOn w:val="1"/>
    <w:qFormat/>
    <w:uiPriority w:val="0"/>
    <w:pPr>
      <w:spacing w:before="30" w:beforeLines="0" w:line="360" w:lineRule="auto"/>
      <w:ind w:firstLineChars="200"/>
    </w:pPr>
    <w:rPr>
      <w:rFonts w:ascii="Arial" w:hAnsi="Arial"/>
      <w:sz w:val="24"/>
    </w:rPr>
  </w:style>
  <w:style w:type="paragraph" w:customStyle="1" w:styleId="83">
    <w:name w:val="表内文字"/>
    <w:basedOn w:val="1"/>
    <w:uiPriority w:val="0"/>
    <w:pPr>
      <w:tabs>
        <w:tab w:val="left" w:pos="1418"/>
      </w:tabs>
      <w:spacing w:line="360" w:lineRule="auto"/>
      <w:jc w:val="center"/>
    </w:pPr>
    <w:rPr>
      <w:rFonts w:hint="eastAsia" w:ascii="仿宋_GB2312" w:eastAsia="仿宋_GB2312"/>
      <w:spacing w:val="-20"/>
      <w:kern w:val="0"/>
      <w:sz w:val="24"/>
    </w:rPr>
  </w:style>
  <w:style w:type="paragraph" w:customStyle="1" w:styleId="84">
    <w:name w:val="纯文本1"/>
    <w:basedOn w:val="1"/>
    <w:qFormat/>
    <w:uiPriority w:val="0"/>
    <w:pPr>
      <w:adjustRightInd w:val="0"/>
      <w:textAlignment w:val="baseline"/>
    </w:pPr>
    <w:rPr>
      <w:rFonts w:ascii="宋体" w:hAnsi="Courier New" w:eastAsia="楷体_GB2312"/>
      <w:sz w:val="28"/>
      <w:szCs w:val="20"/>
    </w:rPr>
  </w:style>
  <w:style w:type="paragraph" w:customStyle="1" w:styleId="85">
    <w:name w:val="正文1.25"/>
    <w:basedOn w:val="79"/>
    <w:qFormat/>
    <w:uiPriority w:val="0"/>
    <w:pPr>
      <w:ind w:firstLine="480"/>
    </w:pPr>
    <w:rPr>
      <w:rFonts w:cs="Times New Roman"/>
    </w:rPr>
  </w:style>
  <w:style w:type="paragraph" w:customStyle="1" w:styleId="86">
    <w:name w:val="样式 首行缩进:  0 字符"/>
    <w:basedOn w:val="1"/>
    <w:qFormat/>
    <w:uiPriority w:val="0"/>
    <w:pPr>
      <w:adjustRightInd/>
      <w:textAlignment w:val="auto"/>
    </w:pPr>
    <w:rPr>
      <w:rFonts w:ascii="宋体" w:hAnsi="宋体" w:cs="宋体"/>
      <w:snapToGrid w:val="0"/>
    </w:rPr>
  </w:style>
  <w:style w:type="paragraph" w:customStyle="1" w:styleId="87">
    <w:name w:val="￥正文"/>
    <w:basedOn w:val="1"/>
    <w:qFormat/>
    <w:uiPriority w:val="0"/>
    <w:pPr>
      <w:adjustRightInd/>
      <w:textAlignment w:val="auto"/>
    </w:pPr>
    <w:rPr>
      <w:lang w:eastAsia="en-US"/>
    </w:rPr>
  </w:style>
  <w:style w:type="paragraph" w:customStyle="1" w:styleId="88">
    <w:name w:val="无间隔1"/>
    <w:basedOn w:val="1"/>
    <w:uiPriority w:val="0"/>
    <w:pPr>
      <w:widowControl/>
      <w:adjustRightInd w:val="0"/>
      <w:snapToGrid w:val="0"/>
      <w:jc w:val="left"/>
    </w:pPr>
    <w:rPr>
      <w:rFonts w:ascii="Tahoma" w:hAnsi="Tahoma" w:eastAsia="微软雅黑"/>
      <w:kern w:val="0"/>
      <w:sz w:val="22"/>
      <w:szCs w:val="22"/>
    </w:rPr>
  </w:style>
  <w:style w:type="paragraph" w:customStyle="1" w:styleId="89">
    <w:name w:val="List Paragraph"/>
    <w:basedOn w:val="1"/>
    <w:uiPriority w:val="0"/>
    <w:pPr>
      <w:keepNext w:val="0"/>
      <w:keepLines w:val="0"/>
      <w:widowControl w:val="0"/>
      <w:suppressLineNumbers w:val="0"/>
      <w:adjustRightInd/>
      <w:spacing w:before="0" w:beforeAutospacing="0" w:after="0" w:afterAutospacing="0" w:line="240" w:lineRule="auto"/>
      <w:ind w:left="0" w:right="0" w:firstLine="420" w:firstLineChars="200"/>
      <w:jc w:val="both"/>
      <w:textAlignment w:val="auto"/>
    </w:pPr>
    <w:rPr>
      <w:rFonts w:hint="default" w:ascii="Calibri" w:hAnsi="Calibri" w:eastAsia="宋体" w:cs="Times New Roman"/>
      <w:kern w:val="2"/>
      <w:sz w:val="24"/>
      <w:szCs w:val="24"/>
      <w:lang w:val="en-US" w:eastAsia="zh-CN" w:bidi="ar"/>
    </w:rPr>
  </w:style>
  <w:style w:type="paragraph" w:customStyle="1" w:styleId="90">
    <w:name w:val="*正文"/>
    <w:basedOn w:val="1"/>
    <w:qFormat/>
    <w:uiPriority w:val="0"/>
    <w:pPr>
      <w:adjustRightInd/>
      <w:ind w:firstLine="482" w:firstLineChars="0"/>
      <w:textAlignment w:val="auto"/>
    </w:pPr>
    <w:rPr>
      <w:rFonts w:ascii="宋体" w:hAnsi="宋体"/>
    </w:rPr>
  </w:style>
  <w:style w:type="paragraph" w:customStyle="1" w:styleId="91">
    <w:name w:val="正文（缩进）"/>
    <w:basedOn w:val="1"/>
    <w:qFormat/>
    <w:uiPriority w:val="0"/>
    <w:pPr>
      <w:adjustRightInd/>
      <w:spacing w:beforeLines="50"/>
      <w:ind w:firstLine="480"/>
      <w:textAlignment w:val="auto"/>
    </w:pPr>
    <w:rPr>
      <w:szCs w:val="24"/>
    </w:rPr>
  </w:style>
  <w:style w:type="paragraph" w:customStyle="1" w:styleId="92">
    <w:name w:val="样式 标题 2 + Times New Roman 四号 非加粗 段前: 5 磅 段后: 0 磅 行距: 固定值 20..."/>
    <w:basedOn w:val="4"/>
    <w:uiPriority w:val="0"/>
    <w:pPr>
      <w:spacing w:before="100" w:beforeLines="0" w:after="0" w:afterLines="0" w:line="400" w:lineRule="exact"/>
    </w:pPr>
    <w:rPr>
      <w:rFonts w:ascii="Times New Roman" w:hAnsi="Times New Roman" w:cs="宋体"/>
      <w:b w:val="0"/>
      <w:bCs w:val="0"/>
      <w:sz w:val="28"/>
      <w:szCs w:val="20"/>
    </w:rPr>
  </w:style>
  <w:style w:type="paragraph" w:customStyle="1" w:styleId="93">
    <w:name w:val="列出段落111"/>
    <w:basedOn w:val="1"/>
    <w:qFormat/>
    <w:uiPriority w:val="99"/>
    <w:pPr>
      <w:adjustRightInd/>
      <w:ind w:firstLine="420"/>
      <w:textAlignment w:val="auto"/>
    </w:pPr>
    <w:rPr>
      <w:kern w:val="2"/>
    </w:rPr>
  </w:style>
  <w:style w:type="paragraph" w:customStyle="1" w:styleId="94">
    <w:name w:val="段"/>
    <w:qFormat/>
    <w:uiPriority w:val="0"/>
    <w:pPr>
      <w:tabs>
        <w:tab w:val="center" w:pos="4201"/>
        <w:tab w:val="right" w:leader="dot" w:pos="9298"/>
      </w:tabs>
      <w:autoSpaceDE w:val="0"/>
      <w:autoSpaceDN w:val="0"/>
      <w:ind w:firstLine="420" w:firstLineChars="200"/>
      <w:jc w:val="both"/>
    </w:pPr>
    <w:rPr>
      <w:rFonts w:ascii="宋体" w:hAnsi="Calibri"/>
      <w:sz w:val="21"/>
      <w:szCs w:val="22"/>
      <w:lang w:val="en-US" w:eastAsia="zh-CN" w:bidi="ar-SA"/>
    </w:rPr>
  </w:style>
  <w:style w:type="paragraph" w:customStyle="1" w:styleId="95">
    <w:name w:val="正文1"/>
    <w:basedOn w:val="1"/>
    <w:qFormat/>
    <w:uiPriority w:val="0"/>
    <w:pPr>
      <w:adjustRightInd/>
      <w:ind w:firstLine="480"/>
      <w:textAlignment w:val="auto"/>
    </w:pPr>
    <w:rPr>
      <w:kern w:val="2"/>
    </w:rPr>
  </w:style>
  <w:style w:type="paragraph" w:customStyle="1" w:styleId="96">
    <w:name w:val="_Style 10"/>
    <w:basedOn w:val="1"/>
    <w:uiPriority w:val="0"/>
    <w:rPr>
      <w:rFonts w:ascii="Tahoma" w:hAnsi="Tahoma"/>
      <w:sz w:val="24"/>
      <w:szCs w:val="20"/>
    </w:rPr>
  </w:style>
  <w:style w:type="paragraph" w:customStyle="1" w:styleId="97">
    <w:name w:val=" Char"/>
    <w:basedOn w:val="1"/>
    <w:uiPriority w:val="0"/>
    <w:rPr>
      <w:sz w:val="24"/>
    </w:rPr>
  </w:style>
  <w:style w:type="paragraph" w:customStyle="1" w:styleId="98">
    <w:name w:val="_Style 3"/>
    <w:qFormat/>
    <w:uiPriority w:val="1"/>
    <w:pPr>
      <w:widowControl w:val="0"/>
      <w:jc w:val="both"/>
    </w:pPr>
    <w:rPr>
      <w:rFonts w:ascii="Calibri" w:hAnsi="Calibri"/>
      <w:kern w:val="2"/>
      <w:sz w:val="21"/>
      <w:szCs w:val="22"/>
      <w:lang w:val="en-US" w:eastAsia="zh-CN" w:bidi="ar-SA"/>
    </w:rPr>
  </w:style>
  <w:style w:type="paragraph" w:customStyle="1" w:styleId="99">
    <w:name w:val=" Char2"/>
    <w:basedOn w:val="1"/>
    <w:next w:val="1"/>
    <w:uiPriority w:val="0"/>
    <w:pPr>
      <w:spacing w:before="120" w:beforeLines="0" w:line="360" w:lineRule="auto"/>
      <w:ind w:firstLine="425"/>
    </w:pPr>
    <w:rPr>
      <w:sz w:val="24"/>
    </w:rPr>
  </w:style>
  <w:style w:type="paragraph" w:customStyle="1" w:styleId="100">
    <w:name w:val="样式 首行缩进: 0 字符"/>
    <w:basedOn w:val="1"/>
    <w:uiPriority w:val="0"/>
    <w:pPr>
      <w:keepNext w:val="0"/>
      <w:keepLines w:val="0"/>
      <w:widowControl w:val="0"/>
      <w:suppressLineNumbers w:val="0"/>
      <w:adjustRightInd/>
      <w:spacing w:before="0" w:beforeAutospacing="0" w:after="0" w:afterAutospacing="0" w:line="360" w:lineRule="auto"/>
      <w:ind w:left="0" w:right="0" w:firstLine="200" w:firstLineChars="200"/>
      <w:jc w:val="both"/>
      <w:textAlignment w:val="auto"/>
    </w:pPr>
    <w:rPr>
      <w:rFonts w:hint="eastAsia" w:ascii="宋体" w:hAnsi="宋体" w:eastAsia="宋体" w:cs="宋体"/>
      <w:kern w:val="0"/>
      <w:sz w:val="24"/>
      <w:szCs w:val="24"/>
      <w:lang w:val="en-US" w:eastAsia="zh-CN" w:bidi="ar"/>
    </w:rPr>
  </w:style>
  <w:style w:type="paragraph" w:customStyle="1" w:styleId="101">
    <w:name w:val="默认"/>
    <w:uiPriority w:val="0"/>
    <w:rPr>
      <w:rFonts w:hint="eastAsia" w:ascii="Arial Unicode MS" w:hAnsi="Arial Unicode MS" w:eastAsia="Helvetica" w:cs="Arial Unicode MS"/>
      <w:color w:val="000000"/>
      <w:sz w:val="22"/>
      <w:szCs w:val="22"/>
      <w:lang w:val="zh-CN" w:eastAsia="zh-CN" w:bidi="ar-SA"/>
    </w:rPr>
  </w:style>
  <w:style w:type="paragraph" w:customStyle="1" w:styleId="102">
    <w:name w:val="首行缩进"/>
    <w:basedOn w:val="1"/>
    <w:qFormat/>
    <w:uiPriority w:val="0"/>
    <w:pPr>
      <w:spacing w:line="360" w:lineRule="auto"/>
      <w:ind w:firstLine="720"/>
    </w:pPr>
    <w:rPr>
      <w:szCs w:val="21"/>
    </w:rPr>
  </w:style>
  <w:style w:type="paragraph" w:customStyle="1" w:styleId="103">
    <w:name w:val="Blockquote"/>
    <w:basedOn w:val="1"/>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04">
    <w:name w:val="Char1"/>
    <w:basedOn w:val="1"/>
    <w:uiPriority w:val="0"/>
    <w:rPr>
      <w:rFonts w:ascii="Tahoma" w:hAnsi="Tahoma"/>
      <w:sz w:val="24"/>
      <w:szCs w:val="20"/>
    </w:rPr>
  </w:style>
  <w:style w:type="paragraph" w:styleId="105">
    <w:name w:val="List Paragraph"/>
    <w:basedOn w:val="1"/>
    <w:qFormat/>
    <w:uiPriority w:val="0"/>
    <w:pPr>
      <w:ind w:firstLine="420" w:firstLineChars="200"/>
    </w:pPr>
    <w:rPr>
      <w:rFonts w:ascii="Calibri" w:hAnsi="Calibri"/>
      <w:szCs w:val="22"/>
    </w:rPr>
  </w:style>
  <w:style w:type="paragraph" w:customStyle="1" w:styleId="106">
    <w:name w:val="正文段"/>
    <w:basedOn w:val="1"/>
    <w:uiPriority w:val="0"/>
    <w:pPr>
      <w:widowControl/>
      <w:snapToGrid w:val="0"/>
      <w:spacing w:after="156" w:afterLines="50"/>
      <w:ind w:firstLine="200" w:firstLineChars="200"/>
    </w:pPr>
    <w:rPr>
      <w:kern w:val="0"/>
      <w:sz w:val="24"/>
      <w:szCs w:val="20"/>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2.png" Type="http://schemas.openxmlformats.org/officeDocument/2006/relationships/image"/><Relationship Id="rId11" Target="media/image3.jpe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settings.xml" Type="http://schemas.openxmlformats.org/officeDocument/2006/relationships/settings"/><Relationship Id="rId20" Target="media/image12.png" Type="http://schemas.openxmlformats.org/officeDocument/2006/relationships/image"/><Relationship Id="rId21" Target="media/image13.jpe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jpeg" Type="http://schemas.openxmlformats.org/officeDocument/2006/relationships/image"/><Relationship Id="rId25" Target="media/image17.pn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png" Type="http://schemas.openxmlformats.org/officeDocument/2006/relationships/image"/><Relationship Id="rId29" Target="media/image21.jpeg" Type="http://schemas.openxmlformats.org/officeDocument/2006/relationships/image"/><Relationship Id="rId3" Target="header1.xml" Type="http://schemas.openxmlformats.org/officeDocument/2006/relationships/header"/><Relationship Id="rId30" Target="media/image22.jpeg" Type="http://schemas.openxmlformats.org/officeDocument/2006/relationships/image"/><Relationship Id="rId31" Target="media/image23.png" Type="http://schemas.openxmlformats.org/officeDocument/2006/relationships/image"/><Relationship Id="rId32" Target="media/image24.jpeg" Type="http://schemas.openxmlformats.org/officeDocument/2006/relationships/image"/><Relationship Id="rId33" Target="media/image25.jpeg" Type="http://schemas.openxmlformats.org/officeDocument/2006/relationships/image"/><Relationship Id="rId34" Target="media/image26.png" Type="http://schemas.openxmlformats.org/officeDocument/2006/relationships/image"/><Relationship Id="rId35" Target="../customXml/item1.xml" Type="http://schemas.openxmlformats.org/officeDocument/2006/relationships/customXml"/><Relationship Id="rId36" Target="numbering.xml" Type="http://schemas.openxmlformats.org/officeDocument/2006/relationships/numbering"/><Relationship Id="rId37" Target="fontTable.xml" Type="http://schemas.openxmlformats.org/officeDocument/2006/relationships/fontTable"/><Relationship Id="rId4" Target="footer1.xml" Type="http://schemas.openxmlformats.org/officeDocument/2006/relationships/footer"/><Relationship Id="rId5" Target="header2.xml" Type="http://schemas.openxmlformats.org/officeDocument/2006/relationships/header"/><Relationship Id="rId6" Target="footer2.xml" Type="http://schemas.openxmlformats.org/officeDocument/2006/relationships/footer"/><Relationship Id="rId7" Target="footer3.xml" Type="http://schemas.openxmlformats.org/officeDocument/2006/relationships/footer"/><Relationship Id="rId8" Target="theme/theme1.xml" Type="http://schemas.openxmlformats.org/officeDocument/2006/relationships/theme"/><Relationship Id="rId9" Target="media/image1.png" Type="http://schemas.openxmlformats.org/officeDocument/2006/relationships/imag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190</Pages>
  <Words>17627</Words>
  <Characters>100476</Characters>
  <Lines>837</Lines>
  <Paragraphs>235</Paragraphs>
  <TotalTime>6</TotalTime>
  <ScaleCrop>false</ScaleCrop>
  <LinksUpToDate>false</LinksUpToDate>
  <CharactersWithSpaces>117868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2019-04-01T00:50:00Z</dcterms:created>
  <dc:creator>费国炎</dc:creator>
  <cp:lastModifiedBy>WPS_1701756769</cp:lastModifiedBy>
  <cp:lastPrinted>2020-09-24T05:57:30Z</cp:lastPrinted>
  <dcterms:modified xsi:type="dcterms:W3CDTF">2024-01-31T02:20:46Z</dcterms:modified>
  <cp:revision>5</cp:revision>
  <dc:title>浙江省政府采购招标文件（范本）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38C80D97DA554EDCB8EF8D59E7624A2F_13</vt:lpwstr>
  </property>
</Properties>
</file>