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宋体" w:hAnsi="宋体" w:eastAsia="宋体" w:cs="宋体"/>
          <w:color w:val="auto"/>
          <w:sz w:val="52"/>
          <w:szCs w:val="52"/>
          <w:highlight w:val="none"/>
        </w:rPr>
      </w:pPr>
    </w:p>
    <w:p>
      <w:pPr>
        <w:adjustRightInd/>
        <w:spacing w:line="360" w:lineRule="auto"/>
        <w:ind w:left="638" w:leftChars="304" w:right="752" w:rightChars="358" w:firstLine="0" w:firstLineChars="0"/>
        <w:jc w:val="center"/>
        <w:rPr>
          <w:rFonts w:hint="eastAsia" w:ascii="宋体" w:hAnsi="宋体" w:eastAsia="宋体" w:cs="宋体"/>
          <w:b/>
          <w:bCs/>
          <w:color w:val="auto"/>
          <w:sz w:val="44"/>
          <w:szCs w:val="44"/>
          <w:highlight w:val="none"/>
          <w:lang w:eastAsia="zh-CN"/>
        </w:rPr>
      </w:pPr>
      <w:r>
        <w:rPr>
          <w:rFonts w:hint="eastAsia" w:ascii="宋体" w:hAnsi="宋体" w:cs="宋体"/>
          <w:b/>
          <w:bCs/>
          <w:color w:val="auto"/>
          <w:sz w:val="52"/>
          <w:szCs w:val="52"/>
          <w:highlight w:val="none"/>
          <w:lang w:eastAsia="zh-CN"/>
        </w:rPr>
        <w:t>嘉兴市第一医院高质量发展咨询辅导项目</w:t>
      </w:r>
    </w:p>
    <w:p>
      <w:pPr>
        <w:adjustRightInd/>
        <w:spacing w:line="360" w:lineRule="auto"/>
        <w:jc w:val="both"/>
        <w:rPr>
          <w:rFonts w:hint="eastAsia" w:ascii="宋体" w:hAnsi="宋体" w:eastAsia="宋体" w:cs="宋体"/>
          <w:color w:val="auto"/>
          <w:sz w:val="48"/>
          <w:szCs w:val="48"/>
          <w:highlight w:val="none"/>
        </w:rPr>
      </w:pPr>
    </w:p>
    <w:p>
      <w:pPr>
        <w:adjustRightInd/>
        <w:spacing w:line="360" w:lineRule="auto"/>
        <w:jc w:val="center"/>
        <w:rPr>
          <w:rFonts w:hint="eastAsia" w:ascii="宋体" w:hAnsi="宋体" w:eastAsia="宋体" w:cs="宋体"/>
          <w:b/>
          <w:bCs/>
          <w:color w:val="auto"/>
          <w:sz w:val="84"/>
          <w:szCs w:val="84"/>
          <w:highlight w:val="none"/>
        </w:rPr>
      </w:pPr>
      <w:r>
        <w:rPr>
          <w:rFonts w:hint="eastAsia" w:ascii="宋体" w:hAnsi="宋体" w:eastAsia="宋体" w:cs="宋体"/>
          <w:b/>
          <w:bCs/>
          <w:color w:val="auto"/>
          <w:sz w:val="84"/>
          <w:szCs w:val="84"/>
          <w:highlight w:val="none"/>
        </w:rPr>
        <w:t>招标文件</w:t>
      </w:r>
    </w:p>
    <w:p>
      <w:pPr>
        <w:adjustRightInd/>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（电子招投标）</w:t>
      </w:r>
    </w:p>
    <w:p>
      <w:pPr>
        <w:snapToGrid w:val="0"/>
        <w:spacing w:line="360" w:lineRule="auto"/>
        <w:jc w:val="center"/>
        <w:rPr>
          <w:rFonts w:hint="eastAsia" w:ascii="宋体" w:hAnsi="宋体" w:eastAsia="宋体" w:cs="宋体"/>
          <w:color w:val="auto"/>
          <w:sz w:val="30"/>
          <w:szCs w:val="30"/>
          <w:highlight w:val="none"/>
        </w:rPr>
      </w:pPr>
    </w:p>
    <w:p>
      <w:pPr>
        <w:snapToGrid w:val="0"/>
        <w:spacing w:line="360" w:lineRule="auto"/>
        <w:jc w:val="center"/>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rPr>
        <w:t>招标编号：</w:t>
      </w:r>
      <w:r>
        <w:rPr>
          <w:rFonts w:hint="eastAsia" w:ascii="宋体" w:hAnsi="宋体" w:cs="宋体"/>
          <w:b/>
          <w:bCs/>
          <w:color w:val="auto"/>
          <w:sz w:val="32"/>
          <w:szCs w:val="32"/>
          <w:highlight w:val="none"/>
          <w:lang w:eastAsia="zh-CN"/>
        </w:rPr>
        <w:t>中浙-CZTC22034</w:t>
      </w:r>
    </w:p>
    <w:p>
      <w:pPr>
        <w:adjustRightInd/>
        <w:spacing w:line="360" w:lineRule="auto"/>
        <w:rPr>
          <w:rFonts w:hint="eastAsia" w:ascii="宋体" w:hAnsi="宋体" w:eastAsia="宋体" w:cs="宋体"/>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 xml:space="preserve"> </w:t>
      </w:r>
    </w:p>
    <w:p>
      <w:pPr>
        <w:spacing w:line="360" w:lineRule="auto"/>
        <w:jc w:val="center"/>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color w:val="auto"/>
          <w:sz w:val="32"/>
          <w:szCs w:val="32"/>
          <w:highlight w:val="none"/>
        </w:rPr>
      </w:pPr>
    </w:p>
    <w:p>
      <w:pPr>
        <w:spacing w:line="360" w:lineRule="auto"/>
        <w:rPr>
          <w:rFonts w:hint="eastAsia" w:ascii="宋体" w:hAnsi="宋体" w:eastAsia="宋体" w:cs="宋体"/>
          <w:color w:val="auto"/>
          <w:sz w:val="32"/>
          <w:szCs w:val="32"/>
          <w:highlight w:val="none"/>
        </w:rPr>
      </w:pPr>
    </w:p>
    <w:p>
      <w:pPr>
        <w:spacing w:line="360" w:lineRule="auto"/>
        <w:ind w:left="0" w:leftChars="0" w:firstLine="1484" w:firstLineChars="462"/>
        <w:rPr>
          <w:rFonts w:hint="eastAsia" w:ascii="宋体" w:hAnsi="宋体" w:eastAsia="宋体" w:cs="宋体"/>
          <w:b/>
          <w:color w:val="auto"/>
          <w:sz w:val="32"/>
          <w:szCs w:val="32"/>
          <w:highlight w:val="none"/>
          <w:lang w:eastAsia="zh-CN"/>
        </w:rPr>
      </w:pPr>
      <w:r>
        <w:rPr>
          <w:rFonts w:hint="eastAsia" w:ascii="宋体" w:hAnsi="宋体" w:eastAsia="宋体" w:cs="宋体"/>
          <w:b/>
          <w:color w:val="auto"/>
          <w:sz w:val="32"/>
          <w:szCs w:val="32"/>
          <w:highlight w:val="none"/>
        </w:rPr>
        <w:t>采购人：</w:t>
      </w:r>
      <w:r>
        <w:rPr>
          <w:rFonts w:hint="eastAsia" w:ascii="宋体" w:hAnsi="宋体" w:cs="宋体"/>
          <w:b/>
          <w:color w:val="auto"/>
          <w:sz w:val="32"/>
          <w:szCs w:val="32"/>
          <w:highlight w:val="none"/>
          <w:lang w:eastAsia="zh-CN"/>
        </w:rPr>
        <w:t>嘉兴市第一医院</w:t>
      </w:r>
    </w:p>
    <w:p>
      <w:pPr>
        <w:spacing w:line="360" w:lineRule="auto"/>
        <w:ind w:left="0" w:leftChars="0" w:firstLine="1484" w:firstLineChars="462"/>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采购代理机构：杭州中浙招标有限公司</w:t>
      </w:r>
    </w:p>
    <w:p>
      <w:pPr>
        <w:spacing w:line="360" w:lineRule="auto"/>
        <w:ind w:left="0" w:leftChars="0" w:firstLine="0" w:firstLineChars="0"/>
        <w:jc w:val="center"/>
        <w:rPr>
          <w:rFonts w:hint="eastAsia" w:ascii="宋体" w:hAnsi="宋体" w:eastAsia="宋体" w:cs="宋体"/>
          <w:color w:val="auto"/>
          <w:sz w:val="32"/>
          <w:szCs w:val="32"/>
          <w:highlight w:val="none"/>
        </w:rPr>
      </w:pPr>
      <w:r>
        <w:rPr>
          <w:rFonts w:hint="eastAsia" w:ascii="宋体" w:hAnsi="宋体" w:eastAsia="宋体" w:cs="宋体"/>
          <w:b/>
          <w:color w:val="auto"/>
          <w:sz w:val="32"/>
          <w:szCs w:val="32"/>
          <w:highlight w:val="none"/>
        </w:rPr>
        <w:t>二○二</w:t>
      </w:r>
      <w:r>
        <w:rPr>
          <w:rFonts w:hint="eastAsia" w:ascii="宋体" w:hAnsi="宋体" w:eastAsia="宋体" w:cs="宋体"/>
          <w:b/>
          <w:color w:val="auto"/>
          <w:sz w:val="32"/>
          <w:szCs w:val="32"/>
          <w:highlight w:val="none"/>
          <w:lang w:val="en-US" w:eastAsia="zh-CN"/>
        </w:rPr>
        <w:t>二</w:t>
      </w:r>
      <w:r>
        <w:rPr>
          <w:rFonts w:hint="eastAsia" w:ascii="宋体" w:hAnsi="宋体" w:eastAsia="宋体" w:cs="宋体"/>
          <w:b/>
          <w:color w:val="auto"/>
          <w:sz w:val="32"/>
          <w:szCs w:val="32"/>
          <w:highlight w:val="none"/>
        </w:rPr>
        <w:t>年</w:t>
      </w:r>
      <w:r>
        <w:rPr>
          <w:rFonts w:hint="eastAsia" w:ascii="宋体" w:hAnsi="宋体" w:cs="宋体"/>
          <w:b/>
          <w:color w:val="auto"/>
          <w:sz w:val="32"/>
          <w:szCs w:val="32"/>
          <w:highlight w:val="none"/>
          <w:lang w:val="en-US" w:eastAsia="zh-CN"/>
        </w:rPr>
        <w:t>二</w:t>
      </w:r>
      <w:r>
        <w:rPr>
          <w:rFonts w:hint="eastAsia" w:ascii="宋体" w:hAnsi="宋体" w:eastAsia="宋体" w:cs="宋体"/>
          <w:b/>
          <w:color w:val="auto"/>
          <w:sz w:val="32"/>
          <w:szCs w:val="32"/>
          <w:highlight w:val="none"/>
        </w:rPr>
        <w:t>月</w:t>
      </w:r>
      <w:r>
        <w:rPr>
          <w:rFonts w:hint="eastAsia" w:ascii="宋体" w:hAnsi="宋体" w:cs="宋体"/>
          <w:b/>
          <w:color w:val="auto"/>
          <w:sz w:val="32"/>
          <w:szCs w:val="32"/>
          <w:highlight w:val="none"/>
          <w:lang w:val="en-US" w:eastAsia="zh-CN"/>
        </w:rPr>
        <w:t>二十二</w:t>
      </w:r>
      <w:r>
        <w:rPr>
          <w:rFonts w:hint="eastAsia" w:ascii="宋体" w:hAnsi="宋体" w:eastAsia="宋体" w:cs="宋体"/>
          <w:b/>
          <w:color w:val="auto"/>
          <w:sz w:val="32"/>
          <w:szCs w:val="32"/>
          <w:highlight w:val="none"/>
        </w:rPr>
        <w:t>日</w:t>
      </w:r>
      <w:bookmarkStart w:id="0" w:name="_Hlt67893495"/>
      <w:bookmarkEnd w:id="0"/>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b/>
          <w:color w:val="auto"/>
          <w:sz w:val="48"/>
          <w:szCs w:val="48"/>
          <w:highlight w:val="none"/>
        </w:rPr>
      </w:pPr>
    </w:p>
    <w:p>
      <w:pPr>
        <w:spacing w:line="360" w:lineRule="auto"/>
        <w:jc w:val="center"/>
        <w:rPr>
          <w:rFonts w:hint="eastAsia" w:ascii="宋体" w:hAnsi="宋体" w:eastAsia="宋体" w:cs="宋体"/>
          <w:b/>
          <w:color w:val="auto"/>
          <w:sz w:val="48"/>
          <w:szCs w:val="48"/>
          <w:highlight w:val="none"/>
        </w:rPr>
        <w:sectPr>
          <w:headerReference r:id="rId4" w:type="first"/>
          <w:headerReference r:id="rId3" w:type="default"/>
          <w:footerReference r:id="rId5" w:type="even"/>
          <w:pgSz w:w="11906" w:h="16838"/>
          <w:pgMar w:top="1474" w:right="1587" w:bottom="1474" w:left="1587" w:header="851" w:footer="992" w:gutter="0"/>
          <w:pgBorders>
            <w:top w:val="none" w:sz="0" w:space="0"/>
            <w:left w:val="none" w:sz="0" w:space="0"/>
            <w:bottom w:val="none" w:sz="0" w:space="0"/>
            <w:right w:val="none" w:sz="0" w:space="0"/>
          </w:pgBorders>
          <w:pgNumType w:start="0"/>
          <w:cols w:space="0" w:num="1"/>
          <w:titlePg/>
          <w:rtlGutter w:val="0"/>
          <w:docGrid w:linePitch="312" w:charSpace="0"/>
        </w:sectPr>
      </w:pPr>
    </w:p>
    <w:p>
      <w:pPr>
        <w:spacing w:line="360" w:lineRule="auto"/>
        <w:jc w:val="center"/>
        <w:rPr>
          <w:rFonts w:hint="eastAsia" w:ascii="宋体" w:hAnsi="宋体" w:eastAsia="宋体" w:cs="宋体"/>
          <w:color w:val="auto"/>
          <w:sz w:val="36"/>
          <w:szCs w:val="36"/>
          <w:highlight w:val="none"/>
        </w:rPr>
      </w:pPr>
      <w:r>
        <w:rPr>
          <w:rFonts w:hint="eastAsia" w:ascii="宋体" w:hAnsi="宋体" w:eastAsia="宋体" w:cs="宋体"/>
          <w:b/>
          <w:color w:val="auto"/>
          <w:sz w:val="36"/>
          <w:szCs w:val="36"/>
          <w:highlight w:val="none"/>
        </w:rPr>
        <w:t>目  录</w:t>
      </w:r>
    </w:p>
    <w:sdt>
      <w:sdtPr>
        <w:rPr>
          <w:rFonts w:ascii="宋体" w:hAnsi="宋体" w:eastAsia="宋体" w:cs="Times New Roman"/>
          <w:color w:val="auto"/>
          <w:kern w:val="2"/>
          <w:sz w:val="21"/>
          <w:szCs w:val="24"/>
          <w:lang w:val="en-US" w:eastAsia="zh-CN" w:bidi="ar-SA"/>
        </w:rPr>
        <w:id w:val="147479179"/>
        <w15:color w:val="DBDBDB"/>
        <w:docPartObj>
          <w:docPartGallery w:val="Table of Contents"/>
          <w:docPartUnique/>
        </w:docPartObj>
      </w:sdtPr>
      <w:sdtEndPr>
        <w:rPr>
          <w:rFonts w:hint="eastAsia" w:ascii="宋体" w:hAnsi="宋体" w:eastAsia="宋体" w:cs="宋体"/>
          <w:b/>
          <w:color w:val="auto"/>
          <w:kern w:val="2"/>
          <w:sz w:val="21"/>
          <w:szCs w:val="24"/>
          <w:highlight w:val="none"/>
          <w:lang w:val="en-US" w:eastAsia="zh-CN" w:bidi="ar-SA"/>
        </w:rPr>
      </w:sdtEndPr>
      <w:sdtContent>
        <w:p>
          <w:pPr>
            <w:pStyle w:val="13"/>
            <w:keepNext w:val="0"/>
            <w:keepLines w:val="0"/>
            <w:pageBreakBefore w:val="0"/>
            <w:widowControl w:val="0"/>
            <w:tabs>
              <w:tab w:val="right" w:leader="dot" w:pos="8732"/>
            </w:tabs>
            <w:kinsoku/>
            <w:wordWrap/>
            <w:overflowPunct/>
            <w:topLinePunct w:val="0"/>
            <w:autoSpaceDE/>
            <w:autoSpaceDN/>
            <w:bidi w:val="0"/>
            <w:adjustRightInd w:val="0"/>
            <w:snapToGrid/>
            <w:spacing w:line="288" w:lineRule="auto"/>
            <w:textAlignment w:val="auto"/>
            <w:rPr>
              <w:rFonts w:hint="eastAsia" w:ascii="宋体" w:hAnsi="宋体" w:eastAsia="宋体" w:cs="宋体"/>
              <w:color w:val="auto"/>
              <w:kern w:val="2"/>
              <w:sz w:val="24"/>
              <w:szCs w:val="24"/>
              <w:highlight w:val="none"/>
              <w:lang w:val="en-US" w:eastAsia="zh-CN" w:bidi="ar-SA"/>
            </w:rPr>
          </w:pPr>
          <w:bookmarkStart w:id="1" w:name="_Hlt91233176"/>
          <w:bookmarkEnd w:id="1"/>
          <w:bookmarkStart w:id="2" w:name="_Toc91899869"/>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_Toc81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第一</w:t>
          </w:r>
          <w:r>
            <w:rPr>
              <w:rFonts w:hint="eastAsia" w:ascii="宋体" w:hAnsi="宋体" w:eastAsia="宋体" w:cs="宋体"/>
              <w:color w:val="auto"/>
              <w:kern w:val="2"/>
              <w:sz w:val="24"/>
              <w:szCs w:val="24"/>
              <w:highlight w:val="none"/>
              <w:lang w:val="en-US" w:eastAsia="zh-CN" w:bidi="ar-SA"/>
            </w:rPr>
            <w:t>部分 招标公告</w:t>
          </w:r>
          <w:r>
            <w:rPr>
              <w:rFonts w:hint="eastAsia" w:ascii="宋体" w:hAnsi="宋体" w:eastAsia="宋体" w:cs="宋体"/>
              <w:color w:val="auto"/>
              <w:kern w:val="2"/>
              <w:sz w:val="24"/>
              <w:szCs w:val="24"/>
              <w:highlight w:val="none"/>
              <w:lang w:val="en-US" w:eastAsia="zh-CN" w:bidi="ar-SA"/>
            </w:rPr>
            <w:tab/>
          </w:r>
          <w:r>
            <w:rPr>
              <w:rFonts w:hint="eastAsia" w:ascii="宋体" w:hAnsi="宋体" w:eastAsia="宋体" w:cs="宋体"/>
              <w:color w:val="auto"/>
              <w:kern w:val="2"/>
              <w:sz w:val="24"/>
              <w:szCs w:val="24"/>
              <w:highlight w:val="none"/>
              <w:lang w:val="en-US" w:eastAsia="zh-CN" w:bidi="ar-SA"/>
            </w:rPr>
            <w:fldChar w:fldCharType="begin"/>
          </w:r>
          <w:r>
            <w:rPr>
              <w:rFonts w:hint="eastAsia" w:ascii="宋体" w:hAnsi="宋体" w:eastAsia="宋体" w:cs="宋体"/>
              <w:color w:val="auto"/>
              <w:kern w:val="2"/>
              <w:sz w:val="24"/>
              <w:szCs w:val="24"/>
              <w:highlight w:val="none"/>
              <w:lang w:val="en-US" w:eastAsia="zh-CN" w:bidi="ar-SA"/>
            </w:rPr>
            <w:instrText xml:space="preserve"> PAGEREF _Toc81 \h </w:instrText>
          </w:r>
          <w:r>
            <w:rPr>
              <w:rFonts w:hint="eastAsia" w:ascii="宋体" w:hAnsi="宋体" w:eastAsia="宋体" w:cs="宋体"/>
              <w:color w:val="auto"/>
              <w:kern w:val="2"/>
              <w:sz w:val="24"/>
              <w:szCs w:val="24"/>
              <w:highlight w:val="none"/>
              <w:lang w:val="en-US" w:eastAsia="zh-CN" w:bidi="ar-SA"/>
            </w:rPr>
            <w:fldChar w:fldCharType="separate"/>
          </w:r>
          <w:r>
            <w:rPr>
              <w:rFonts w:hint="eastAsia" w:ascii="宋体" w:hAnsi="宋体" w:eastAsia="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fldChar w:fldCharType="end"/>
          </w:r>
          <w:r>
            <w:rPr>
              <w:rFonts w:hint="eastAsia" w:ascii="宋体" w:hAnsi="宋体" w:eastAsia="宋体" w:cs="宋体"/>
              <w:color w:val="auto"/>
              <w:kern w:val="2"/>
              <w:sz w:val="24"/>
              <w:szCs w:val="24"/>
              <w:highlight w:val="none"/>
              <w:lang w:val="en-US" w:eastAsia="zh-CN" w:bidi="ar-SA"/>
            </w:rPr>
            <w:fldChar w:fldCharType="end"/>
          </w:r>
        </w:p>
        <w:p>
          <w:pPr>
            <w:pStyle w:val="13"/>
            <w:keepNext w:val="0"/>
            <w:keepLines w:val="0"/>
            <w:pageBreakBefore w:val="0"/>
            <w:widowControl w:val="0"/>
            <w:tabs>
              <w:tab w:val="right" w:leader="dot" w:pos="8732"/>
            </w:tabs>
            <w:kinsoku/>
            <w:wordWrap/>
            <w:overflowPunct/>
            <w:topLinePunct w:val="0"/>
            <w:autoSpaceDE/>
            <w:autoSpaceDN/>
            <w:bidi w:val="0"/>
            <w:adjustRightInd w:val="0"/>
            <w:snapToGrid/>
            <w:spacing w:line="288"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_Toc7696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第二部分 投标人须知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_Toc7696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7</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4"/>
            <w:keepNext w:val="0"/>
            <w:keepLines w:val="0"/>
            <w:pageBreakBefore w:val="0"/>
            <w:widowControl w:val="0"/>
            <w:tabs>
              <w:tab w:val="right" w:leader="dot" w:pos="8732"/>
            </w:tabs>
            <w:kinsoku/>
            <w:wordWrap/>
            <w:overflowPunct/>
            <w:topLinePunct w:val="0"/>
            <w:autoSpaceDE/>
            <w:autoSpaceDN/>
            <w:bidi w:val="0"/>
            <w:adjustRightInd w:val="0"/>
            <w:snapToGrid/>
            <w:spacing w:line="288"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_Toc24026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rPr>
            <w:t>一、总则</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_Toc24026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10</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4"/>
            <w:keepNext w:val="0"/>
            <w:keepLines w:val="0"/>
            <w:pageBreakBefore w:val="0"/>
            <w:widowControl w:val="0"/>
            <w:tabs>
              <w:tab w:val="right" w:leader="dot" w:pos="8732"/>
            </w:tabs>
            <w:kinsoku/>
            <w:wordWrap/>
            <w:overflowPunct/>
            <w:topLinePunct w:val="0"/>
            <w:autoSpaceDE/>
            <w:autoSpaceDN/>
            <w:bidi w:val="0"/>
            <w:adjustRightInd w:val="0"/>
            <w:snapToGrid/>
            <w:spacing w:line="288"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_Toc1994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lang w:val="zh-CN" w:eastAsia="zh-CN"/>
            </w:rPr>
            <w:t>二、招标文件的构成、澄清、修改</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_Toc1994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4"/>
            <w:keepNext w:val="0"/>
            <w:keepLines w:val="0"/>
            <w:pageBreakBefore w:val="0"/>
            <w:widowControl w:val="0"/>
            <w:tabs>
              <w:tab w:val="right" w:leader="dot" w:pos="8732"/>
            </w:tabs>
            <w:kinsoku/>
            <w:wordWrap/>
            <w:overflowPunct/>
            <w:topLinePunct w:val="0"/>
            <w:autoSpaceDE/>
            <w:autoSpaceDN/>
            <w:bidi w:val="0"/>
            <w:adjustRightInd w:val="0"/>
            <w:snapToGrid/>
            <w:spacing w:line="288"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_Toc14221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lang w:val="zh-CN" w:eastAsia="zh-CN"/>
            </w:rPr>
            <w:t>三、投标</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_Toc14221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15</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4"/>
            <w:keepNext w:val="0"/>
            <w:keepLines w:val="0"/>
            <w:pageBreakBefore w:val="0"/>
            <w:widowControl w:val="0"/>
            <w:tabs>
              <w:tab w:val="right" w:leader="dot" w:pos="8732"/>
            </w:tabs>
            <w:kinsoku/>
            <w:wordWrap/>
            <w:overflowPunct/>
            <w:topLinePunct w:val="0"/>
            <w:autoSpaceDE/>
            <w:autoSpaceDN/>
            <w:bidi w:val="0"/>
            <w:adjustRightInd w:val="0"/>
            <w:snapToGrid/>
            <w:spacing w:line="288"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_Toc8514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lang w:val="zh-CN" w:eastAsia="zh-CN"/>
            </w:rPr>
            <w:t>四、开标、资格审查与信用信息查询</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_Toc8514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17</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4"/>
            <w:keepNext w:val="0"/>
            <w:keepLines w:val="0"/>
            <w:pageBreakBefore w:val="0"/>
            <w:widowControl w:val="0"/>
            <w:tabs>
              <w:tab w:val="right" w:leader="dot" w:pos="8732"/>
            </w:tabs>
            <w:kinsoku/>
            <w:wordWrap/>
            <w:overflowPunct/>
            <w:topLinePunct w:val="0"/>
            <w:autoSpaceDE/>
            <w:autoSpaceDN/>
            <w:bidi w:val="0"/>
            <w:adjustRightInd w:val="0"/>
            <w:snapToGrid/>
            <w:spacing w:line="288"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_Toc23164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lang w:val="zh-CN" w:eastAsia="zh-CN"/>
            </w:rPr>
            <w:t>五、评标</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_Toc23164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18</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4"/>
            <w:keepNext w:val="0"/>
            <w:keepLines w:val="0"/>
            <w:pageBreakBefore w:val="0"/>
            <w:widowControl w:val="0"/>
            <w:tabs>
              <w:tab w:val="right" w:leader="dot" w:pos="8732"/>
            </w:tabs>
            <w:kinsoku/>
            <w:wordWrap/>
            <w:overflowPunct/>
            <w:topLinePunct w:val="0"/>
            <w:autoSpaceDE/>
            <w:autoSpaceDN/>
            <w:bidi w:val="0"/>
            <w:adjustRightInd w:val="0"/>
            <w:snapToGrid/>
            <w:spacing w:line="288"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_Toc29018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lang w:val="zh-CN" w:eastAsia="zh-CN"/>
            </w:rPr>
            <w:t>六、定 标</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_Toc29018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18</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4"/>
            <w:keepNext w:val="0"/>
            <w:keepLines w:val="0"/>
            <w:pageBreakBefore w:val="0"/>
            <w:widowControl w:val="0"/>
            <w:tabs>
              <w:tab w:val="right" w:leader="dot" w:pos="8732"/>
            </w:tabs>
            <w:kinsoku/>
            <w:wordWrap/>
            <w:overflowPunct/>
            <w:topLinePunct w:val="0"/>
            <w:autoSpaceDE/>
            <w:autoSpaceDN/>
            <w:bidi w:val="0"/>
            <w:adjustRightInd w:val="0"/>
            <w:snapToGrid/>
            <w:spacing w:line="288"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_Toc7433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lang w:val="zh-CN" w:eastAsia="zh-CN"/>
            </w:rPr>
            <w:t>七、合同授予</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_Toc7433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19</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4"/>
            <w:keepNext w:val="0"/>
            <w:keepLines w:val="0"/>
            <w:pageBreakBefore w:val="0"/>
            <w:widowControl w:val="0"/>
            <w:tabs>
              <w:tab w:val="right" w:leader="dot" w:pos="8732"/>
            </w:tabs>
            <w:kinsoku/>
            <w:wordWrap/>
            <w:overflowPunct/>
            <w:topLinePunct w:val="0"/>
            <w:autoSpaceDE/>
            <w:autoSpaceDN/>
            <w:bidi w:val="0"/>
            <w:adjustRightInd w:val="0"/>
            <w:snapToGrid/>
            <w:spacing w:line="288"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_Toc24917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lang w:val="zh-CN" w:eastAsia="zh-CN"/>
            </w:rPr>
            <w:t>八、电子交易活动的中止</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_Toc24917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20</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4"/>
            <w:keepNext w:val="0"/>
            <w:keepLines w:val="0"/>
            <w:pageBreakBefore w:val="0"/>
            <w:widowControl w:val="0"/>
            <w:tabs>
              <w:tab w:val="right" w:leader="dot" w:pos="8732"/>
            </w:tabs>
            <w:kinsoku/>
            <w:wordWrap/>
            <w:overflowPunct/>
            <w:topLinePunct w:val="0"/>
            <w:autoSpaceDE/>
            <w:autoSpaceDN/>
            <w:bidi w:val="0"/>
            <w:adjustRightInd w:val="0"/>
            <w:snapToGrid/>
            <w:spacing w:line="288"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_Toc13787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lang w:val="zh-CN" w:eastAsia="zh-CN"/>
            </w:rPr>
            <w:t>九、验收</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_Toc13787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20</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3"/>
            <w:keepNext w:val="0"/>
            <w:keepLines w:val="0"/>
            <w:pageBreakBefore w:val="0"/>
            <w:widowControl w:val="0"/>
            <w:tabs>
              <w:tab w:val="right" w:leader="dot" w:pos="8732"/>
            </w:tabs>
            <w:kinsoku/>
            <w:wordWrap/>
            <w:overflowPunct/>
            <w:topLinePunct w:val="0"/>
            <w:autoSpaceDE/>
            <w:autoSpaceDN/>
            <w:bidi w:val="0"/>
            <w:adjustRightInd w:val="0"/>
            <w:snapToGrid/>
            <w:spacing w:line="288"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_Toc11704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第三部分   采购需求</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_Toc11704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4"/>
            <w:keepNext w:val="0"/>
            <w:keepLines w:val="0"/>
            <w:pageBreakBefore w:val="0"/>
            <w:widowControl w:val="0"/>
            <w:tabs>
              <w:tab w:val="right" w:leader="dot" w:pos="8732"/>
            </w:tabs>
            <w:kinsoku/>
            <w:wordWrap/>
            <w:overflowPunct/>
            <w:topLinePunct w:val="0"/>
            <w:autoSpaceDE/>
            <w:autoSpaceDN/>
            <w:bidi w:val="0"/>
            <w:adjustRightInd w:val="0"/>
            <w:snapToGrid/>
            <w:spacing w:line="288"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_Toc6337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val="en-US" w:eastAsia="zh-CN" w:bidi="ar"/>
            </w:rPr>
            <w:t>一、</w:t>
          </w:r>
          <w:r>
            <w:rPr>
              <w:rFonts w:hint="eastAsia" w:ascii="宋体" w:hAnsi="宋体" w:eastAsia="宋体" w:cs="宋体"/>
              <w:color w:val="auto"/>
              <w:sz w:val="24"/>
              <w:szCs w:val="24"/>
              <w:highlight w:val="none"/>
              <w:lang w:val="en-US" w:eastAsia="zh-CN"/>
            </w:rPr>
            <w:t>项目背景</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_Toc6337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4"/>
            <w:keepNext w:val="0"/>
            <w:keepLines w:val="0"/>
            <w:pageBreakBefore w:val="0"/>
            <w:widowControl w:val="0"/>
            <w:tabs>
              <w:tab w:val="right" w:leader="dot" w:pos="8732"/>
            </w:tabs>
            <w:kinsoku/>
            <w:wordWrap/>
            <w:overflowPunct/>
            <w:topLinePunct w:val="0"/>
            <w:autoSpaceDE/>
            <w:autoSpaceDN/>
            <w:bidi w:val="0"/>
            <w:adjustRightInd w:val="0"/>
            <w:snapToGrid/>
            <w:spacing w:line="288"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_Toc1783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val="en-US" w:eastAsia="zh-CN" w:bidi="ar"/>
            </w:rPr>
            <w:t>二、招标内容</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_Toc1783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4"/>
            <w:keepNext w:val="0"/>
            <w:keepLines w:val="0"/>
            <w:pageBreakBefore w:val="0"/>
            <w:widowControl w:val="0"/>
            <w:tabs>
              <w:tab w:val="right" w:leader="dot" w:pos="8732"/>
            </w:tabs>
            <w:kinsoku/>
            <w:wordWrap/>
            <w:overflowPunct/>
            <w:topLinePunct w:val="0"/>
            <w:autoSpaceDE/>
            <w:autoSpaceDN/>
            <w:bidi w:val="0"/>
            <w:adjustRightInd w:val="0"/>
            <w:snapToGrid/>
            <w:spacing w:line="288"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_Toc30932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val="en-US" w:eastAsia="zh-CN" w:bidi="ar"/>
            </w:rPr>
            <w:t>三、项目目标</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_Toc30932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4"/>
            <w:keepNext w:val="0"/>
            <w:keepLines w:val="0"/>
            <w:pageBreakBefore w:val="0"/>
            <w:widowControl w:val="0"/>
            <w:tabs>
              <w:tab w:val="right" w:leader="dot" w:pos="8732"/>
            </w:tabs>
            <w:kinsoku/>
            <w:wordWrap/>
            <w:overflowPunct/>
            <w:topLinePunct w:val="0"/>
            <w:autoSpaceDE/>
            <w:autoSpaceDN/>
            <w:bidi w:val="0"/>
            <w:adjustRightInd w:val="0"/>
            <w:snapToGrid/>
            <w:spacing w:line="288"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_Toc20076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val="en-US" w:eastAsia="zh-CN" w:bidi="ar"/>
            </w:rPr>
            <w:t>四、报价要求</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_Toc20076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4"/>
            <w:keepNext w:val="0"/>
            <w:keepLines w:val="0"/>
            <w:pageBreakBefore w:val="0"/>
            <w:widowControl w:val="0"/>
            <w:tabs>
              <w:tab w:val="right" w:leader="dot" w:pos="8732"/>
            </w:tabs>
            <w:kinsoku/>
            <w:wordWrap/>
            <w:overflowPunct/>
            <w:topLinePunct w:val="0"/>
            <w:autoSpaceDE/>
            <w:autoSpaceDN/>
            <w:bidi w:val="0"/>
            <w:adjustRightInd w:val="0"/>
            <w:snapToGrid/>
            <w:spacing w:line="288"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_Toc27146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val="en-US" w:eastAsia="zh-CN" w:bidi="ar"/>
            </w:rPr>
            <w:t>五、服务期限</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_Toc27146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4"/>
            <w:keepNext w:val="0"/>
            <w:keepLines w:val="0"/>
            <w:pageBreakBefore w:val="0"/>
            <w:widowControl w:val="0"/>
            <w:tabs>
              <w:tab w:val="right" w:leader="dot" w:pos="8732"/>
            </w:tabs>
            <w:kinsoku/>
            <w:wordWrap/>
            <w:overflowPunct/>
            <w:topLinePunct w:val="0"/>
            <w:autoSpaceDE/>
            <w:autoSpaceDN/>
            <w:bidi w:val="0"/>
            <w:adjustRightInd w:val="0"/>
            <w:snapToGrid/>
            <w:spacing w:line="288"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_Toc10293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val="en-US" w:eastAsia="zh-CN" w:bidi="ar"/>
            </w:rPr>
            <w:t>六、项目实施计划和服务周期</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_Toc10293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4"/>
            <w:keepNext w:val="0"/>
            <w:keepLines w:val="0"/>
            <w:pageBreakBefore w:val="0"/>
            <w:widowControl w:val="0"/>
            <w:tabs>
              <w:tab w:val="right" w:leader="dot" w:pos="8732"/>
            </w:tabs>
            <w:kinsoku/>
            <w:wordWrap/>
            <w:overflowPunct/>
            <w:topLinePunct w:val="0"/>
            <w:autoSpaceDE/>
            <w:autoSpaceDN/>
            <w:bidi w:val="0"/>
            <w:adjustRightInd w:val="0"/>
            <w:snapToGrid/>
            <w:spacing w:line="288"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_Toc18454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val="en-US" w:eastAsia="zh-CN" w:bidi="ar"/>
            </w:rPr>
            <w:t>七、质量要求和成果形式</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_Toc18454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25</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4"/>
            <w:keepNext w:val="0"/>
            <w:keepLines w:val="0"/>
            <w:pageBreakBefore w:val="0"/>
            <w:widowControl w:val="0"/>
            <w:tabs>
              <w:tab w:val="right" w:leader="dot" w:pos="8732"/>
            </w:tabs>
            <w:kinsoku/>
            <w:wordWrap/>
            <w:overflowPunct/>
            <w:topLinePunct w:val="0"/>
            <w:autoSpaceDE/>
            <w:autoSpaceDN/>
            <w:bidi w:val="0"/>
            <w:adjustRightInd w:val="0"/>
            <w:snapToGrid/>
            <w:spacing w:line="288"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_Toc28924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val="en-US" w:eastAsia="zh-CN" w:bidi="ar"/>
            </w:rPr>
            <w:t>八、人员要求</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_Toc28924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25</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4"/>
            <w:keepNext w:val="0"/>
            <w:keepLines w:val="0"/>
            <w:pageBreakBefore w:val="0"/>
            <w:widowControl w:val="0"/>
            <w:tabs>
              <w:tab w:val="right" w:leader="dot" w:pos="8732"/>
            </w:tabs>
            <w:kinsoku/>
            <w:wordWrap/>
            <w:overflowPunct/>
            <w:topLinePunct w:val="0"/>
            <w:autoSpaceDE/>
            <w:autoSpaceDN/>
            <w:bidi w:val="0"/>
            <w:adjustRightInd w:val="0"/>
            <w:snapToGrid/>
            <w:spacing w:line="288"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_Toc21918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val="en-US" w:eastAsia="zh-CN" w:bidi="ar"/>
            </w:rPr>
            <w:t>九、其他要求</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_Toc21918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3"/>
            <w:keepNext w:val="0"/>
            <w:keepLines w:val="0"/>
            <w:pageBreakBefore w:val="0"/>
            <w:widowControl w:val="0"/>
            <w:tabs>
              <w:tab w:val="right" w:leader="dot" w:pos="8732"/>
            </w:tabs>
            <w:kinsoku/>
            <w:wordWrap/>
            <w:overflowPunct/>
            <w:topLinePunct w:val="0"/>
            <w:autoSpaceDE/>
            <w:autoSpaceDN/>
            <w:bidi w:val="0"/>
            <w:adjustRightInd w:val="0"/>
            <w:snapToGrid/>
            <w:spacing w:line="288"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_Toc24301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第四部分   评标办法</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_Toc24301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27</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4"/>
            <w:keepNext w:val="0"/>
            <w:keepLines w:val="0"/>
            <w:pageBreakBefore w:val="0"/>
            <w:widowControl w:val="0"/>
            <w:tabs>
              <w:tab w:val="right" w:leader="dot" w:pos="8732"/>
            </w:tabs>
            <w:kinsoku/>
            <w:wordWrap/>
            <w:overflowPunct/>
            <w:topLinePunct w:val="0"/>
            <w:autoSpaceDE/>
            <w:autoSpaceDN/>
            <w:bidi w:val="0"/>
            <w:adjustRightInd w:val="0"/>
            <w:snapToGrid/>
            <w:spacing w:line="288"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_Toc24016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rPr>
            <w:t>评标办法前附表</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_Toc24016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27</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4"/>
            <w:keepNext w:val="0"/>
            <w:keepLines w:val="0"/>
            <w:pageBreakBefore w:val="0"/>
            <w:widowControl w:val="0"/>
            <w:tabs>
              <w:tab w:val="right" w:leader="dot" w:pos="8732"/>
            </w:tabs>
            <w:kinsoku/>
            <w:wordWrap/>
            <w:overflowPunct/>
            <w:topLinePunct w:val="0"/>
            <w:autoSpaceDE/>
            <w:autoSpaceDN/>
            <w:bidi w:val="0"/>
            <w:adjustRightInd w:val="0"/>
            <w:snapToGrid/>
            <w:spacing w:line="288"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_Toc3941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rPr>
            <w:t>一、评标方法</w:t>
          </w:r>
          <w:bookmarkStart w:id="490" w:name="_GoBack"/>
          <w:bookmarkEnd w:id="490"/>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_Toc3941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28</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4"/>
            <w:keepNext w:val="0"/>
            <w:keepLines w:val="0"/>
            <w:pageBreakBefore w:val="0"/>
            <w:widowControl w:val="0"/>
            <w:tabs>
              <w:tab w:val="right" w:leader="dot" w:pos="8732"/>
            </w:tabs>
            <w:kinsoku/>
            <w:wordWrap/>
            <w:overflowPunct/>
            <w:topLinePunct w:val="0"/>
            <w:autoSpaceDE/>
            <w:autoSpaceDN/>
            <w:bidi w:val="0"/>
            <w:adjustRightInd w:val="0"/>
            <w:snapToGrid/>
            <w:spacing w:line="288"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_Toc13269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rPr>
            <w:t>二、评标标准</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_Toc13269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28</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4"/>
            <w:keepNext w:val="0"/>
            <w:keepLines w:val="0"/>
            <w:pageBreakBefore w:val="0"/>
            <w:widowControl w:val="0"/>
            <w:tabs>
              <w:tab w:val="right" w:leader="dot" w:pos="8732"/>
            </w:tabs>
            <w:kinsoku/>
            <w:wordWrap/>
            <w:overflowPunct/>
            <w:topLinePunct w:val="0"/>
            <w:autoSpaceDE/>
            <w:autoSpaceDN/>
            <w:bidi w:val="0"/>
            <w:adjustRightInd w:val="0"/>
            <w:snapToGrid/>
            <w:spacing w:line="288"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_Toc3879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rPr>
            <w:t>三、评标程序</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_Toc3879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28</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4"/>
            <w:keepNext w:val="0"/>
            <w:keepLines w:val="0"/>
            <w:pageBreakBefore w:val="0"/>
            <w:widowControl w:val="0"/>
            <w:tabs>
              <w:tab w:val="right" w:leader="dot" w:pos="8732"/>
            </w:tabs>
            <w:kinsoku/>
            <w:wordWrap/>
            <w:overflowPunct/>
            <w:topLinePunct w:val="0"/>
            <w:autoSpaceDE/>
            <w:autoSpaceDN/>
            <w:bidi w:val="0"/>
            <w:adjustRightInd w:val="0"/>
            <w:snapToGrid/>
            <w:spacing w:line="288"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_Toc1724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rPr>
            <w:t>四、评标中的其他事项</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_Toc1724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30</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3"/>
            <w:keepNext w:val="0"/>
            <w:keepLines w:val="0"/>
            <w:pageBreakBefore w:val="0"/>
            <w:widowControl w:val="0"/>
            <w:tabs>
              <w:tab w:val="right" w:leader="dot" w:pos="8732"/>
            </w:tabs>
            <w:kinsoku/>
            <w:wordWrap/>
            <w:overflowPunct/>
            <w:topLinePunct w:val="0"/>
            <w:autoSpaceDE/>
            <w:autoSpaceDN/>
            <w:bidi w:val="0"/>
            <w:adjustRightInd w:val="0"/>
            <w:snapToGrid/>
            <w:spacing w:line="288"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_Toc6416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rPr>
            <w:t>第五部分 拟签订的合同文本</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_Toc6416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3"/>
            <w:keepNext w:val="0"/>
            <w:keepLines w:val="0"/>
            <w:pageBreakBefore w:val="0"/>
            <w:widowControl w:val="0"/>
            <w:tabs>
              <w:tab w:val="right" w:leader="dot" w:pos="8732"/>
            </w:tabs>
            <w:kinsoku/>
            <w:wordWrap/>
            <w:overflowPunct/>
            <w:topLinePunct w:val="0"/>
            <w:autoSpaceDE/>
            <w:autoSpaceDN/>
            <w:bidi w:val="0"/>
            <w:adjustRightInd w:val="0"/>
            <w:snapToGrid/>
            <w:spacing w:line="288"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_Toc30154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第六部分 应提交的有关格式范例</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_Toc30154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40</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3"/>
            <w:keepNext w:val="0"/>
            <w:keepLines w:val="0"/>
            <w:pageBreakBefore w:val="0"/>
            <w:widowControl w:val="0"/>
            <w:tabs>
              <w:tab w:val="right" w:leader="dot" w:pos="8732"/>
            </w:tabs>
            <w:kinsoku/>
            <w:wordWrap/>
            <w:overflowPunct/>
            <w:topLinePunct w:val="0"/>
            <w:autoSpaceDE/>
            <w:autoSpaceDN/>
            <w:bidi w:val="0"/>
            <w:adjustRightInd w:val="0"/>
            <w:snapToGrid/>
            <w:spacing w:line="288"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_Toc26536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kern w:val="0"/>
              <w:sz w:val="24"/>
              <w:szCs w:val="24"/>
              <w:highlight w:val="none"/>
            </w:rPr>
            <w:t>资格文件部分</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_Toc26536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40</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3"/>
            <w:keepNext w:val="0"/>
            <w:keepLines w:val="0"/>
            <w:pageBreakBefore w:val="0"/>
            <w:widowControl w:val="0"/>
            <w:tabs>
              <w:tab w:val="right" w:leader="dot" w:pos="8732"/>
            </w:tabs>
            <w:kinsoku/>
            <w:wordWrap/>
            <w:overflowPunct/>
            <w:topLinePunct w:val="0"/>
            <w:autoSpaceDE/>
            <w:autoSpaceDN/>
            <w:bidi w:val="0"/>
            <w:adjustRightInd w:val="0"/>
            <w:snapToGrid/>
            <w:spacing w:line="288"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_Toc15734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kern w:val="0"/>
              <w:sz w:val="24"/>
              <w:szCs w:val="24"/>
              <w:highlight w:val="none"/>
            </w:rPr>
            <w:t>商务技术文件部分</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_Toc15734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3"/>
            <w:keepNext w:val="0"/>
            <w:keepLines w:val="0"/>
            <w:pageBreakBefore w:val="0"/>
            <w:widowControl w:val="0"/>
            <w:tabs>
              <w:tab w:val="right" w:leader="dot" w:pos="8732"/>
            </w:tabs>
            <w:kinsoku/>
            <w:wordWrap/>
            <w:overflowPunct/>
            <w:topLinePunct w:val="0"/>
            <w:autoSpaceDE/>
            <w:autoSpaceDN/>
            <w:bidi w:val="0"/>
            <w:adjustRightInd w:val="0"/>
            <w:snapToGrid/>
            <w:spacing w:line="288"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_Toc7717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kern w:val="0"/>
              <w:sz w:val="24"/>
              <w:szCs w:val="24"/>
              <w:highlight w:val="none"/>
            </w:rPr>
            <w:t>报价文件部分</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_Toc7717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55</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3"/>
            <w:keepNext w:val="0"/>
            <w:keepLines w:val="0"/>
            <w:pageBreakBefore w:val="0"/>
            <w:widowControl w:val="0"/>
            <w:tabs>
              <w:tab w:val="right" w:leader="dot" w:pos="8732"/>
            </w:tabs>
            <w:kinsoku/>
            <w:wordWrap/>
            <w:overflowPunct/>
            <w:topLinePunct w:val="0"/>
            <w:autoSpaceDE/>
            <w:autoSpaceDN/>
            <w:bidi w:val="0"/>
            <w:adjustRightInd w:val="0"/>
            <w:snapToGrid/>
            <w:spacing w:line="288" w:lineRule="auto"/>
            <w:textAlignment w:val="auto"/>
            <w:rPr>
              <w:rFonts w:hint="eastAsia" w:ascii="宋体" w:hAnsi="宋体" w:eastAsia="宋体" w:cs="宋体"/>
              <w:b/>
              <w:color w:val="auto"/>
              <w:kern w:val="2"/>
              <w:sz w:val="21"/>
              <w:szCs w:val="24"/>
              <w:highlight w:val="none"/>
              <w:lang w:val="en-US" w:eastAsia="zh-CN" w:bidi="ar-SA"/>
            </w:rPr>
            <w:sectPr>
              <w:footerReference r:id="rId7" w:type="first"/>
              <w:footerReference r:id="rId6" w:type="default"/>
              <w:pgSz w:w="11906" w:h="16838"/>
              <w:pgMar w:top="1474" w:right="1587" w:bottom="1474" w:left="1587" w:header="851" w:footer="992" w:gutter="0"/>
              <w:pgBorders>
                <w:top w:val="none" w:sz="0" w:space="0"/>
                <w:left w:val="none" w:sz="0" w:space="0"/>
                <w:bottom w:val="none" w:sz="0" w:space="0"/>
                <w:right w:val="none" w:sz="0" w:space="0"/>
              </w:pgBorders>
              <w:pgNumType w:start="1"/>
              <w:cols w:space="0" w:num="1"/>
              <w:rtlGutter w:val="0"/>
              <w:docGrid w:linePitch="312" w:charSpace="0"/>
            </w:sect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_Toc6476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附件</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_Toc6476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58</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sdtContent>
    </w:sdt>
    <w:bookmarkEnd w:id="2"/>
    <w:p>
      <w:pPr>
        <w:adjustRightInd/>
        <w:spacing w:line="360" w:lineRule="auto"/>
        <w:jc w:val="center"/>
        <w:outlineLvl w:val="0"/>
        <w:rPr>
          <w:rFonts w:hint="eastAsia" w:ascii="宋体" w:hAnsi="宋体" w:eastAsia="宋体" w:cs="宋体"/>
          <w:b/>
          <w:color w:val="auto"/>
          <w:sz w:val="36"/>
          <w:szCs w:val="20"/>
          <w:highlight w:val="none"/>
        </w:rPr>
      </w:pPr>
      <w:bookmarkStart w:id="3" w:name="_Hlt74729822"/>
      <w:bookmarkEnd w:id="3"/>
      <w:bookmarkStart w:id="4" w:name="_Hlt74728647"/>
      <w:bookmarkEnd w:id="4"/>
      <w:bookmarkStart w:id="5" w:name="_Hlt74649545"/>
      <w:bookmarkEnd w:id="5"/>
      <w:bookmarkStart w:id="6" w:name="_Hlt74707423"/>
      <w:bookmarkEnd w:id="6"/>
      <w:bookmarkStart w:id="7" w:name="_Toc81"/>
      <w:bookmarkStart w:id="8" w:name="第二部分"/>
      <w:bookmarkStart w:id="9" w:name="_Toc91899870"/>
      <w:bookmarkStart w:id="10" w:name="_Toc91899871"/>
      <w:r>
        <w:rPr>
          <w:rFonts w:hint="eastAsia" w:ascii="宋体" w:hAnsi="宋体" w:eastAsia="宋体" w:cs="宋体"/>
          <w:b/>
          <w:color w:val="auto"/>
          <w:sz w:val="36"/>
          <w:szCs w:val="20"/>
          <w:highlight w:val="none"/>
        </w:rPr>
        <w:t>第一部分 招标公告</w:t>
      </w:r>
      <w:bookmarkEnd w:id="7"/>
    </w:p>
    <w:p>
      <w:pPr>
        <w:pBdr>
          <w:top w:val="single" w:color="auto" w:sz="4" w:space="1"/>
          <w:left w:val="single" w:color="auto" w:sz="4" w:space="4"/>
          <w:bottom w:val="single" w:color="auto" w:sz="4" w:space="1"/>
          <w:right w:val="single" w:color="auto" w:sz="4" w:space="4"/>
        </w:pBd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w:t>
      </w:r>
      <w:r>
        <w:rPr>
          <w:rFonts w:hint="eastAsia" w:ascii="宋体" w:hAnsi="宋体" w:cs="宋体"/>
          <w:color w:val="auto"/>
          <w:sz w:val="24"/>
          <w:highlight w:val="none"/>
          <w:u w:val="single"/>
          <w:lang w:eastAsia="zh-CN"/>
        </w:rPr>
        <w:t>嘉兴市第一医院高质量发展咨询辅导项目</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rPr>
        <w:t>招标项目的潜在投标人应在政采云平台（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"https://www.zcygov.cn/）获取（下载）招标文件，并于2021年" </w:instrText>
      </w:r>
      <w:r>
        <w:rPr>
          <w:rFonts w:hint="eastAsia" w:ascii="宋体" w:hAnsi="宋体" w:eastAsia="宋体" w:cs="宋体"/>
          <w:color w:val="auto"/>
          <w:highlight w:val="none"/>
        </w:rPr>
        <w:fldChar w:fldCharType="separate"/>
      </w:r>
      <w:r>
        <w:rPr>
          <w:rStyle w:val="21"/>
          <w:rFonts w:hint="eastAsia" w:ascii="宋体" w:hAnsi="宋体" w:eastAsia="宋体" w:cs="宋体"/>
          <w:snapToGrid/>
          <w:color w:val="auto"/>
          <w:kern w:val="2"/>
          <w:sz w:val="24"/>
          <w:szCs w:val="24"/>
          <w:highlight w:val="none"/>
        </w:rPr>
        <w:t>https://www.zcygov.cn/）获取（下载）招标文件，并于</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2</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03</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15</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13</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eastAsia="宋体" w:cs="宋体"/>
          <w:color w:val="auto"/>
          <w:sz w:val="24"/>
          <w:highlight w:val="none"/>
          <w:u w:val="single"/>
        </w:rPr>
        <w:t>分</w:t>
      </w:r>
      <w:r>
        <w:rPr>
          <w:rFonts w:hint="eastAsia" w:ascii="宋体" w:hAnsi="宋体" w:eastAsia="宋体" w:cs="宋体"/>
          <w:bCs/>
          <w:color w:val="auto"/>
          <w:sz w:val="24"/>
          <w:highlight w:val="none"/>
          <w:u w:val="single"/>
        </w:rPr>
        <w:t>00秒</w:t>
      </w:r>
      <w:r>
        <w:rPr>
          <w:rFonts w:hint="eastAsia" w:ascii="宋体" w:hAnsi="宋体" w:eastAsia="宋体" w:cs="宋体"/>
          <w:bCs/>
          <w:color w:val="auto"/>
          <w:sz w:val="24"/>
          <w:highlight w:val="none"/>
          <w:u w:val="single"/>
        </w:rPr>
        <w:fldChar w:fldCharType="end"/>
      </w:r>
      <w:r>
        <w:rPr>
          <w:rFonts w:hint="eastAsia" w:ascii="宋体" w:hAnsi="宋体" w:eastAsia="宋体" w:cs="宋体"/>
          <w:bCs/>
          <w:color w:val="auto"/>
          <w:sz w:val="24"/>
          <w:highlight w:val="none"/>
        </w:rPr>
        <w:t>（北京时间）前</w:t>
      </w:r>
      <w:r>
        <w:rPr>
          <w:rFonts w:hint="eastAsia" w:ascii="宋体" w:hAnsi="宋体" w:eastAsia="宋体" w:cs="宋体"/>
          <w:color w:val="auto"/>
          <w:sz w:val="24"/>
          <w:highlight w:val="none"/>
        </w:rPr>
        <w:t>递交（上传）投标文件。</w:t>
      </w:r>
    </w:p>
    <w:p>
      <w:pPr>
        <w:spacing w:line="360" w:lineRule="auto"/>
        <w:outlineLvl w:val="1"/>
        <w:rPr>
          <w:rFonts w:hint="eastAsia" w:ascii="宋体" w:hAnsi="宋体" w:eastAsia="宋体" w:cs="宋体"/>
          <w:b/>
          <w:color w:val="auto"/>
          <w:sz w:val="24"/>
          <w:highlight w:val="none"/>
        </w:rPr>
      </w:pPr>
      <w:bookmarkStart w:id="11" w:name="_Toc15500"/>
      <w:r>
        <w:rPr>
          <w:rFonts w:hint="eastAsia" w:ascii="宋体" w:hAnsi="宋体" w:eastAsia="宋体" w:cs="宋体"/>
          <w:b/>
          <w:color w:val="auto"/>
          <w:sz w:val="24"/>
          <w:highlight w:val="none"/>
        </w:rPr>
        <w:t>一、项目基本情况</w:t>
      </w:r>
      <w:bookmarkEnd w:id="11"/>
      <w:r>
        <w:rPr>
          <w:rFonts w:hint="eastAsia" w:ascii="宋体" w:hAnsi="宋体" w:eastAsia="宋体" w:cs="宋体"/>
          <w:b/>
          <w:color w:val="auto"/>
          <w:sz w:val="24"/>
          <w:highlight w:val="none"/>
        </w:rPr>
        <w:t xml:space="preserve">                                            </w:t>
      </w:r>
    </w:p>
    <w:p>
      <w:pPr>
        <w:spacing w:line="360" w:lineRule="auto"/>
        <w:ind w:firstLine="48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项目编号：</w:t>
      </w:r>
      <w:r>
        <w:rPr>
          <w:rFonts w:hint="eastAsia" w:ascii="宋体" w:hAnsi="宋体" w:eastAsia="宋体" w:cs="宋体"/>
          <w:b w:val="0"/>
          <w:bCs/>
          <w:color w:val="auto"/>
          <w:sz w:val="24"/>
          <w:highlight w:val="none"/>
          <w:lang w:eastAsia="zh-CN"/>
        </w:rPr>
        <w:t>中浙-CZTC22034</w:t>
      </w:r>
    </w:p>
    <w:p>
      <w:pPr>
        <w:spacing w:line="360" w:lineRule="auto"/>
        <w:ind w:firstLine="48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项目名称：</w:t>
      </w:r>
      <w:r>
        <w:rPr>
          <w:rFonts w:hint="eastAsia" w:ascii="宋体" w:hAnsi="宋体" w:eastAsia="宋体" w:cs="宋体"/>
          <w:b w:val="0"/>
          <w:bCs/>
          <w:color w:val="auto"/>
          <w:sz w:val="24"/>
          <w:highlight w:val="none"/>
          <w:lang w:eastAsia="zh-CN"/>
        </w:rPr>
        <w:t>嘉兴市第一医院高质量发展咨询辅导项目</w:t>
      </w:r>
    </w:p>
    <w:p>
      <w:pPr>
        <w:spacing w:line="360" w:lineRule="auto"/>
        <w:ind w:firstLine="48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预算金额（元）：</w:t>
      </w:r>
      <w:r>
        <w:rPr>
          <w:rFonts w:hint="eastAsia" w:ascii="宋体" w:hAnsi="宋体" w:eastAsia="宋体" w:cs="宋体"/>
          <w:b w:val="0"/>
          <w:bCs/>
          <w:color w:val="auto"/>
          <w:sz w:val="24"/>
          <w:highlight w:val="none"/>
          <w:lang w:val="en-US" w:eastAsia="zh-CN"/>
        </w:rPr>
        <w:t>800000</w:t>
      </w:r>
    </w:p>
    <w:p>
      <w:pPr>
        <w:spacing w:line="360" w:lineRule="auto"/>
        <w:ind w:firstLine="480"/>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rPr>
        <w:t>最高限价（元）：</w:t>
      </w:r>
      <w:r>
        <w:rPr>
          <w:rFonts w:hint="eastAsia" w:ascii="宋体" w:hAnsi="宋体" w:eastAsia="宋体" w:cs="宋体"/>
          <w:b w:val="0"/>
          <w:bCs/>
          <w:color w:val="auto"/>
          <w:sz w:val="24"/>
          <w:highlight w:val="none"/>
          <w:lang w:val="en-US" w:eastAsia="zh-CN"/>
        </w:rPr>
        <w:t>800000</w:t>
      </w:r>
    </w:p>
    <w:p>
      <w:pPr>
        <w:spacing w:line="360" w:lineRule="auto"/>
        <w:ind w:firstLine="48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采购需求：</w:t>
      </w:r>
    </w:p>
    <w:p>
      <w:pPr>
        <w:spacing w:line="360" w:lineRule="auto"/>
        <w:ind w:firstLine="48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 xml:space="preserve">    标项名称: </w:t>
      </w:r>
      <w:r>
        <w:rPr>
          <w:rFonts w:hint="eastAsia" w:ascii="宋体" w:hAnsi="宋体" w:eastAsia="宋体" w:cs="宋体"/>
          <w:b w:val="0"/>
          <w:bCs/>
          <w:color w:val="auto"/>
          <w:sz w:val="24"/>
          <w:highlight w:val="none"/>
          <w:lang w:eastAsia="zh-CN"/>
        </w:rPr>
        <w:t>嘉兴市第一医院高质量发展咨询辅导项目</w:t>
      </w:r>
      <w:r>
        <w:rPr>
          <w:rFonts w:hint="eastAsia" w:ascii="宋体" w:hAnsi="宋体" w:eastAsia="宋体" w:cs="宋体"/>
          <w:b w:val="0"/>
          <w:bCs/>
          <w:color w:val="auto"/>
          <w:sz w:val="24"/>
          <w:highlight w:val="none"/>
        </w:rPr>
        <w:t xml:space="preserve"> </w:t>
      </w:r>
    </w:p>
    <w:p>
      <w:pPr>
        <w:spacing w:line="360" w:lineRule="auto"/>
        <w:ind w:firstLine="48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 xml:space="preserve">    数量: </w:t>
      </w:r>
      <w:r>
        <w:rPr>
          <w:rFonts w:hint="eastAsia" w:ascii="宋体" w:hAnsi="宋体" w:eastAsia="宋体" w:cs="宋体"/>
          <w:b w:val="0"/>
          <w:bCs/>
          <w:color w:val="auto"/>
          <w:sz w:val="24"/>
          <w:highlight w:val="none"/>
          <w:lang w:val="en-US" w:eastAsia="zh-CN"/>
        </w:rPr>
        <w:t>1</w:t>
      </w:r>
      <w:r>
        <w:rPr>
          <w:rFonts w:hint="eastAsia" w:ascii="宋体" w:hAnsi="宋体" w:eastAsia="宋体" w:cs="宋体"/>
          <w:b w:val="0"/>
          <w:bCs/>
          <w:color w:val="auto"/>
          <w:sz w:val="24"/>
          <w:highlight w:val="none"/>
        </w:rPr>
        <w:t xml:space="preserve"> </w:t>
      </w:r>
    </w:p>
    <w:p>
      <w:pPr>
        <w:spacing w:line="360" w:lineRule="auto"/>
        <w:ind w:firstLine="480"/>
        <w:rPr>
          <w:rFonts w:hint="default"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rPr>
        <w:t xml:space="preserve">    预算金额（元）: </w:t>
      </w:r>
      <w:r>
        <w:rPr>
          <w:rFonts w:hint="eastAsia" w:ascii="宋体" w:hAnsi="宋体" w:eastAsia="宋体" w:cs="宋体"/>
          <w:b w:val="0"/>
          <w:bCs/>
          <w:color w:val="auto"/>
          <w:sz w:val="24"/>
          <w:highlight w:val="none"/>
          <w:lang w:val="en-US" w:eastAsia="zh-CN"/>
        </w:rPr>
        <w:t>800000</w:t>
      </w:r>
    </w:p>
    <w:p>
      <w:pPr>
        <w:spacing w:line="360" w:lineRule="auto"/>
        <w:ind w:firstLine="1024" w:firstLineChars="427"/>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简要规格描述或项目基本概况介绍、用途：详见招标文件</w:t>
      </w:r>
      <w:r>
        <w:rPr>
          <w:rFonts w:hint="eastAsia" w:ascii="宋体" w:hAnsi="宋体" w:eastAsia="宋体" w:cs="宋体"/>
          <w:b w:val="0"/>
          <w:bCs/>
          <w:color w:val="auto"/>
          <w:sz w:val="24"/>
          <w:highlight w:val="none"/>
          <w:lang w:eastAsia="zh-CN"/>
        </w:rPr>
        <w:t>。</w:t>
      </w:r>
      <w:r>
        <w:rPr>
          <w:rFonts w:hint="eastAsia" w:ascii="宋体" w:hAnsi="宋体" w:eastAsia="宋体" w:cs="宋体"/>
          <w:b w:val="0"/>
          <w:bCs/>
          <w:color w:val="auto"/>
          <w:sz w:val="24"/>
          <w:highlight w:val="none"/>
        </w:rPr>
        <w:t xml:space="preserve"> </w:t>
      </w:r>
    </w:p>
    <w:p>
      <w:pPr>
        <w:spacing w:line="360" w:lineRule="auto"/>
        <w:ind w:firstLine="480"/>
        <w:rPr>
          <w:rFonts w:hint="eastAsia" w:ascii="宋体" w:hAnsi="宋体" w:eastAsia="宋体" w:cs="宋体"/>
          <w:b w:val="0"/>
          <w:bCs/>
          <w:color w:val="auto"/>
          <w:sz w:val="24"/>
          <w:highlight w:val="none"/>
          <w:lang w:eastAsia="zh-CN"/>
        </w:rPr>
      </w:pPr>
      <w:r>
        <w:rPr>
          <w:rFonts w:hint="eastAsia" w:ascii="宋体" w:hAnsi="宋体" w:eastAsia="宋体" w:cs="宋体"/>
          <w:b w:val="0"/>
          <w:bCs/>
          <w:color w:val="auto"/>
          <w:sz w:val="24"/>
          <w:highlight w:val="none"/>
        </w:rPr>
        <w:t xml:space="preserve">    备注：</w:t>
      </w:r>
    </w:p>
    <w:p>
      <w:pPr>
        <w:spacing w:line="360" w:lineRule="auto"/>
        <w:ind w:firstLine="480"/>
        <w:rPr>
          <w:rFonts w:hint="eastAsia" w:ascii="宋体" w:hAnsi="宋体" w:eastAsia="宋体" w:cs="宋体"/>
          <w:b w:val="0"/>
          <w:bCs/>
          <w:color w:val="auto"/>
          <w:sz w:val="24"/>
          <w:highlight w:val="none"/>
        </w:rPr>
      </w:pPr>
      <w:r>
        <w:rPr>
          <w:rFonts w:hint="eastAsia" w:ascii="宋体" w:hAnsi="宋体" w:cs="宋体"/>
          <w:b w:val="0"/>
          <w:bCs/>
          <w:color w:val="auto"/>
          <w:sz w:val="24"/>
          <w:highlight w:val="none"/>
          <w:lang w:val="en-US" w:eastAsia="zh-CN"/>
        </w:rPr>
        <w:t xml:space="preserve">        </w:t>
      </w:r>
      <w:r>
        <w:rPr>
          <w:rFonts w:hint="eastAsia" w:ascii="宋体" w:hAnsi="宋体" w:eastAsia="宋体" w:cs="宋体"/>
          <w:b w:val="0"/>
          <w:bCs/>
          <w:color w:val="auto"/>
          <w:sz w:val="24"/>
          <w:highlight w:val="none"/>
        </w:rPr>
        <w:t>合同履约期限：标项 1，详见招标文件</w:t>
      </w:r>
    </w:p>
    <w:p>
      <w:pPr>
        <w:spacing w:line="360" w:lineRule="auto"/>
        <w:ind w:firstLine="48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 xml:space="preserve">    </w:t>
      </w:r>
      <w:r>
        <w:rPr>
          <w:rFonts w:hint="eastAsia" w:ascii="宋体" w:hAnsi="宋体" w:cs="宋体"/>
          <w:b w:val="0"/>
          <w:bCs/>
          <w:color w:val="auto"/>
          <w:sz w:val="24"/>
          <w:highlight w:val="none"/>
          <w:lang w:val="en-US" w:eastAsia="zh-CN"/>
        </w:rPr>
        <w:t xml:space="preserve">    </w:t>
      </w:r>
      <w:r>
        <w:rPr>
          <w:rFonts w:hint="eastAsia" w:ascii="宋体" w:hAnsi="宋体" w:eastAsia="宋体" w:cs="宋体"/>
          <w:b w:val="0"/>
          <w:bCs/>
          <w:color w:val="auto"/>
          <w:sz w:val="24"/>
          <w:highlight w:val="none"/>
        </w:rPr>
        <w:t>本项目（否）接受联合体投标。</w:t>
      </w:r>
    </w:p>
    <w:p>
      <w:pPr>
        <w:spacing w:line="360" w:lineRule="auto"/>
        <w:outlineLvl w:val="1"/>
        <w:rPr>
          <w:rFonts w:hint="eastAsia" w:ascii="宋体" w:hAnsi="宋体" w:eastAsia="宋体" w:cs="宋体"/>
          <w:b/>
          <w:color w:val="auto"/>
          <w:sz w:val="24"/>
          <w:highlight w:val="none"/>
        </w:rPr>
      </w:pPr>
      <w:bookmarkStart w:id="12" w:name="_Toc12406"/>
      <w:r>
        <w:rPr>
          <w:rFonts w:hint="eastAsia" w:ascii="宋体" w:hAnsi="宋体" w:eastAsia="宋体" w:cs="宋体"/>
          <w:b/>
          <w:color w:val="auto"/>
          <w:sz w:val="24"/>
          <w:highlight w:val="none"/>
        </w:rPr>
        <w:t>二、申请人的资格要求：</w:t>
      </w:r>
      <w:bookmarkEnd w:id="12"/>
    </w:p>
    <w:p>
      <w:pPr>
        <w:spacing w:line="360" w:lineRule="auto"/>
        <w:ind w:firstLine="48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 xml:space="preserve">    2.落实政府采购政策需满足的资格要求：</w:t>
      </w:r>
      <w:r>
        <w:rPr>
          <w:rFonts w:hint="eastAsia" w:ascii="宋体" w:hAnsi="宋体" w:eastAsia="宋体" w:cs="宋体"/>
          <w:color w:val="auto"/>
          <w:sz w:val="24"/>
          <w:highlight w:val="none"/>
        </w:rPr>
        <w:t>无</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本项目的特定资格要求：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outlineLvl w:val="1"/>
        <w:rPr>
          <w:rFonts w:hint="eastAsia" w:ascii="宋体" w:hAnsi="宋体" w:eastAsia="宋体" w:cs="宋体"/>
          <w:b/>
          <w:color w:val="auto"/>
          <w:sz w:val="24"/>
          <w:highlight w:val="none"/>
        </w:rPr>
      </w:pPr>
      <w:bookmarkStart w:id="13" w:name="_Toc1752"/>
      <w:r>
        <w:rPr>
          <w:rFonts w:hint="eastAsia" w:ascii="宋体" w:hAnsi="宋体" w:eastAsia="宋体" w:cs="宋体"/>
          <w:b/>
          <w:color w:val="auto"/>
          <w:sz w:val="24"/>
          <w:highlight w:val="none"/>
        </w:rPr>
        <w:t>三、获取招标文件</w:t>
      </w:r>
      <w:bookmarkEnd w:id="13"/>
      <w:r>
        <w:rPr>
          <w:rFonts w:hint="eastAsia" w:ascii="宋体" w:hAnsi="宋体" w:eastAsia="宋体" w:cs="宋体"/>
          <w:b/>
          <w:color w:val="auto"/>
          <w:sz w:val="24"/>
          <w:highlight w:val="none"/>
        </w:rPr>
        <w:t xml:space="preserve">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时间：</w:t>
      </w:r>
      <w:r>
        <w:rPr>
          <w:rFonts w:hint="eastAsia" w:ascii="宋体" w:hAnsi="宋体" w:eastAsia="宋体" w:cs="宋体"/>
          <w:color w:val="auto"/>
          <w:sz w:val="24"/>
          <w:highlight w:val="none"/>
        </w:rPr>
        <w:t>/至</w:t>
      </w:r>
      <w:r>
        <w:rPr>
          <w:rFonts w:hint="eastAsia" w:ascii="宋体" w:hAnsi="宋体" w:eastAsia="宋体" w:cs="宋体"/>
          <w:color w:val="auto"/>
          <w:sz w:val="24"/>
          <w:highlight w:val="none"/>
          <w:u w:val="none"/>
        </w:rPr>
        <w:t>202</w:t>
      </w:r>
      <w:r>
        <w:rPr>
          <w:rFonts w:hint="eastAsia" w:ascii="宋体" w:hAnsi="宋体" w:cs="宋体"/>
          <w:color w:val="auto"/>
          <w:sz w:val="24"/>
          <w:highlight w:val="none"/>
          <w:u w:val="none"/>
          <w:lang w:val="en-US" w:eastAsia="zh-CN"/>
        </w:rPr>
        <w:t>2</w:t>
      </w:r>
      <w:r>
        <w:rPr>
          <w:rFonts w:hint="eastAsia" w:ascii="宋体" w:hAnsi="宋体" w:eastAsia="宋体" w:cs="宋体"/>
          <w:color w:val="auto"/>
          <w:sz w:val="24"/>
          <w:highlight w:val="none"/>
          <w:u w:val="none"/>
        </w:rPr>
        <w:t>年</w:t>
      </w:r>
      <w:r>
        <w:rPr>
          <w:rFonts w:hint="eastAsia" w:ascii="宋体" w:hAnsi="宋体" w:cs="宋体"/>
          <w:color w:val="auto"/>
          <w:sz w:val="24"/>
          <w:highlight w:val="none"/>
          <w:u w:val="none"/>
          <w:lang w:val="en-US" w:eastAsia="zh-CN"/>
        </w:rPr>
        <w:t>3</w:t>
      </w:r>
      <w:r>
        <w:rPr>
          <w:rFonts w:hint="eastAsia" w:ascii="宋体" w:hAnsi="宋体" w:eastAsia="宋体" w:cs="宋体"/>
          <w:color w:val="auto"/>
          <w:sz w:val="24"/>
          <w:highlight w:val="none"/>
          <w:u w:val="none"/>
        </w:rPr>
        <w:t>月</w:t>
      </w:r>
      <w:r>
        <w:rPr>
          <w:rFonts w:hint="eastAsia" w:ascii="宋体" w:hAnsi="宋体" w:cs="宋体"/>
          <w:color w:val="auto"/>
          <w:sz w:val="24"/>
          <w:highlight w:val="none"/>
          <w:u w:val="none"/>
          <w:lang w:val="en-US" w:eastAsia="zh-CN"/>
        </w:rPr>
        <w:t>15</w:t>
      </w:r>
      <w:r>
        <w:rPr>
          <w:rFonts w:hint="eastAsia" w:ascii="宋体" w:hAnsi="宋体" w:eastAsia="宋体" w:cs="宋体"/>
          <w:color w:val="auto"/>
          <w:sz w:val="24"/>
          <w:highlight w:val="none"/>
          <w:u w:val="none"/>
        </w:rPr>
        <w:t>日</w:t>
      </w:r>
      <w:r>
        <w:rPr>
          <w:rFonts w:hint="eastAsia" w:ascii="宋体" w:hAnsi="宋体" w:eastAsia="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地点（网址）：</w:t>
      </w:r>
      <w:r>
        <w:rPr>
          <w:rFonts w:hint="eastAsia" w:ascii="宋体" w:hAnsi="宋体" w:eastAsia="宋体" w:cs="宋体"/>
          <w:color w:val="auto"/>
          <w:sz w:val="24"/>
          <w:highlight w:val="none"/>
        </w:rPr>
        <w:t xml:space="preserve">政采云平台（https://www.zcygov.cn/）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方式：</w:t>
      </w:r>
      <w:r>
        <w:rPr>
          <w:rFonts w:hint="eastAsia" w:ascii="宋体" w:hAnsi="宋体" w:eastAsia="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售价（元）：</w:t>
      </w:r>
      <w:r>
        <w:rPr>
          <w:rFonts w:hint="eastAsia" w:ascii="宋体" w:hAnsi="宋体" w:eastAsia="宋体" w:cs="宋体"/>
          <w:color w:val="auto"/>
          <w:sz w:val="24"/>
          <w:highlight w:val="none"/>
        </w:rPr>
        <w:t xml:space="preserve">0 </w:t>
      </w:r>
      <w:r>
        <w:rPr>
          <w:rFonts w:hint="eastAsia" w:ascii="宋体" w:hAnsi="宋体" w:eastAsia="宋体" w:cs="宋体"/>
          <w:color w:val="auto"/>
          <w:sz w:val="24"/>
          <w:highlight w:val="none"/>
        </w:rPr>
        <w:tab/>
      </w:r>
    </w:p>
    <w:p>
      <w:pPr>
        <w:spacing w:line="360" w:lineRule="auto"/>
        <w:outlineLvl w:val="1"/>
        <w:rPr>
          <w:rFonts w:hint="eastAsia" w:ascii="宋体" w:hAnsi="宋体" w:eastAsia="宋体" w:cs="宋体"/>
          <w:b/>
          <w:color w:val="auto"/>
          <w:sz w:val="24"/>
          <w:highlight w:val="none"/>
        </w:rPr>
      </w:pPr>
      <w:bookmarkStart w:id="14" w:name="_Toc10624"/>
      <w:r>
        <w:rPr>
          <w:rFonts w:hint="eastAsia" w:ascii="宋体" w:hAnsi="宋体" w:eastAsia="宋体" w:cs="宋体"/>
          <w:b/>
          <w:color w:val="auto"/>
          <w:sz w:val="24"/>
          <w:highlight w:val="none"/>
        </w:rPr>
        <w:t>四、提交投标文件截止时间、开标时间和地点</w:t>
      </w:r>
      <w:bookmarkEnd w:id="14"/>
    </w:p>
    <w:p>
      <w:pPr>
        <w:spacing w:line="360" w:lineRule="auto"/>
        <w:ind w:firstLine="482" w:firstLineChars="200"/>
        <w:rPr>
          <w:rFonts w:hint="eastAsia" w:ascii="宋体" w:hAnsi="宋体" w:eastAsia="宋体" w:cs="宋体"/>
          <w:color w:val="auto"/>
          <w:sz w:val="24"/>
          <w:highlight w:val="none"/>
          <w:u w:val="none"/>
        </w:rPr>
      </w:pPr>
      <w:r>
        <w:rPr>
          <w:rFonts w:hint="eastAsia" w:ascii="宋体" w:hAnsi="宋体" w:eastAsia="宋体" w:cs="宋体"/>
          <w:b/>
          <w:color w:val="auto"/>
          <w:sz w:val="24"/>
          <w:highlight w:val="none"/>
        </w:rPr>
        <w:t>提交投标文件截止时间：</w:t>
      </w:r>
      <w:r>
        <w:rPr>
          <w:rFonts w:hint="eastAsia" w:ascii="宋体" w:hAnsi="宋体" w:eastAsia="宋体" w:cs="宋体"/>
          <w:color w:val="auto"/>
          <w:sz w:val="24"/>
          <w:highlight w:val="none"/>
          <w:u w:val="none"/>
        </w:rPr>
        <w:t xml:space="preserve"> 202</w:t>
      </w:r>
      <w:r>
        <w:rPr>
          <w:rFonts w:hint="eastAsia" w:ascii="宋体" w:hAnsi="宋体" w:eastAsia="宋体" w:cs="宋体"/>
          <w:color w:val="auto"/>
          <w:sz w:val="24"/>
          <w:highlight w:val="none"/>
          <w:u w:val="none"/>
          <w:lang w:val="en-US" w:eastAsia="zh-CN"/>
        </w:rPr>
        <w:t>2</w:t>
      </w:r>
      <w:r>
        <w:rPr>
          <w:rFonts w:hint="eastAsia" w:ascii="宋体" w:hAnsi="宋体" w:eastAsia="宋体" w:cs="宋体"/>
          <w:color w:val="auto"/>
          <w:sz w:val="24"/>
          <w:highlight w:val="none"/>
          <w:u w:val="none"/>
        </w:rPr>
        <w:t>年</w:t>
      </w:r>
      <w:r>
        <w:rPr>
          <w:rFonts w:hint="eastAsia" w:ascii="宋体" w:hAnsi="宋体" w:cs="宋体"/>
          <w:color w:val="auto"/>
          <w:sz w:val="24"/>
          <w:highlight w:val="none"/>
          <w:u w:val="none"/>
          <w:lang w:val="en-US" w:eastAsia="zh-CN"/>
        </w:rPr>
        <w:t>3</w:t>
      </w:r>
      <w:r>
        <w:rPr>
          <w:rFonts w:hint="eastAsia" w:ascii="宋体" w:hAnsi="宋体" w:eastAsia="宋体" w:cs="宋体"/>
          <w:color w:val="auto"/>
          <w:sz w:val="24"/>
          <w:highlight w:val="none"/>
          <w:u w:val="none"/>
        </w:rPr>
        <w:t>月</w:t>
      </w:r>
      <w:r>
        <w:rPr>
          <w:rFonts w:hint="eastAsia" w:ascii="宋体" w:hAnsi="宋体" w:cs="宋体"/>
          <w:color w:val="auto"/>
          <w:sz w:val="24"/>
          <w:highlight w:val="none"/>
          <w:u w:val="none"/>
          <w:lang w:val="en-US" w:eastAsia="zh-CN"/>
        </w:rPr>
        <w:t>15</w:t>
      </w:r>
      <w:r>
        <w:rPr>
          <w:rFonts w:hint="eastAsia" w:ascii="宋体" w:hAnsi="宋体" w:eastAsia="宋体" w:cs="宋体"/>
          <w:color w:val="auto"/>
          <w:sz w:val="24"/>
          <w:highlight w:val="none"/>
          <w:u w:val="none"/>
        </w:rPr>
        <w:t>日</w:t>
      </w:r>
      <w:r>
        <w:rPr>
          <w:rFonts w:hint="eastAsia" w:ascii="宋体" w:hAnsi="宋体" w:cs="宋体"/>
          <w:color w:val="auto"/>
          <w:sz w:val="24"/>
          <w:highlight w:val="none"/>
          <w:u w:val="none"/>
          <w:lang w:val="en-US" w:eastAsia="zh-CN"/>
        </w:rPr>
        <w:t>13点30</w:t>
      </w:r>
      <w:r>
        <w:rPr>
          <w:rFonts w:hint="eastAsia" w:ascii="宋体" w:hAnsi="宋体" w:eastAsia="宋体" w:cs="宋体"/>
          <w:color w:val="auto"/>
          <w:sz w:val="24"/>
          <w:highlight w:val="none"/>
          <w:u w:val="none"/>
        </w:rPr>
        <w:t>分</w:t>
      </w:r>
      <w:r>
        <w:rPr>
          <w:rFonts w:hint="eastAsia" w:ascii="宋体" w:hAnsi="宋体" w:eastAsia="宋体" w:cs="宋体"/>
          <w:bCs/>
          <w:color w:val="auto"/>
          <w:sz w:val="24"/>
          <w:highlight w:val="none"/>
          <w:u w:val="none"/>
        </w:rPr>
        <w:t xml:space="preserve"> </w:t>
      </w:r>
      <w:r>
        <w:rPr>
          <w:rFonts w:hint="eastAsia" w:ascii="宋体" w:hAnsi="宋体" w:eastAsia="宋体" w:cs="宋体"/>
          <w:color w:val="auto"/>
          <w:sz w:val="24"/>
          <w:highlight w:val="none"/>
          <w:u w:val="none"/>
        </w:rPr>
        <w:t>（北京时间）</w:t>
      </w:r>
    </w:p>
    <w:p>
      <w:pPr>
        <w:spacing w:line="360" w:lineRule="auto"/>
        <w:ind w:firstLine="482" w:firstLineChars="200"/>
        <w:rPr>
          <w:rFonts w:hint="eastAsia" w:ascii="宋体" w:hAnsi="宋体" w:eastAsia="宋体" w:cs="宋体"/>
          <w:b/>
          <w:color w:val="auto"/>
          <w:sz w:val="24"/>
          <w:highlight w:val="none"/>
          <w:u w:val="none"/>
        </w:rPr>
      </w:pPr>
      <w:r>
        <w:rPr>
          <w:rFonts w:hint="eastAsia" w:ascii="宋体" w:hAnsi="宋体" w:eastAsia="宋体" w:cs="宋体"/>
          <w:b/>
          <w:color w:val="auto"/>
          <w:sz w:val="24"/>
          <w:highlight w:val="none"/>
          <w:u w:val="none"/>
        </w:rPr>
        <w:t>投标地点（网址）：</w:t>
      </w:r>
      <w:r>
        <w:rPr>
          <w:rFonts w:hint="eastAsia" w:ascii="宋体" w:hAnsi="宋体" w:eastAsia="宋体" w:cs="宋体"/>
          <w:color w:val="auto"/>
          <w:sz w:val="24"/>
          <w:highlight w:val="none"/>
          <w:u w:val="none"/>
        </w:rPr>
        <w:t xml:space="preserve">政采云平台（https://www.zcygov.cn/） </w:t>
      </w:r>
    </w:p>
    <w:p>
      <w:pPr>
        <w:spacing w:line="360" w:lineRule="auto"/>
        <w:ind w:firstLine="482" w:firstLineChars="200"/>
        <w:rPr>
          <w:rFonts w:hint="eastAsia" w:ascii="宋体" w:hAnsi="宋体" w:eastAsia="宋体" w:cs="宋体"/>
          <w:bCs/>
          <w:color w:val="auto"/>
          <w:sz w:val="24"/>
          <w:highlight w:val="none"/>
          <w:u w:val="none"/>
        </w:rPr>
      </w:pPr>
      <w:r>
        <w:rPr>
          <w:rFonts w:hint="eastAsia" w:ascii="宋体" w:hAnsi="宋体" w:eastAsia="宋体" w:cs="宋体"/>
          <w:b/>
          <w:color w:val="auto"/>
          <w:sz w:val="24"/>
          <w:highlight w:val="none"/>
          <w:u w:val="none"/>
        </w:rPr>
        <w:t>开标时间：</w:t>
      </w:r>
      <w:r>
        <w:rPr>
          <w:rFonts w:hint="eastAsia" w:ascii="宋体" w:hAnsi="宋体" w:eastAsia="宋体" w:cs="宋体"/>
          <w:color w:val="auto"/>
          <w:sz w:val="24"/>
          <w:highlight w:val="none"/>
          <w:u w:val="none"/>
        </w:rPr>
        <w:t>202</w:t>
      </w:r>
      <w:r>
        <w:rPr>
          <w:rFonts w:hint="eastAsia" w:ascii="宋体" w:hAnsi="宋体" w:eastAsia="宋体" w:cs="宋体"/>
          <w:color w:val="auto"/>
          <w:sz w:val="24"/>
          <w:highlight w:val="none"/>
          <w:u w:val="none"/>
          <w:lang w:val="en-US" w:eastAsia="zh-CN"/>
        </w:rPr>
        <w:t>2</w:t>
      </w:r>
      <w:r>
        <w:rPr>
          <w:rFonts w:hint="eastAsia" w:ascii="宋体" w:hAnsi="宋体" w:eastAsia="宋体" w:cs="宋体"/>
          <w:color w:val="auto"/>
          <w:sz w:val="24"/>
          <w:highlight w:val="none"/>
          <w:u w:val="none"/>
        </w:rPr>
        <w:t>年</w:t>
      </w:r>
      <w:r>
        <w:rPr>
          <w:rFonts w:hint="eastAsia" w:ascii="宋体" w:hAnsi="宋体" w:cs="宋体"/>
          <w:color w:val="auto"/>
          <w:sz w:val="24"/>
          <w:highlight w:val="none"/>
          <w:u w:val="none"/>
          <w:lang w:val="en-US" w:eastAsia="zh-CN"/>
        </w:rPr>
        <w:t>3</w:t>
      </w:r>
      <w:r>
        <w:rPr>
          <w:rFonts w:hint="eastAsia" w:ascii="宋体" w:hAnsi="宋体" w:eastAsia="宋体" w:cs="宋体"/>
          <w:color w:val="auto"/>
          <w:sz w:val="24"/>
          <w:highlight w:val="none"/>
          <w:u w:val="none"/>
        </w:rPr>
        <w:t>月</w:t>
      </w:r>
      <w:r>
        <w:rPr>
          <w:rFonts w:hint="eastAsia" w:ascii="宋体" w:hAnsi="宋体" w:cs="宋体"/>
          <w:color w:val="auto"/>
          <w:sz w:val="24"/>
          <w:highlight w:val="none"/>
          <w:u w:val="none"/>
          <w:lang w:val="en-US" w:eastAsia="zh-CN"/>
        </w:rPr>
        <w:t>15</w:t>
      </w:r>
      <w:r>
        <w:rPr>
          <w:rFonts w:hint="eastAsia" w:ascii="宋体" w:hAnsi="宋体" w:eastAsia="宋体" w:cs="宋体"/>
          <w:color w:val="auto"/>
          <w:sz w:val="24"/>
          <w:highlight w:val="none"/>
          <w:u w:val="none"/>
        </w:rPr>
        <w:t>日</w:t>
      </w:r>
      <w:r>
        <w:rPr>
          <w:rFonts w:hint="eastAsia" w:ascii="宋体" w:hAnsi="宋体" w:cs="宋体"/>
          <w:color w:val="auto"/>
          <w:sz w:val="24"/>
          <w:highlight w:val="none"/>
          <w:u w:val="none"/>
          <w:lang w:val="en-US" w:eastAsia="zh-CN"/>
        </w:rPr>
        <w:t>13</w:t>
      </w:r>
      <w:r>
        <w:rPr>
          <w:rFonts w:hint="eastAsia" w:ascii="宋体" w:hAnsi="宋体" w:eastAsia="宋体" w:cs="宋体"/>
          <w:color w:val="auto"/>
          <w:sz w:val="24"/>
          <w:highlight w:val="none"/>
          <w:u w:val="none"/>
        </w:rPr>
        <w:t>点</w:t>
      </w:r>
      <w:r>
        <w:rPr>
          <w:rFonts w:hint="eastAsia" w:ascii="宋体" w:hAnsi="宋体" w:cs="宋体"/>
          <w:color w:val="auto"/>
          <w:sz w:val="24"/>
          <w:highlight w:val="none"/>
          <w:u w:val="none"/>
          <w:lang w:val="en-US" w:eastAsia="zh-CN"/>
        </w:rPr>
        <w:t>30</w:t>
      </w:r>
      <w:r>
        <w:rPr>
          <w:rFonts w:hint="eastAsia" w:ascii="宋体" w:hAnsi="宋体" w:eastAsia="宋体" w:cs="宋体"/>
          <w:color w:val="auto"/>
          <w:sz w:val="24"/>
          <w:highlight w:val="none"/>
          <w:u w:val="none"/>
        </w:rPr>
        <w:t>分</w:t>
      </w:r>
      <w:r>
        <w:rPr>
          <w:rFonts w:hint="eastAsia" w:ascii="宋体" w:hAnsi="宋体" w:eastAsia="宋体" w:cs="宋体"/>
          <w:bCs/>
          <w:color w:val="auto"/>
          <w:sz w:val="24"/>
          <w:highlight w:val="none"/>
          <w:u w:val="none"/>
        </w:rPr>
        <w:t xml:space="preserve"> </w:t>
      </w:r>
    </w:p>
    <w:p>
      <w:pPr>
        <w:spacing w:line="360" w:lineRule="auto"/>
        <w:ind w:firstLine="482" w:firstLineChars="200"/>
        <w:rPr>
          <w:rFonts w:hint="eastAsia" w:ascii="宋体" w:hAnsi="宋体" w:eastAsia="宋体" w:cs="宋体"/>
          <w:b w:val="0"/>
          <w:bCs/>
          <w:color w:val="auto"/>
          <w:sz w:val="24"/>
          <w:highlight w:val="none"/>
        </w:rPr>
      </w:pPr>
      <w:r>
        <w:rPr>
          <w:rFonts w:hint="eastAsia" w:ascii="宋体" w:hAnsi="宋体" w:eastAsia="宋体" w:cs="宋体"/>
          <w:b/>
          <w:color w:val="auto"/>
          <w:sz w:val="24"/>
          <w:highlight w:val="none"/>
        </w:rPr>
        <w:t>开标地点（网址）：</w:t>
      </w:r>
      <w:r>
        <w:rPr>
          <w:rFonts w:hint="eastAsia" w:ascii="宋体" w:hAnsi="宋体" w:eastAsia="宋体" w:cs="宋体"/>
          <w:b w:val="0"/>
          <w:bCs/>
          <w:color w:val="auto"/>
          <w:sz w:val="24"/>
          <w:highlight w:val="none"/>
        </w:rPr>
        <w:t>嘉兴市公共资源交易中心开标室通过政府采购云平台（https://www.zcygov.cn）在线开标</w:t>
      </w:r>
    </w:p>
    <w:p>
      <w:pPr>
        <w:pStyle w:val="22"/>
        <w:rPr>
          <w:rFonts w:hint="eastAsia"/>
          <w:color w:val="auto"/>
        </w:rPr>
      </w:pPr>
    </w:p>
    <w:p>
      <w:pPr>
        <w:spacing w:line="360" w:lineRule="auto"/>
        <w:outlineLvl w:val="1"/>
        <w:rPr>
          <w:rFonts w:hint="eastAsia" w:ascii="宋体" w:hAnsi="宋体" w:eastAsia="宋体" w:cs="宋体"/>
          <w:b/>
          <w:color w:val="auto"/>
          <w:sz w:val="24"/>
          <w:highlight w:val="none"/>
        </w:rPr>
      </w:pPr>
      <w:bookmarkStart w:id="15" w:name="_Toc23444"/>
      <w:r>
        <w:rPr>
          <w:rFonts w:hint="eastAsia" w:ascii="宋体" w:hAnsi="宋体" w:eastAsia="宋体" w:cs="宋体"/>
          <w:b/>
          <w:color w:val="auto"/>
          <w:sz w:val="24"/>
          <w:highlight w:val="none"/>
          <w:lang w:val="en-US" w:eastAsia="zh-CN"/>
        </w:rPr>
        <w:t>五、</w:t>
      </w:r>
      <w:r>
        <w:rPr>
          <w:rFonts w:hint="eastAsia" w:ascii="宋体" w:hAnsi="宋体" w:eastAsia="宋体" w:cs="宋体"/>
          <w:b/>
          <w:color w:val="auto"/>
          <w:sz w:val="24"/>
          <w:highlight w:val="none"/>
        </w:rPr>
        <w:t>采购意向公开链接</w:t>
      </w:r>
      <w:bookmarkEnd w:id="15"/>
    </w:p>
    <w:p>
      <w:pPr>
        <w:spacing w:line="360" w:lineRule="auto"/>
        <w:ind w:firstLine="220" w:firstLineChars="10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fldChar w:fldCharType="begin"/>
      </w:r>
      <w:r>
        <w:rPr>
          <w:rFonts w:hint="eastAsia" w:ascii="宋体" w:hAnsi="宋体" w:eastAsia="宋体" w:cs="宋体"/>
          <w:color w:val="auto"/>
          <w:sz w:val="22"/>
          <w:szCs w:val="22"/>
          <w:highlight w:val="none"/>
          <w:lang w:eastAsia="zh-CN"/>
        </w:rPr>
        <w:instrText xml:space="preserve"> HYPERLINK "http://zfcg.czt.zj.gov.cn/innerUsed_noticeDetails/index.html?noticeId=8353801" </w:instrText>
      </w:r>
      <w:r>
        <w:rPr>
          <w:rFonts w:hint="eastAsia" w:ascii="宋体" w:hAnsi="宋体" w:eastAsia="宋体" w:cs="宋体"/>
          <w:color w:val="auto"/>
          <w:sz w:val="22"/>
          <w:szCs w:val="22"/>
          <w:highlight w:val="none"/>
          <w:lang w:eastAsia="zh-CN"/>
        </w:rPr>
        <w:fldChar w:fldCharType="separate"/>
      </w:r>
      <w:r>
        <w:rPr>
          <w:rFonts w:hint="eastAsia" w:ascii="宋体" w:hAnsi="宋体" w:eastAsia="宋体" w:cs="宋体"/>
          <w:color w:val="auto"/>
          <w:sz w:val="22"/>
          <w:szCs w:val="22"/>
          <w:highlight w:val="none"/>
          <w:lang w:eastAsia="zh-CN"/>
        </w:rPr>
        <w:t>http://zfcg.czt.zj.gov.cn/innerUsed_noticeDetails/index.html?noticeId=8353801</w:t>
      </w:r>
      <w:r>
        <w:rPr>
          <w:rFonts w:hint="eastAsia" w:ascii="宋体" w:hAnsi="宋体" w:eastAsia="宋体" w:cs="宋体"/>
          <w:color w:val="auto"/>
          <w:sz w:val="22"/>
          <w:szCs w:val="22"/>
          <w:highlight w:val="none"/>
          <w:lang w:eastAsia="zh-CN"/>
        </w:rPr>
        <w:fldChar w:fldCharType="end"/>
      </w:r>
    </w:p>
    <w:p>
      <w:pPr>
        <w:pStyle w:val="22"/>
        <w:rPr>
          <w:rFonts w:hint="eastAsia"/>
          <w:color w:val="auto"/>
        </w:rPr>
      </w:pPr>
    </w:p>
    <w:p>
      <w:pPr>
        <w:spacing w:line="360" w:lineRule="auto"/>
        <w:outlineLvl w:val="1"/>
        <w:rPr>
          <w:rFonts w:hint="eastAsia" w:ascii="宋体" w:hAnsi="宋体" w:eastAsia="宋体" w:cs="宋体"/>
          <w:color w:val="auto"/>
          <w:sz w:val="24"/>
          <w:highlight w:val="none"/>
        </w:rPr>
      </w:pPr>
      <w:bookmarkStart w:id="16" w:name="_Toc5348"/>
      <w:r>
        <w:rPr>
          <w:rFonts w:hint="eastAsia" w:ascii="宋体" w:hAnsi="宋体" w:cs="宋体"/>
          <w:b/>
          <w:color w:val="auto"/>
          <w:sz w:val="24"/>
          <w:highlight w:val="none"/>
          <w:lang w:val="en-US" w:eastAsia="zh-CN"/>
        </w:rPr>
        <w:t>六</w:t>
      </w:r>
      <w:r>
        <w:rPr>
          <w:rFonts w:hint="eastAsia" w:ascii="宋体" w:hAnsi="宋体" w:eastAsia="宋体" w:cs="宋体"/>
          <w:b/>
          <w:color w:val="auto"/>
          <w:sz w:val="24"/>
          <w:highlight w:val="none"/>
        </w:rPr>
        <w:t>、公告期限</w:t>
      </w:r>
      <w:bookmarkEnd w:id="16"/>
      <w:r>
        <w:rPr>
          <w:rFonts w:hint="eastAsia" w:ascii="宋体" w:hAnsi="宋体" w:eastAsia="宋体" w:cs="宋体"/>
          <w:b/>
          <w:color w:val="auto"/>
          <w:sz w:val="24"/>
          <w:highlight w:val="non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自本公告发布之日起5个工作日。</w:t>
      </w:r>
    </w:p>
    <w:p>
      <w:pPr>
        <w:pStyle w:val="22"/>
        <w:rPr>
          <w:rFonts w:hint="eastAsia"/>
          <w:color w:val="auto"/>
        </w:rPr>
      </w:pPr>
    </w:p>
    <w:p>
      <w:pPr>
        <w:spacing w:line="360" w:lineRule="auto"/>
        <w:outlineLvl w:val="1"/>
        <w:rPr>
          <w:rFonts w:hint="eastAsia" w:ascii="宋体" w:hAnsi="宋体" w:eastAsia="宋体" w:cs="宋体"/>
          <w:b/>
          <w:color w:val="auto"/>
          <w:sz w:val="24"/>
          <w:highlight w:val="none"/>
        </w:rPr>
      </w:pPr>
      <w:bookmarkStart w:id="17" w:name="_Toc24892"/>
      <w:r>
        <w:rPr>
          <w:rFonts w:hint="eastAsia" w:ascii="宋体" w:hAnsi="宋体" w:cs="宋体"/>
          <w:b/>
          <w:color w:val="auto"/>
          <w:sz w:val="24"/>
          <w:highlight w:val="none"/>
          <w:lang w:val="en-US" w:eastAsia="zh-CN"/>
        </w:rPr>
        <w:t>七</w:t>
      </w:r>
      <w:r>
        <w:rPr>
          <w:rFonts w:hint="eastAsia" w:ascii="宋体" w:hAnsi="宋体" w:eastAsia="宋体" w:cs="宋体"/>
          <w:b/>
          <w:color w:val="auto"/>
          <w:sz w:val="24"/>
          <w:highlight w:val="none"/>
        </w:rPr>
        <w:t>、其他补充事宜</w:t>
      </w:r>
      <w:bookmarkEnd w:id="17"/>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2.其他事项：（1）需要落实的政府采购政策：包括节约资源、保护环境、支持创新、促进中小企业发展等。详见招标文件的第二部分总则。</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r>
        <w:rPr>
          <w:rFonts w:hint="eastAsia" w:ascii="宋体" w:hAnsi="宋体" w:eastAsia="宋体" w:cs="宋体"/>
          <w:color w:val="auto"/>
          <w:sz w:val="24"/>
          <w:highlight w:val="none"/>
        </w:rPr>
        <w:br w:type="textWrapping"/>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w:t>
      </w:r>
      <w:r>
        <w:rPr>
          <w:rFonts w:hint="eastAsia" w:ascii="宋体" w:hAnsi="宋体" w:eastAsia="宋体" w:cs="宋体"/>
          <w:color w:val="auto"/>
          <w:sz w:val="24"/>
          <w:highlight w:val="none"/>
          <w:lang w:val="en-US" w:eastAsia="zh-CN"/>
        </w:rPr>
        <w:t>通过邮箱chinazhongzhe@163.com</w:t>
      </w:r>
      <w:r>
        <w:rPr>
          <w:rFonts w:hint="eastAsia" w:ascii="宋体" w:hAnsi="宋体" w:eastAsia="宋体" w:cs="宋体"/>
          <w:color w:val="auto"/>
          <w:sz w:val="24"/>
          <w:highlight w:val="none"/>
        </w:rPr>
        <w:t>递交备份投标文件1份。备份投标文件的制作、存储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w:t>
      </w:r>
      <w:r>
        <w:rPr>
          <w:rFonts w:hint="eastAsia" w:ascii="宋体" w:hAnsi="宋体" w:cs="宋体"/>
          <w:color w:val="auto"/>
          <w:kern w:val="2"/>
          <w:sz w:val="24"/>
          <w:szCs w:val="24"/>
          <w:highlight w:val="none"/>
          <w:lang w:val="en-US" w:eastAsia="zh-CN" w:bidi="ar-SA"/>
        </w:rPr>
        <w:t>5</w:t>
      </w:r>
      <w:r>
        <w:rPr>
          <w:rFonts w:hint="eastAsia" w:ascii="宋体" w:hAnsi="宋体" w:eastAsia="宋体" w:cs="宋体"/>
          <w:color w:val="auto"/>
          <w:kern w:val="2"/>
          <w:sz w:val="24"/>
          <w:szCs w:val="24"/>
          <w:highlight w:val="none"/>
          <w:lang w:val="en-US" w:eastAsia="zh-CN" w:bidi="ar-SA"/>
        </w:rPr>
        <w:t>）采购项目需要落实的政府采购政策：《政府采购促进中小企业发展管理办法》（财库﹝2020﹞46号）、《关于促进残疾人就业政府采购政策的通知》（财库〔2017〕141号）、《关于政府采购支持监狱企业发展有关问题的通知》（财库[2014]68号）、《关于调整优化节能产品环境标志产品政府采购执行机制的通知》（财库[2019]9号）。</w:t>
      </w:r>
    </w:p>
    <w:p>
      <w:pPr>
        <w:adjustRightInd w:val="0"/>
        <w:snapToGrid w:val="0"/>
        <w:spacing w:line="360" w:lineRule="auto"/>
        <w:ind w:firstLine="480" w:firstLineChars="200"/>
        <w:rPr>
          <w:rFonts w:hint="eastAsia" w:ascii="宋体" w:hAnsi="宋体" w:cs="宋体"/>
          <w:color w:val="auto"/>
          <w:sz w:val="24"/>
          <w:highlight w:val="none"/>
          <w:lang w:val="en-US" w:eastAsia="zh-CN"/>
        </w:rPr>
      </w:pPr>
      <w:r>
        <w:rPr>
          <w:rFonts w:hint="eastAsia" w:ascii="宋体" w:hAnsi="宋体" w:eastAsia="宋体" w:cs="宋体"/>
          <w:color w:val="auto"/>
          <w:kern w:val="2"/>
          <w:sz w:val="24"/>
          <w:szCs w:val="24"/>
          <w:highlight w:val="none"/>
          <w:lang w:val="en-US" w:eastAsia="zh-CN" w:bidi="ar-SA"/>
        </w:rPr>
        <w:t xml:space="preserve">  （</w:t>
      </w:r>
      <w:r>
        <w:rPr>
          <w:rFonts w:hint="eastAsia" w:ascii="宋体" w:hAnsi="宋体" w:cs="宋体"/>
          <w:color w:val="auto"/>
          <w:kern w:val="2"/>
          <w:sz w:val="24"/>
          <w:szCs w:val="24"/>
          <w:highlight w:val="none"/>
          <w:lang w:val="en-US" w:eastAsia="zh-CN" w:bidi="ar-SA"/>
        </w:rPr>
        <w:t>6</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kern w:val="0"/>
          <w:sz w:val="24"/>
          <w:szCs w:val="21"/>
          <w:highlight w:val="none"/>
          <w:lang w:val="en-US" w:eastAsia="zh-CN" w:bidi="ar-SA"/>
        </w:rPr>
        <w:t>本采购项目，中标人与采购人签订的政府采购合同适用于嘉兴市政府采购贷款政策，简称“政采贷”，具体内容可参阅政府采购贷款流程：http://jxszwsjb.jiaxing.gov.cn/zxfw/005012/20181016/7e541bf4-ad29-4286-ace8-d12c1b2c54fc.html或者供应商中标后也可在“政采云”平台申请政采贷：操作路径：登</w:t>
      </w:r>
      <w:r>
        <w:rPr>
          <w:rFonts w:hint="eastAsia" w:ascii="宋体" w:hAnsi="宋体" w:cs="宋体"/>
          <w:color w:val="auto"/>
          <w:sz w:val="24"/>
          <w:highlight w:val="none"/>
          <w:lang w:val="en-US" w:eastAsia="zh-CN"/>
        </w:rPr>
        <w:t>录政采云平台 - 金融服务中心 -融资服务，可在热门申请中选择产品直接申请，也可点击云智贷匹配适合产品进行申请，或者在可申请项目中根据该项目进行申请。</w:t>
      </w:r>
    </w:p>
    <w:p>
      <w:pPr>
        <w:adjustRightInd w:val="0"/>
        <w:snapToGrid w:val="0"/>
        <w:spacing w:line="360" w:lineRule="auto"/>
        <w:ind w:firstLine="480" w:firstLineChars="20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4.开标过程中，</w:t>
      </w:r>
      <w:r>
        <w:rPr>
          <w:rFonts w:hint="eastAsia" w:ascii="宋体" w:hAnsi="宋体" w:cs="宋体"/>
          <w:color w:val="auto"/>
          <w:sz w:val="24"/>
          <w:szCs w:val="24"/>
          <w:highlight w:val="none"/>
          <w:lang w:val="en-US" w:eastAsia="zh-CN"/>
        </w:rPr>
        <w:t>投标人</w:t>
      </w:r>
      <w:r>
        <w:rPr>
          <w:rFonts w:hint="eastAsia" w:ascii="宋体" w:hAnsi="宋体" w:cs="宋体"/>
          <w:color w:val="auto"/>
          <w:sz w:val="24"/>
          <w:highlight w:val="none"/>
          <w:lang w:val="en-US" w:eastAsia="zh-CN"/>
        </w:rPr>
        <w:t>应在政采云平台下载并如实填写《政府采购活动现场确认声明书》并加盖公章发送至招标代理机构邮箱chinazhongzhe@163.com。</w:t>
      </w:r>
    </w:p>
    <w:p>
      <w:pPr>
        <w:pStyle w:val="23"/>
        <w:rPr>
          <w:rFonts w:hint="eastAsia" w:ascii="宋体" w:hAnsi="宋体" w:eastAsia="宋体" w:cs="宋体"/>
          <w:color w:val="auto"/>
          <w:highlight w:val="none"/>
          <w:lang w:val="en-US" w:eastAsia="zh-CN"/>
        </w:rPr>
      </w:pPr>
    </w:p>
    <w:p>
      <w:pPr>
        <w:spacing w:line="360" w:lineRule="auto"/>
        <w:outlineLvl w:val="1"/>
        <w:rPr>
          <w:rFonts w:hint="eastAsia" w:ascii="宋体" w:hAnsi="宋体" w:eastAsia="宋体" w:cs="宋体"/>
          <w:b/>
          <w:color w:val="auto"/>
          <w:sz w:val="24"/>
          <w:highlight w:val="none"/>
        </w:rPr>
      </w:pPr>
      <w:bookmarkStart w:id="18" w:name="_Toc7818"/>
      <w:r>
        <w:rPr>
          <w:rFonts w:hint="eastAsia" w:ascii="宋体" w:hAnsi="宋体" w:cs="宋体"/>
          <w:b/>
          <w:color w:val="auto"/>
          <w:sz w:val="24"/>
          <w:highlight w:val="none"/>
          <w:lang w:val="en-US" w:eastAsia="zh-CN"/>
        </w:rPr>
        <w:t>八</w:t>
      </w:r>
      <w:r>
        <w:rPr>
          <w:rFonts w:hint="eastAsia" w:ascii="宋体" w:hAnsi="宋体" w:eastAsia="宋体" w:cs="宋体"/>
          <w:b/>
          <w:color w:val="auto"/>
          <w:sz w:val="24"/>
          <w:highlight w:val="none"/>
        </w:rPr>
        <w:t>、对本次采购提出询问、质疑、投诉，请按以下方式联系</w:t>
      </w:r>
      <w:bookmarkEnd w:id="18"/>
    </w:p>
    <w:p>
      <w:pPr>
        <w:adjustRightInd w:val="0"/>
        <w:snapToGrid w:val="0"/>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嘉兴市第一医院</w:t>
      </w:r>
    </w:p>
    <w:p>
      <w:pPr>
        <w:adjustRightInd w:val="0"/>
        <w:snapToGrid w:val="0"/>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地    址：嘉兴市中环南路 1882</w:t>
      </w:r>
      <w:r>
        <w:rPr>
          <w:rFonts w:hint="eastAsia" w:ascii="宋体" w:hAnsi="宋体" w:cs="宋体"/>
          <w:color w:val="auto"/>
          <w:sz w:val="24"/>
          <w:highlight w:val="none"/>
          <w:lang w:eastAsia="zh-CN"/>
        </w:rPr>
        <w:t>号</w:t>
      </w:r>
    </w:p>
    <w:p>
      <w:pPr>
        <w:adjustRightInd w:val="0"/>
        <w:snapToGrid w:val="0"/>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项目联系人（询问）：王</w:t>
      </w:r>
      <w:r>
        <w:rPr>
          <w:rFonts w:hint="eastAsia" w:ascii="宋体" w:hAnsi="宋体" w:cs="宋体"/>
          <w:color w:val="auto"/>
          <w:sz w:val="24"/>
          <w:highlight w:val="none"/>
          <w:lang w:val="en-US" w:eastAsia="zh-CN"/>
        </w:rPr>
        <w:t>延春</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项目联系电话（询问）：0573-89990791</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质疑联系人：龙俊</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质疑联系方式：15757398780</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2.采购代理机构</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名    称：杭州中浙招标有限公司</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地    址：杭州市湖州街168号美好国际大厦1008室</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传    真：0571-87553198</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项目联系人（询问）：蒋菊、吴战军</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项目联系方式（询问）：0571-87850058、15957136152</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质疑联系人：黄煊栋</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质疑联系方式：0571-87850078</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3.同级政府采购监督管理部门名称：</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名    称：嘉兴市财政局  </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联 系 人：姚老师</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监督投诉电话：0573-82031217</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CA问题联系电话（人工）：汇信CA 400-888-4636；天谷CA 400-087-8198。</w:t>
      </w:r>
    </w:p>
    <w:p>
      <w:pPr>
        <w:pStyle w:val="9"/>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 xml:space="preserve">                              </w:t>
      </w:r>
    </w:p>
    <w:p>
      <w:pPr>
        <w:adjustRightInd/>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br w:type="page"/>
      </w:r>
      <w:bookmarkStart w:id="19" w:name="_Toc7696"/>
      <w:r>
        <w:rPr>
          <w:rFonts w:hint="eastAsia" w:ascii="宋体" w:hAnsi="宋体" w:eastAsia="宋体" w:cs="宋体"/>
          <w:b/>
          <w:color w:val="auto"/>
          <w:sz w:val="36"/>
          <w:szCs w:val="20"/>
          <w:highlight w:val="none"/>
        </w:rPr>
        <w:t>第二部分</w:t>
      </w:r>
      <w:bookmarkEnd w:id="8"/>
      <w:r>
        <w:rPr>
          <w:rFonts w:hint="eastAsia" w:ascii="宋体" w:hAnsi="宋体" w:eastAsia="宋体" w:cs="宋体"/>
          <w:b/>
          <w:color w:val="auto"/>
          <w:sz w:val="36"/>
          <w:szCs w:val="20"/>
          <w:highlight w:val="none"/>
        </w:rPr>
        <w:t xml:space="preserve"> 投标人须知</w:t>
      </w:r>
      <w:bookmarkEnd w:id="9"/>
      <w:bookmarkEnd w:id="19"/>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前附表</w:t>
      </w:r>
    </w:p>
    <w:tbl>
      <w:tblPr>
        <w:tblStyle w:val="17"/>
        <w:tblW w:w="861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351"/>
        <w:gridCol w:w="66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351"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事项</w:t>
            </w:r>
          </w:p>
        </w:tc>
        <w:tc>
          <w:tcPr>
            <w:tcW w:w="663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32"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351"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报价要求</w:t>
            </w:r>
          </w:p>
        </w:tc>
        <w:tc>
          <w:tcPr>
            <w:tcW w:w="663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left"/>
              <w:textAlignment w:val="auto"/>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lang w:val="en-US" w:eastAsia="zh-CN"/>
              </w:rPr>
              <w:t>1</w:t>
            </w:r>
            <w:r>
              <w:rPr>
                <w:rFonts w:hint="eastAsia" w:ascii="宋体" w:hAnsi="宋体" w:eastAsia="宋体" w:cs="宋体"/>
                <w:color w:val="auto"/>
                <w:kern w:val="0"/>
                <w:sz w:val="24"/>
                <w:highlight w:val="none"/>
                <w:lang w:val="zh-CN"/>
              </w:rPr>
              <w:t>）有关本项目实施所需的所有费用（含税费）均计入报价。</w:t>
            </w:r>
            <w:r>
              <w:rPr>
                <w:rFonts w:hint="eastAsia" w:ascii="宋体" w:hAnsi="宋体" w:eastAsia="宋体" w:cs="宋体"/>
                <w:color w:val="auto"/>
                <w:sz w:val="24"/>
                <w:highlight w:val="none"/>
              </w:rPr>
              <w:t>开标一览表（报价表）是报价的唯一载体</w:t>
            </w:r>
            <w:r>
              <w:rPr>
                <w:rFonts w:hint="eastAsia" w:ascii="宋体" w:hAnsi="宋体" w:eastAsia="宋体" w:cs="宋体"/>
                <w:color w:val="auto"/>
                <w:kern w:val="0"/>
                <w:sz w:val="24"/>
                <w:highlight w:val="none"/>
                <w:lang w:val="zh-CN"/>
              </w:rPr>
              <w:t>。投标文件中价格全部采用人民币报价。招标文件未列明，而投标人认为必需的费用也需列入报价。</w:t>
            </w:r>
          </w:p>
          <w:p>
            <w:pPr>
              <w:keepNext w:val="0"/>
              <w:keepLines w:val="0"/>
              <w:pageBreakBefore w:val="0"/>
              <w:widowControl w:val="0"/>
              <w:kinsoku/>
              <w:wordWrap/>
              <w:overflowPunct/>
              <w:topLinePunct w:val="0"/>
              <w:autoSpaceDE/>
              <w:autoSpaceDN/>
              <w:bidi w:val="0"/>
              <w:adjustRightInd w:val="0"/>
              <w:snapToGrid w:val="0"/>
              <w:spacing w:line="312" w:lineRule="auto"/>
              <w:jc w:val="left"/>
              <w:textAlignment w:val="auto"/>
              <w:rPr>
                <w:rFonts w:hint="eastAsia" w:ascii="宋体" w:hAnsi="宋体" w:eastAsia="宋体" w:cs="宋体"/>
                <w:b/>
                <w:bCs w:val="0"/>
                <w:color w:val="auto"/>
                <w:kern w:val="0"/>
                <w:sz w:val="24"/>
                <w:highlight w:val="none"/>
                <w:lang w:val="zh-CN"/>
              </w:rPr>
            </w:pPr>
            <w:r>
              <w:rPr>
                <w:rFonts w:hint="eastAsia" w:ascii="宋体" w:hAnsi="宋体" w:eastAsia="宋体" w:cs="宋体"/>
                <w:b/>
                <w:bCs w:val="0"/>
                <w:color w:val="auto"/>
                <w:kern w:val="0"/>
                <w:sz w:val="24"/>
                <w:highlight w:val="none"/>
                <w:lang w:val="zh-CN"/>
              </w:rPr>
              <w:t>（</w:t>
            </w:r>
            <w:r>
              <w:rPr>
                <w:rFonts w:hint="eastAsia" w:ascii="宋体" w:hAnsi="宋体" w:eastAsia="宋体" w:cs="宋体"/>
                <w:b/>
                <w:bCs w:val="0"/>
                <w:color w:val="auto"/>
                <w:kern w:val="0"/>
                <w:sz w:val="24"/>
                <w:highlight w:val="none"/>
                <w:lang w:val="en-US" w:eastAsia="zh-CN"/>
              </w:rPr>
              <w:t>2</w:t>
            </w:r>
            <w:r>
              <w:rPr>
                <w:rFonts w:hint="eastAsia" w:ascii="宋体" w:hAnsi="宋体" w:eastAsia="宋体" w:cs="宋体"/>
                <w:b/>
                <w:bCs w:val="0"/>
                <w:color w:val="auto"/>
                <w:kern w:val="0"/>
                <w:sz w:val="24"/>
                <w:highlight w:val="none"/>
                <w:lang w:val="zh-CN"/>
              </w:rPr>
              <w:t>）投标报价出现下列情形的，投标无效：</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1）投标文件未按照</w:t>
            </w:r>
            <w:r>
              <w:rPr>
                <w:rFonts w:hint="eastAsia" w:ascii="宋体" w:hAnsi="宋体" w:cs="宋体"/>
                <w:color w:val="auto"/>
                <w:kern w:val="2"/>
                <w:sz w:val="24"/>
                <w:szCs w:val="24"/>
                <w:highlight w:val="none"/>
                <w:lang w:val="en-US" w:eastAsia="zh-CN" w:bidi="ar-SA"/>
              </w:rPr>
              <w:t>招标文件</w:t>
            </w:r>
            <w:r>
              <w:rPr>
                <w:rFonts w:hint="eastAsia" w:ascii="宋体" w:hAnsi="宋体" w:eastAsia="宋体" w:cs="宋体"/>
                <w:color w:val="auto"/>
                <w:kern w:val="2"/>
                <w:sz w:val="24"/>
                <w:szCs w:val="24"/>
                <w:highlight w:val="none"/>
                <w:lang w:val="en-US" w:eastAsia="zh-CN" w:bidi="ar-SA"/>
              </w:rPr>
              <w:t>要求签署、盖章的；</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2）投标文件出现不是唯一的、有选择性投标报价的;</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3）投标文件报价清单与</w:t>
            </w:r>
            <w:r>
              <w:rPr>
                <w:rFonts w:hint="eastAsia" w:ascii="宋体" w:hAnsi="宋体" w:cs="宋体"/>
                <w:color w:val="auto"/>
                <w:kern w:val="2"/>
                <w:sz w:val="24"/>
                <w:szCs w:val="24"/>
                <w:highlight w:val="none"/>
                <w:lang w:val="en-US" w:eastAsia="zh-CN" w:bidi="ar-SA"/>
              </w:rPr>
              <w:t>招标文件</w:t>
            </w:r>
            <w:r>
              <w:rPr>
                <w:rFonts w:hint="eastAsia" w:ascii="宋体" w:hAnsi="宋体" w:eastAsia="宋体" w:cs="宋体"/>
                <w:color w:val="auto"/>
                <w:kern w:val="2"/>
                <w:sz w:val="24"/>
                <w:szCs w:val="24"/>
                <w:highlight w:val="none"/>
                <w:lang w:val="en-US" w:eastAsia="zh-CN" w:bidi="ar-SA"/>
              </w:rPr>
              <w:t>（包括答疑等补充文件）提供的清单不一致的；</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4）投标报价超过</w:t>
            </w:r>
            <w:r>
              <w:rPr>
                <w:rFonts w:hint="eastAsia" w:ascii="宋体" w:hAnsi="宋体" w:cs="宋体"/>
                <w:color w:val="auto"/>
                <w:kern w:val="2"/>
                <w:sz w:val="24"/>
                <w:szCs w:val="24"/>
                <w:highlight w:val="none"/>
                <w:lang w:val="en-US" w:eastAsia="zh-CN" w:bidi="ar-SA"/>
              </w:rPr>
              <w:t>招标文件</w:t>
            </w:r>
            <w:r>
              <w:rPr>
                <w:rFonts w:hint="eastAsia" w:ascii="宋体" w:hAnsi="宋体" w:eastAsia="宋体" w:cs="宋体"/>
                <w:color w:val="auto"/>
                <w:kern w:val="2"/>
                <w:sz w:val="24"/>
                <w:szCs w:val="24"/>
                <w:highlight w:val="none"/>
                <w:lang w:val="en-US" w:eastAsia="zh-CN" w:bidi="ar-SA"/>
              </w:rPr>
              <w:t>中规定的预算金额或者最高限价的;</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highlight w:val="none"/>
                <w:lang w:val="en-US" w:eastAsia="zh-CN" w:bidi="ar-SA"/>
              </w:rPr>
              <w:t>5）报价明显低于其他通过符合性审查供应商的报价，有可能影响产品质量或者不能诚信履约的，未能按要求提供书面说明</w:t>
            </w:r>
            <w:r>
              <w:rPr>
                <w:rFonts w:hint="eastAsia" w:ascii="宋体" w:hAnsi="宋体" w:eastAsia="宋体" w:cs="宋体"/>
                <w:color w:val="auto"/>
                <w:sz w:val="24"/>
                <w:szCs w:val="24"/>
                <w:highlight w:val="none"/>
                <w:lang w:eastAsia="zh-CN"/>
              </w:rPr>
              <w:t>或者提交相关证明材料，不能证明其报价合理性的;</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r>
              <w:rPr>
                <w:rFonts w:hint="eastAsia" w:ascii="宋体" w:hAnsi="宋体" w:cs="宋体"/>
                <w:color w:val="auto"/>
                <w:sz w:val="24"/>
                <w:szCs w:val="24"/>
                <w:highlight w:val="none"/>
                <w:lang w:val="en-US" w:eastAsia="zh-CN"/>
              </w:rPr>
              <w:t>投标人</w:t>
            </w:r>
            <w:r>
              <w:rPr>
                <w:rFonts w:hint="eastAsia" w:ascii="宋体" w:hAnsi="宋体" w:eastAsia="宋体" w:cs="宋体"/>
                <w:color w:val="auto"/>
                <w:sz w:val="24"/>
                <w:szCs w:val="24"/>
                <w:highlight w:val="none"/>
                <w:lang w:eastAsia="zh-CN"/>
              </w:rPr>
              <w:t>对根据修正原则修正后的报价不确认的；</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7)</w:t>
            </w:r>
            <w:r>
              <w:rPr>
                <w:rFonts w:hint="eastAsia" w:ascii="宋体" w:hAnsi="宋体" w:cs="宋体"/>
                <w:color w:val="auto"/>
                <w:sz w:val="24"/>
                <w:szCs w:val="24"/>
                <w:highlight w:val="none"/>
                <w:lang w:val="en-US" w:eastAsia="zh-CN"/>
              </w:rPr>
              <w:t>投标人</w:t>
            </w:r>
            <w:r>
              <w:rPr>
                <w:rFonts w:hint="eastAsia" w:ascii="宋体" w:hAnsi="宋体" w:eastAsia="宋体" w:cs="宋体"/>
                <w:color w:val="auto"/>
                <w:sz w:val="24"/>
                <w:szCs w:val="24"/>
                <w:highlight w:val="none"/>
                <w:lang w:eastAsia="zh-CN"/>
              </w:rPr>
              <w:t>提供虚假材料投标的；</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8)</w:t>
            </w:r>
            <w:r>
              <w:rPr>
                <w:rFonts w:hint="eastAsia" w:ascii="宋体" w:hAnsi="宋体" w:cs="宋体"/>
                <w:color w:val="auto"/>
                <w:sz w:val="24"/>
                <w:szCs w:val="24"/>
                <w:highlight w:val="none"/>
                <w:lang w:val="en-US" w:eastAsia="zh-CN"/>
              </w:rPr>
              <w:t>投标人</w:t>
            </w:r>
            <w:r>
              <w:rPr>
                <w:rFonts w:hint="eastAsia" w:ascii="宋体" w:hAnsi="宋体" w:eastAsia="宋体" w:cs="宋体"/>
                <w:color w:val="auto"/>
                <w:sz w:val="24"/>
                <w:szCs w:val="24"/>
                <w:highlight w:val="none"/>
                <w:lang w:eastAsia="zh-CN"/>
              </w:rPr>
              <w:t>有恶意串通、妨碍其他供应商的竞争行为、损害采购人或者其他供应商的合法权益情形的；</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9)</w:t>
            </w:r>
            <w:r>
              <w:rPr>
                <w:rFonts w:hint="eastAsia" w:ascii="宋体" w:hAnsi="宋体" w:cs="宋体"/>
                <w:color w:val="auto"/>
                <w:sz w:val="24"/>
                <w:szCs w:val="24"/>
                <w:highlight w:val="none"/>
                <w:lang w:val="en-US" w:eastAsia="zh-CN"/>
              </w:rPr>
              <w:t>投标人</w:t>
            </w:r>
            <w:r>
              <w:rPr>
                <w:rFonts w:hint="eastAsia" w:ascii="宋体" w:hAnsi="宋体" w:eastAsia="宋体" w:cs="宋体"/>
                <w:color w:val="auto"/>
                <w:sz w:val="24"/>
                <w:szCs w:val="24"/>
                <w:highlight w:val="none"/>
                <w:lang w:eastAsia="zh-CN"/>
              </w:rPr>
              <w:t>仅提交备份投标文件，没有在电子交易平台传输递交投标文件的，投标无效；</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kern w:val="2"/>
                <w:sz w:val="24"/>
                <w:szCs w:val="24"/>
                <w:highlight w:val="none"/>
                <w:lang w:val="en-US" w:eastAsia="zh-CN" w:bidi="ar-SA"/>
              </w:rPr>
              <w:t>投标文件不满足</w:t>
            </w:r>
            <w:r>
              <w:rPr>
                <w:rFonts w:hint="eastAsia" w:ascii="宋体" w:hAnsi="宋体" w:cs="宋体"/>
                <w:color w:val="auto"/>
                <w:kern w:val="2"/>
                <w:sz w:val="24"/>
                <w:szCs w:val="24"/>
                <w:highlight w:val="none"/>
                <w:lang w:val="en-US" w:eastAsia="zh-CN" w:bidi="ar-SA"/>
              </w:rPr>
              <w:t>招标文件</w:t>
            </w:r>
            <w:r>
              <w:rPr>
                <w:rFonts w:hint="eastAsia" w:ascii="宋体" w:hAnsi="宋体" w:eastAsia="宋体" w:cs="宋体"/>
                <w:color w:val="auto"/>
                <w:kern w:val="2"/>
                <w:sz w:val="24"/>
                <w:szCs w:val="24"/>
                <w:highlight w:val="none"/>
                <w:lang w:val="en-US" w:eastAsia="zh-CN" w:bidi="ar-SA"/>
              </w:rPr>
              <w:t>的其它实质性要求的；</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仿宋_GB2312" w:cs="宋体"/>
                <w:color w:val="auto"/>
                <w:sz w:val="24"/>
                <w:highlight w:val="none"/>
                <w:lang w:val="en-US" w:eastAsia="zh-CN"/>
              </w:rPr>
            </w:pP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lang w:eastAsia="zh-CN"/>
              </w:rPr>
              <w:t>法律、法规、规章（适用本市的）及省级以上规范性文件（适用本市的）规定的其他无效情形。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6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351"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firstLine="241" w:firstLineChars="10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分包</w:t>
            </w:r>
          </w:p>
        </w:tc>
        <w:tc>
          <w:tcPr>
            <w:tcW w:w="663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kern w:val="0"/>
                <w:sz w:val="24"/>
                <w:highlight w:val="none"/>
              </w:rPr>
            </w:pPr>
            <w:sdt>
              <w:sdtPr>
                <w:rPr>
                  <w:rFonts w:hint="eastAsia" w:ascii="宋体" w:hAnsi="宋体" w:eastAsia="宋体" w:cs="宋体"/>
                  <w:color w:val="auto"/>
                  <w:kern w:val="0"/>
                  <w:sz w:val="24"/>
                  <w:highlight w:val="none"/>
                </w:rPr>
                <w:id w:val="-1477286927"/>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 xml:space="preserve"> A同意将非主体、非关键性的</w:t>
            </w:r>
            <w:r>
              <w:rPr>
                <w:rFonts w:hint="eastAsia" w:ascii="宋体" w:hAnsi="宋体" w:eastAsia="宋体" w:cs="宋体"/>
                <w:color w:val="auto"/>
                <w:kern w:val="0"/>
                <w:sz w:val="24"/>
                <w:highlight w:val="none"/>
                <w:lang w:val="en-US" w:eastAsia="zh-CN"/>
              </w:rPr>
              <w:t>_________</w:t>
            </w:r>
            <w:r>
              <w:rPr>
                <w:rFonts w:hint="eastAsia" w:ascii="宋体" w:hAnsi="宋体" w:eastAsia="宋体" w:cs="宋体"/>
                <w:color w:val="auto"/>
                <w:kern w:val="0"/>
                <w:sz w:val="24"/>
                <w:highlight w:val="none"/>
              </w:rPr>
              <w:t>工作分包。</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 xml:space="preserve"> </w:t>
            </w:r>
            <w:sdt>
              <w:sdtPr>
                <w:rPr>
                  <w:rFonts w:hint="eastAsia" w:ascii="宋体" w:hAnsi="宋体" w:eastAsia="宋体" w:cs="宋体"/>
                  <w:color w:val="auto"/>
                  <w:kern w:val="0"/>
                  <w:sz w:val="24"/>
                  <w:highlight w:val="none"/>
                </w:rPr>
                <w:id w:val="-1477286927"/>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 xml:space="preserve"> 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17" w:hRule="atLeast"/>
          <w:tblHeader/>
        </w:trPr>
        <w:tc>
          <w:tcPr>
            <w:tcW w:w="629" w:type="dxa"/>
            <w:vMerge w:val="restart"/>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351" w:type="dxa"/>
            <w:vMerge w:val="restart"/>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投标人应当提供的资格、资信证明文件</w:t>
            </w:r>
          </w:p>
        </w:tc>
        <w:tc>
          <w:tcPr>
            <w:tcW w:w="6637" w:type="dxa"/>
            <w:tcBorders>
              <w:top w:val="single" w:color="000000" w:sz="8" w:space="0"/>
              <w:left w:val="single" w:color="000000" w:sz="2"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（1）资格证明文件：见招标文件第二部分11.1。</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snapToGrid w:val="0"/>
                <w:color w:val="auto"/>
                <w:kern w:val="0"/>
                <w:szCs w:val="21"/>
                <w:highlight w:val="none"/>
              </w:rPr>
            </w:pPr>
            <w:r>
              <w:rPr>
                <w:rFonts w:hint="eastAsia" w:ascii="宋体" w:hAnsi="宋体" w:eastAsia="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59" w:hRule="atLeast"/>
          <w:tblHeader/>
        </w:trPr>
        <w:tc>
          <w:tcPr>
            <w:tcW w:w="629" w:type="dxa"/>
            <w:vMerge w:val="continue"/>
            <w:tcBorders>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tc>
        <w:tc>
          <w:tcPr>
            <w:tcW w:w="1351" w:type="dxa"/>
            <w:vMerge w:val="continue"/>
            <w:tcBorders>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4"/>
                <w:highlight w:val="none"/>
              </w:rPr>
            </w:pPr>
          </w:p>
        </w:tc>
        <w:tc>
          <w:tcPr>
            <w:tcW w:w="6637" w:type="dxa"/>
            <w:tcBorders>
              <w:top w:val="single" w:color="auto" w:sz="4"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351"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开标前答疑会或现场考察</w:t>
            </w:r>
          </w:p>
        </w:tc>
        <w:tc>
          <w:tcPr>
            <w:tcW w:w="663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sym w:font="Wingdings" w:char="F0FE"/>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szCs w:val="20"/>
                <w:highlight w:val="none"/>
              </w:rPr>
            </w:pPr>
            <w:sdt>
              <w:sdtPr>
                <w:rPr>
                  <w:rFonts w:hint="eastAsia" w:ascii="宋体" w:hAnsi="宋体" w:eastAsia="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1351"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样品提供</w:t>
            </w:r>
          </w:p>
        </w:tc>
        <w:tc>
          <w:tcPr>
            <w:tcW w:w="663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sym w:font="Wingdings" w:char="F0FE"/>
                </w:r>
              </w:sdtContent>
            </w:sdt>
            <w:r>
              <w:rPr>
                <w:rFonts w:hint="eastAsia" w:ascii="宋体" w:hAnsi="宋体" w:eastAsia="宋体" w:cs="宋体"/>
                <w:color w:val="auto"/>
                <w:sz w:val="24"/>
                <w:highlight w:val="none"/>
              </w:rPr>
              <w:t>不要求提供。</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b/>
                <w:color w:val="auto"/>
                <w:sz w:val="24"/>
                <w:highlight w:val="none"/>
              </w:rPr>
            </w:pPr>
            <w:sdt>
              <w:sdtPr>
                <w:rPr>
                  <w:rFonts w:hint="eastAsia" w:ascii="宋体" w:hAnsi="宋体" w:eastAsia="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szCs w:val="24"/>
                    <w:highlight w:val="none"/>
                    <w:lang w:val="en-US" w:eastAsia="zh-CN" w:bidi="ar-SA"/>
                  </w:rPr>
                  <w:t>☐</w:t>
                </w:r>
              </w:sdtContent>
            </w:sdt>
            <w:r>
              <w:rPr>
                <w:rFonts w:hint="eastAsia" w:ascii="宋体" w:hAnsi="宋体" w:eastAsia="宋体" w:cs="宋体"/>
                <w:color w:val="auto"/>
                <w:kern w:val="0"/>
                <w:sz w:val="24"/>
                <w:highlight w:val="none"/>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135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Cs/>
                <w:color w:val="auto"/>
                <w:sz w:val="24"/>
                <w:highlight w:val="none"/>
              </w:rPr>
            </w:pPr>
            <w:r>
              <w:rPr>
                <w:rFonts w:hint="eastAsia" w:ascii="宋体" w:hAnsi="宋体" w:eastAsia="宋体" w:cs="宋体"/>
                <w:b/>
                <w:color w:val="auto"/>
                <w:sz w:val="24"/>
                <w:highlight w:val="none"/>
              </w:rPr>
              <w:t>方案讲解演示</w:t>
            </w:r>
          </w:p>
        </w:tc>
        <w:tc>
          <w:tcPr>
            <w:tcW w:w="663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b/>
                <w:color w:val="auto"/>
                <w:kern w:val="0"/>
                <w:sz w:val="24"/>
                <w:highlight w:val="none"/>
                <w:lang w:val="zh-CN"/>
              </w:rPr>
            </w:pPr>
            <w:sdt>
              <w:sdtPr>
                <w:rPr>
                  <w:rFonts w:hint="eastAsia" w:ascii="宋体" w:hAnsi="宋体" w:eastAsia="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7</w:t>
            </w:r>
          </w:p>
        </w:tc>
        <w:tc>
          <w:tcPr>
            <w:tcW w:w="135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是否允许采购进口产品</w:t>
            </w:r>
          </w:p>
        </w:tc>
        <w:tc>
          <w:tcPr>
            <w:tcW w:w="663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kern w:val="0"/>
                <w:sz w:val="24"/>
                <w:highlight w:val="none"/>
              </w:rPr>
            </w:pPr>
            <w:sdt>
              <w:sdtPr>
                <w:rPr>
                  <w:rFonts w:hint="eastAsia" w:ascii="宋体" w:hAnsi="宋体" w:eastAsia="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sym w:font="Wingdings" w:char="F0FE"/>
                </w:r>
              </w:sdtContent>
            </w:sdt>
            <w:r>
              <w:rPr>
                <w:rFonts w:hint="eastAsia" w:ascii="宋体" w:hAnsi="宋体" w:eastAsia="宋体" w:cs="宋体"/>
                <w:color w:val="auto"/>
                <w:kern w:val="0"/>
                <w:sz w:val="24"/>
                <w:highlight w:val="none"/>
              </w:rPr>
              <w:t>本项目不允许采购进口产品。</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highlight w:val="none"/>
              </w:rPr>
            </w:pPr>
            <w:sdt>
              <w:sdtPr>
                <w:rPr>
                  <w:rFonts w:hint="eastAsia" w:ascii="宋体" w:hAnsi="宋体" w:eastAsia="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可以采购进口产品。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135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项目属性与核心产品</w:t>
            </w:r>
          </w:p>
        </w:tc>
        <w:tc>
          <w:tcPr>
            <w:tcW w:w="663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18727868"/>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货物类，单一产品或</w:t>
            </w:r>
            <w:r>
              <w:rPr>
                <w:rFonts w:hint="eastAsia" w:ascii="宋体" w:hAnsi="宋体" w:eastAsia="宋体" w:cs="宋体"/>
                <w:color w:val="auto"/>
                <w:kern w:val="0"/>
                <w:sz w:val="24"/>
                <w:highlight w:val="none"/>
              </w:rPr>
              <w:t>核心产品为：</w:t>
            </w:r>
            <w:r>
              <w:rPr>
                <w:rFonts w:hint="eastAsia" w:ascii="宋体" w:hAnsi="宋体" w:cs="宋体"/>
                <w:color w:val="auto"/>
                <w:kern w:val="0"/>
                <w:sz w:val="24"/>
                <w:highlight w:val="none"/>
                <w:u w:val="single"/>
                <w:lang w:val="en-US" w:eastAsia="zh-CN"/>
              </w:rPr>
              <w:t xml:space="preserve">          </w:t>
            </w:r>
            <w:r>
              <w:rPr>
                <w:rFonts w:hint="eastAsia" w:ascii="宋体" w:hAnsi="宋体" w:eastAsia="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474885559"/>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B</w:t>
            </w:r>
            <w:r>
              <w:rPr>
                <w:rFonts w:hint="eastAsia" w:ascii="宋体" w:hAnsi="宋体" w:eastAsia="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35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采购标的对应的中小企业划分标准所属行业</w:t>
            </w:r>
          </w:p>
        </w:tc>
        <w:tc>
          <w:tcPr>
            <w:tcW w:w="663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cs="宋体"/>
                <w:color w:val="auto"/>
                <w:highlight w:val="none"/>
                <w:lang w:val="en-US"/>
              </w:rPr>
            </w:pPr>
            <w:r>
              <w:rPr>
                <w:rFonts w:hint="eastAsia" w:ascii="宋体" w:hAnsi="宋体" w:eastAsia="宋体" w:cs="宋体"/>
                <w:color w:val="auto"/>
                <w:kern w:val="0"/>
                <w:sz w:val="24"/>
                <w:highlight w:val="none"/>
              </w:rPr>
              <w:t>（1）标的：</w:t>
            </w:r>
            <w:r>
              <w:rPr>
                <w:rFonts w:hint="eastAsia" w:ascii="宋体" w:hAnsi="宋体" w:cs="宋体"/>
                <w:color w:val="auto"/>
                <w:kern w:val="0"/>
                <w:sz w:val="24"/>
                <w:highlight w:val="none"/>
                <w:u w:val="single"/>
                <w:lang w:eastAsia="zh-CN"/>
              </w:rPr>
              <w:t>嘉兴市第一医院高质量发展咨询辅导项目</w:t>
            </w:r>
            <w:r>
              <w:rPr>
                <w:rFonts w:hint="eastAsia" w:ascii="宋体" w:hAnsi="宋体" w:eastAsia="宋体" w:cs="宋体"/>
                <w:color w:val="auto"/>
                <w:kern w:val="0"/>
                <w:sz w:val="24"/>
                <w:highlight w:val="none"/>
              </w:rPr>
              <w:t>，属于</w:t>
            </w:r>
            <w:r>
              <w:rPr>
                <w:rFonts w:hint="eastAsia" w:ascii="宋体" w:hAnsi="宋体" w:eastAsia="宋体" w:cs="宋体"/>
                <w:color w:val="auto"/>
                <w:kern w:val="0"/>
                <w:sz w:val="24"/>
                <w:highlight w:val="none"/>
                <w:u w:val="single"/>
              </w:rPr>
              <w:t>其他未列明行业</w:t>
            </w:r>
            <w:r>
              <w:rPr>
                <w:rFonts w:hint="eastAsia" w:ascii="宋体" w:hAnsi="宋体" w:eastAsia="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135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节能产品、环境标志产品</w:t>
            </w:r>
          </w:p>
        </w:tc>
        <w:tc>
          <w:tcPr>
            <w:tcW w:w="663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lang w:val="en-US" w:eastAsia="zh-CN"/>
              </w:rPr>
              <w:t>本项目不适用</w:t>
            </w:r>
            <w:r>
              <w:rPr>
                <w:rFonts w:hint="eastAsia" w:ascii="宋体" w:hAnsi="宋体" w:cs="宋体"/>
                <w:color w:val="auto"/>
                <w:kern w:val="0"/>
                <w:sz w:val="24"/>
                <w:highlight w:val="none"/>
                <w:lang w:eastAsia="zh-CN"/>
              </w:rPr>
              <w:t>）</w:t>
            </w:r>
            <w:r>
              <w:rPr>
                <w:rFonts w:hint="eastAsia" w:ascii="宋体" w:hAnsi="宋体" w:eastAsia="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tcBorders>
              <w:top w:val="single" w:color="auto" w:sz="4" w:space="0"/>
              <w:left w:val="single" w:color="000000" w:sz="8" w:space="0"/>
              <w:right w:val="single" w:color="000000" w:sz="2" w:space="0"/>
            </w:tcBorders>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1351"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中小企业信用融资</w:t>
            </w:r>
          </w:p>
        </w:tc>
        <w:tc>
          <w:tcPr>
            <w:tcW w:w="663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highlight w:val="none"/>
              </w:rPr>
            </w:pPr>
            <w:r>
              <w:rPr>
                <w:rFonts w:hint="eastAsia" w:ascii="宋体" w:hAnsi="宋体" w:eastAsia="宋体" w:cs="宋体"/>
                <w:color w:val="auto"/>
                <w:kern w:val="0"/>
                <w:sz w:val="24"/>
                <w:szCs w:val="21"/>
                <w:highlight w:val="none"/>
                <w:lang w:val="en-US" w:eastAsia="zh-CN" w:bidi="ar-SA"/>
              </w:rPr>
              <w:t>本采购项目，中标人与采购人签订的政府采购合同适用于嘉兴市政府采购贷款政策，简称“政采贷”，具体内容可参阅政府采购贷款流程：http://jxszwsjb.jiaxing.gov.cn/zxfw/005012/20181016/7e541bf4-ad29-4286-ace8-d12c1b2c54fc.html或者</w:t>
            </w:r>
            <w:r>
              <w:rPr>
                <w:rFonts w:hint="eastAsia" w:ascii="宋体" w:hAnsi="宋体" w:cs="宋体"/>
                <w:color w:val="auto"/>
                <w:kern w:val="0"/>
                <w:sz w:val="24"/>
                <w:szCs w:val="21"/>
                <w:highlight w:val="none"/>
                <w:lang w:val="en-US" w:eastAsia="zh-CN" w:bidi="ar-SA"/>
              </w:rPr>
              <w:t>投标人</w:t>
            </w:r>
            <w:r>
              <w:rPr>
                <w:rFonts w:hint="eastAsia" w:ascii="宋体" w:hAnsi="宋体" w:eastAsia="宋体" w:cs="宋体"/>
                <w:color w:val="auto"/>
                <w:kern w:val="0"/>
                <w:sz w:val="24"/>
                <w:szCs w:val="21"/>
                <w:highlight w:val="none"/>
                <w:lang w:val="en-US" w:eastAsia="zh-CN" w:bidi="ar-SA"/>
              </w:rPr>
              <w:t>中标后也可在“政采云”平台申请政采贷：操作路径：登录政采云平台 - 金融服务中心</w:t>
            </w:r>
            <w:r>
              <w:rPr>
                <w:rFonts w:hint="eastAsia" w:ascii="宋体" w:hAnsi="宋体" w:cs="宋体"/>
                <w:color w:val="auto"/>
                <w:kern w:val="0"/>
                <w:sz w:val="24"/>
                <w:szCs w:val="21"/>
                <w:highlight w:val="none"/>
                <w:lang w:val="en-US" w:eastAsia="zh-CN" w:bidi="ar-SA"/>
              </w:rPr>
              <w:t xml:space="preserve"> </w:t>
            </w:r>
            <w:r>
              <w:rPr>
                <w:rFonts w:hint="eastAsia" w:ascii="宋体" w:hAnsi="宋体" w:eastAsia="宋体" w:cs="宋体"/>
                <w:color w:val="auto"/>
                <w:kern w:val="0"/>
                <w:sz w:val="24"/>
                <w:szCs w:val="21"/>
                <w:highlight w:val="none"/>
                <w:lang w:val="en-US" w:eastAsia="zh-CN" w:bidi="ar-SA"/>
              </w:rPr>
              <w:t>-</w:t>
            </w:r>
            <w:r>
              <w:rPr>
                <w:rFonts w:hint="eastAsia" w:ascii="宋体" w:hAnsi="宋体" w:cs="宋体"/>
                <w:color w:val="auto"/>
                <w:kern w:val="0"/>
                <w:sz w:val="24"/>
                <w:szCs w:val="21"/>
                <w:highlight w:val="none"/>
                <w:lang w:val="en-US" w:eastAsia="zh-CN" w:bidi="ar-SA"/>
              </w:rPr>
              <w:t xml:space="preserve"> </w:t>
            </w:r>
            <w:r>
              <w:rPr>
                <w:rFonts w:hint="eastAsia" w:ascii="宋体" w:hAnsi="宋体" w:eastAsia="宋体" w:cs="宋体"/>
                <w:color w:val="auto"/>
                <w:kern w:val="0"/>
                <w:sz w:val="24"/>
                <w:szCs w:val="21"/>
                <w:highlight w:val="none"/>
                <w:lang w:val="en-US" w:eastAsia="zh-CN" w:bidi="ar-SA"/>
              </w:rPr>
              <w:t>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135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备份投标文件送达地点和签收人员 </w:t>
            </w:r>
          </w:p>
        </w:tc>
        <w:tc>
          <w:tcPr>
            <w:tcW w:w="6637" w:type="dxa"/>
            <w:tcBorders>
              <w:top w:val="single" w:color="000000" w:sz="8" w:space="0"/>
              <w:left w:val="single" w:color="000000" w:sz="2" w:space="0"/>
              <w:bottom w:val="single" w:color="000000" w:sz="8" w:space="0"/>
              <w:right w:val="single" w:color="000000" w:sz="8" w:space="0"/>
            </w:tcBorders>
            <w:vAlign w:val="center"/>
          </w:tcPr>
          <w:p>
            <w:pPr>
              <w:pStyle w:val="9"/>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"mailto:投标人在投标截止时间前将加密的投标文件上传至政府采购云平台，还可以在投标截止时间前通过邮箱chinazhongzhe@163.com递交备份投标文件1份。" </w:instrText>
            </w:r>
            <w:r>
              <w:rPr>
                <w:rFonts w:hint="eastAsia" w:ascii="宋体" w:hAnsi="宋体" w:eastAsia="宋体" w:cs="宋体"/>
                <w:color w:val="auto"/>
                <w:sz w:val="24"/>
                <w:highlight w:val="none"/>
              </w:rPr>
              <w:fldChar w:fldCharType="separate"/>
            </w:r>
            <w:r>
              <w:rPr>
                <w:rStyle w:val="21"/>
                <w:rFonts w:hint="eastAsia" w:ascii="宋体" w:hAnsi="宋体" w:eastAsia="宋体" w:cs="宋体"/>
                <w:color w:val="auto"/>
                <w:sz w:val="24"/>
                <w:highlight w:val="none"/>
              </w:rPr>
              <w:t>投标人在投标截止时间前将加密的投标文件上传至政府采购云平台，还可以在投标截止时间前</w:t>
            </w:r>
            <w:r>
              <w:rPr>
                <w:rStyle w:val="21"/>
                <w:rFonts w:hint="eastAsia" w:ascii="宋体" w:hAnsi="宋体" w:eastAsia="宋体" w:cs="宋体"/>
                <w:color w:val="auto"/>
                <w:sz w:val="24"/>
                <w:highlight w:val="none"/>
                <w:lang w:val="en-US" w:eastAsia="zh-CN"/>
              </w:rPr>
              <w:t>通过邮箱chinazhongzhe@163.com</w:t>
            </w:r>
            <w:r>
              <w:rPr>
                <w:rStyle w:val="21"/>
                <w:rFonts w:hint="eastAsia" w:ascii="宋体" w:hAnsi="宋体" w:eastAsia="宋体" w:cs="宋体"/>
                <w:color w:val="auto"/>
                <w:sz w:val="24"/>
                <w:highlight w:val="none"/>
              </w:rPr>
              <w:t>递交备份投标文件1份。</w:t>
            </w:r>
            <w:r>
              <w:rPr>
                <w:rFonts w:hint="eastAsia" w:ascii="宋体" w:hAnsi="宋体" w:eastAsia="宋体" w:cs="宋体"/>
                <w:color w:val="auto"/>
                <w:sz w:val="24"/>
                <w:highlight w:val="none"/>
              </w:rPr>
              <w:fldChar w:fldCharType="end"/>
            </w:r>
          </w:p>
          <w:p>
            <w:pPr>
              <w:pStyle w:val="9"/>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kern w:val="28"/>
                <w:sz w:val="24"/>
                <w:highlight w:val="none"/>
              </w:rPr>
            </w:pPr>
            <w:r>
              <w:rPr>
                <w:rFonts w:hint="eastAsia" w:ascii="宋体" w:hAnsi="宋体" w:eastAsia="宋体" w:cs="宋体"/>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135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特别说明</w:t>
            </w:r>
          </w:p>
        </w:tc>
        <w:tc>
          <w:tcPr>
            <w:tcW w:w="663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、流程文件签章：</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（1）电子</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必须有电子签章；</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（2）开标后，相关信息记录确认、澄清说明、回复等内容，电子签章、或者签章后上传相关文件，均认可；</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（3）政采云系统平台有新的操作流程的，按其规定。</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、采购过程中出现以下情形，导致电子交易平台无法正常运行，或者无法保证电子交易的公平、公正和安全时，采购组织机构可中止电子交易活动：</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（1）电子交易平台发生故障而无法登录访问的； </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（2）电子交易平台应用或数据库出现错误，不能进行正常操作的；</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（3）电子交易平台发现严重安全漏洞，有潜在泄密危险的；</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（4）病毒发作导致不能进行正常操作的； </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（5）其他无法保证电子交易的公平、公正和安全的情况。</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eastAsia="宋体"/>
                <w:color w:val="auto"/>
                <w:highlight w:val="none"/>
                <w:lang w:val="en-US" w:eastAsia="zh-CN"/>
              </w:rPr>
            </w:pPr>
            <w:r>
              <w:rPr>
                <w:rFonts w:hint="eastAsia" w:ascii="宋体" w:hAnsi="宋体" w:eastAsia="宋体" w:cs="宋体"/>
                <w:color w:val="auto"/>
                <w:sz w:val="24"/>
                <w:szCs w:val="24"/>
                <w:highlight w:val="none"/>
                <w:lang w:val="en-US" w:eastAsia="zh-CN"/>
              </w:rPr>
              <w:t>3、开标过程中，</w:t>
            </w:r>
            <w:r>
              <w:rPr>
                <w:rFonts w:hint="eastAsia" w:ascii="宋体" w:hAnsi="宋体" w:cs="宋体"/>
                <w:color w:val="auto"/>
                <w:sz w:val="24"/>
                <w:szCs w:val="24"/>
                <w:highlight w:val="none"/>
                <w:lang w:val="en-US" w:eastAsia="zh-CN"/>
              </w:rPr>
              <w:t>投标人</w:t>
            </w:r>
            <w:r>
              <w:rPr>
                <w:rFonts w:hint="eastAsia" w:ascii="宋体" w:hAnsi="宋体" w:eastAsia="宋体" w:cs="宋体"/>
                <w:color w:val="auto"/>
                <w:sz w:val="24"/>
                <w:szCs w:val="24"/>
                <w:highlight w:val="none"/>
                <w:lang w:val="en-US" w:eastAsia="zh-CN"/>
              </w:rPr>
              <w:t>应在政采云平台下载并如实填写《政府采购活动现场确认声明书》并加盖公章发送至招标代理机构邮箱chinazhongzhe@163.com。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14</w:t>
            </w:r>
          </w:p>
        </w:tc>
        <w:tc>
          <w:tcPr>
            <w:tcW w:w="135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default" w:ascii="宋体" w:hAnsi="宋体" w:eastAsia="宋体" w:cs="宋体"/>
                <w:b/>
                <w:color w:val="auto"/>
                <w:sz w:val="24"/>
                <w:highlight w:val="none"/>
                <w:lang w:val="en-US" w:eastAsia="zh-CN"/>
              </w:rPr>
            </w:pPr>
            <w:r>
              <w:rPr>
                <w:rFonts w:hint="eastAsia" w:ascii="宋体" w:hAnsi="宋体" w:cs="宋体"/>
                <w:b/>
                <w:color w:val="auto"/>
                <w:sz w:val="24"/>
                <w:highlight w:val="none"/>
                <w:lang w:val="en-US" w:eastAsia="zh-CN"/>
              </w:rPr>
              <w:t>采购代理服务费</w:t>
            </w:r>
          </w:p>
        </w:tc>
        <w:tc>
          <w:tcPr>
            <w:tcW w:w="663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b w:val="0"/>
                <w:bCs/>
                <w:color w:val="auto"/>
                <w:kern w:val="0"/>
                <w:sz w:val="24"/>
                <w:highlight w:val="none"/>
              </w:rPr>
            </w:pPr>
            <w:r>
              <w:rPr>
                <w:rFonts w:hint="eastAsia" w:ascii="宋体" w:hAnsi="宋体" w:cs="宋体"/>
                <w:b w:val="0"/>
                <w:bCs/>
                <w:color w:val="auto"/>
                <w:kern w:val="0"/>
                <w:sz w:val="24"/>
                <w:highlight w:val="none"/>
                <w:lang w:val="en-US" w:eastAsia="zh-CN"/>
              </w:rPr>
              <w:t>（1）中标人</w:t>
            </w:r>
            <w:r>
              <w:rPr>
                <w:rFonts w:hint="eastAsia" w:ascii="宋体" w:hAnsi="宋体" w:eastAsia="宋体" w:cs="宋体"/>
                <w:b w:val="0"/>
                <w:bCs/>
                <w:color w:val="auto"/>
                <w:kern w:val="0"/>
                <w:sz w:val="24"/>
                <w:highlight w:val="none"/>
              </w:rPr>
              <w:t>在收到</w:t>
            </w:r>
            <w:r>
              <w:rPr>
                <w:rFonts w:hint="eastAsia" w:ascii="宋体" w:hAnsi="宋体" w:cs="宋体"/>
                <w:b w:val="0"/>
                <w:bCs/>
                <w:color w:val="auto"/>
                <w:kern w:val="0"/>
                <w:sz w:val="24"/>
                <w:highlight w:val="none"/>
                <w:lang w:val="en-US" w:eastAsia="zh-CN"/>
              </w:rPr>
              <w:t>中标</w:t>
            </w:r>
            <w:r>
              <w:rPr>
                <w:rFonts w:hint="eastAsia" w:ascii="宋体" w:hAnsi="宋体" w:eastAsia="宋体" w:cs="宋体"/>
                <w:b w:val="0"/>
                <w:bCs/>
                <w:color w:val="auto"/>
                <w:kern w:val="0"/>
                <w:sz w:val="24"/>
                <w:highlight w:val="none"/>
              </w:rPr>
              <w:t>通知书后，支付</w:t>
            </w:r>
            <w:r>
              <w:rPr>
                <w:rFonts w:hint="eastAsia" w:ascii="宋体" w:hAnsi="宋体" w:eastAsia="宋体" w:cs="宋体"/>
                <w:b w:val="0"/>
                <w:bCs/>
                <w:color w:val="auto"/>
                <w:kern w:val="0"/>
                <w:sz w:val="24"/>
                <w:highlight w:val="none"/>
                <w:lang w:val="en-US" w:eastAsia="zh-CN"/>
              </w:rPr>
              <w:t>采购</w:t>
            </w:r>
            <w:r>
              <w:rPr>
                <w:rFonts w:hint="eastAsia" w:ascii="宋体" w:hAnsi="宋体" w:eastAsia="宋体" w:cs="宋体"/>
                <w:b w:val="0"/>
                <w:bCs/>
                <w:color w:val="auto"/>
                <w:kern w:val="0"/>
                <w:sz w:val="24"/>
                <w:highlight w:val="none"/>
              </w:rPr>
              <w:t>代理机构成交</w:t>
            </w:r>
            <w:r>
              <w:rPr>
                <w:rFonts w:hint="eastAsia" w:ascii="宋体" w:hAnsi="宋体" w:eastAsia="宋体" w:cs="宋体"/>
                <w:b w:val="0"/>
                <w:bCs/>
                <w:color w:val="auto"/>
                <w:kern w:val="0"/>
                <w:sz w:val="24"/>
                <w:highlight w:val="none"/>
                <w:lang w:val="en-US" w:eastAsia="zh-CN"/>
              </w:rPr>
              <w:t>代理</w:t>
            </w:r>
            <w:r>
              <w:rPr>
                <w:rFonts w:hint="eastAsia" w:ascii="宋体" w:hAnsi="宋体" w:eastAsia="宋体" w:cs="宋体"/>
                <w:b w:val="0"/>
                <w:bCs/>
                <w:color w:val="auto"/>
                <w:kern w:val="0"/>
                <w:sz w:val="24"/>
                <w:highlight w:val="none"/>
              </w:rPr>
              <w:t>服务费。</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b w:val="0"/>
                <w:bCs/>
                <w:color w:val="auto"/>
                <w:kern w:val="0"/>
                <w:sz w:val="24"/>
                <w:highlight w:val="none"/>
              </w:rPr>
            </w:pPr>
            <w:r>
              <w:rPr>
                <w:rFonts w:hint="eastAsia" w:ascii="宋体" w:hAnsi="宋体" w:eastAsia="宋体" w:cs="宋体"/>
                <w:b w:val="0"/>
                <w:bCs/>
                <w:color w:val="auto"/>
                <w:kern w:val="0"/>
                <w:sz w:val="24"/>
                <w:highlight w:val="none"/>
                <w:lang w:eastAsia="zh-CN"/>
              </w:rPr>
              <w:t>（</w:t>
            </w:r>
            <w:r>
              <w:rPr>
                <w:rFonts w:hint="eastAsia" w:ascii="宋体" w:hAnsi="宋体" w:cs="宋体"/>
                <w:b w:val="0"/>
                <w:bCs/>
                <w:color w:val="auto"/>
                <w:kern w:val="0"/>
                <w:sz w:val="24"/>
                <w:highlight w:val="none"/>
                <w:lang w:val="en-US" w:eastAsia="zh-CN"/>
              </w:rPr>
              <w:t>2</w:t>
            </w:r>
            <w:r>
              <w:rPr>
                <w:rFonts w:hint="eastAsia" w:ascii="宋体" w:hAnsi="宋体" w:eastAsia="宋体" w:cs="宋体"/>
                <w:b w:val="0"/>
                <w:bCs/>
                <w:color w:val="auto"/>
                <w:kern w:val="0"/>
                <w:sz w:val="24"/>
                <w:highlight w:val="none"/>
                <w:lang w:eastAsia="zh-CN"/>
              </w:rPr>
              <w:t>）</w:t>
            </w:r>
            <w:r>
              <w:rPr>
                <w:rFonts w:hint="eastAsia" w:ascii="宋体" w:hAnsi="宋体" w:cs="宋体"/>
                <w:b w:val="0"/>
                <w:bCs/>
                <w:color w:val="auto"/>
                <w:kern w:val="0"/>
                <w:sz w:val="24"/>
                <w:highlight w:val="none"/>
                <w:lang w:val="en-US" w:eastAsia="zh-CN"/>
              </w:rPr>
              <w:t>招标代理</w:t>
            </w:r>
            <w:r>
              <w:rPr>
                <w:rFonts w:hint="eastAsia" w:ascii="宋体" w:hAnsi="宋体" w:eastAsia="宋体" w:cs="宋体"/>
                <w:b w:val="0"/>
                <w:bCs/>
                <w:color w:val="auto"/>
                <w:kern w:val="0"/>
                <w:sz w:val="24"/>
                <w:highlight w:val="none"/>
              </w:rPr>
              <w:t>服务费参考国家计委计价格[2002]1980号文件中规定的</w:t>
            </w:r>
            <w:r>
              <w:rPr>
                <w:rFonts w:hint="eastAsia" w:ascii="宋体" w:hAnsi="宋体" w:cs="宋体"/>
                <w:b w:val="0"/>
                <w:bCs/>
                <w:color w:val="auto"/>
                <w:kern w:val="0"/>
                <w:sz w:val="24"/>
                <w:highlight w:val="none"/>
                <w:lang w:val="en-US" w:eastAsia="zh-CN"/>
              </w:rPr>
              <w:t>服务</w:t>
            </w:r>
            <w:r>
              <w:rPr>
                <w:rFonts w:hint="eastAsia" w:ascii="宋体" w:hAnsi="宋体" w:eastAsia="宋体" w:cs="宋体"/>
                <w:b w:val="0"/>
                <w:bCs/>
                <w:color w:val="auto"/>
                <w:kern w:val="0"/>
                <w:sz w:val="24"/>
                <w:highlight w:val="none"/>
              </w:rPr>
              <w:t>标准采用差额定率累进计费方式下浮3</w:t>
            </w:r>
            <w:r>
              <w:rPr>
                <w:rFonts w:hint="eastAsia" w:ascii="宋体" w:hAnsi="宋体" w:eastAsia="宋体" w:cs="宋体"/>
                <w:b w:val="0"/>
                <w:bCs/>
                <w:color w:val="auto"/>
                <w:kern w:val="0"/>
                <w:sz w:val="24"/>
                <w:highlight w:val="none"/>
                <w:lang w:val="en-US" w:eastAsia="zh-CN"/>
              </w:rPr>
              <w:t>0</w:t>
            </w:r>
            <w:r>
              <w:rPr>
                <w:rFonts w:hint="eastAsia" w:ascii="宋体" w:hAnsi="宋体" w:eastAsia="宋体" w:cs="宋体"/>
                <w:b w:val="0"/>
                <w:bCs/>
                <w:color w:val="auto"/>
                <w:kern w:val="0"/>
                <w:sz w:val="24"/>
                <w:highlight w:val="none"/>
              </w:rPr>
              <w:t>%计算，如经计算不足</w:t>
            </w:r>
            <w:r>
              <w:rPr>
                <w:rFonts w:hint="eastAsia" w:ascii="宋体" w:hAnsi="宋体" w:eastAsia="宋体" w:cs="宋体"/>
                <w:b w:val="0"/>
                <w:bCs/>
                <w:color w:val="auto"/>
                <w:kern w:val="0"/>
                <w:sz w:val="24"/>
                <w:highlight w:val="none"/>
                <w:lang w:val="en-US" w:eastAsia="zh-CN"/>
              </w:rPr>
              <w:t>5</w:t>
            </w:r>
            <w:r>
              <w:rPr>
                <w:rFonts w:hint="eastAsia" w:ascii="宋体" w:hAnsi="宋体" w:eastAsia="宋体" w:cs="宋体"/>
                <w:b w:val="0"/>
                <w:bCs/>
                <w:color w:val="auto"/>
                <w:kern w:val="0"/>
                <w:sz w:val="24"/>
                <w:highlight w:val="none"/>
              </w:rPr>
              <w:t>000元，按</w:t>
            </w:r>
            <w:r>
              <w:rPr>
                <w:rFonts w:hint="eastAsia" w:ascii="宋体" w:hAnsi="宋体" w:eastAsia="宋体" w:cs="宋体"/>
                <w:b w:val="0"/>
                <w:bCs/>
                <w:color w:val="auto"/>
                <w:kern w:val="0"/>
                <w:sz w:val="24"/>
                <w:highlight w:val="none"/>
                <w:lang w:val="en-US" w:eastAsia="zh-CN"/>
              </w:rPr>
              <w:t>5</w:t>
            </w:r>
            <w:r>
              <w:rPr>
                <w:rFonts w:hint="eastAsia" w:ascii="宋体" w:hAnsi="宋体" w:eastAsia="宋体" w:cs="宋体"/>
                <w:b w:val="0"/>
                <w:bCs/>
                <w:color w:val="auto"/>
                <w:kern w:val="0"/>
                <w:sz w:val="24"/>
                <w:highlight w:val="none"/>
              </w:rPr>
              <w:t>000元收取，计入</w:t>
            </w:r>
            <w:r>
              <w:rPr>
                <w:rFonts w:hint="eastAsia" w:ascii="宋体" w:hAnsi="宋体" w:cs="宋体"/>
                <w:b w:val="0"/>
                <w:bCs/>
                <w:color w:val="auto"/>
                <w:kern w:val="0"/>
                <w:sz w:val="24"/>
                <w:highlight w:val="none"/>
                <w:lang w:val="en-US" w:eastAsia="zh-CN"/>
              </w:rPr>
              <w:t>投标</w:t>
            </w:r>
            <w:r>
              <w:rPr>
                <w:rFonts w:hint="eastAsia" w:ascii="宋体" w:hAnsi="宋体" w:eastAsia="宋体" w:cs="宋体"/>
                <w:b w:val="0"/>
                <w:bCs/>
                <w:color w:val="auto"/>
                <w:kern w:val="0"/>
                <w:sz w:val="24"/>
                <w:highlight w:val="none"/>
              </w:rPr>
              <w:t>总价。</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b w:val="0"/>
                <w:bCs/>
                <w:color w:val="auto"/>
                <w:kern w:val="0"/>
                <w:sz w:val="24"/>
                <w:highlight w:val="none"/>
              </w:rPr>
            </w:pPr>
            <w:r>
              <w:rPr>
                <w:rFonts w:hint="eastAsia" w:ascii="宋体" w:hAnsi="宋体" w:cs="宋体"/>
                <w:b w:val="0"/>
                <w:bCs/>
                <w:color w:val="auto"/>
                <w:kern w:val="0"/>
                <w:sz w:val="24"/>
                <w:highlight w:val="none"/>
                <w:lang w:val="en-US" w:eastAsia="zh-CN"/>
              </w:rPr>
              <w:t>中标</w:t>
            </w:r>
            <w:r>
              <w:rPr>
                <w:rFonts w:hint="eastAsia" w:ascii="宋体" w:hAnsi="宋体" w:eastAsia="宋体" w:cs="宋体"/>
                <w:b w:val="0"/>
                <w:bCs/>
                <w:color w:val="auto"/>
                <w:kern w:val="0"/>
                <w:sz w:val="24"/>
                <w:highlight w:val="none"/>
              </w:rPr>
              <w:t>金额（万元人民币）             下浮后费率</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b w:val="0"/>
                <w:bCs/>
                <w:color w:val="auto"/>
                <w:kern w:val="0"/>
                <w:sz w:val="24"/>
                <w:highlight w:val="none"/>
              </w:rPr>
            </w:pPr>
            <w:r>
              <w:rPr>
                <w:rFonts w:hint="eastAsia" w:ascii="宋体" w:hAnsi="宋体" w:eastAsia="宋体" w:cs="宋体"/>
                <w:b w:val="0"/>
                <w:bCs/>
                <w:color w:val="auto"/>
                <w:kern w:val="0"/>
                <w:sz w:val="24"/>
                <w:highlight w:val="none"/>
              </w:rPr>
              <w:t xml:space="preserve">100万元以下                        </w:t>
            </w:r>
            <w:r>
              <w:rPr>
                <w:rFonts w:hint="eastAsia" w:ascii="宋体" w:hAnsi="宋体" w:eastAsia="宋体" w:cs="宋体"/>
                <w:b w:val="0"/>
                <w:bCs/>
                <w:color w:val="auto"/>
                <w:kern w:val="0"/>
                <w:sz w:val="24"/>
                <w:highlight w:val="none"/>
                <w:lang w:val="en-US" w:eastAsia="zh-CN"/>
              </w:rPr>
              <w:t>1.05</w:t>
            </w:r>
            <w:r>
              <w:rPr>
                <w:rFonts w:hint="eastAsia" w:ascii="宋体" w:hAnsi="宋体" w:eastAsia="宋体" w:cs="宋体"/>
                <w:b w:val="0"/>
                <w:bCs/>
                <w:color w:val="auto"/>
                <w:kern w:val="0"/>
                <w:sz w:val="24"/>
                <w:highlight w:val="none"/>
              </w:rPr>
              <w:t>%</w:t>
            </w:r>
          </w:p>
        </w:tc>
      </w:tr>
    </w:tbl>
    <w:p>
      <w:pPr>
        <w:snapToGrid w:val="0"/>
        <w:spacing w:line="360" w:lineRule="auto"/>
        <w:jc w:val="center"/>
        <w:rPr>
          <w:rFonts w:hint="eastAsia" w:ascii="宋体" w:hAnsi="宋体" w:eastAsia="宋体" w:cs="宋体"/>
          <w:b/>
          <w:color w:val="auto"/>
          <w:sz w:val="32"/>
          <w:szCs w:val="20"/>
          <w:highlight w:val="none"/>
        </w:rPr>
      </w:pPr>
    </w:p>
    <w:bookmarkEnd w:id="10"/>
    <w:p>
      <w:pPr>
        <w:adjustRightInd/>
        <w:spacing w:line="360" w:lineRule="auto"/>
        <w:ind w:firstLine="3845" w:firstLineChars="1197"/>
        <w:outlineLvl w:val="9"/>
        <w:rPr>
          <w:rFonts w:hint="eastAsia" w:ascii="宋体" w:hAnsi="宋体" w:eastAsia="宋体" w:cs="宋体"/>
          <w:b/>
          <w:color w:val="auto"/>
          <w:sz w:val="32"/>
          <w:szCs w:val="20"/>
          <w:highlight w:val="none"/>
        </w:rPr>
      </w:pPr>
      <w:bookmarkStart w:id="20" w:name="第三部分"/>
      <w:bookmarkStart w:id="21" w:name="_Toc164416483"/>
    </w:p>
    <w:p>
      <w:pPr>
        <w:adjustRightInd/>
        <w:spacing w:line="360" w:lineRule="auto"/>
        <w:ind w:firstLine="3845" w:firstLineChars="1197"/>
        <w:outlineLvl w:val="9"/>
        <w:rPr>
          <w:rFonts w:hint="eastAsia" w:ascii="宋体" w:hAnsi="宋体" w:eastAsia="宋体" w:cs="宋体"/>
          <w:b/>
          <w:color w:val="auto"/>
          <w:sz w:val="32"/>
          <w:szCs w:val="20"/>
          <w:highlight w:val="none"/>
        </w:rPr>
      </w:pPr>
    </w:p>
    <w:p>
      <w:pPr>
        <w:adjustRightInd/>
        <w:spacing w:line="360" w:lineRule="auto"/>
        <w:ind w:firstLine="3845" w:firstLineChars="1197"/>
        <w:outlineLvl w:val="9"/>
        <w:rPr>
          <w:rFonts w:hint="eastAsia" w:ascii="宋体" w:hAnsi="宋体" w:eastAsia="宋体" w:cs="宋体"/>
          <w:b/>
          <w:color w:val="auto"/>
          <w:sz w:val="32"/>
          <w:szCs w:val="20"/>
          <w:highlight w:val="none"/>
        </w:rPr>
      </w:pPr>
    </w:p>
    <w:p>
      <w:pPr>
        <w:adjustRightInd/>
        <w:spacing w:line="360" w:lineRule="auto"/>
        <w:ind w:firstLine="3845" w:firstLineChars="1197"/>
        <w:outlineLvl w:val="9"/>
        <w:rPr>
          <w:rFonts w:hint="eastAsia" w:ascii="宋体" w:hAnsi="宋体" w:eastAsia="宋体" w:cs="宋体"/>
          <w:b/>
          <w:color w:val="auto"/>
          <w:sz w:val="32"/>
          <w:szCs w:val="20"/>
          <w:highlight w:val="none"/>
        </w:rPr>
      </w:pPr>
    </w:p>
    <w:p>
      <w:pPr>
        <w:rPr>
          <w:rFonts w:hint="eastAsia" w:ascii="宋体" w:hAnsi="宋体" w:eastAsia="宋体" w:cs="宋体"/>
          <w:color w:val="auto"/>
          <w:sz w:val="32"/>
          <w:szCs w:val="32"/>
        </w:rPr>
      </w:pPr>
      <w:bookmarkStart w:id="22" w:name="_Toc24026"/>
      <w:r>
        <w:rPr>
          <w:rFonts w:hint="eastAsia" w:ascii="宋体" w:hAnsi="宋体" w:eastAsia="宋体" w:cs="宋体"/>
          <w:color w:val="auto"/>
          <w:sz w:val="32"/>
          <w:szCs w:val="32"/>
        </w:rPr>
        <w:br w:type="page"/>
      </w:r>
    </w:p>
    <w:p>
      <w:pPr>
        <w:pStyle w:val="2"/>
        <w:bidi w:val="0"/>
        <w:jc w:val="center"/>
        <w:rPr>
          <w:rFonts w:hint="eastAsia" w:ascii="宋体" w:hAnsi="宋体" w:eastAsia="宋体" w:cs="宋体"/>
          <w:b/>
          <w:color w:val="auto"/>
          <w:szCs w:val="20"/>
          <w:highlight w:val="none"/>
        </w:rPr>
      </w:pPr>
      <w:r>
        <w:rPr>
          <w:rFonts w:hint="eastAsia" w:ascii="宋体" w:hAnsi="宋体" w:eastAsia="宋体" w:cs="宋体"/>
          <w:color w:val="auto"/>
          <w:sz w:val="32"/>
          <w:szCs w:val="32"/>
        </w:rPr>
        <w:t>一、总则</w:t>
      </w:r>
      <w:bookmarkEnd w:id="22"/>
    </w:p>
    <w:p>
      <w:pPr>
        <w:pageBreakBefore w:val="0"/>
        <w:kinsoku/>
        <w:wordWrap/>
        <w:overflowPunct/>
        <w:topLinePunct w:val="0"/>
        <w:bidi w:val="0"/>
        <w:snapToGrid w:val="0"/>
        <w:spacing w:beforeAutospacing="0" w:line="360" w:lineRule="auto"/>
        <w:ind w:firstLine="361" w:firstLineChars="150"/>
        <w:jc w:val="left"/>
        <w:textAlignment w:val="auto"/>
        <w:outlineLvl w:val="1"/>
        <w:rPr>
          <w:rFonts w:hint="eastAsia" w:ascii="宋体" w:hAnsi="宋体" w:eastAsia="宋体" w:cs="宋体"/>
          <w:b/>
          <w:color w:val="auto"/>
          <w:sz w:val="24"/>
          <w:szCs w:val="24"/>
          <w:highlight w:val="none"/>
        </w:rPr>
      </w:pPr>
      <w:bookmarkStart w:id="23" w:name="_Toc30042"/>
      <w:r>
        <w:rPr>
          <w:rFonts w:hint="eastAsia" w:ascii="宋体" w:hAnsi="宋体" w:eastAsia="宋体" w:cs="宋体"/>
          <w:b/>
          <w:color w:val="auto"/>
          <w:sz w:val="24"/>
          <w:szCs w:val="24"/>
          <w:highlight w:val="none"/>
        </w:rPr>
        <w:t>1. 适用范围</w:t>
      </w:r>
      <w:bookmarkEnd w:id="23"/>
    </w:p>
    <w:p>
      <w:pPr>
        <w:pageBreakBefore w:val="0"/>
        <w:kinsoku/>
        <w:wordWrap/>
        <w:overflowPunct/>
        <w:topLinePunct w:val="0"/>
        <w:bidi w:val="0"/>
        <w:snapToGrid w:val="0"/>
        <w:spacing w:beforeAutospacing="0"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本招标文件适用于该项目的招标、投标、开标、资格审查及信用信息查询、评标、定标、合同、验收等行为（法律、法规另有规定的，从其规定）。</w:t>
      </w:r>
    </w:p>
    <w:p>
      <w:pPr>
        <w:pageBreakBefore w:val="0"/>
        <w:kinsoku/>
        <w:wordWrap/>
        <w:overflowPunct/>
        <w:topLinePunct w:val="0"/>
        <w:bidi w:val="0"/>
        <w:adjustRightInd/>
        <w:spacing w:beforeAutospacing="0" w:line="360" w:lineRule="auto"/>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w:t>
      </w:r>
      <w:bookmarkStart w:id="24" w:name="_Toc13427"/>
      <w:r>
        <w:rPr>
          <w:rFonts w:hint="eastAsia" w:ascii="宋体" w:hAnsi="宋体" w:eastAsia="宋体" w:cs="宋体"/>
          <w:b/>
          <w:color w:val="auto"/>
          <w:sz w:val="24"/>
          <w:szCs w:val="24"/>
          <w:highlight w:val="none"/>
        </w:rPr>
        <w:t>2.定义</w:t>
      </w:r>
      <w:bookmarkEnd w:id="24"/>
    </w:p>
    <w:p>
      <w:pPr>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 “采购人”系指招标公告中载明的本项目的采购人。</w:t>
      </w:r>
    </w:p>
    <w:p>
      <w:pPr>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 “采购机构”系指招标公告中载明的本项目的采购机构。</w:t>
      </w:r>
    </w:p>
    <w:p>
      <w:pPr>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 “投标人”系指是指响应招标、参加投标竞争的法人、其他组织或者自然人。</w:t>
      </w:r>
    </w:p>
    <w:p>
      <w:pPr>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 “负责人”系指法人企业的法定负责人，或其他组织为法律、行政法规规定代表单位行使职权的主要负责人，或自然人本人。</w:t>
      </w:r>
    </w:p>
    <w:p>
      <w:pPr>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2.6“电子交易平台”是指本项目政府采购活动所依托的政府采购云平台（https://www.zcygov.cn/）。</w:t>
      </w:r>
    </w:p>
    <w:p>
      <w:pPr>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 “▲” 系指实质性要求条款，“★”系产品采购项目中单一产品或核心产品，“</w:t>
      </w:r>
      <w:sdt>
        <w:sdtPr>
          <w:rPr>
            <w:rFonts w:hint="eastAsia" w:ascii="宋体" w:hAnsi="宋体" w:eastAsia="宋体" w:cs="宋体"/>
            <w:color w:val="auto"/>
            <w:kern w:val="0"/>
            <w:sz w:val="24"/>
            <w:szCs w:val="24"/>
            <w:highlight w:val="none"/>
          </w:rPr>
          <w:id w:val="512970236"/>
          <w14:checkbox>
            <w14:checked w14:val="1"/>
            <w14:checkedState w14:val="00FE" w14:font="Wingdings"/>
            <w14:uncheckedState w14:val="2610" w14:font="MS Gothic"/>
          </w14:checkbox>
        </w:sdtPr>
        <w:sdtEndPr>
          <w:rPr>
            <w:rFonts w:hint="eastAsia" w:ascii="宋体" w:hAnsi="宋体" w:eastAsia="宋体" w:cs="宋体"/>
            <w:color w:val="auto"/>
            <w:kern w:val="0"/>
            <w:sz w:val="24"/>
            <w:szCs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sz w:val="24"/>
          <w:szCs w:val="24"/>
          <w:highlight w:val="none"/>
        </w:rPr>
        <w:t>” 系指适用本项目的要求，“</w:t>
      </w:r>
      <w:sdt>
        <w:sdtPr>
          <w:rPr>
            <w:rFonts w:hint="eastAsia" w:ascii="宋体" w:hAnsi="宋体" w:eastAsia="宋体" w:cs="宋体"/>
            <w:color w:val="auto"/>
            <w:kern w:val="0"/>
            <w:sz w:val="24"/>
            <w:szCs w:val="24"/>
            <w:highlight w:val="none"/>
          </w:rPr>
          <w:id w:val="404888855"/>
          <w14:checkbox>
            <w14:checked w14:val="0"/>
            <w14:checkedState w14:val="00FE" w14:font="Wingdings"/>
            <w14:uncheckedState w14:val="2610" w14:font="MS Gothic"/>
          </w14:checkbox>
        </w:sdtPr>
        <w:sdtEndPr>
          <w:rPr>
            <w:rFonts w:hint="eastAsia" w:ascii="宋体" w:hAnsi="宋体" w:eastAsia="宋体" w:cs="宋体"/>
            <w:color w:val="auto"/>
            <w:kern w:val="0"/>
            <w:sz w:val="24"/>
            <w:szCs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eastAsia="宋体" w:cs="宋体"/>
          <w:color w:val="auto"/>
          <w:sz w:val="24"/>
          <w:szCs w:val="24"/>
          <w:highlight w:val="none"/>
        </w:rPr>
        <w:t>” 系指不适用本项目的要求。</w:t>
      </w:r>
    </w:p>
    <w:p>
      <w:pPr>
        <w:pageBreakBefore w:val="0"/>
        <w:kinsoku/>
        <w:wordWrap/>
        <w:overflowPunct/>
        <w:topLinePunct w:val="0"/>
        <w:bidi w:val="0"/>
        <w:spacing w:beforeAutospacing="0" w:line="360" w:lineRule="auto"/>
        <w:ind w:firstLine="241" w:firstLineChars="1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w:t>
      </w:r>
      <w:r>
        <w:rPr>
          <w:rFonts w:hint="eastAsia" w:ascii="宋体" w:hAnsi="宋体" w:eastAsia="宋体" w:cs="宋体"/>
          <w:color w:val="auto"/>
          <w:sz w:val="24"/>
          <w:szCs w:val="24"/>
          <w:highlight w:val="none"/>
        </w:rPr>
        <w:t xml:space="preserve"> </w:t>
      </w:r>
      <w:r>
        <w:rPr>
          <w:rFonts w:hint="eastAsia" w:ascii="宋体" w:hAnsi="宋体" w:eastAsia="宋体" w:cs="宋体"/>
          <w:b/>
          <w:color w:val="auto"/>
          <w:sz w:val="24"/>
          <w:szCs w:val="24"/>
          <w:highlight w:val="none"/>
        </w:rPr>
        <w:t>采购项目需要落实的政府采购政策</w:t>
      </w:r>
    </w:p>
    <w:p>
      <w:pPr>
        <w:pageBreakBefore w:val="0"/>
        <w:kinsoku/>
        <w:wordWrap/>
        <w:overflowPunct/>
        <w:topLinePunct w:val="0"/>
        <w:bidi w:val="0"/>
        <w:spacing w:beforeAutospacing="0" w:line="360" w:lineRule="auto"/>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pageBreakBefore w:val="0"/>
        <w:kinsoku/>
        <w:wordWrap/>
        <w:overflowPunct/>
        <w:topLinePunct w:val="0"/>
        <w:bidi w:val="0"/>
        <w:spacing w:beforeAutospacing="0" w:line="360" w:lineRule="auto"/>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 支持绿色发展</w:t>
      </w:r>
    </w:p>
    <w:p>
      <w:pPr>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color w:val="auto"/>
          <w:sz w:val="24"/>
          <w:szCs w:val="24"/>
          <w:highlight w:val="none"/>
        </w:rPr>
        <w:t>采购人拟采购的产品属于政府强制采购的节能产品品目清单范围的，投标人未按招标文件要求提供国家确定的认证机构出具的、处于有效期之内的节能产品认证证书的，投标无效。</w:t>
      </w:r>
    </w:p>
    <w:p>
      <w:pPr>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3.2.2 修缮、装修类项目采购建材的，采购人应将绿色建筑和绿色建材性能、指标等作为实质性条件纳入招标文件和合同。</w:t>
      </w:r>
    </w:p>
    <w:p>
      <w:pPr>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3.2.3为助力打好污染防治攻坚战，推广使用绿色包装，政府采购货物、工程和服务项目中涉及商品包装和快递包装的，</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提供产品及相关快递服务的具体包装要求要参考《商品包装政府采购需求标准（试行）》、《快递包装政府采购需求标准（试行）》。</w:t>
      </w:r>
    </w:p>
    <w:p>
      <w:pPr>
        <w:pageBreakBefore w:val="0"/>
        <w:kinsoku/>
        <w:wordWrap/>
        <w:overflowPunct/>
        <w:topLinePunct w:val="0"/>
        <w:bidi w:val="0"/>
        <w:spacing w:beforeAutospacing="0" w:line="360" w:lineRule="auto"/>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3.3支持中小企业发展</w:t>
      </w:r>
    </w:p>
    <w:p>
      <w:pPr>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符合中小企业划分标准的个体工商户，在政府采购活动中视同中小企业。</w:t>
      </w:r>
    </w:p>
    <w:p>
      <w:pPr>
        <w:pageBreakBefore w:val="0"/>
        <w:widowControl/>
        <w:kinsoku/>
        <w:wordWrap/>
        <w:overflowPunct/>
        <w:topLinePunct w:val="0"/>
        <w:bidi w:val="0"/>
        <w:spacing w:beforeAutospacing="0" w:line="36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Cs/>
          <w:color w:val="auto"/>
          <w:sz w:val="24"/>
          <w:szCs w:val="24"/>
          <w:highlight w:val="none"/>
        </w:rPr>
        <w:t>3.3.2</w:t>
      </w:r>
      <w:r>
        <w:rPr>
          <w:rFonts w:hint="eastAsia" w:ascii="宋体" w:hAnsi="宋体" w:eastAsia="宋体" w:cs="宋体"/>
          <w:color w:val="auto"/>
          <w:kern w:val="0"/>
          <w:sz w:val="24"/>
          <w:szCs w:val="24"/>
          <w:highlight w:val="none"/>
        </w:rPr>
        <w:t>在政府采购活动中，投标人提供的货物、工程或者服务符合下列情形的，享受中小企业扶持政策：</w:t>
      </w:r>
    </w:p>
    <w:p>
      <w:pPr>
        <w:pageBreakBefore w:val="0"/>
        <w:widowControl/>
        <w:kinsoku/>
        <w:wordWrap/>
        <w:overflowPunct/>
        <w:topLinePunct w:val="0"/>
        <w:bidi w:val="0"/>
        <w:spacing w:beforeAutospacing="0" w:line="36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3.3.2.1在货物采购项目中，货物由中小企业制造，即货物由中小企业生产且使用该中小企业商号或者注册商标；</w:t>
      </w:r>
    </w:p>
    <w:p>
      <w:pPr>
        <w:pageBreakBefore w:val="0"/>
        <w:widowControl/>
        <w:kinsoku/>
        <w:wordWrap/>
        <w:overflowPunct/>
        <w:topLinePunct w:val="0"/>
        <w:bidi w:val="0"/>
        <w:spacing w:beforeAutospacing="0" w:line="36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3.3.2.2在工程采购项目中，工程由中小企业承建，即工程施工单位为中小企业；</w:t>
      </w:r>
    </w:p>
    <w:p>
      <w:pPr>
        <w:pageBreakBefore w:val="0"/>
        <w:widowControl/>
        <w:kinsoku/>
        <w:wordWrap/>
        <w:overflowPunct/>
        <w:topLinePunct w:val="0"/>
        <w:bidi w:val="0"/>
        <w:spacing w:beforeAutospacing="0" w:line="36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3.3.2.3在服务采购项目中，服务由中小企业承接，即提供服务的人员为中小企业依照《中华人民共和国劳动合同法》订立劳动合同的从业人员。</w:t>
      </w:r>
    </w:p>
    <w:p>
      <w:pPr>
        <w:pageBreakBefore w:val="0"/>
        <w:widowControl/>
        <w:kinsoku/>
        <w:wordWrap/>
        <w:overflowPunct/>
        <w:topLinePunct w:val="0"/>
        <w:bidi w:val="0"/>
        <w:spacing w:beforeAutospacing="0" w:line="36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在货物采购项目中，投标人提供的货物既有中小企业制造货物，也有大型企业制造货物的，不享受中小企业扶持政策。</w:t>
      </w:r>
    </w:p>
    <w:p>
      <w:pPr>
        <w:pageBreakBefore w:val="0"/>
        <w:widowControl/>
        <w:kinsoku/>
        <w:wordWrap/>
        <w:overflowPunct/>
        <w:topLinePunct w:val="0"/>
        <w:bidi w:val="0"/>
        <w:spacing w:beforeAutospacing="0" w:line="36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以联合体形式参加政府采购活动，联合体各方均为中小企业的，联合体视同中小企业。其中，联合体各方均为小微企业的，联合体视同小微企业。</w:t>
      </w:r>
    </w:p>
    <w:p>
      <w:pPr>
        <w:pageBreakBefore w:val="0"/>
        <w:widowControl/>
        <w:kinsoku/>
        <w:wordWrap/>
        <w:overflowPunct/>
        <w:topLinePunct w:val="0"/>
        <w:bidi w:val="0"/>
        <w:spacing w:beforeAutospacing="0" w:line="360" w:lineRule="auto"/>
        <w:ind w:firstLine="480" w:firstLineChars="200"/>
        <w:jc w:val="left"/>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3.3.3对于未预留份额专门面向中小企业的政府采购货物或服务项目，以及预留份额政府采购货物或服务项目中的非预留部分标项，对小型和微型企业的投标报价给予（货物和服务项目为10%、工程项目为5%）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货物和服务项目为3%、工程项目为2%）的扣除，用扣除后的价格参加评审。组成联合体或者接受分包的小微企业与联合体内其他企业、分包企业之间存在直接控股、管理关系的，不享受价格扣除优惠政策。</w:t>
      </w:r>
    </w:p>
    <w:p>
      <w:pPr>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3.3.4符合《关于促进残疾人就业政府采购政策的通知》（财库〔2017〕141号）规定的条件并提供《残疾人福利性单位声明函》（附件1）的残疾人福利性单位视同小型、微型企业</w:t>
      </w:r>
      <w:r>
        <w:rPr>
          <w:rFonts w:hint="eastAsia" w:ascii="宋体" w:hAnsi="宋体" w:eastAsia="宋体" w:cs="宋体"/>
          <w:color w:val="auto"/>
          <w:sz w:val="24"/>
          <w:szCs w:val="24"/>
          <w:highlight w:val="none"/>
          <w:lang w:eastAsia="zh-CN"/>
        </w:rPr>
        <w:t>。</w:t>
      </w:r>
    </w:p>
    <w:p>
      <w:pPr>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3.3.7中小企业享受扶持政策获得政府采购合同的，小微企业不得将合同分包给大中型企业，中型企业不得将合同分包给大型企业。</w:t>
      </w:r>
    </w:p>
    <w:p>
      <w:pPr>
        <w:pageBreakBefore w:val="0"/>
        <w:kinsoku/>
        <w:wordWrap/>
        <w:overflowPunct/>
        <w:topLinePunct w:val="0"/>
        <w:bidi w:val="0"/>
        <w:spacing w:beforeAutospacing="0" w:line="360" w:lineRule="auto"/>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w:t>
      </w:r>
      <w:r>
        <w:rPr>
          <w:rFonts w:hint="eastAsia" w:ascii="宋体" w:hAnsi="宋体" w:eastAsia="宋体" w:cs="宋体"/>
          <w:bCs/>
          <w:color w:val="auto"/>
          <w:sz w:val="24"/>
          <w:szCs w:val="24"/>
          <w:highlight w:val="none"/>
        </w:rPr>
        <w:t>支持创新发展</w:t>
      </w:r>
    </w:p>
    <w:p>
      <w:pPr>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 采购人优先采购被认定为首台套产品和“制造精品”的自主创新产品。</w:t>
      </w:r>
    </w:p>
    <w:p>
      <w:pPr>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pageBreakBefore w:val="0"/>
        <w:kinsoku/>
        <w:wordWrap/>
        <w:overflowPunct/>
        <w:topLinePunct w:val="0"/>
        <w:bidi w:val="0"/>
        <w:spacing w:beforeAutospacing="0" w:line="360" w:lineRule="auto"/>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3.5中小企业信用融资：</w:t>
      </w:r>
      <w:r>
        <w:rPr>
          <w:rFonts w:hint="eastAsia" w:ascii="宋体" w:hAnsi="宋体" w:eastAsia="宋体" w:cs="宋体"/>
          <w:color w:val="auto"/>
          <w:kern w:val="0"/>
          <w:sz w:val="24"/>
          <w:szCs w:val="24"/>
          <w:highlight w:val="none"/>
          <w:lang w:val="en-US" w:eastAsia="zh-CN" w:bidi="ar-SA"/>
        </w:rPr>
        <w:t>本采购项目，中标人与采购人签订的政府采购合同适用于嘉兴市政府采购贷款政策，简称“政采贷”，具体内容可参阅政府采购贷款流程：http://jxszwsjb.jiaxing.gov.cn/zxfw/005012/20181016/7e541bf4-ad29-4286-ace8-d12c1b2c54fc.html或者</w:t>
      </w:r>
      <w:r>
        <w:rPr>
          <w:rFonts w:hint="eastAsia" w:ascii="宋体" w:hAnsi="宋体" w:cs="宋体"/>
          <w:color w:val="auto"/>
          <w:kern w:val="0"/>
          <w:sz w:val="24"/>
          <w:szCs w:val="24"/>
          <w:highlight w:val="none"/>
          <w:lang w:val="en-US" w:eastAsia="zh-CN" w:bidi="ar-SA"/>
        </w:rPr>
        <w:t>投标人</w:t>
      </w:r>
      <w:r>
        <w:rPr>
          <w:rFonts w:hint="eastAsia" w:ascii="宋体" w:hAnsi="宋体" w:eastAsia="宋体" w:cs="宋体"/>
          <w:color w:val="auto"/>
          <w:kern w:val="0"/>
          <w:sz w:val="24"/>
          <w:szCs w:val="24"/>
          <w:highlight w:val="none"/>
          <w:lang w:val="en-US" w:eastAsia="zh-CN" w:bidi="ar-SA"/>
        </w:rPr>
        <w:t>中标后也可在“政采云”平台申请政采贷：操作路径：登录政采云平台 - 金融服务中心 -融资服务，可在热门申请中选择产品直接申请，也可点击云智贷匹配适合产品进行申请，或者在可申请项目中根据该项目进行申请。</w:t>
      </w:r>
      <w:r>
        <w:rPr>
          <w:rFonts w:hint="eastAsia" w:ascii="宋体" w:hAnsi="宋体" w:eastAsia="宋体" w:cs="宋体"/>
          <w:color w:val="auto"/>
          <w:sz w:val="24"/>
          <w:szCs w:val="24"/>
          <w:highlight w:val="none"/>
        </w:rPr>
        <w:cr/>
      </w:r>
      <w:r>
        <w:rPr>
          <w:rFonts w:hint="eastAsia" w:ascii="宋体" w:hAnsi="宋体" w:eastAsia="宋体" w:cs="宋体"/>
          <w:b/>
          <w:color w:val="auto"/>
          <w:sz w:val="24"/>
          <w:szCs w:val="24"/>
          <w:highlight w:val="none"/>
        </w:rPr>
        <w:t>4. 询问、质疑、投诉</w:t>
      </w:r>
    </w:p>
    <w:p>
      <w:pPr>
        <w:pageBreakBefore w:val="0"/>
        <w:kinsoku/>
        <w:wordWrap/>
        <w:overflowPunct/>
        <w:topLinePunct w:val="0"/>
        <w:autoSpaceDE w:val="0"/>
        <w:autoSpaceDN w:val="0"/>
        <w:bidi w:val="0"/>
        <w:spacing w:beforeAutospacing="0" w:line="360" w:lineRule="auto"/>
        <w:ind w:firstLine="240" w:firstLineChars="100"/>
        <w:jc w:val="left"/>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4.1供应商询问</w:t>
      </w:r>
    </w:p>
    <w:p>
      <w:pPr>
        <w:pageBreakBefore w:val="0"/>
        <w:kinsoku/>
        <w:wordWrap/>
        <w:overflowPunct/>
        <w:topLinePunct w:val="0"/>
        <w:autoSpaceDE w:val="0"/>
        <w:autoSpaceDN w:val="0"/>
        <w:bidi w:val="0"/>
        <w:spacing w:beforeAutospacing="0" w:line="360" w:lineRule="auto"/>
        <w:ind w:firstLine="480" w:firstLineChars="200"/>
        <w:jc w:val="left"/>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pageBreakBefore w:val="0"/>
        <w:kinsoku/>
        <w:wordWrap/>
        <w:overflowPunct/>
        <w:topLinePunct w:val="0"/>
        <w:autoSpaceDE w:val="0"/>
        <w:autoSpaceDN w:val="0"/>
        <w:bidi w:val="0"/>
        <w:spacing w:beforeAutospacing="0" w:line="360" w:lineRule="auto"/>
        <w:ind w:firstLine="240" w:firstLineChars="100"/>
        <w:jc w:val="left"/>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4.2供应商质疑</w:t>
      </w:r>
    </w:p>
    <w:p>
      <w:pPr>
        <w:pStyle w:val="9"/>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4.2</w:t>
      </w:r>
      <w:r>
        <w:rPr>
          <w:rFonts w:hint="eastAsia" w:ascii="宋体" w:hAnsi="宋体" w:eastAsia="宋体" w:cs="宋体"/>
          <w:color w:val="auto"/>
          <w:sz w:val="24"/>
          <w:szCs w:val="24"/>
          <w:highlight w:val="none"/>
        </w:rPr>
        <w:t>.1提出质疑的供应商应当是参与所质疑项目采购活动的供应商。潜在供应商已依法获取其可质疑的招标文件的，可以对该文件提出质疑。</w:t>
      </w:r>
    </w:p>
    <w:p>
      <w:pPr>
        <w:pStyle w:val="9"/>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4.2</w:t>
      </w:r>
      <w:r>
        <w:rPr>
          <w:rFonts w:hint="eastAsia" w:ascii="宋体" w:hAnsi="宋体" w:eastAsia="宋体" w:cs="宋体"/>
          <w:color w:val="auto"/>
          <w:sz w:val="24"/>
          <w:szCs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4"/>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snapToGrid/>
          <w:color w:val="auto"/>
          <w:kern w:val="2"/>
          <w:sz w:val="24"/>
          <w:szCs w:val="24"/>
          <w:highlight w:val="none"/>
        </w:rPr>
      </w:pPr>
      <w:r>
        <w:rPr>
          <w:rFonts w:hint="eastAsia" w:ascii="宋体" w:hAnsi="宋体" w:eastAsia="宋体" w:cs="宋体"/>
          <w:snapToGrid/>
          <w:color w:val="auto"/>
          <w:kern w:val="2"/>
          <w:sz w:val="24"/>
          <w:szCs w:val="24"/>
          <w:highlight w:val="none"/>
        </w:rPr>
        <w:t>4.2.2.1对招标文件提出质疑的，质疑期限为供应商获得招标文件之日或者招标文件公告期限届满之日起计算。</w:t>
      </w:r>
    </w:p>
    <w:p>
      <w:pPr>
        <w:pStyle w:val="9"/>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4.2.2.2对采购过程提出质疑的，质疑期限为各采购程序环节结束之日起计算。对同一采购程序环节的质疑，供应商须一次性提出。</w:t>
      </w:r>
    </w:p>
    <w:p>
      <w:pPr>
        <w:pStyle w:val="9"/>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4.2.2.3对采购结果提出质疑的，质疑期限自采购结果公告期限届满之日起计算。</w:t>
      </w:r>
    </w:p>
    <w:p>
      <w:pPr>
        <w:pStyle w:val="9"/>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4.2.3</w:t>
      </w:r>
      <w:r>
        <w:rPr>
          <w:rFonts w:hint="eastAsia" w:ascii="宋体" w:hAnsi="宋体" w:eastAsia="宋体" w:cs="宋体"/>
          <w:color w:val="auto"/>
          <w:sz w:val="24"/>
          <w:szCs w:val="24"/>
          <w:highlight w:val="none"/>
        </w:rPr>
        <w:t>供应商提出质疑应当提交质疑函和必要的证明材料。质疑函应当包括下列内容：</w:t>
      </w:r>
    </w:p>
    <w:p>
      <w:pPr>
        <w:pStyle w:val="9"/>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　　4.2.3.1供应商的姓名或者名称、地址、邮编、联系人及联系电话；</w:t>
      </w:r>
    </w:p>
    <w:p>
      <w:pPr>
        <w:pStyle w:val="9"/>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　　4.2.3.2质疑项目的名称、编号；</w:t>
      </w:r>
    </w:p>
    <w:p>
      <w:pPr>
        <w:pStyle w:val="9"/>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　　4.2.3.3具体、明确的质疑事项和与质疑事项相关的请求；</w:t>
      </w:r>
    </w:p>
    <w:p>
      <w:pPr>
        <w:pStyle w:val="9"/>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　　4.2.3.4事实依据；</w:t>
      </w:r>
    </w:p>
    <w:p>
      <w:pPr>
        <w:pStyle w:val="9"/>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　　4.2.3.5必要的法律依据；</w:t>
      </w:r>
    </w:p>
    <w:p>
      <w:pPr>
        <w:pStyle w:val="9"/>
        <w:pageBreakBefore w:val="0"/>
        <w:kinsoku/>
        <w:wordWrap/>
        <w:overflowPunct/>
        <w:topLinePunct w:val="0"/>
        <w:bidi w:val="0"/>
        <w:spacing w:beforeAutospacing="0" w:line="360" w:lineRule="auto"/>
        <w:ind w:firstLine="960" w:firstLineChars="400"/>
        <w:textAlignment w:val="auto"/>
        <w:rPr>
          <w:rFonts w:hint="eastAsia" w:ascii="宋体" w:hAnsi="宋体" w:eastAsia="宋体" w:cs="宋体"/>
          <w:snapToGrid/>
          <w:color w:val="auto"/>
          <w:kern w:val="0"/>
          <w:sz w:val="24"/>
          <w:szCs w:val="24"/>
          <w:highlight w:val="none"/>
          <w:lang w:val="zh-CN" w:eastAsia="zh-CN" w:bidi="ar-SA"/>
        </w:rPr>
      </w:pPr>
      <w:r>
        <w:rPr>
          <w:rFonts w:hint="eastAsia" w:ascii="宋体" w:hAnsi="宋体" w:eastAsia="宋体" w:cs="宋体"/>
          <w:color w:val="auto"/>
          <w:kern w:val="0"/>
          <w:sz w:val="24"/>
          <w:szCs w:val="24"/>
          <w:highlight w:val="none"/>
          <w:lang w:val="zh-CN"/>
        </w:rPr>
        <w:t>4</w:t>
      </w:r>
      <w:r>
        <w:rPr>
          <w:rFonts w:hint="eastAsia" w:ascii="宋体" w:hAnsi="宋体" w:eastAsia="宋体" w:cs="宋体"/>
          <w:snapToGrid/>
          <w:color w:val="auto"/>
          <w:kern w:val="0"/>
          <w:sz w:val="24"/>
          <w:szCs w:val="24"/>
          <w:highlight w:val="none"/>
          <w:lang w:val="zh-CN" w:eastAsia="zh-CN" w:bidi="ar-SA"/>
        </w:rPr>
        <w:t>.2.3.6提出质疑的日期。</w:t>
      </w:r>
    </w:p>
    <w:p>
      <w:pPr>
        <w:pStyle w:val="9"/>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kern w:val="0"/>
          <w:sz w:val="24"/>
          <w:szCs w:val="24"/>
          <w:highlight w:val="none"/>
          <w:lang w:val="zh-CN" w:eastAsia="zh-CN"/>
        </w:rPr>
      </w:pPr>
      <w:r>
        <w:rPr>
          <w:rFonts w:hint="eastAsia" w:ascii="宋体" w:hAnsi="宋体" w:eastAsia="宋体" w:cs="宋体"/>
          <w:color w:val="auto"/>
          <w:kern w:val="0"/>
          <w:sz w:val="24"/>
          <w:szCs w:val="24"/>
          <w:highlight w:val="none"/>
          <w:lang w:val="zh-CN" w:eastAsia="zh-CN"/>
        </w:rPr>
        <w:t>供应商提交的质疑函需一式三份。供应商为自然人的，应当由本人签字；供应商为法人或者其他组织的，应当由法定代表人、主要负责人，或者其授权代表签字或者盖章，并加盖公章。</w:t>
      </w:r>
    </w:p>
    <w:p>
      <w:pPr>
        <w:pStyle w:val="9"/>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kern w:val="0"/>
          <w:sz w:val="24"/>
          <w:szCs w:val="24"/>
          <w:highlight w:val="none"/>
          <w:lang w:val="zh-CN" w:eastAsia="zh-CN"/>
        </w:rPr>
      </w:pPr>
      <w:r>
        <w:rPr>
          <w:rFonts w:hint="eastAsia" w:ascii="宋体" w:hAnsi="宋体" w:eastAsia="宋体" w:cs="宋体"/>
          <w:color w:val="auto"/>
          <w:kern w:val="0"/>
          <w:sz w:val="24"/>
          <w:szCs w:val="24"/>
          <w:highlight w:val="none"/>
          <w:lang w:val="zh-CN" w:eastAsia="zh-CN"/>
        </w:rPr>
        <w:t>质疑函范本及制作说明详见附件2。</w:t>
      </w:r>
    </w:p>
    <w:p>
      <w:pPr>
        <w:pStyle w:val="9"/>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kern w:val="0"/>
          <w:sz w:val="24"/>
          <w:szCs w:val="24"/>
          <w:highlight w:val="none"/>
          <w:lang w:val="zh-CN" w:eastAsia="zh-CN"/>
        </w:rPr>
      </w:pPr>
      <w:r>
        <w:rPr>
          <w:rFonts w:hint="eastAsia" w:ascii="宋体" w:hAnsi="宋体" w:eastAsia="宋体" w:cs="宋体"/>
          <w:color w:val="auto"/>
          <w:kern w:val="0"/>
          <w:sz w:val="24"/>
          <w:szCs w:val="24"/>
          <w:highlight w:val="none"/>
          <w:lang w:val="zh-CN" w:eastAsia="zh-CN"/>
        </w:rPr>
        <w:t>4.2</w:t>
      </w:r>
      <w:r>
        <w:rPr>
          <w:rFonts w:hint="eastAsia" w:ascii="宋体" w:hAnsi="宋体" w:eastAsia="宋体" w:cs="宋体"/>
          <w:color w:val="auto"/>
          <w:kern w:val="0"/>
          <w:sz w:val="24"/>
          <w:szCs w:val="24"/>
          <w:highlight w:val="none"/>
          <w:lang w:val="en-US" w:eastAsia="zh-CN"/>
        </w:rPr>
        <w:t>.4采购人或者采购机</w:t>
      </w:r>
      <w:r>
        <w:rPr>
          <w:rFonts w:hint="eastAsia" w:ascii="宋体" w:hAnsi="宋体" w:eastAsia="宋体" w:cs="宋体"/>
          <w:snapToGrid/>
          <w:color w:val="auto"/>
          <w:kern w:val="0"/>
          <w:sz w:val="24"/>
          <w:szCs w:val="24"/>
          <w:highlight w:val="none"/>
          <w:lang w:val="en-US" w:eastAsia="zh-CN" w:bidi="ar-SA"/>
        </w:rPr>
        <w:t>构应当在收到供应商的书面质疑后七个工作日内作出答复，并以书面形式通知质疑供应商和其他与质疑处理结果有利害关系的政府采购当事人，但答</w:t>
      </w:r>
      <w:r>
        <w:rPr>
          <w:rFonts w:hint="eastAsia" w:ascii="宋体" w:hAnsi="宋体" w:eastAsia="宋体" w:cs="宋体"/>
          <w:color w:val="auto"/>
          <w:kern w:val="0"/>
          <w:sz w:val="24"/>
          <w:szCs w:val="24"/>
          <w:highlight w:val="none"/>
          <w:lang w:val="en-US" w:eastAsia="zh-CN"/>
        </w:rPr>
        <w:t>复的内容不得涉及商业秘密。采购人或者采购机构在质疑回复后5个工作日内，在浙江政府采购网的“其他公告”栏</w:t>
      </w:r>
      <w:r>
        <w:rPr>
          <w:rFonts w:hint="eastAsia" w:ascii="宋体" w:hAnsi="宋体" w:eastAsia="宋体" w:cs="宋体"/>
          <w:color w:val="auto"/>
          <w:kern w:val="0"/>
          <w:sz w:val="24"/>
          <w:szCs w:val="24"/>
          <w:highlight w:val="none"/>
          <w:lang w:val="zh-CN" w:eastAsia="zh-CN"/>
        </w:rPr>
        <w:t>目公开质疑答复，答复内容应当完整。质疑函作为附件上传。</w:t>
      </w:r>
    </w:p>
    <w:p>
      <w:pPr>
        <w:pStyle w:val="9"/>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kern w:val="0"/>
          <w:sz w:val="24"/>
          <w:szCs w:val="24"/>
          <w:highlight w:val="none"/>
          <w:lang w:val="zh-CN" w:eastAsia="zh-CN"/>
        </w:rPr>
      </w:pPr>
      <w:r>
        <w:rPr>
          <w:rFonts w:hint="eastAsia" w:ascii="宋体" w:hAnsi="宋体" w:eastAsia="宋体" w:cs="宋体"/>
          <w:color w:val="auto"/>
          <w:kern w:val="0"/>
          <w:sz w:val="24"/>
          <w:szCs w:val="24"/>
          <w:highlight w:val="none"/>
          <w:lang w:val="zh-CN" w:eastAsia="zh-CN"/>
        </w:rPr>
        <w:t>4.2.5询问或者质疑事项可能影响采购结果的，采购人应当暂停签订合同，已经签订合同的，应当中止履行合同。</w:t>
      </w:r>
    </w:p>
    <w:p>
      <w:pPr>
        <w:pStyle w:val="9"/>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kern w:val="0"/>
          <w:sz w:val="24"/>
          <w:szCs w:val="24"/>
          <w:highlight w:val="none"/>
          <w:lang w:val="zh-CN" w:eastAsia="zh-CN"/>
        </w:rPr>
      </w:pPr>
      <w:r>
        <w:rPr>
          <w:rFonts w:hint="eastAsia" w:ascii="宋体" w:hAnsi="宋体" w:eastAsia="宋体" w:cs="宋体"/>
          <w:color w:val="auto"/>
          <w:kern w:val="0"/>
          <w:sz w:val="24"/>
          <w:szCs w:val="24"/>
          <w:highlight w:val="none"/>
          <w:lang w:val="zh-CN" w:eastAsia="zh-CN"/>
        </w:rPr>
        <w:t>4.3供应商投诉</w:t>
      </w:r>
    </w:p>
    <w:p>
      <w:pPr>
        <w:pStyle w:val="9"/>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zh-CN" w:eastAsia="zh-CN"/>
        </w:rPr>
        <w:t>4.3.1质疑供应商对采购</w:t>
      </w:r>
      <w:r>
        <w:rPr>
          <w:rFonts w:hint="eastAsia" w:ascii="宋体" w:hAnsi="宋体" w:eastAsia="宋体" w:cs="宋体"/>
          <w:color w:val="auto"/>
          <w:kern w:val="0"/>
          <w:sz w:val="24"/>
          <w:szCs w:val="24"/>
          <w:highlight w:val="none"/>
          <w:lang w:val="en-US" w:eastAsia="zh-CN"/>
        </w:rPr>
        <w:t>人、采购机构的答复不满意或者采购人、采购机构未在规定的时间内作出答复的，可以在答复期满后十五个工作日内向同级政府采购监督管理部门提出投诉。</w:t>
      </w:r>
    </w:p>
    <w:p>
      <w:pPr>
        <w:pStyle w:val="25"/>
        <w:pageBreakBefore w:val="0"/>
        <w:shd w:val="clear" w:color="auto" w:fill="FFFFFF"/>
        <w:kinsoku/>
        <w:wordWrap/>
        <w:overflowPunct/>
        <w:topLinePunct w:val="0"/>
        <w:bidi w:val="0"/>
        <w:snapToGrid w:val="0"/>
        <w:spacing w:before="0" w:beforeAutospacing="0" w:after="0" w:afterAutospacing="0" w:line="360" w:lineRule="auto"/>
        <w:ind w:firstLine="4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w:t>
      </w:r>
      <w:r>
        <w:rPr>
          <w:rFonts w:hint="eastAsia" w:ascii="宋体" w:hAnsi="宋体" w:eastAsia="宋体" w:cs="宋体"/>
          <w:color w:val="auto"/>
          <w:sz w:val="24"/>
          <w:szCs w:val="24"/>
          <w:highlight w:val="none"/>
          <w:lang w:val="zh-CN"/>
        </w:rPr>
        <w:t>2</w:t>
      </w:r>
      <w:r>
        <w:rPr>
          <w:rFonts w:hint="eastAsia" w:ascii="宋体" w:hAnsi="宋体" w:eastAsia="宋体" w:cs="宋体"/>
          <w:color w:val="auto"/>
          <w:sz w:val="24"/>
          <w:szCs w:val="24"/>
          <w:highlight w:val="none"/>
        </w:rPr>
        <w:t>供应商投诉的事项不得超出已质疑事项的范围，基于质疑答复内容提出的投诉事项除外。</w:t>
      </w:r>
    </w:p>
    <w:p>
      <w:pPr>
        <w:pStyle w:val="25"/>
        <w:pageBreakBefore w:val="0"/>
        <w:shd w:val="clear" w:color="auto" w:fill="FFFFFF"/>
        <w:kinsoku/>
        <w:wordWrap/>
        <w:overflowPunct/>
        <w:topLinePunct w:val="0"/>
        <w:bidi w:val="0"/>
        <w:snapToGrid w:val="0"/>
        <w:spacing w:before="0" w:beforeAutospacing="0" w:after="0" w:afterAutospacing="0" w:line="360" w:lineRule="auto"/>
        <w:ind w:firstLine="4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4.3.3供应商投诉应当有明确的请求和必要的证明材料。</w:t>
      </w:r>
    </w:p>
    <w:p>
      <w:pPr>
        <w:pStyle w:val="25"/>
        <w:pageBreakBefore w:val="0"/>
        <w:shd w:val="clear" w:color="auto" w:fill="FFFFFF"/>
        <w:kinsoku/>
        <w:wordWrap/>
        <w:overflowPunct/>
        <w:topLinePunct w:val="0"/>
        <w:bidi w:val="0"/>
        <w:snapToGrid w:val="0"/>
        <w:spacing w:before="0" w:beforeAutospacing="0" w:after="0" w:afterAutospacing="0" w:line="360" w:lineRule="auto"/>
        <w:ind w:firstLine="4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4.3.5 以联合体形式参加政府采购活动的，其投诉应当由组成联合体的所有供应商共同提出。</w:t>
      </w:r>
    </w:p>
    <w:p>
      <w:pPr>
        <w:pStyle w:val="25"/>
        <w:pageBreakBefore w:val="0"/>
        <w:shd w:val="clear" w:color="auto" w:fill="FFFFFF"/>
        <w:kinsoku/>
        <w:wordWrap/>
        <w:overflowPunct/>
        <w:topLinePunct w:val="0"/>
        <w:bidi w:val="0"/>
        <w:snapToGrid w:val="0"/>
        <w:spacing w:before="0" w:beforeAutospacing="0" w:after="0" w:afterAutospacing="0" w:line="360" w:lineRule="auto"/>
        <w:ind w:firstLine="4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投诉书范本及制作说明详见附件3。</w:t>
      </w:r>
    </w:p>
    <w:p>
      <w:pPr>
        <w:pStyle w:val="24"/>
        <w:pageBreakBefore w:val="0"/>
        <w:kinsoku/>
        <w:wordWrap/>
        <w:overflowPunct/>
        <w:topLinePunct w:val="0"/>
        <w:bidi w:val="0"/>
        <w:snapToGrid w:val="0"/>
        <w:spacing w:before="0" w:beforeAutospacing="0"/>
        <w:ind w:firstLine="360"/>
        <w:textAlignment w:val="auto"/>
        <w:rPr>
          <w:rFonts w:hint="eastAsia" w:ascii="宋体" w:hAnsi="宋体" w:eastAsia="宋体" w:cs="宋体"/>
          <w:b/>
          <w:bCs/>
          <w:color w:val="auto"/>
          <w:kern w:val="2"/>
          <w:sz w:val="32"/>
          <w:szCs w:val="32"/>
          <w:lang w:val="zh-CN" w:eastAsia="zh-CN" w:bidi="ar-SA"/>
        </w:rPr>
      </w:pPr>
    </w:p>
    <w:p>
      <w:pPr>
        <w:pStyle w:val="2"/>
        <w:bidi w:val="0"/>
        <w:jc w:val="center"/>
        <w:rPr>
          <w:rFonts w:hint="eastAsia" w:ascii="宋体" w:hAnsi="宋体" w:eastAsia="宋体" w:cs="宋体"/>
          <w:color w:val="auto"/>
          <w:sz w:val="32"/>
          <w:szCs w:val="32"/>
          <w:lang w:val="zh-CN" w:eastAsia="zh-CN"/>
        </w:rPr>
      </w:pPr>
      <w:bookmarkStart w:id="25" w:name="_Toc1994"/>
      <w:r>
        <w:rPr>
          <w:rFonts w:hint="eastAsia" w:ascii="宋体" w:hAnsi="宋体" w:eastAsia="宋体" w:cs="宋体"/>
          <w:color w:val="auto"/>
          <w:sz w:val="32"/>
          <w:szCs w:val="32"/>
          <w:lang w:val="zh-CN" w:eastAsia="zh-CN"/>
        </w:rPr>
        <w:t>二、招标文件的构成、澄清、修改</w:t>
      </w:r>
      <w:bookmarkEnd w:id="25"/>
    </w:p>
    <w:p>
      <w:pPr>
        <w:pStyle w:val="9"/>
        <w:pageBreakBefore w:val="0"/>
        <w:kinsoku/>
        <w:wordWrap/>
        <w:overflowPunct/>
        <w:topLinePunct w:val="0"/>
        <w:bidi w:val="0"/>
        <w:spacing w:beforeAutospacing="0" w:line="36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5．招标文件的构成</w:t>
      </w:r>
    </w:p>
    <w:p>
      <w:pPr>
        <w:pStyle w:val="9"/>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招标文件包括下列文件及附件：</w:t>
      </w:r>
    </w:p>
    <w:p>
      <w:pPr>
        <w:pStyle w:val="9"/>
        <w:pageBreakBefore w:val="0"/>
        <w:tabs>
          <w:tab w:val="left" w:pos="840"/>
        </w:tabs>
        <w:kinsoku/>
        <w:wordWrap/>
        <w:overflowPunct/>
        <w:topLinePunct w:val="0"/>
        <w:bidi w:val="0"/>
        <w:spacing w:beforeAutospacing="0" w:line="360" w:lineRule="auto"/>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5.1.1招标公告；</w:t>
      </w:r>
    </w:p>
    <w:p>
      <w:pPr>
        <w:pStyle w:val="9"/>
        <w:pageBreakBefore w:val="0"/>
        <w:tabs>
          <w:tab w:val="left" w:pos="840"/>
        </w:tabs>
        <w:kinsoku/>
        <w:wordWrap/>
        <w:overflowPunct/>
        <w:topLinePunct w:val="0"/>
        <w:bidi w:val="0"/>
        <w:spacing w:beforeAutospacing="0" w:line="360" w:lineRule="auto"/>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5.1.2投标人须知；</w:t>
      </w:r>
    </w:p>
    <w:p>
      <w:pPr>
        <w:pStyle w:val="9"/>
        <w:pageBreakBefore w:val="0"/>
        <w:tabs>
          <w:tab w:val="left" w:pos="840"/>
        </w:tabs>
        <w:kinsoku/>
        <w:wordWrap/>
        <w:overflowPunct/>
        <w:topLinePunct w:val="0"/>
        <w:bidi w:val="0"/>
        <w:spacing w:beforeAutospacing="0" w:line="360" w:lineRule="auto"/>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5.1.3采购需求；</w:t>
      </w:r>
    </w:p>
    <w:p>
      <w:pPr>
        <w:pStyle w:val="9"/>
        <w:pageBreakBefore w:val="0"/>
        <w:tabs>
          <w:tab w:val="left" w:pos="840"/>
        </w:tabs>
        <w:kinsoku/>
        <w:wordWrap/>
        <w:overflowPunct/>
        <w:topLinePunct w:val="0"/>
        <w:bidi w:val="0"/>
        <w:spacing w:beforeAutospacing="0" w:line="360" w:lineRule="auto"/>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5.1.4评标办法；</w:t>
      </w:r>
    </w:p>
    <w:p>
      <w:pPr>
        <w:pStyle w:val="9"/>
        <w:pageBreakBefore w:val="0"/>
        <w:tabs>
          <w:tab w:val="left" w:pos="840"/>
        </w:tabs>
        <w:kinsoku/>
        <w:wordWrap/>
        <w:overflowPunct/>
        <w:topLinePunct w:val="0"/>
        <w:bidi w:val="0"/>
        <w:spacing w:beforeAutospacing="0" w:line="360" w:lineRule="auto"/>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5.1.5拟签订的合同文本；</w:t>
      </w:r>
    </w:p>
    <w:p>
      <w:pPr>
        <w:pStyle w:val="9"/>
        <w:pageBreakBefore w:val="0"/>
        <w:tabs>
          <w:tab w:val="left" w:pos="840"/>
        </w:tabs>
        <w:kinsoku/>
        <w:wordWrap/>
        <w:overflowPunct/>
        <w:topLinePunct w:val="0"/>
        <w:bidi w:val="0"/>
        <w:spacing w:beforeAutospacing="0" w:line="360" w:lineRule="auto"/>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5.1.6应提交的有关格式范例。</w:t>
      </w:r>
    </w:p>
    <w:p>
      <w:pPr>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5.2与本项目有关的</w:t>
      </w:r>
      <w:r>
        <w:rPr>
          <w:rFonts w:hint="eastAsia" w:ascii="宋体" w:hAnsi="宋体" w:eastAsia="宋体" w:cs="宋体"/>
          <w:bCs/>
          <w:color w:val="auto"/>
          <w:sz w:val="24"/>
          <w:szCs w:val="24"/>
          <w:highlight w:val="none"/>
        </w:rPr>
        <w:t>澄清或者修改的内容为招标文件的组成部分</w:t>
      </w:r>
      <w:r>
        <w:rPr>
          <w:rFonts w:hint="eastAsia" w:ascii="宋体" w:hAnsi="宋体" w:eastAsia="宋体" w:cs="宋体"/>
          <w:color w:val="auto"/>
          <w:sz w:val="24"/>
          <w:szCs w:val="24"/>
          <w:highlight w:val="none"/>
        </w:rPr>
        <w:t>。</w:t>
      </w:r>
    </w:p>
    <w:p>
      <w:pPr>
        <w:pStyle w:val="9"/>
        <w:pageBreakBefore w:val="0"/>
        <w:kinsoku/>
        <w:wordWrap/>
        <w:overflowPunct/>
        <w:topLinePunct w:val="0"/>
        <w:bidi w:val="0"/>
        <w:spacing w:beforeAutospacing="0" w:line="36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 招标文件的澄清、修改</w:t>
      </w:r>
    </w:p>
    <w:p>
      <w:pPr>
        <w:pStyle w:val="24"/>
        <w:pageBreakBefore w:val="0"/>
        <w:kinsoku/>
        <w:wordWrap/>
        <w:overflowPunct/>
        <w:topLinePunct w:val="0"/>
        <w:bidi w:val="0"/>
        <w:snapToGrid w:val="0"/>
        <w:spacing w:before="0" w:beforeAutospacing="0"/>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6.1已获取招标文件的潜在投标人，若有问题需要澄清，应于投标截止时间前，以书面形式向采购机构提出。</w:t>
      </w:r>
    </w:p>
    <w:p>
      <w:pPr>
        <w:pStyle w:val="24"/>
        <w:pageBreakBefore w:val="0"/>
        <w:kinsoku/>
        <w:wordWrap/>
        <w:overflowPunct/>
        <w:topLinePunct w:val="0"/>
        <w:bidi w:val="0"/>
        <w:snapToGrid w:val="0"/>
        <w:spacing w:before="0" w:beforeAutospacing="0"/>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6"/>
        <w:pageBreakBefore w:val="0"/>
        <w:kinsoku/>
        <w:wordWrap/>
        <w:overflowPunct/>
        <w:topLinePunct w:val="0"/>
        <w:bidi w:val="0"/>
        <w:spacing w:beforeAutospacing="0"/>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 xml:space="preserve">    </w:t>
      </w:r>
    </w:p>
    <w:p>
      <w:pPr>
        <w:pStyle w:val="2"/>
        <w:bidi w:val="0"/>
        <w:jc w:val="center"/>
        <w:rPr>
          <w:rFonts w:hint="eastAsia" w:ascii="宋体" w:hAnsi="宋体" w:eastAsia="宋体" w:cs="宋体"/>
          <w:color w:val="auto"/>
          <w:sz w:val="32"/>
          <w:szCs w:val="32"/>
          <w:lang w:val="zh-CN" w:eastAsia="zh-CN"/>
        </w:rPr>
      </w:pPr>
      <w:bookmarkStart w:id="26" w:name="_Toc14221"/>
      <w:r>
        <w:rPr>
          <w:rFonts w:hint="eastAsia" w:ascii="宋体" w:hAnsi="宋体" w:eastAsia="宋体" w:cs="宋体"/>
          <w:color w:val="auto"/>
          <w:sz w:val="32"/>
          <w:szCs w:val="32"/>
          <w:lang w:val="zh-CN" w:eastAsia="zh-CN"/>
        </w:rPr>
        <w:t>三、投标</w:t>
      </w:r>
      <w:bookmarkEnd w:id="26"/>
    </w:p>
    <w:p>
      <w:pPr>
        <w:pStyle w:val="9"/>
        <w:pageBreakBefore w:val="0"/>
        <w:kinsoku/>
        <w:wordWrap/>
        <w:overflowPunct/>
        <w:topLinePunct w:val="0"/>
        <w:bidi w:val="0"/>
        <w:spacing w:beforeAutospacing="0" w:line="36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 招标文件的获取</w:t>
      </w:r>
    </w:p>
    <w:p>
      <w:pPr>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t>详见招标公告中获取招标文件的时间期限、地点、方式及招标文件售价。</w:t>
      </w:r>
    </w:p>
    <w:p>
      <w:pPr>
        <w:pStyle w:val="9"/>
        <w:pageBreakBefore w:val="0"/>
        <w:kinsoku/>
        <w:wordWrap/>
        <w:overflowPunct/>
        <w:topLinePunct w:val="0"/>
        <w:bidi w:val="0"/>
        <w:spacing w:beforeAutospacing="0" w:line="36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8.开标前答疑会或现场考察</w:t>
      </w:r>
    </w:p>
    <w:p>
      <w:pPr>
        <w:pStyle w:val="9"/>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9"/>
        <w:pageBreakBefore w:val="0"/>
        <w:kinsoku/>
        <w:wordWrap/>
        <w:overflowPunct/>
        <w:topLinePunct w:val="0"/>
        <w:bidi w:val="0"/>
        <w:spacing w:beforeAutospacing="0" w:line="36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kern w:val="28"/>
          <w:sz w:val="24"/>
          <w:szCs w:val="24"/>
          <w:highlight w:val="none"/>
        </w:rPr>
        <w:t>9.投标保证金</w:t>
      </w:r>
    </w:p>
    <w:p>
      <w:pPr>
        <w:pStyle w:val="4"/>
        <w:pageBreakBefore w:val="0"/>
        <w:kinsoku/>
        <w:wordWrap/>
        <w:overflowPunct/>
        <w:topLinePunct w:val="0"/>
        <w:bidi w:val="0"/>
        <w:spacing w:beforeAutospacing="0" w:line="360" w:lineRule="auto"/>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本项目不需缴纳投标保证金。</w:t>
      </w:r>
    </w:p>
    <w:p>
      <w:pPr>
        <w:pStyle w:val="9"/>
        <w:pageBreakBefore w:val="0"/>
        <w:kinsoku/>
        <w:wordWrap/>
        <w:overflowPunct/>
        <w:topLinePunct w:val="0"/>
        <w:bidi w:val="0"/>
        <w:spacing w:beforeAutospacing="0" w:line="36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 投标文件的语言</w:t>
      </w:r>
    </w:p>
    <w:p>
      <w:pPr>
        <w:pageBreakBefore w:val="0"/>
        <w:kinsoku/>
        <w:wordWrap/>
        <w:overflowPunct/>
        <w:topLinePunct w:val="0"/>
        <w:autoSpaceDE w:val="0"/>
        <w:autoSpaceDN w:val="0"/>
        <w:bidi w:val="0"/>
        <w:spacing w:beforeAutospacing="0" w:line="360" w:lineRule="auto"/>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投标文件及投标人与采购有关的来往通知、函件和文件均应使用中文。</w:t>
      </w:r>
    </w:p>
    <w:p>
      <w:pPr>
        <w:pStyle w:val="9"/>
        <w:pageBreakBefore w:val="0"/>
        <w:kinsoku/>
        <w:wordWrap/>
        <w:overflowPunct/>
        <w:topLinePunct w:val="0"/>
        <w:bidi w:val="0"/>
        <w:spacing w:beforeAutospacing="0" w:line="36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 投标文件的组成</w:t>
      </w:r>
    </w:p>
    <w:p>
      <w:pPr>
        <w:pageBreakBefore w:val="0"/>
        <w:kinsoku/>
        <w:wordWrap/>
        <w:overflowPunct/>
        <w:topLinePunct w:val="0"/>
        <w:bidi w:val="0"/>
        <w:snapToGrid w:val="0"/>
        <w:spacing w:beforeAutospacing="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w:t>
      </w:r>
      <w:r>
        <w:rPr>
          <w:rFonts w:hint="eastAsia" w:ascii="宋体" w:hAnsi="宋体" w:eastAsia="宋体" w:cs="宋体"/>
          <w:b/>
          <w:color w:val="auto"/>
          <w:sz w:val="24"/>
          <w:szCs w:val="24"/>
          <w:highlight w:val="none"/>
        </w:rPr>
        <w:t>资格文件</w:t>
      </w:r>
      <w:r>
        <w:rPr>
          <w:rFonts w:hint="eastAsia" w:ascii="宋体" w:hAnsi="宋体" w:eastAsia="宋体" w:cs="宋体"/>
          <w:color w:val="auto"/>
          <w:sz w:val="24"/>
          <w:szCs w:val="24"/>
          <w:highlight w:val="none"/>
        </w:rPr>
        <w:t>：</w:t>
      </w:r>
    </w:p>
    <w:p>
      <w:pPr>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11.1.1符合参加政府采购活动应当具备的一般条件的承诺函；</w:t>
      </w:r>
    </w:p>
    <w:p>
      <w:pPr>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11.1.2落实政府采购政策需满足的资格要求；</w:t>
      </w:r>
    </w:p>
    <w:p>
      <w:pPr>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11.1.3本项目的特定资格要求。</w:t>
      </w:r>
    </w:p>
    <w:p>
      <w:pPr>
        <w:pageBreakBefore w:val="0"/>
        <w:kinsoku/>
        <w:wordWrap/>
        <w:overflowPunct/>
        <w:topLinePunct w:val="0"/>
        <w:bidi w:val="0"/>
        <w:snapToGrid w:val="0"/>
        <w:spacing w:beforeAutospacing="0" w:line="360" w:lineRule="auto"/>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11.</w:t>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CN"/>
        </w:rPr>
        <w:t xml:space="preserve">  </w:t>
      </w:r>
      <w:r>
        <w:rPr>
          <w:rFonts w:hint="eastAsia" w:ascii="宋体" w:hAnsi="宋体" w:eastAsia="宋体" w:cs="宋体"/>
          <w:color w:val="auto"/>
          <w:sz w:val="24"/>
          <w:szCs w:val="24"/>
          <w:highlight w:val="none"/>
        </w:rPr>
        <w:t>商务技术</w:t>
      </w:r>
      <w:r>
        <w:rPr>
          <w:rFonts w:hint="eastAsia" w:ascii="宋体" w:hAnsi="宋体" w:eastAsia="宋体" w:cs="宋体"/>
          <w:color w:val="auto"/>
          <w:sz w:val="24"/>
          <w:szCs w:val="24"/>
          <w:highlight w:val="none"/>
          <w:lang w:val="zh-CN"/>
        </w:rPr>
        <w:t>文件：</w:t>
      </w:r>
    </w:p>
    <w:p>
      <w:pPr>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11.2.1</w:t>
      </w:r>
      <w:r>
        <w:rPr>
          <w:rFonts w:hint="eastAsia" w:ascii="宋体" w:hAnsi="宋体" w:eastAsia="宋体" w:cs="宋体"/>
          <w:color w:val="auto"/>
          <w:sz w:val="24"/>
          <w:szCs w:val="24"/>
          <w:highlight w:val="none"/>
          <w:lang w:val="en-US" w:eastAsia="zh-CN"/>
        </w:rPr>
        <w:t>投标响应</w:t>
      </w:r>
      <w:r>
        <w:rPr>
          <w:rFonts w:hint="eastAsia" w:ascii="宋体" w:hAnsi="宋体" w:eastAsia="宋体" w:cs="宋体"/>
          <w:color w:val="auto"/>
          <w:sz w:val="24"/>
          <w:szCs w:val="24"/>
          <w:highlight w:val="none"/>
        </w:rPr>
        <w:t>函；</w:t>
      </w:r>
      <w:r>
        <w:rPr>
          <w:rFonts w:hint="eastAsia" w:ascii="宋体" w:hAnsi="宋体" w:eastAsia="宋体" w:cs="宋体"/>
          <w:color w:val="auto"/>
          <w:sz w:val="24"/>
          <w:szCs w:val="24"/>
          <w:highlight w:val="none"/>
          <w:lang w:val="zh-CN"/>
        </w:rPr>
        <w:t xml:space="preserve"> </w:t>
      </w:r>
    </w:p>
    <w:p>
      <w:pPr>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11.2.2授权委托书或法定代表人（单位负责人、自然人本人）身份证明；</w:t>
      </w:r>
    </w:p>
    <w:p>
      <w:pPr>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符合性审查资料；</w:t>
      </w:r>
    </w:p>
    <w:p>
      <w:pPr>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标准相应的商务技术资料；</w:t>
      </w:r>
    </w:p>
    <w:p>
      <w:pPr>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商务技术偏离表；</w:t>
      </w:r>
    </w:p>
    <w:p>
      <w:pPr>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11.</w:t>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val="zh-CN"/>
        </w:rPr>
        <w:t>政府采购供应商廉洁自律承诺书；</w:t>
      </w:r>
    </w:p>
    <w:p>
      <w:pPr>
        <w:pageBreakBefore w:val="0"/>
        <w:kinsoku/>
        <w:wordWrap/>
        <w:overflowPunct/>
        <w:topLinePunct w:val="0"/>
        <w:bidi w:val="0"/>
        <w:snapToGrid w:val="0"/>
        <w:spacing w:beforeAutospacing="0" w:line="360" w:lineRule="auto"/>
        <w:ind w:firstLine="480" w:firstLineChars="200"/>
        <w:textAlignment w:val="auto"/>
        <w:rPr>
          <w:rFonts w:hint="eastAsia" w:ascii="宋体" w:hAnsi="宋体" w:eastAsia="宋体" w:cs="宋体"/>
          <w:color w:val="auto"/>
          <w:sz w:val="24"/>
          <w:szCs w:val="24"/>
          <w:highlight w:val="none"/>
          <w:u w:val="single"/>
          <w:lang w:val="zh-CN"/>
        </w:rPr>
      </w:pPr>
      <w:r>
        <w:rPr>
          <w:rFonts w:hint="eastAsia" w:ascii="宋体" w:hAnsi="宋体" w:eastAsia="宋体" w:cs="宋体"/>
          <w:color w:val="auto"/>
          <w:kern w:val="0"/>
          <w:sz w:val="24"/>
          <w:szCs w:val="24"/>
          <w:highlight w:val="none"/>
          <w:lang w:val="zh-CN"/>
        </w:rPr>
        <w:t>11.</w:t>
      </w:r>
      <w:r>
        <w:rPr>
          <w:rFonts w:hint="eastAsia" w:ascii="宋体" w:hAnsi="宋体" w:eastAsia="宋体" w:cs="宋体"/>
          <w:color w:val="auto"/>
          <w:kern w:val="0"/>
          <w:sz w:val="24"/>
          <w:szCs w:val="24"/>
          <w:highlight w:val="none"/>
        </w:rPr>
        <w:t>3</w:t>
      </w:r>
      <w:r>
        <w:rPr>
          <w:rFonts w:hint="eastAsia" w:ascii="宋体" w:hAnsi="宋体" w:eastAsia="宋体" w:cs="宋体"/>
          <w:b/>
          <w:color w:val="auto"/>
          <w:sz w:val="24"/>
          <w:szCs w:val="24"/>
          <w:highlight w:val="none"/>
        </w:rPr>
        <w:t>报价文件：</w:t>
      </w:r>
      <w:r>
        <w:rPr>
          <w:rFonts w:hint="eastAsia" w:ascii="宋体" w:hAnsi="宋体" w:eastAsia="宋体" w:cs="宋体"/>
          <w:color w:val="auto"/>
          <w:sz w:val="24"/>
          <w:szCs w:val="24"/>
          <w:highlight w:val="none"/>
        </w:rPr>
        <w:t xml:space="preserve"> </w:t>
      </w:r>
    </w:p>
    <w:p>
      <w:pPr>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11.3.1开标一览表（报价表）；</w:t>
      </w:r>
    </w:p>
    <w:p>
      <w:pPr>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11.3.2中小企业声明函。</w:t>
      </w:r>
    </w:p>
    <w:p>
      <w:pPr>
        <w:pageBreakBefore w:val="0"/>
        <w:kinsoku/>
        <w:wordWrap/>
        <w:overflowPunct/>
        <w:topLinePunct w:val="0"/>
        <w:bidi w:val="0"/>
        <w:spacing w:beforeAutospacing="0" w:line="360" w:lineRule="auto"/>
        <w:ind w:firstLine="723" w:firstLineChars="3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投标人提供虚假材料投标的，投标无效。</w:t>
      </w:r>
    </w:p>
    <w:p>
      <w:pPr>
        <w:pStyle w:val="24"/>
        <w:pageBreakBefore w:val="0"/>
        <w:kinsoku/>
        <w:wordWrap/>
        <w:overflowPunct/>
        <w:topLinePunct w:val="0"/>
        <w:bidi w:val="0"/>
        <w:snapToGrid w:val="0"/>
        <w:spacing w:before="0" w:beforeAutospacing="0"/>
        <w:ind w:firstLine="0" w:firstLineChars="0"/>
        <w:textAlignment w:val="auto"/>
        <w:outlineLvl w:val="0"/>
        <w:rPr>
          <w:rFonts w:hint="eastAsia" w:ascii="宋体" w:hAnsi="宋体" w:eastAsia="宋体" w:cs="宋体"/>
          <w:b/>
          <w:color w:val="auto"/>
          <w:sz w:val="24"/>
          <w:szCs w:val="24"/>
          <w:highlight w:val="none"/>
        </w:rPr>
      </w:pPr>
      <w:bookmarkStart w:id="27" w:name="_Toc22496"/>
      <w:r>
        <w:rPr>
          <w:rFonts w:hint="eastAsia" w:ascii="宋体" w:hAnsi="宋体" w:eastAsia="宋体" w:cs="宋体"/>
          <w:b/>
          <w:color w:val="auto"/>
          <w:sz w:val="24"/>
          <w:szCs w:val="24"/>
          <w:highlight w:val="none"/>
        </w:rPr>
        <w:t>12</w:t>
      </w:r>
      <w:r>
        <w:rPr>
          <w:rFonts w:hint="eastAsia" w:ascii="宋体" w:hAnsi="宋体" w:eastAsia="宋体" w:cs="宋体"/>
          <w:b/>
          <w:color w:val="auto"/>
          <w:kern w:val="0"/>
          <w:sz w:val="24"/>
          <w:szCs w:val="24"/>
          <w:highlight w:val="none"/>
          <w:lang w:val="zh-CN"/>
        </w:rPr>
        <w:t xml:space="preserve">. </w:t>
      </w:r>
      <w:r>
        <w:rPr>
          <w:rFonts w:hint="eastAsia" w:ascii="宋体" w:hAnsi="宋体" w:eastAsia="宋体" w:cs="宋体"/>
          <w:b/>
          <w:color w:val="auto"/>
          <w:sz w:val="24"/>
          <w:szCs w:val="24"/>
          <w:highlight w:val="none"/>
        </w:rPr>
        <w:t>投标文件的编制</w:t>
      </w:r>
      <w:bookmarkEnd w:id="27"/>
    </w:p>
    <w:p>
      <w:pPr>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12.3使用“政采云电子交易客户端”需要提前申领CA数字证书，申领流程请自行前往“浙江政府采购网-下载专区-电子交易客户端-CA驱动和申领流程”进行查阅。</w:t>
      </w:r>
    </w:p>
    <w:p>
      <w:pPr>
        <w:pageBreakBefore w:val="0"/>
        <w:kinsoku/>
        <w:wordWrap/>
        <w:overflowPunct/>
        <w:topLinePunct w:val="0"/>
        <w:bidi w:val="0"/>
        <w:snapToGrid w:val="0"/>
        <w:spacing w:beforeAutospacing="0" w:line="36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13.投标文件的签署、盖章</w:t>
      </w:r>
    </w:p>
    <w:p>
      <w:pPr>
        <w:pStyle w:val="24"/>
        <w:pageBreakBefore w:val="0"/>
        <w:kinsoku/>
        <w:wordWrap/>
        <w:overflowPunct/>
        <w:topLinePunct w:val="0"/>
        <w:bidi w:val="0"/>
        <w:snapToGrid w:val="0"/>
        <w:spacing w:before="0" w:beforeAutospacing="0"/>
        <w:ind w:firstLine="48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13.1投标文件按照招标文件第六部分格式要求进行签署、盖章。</w:t>
      </w:r>
      <w:r>
        <w:rPr>
          <w:rFonts w:hint="eastAsia" w:ascii="宋体" w:hAnsi="宋体" w:eastAsia="宋体" w:cs="宋体"/>
          <w:b/>
          <w:color w:val="auto"/>
          <w:sz w:val="24"/>
          <w:szCs w:val="24"/>
          <w:highlight w:val="none"/>
        </w:rPr>
        <w:t>▲投标人的投标文件未按照招标文件要求签署、盖章的，其投标无效</w:t>
      </w:r>
      <w:r>
        <w:rPr>
          <w:rFonts w:hint="eastAsia" w:ascii="宋体" w:hAnsi="宋体" w:eastAsia="宋体" w:cs="宋体"/>
          <w:color w:val="auto"/>
          <w:sz w:val="24"/>
          <w:szCs w:val="24"/>
          <w:highlight w:val="none"/>
        </w:rPr>
        <w:t>。</w:t>
      </w:r>
    </w:p>
    <w:p>
      <w:pPr>
        <w:pStyle w:val="24"/>
        <w:pageBreakBefore w:val="0"/>
        <w:kinsoku/>
        <w:wordWrap/>
        <w:overflowPunct/>
        <w:topLinePunct w:val="0"/>
        <w:bidi w:val="0"/>
        <w:snapToGrid w:val="0"/>
        <w:spacing w:before="0" w:beforeAutospacing="0"/>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13.2为确保网上操作合法、有效和安全，投标人应当在投标截止时间前完成在“政府采购云平台”的身份认证，确保在电子投标过程中能够对相关数据电文进行加密和使用电子签名。</w:t>
      </w:r>
    </w:p>
    <w:p>
      <w:pPr>
        <w:pStyle w:val="24"/>
        <w:pageBreakBefore w:val="0"/>
        <w:kinsoku/>
        <w:wordWrap/>
        <w:overflowPunct/>
        <w:topLinePunct w:val="0"/>
        <w:bidi w:val="0"/>
        <w:snapToGrid w:val="0"/>
        <w:spacing w:before="0" w:beforeAutospacing="0"/>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13.3招标文件对投标文件签署、盖章的要求适用于电子签名。</w:t>
      </w:r>
    </w:p>
    <w:p>
      <w:pPr>
        <w:pStyle w:val="24"/>
        <w:pageBreakBefore w:val="0"/>
        <w:kinsoku/>
        <w:wordWrap/>
        <w:overflowPunct/>
        <w:topLinePunct w:val="0"/>
        <w:bidi w:val="0"/>
        <w:spacing w:before="0" w:beforeAutospacing="0"/>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14. 投标文件的提交、补充、修改、撤回</w:t>
      </w:r>
    </w:p>
    <w:p>
      <w:pPr>
        <w:pStyle w:val="24"/>
        <w:pageBreakBefore w:val="0"/>
        <w:kinsoku/>
        <w:wordWrap/>
        <w:overflowPunct/>
        <w:topLinePunct w:val="0"/>
        <w:bidi w:val="0"/>
        <w:spacing w:before="0" w:beforeAutospacing="0"/>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4"/>
        <w:pageBreakBefore w:val="0"/>
        <w:kinsoku/>
        <w:wordWrap/>
        <w:overflowPunct/>
        <w:topLinePunct w:val="0"/>
        <w:bidi w:val="0"/>
        <w:spacing w:before="0" w:beforeAutospacing="0"/>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24"/>
        <w:pageBreakBefore w:val="0"/>
        <w:kinsoku/>
        <w:wordWrap/>
        <w:overflowPunct/>
        <w:topLinePunct w:val="0"/>
        <w:bidi w:val="0"/>
        <w:spacing w:before="0" w:beforeAutospacing="0"/>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9"/>
        <w:pageBreakBefore w:val="0"/>
        <w:kinsoku/>
        <w:wordWrap/>
        <w:overflowPunct/>
        <w:topLinePunct w:val="0"/>
        <w:bidi w:val="0"/>
        <w:spacing w:beforeAutospacing="0" w:line="36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15.备份投标文件</w:t>
      </w:r>
    </w:p>
    <w:p>
      <w:pPr>
        <w:pStyle w:val="9"/>
        <w:pageBreakBefore w:val="0"/>
        <w:kinsoku/>
        <w:wordWrap/>
        <w:overflowPunct/>
        <w:topLinePunct w:val="0"/>
        <w:bidi w:val="0"/>
        <w:spacing w:beforeAutospacing="0" w:line="360" w:lineRule="auto"/>
        <w:ind w:firstLine="360" w:firstLineChars="15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15.1投标人在电子交易平台传输递交投标文件后，还可以在投标截止时间前通过邮箱chinazhongzhe@163.com递交备份投标文件1份。</w:t>
      </w:r>
      <w:r>
        <w:rPr>
          <w:rFonts w:hint="eastAsia" w:ascii="宋体" w:hAnsi="宋体" w:eastAsia="宋体" w:cs="宋体"/>
          <w:b/>
          <w:color w:val="auto"/>
          <w:sz w:val="24"/>
          <w:szCs w:val="24"/>
          <w:highlight w:val="none"/>
        </w:rPr>
        <w:t>但采购人、采购机构不强制或变相强制投标人提交备份投标文件。</w:t>
      </w:r>
    </w:p>
    <w:p>
      <w:pPr>
        <w:pStyle w:val="9"/>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直接提交备份投标文件的，投标人应于投标截止时间前在招标公告中载明的开标地点将备份投标文件提交给采购机构，采购机构将拒绝接受逾期送达的备份投标文件。</w:t>
      </w:r>
    </w:p>
    <w:p>
      <w:pPr>
        <w:pStyle w:val="9"/>
        <w:pageBreakBefore w:val="0"/>
        <w:kinsoku/>
        <w:wordWrap/>
        <w:overflowPunct/>
        <w:topLinePunct w:val="0"/>
        <w:bidi w:val="0"/>
        <w:spacing w:beforeAutospacing="0" w:line="360" w:lineRule="auto"/>
        <w:ind w:firstLine="479" w:firstLine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w:t>
      </w:r>
      <w:r>
        <w:rPr>
          <w:rFonts w:hint="eastAsia" w:ascii="宋体" w:hAnsi="宋体" w:eastAsia="宋体" w:cs="宋体"/>
          <w:b/>
          <w:color w:val="auto"/>
          <w:sz w:val="24"/>
          <w:szCs w:val="24"/>
          <w:highlight w:val="none"/>
          <w:lang w:val="en-US" w:eastAsia="zh-CN"/>
        </w:rPr>
        <w:t>3</w:t>
      </w:r>
      <w:r>
        <w:rPr>
          <w:rFonts w:hint="eastAsia" w:ascii="宋体" w:hAnsi="宋体" w:eastAsia="宋体" w:cs="宋体"/>
          <w:b/>
          <w:color w:val="auto"/>
          <w:sz w:val="24"/>
          <w:szCs w:val="24"/>
          <w:highlight w:val="none"/>
        </w:rPr>
        <w:t>投标人仅提交备份投标文件，没有在电子交易平台传输递交投标文件的，投标无效。</w:t>
      </w:r>
    </w:p>
    <w:p>
      <w:pPr>
        <w:pStyle w:val="24"/>
        <w:pageBreakBefore w:val="0"/>
        <w:kinsoku/>
        <w:wordWrap/>
        <w:overflowPunct/>
        <w:topLinePunct w:val="0"/>
        <w:bidi w:val="0"/>
        <w:spacing w:before="0" w:beforeAutospacing="0"/>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16.投标文件的无效处理</w:t>
      </w:r>
    </w:p>
    <w:p>
      <w:pPr>
        <w:pStyle w:val="8"/>
        <w:pageBreakBefore w:val="0"/>
        <w:kinsoku/>
        <w:wordWrap/>
        <w:overflowPunct/>
        <w:topLinePunct w:val="0"/>
        <w:bidi w:val="0"/>
        <w:spacing w:beforeAutospacing="0" w:line="360" w:lineRule="auto"/>
        <w:ind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有招标文件</w:t>
      </w:r>
      <w:r>
        <w:rPr>
          <w:rFonts w:hint="eastAsia" w:ascii="宋体" w:hAnsi="宋体" w:eastAsia="宋体" w:cs="宋体"/>
          <w:b/>
          <w:color w:val="auto"/>
          <w:kern w:val="0"/>
          <w:sz w:val="24"/>
          <w:szCs w:val="24"/>
          <w:highlight w:val="none"/>
        </w:rPr>
        <w:t>4.2</w:t>
      </w:r>
      <w:r>
        <w:rPr>
          <w:rFonts w:hint="eastAsia" w:ascii="宋体" w:hAnsi="宋体" w:eastAsia="宋体" w:cs="宋体"/>
          <w:b/>
          <w:color w:val="auto"/>
          <w:kern w:val="0"/>
          <w:sz w:val="24"/>
          <w:szCs w:val="24"/>
          <w:highlight w:val="none"/>
          <w:lang w:val="en-US" w:eastAsia="zh-CN"/>
        </w:rPr>
        <w:t>投标</w:t>
      </w:r>
      <w:r>
        <w:rPr>
          <w:rFonts w:hint="eastAsia" w:ascii="宋体" w:hAnsi="宋体" w:eastAsia="宋体" w:cs="宋体"/>
          <w:b/>
          <w:color w:val="auto"/>
          <w:kern w:val="0"/>
          <w:sz w:val="24"/>
          <w:szCs w:val="24"/>
          <w:highlight w:val="none"/>
          <w:lang w:eastAsia="zh-CN"/>
        </w:rPr>
        <w:t>响应无效</w:t>
      </w:r>
      <w:r>
        <w:rPr>
          <w:rFonts w:hint="eastAsia" w:ascii="宋体" w:hAnsi="宋体" w:eastAsia="宋体" w:cs="宋体"/>
          <w:color w:val="auto"/>
          <w:sz w:val="24"/>
          <w:szCs w:val="24"/>
          <w:highlight w:val="none"/>
        </w:rPr>
        <w:t>规定的情形之一的，投标无效：</w:t>
      </w:r>
    </w:p>
    <w:p>
      <w:pPr>
        <w:pStyle w:val="24"/>
        <w:pageBreakBefore w:val="0"/>
        <w:kinsoku/>
        <w:wordWrap/>
        <w:overflowPunct/>
        <w:topLinePunct w:val="0"/>
        <w:bidi w:val="0"/>
        <w:spacing w:before="0" w:beforeAutospacing="0"/>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17.投标有效期</w:t>
      </w:r>
    </w:p>
    <w:p>
      <w:pPr>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17.1</w:t>
      </w:r>
      <w:r>
        <w:rPr>
          <w:rFonts w:hint="eastAsia" w:ascii="宋体" w:hAnsi="宋体" w:eastAsia="宋体" w:cs="宋体"/>
          <w:b/>
          <w:bCs/>
          <w:color w:val="auto"/>
          <w:sz w:val="24"/>
          <w:szCs w:val="24"/>
          <w:highlight w:val="none"/>
        </w:rPr>
        <w:t>投标有效期为从提交投标文件的截止之日起90天</w:t>
      </w:r>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rPr>
        <w:t>投标人的投标文件中承诺的投标有效期少于招标文件中载明的投标有效期的，投标无效。</w:t>
      </w:r>
    </w:p>
    <w:p>
      <w:pPr>
        <w:pStyle w:val="24"/>
        <w:pageBreakBefore w:val="0"/>
        <w:kinsoku/>
        <w:wordWrap/>
        <w:overflowPunct/>
        <w:topLinePunct w:val="0"/>
        <w:bidi w:val="0"/>
        <w:spacing w:before="0" w:beforeAutospacing="0"/>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17.2投标文件合格投递后，自投标截止日期起，在投标有效期内有效。</w:t>
      </w:r>
    </w:p>
    <w:p>
      <w:pPr>
        <w:pStyle w:val="24"/>
        <w:pageBreakBefore w:val="0"/>
        <w:kinsoku/>
        <w:wordWrap/>
        <w:overflowPunct/>
        <w:topLinePunct w:val="0"/>
        <w:bidi w:val="0"/>
        <w:spacing w:before="0" w:beforeAutospacing="0"/>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24"/>
        <w:pageBreakBefore w:val="0"/>
        <w:kinsoku/>
        <w:wordWrap/>
        <w:overflowPunct/>
        <w:topLinePunct w:val="0"/>
        <w:bidi w:val="0"/>
        <w:spacing w:before="0" w:beforeAutospacing="0"/>
        <w:ind w:firstLine="643"/>
        <w:textAlignment w:val="auto"/>
        <w:rPr>
          <w:rFonts w:hint="eastAsia" w:ascii="宋体" w:hAnsi="宋体" w:eastAsia="宋体" w:cs="宋体"/>
          <w:b/>
          <w:color w:val="auto"/>
          <w:sz w:val="24"/>
          <w:szCs w:val="24"/>
          <w:highlight w:val="none"/>
        </w:rPr>
      </w:pPr>
    </w:p>
    <w:p>
      <w:pPr>
        <w:pStyle w:val="2"/>
        <w:bidi w:val="0"/>
        <w:jc w:val="center"/>
        <w:rPr>
          <w:rFonts w:hint="eastAsia" w:ascii="宋体" w:hAnsi="宋体" w:eastAsia="宋体" w:cs="宋体"/>
          <w:color w:val="auto"/>
          <w:sz w:val="32"/>
          <w:szCs w:val="32"/>
          <w:lang w:val="zh-CN" w:eastAsia="zh-CN"/>
        </w:rPr>
      </w:pPr>
      <w:bookmarkStart w:id="28" w:name="_Toc8514"/>
      <w:r>
        <w:rPr>
          <w:rFonts w:hint="eastAsia" w:ascii="宋体" w:hAnsi="宋体" w:eastAsia="宋体" w:cs="宋体"/>
          <w:color w:val="auto"/>
          <w:sz w:val="32"/>
          <w:szCs w:val="32"/>
          <w:lang w:val="zh-CN" w:eastAsia="zh-CN"/>
        </w:rPr>
        <w:t>四、开标、资格审查与信用信息查询</w:t>
      </w:r>
      <w:bookmarkEnd w:id="28"/>
    </w:p>
    <w:p>
      <w:pPr>
        <w:pStyle w:val="26"/>
        <w:pageBreakBefore w:val="0"/>
        <w:kinsoku/>
        <w:wordWrap/>
        <w:overflowPunct/>
        <w:topLinePunct w:val="0"/>
        <w:bidi w:val="0"/>
        <w:spacing w:before="0" w:beforeAutospacing="0" w:line="360" w:lineRule="auto"/>
        <w:ind w:left="0" w:firstLine="241" w:firstLineChars="100"/>
        <w:contextualSpacing/>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18.开标</w:t>
      </w:r>
      <w:r>
        <w:rPr>
          <w:rFonts w:hint="eastAsia" w:ascii="宋体" w:hAnsi="宋体" w:eastAsia="宋体" w:cs="宋体"/>
          <w:color w:val="auto"/>
          <w:sz w:val="24"/>
          <w:szCs w:val="24"/>
          <w:highlight w:val="none"/>
        </w:rPr>
        <w:t xml:space="preserve"> </w:t>
      </w:r>
    </w:p>
    <w:p>
      <w:pPr>
        <w:pStyle w:val="26"/>
        <w:pageBreakBefore w:val="0"/>
        <w:kinsoku/>
        <w:wordWrap/>
        <w:overflowPunct/>
        <w:topLinePunct w:val="0"/>
        <w:bidi w:val="0"/>
        <w:spacing w:before="0" w:beforeAutospacing="0" w:line="360" w:lineRule="auto"/>
        <w:ind w:left="0" w:firstLine="480" w:firstLineChars="2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18.1采购机构按照招标文件规定的时间通过电子交易平台组织开标，所有投标人均应当准时在线参加。投标人不足3家的，不得开标。</w:t>
      </w:r>
    </w:p>
    <w:p>
      <w:pPr>
        <w:pStyle w:val="26"/>
        <w:pageBreakBefore w:val="0"/>
        <w:kinsoku/>
        <w:wordWrap/>
        <w:overflowPunct/>
        <w:topLinePunct w:val="0"/>
        <w:bidi w:val="0"/>
        <w:spacing w:before="0" w:beforeAutospacing="0" w:line="360" w:lineRule="auto"/>
        <w:ind w:left="0" w:firstLine="240" w:firstLineChars="1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26"/>
        <w:pageBreakBefore w:val="0"/>
        <w:kinsoku/>
        <w:wordWrap/>
        <w:overflowPunct/>
        <w:topLinePunct w:val="0"/>
        <w:bidi w:val="0"/>
        <w:spacing w:before="0" w:beforeAutospacing="0" w:line="360" w:lineRule="auto"/>
        <w:ind w:left="0" w:firstLine="240" w:firstLineChars="100"/>
        <w:contextualSpacing/>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18.3</w:t>
      </w:r>
      <w:r>
        <w:rPr>
          <w:rFonts w:hint="eastAsia" w:ascii="宋体" w:hAnsi="宋体" w:eastAsia="宋体" w:cs="宋体"/>
          <w:b/>
          <w:color w:val="auto"/>
          <w:sz w:val="24"/>
          <w:szCs w:val="24"/>
          <w:highlight w:val="none"/>
        </w:rPr>
        <w:t>投标文件未按时解密，投标人提供了备份投标文件的，以备份投标文件作为依据，否则视为投标文件撤回。投标文件已按时解密的，备份投标文件自动失效。</w:t>
      </w:r>
    </w:p>
    <w:p>
      <w:pPr>
        <w:pageBreakBefore w:val="0"/>
        <w:widowControl/>
        <w:kinsoku/>
        <w:wordWrap/>
        <w:overflowPunct/>
        <w:topLinePunct w:val="0"/>
        <w:bidi w:val="0"/>
        <w:spacing w:beforeAutospacing="0" w:line="360" w:lineRule="auto"/>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19、资格审查</w:t>
      </w:r>
    </w:p>
    <w:p>
      <w:pPr>
        <w:pStyle w:val="24"/>
        <w:pageBreakBefore w:val="0"/>
        <w:kinsoku/>
        <w:wordWrap/>
        <w:overflowPunct/>
        <w:topLinePunct w:val="0"/>
        <w:bidi w:val="0"/>
        <w:spacing w:before="0" w:beforeAutospacing="0"/>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19.1开标后，采购人或采购机构将依法对投标人的资格进行审查。</w:t>
      </w:r>
    </w:p>
    <w:p>
      <w:pPr>
        <w:pageBreakBefore w:val="0"/>
        <w:kinsoku/>
        <w:wordWrap/>
        <w:overflowPunct/>
        <w:topLinePunct w:val="0"/>
        <w:bidi w:val="0"/>
        <w:snapToGrid w:val="0"/>
        <w:spacing w:beforeAutospacing="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19.2</w:t>
      </w:r>
      <w:r>
        <w:rPr>
          <w:rFonts w:hint="eastAsia" w:ascii="宋体" w:hAnsi="宋体" w:eastAsia="宋体" w:cs="宋体"/>
          <w:color w:val="auto"/>
          <w:sz w:val="24"/>
          <w:szCs w:val="24"/>
          <w:highlight w:val="none"/>
        </w:rPr>
        <w:t>采购人或采购机构依据法律法规和招标文件的规定，对投标人的基本资格条件、特定资格条件进行审查。</w:t>
      </w:r>
    </w:p>
    <w:p>
      <w:pPr>
        <w:pStyle w:val="24"/>
        <w:pageBreakBefore w:val="0"/>
        <w:kinsoku/>
        <w:wordWrap/>
        <w:overflowPunct/>
        <w:topLinePunct w:val="0"/>
        <w:bidi w:val="0"/>
        <w:spacing w:before="0" w:beforeAutospacing="0"/>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19.3投标人未按照招标文件要求提供与</w:t>
      </w:r>
      <w:r>
        <w:rPr>
          <w:rFonts w:hint="eastAsia" w:ascii="宋体" w:hAnsi="宋体" w:eastAsia="宋体" w:cs="宋体"/>
          <w:color w:val="auto"/>
          <w:sz w:val="24"/>
          <w:szCs w:val="24"/>
          <w:highlight w:val="none"/>
        </w:rPr>
        <w:t>基本资格条件、特定资格条件相应的</w:t>
      </w:r>
      <w:r>
        <w:rPr>
          <w:rFonts w:hint="eastAsia" w:ascii="宋体" w:hAnsi="宋体" w:eastAsia="宋体" w:cs="宋体"/>
          <w:color w:val="auto"/>
          <w:kern w:val="0"/>
          <w:sz w:val="24"/>
          <w:szCs w:val="24"/>
          <w:highlight w:val="none"/>
        </w:rPr>
        <w:t>有效资格证明材料的，视为</w:t>
      </w:r>
      <w:r>
        <w:rPr>
          <w:rFonts w:hint="eastAsia" w:ascii="宋体" w:hAnsi="宋体" w:eastAsia="宋体" w:cs="宋体"/>
          <w:color w:val="auto"/>
          <w:sz w:val="24"/>
          <w:szCs w:val="24"/>
          <w:highlight w:val="none"/>
        </w:rPr>
        <w:t>投标人不具备招标文件中规定的资格要求，其投标无效。</w:t>
      </w:r>
    </w:p>
    <w:p>
      <w:pPr>
        <w:pStyle w:val="24"/>
        <w:pageBreakBefore w:val="0"/>
        <w:kinsoku/>
        <w:wordWrap/>
        <w:overflowPunct/>
        <w:topLinePunct w:val="0"/>
        <w:bidi w:val="0"/>
        <w:spacing w:before="0" w:beforeAutospacing="0"/>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19.</w:t>
      </w:r>
      <w:r>
        <w:rPr>
          <w:rFonts w:hint="eastAsia" w:ascii="宋体" w:hAnsi="宋体" w:eastAsia="宋体" w:cs="宋体"/>
          <w:color w:val="auto"/>
          <w:sz w:val="24"/>
          <w:szCs w:val="24"/>
          <w:highlight w:val="none"/>
        </w:rPr>
        <w:t>4对未通过资格审查的投标人，采购人或采购机构告知其未通过的原因。</w:t>
      </w:r>
    </w:p>
    <w:p>
      <w:pPr>
        <w:pStyle w:val="24"/>
        <w:pageBreakBefore w:val="0"/>
        <w:kinsoku/>
        <w:wordWrap/>
        <w:overflowPunct/>
        <w:topLinePunct w:val="0"/>
        <w:bidi w:val="0"/>
        <w:spacing w:before="0" w:beforeAutospacing="0"/>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19.</w:t>
      </w:r>
      <w:r>
        <w:rPr>
          <w:rFonts w:hint="eastAsia" w:ascii="宋体" w:hAnsi="宋体" w:eastAsia="宋体" w:cs="宋体"/>
          <w:color w:val="auto"/>
          <w:sz w:val="24"/>
          <w:szCs w:val="24"/>
          <w:highlight w:val="none"/>
        </w:rPr>
        <w:t>5合格投标人不足3家的，不再评标。</w:t>
      </w:r>
    </w:p>
    <w:p>
      <w:pPr>
        <w:pStyle w:val="24"/>
        <w:pageBreakBefore w:val="0"/>
        <w:kinsoku/>
        <w:wordWrap/>
        <w:overflowPunct/>
        <w:topLinePunct w:val="0"/>
        <w:bidi w:val="0"/>
        <w:spacing w:before="0" w:beforeAutospacing="0"/>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20、信用信息查询</w:t>
      </w:r>
    </w:p>
    <w:p>
      <w:pPr>
        <w:pStyle w:val="24"/>
        <w:pageBreakBefore w:val="0"/>
        <w:kinsoku/>
        <w:wordWrap/>
        <w:overflowPunct/>
        <w:topLinePunct w:val="0"/>
        <w:bidi w:val="0"/>
        <w:spacing w:before="0" w:beforeAutospacing="0"/>
        <w:ind w:firstLine="495" w:firstLineChars="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20.1信用信息查询渠道及截止时间：采购机构将通过“信用中国”网站(www.creditchina.gov.cn)、中国政府采购网(www.ccgp.gov.cn)渠道查询投标人投标截止时间当天的信用记录。</w:t>
      </w:r>
    </w:p>
    <w:p>
      <w:pPr>
        <w:pStyle w:val="24"/>
        <w:pageBreakBefore w:val="0"/>
        <w:kinsoku/>
        <w:wordWrap/>
        <w:overflowPunct/>
        <w:topLinePunct w:val="0"/>
        <w:bidi w:val="0"/>
        <w:spacing w:before="0" w:beforeAutospacing="0"/>
        <w:ind w:firstLine="495" w:firstLineChars="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20.2信用信息查询记录和证据留存的具体方式：现场查询的投标人的信用记录、查询结果经确认后将与采购文件一起存档。</w:t>
      </w:r>
    </w:p>
    <w:p>
      <w:pPr>
        <w:pStyle w:val="24"/>
        <w:pageBreakBefore w:val="0"/>
        <w:kinsoku/>
        <w:wordWrap/>
        <w:overflowPunct/>
        <w:topLinePunct w:val="0"/>
        <w:bidi w:val="0"/>
        <w:spacing w:before="0" w:beforeAutospacing="0"/>
        <w:ind w:firstLine="495" w:firstLineChars="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20.3信用信息的使用规则：经查询列入失信被执行人名单、重大税收违法案件当事人名单、政府采购严重违法失信行为记录名单的投标人将被拒绝参与政府采购活动。</w:t>
      </w:r>
    </w:p>
    <w:p>
      <w:pPr>
        <w:pStyle w:val="24"/>
        <w:pageBreakBefore w:val="0"/>
        <w:kinsoku/>
        <w:wordWrap/>
        <w:overflowPunct/>
        <w:topLinePunct w:val="0"/>
        <w:bidi w:val="0"/>
        <w:spacing w:before="0" w:beforeAutospacing="0"/>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sz w:val="24"/>
          <w:szCs w:val="24"/>
          <w:highlight w:val="none"/>
        </w:rPr>
        <w:t>。</w:t>
      </w:r>
    </w:p>
    <w:p>
      <w:pPr>
        <w:pStyle w:val="24"/>
        <w:pageBreakBefore w:val="0"/>
        <w:kinsoku/>
        <w:wordWrap/>
        <w:overflowPunct/>
        <w:topLinePunct w:val="0"/>
        <w:bidi w:val="0"/>
        <w:spacing w:before="0" w:beforeAutospacing="0"/>
        <w:ind w:firstLine="0" w:firstLineChars="0"/>
        <w:textAlignment w:val="auto"/>
        <w:rPr>
          <w:rFonts w:hint="eastAsia" w:ascii="宋体" w:hAnsi="宋体" w:eastAsia="宋体" w:cs="宋体"/>
          <w:color w:val="auto"/>
          <w:kern w:val="0"/>
          <w:sz w:val="24"/>
          <w:szCs w:val="24"/>
          <w:highlight w:val="none"/>
        </w:rPr>
      </w:pPr>
    </w:p>
    <w:p>
      <w:pPr>
        <w:pStyle w:val="2"/>
        <w:bidi w:val="0"/>
        <w:jc w:val="center"/>
        <w:rPr>
          <w:rFonts w:hint="eastAsia" w:ascii="宋体" w:hAnsi="宋体" w:eastAsia="宋体" w:cs="宋体"/>
          <w:color w:val="auto"/>
          <w:sz w:val="32"/>
          <w:szCs w:val="32"/>
          <w:lang w:val="zh-CN" w:eastAsia="zh-CN"/>
        </w:rPr>
      </w:pPr>
      <w:bookmarkStart w:id="29" w:name="_Toc23164"/>
      <w:r>
        <w:rPr>
          <w:rFonts w:hint="eastAsia" w:ascii="宋体" w:hAnsi="宋体" w:eastAsia="宋体" w:cs="宋体"/>
          <w:color w:val="auto"/>
          <w:sz w:val="32"/>
          <w:szCs w:val="32"/>
          <w:lang w:val="zh-CN" w:eastAsia="zh-CN"/>
        </w:rPr>
        <w:t>五、评标</w:t>
      </w:r>
      <w:bookmarkEnd w:id="29"/>
    </w:p>
    <w:p>
      <w:pPr>
        <w:pageBreakBefore w:val="0"/>
        <w:kinsoku/>
        <w:wordWrap/>
        <w:overflowPunct/>
        <w:topLinePunct w:val="0"/>
        <w:bidi w:val="0"/>
        <w:spacing w:beforeAutospacing="0" w:line="360" w:lineRule="auto"/>
        <w:textAlignment w:val="auto"/>
        <w:rPr>
          <w:rFonts w:hint="eastAsia" w:ascii="宋体" w:hAnsi="宋体" w:eastAsia="宋体" w:cs="宋体"/>
          <w:b/>
          <w:color w:val="auto"/>
          <w:sz w:val="24"/>
          <w:szCs w:val="24"/>
          <w:highlight w:val="none"/>
        </w:rPr>
      </w:pPr>
      <w:bookmarkStart w:id="30" w:name="_Toc91899903"/>
      <w:r>
        <w:rPr>
          <w:rFonts w:hint="eastAsia" w:ascii="宋体" w:hAnsi="宋体" w:eastAsia="宋体" w:cs="宋体"/>
          <w:b/>
          <w:color w:val="auto"/>
          <w:sz w:val="24"/>
          <w:szCs w:val="24"/>
          <w:highlight w:val="none"/>
        </w:rPr>
        <w:t>21.</w:t>
      </w:r>
      <w:r>
        <w:rPr>
          <w:rFonts w:hint="eastAsia" w:ascii="宋体" w:hAnsi="宋体" w:eastAsia="宋体" w:cs="宋体"/>
          <w:color w:val="auto"/>
          <w:sz w:val="24"/>
          <w:szCs w:val="24"/>
          <w:highlight w:val="none"/>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color w:val="auto"/>
          <w:sz w:val="24"/>
          <w:szCs w:val="24"/>
          <w:highlight w:val="none"/>
        </w:rPr>
        <w:t>详见招标文件第四部分评标办法。</w:t>
      </w:r>
    </w:p>
    <w:p>
      <w:pPr>
        <w:pageBreakBefore w:val="0"/>
        <w:kinsoku/>
        <w:wordWrap/>
        <w:overflowPunct/>
        <w:topLinePunct w:val="0"/>
        <w:bidi w:val="0"/>
        <w:spacing w:beforeAutospacing="0" w:line="360" w:lineRule="auto"/>
        <w:textAlignment w:val="auto"/>
        <w:rPr>
          <w:rFonts w:hint="eastAsia" w:ascii="宋体" w:hAnsi="宋体" w:eastAsia="宋体" w:cs="宋体"/>
          <w:b/>
          <w:color w:val="auto"/>
          <w:sz w:val="24"/>
          <w:szCs w:val="24"/>
          <w:highlight w:val="none"/>
        </w:rPr>
      </w:pPr>
    </w:p>
    <w:p>
      <w:pPr>
        <w:pStyle w:val="2"/>
        <w:bidi w:val="0"/>
        <w:jc w:val="center"/>
        <w:rPr>
          <w:rFonts w:hint="eastAsia" w:ascii="宋体" w:hAnsi="宋体" w:eastAsia="宋体" w:cs="宋体"/>
          <w:color w:val="auto"/>
          <w:sz w:val="32"/>
          <w:szCs w:val="32"/>
          <w:lang w:val="zh-CN" w:eastAsia="zh-CN"/>
        </w:rPr>
      </w:pPr>
      <w:bookmarkStart w:id="31" w:name="_Toc29018"/>
      <w:r>
        <w:rPr>
          <w:rFonts w:hint="eastAsia" w:ascii="宋体" w:hAnsi="宋体" w:eastAsia="宋体" w:cs="宋体"/>
          <w:color w:val="auto"/>
          <w:sz w:val="32"/>
          <w:szCs w:val="32"/>
          <w:lang w:val="zh-CN" w:eastAsia="zh-CN"/>
        </w:rPr>
        <w:t>六、定 标</w:t>
      </w:r>
      <w:bookmarkEnd w:id="31"/>
    </w:p>
    <w:p>
      <w:pPr>
        <w:pStyle w:val="8"/>
        <w:pageBreakBefore w:val="0"/>
        <w:kinsoku/>
        <w:wordWrap/>
        <w:overflowPunct/>
        <w:topLinePunct w:val="0"/>
        <w:bidi w:val="0"/>
        <w:spacing w:beforeAutospacing="0" w:line="360" w:lineRule="auto"/>
        <w:ind w:left="479" w:hanging="479" w:hanging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22. 确定中标供应商</w:t>
      </w:r>
    </w:p>
    <w:p>
      <w:pPr>
        <w:pStyle w:val="24"/>
        <w:pageBreakBefore w:val="0"/>
        <w:kinsoku/>
        <w:wordWrap/>
        <w:overflowPunct/>
        <w:topLinePunct w:val="0"/>
        <w:bidi w:val="0"/>
        <w:snapToGrid w:val="0"/>
        <w:spacing w:before="0" w:beforeAutospacing="0"/>
        <w:ind w:firstLine="48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采购人将自收到评审报告之日起5个工作日内通过电子交易平台在评审报告推荐的中标候选人中按顺序确定中标供应商。</w:t>
      </w:r>
    </w:p>
    <w:p>
      <w:pPr>
        <w:pStyle w:val="24"/>
        <w:pageBreakBefore w:val="0"/>
        <w:kinsoku/>
        <w:wordWrap/>
        <w:overflowPunct/>
        <w:topLinePunct w:val="0"/>
        <w:bidi w:val="0"/>
        <w:snapToGrid w:val="0"/>
        <w:spacing w:before="0" w:beforeAutospacing="0"/>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23. 中标通知与中标结果公告</w:t>
      </w:r>
    </w:p>
    <w:p>
      <w:pPr>
        <w:pageBreakBefore w:val="0"/>
        <w:widowControl/>
        <w:shd w:val="clear" w:color="auto" w:fill="FFFFFF"/>
        <w:kinsoku/>
        <w:wordWrap/>
        <w:overflowPunct/>
        <w:topLinePunct w:val="0"/>
        <w:bidi w:val="0"/>
        <w:spacing w:beforeAutospacing="0" w:line="360"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23.1自中标人确定之日起2个工作日内，采购机构通过电子交易平台向中标人发出中标通知书，同时编制发布采购结果公告。采购机构也可以以纸质形式进行中标通知。</w:t>
      </w:r>
    </w:p>
    <w:p>
      <w:pPr>
        <w:pageBreakBefore w:val="0"/>
        <w:widowControl/>
        <w:shd w:val="clear" w:color="auto" w:fill="FFFFFF"/>
        <w:kinsoku/>
        <w:wordWrap/>
        <w:overflowPunct/>
        <w:topLinePunct w:val="0"/>
        <w:bidi w:val="0"/>
        <w:spacing w:beforeAutospacing="0" w:line="360"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pageBreakBefore w:val="0"/>
        <w:widowControl/>
        <w:shd w:val="clear" w:color="auto" w:fill="FFFFFF"/>
        <w:kinsoku/>
        <w:wordWrap/>
        <w:overflowPunct/>
        <w:topLinePunct w:val="0"/>
        <w:bidi w:val="0"/>
        <w:spacing w:beforeAutospacing="0" w:line="360"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23.3公告期限为1个工作日。</w:t>
      </w:r>
    </w:p>
    <w:p>
      <w:pPr>
        <w:pageBreakBefore w:val="0"/>
        <w:widowControl/>
        <w:shd w:val="clear" w:color="auto" w:fill="FFFFFF"/>
        <w:kinsoku/>
        <w:wordWrap/>
        <w:overflowPunct/>
        <w:topLinePunct w:val="0"/>
        <w:bidi w:val="0"/>
        <w:spacing w:beforeAutospacing="0" w:line="360" w:lineRule="auto"/>
        <w:ind w:firstLine="480"/>
        <w:jc w:val="left"/>
        <w:textAlignment w:val="auto"/>
        <w:rPr>
          <w:rFonts w:hint="eastAsia" w:ascii="宋体" w:hAnsi="宋体" w:eastAsia="宋体" w:cs="宋体"/>
          <w:color w:val="auto"/>
          <w:sz w:val="24"/>
          <w:szCs w:val="24"/>
          <w:highlight w:val="none"/>
          <w:lang w:val="zh-CN" w:eastAsia="zh-CN"/>
        </w:rPr>
      </w:pPr>
    </w:p>
    <w:p>
      <w:pPr>
        <w:pStyle w:val="2"/>
        <w:bidi w:val="0"/>
        <w:jc w:val="center"/>
        <w:rPr>
          <w:rFonts w:hint="eastAsia" w:ascii="宋体" w:hAnsi="宋体" w:eastAsia="宋体" w:cs="宋体"/>
          <w:color w:val="auto"/>
          <w:sz w:val="32"/>
          <w:szCs w:val="32"/>
          <w:lang w:val="zh-CN" w:eastAsia="zh-CN"/>
        </w:rPr>
      </w:pPr>
      <w:bookmarkStart w:id="32" w:name="_Toc7433"/>
      <w:r>
        <w:rPr>
          <w:rFonts w:hint="eastAsia" w:ascii="宋体" w:hAnsi="宋体" w:eastAsia="宋体" w:cs="宋体"/>
          <w:color w:val="auto"/>
          <w:sz w:val="32"/>
          <w:szCs w:val="32"/>
          <w:lang w:val="zh-CN" w:eastAsia="zh-CN"/>
        </w:rPr>
        <w:t>七、合同授予</w:t>
      </w:r>
      <w:bookmarkEnd w:id="32"/>
    </w:p>
    <w:p>
      <w:pPr>
        <w:pStyle w:val="8"/>
        <w:pageBreakBefore w:val="0"/>
        <w:kinsoku/>
        <w:wordWrap/>
        <w:overflowPunct/>
        <w:topLinePunct w:val="0"/>
        <w:bidi w:val="0"/>
        <w:spacing w:beforeAutospacing="0" w:line="360" w:lineRule="auto"/>
        <w:ind w:left="479" w:hanging="479" w:hanging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24. </w:t>
      </w:r>
      <w:r>
        <w:rPr>
          <w:rFonts w:hint="eastAsia" w:ascii="宋体" w:hAnsi="宋体" w:eastAsia="宋体" w:cs="宋体"/>
          <w:color w:val="auto"/>
          <w:sz w:val="24"/>
          <w:szCs w:val="24"/>
          <w:highlight w:val="none"/>
        </w:rPr>
        <w:t>合同主要条款详见第五部分拟签订的合同文本。</w:t>
      </w:r>
    </w:p>
    <w:p>
      <w:pPr>
        <w:pStyle w:val="8"/>
        <w:pageBreakBefore w:val="0"/>
        <w:kinsoku/>
        <w:wordWrap/>
        <w:overflowPunct/>
        <w:topLinePunct w:val="0"/>
        <w:bidi w:val="0"/>
        <w:spacing w:beforeAutospacing="0" w:line="360" w:lineRule="auto"/>
        <w:ind w:left="479" w:hanging="479" w:hanging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25. 合同的签订</w:t>
      </w:r>
    </w:p>
    <w:p>
      <w:pPr>
        <w:pageBreakBefore w:val="0"/>
        <w:widowControl/>
        <w:shd w:val="clear" w:color="auto" w:fill="FFFFFF"/>
        <w:kinsoku/>
        <w:wordWrap/>
        <w:overflowPunct/>
        <w:topLinePunct w:val="0"/>
        <w:bidi w:val="0"/>
        <w:spacing w:beforeAutospacing="0" w:line="360" w:lineRule="auto"/>
        <w:ind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25.1</w:t>
      </w:r>
      <w:r>
        <w:rPr>
          <w:rFonts w:hint="eastAsia" w:ascii="宋体" w:hAnsi="宋体" w:eastAsia="宋体" w:cs="宋体"/>
          <w:color w:val="auto"/>
          <w:kern w:val="0"/>
          <w:sz w:val="24"/>
          <w:szCs w:val="24"/>
          <w:highlight w:val="none"/>
        </w:rPr>
        <w:t xml:space="preserve"> 采购人与中标人应当通过电子交易平台在中标通知书发出之日起三十日内，按照招标文件确定的事项签订政府采购合同，并在合同签订之日起2个工作日内依法发布合同公告。</w:t>
      </w:r>
    </w:p>
    <w:p>
      <w:pPr>
        <w:pStyle w:val="24"/>
        <w:pageBreakBefore w:val="0"/>
        <w:kinsoku/>
        <w:wordWrap/>
        <w:overflowPunct/>
        <w:topLinePunct w:val="0"/>
        <w:bidi w:val="0"/>
        <w:snapToGrid w:val="0"/>
        <w:spacing w:before="0" w:beforeAutospacing="0"/>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24"/>
        <w:pageBreakBefore w:val="0"/>
        <w:kinsoku/>
        <w:wordWrap/>
        <w:overflowPunct/>
        <w:topLinePunct w:val="0"/>
        <w:bidi w:val="0"/>
        <w:snapToGrid w:val="0"/>
        <w:spacing w:before="0" w:beforeAutospacing="0"/>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25.3如签订合同并生效后，供应商无故拒绝或延期，除按照合同条款处理外，列入不良行为记录一次，并给予通报。</w:t>
      </w:r>
    </w:p>
    <w:p>
      <w:pPr>
        <w:pStyle w:val="24"/>
        <w:pageBreakBefore w:val="0"/>
        <w:kinsoku/>
        <w:wordWrap/>
        <w:overflowPunct/>
        <w:topLinePunct w:val="0"/>
        <w:bidi w:val="0"/>
        <w:snapToGrid w:val="0"/>
        <w:spacing w:before="0" w:beforeAutospacing="0"/>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25.4中标供应商拒绝与采购人签订合同的，采购人可以按照评审报告推荐的中标或者成交候选人名单排序，确定下一候选人为中标供应商，也可以重新开展政府采购活动。</w:t>
      </w:r>
    </w:p>
    <w:p>
      <w:pPr>
        <w:pStyle w:val="24"/>
        <w:pageBreakBefore w:val="0"/>
        <w:kinsoku/>
        <w:wordWrap/>
        <w:overflowPunct/>
        <w:topLinePunct w:val="0"/>
        <w:bidi w:val="0"/>
        <w:snapToGrid w:val="0"/>
        <w:spacing w:before="0" w:beforeAutospacing="0"/>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25.5采购合同由采购人与中标供应商根据招标文件、投标文件等内容通过政府采购电子交易平台在线签订，自动备案。</w:t>
      </w:r>
    </w:p>
    <w:p>
      <w:pPr>
        <w:pStyle w:val="8"/>
        <w:pageBreakBefore w:val="0"/>
        <w:kinsoku/>
        <w:wordWrap/>
        <w:overflowPunct/>
        <w:topLinePunct w:val="0"/>
        <w:bidi w:val="0"/>
        <w:spacing w:beforeAutospacing="0" w:line="360" w:lineRule="auto"/>
        <w:ind w:left="479" w:hanging="479" w:hanging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26. 履约保证金</w:t>
      </w:r>
    </w:p>
    <w:p>
      <w:pPr>
        <w:pageBreakBefore w:val="0"/>
        <w:tabs>
          <w:tab w:val="left" w:pos="0"/>
        </w:tabs>
        <w:kinsoku/>
        <w:wordWrap/>
        <w:overflowPunct/>
        <w:topLinePunct w:val="0"/>
        <w:bidi w:val="0"/>
        <w:spacing w:beforeAutospacing="0" w:line="360" w:lineRule="auto"/>
        <w:ind w:firstLine="482"/>
        <w:textAlignment w:val="auto"/>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拟签订的合同文本要求中标供应商提交履约保证金的，供应商应当以支票、汇票、本票或者金融机构、担保机构出具的保函等非现金形式提交</w:t>
      </w:r>
      <w:r>
        <w:rPr>
          <w:rFonts w:hint="eastAsia" w:ascii="宋体" w:hAnsi="宋体" w:eastAsia="宋体" w:cs="宋体"/>
          <w:color w:val="auto"/>
          <w:sz w:val="24"/>
          <w:szCs w:val="24"/>
          <w:highlight w:val="none"/>
        </w:rPr>
        <w:t>。履约保证金的数额不得超过政府采购合同金额的</w:t>
      </w:r>
      <w:r>
        <w:rPr>
          <w:rFonts w:hint="eastAsia" w:ascii="宋体" w:hAnsi="宋体" w:eastAsia="宋体" w:cs="宋体"/>
          <w:color w:val="auto"/>
          <w:sz w:val="24"/>
          <w:szCs w:val="24"/>
          <w:highlight w:val="none"/>
          <w:lang w:val="en-US" w:eastAsia="zh-CN"/>
        </w:rPr>
        <w:t>2.5</w:t>
      </w:r>
      <w:r>
        <w:rPr>
          <w:rFonts w:hint="eastAsia" w:ascii="宋体" w:hAnsi="宋体" w:eastAsia="宋体" w:cs="宋体"/>
          <w:color w:val="auto"/>
          <w:sz w:val="24"/>
          <w:szCs w:val="24"/>
          <w:highlight w:val="none"/>
        </w:rPr>
        <w:t>%。鼓励和支持供应商以银行、保险公司出具的保函形式提供履约保证金。</w:t>
      </w:r>
      <w:r>
        <w:rPr>
          <w:rFonts w:hint="eastAsia" w:ascii="宋体" w:hAnsi="宋体" w:eastAsia="宋体" w:cs="宋体"/>
          <w:b/>
          <w:color w:val="auto"/>
          <w:sz w:val="24"/>
          <w:szCs w:val="24"/>
          <w:highlight w:val="none"/>
        </w:rPr>
        <w:t>采购人不得拒收履约保函。</w:t>
      </w:r>
    </w:p>
    <w:p>
      <w:pPr>
        <w:pageBreakBefore w:val="0"/>
        <w:tabs>
          <w:tab w:val="left" w:pos="0"/>
        </w:tabs>
        <w:kinsoku/>
        <w:wordWrap/>
        <w:overflowPunct/>
        <w:topLinePunct w:val="0"/>
        <w:bidi w:val="0"/>
        <w:spacing w:beforeAutospacing="0" w:line="360" w:lineRule="auto"/>
        <w:ind w:firstLine="480"/>
        <w:textAlignment w:val="auto"/>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供应商</w:t>
      </w:r>
      <w:r>
        <w:rPr>
          <w:rFonts w:hint="eastAsia" w:ascii="宋体" w:hAnsi="宋体" w:eastAsia="宋体" w:cs="宋体"/>
          <w:color w:val="auto"/>
          <w:kern w:val="0"/>
          <w:sz w:val="24"/>
          <w:szCs w:val="24"/>
          <w:highlight w:val="none"/>
          <w:lang w:val="en-US"/>
        </w:rPr>
        <w:t>可</w:t>
      </w:r>
      <w:r>
        <w:rPr>
          <w:rFonts w:hint="eastAsia" w:ascii="宋体" w:hAnsi="宋体" w:eastAsia="宋体" w:cs="宋体"/>
          <w:color w:val="auto"/>
          <w:kern w:val="0"/>
          <w:sz w:val="24"/>
          <w:szCs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ageBreakBefore w:val="0"/>
        <w:kinsoku/>
        <w:wordWrap/>
        <w:overflowPunct/>
        <w:topLinePunct w:val="0"/>
        <w:bidi w:val="0"/>
        <w:snapToGrid w:val="0"/>
        <w:spacing w:beforeAutospacing="0" w:line="360" w:lineRule="auto"/>
        <w:ind w:firstLine="2518" w:firstLineChars="1045"/>
        <w:textAlignment w:val="auto"/>
        <w:rPr>
          <w:rFonts w:hint="eastAsia" w:ascii="宋体" w:hAnsi="宋体" w:eastAsia="宋体" w:cs="宋体"/>
          <w:b/>
          <w:color w:val="auto"/>
          <w:sz w:val="24"/>
          <w:szCs w:val="24"/>
          <w:highlight w:val="none"/>
        </w:rPr>
      </w:pPr>
    </w:p>
    <w:p>
      <w:pPr>
        <w:pStyle w:val="2"/>
        <w:bidi w:val="0"/>
        <w:jc w:val="center"/>
        <w:rPr>
          <w:rFonts w:hint="eastAsia" w:ascii="宋体" w:hAnsi="宋体" w:eastAsia="宋体" w:cs="宋体"/>
          <w:color w:val="auto"/>
          <w:sz w:val="32"/>
          <w:szCs w:val="32"/>
          <w:lang w:val="zh-CN" w:eastAsia="zh-CN"/>
        </w:rPr>
      </w:pPr>
      <w:bookmarkStart w:id="33" w:name="_Toc24917"/>
      <w:r>
        <w:rPr>
          <w:rFonts w:hint="eastAsia" w:ascii="宋体" w:hAnsi="宋体" w:eastAsia="宋体" w:cs="宋体"/>
          <w:color w:val="auto"/>
          <w:sz w:val="32"/>
          <w:szCs w:val="32"/>
          <w:lang w:val="zh-CN" w:eastAsia="zh-CN"/>
        </w:rPr>
        <w:t>八、电子交易活动的中止</w:t>
      </w:r>
      <w:bookmarkEnd w:id="33"/>
    </w:p>
    <w:p>
      <w:pPr>
        <w:pStyle w:val="24"/>
        <w:pageBreakBefore w:val="0"/>
        <w:kinsoku/>
        <w:wordWrap/>
        <w:overflowPunct/>
        <w:topLinePunct w:val="0"/>
        <w:bidi w:val="0"/>
        <w:snapToGrid w:val="0"/>
        <w:spacing w:before="0" w:beforeAutospacing="0"/>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b/>
          <w:color w:val="auto"/>
          <w:sz w:val="24"/>
          <w:szCs w:val="24"/>
          <w:highlight w:val="none"/>
        </w:rPr>
        <w:t>7. 电子交易活动的中止。</w:t>
      </w:r>
      <w:r>
        <w:rPr>
          <w:rFonts w:hint="eastAsia" w:ascii="宋体" w:hAnsi="宋体" w:eastAsia="宋体" w:cs="宋体"/>
          <w:color w:val="auto"/>
          <w:sz w:val="24"/>
          <w:szCs w:val="24"/>
          <w:highlight w:val="none"/>
        </w:rPr>
        <w:t>采购过程中出现以下情形，导致电子交易平台无法正常运行，或者无法保证电子交易的公平、公正和安全时，采购机构可中止电子交易活动：</w:t>
      </w:r>
    </w:p>
    <w:p>
      <w:pPr>
        <w:pStyle w:val="24"/>
        <w:pageBreakBefore w:val="0"/>
        <w:kinsoku/>
        <w:wordWrap/>
        <w:overflowPunct/>
        <w:topLinePunct w:val="0"/>
        <w:bidi w:val="0"/>
        <w:snapToGrid w:val="0"/>
        <w:spacing w:before="0" w:beforeAutospacing="0"/>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27.1电子交易平台发生故障而无法登录访问的； </w:t>
      </w:r>
    </w:p>
    <w:p>
      <w:pPr>
        <w:pStyle w:val="24"/>
        <w:pageBreakBefore w:val="0"/>
        <w:kinsoku/>
        <w:wordWrap/>
        <w:overflowPunct/>
        <w:topLinePunct w:val="0"/>
        <w:bidi w:val="0"/>
        <w:snapToGrid w:val="0"/>
        <w:spacing w:before="0" w:beforeAutospacing="0"/>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27.2电子交易平台应用或数据库出现错误，不能进行正常操作的；</w:t>
      </w:r>
    </w:p>
    <w:p>
      <w:pPr>
        <w:pStyle w:val="24"/>
        <w:pageBreakBefore w:val="0"/>
        <w:kinsoku/>
        <w:wordWrap/>
        <w:overflowPunct/>
        <w:topLinePunct w:val="0"/>
        <w:bidi w:val="0"/>
        <w:snapToGrid w:val="0"/>
        <w:spacing w:before="0" w:beforeAutospacing="0"/>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27.3电子交易平台发现严重安全漏洞，有潜在泄密危险的；</w:t>
      </w:r>
    </w:p>
    <w:p>
      <w:pPr>
        <w:pStyle w:val="24"/>
        <w:pageBreakBefore w:val="0"/>
        <w:kinsoku/>
        <w:wordWrap/>
        <w:overflowPunct/>
        <w:topLinePunct w:val="0"/>
        <w:bidi w:val="0"/>
        <w:snapToGrid w:val="0"/>
        <w:spacing w:before="0" w:beforeAutospacing="0"/>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27.4病毒发作导致不能进行正常操作的； </w:t>
      </w:r>
    </w:p>
    <w:p>
      <w:pPr>
        <w:pStyle w:val="24"/>
        <w:pageBreakBefore w:val="0"/>
        <w:kinsoku/>
        <w:wordWrap/>
        <w:overflowPunct/>
        <w:topLinePunct w:val="0"/>
        <w:bidi w:val="0"/>
        <w:snapToGrid w:val="0"/>
        <w:spacing w:before="0" w:beforeAutospacing="0"/>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27.5其他无法保证电子交易的公平、公正和安全的情况。</w:t>
      </w:r>
    </w:p>
    <w:p>
      <w:pPr>
        <w:pStyle w:val="24"/>
        <w:pageBreakBefore w:val="0"/>
        <w:kinsoku/>
        <w:wordWrap/>
        <w:overflowPunct/>
        <w:topLinePunct w:val="0"/>
        <w:bidi w:val="0"/>
        <w:snapToGrid w:val="0"/>
        <w:spacing w:before="0" w:beforeAutospacing="0"/>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28.出现以上情形，不影响采购公平、公正性的，采购组织机构可以待上述情形消除后继续组织电子交易活动，也可以决定某些环节以纸质形式进行；影响或可能影响采购公平、公正性的，应当重新采购。</w:t>
      </w:r>
    </w:p>
    <w:p>
      <w:pPr>
        <w:pageBreakBefore w:val="0"/>
        <w:tabs>
          <w:tab w:val="left" w:pos="0"/>
        </w:tabs>
        <w:kinsoku/>
        <w:wordWrap/>
        <w:overflowPunct/>
        <w:topLinePunct w:val="0"/>
        <w:bidi w:val="0"/>
        <w:spacing w:beforeAutospacing="0" w:line="360" w:lineRule="auto"/>
        <w:ind w:firstLine="480"/>
        <w:textAlignment w:val="auto"/>
        <w:rPr>
          <w:rFonts w:hint="eastAsia" w:ascii="宋体" w:hAnsi="宋体" w:eastAsia="宋体" w:cs="宋体"/>
          <w:color w:val="auto"/>
          <w:sz w:val="24"/>
          <w:szCs w:val="24"/>
          <w:highlight w:val="none"/>
        </w:rPr>
      </w:pPr>
    </w:p>
    <w:p>
      <w:pPr>
        <w:pStyle w:val="2"/>
        <w:bidi w:val="0"/>
        <w:jc w:val="center"/>
        <w:rPr>
          <w:rFonts w:hint="eastAsia" w:ascii="宋体" w:hAnsi="宋体" w:eastAsia="宋体" w:cs="宋体"/>
          <w:color w:val="auto"/>
          <w:sz w:val="32"/>
          <w:szCs w:val="32"/>
          <w:lang w:val="zh-CN" w:eastAsia="zh-CN"/>
        </w:rPr>
      </w:pPr>
      <w:bookmarkStart w:id="34" w:name="_Toc13787"/>
      <w:r>
        <w:rPr>
          <w:rFonts w:hint="eastAsia" w:ascii="宋体" w:hAnsi="宋体" w:eastAsia="宋体" w:cs="宋体"/>
          <w:color w:val="auto"/>
          <w:sz w:val="32"/>
          <w:szCs w:val="32"/>
          <w:lang w:val="zh-CN" w:eastAsia="zh-CN"/>
        </w:rPr>
        <w:t>九、验收</w:t>
      </w:r>
      <w:bookmarkEnd w:id="34"/>
    </w:p>
    <w:p>
      <w:pPr>
        <w:pStyle w:val="8"/>
        <w:pageBreakBefore w:val="0"/>
        <w:kinsoku/>
        <w:wordWrap/>
        <w:overflowPunct/>
        <w:topLinePunct w:val="0"/>
        <w:bidi w:val="0"/>
        <w:spacing w:beforeAutospacing="0" w:line="360" w:lineRule="auto"/>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29.验收</w:t>
      </w:r>
    </w:p>
    <w:p>
      <w:pPr>
        <w:pageBreakBefore w:val="0"/>
        <w:tabs>
          <w:tab w:val="left" w:pos="0"/>
        </w:tabs>
        <w:kinsoku/>
        <w:wordWrap/>
        <w:overflowPunct/>
        <w:topLinePunct w:val="0"/>
        <w:bidi w:val="0"/>
        <w:spacing w:beforeAutospacing="0" w:line="360" w:lineRule="auto"/>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pageBreakBefore w:val="0"/>
        <w:tabs>
          <w:tab w:val="left" w:pos="0"/>
        </w:tabs>
        <w:kinsoku/>
        <w:wordWrap/>
        <w:overflowPunct/>
        <w:topLinePunct w:val="0"/>
        <w:bidi w:val="0"/>
        <w:spacing w:beforeAutospacing="0" w:line="360" w:lineRule="auto"/>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29.2采购人可以邀请参加本项目的其他投标人或者第三方机构参与验收。参与验收的投标人或者第三方机构的意见作为验收书的参考资料一并存档。</w:t>
      </w:r>
    </w:p>
    <w:p>
      <w:pPr>
        <w:pageBreakBefore w:val="0"/>
        <w:tabs>
          <w:tab w:val="left" w:pos="0"/>
        </w:tabs>
        <w:kinsoku/>
        <w:wordWrap/>
        <w:overflowPunct/>
        <w:topLinePunct w:val="0"/>
        <w:bidi w:val="0"/>
        <w:spacing w:beforeAutospacing="0" w:line="360" w:lineRule="auto"/>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pageBreakBefore w:val="0"/>
        <w:tabs>
          <w:tab w:val="left" w:pos="0"/>
        </w:tabs>
        <w:kinsoku/>
        <w:wordWrap/>
        <w:overflowPunct/>
        <w:topLinePunct w:val="0"/>
        <w:bidi w:val="0"/>
        <w:spacing w:beforeAutospacing="0"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30"/>
    <w:p>
      <w:pPr>
        <w:tabs>
          <w:tab w:val="left" w:pos="0"/>
        </w:tabs>
        <w:spacing w:line="360" w:lineRule="auto"/>
        <w:ind w:firstLine="480"/>
        <w:rPr>
          <w:rFonts w:hint="eastAsia" w:ascii="宋体" w:hAnsi="宋体" w:eastAsia="宋体" w:cs="宋体"/>
          <w:color w:val="auto"/>
          <w:kern w:val="0"/>
          <w:sz w:val="24"/>
          <w:highlight w:val="none"/>
        </w:rPr>
        <w:sectPr>
          <w:pgSz w:w="11906" w:h="16838"/>
          <w:pgMar w:top="1474" w:right="1587" w:bottom="1474" w:left="1587" w:header="851" w:footer="992" w:gutter="0"/>
          <w:pgBorders>
            <w:top w:val="none" w:sz="0" w:space="0"/>
            <w:left w:val="none" w:sz="0" w:space="0"/>
            <w:bottom w:val="none" w:sz="0" w:space="0"/>
            <w:right w:val="none" w:sz="0" w:space="0"/>
          </w:pgBorders>
          <w:cols w:space="0" w:num="1"/>
          <w:rtlGutter w:val="0"/>
          <w:docGrid w:linePitch="312" w:charSpace="0"/>
        </w:sectPr>
      </w:pPr>
      <w:bookmarkStart w:id="35" w:name="_Hlt74730295"/>
      <w:bookmarkEnd w:id="35"/>
      <w:bookmarkStart w:id="36" w:name="_Hlt68073093"/>
      <w:bookmarkEnd w:id="36"/>
      <w:bookmarkStart w:id="37" w:name="_Hlt75236101"/>
      <w:bookmarkEnd w:id="37"/>
      <w:bookmarkStart w:id="38" w:name="_Hlt74729768"/>
      <w:bookmarkEnd w:id="38"/>
      <w:bookmarkStart w:id="39" w:name="_Hlt75236011"/>
      <w:bookmarkEnd w:id="39"/>
      <w:bookmarkStart w:id="40" w:name="_Hlt68057669"/>
      <w:bookmarkEnd w:id="40"/>
      <w:bookmarkStart w:id="41" w:name="_Hlt75236290"/>
      <w:bookmarkEnd w:id="41"/>
      <w:bookmarkStart w:id="42" w:name="_Hlt74707468"/>
      <w:bookmarkEnd w:id="42"/>
      <w:bookmarkStart w:id="43" w:name="_Hlt68072990"/>
      <w:bookmarkEnd w:id="43"/>
      <w:bookmarkStart w:id="44" w:name="_Hlt68403820"/>
      <w:bookmarkEnd w:id="44"/>
      <w:bookmarkStart w:id="45" w:name="_Hlt68072998"/>
      <w:bookmarkEnd w:id="45"/>
      <w:bookmarkStart w:id="46" w:name="_Hlt74714665"/>
      <w:bookmarkEnd w:id="46"/>
    </w:p>
    <w:bookmarkEnd w:id="20"/>
    <w:bookmarkEnd w:id="21"/>
    <w:p>
      <w:pPr>
        <w:spacing w:line="360" w:lineRule="auto"/>
        <w:jc w:val="center"/>
        <w:outlineLvl w:val="0"/>
        <w:rPr>
          <w:rFonts w:hint="eastAsia" w:ascii="宋体" w:hAnsi="宋体" w:eastAsia="宋体" w:cs="宋体"/>
          <w:b/>
          <w:color w:val="auto"/>
          <w:sz w:val="36"/>
          <w:szCs w:val="36"/>
          <w:highlight w:val="none"/>
        </w:rPr>
      </w:pPr>
      <w:bookmarkStart w:id="47" w:name="_Toc11704"/>
      <w:bookmarkStart w:id="48" w:name="第四部分"/>
      <w:r>
        <w:rPr>
          <w:rFonts w:hint="eastAsia" w:ascii="宋体" w:hAnsi="宋体" w:eastAsia="宋体" w:cs="宋体"/>
          <w:b/>
          <w:color w:val="auto"/>
          <w:sz w:val="36"/>
          <w:szCs w:val="36"/>
          <w:highlight w:val="none"/>
        </w:rPr>
        <w:t>第三部分   采购需求</w:t>
      </w:r>
      <w:bookmarkEnd w:id="47"/>
    </w:p>
    <w:p>
      <w:pPr>
        <w:pStyle w:val="2"/>
        <w:pageBreakBefore w:val="0"/>
        <w:widowControl w:val="0"/>
        <w:numPr>
          <w:ilvl w:val="0"/>
          <w:numId w:val="0"/>
        </w:numPr>
        <w:kinsoku/>
        <w:wordWrap/>
        <w:overflowPunct/>
        <w:topLinePunct w:val="0"/>
        <w:autoSpaceDE/>
        <w:autoSpaceDN/>
        <w:bidi w:val="0"/>
        <w:snapToGrid w:val="0"/>
        <w:spacing w:before="0" w:line="360" w:lineRule="auto"/>
        <w:rPr>
          <w:rFonts w:hint="eastAsia" w:ascii="宋体" w:hAnsi="宋体" w:eastAsia="宋体" w:cs="宋体"/>
          <w:color w:val="auto"/>
          <w:sz w:val="24"/>
          <w:szCs w:val="24"/>
          <w:highlight w:val="none"/>
          <w:lang w:val="en-US" w:eastAsia="zh-CN"/>
        </w:rPr>
      </w:pPr>
      <w:bookmarkStart w:id="49" w:name="_Toc11269"/>
      <w:bookmarkStart w:id="50" w:name="_Toc15190"/>
      <w:bookmarkStart w:id="51" w:name="_Toc488941194"/>
      <w:bookmarkStart w:id="52" w:name="_Toc10772"/>
      <w:bookmarkStart w:id="53" w:name="_Toc12453"/>
      <w:bookmarkStart w:id="54" w:name="_Toc6337"/>
      <w:bookmarkStart w:id="55" w:name="_Toc465800109"/>
      <w:bookmarkStart w:id="56" w:name="_Toc332471280"/>
      <w:r>
        <w:rPr>
          <w:rFonts w:hint="eastAsia" w:ascii="宋体" w:hAnsi="宋体" w:eastAsia="宋体" w:cs="宋体"/>
          <w:color w:val="auto"/>
          <w:sz w:val="24"/>
          <w:szCs w:val="24"/>
          <w:highlight w:val="none"/>
          <w:lang w:val="en-US" w:eastAsia="zh-CN" w:bidi="ar"/>
        </w:rPr>
        <w:t>一、</w:t>
      </w:r>
      <w:bookmarkEnd w:id="49"/>
      <w:bookmarkEnd w:id="50"/>
      <w:bookmarkEnd w:id="51"/>
      <w:bookmarkEnd w:id="52"/>
      <w:bookmarkEnd w:id="53"/>
      <w:r>
        <w:rPr>
          <w:rFonts w:hint="eastAsia" w:ascii="宋体" w:hAnsi="宋体" w:eastAsia="宋体" w:cs="宋体"/>
          <w:color w:val="auto"/>
          <w:sz w:val="24"/>
          <w:szCs w:val="24"/>
          <w:highlight w:val="none"/>
          <w:lang w:val="en-US" w:eastAsia="zh-CN"/>
        </w:rPr>
        <w:t>项目背景</w:t>
      </w:r>
      <w:bookmarkEnd w:id="54"/>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2019年1月，国务院办公厅发布《关于加强三级公立医院绩效考核工作的意见》（国办发〔2019〕4号），明确了三级公立医院需要坚持公益性，调动积极性，保障可持续性，从医疗质量、运营效率、持续发展与满意度评价四大标尺下的55+1个指标考核三级公立医院，充分发挥绩效国考“指挥棒”作用，引导三级公立医院持续落实功能定位。</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2020年12月，国家卫健委与中医药局发布《关于加强公立医院运营管理的指导意见》（国卫财务发〔2020〕27号），明确了公立医院推动核心业务工作与与运营管理工作深度融合，通过完善管理制度、再造业务流程、优化资源配置、强化分析评价等管理手段，将运营管理转化为价值创造，要立足全局制订年度运营管理计划，动员全员参与运营活动各环节，统筹全部需求，有效配置各类资源，要加强临床、医技、医辅等业务科室运营指导，强化教学、科研、预防、后勤服务等的制度管理和成本控制。</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2021年6月4日，《国务院办公厅关于推动公立医院高质量发展的意见》（国办发〔2021〕18号）重磅发布，明确了十四五公立医院发展的新内涵，体现了提质增效的强导向。意见明确指出，公立医院要强化体系创新、技术创新、模式创新、管理创新。力争通过5年努力，公立医院发展方式从规模扩张转向提质增效，运行模式从粗放管理转向精细化管理，资源配置从注重物质要素转向更加注重人才技术要素，为更好提供优质高效医疗卫生服务、防范化解重大疫情和突发公共卫生风险、建设健康中国提供有力支撑。</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嘉兴市第一医院为了抓住十四五发展机遇，在高质量发展与绩效国考的变革之间，找出自身发展的策略对标，落实公立医院运营管理导向与要求。亟需在十四五开局做好全院发展的顶层设计，为日后绩效改革与运营管理做好充分准备，以促进各医疗业务科室的个性化飞速发展。</w:t>
      </w:r>
    </w:p>
    <w:p>
      <w:pPr>
        <w:pStyle w:val="7"/>
        <w:pageBreakBefore w:val="0"/>
        <w:widowControl w:val="0"/>
        <w:kinsoku/>
        <w:wordWrap/>
        <w:overflowPunct/>
        <w:topLinePunct w:val="0"/>
        <w:autoSpaceDE/>
        <w:autoSpaceDN/>
        <w:bidi w:val="0"/>
        <w:spacing w:after="0" w:line="360" w:lineRule="auto"/>
        <w:ind w:left="0" w:leftChars="0" w:firstLine="0" w:firstLineChars="0"/>
        <w:rPr>
          <w:rFonts w:hint="eastAsia" w:ascii="宋体" w:hAnsi="宋体" w:eastAsia="宋体" w:cs="宋体"/>
          <w:color w:val="auto"/>
          <w:sz w:val="24"/>
          <w:szCs w:val="24"/>
          <w:highlight w:val="none"/>
          <w:lang w:val="en-US" w:eastAsia="zh-CN"/>
        </w:rPr>
      </w:pPr>
    </w:p>
    <w:p>
      <w:pPr>
        <w:pStyle w:val="2"/>
        <w:pageBreakBefore w:val="0"/>
        <w:widowControl w:val="0"/>
        <w:numPr>
          <w:ilvl w:val="0"/>
          <w:numId w:val="0"/>
        </w:numPr>
        <w:kinsoku/>
        <w:wordWrap/>
        <w:overflowPunct/>
        <w:topLinePunct w:val="0"/>
        <w:autoSpaceDE/>
        <w:autoSpaceDN/>
        <w:bidi w:val="0"/>
        <w:snapToGrid w:val="0"/>
        <w:spacing w:before="0" w:line="360" w:lineRule="auto"/>
        <w:rPr>
          <w:rFonts w:hint="eastAsia" w:ascii="宋体" w:hAnsi="宋体" w:eastAsia="宋体" w:cs="宋体"/>
          <w:color w:val="auto"/>
          <w:sz w:val="24"/>
          <w:szCs w:val="24"/>
          <w:highlight w:val="none"/>
          <w:lang w:val="en-US" w:eastAsia="zh-CN" w:bidi="ar"/>
        </w:rPr>
      </w:pPr>
      <w:bookmarkStart w:id="57" w:name="_Toc1783"/>
      <w:r>
        <w:rPr>
          <w:rFonts w:hint="eastAsia" w:ascii="宋体" w:hAnsi="宋体" w:eastAsia="宋体" w:cs="宋体"/>
          <w:color w:val="auto"/>
          <w:sz w:val="24"/>
          <w:szCs w:val="24"/>
          <w:highlight w:val="none"/>
          <w:lang w:val="en-US" w:eastAsia="zh-CN" w:bidi="ar"/>
        </w:rPr>
        <w:t>▲二、招标内容</w:t>
      </w:r>
      <w:bookmarkEnd w:id="57"/>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嘉兴市第一医院高质量发展咨询辅导服务，</w:t>
      </w:r>
      <w:r>
        <w:rPr>
          <w:rFonts w:hint="eastAsia" w:ascii="宋体" w:hAnsi="宋体" w:eastAsia="宋体" w:cs="宋体"/>
          <w:color w:val="auto"/>
          <w:sz w:val="24"/>
          <w:szCs w:val="24"/>
          <w:highlight w:val="none"/>
          <w:lang w:val="en-US" w:eastAsia="zh-CN"/>
        </w:rPr>
        <w:t>具体内容包括</w:t>
      </w:r>
      <w:r>
        <w:rPr>
          <w:rFonts w:hint="eastAsia" w:ascii="宋体" w:hAnsi="宋体" w:eastAsia="宋体" w:cs="宋体"/>
          <w:color w:val="auto"/>
          <w:sz w:val="24"/>
          <w:szCs w:val="24"/>
          <w:highlight w:val="none"/>
          <w:lang w:eastAsia="zh-CN"/>
        </w:rPr>
        <w:t>医院经营情况与科室运营全数据分析、医院业务科室发展诉求深度调研、</w:t>
      </w:r>
      <w:r>
        <w:rPr>
          <w:rFonts w:hint="eastAsia" w:ascii="宋体" w:hAnsi="宋体" w:eastAsia="宋体" w:cs="宋体"/>
          <w:color w:val="auto"/>
          <w:sz w:val="24"/>
          <w:szCs w:val="24"/>
          <w:highlight w:val="none"/>
          <w:lang w:val="en-US" w:eastAsia="zh-CN"/>
        </w:rPr>
        <w:t>医院</w:t>
      </w:r>
      <w:r>
        <w:rPr>
          <w:rFonts w:hint="eastAsia" w:ascii="宋体" w:hAnsi="宋体" w:eastAsia="宋体" w:cs="宋体"/>
          <w:color w:val="auto"/>
          <w:sz w:val="24"/>
          <w:szCs w:val="24"/>
          <w:highlight w:val="none"/>
          <w:lang w:eastAsia="zh-CN"/>
        </w:rPr>
        <w:t>战略定位规划与十四五顶层设计、</w:t>
      </w:r>
      <w:r>
        <w:rPr>
          <w:rFonts w:hint="eastAsia" w:ascii="宋体" w:hAnsi="宋体" w:eastAsia="宋体" w:cs="宋体"/>
          <w:color w:val="auto"/>
          <w:sz w:val="24"/>
          <w:szCs w:val="24"/>
          <w:highlight w:val="none"/>
          <w:lang w:val="en-US" w:eastAsia="zh-CN"/>
        </w:rPr>
        <w:t>医</w:t>
      </w:r>
      <w:r>
        <w:rPr>
          <w:rFonts w:hint="eastAsia" w:ascii="宋体" w:hAnsi="宋体" w:eastAsia="宋体" w:cs="宋体"/>
          <w:color w:val="auto"/>
          <w:sz w:val="24"/>
          <w:szCs w:val="24"/>
          <w:highlight w:val="none"/>
          <w:lang w:eastAsia="zh-CN"/>
        </w:rPr>
        <w:t>院十四五发展战略定位宣贯、专科运营辅导、管理骨干和运营管理干事培训、国家</w:t>
      </w:r>
      <w:r>
        <w:rPr>
          <w:rFonts w:hint="eastAsia" w:ascii="宋体" w:hAnsi="宋体" w:eastAsia="宋体" w:cs="宋体"/>
          <w:color w:val="auto"/>
          <w:sz w:val="24"/>
          <w:szCs w:val="24"/>
          <w:highlight w:val="none"/>
          <w:lang w:val="en-US" w:eastAsia="zh-CN"/>
        </w:rPr>
        <w:t>三级</w:t>
      </w:r>
      <w:r>
        <w:rPr>
          <w:rFonts w:hint="eastAsia" w:ascii="宋体" w:hAnsi="宋体" w:eastAsia="宋体" w:cs="宋体"/>
          <w:color w:val="auto"/>
          <w:sz w:val="24"/>
          <w:szCs w:val="24"/>
          <w:highlight w:val="none"/>
          <w:lang w:eastAsia="zh-CN"/>
        </w:rPr>
        <w:t>公立医院绩效考核对标分析及辅导。</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医院经营情况与科室运营全数据分析：</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lang w:eastAsia="zh-CN"/>
        </w:rPr>
        <w:t>收集区域卫生统计资讯与当地主要竞争者信息，进行外部环境分析；</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lang w:eastAsia="zh-CN"/>
        </w:rPr>
        <w:t>基于医院经营与各科室的业务运营全数据，进行全方面的内部分析。</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医院业务科室发展诉求深度调研：</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2.1</w:t>
      </w:r>
      <w:r>
        <w:rPr>
          <w:rFonts w:hint="eastAsia" w:ascii="宋体" w:hAnsi="宋体" w:eastAsia="宋体" w:cs="宋体"/>
          <w:color w:val="auto"/>
          <w:sz w:val="24"/>
          <w:szCs w:val="24"/>
          <w:highlight w:val="none"/>
          <w:lang w:eastAsia="zh-CN"/>
        </w:rPr>
        <w:t>专家至各医疗业务科室带头人个别访谈，深度对话，澄清疑义；</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2.2</w:t>
      </w:r>
      <w:r>
        <w:rPr>
          <w:rFonts w:hint="eastAsia" w:ascii="宋体" w:hAnsi="宋体" w:eastAsia="宋体" w:cs="宋体"/>
          <w:color w:val="auto"/>
          <w:sz w:val="24"/>
          <w:szCs w:val="24"/>
          <w:highlight w:val="none"/>
          <w:lang w:eastAsia="zh-CN"/>
        </w:rPr>
        <w:t>智库针对访谈意见分析与内部管理梳理矛盾。</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战略定位规划与十四五顶层设计：</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3.1</w:t>
      </w:r>
      <w:r>
        <w:rPr>
          <w:rFonts w:hint="eastAsia" w:ascii="宋体" w:hAnsi="宋体" w:eastAsia="宋体" w:cs="宋体"/>
          <w:color w:val="auto"/>
          <w:sz w:val="24"/>
          <w:szCs w:val="24"/>
          <w:highlight w:val="none"/>
          <w:lang w:eastAsia="zh-CN"/>
        </w:rPr>
        <w:t>医院领导班子访谈与调研意见反馈；</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3.2</w:t>
      </w:r>
      <w:r>
        <w:rPr>
          <w:rFonts w:hint="eastAsia" w:ascii="宋体" w:hAnsi="宋体" w:eastAsia="宋体" w:cs="宋体"/>
          <w:color w:val="auto"/>
          <w:sz w:val="24"/>
          <w:szCs w:val="24"/>
          <w:highlight w:val="none"/>
          <w:lang w:eastAsia="zh-CN"/>
        </w:rPr>
        <w:t>依据院领导发展思路、外部环境与科室发展完成嘉医战略定位规划；</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3.3</w:t>
      </w:r>
      <w:r>
        <w:rPr>
          <w:rFonts w:hint="eastAsia" w:ascii="宋体" w:hAnsi="宋体" w:eastAsia="宋体" w:cs="宋体"/>
          <w:color w:val="auto"/>
          <w:sz w:val="24"/>
          <w:szCs w:val="24"/>
          <w:highlight w:val="none"/>
          <w:lang w:eastAsia="zh-CN"/>
        </w:rPr>
        <w:t>基于战略定位、业务顶层规划，进一步提供嘉医的医院品牌定位建议。</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全院十四五发展战略定位宣贯：</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4.1</w:t>
      </w:r>
      <w:r>
        <w:rPr>
          <w:rFonts w:hint="eastAsia" w:ascii="宋体" w:hAnsi="宋体" w:eastAsia="宋体" w:cs="宋体"/>
          <w:color w:val="auto"/>
          <w:sz w:val="24"/>
          <w:szCs w:val="24"/>
          <w:highlight w:val="none"/>
          <w:lang w:eastAsia="zh-CN"/>
        </w:rPr>
        <w:t>协助筹备与召开全院的战略定位宣贯会议；</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4.2</w:t>
      </w:r>
      <w:r>
        <w:rPr>
          <w:rFonts w:hint="eastAsia" w:ascii="宋体" w:hAnsi="宋体" w:eastAsia="宋体" w:cs="宋体"/>
          <w:color w:val="auto"/>
          <w:sz w:val="24"/>
          <w:szCs w:val="24"/>
          <w:highlight w:val="none"/>
          <w:lang w:eastAsia="zh-CN"/>
        </w:rPr>
        <w:t>全院十四五发展战略定位宣贯。</w:t>
      </w:r>
    </w:p>
    <w:p>
      <w:pPr>
        <w:pageBreakBefore w:val="0"/>
        <w:widowControl w:val="0"/>
        <w:numPr>
          <w:ilvl w:val="0"/>
          <w:numId w:val="1"/>
        </w:numPr>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医院运行管理培训及辅导：</w:t>
      </w:r>
    </w:p>
    <w:p>
      <w:pPr>
        <w:pageBreakBefore w:val="0"/>
        <w:widowControl w:val="0"/>
        <w:numPr>
          <w:ilvl w:val="0"/>
          <w:numId w:val="0"/>
        </w:numPr>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5.1</w:t>
      </w:r>
      <w:r>
        <w:rPr>
          <w:rFonts w:hint="eastAsia" w:ascii="宋体" w:hAnsi="宋体" w:eastAsia="宋体" w:cs="宋体"/>
          <w:color w:val="auto"/>
          <w:sz w:val="24"/>
          <w:szCs w:val="24"/>
          <w:highlight w:val="none"/>
          <w:lang w:eastAsia="zh-CN"/>
        </w:rPr>
        <w:t>遴选试点科室辅导推动临床骨干学习与实现科室经营管理；</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5.2</w:t>
      </w:r>
      <w:r>
        <w:rPr>
          <w:rFonts w:hint="eastAsia" w:ascii="宋体" w:hAnsi="宋体" w:eastAsia="宋体" w:cs="宋体"/>
          <w:color w:val="auto"/>
          <w:sz w:val="24"/>
          <w:szCs w:val="24"/>
          <w:highlight w:val="none"/>
          <w:lang w:eastAsia="zh-CN"/>
        </w:rPr>
        <w:t>提供三级公立医院绩效考核对标研究与资源支持。</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提供</w:t>
      </w:r>
      <w:r>
        <w:rPr>
          <w:rFonts w:hint="eastAsia" w:ascii="宋体" w:hAnsi="宋体" w:eastAsia="宋体" w:cs="宋体"/>
          <w:color w:val="auto"/>
          <w:sz w:val="24"/>
          <w:szCs w:val="24"/>
          <w:highlight w:val="none"/>
          <w:lang w:val="en-US" w:eastAsia="zh-CN"/>
        </w:rPr>
        <w:t>国家</w:t>
      </w:r>
      <w:r>
        <w:rPr>
          <w:rFonts w:hint="eastAsia" w:ascii="宋体" w:hAnsi="宋体" w:eastAsia="宋体" w:cs="宋体"/>
          <w:color w:val="auto"/>
          <w:sz w:val="24"/>
          <w:szCs w:val="24"/>
          <w:highlight w:val="none"/>
          <w:lang w:eastAsia="zh-CN"/>
        </w:rPr>
        <w:t>三级公立医院绩效考核对标研究与资源支持。</w:t>
      </w:r>
    </w:p>
    <w:p>
      <w:pPr>
        <w:pStyle w:val="43"/>
        <w:pageBreakBefore w:val="0"/>
        <w:widowControl w:val="0"/>
        <w:kinsoku/>
        <w:wordWrap/>
        <w:overflowPunct/>
        <w:topLinePunct w:val="0"/>
        <w:autoSpaceDE/>
        <w:autoSpaceDN/>
        <w:bidi w:val="0"/>
        <w:spacing w:after="0" w:afterLines="0" w:line="360" w:lineRule="auto"/>
        <w:ind w:left="0" w:leftChars="0" w:firstLine="0" w:firstLineChars="0"/>
        <w:rPr>
          <w:rFonts w:hint="eastAsia" w:ascii="宋体" w:hAnsi="宋体" w:eastAsia="宋体" w:cs="宋体"/>
          <w:color w:val="auto"/>
          <w:sz w:val="24"/>
          <w:szCs w:val="24"/>
          <w:highlight w:val="none"/>
          <w:lang w:eastAsia="zh-CN"/>
        </w:rPr>
      </w:pPr>
    </w:p>
    <w:p>
      <w:pPr>
        <w:pStyle w:val="2"/>
        <w:pageBreakBefore w:val="0"/>
        <w:widowControl w:val="0"/>
        <w:numPr>
          <w:ilvl w:val="0"/>
          <w:numId w:val="0"/>
        </w:numPr>
        <w:kinsoku/>
        <w:wordWrap/>
        <w:overflowPunct/>
        <w:topLinePunct w:val="0"/>
        <w:autoSpaceDE/>
        <w:autoSpaceDN/>
        <w:bidi w:val="0"/>
        <w:snapToGrid w:val="0"/>
        <w:spacing w:before="0" w:line="360" w:lineRule="auto"/>
        <w:rPr>
          <w:rFonts w:hint="eastAsia" w:ascii="宋体" w:hAnsi="宋体" w:eastAsia="宋体" w:cs="宋体"/>
          <w:color w:val="auto"/>
          <w:sz w:val="24"/>
          <w:szCs w:val="24"/>
          <w:highlight w:val="none"/>
          <w:lang w:val="en-US" w:eastAsia="zh-CN" w:bidi="ar"/>
        </w:rPr>
      </w:pPr>
      <w:bookmarkStart w:id="58" w:name="_Toc30932"/>
      <w:r>
        <w:rPr>
          <w:rFonts w:hint="eastAsia" w:ascii="宋体" w:hAnsi="宋体" w:eastAsia="宋体" w:cs="宋体"/>
          <w:color w:val="auto"/>
          <w:sz w:val="24"/>
          <w:szCs w:val="24"/>
          <w:highlight w:val="none"/>
          <w:lang w:val="en-US" w:eastAsia="zh-CN" w:bidi="ar"/>
        </w:rPr>
        <w:t>三、项目目标</w:t>
      </w:r>
      <w:bookmarkEnd w:id="58"/>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嘉兴市第一医院希望科学化的调研分析与医院战略发展定位指导，突破当前发展瓶颈，同时在项目实施过程中识别与赋能运营核心骨干，实现以下目标：</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1.转变发展理念，找准医院发展定位</w:t>
      </w:r>
      <w:r>
        <w:rPr>
          <w:rFonts w:hint="eastAsia" w:ascii="宋体" w:hAnsi="宋体" w:eastAsia="宋体" w:cs="宋体"/>
          <w:color w:val="auto"/>
          <w:sz w:val="24"/>
          <w:szCs w:val="24"/>
          <w:highlight w:val="none"/>
          <w:lang w:eastAsia="zh-CN"/>
        </w:rPr>
        <w:t>。</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2.梳理学科现状，制订差异化学科发展目标</w:t>
      </w:r>
      <w:r>
        <w:rPr>
          <w:rFonts w:hint="eastAsia" w:ascii="宋体" w:hAnsi="宋体" w:eastAsia="宋体" w:cs="宋体"/>
          <w:color w:val="auto"/>
          <w:sz w:val="24"/>
          <w:szCs w:val="24"/>
          <w:highlight w:val="none"/>
          <w:lang w:eastAsia="zh-CN"/>
        </w:rPr>
        <w:t>，建立个性化业务与绩效管理基础。</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3.明确十四五规划，</w:t>
      </w:r>
      <w:r>
        <w:rPr>
          <w:rFonts w:hint="eastAsia" w:ascii="宋体" w:hAnsi="宋体" w:eastAsia="宋体" w:cs="宋体"/>
          <w:color w:val="auto"/>
          <w:sz w:val="24"/>
          <w:szCs w:val="24"/>
          <w:highlight w:val="none"/>
          <w:lang w:eastAsia="zh-CN"/>
        </w:rPr>
        <w:t>凝聚十四五发展共识，</w:t>
      </w:r>
      <w:r>
        <w:rPr>
          <w:rFonts w:hint="eastAsia" w:ascii="宋体" w:hAnsi="宋体" w:eastAsia="宋体" w:cs="宋体"/>
          <w:color w:val="auto"/>
          <w:sz w:val="24"/>
          <w:szCs w:val="24"/>
          <w:highlight w:val="none"/>
          <w:lang w:val="en-US" w:eastAsia="zh-CN"/>
        </w:rPr>
        <w:t>推动规划稳步落地，</w:t>
      </w:r>
      <w:r>
        <w:rPr>
          <w:rFonts w:hint="eastAsia" w:ascii="宋体" w:hAnsi="宋体" w:eastAsia="宋体" w:cs="宋体"/>
          <w:color w:val="auto"/>
          <w:sz w:val="24"/>
          <w:szCs w:val="24"/>
          <w:highlight w:val="none"/>
          <w:lang w:eastAsia="zh-CN"/>
        </w:rPr>
        <w:t>精准推进国考落地与精益化管理。</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4.推进精益管理，强化业务与绩效管理基础；</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5.提升中层干部管理能力，培养运营管理骨干。</w:t>
      </w:r>
    </w:p>
    <w:p>
      <w:pPr>
        <w:pStyle w:val="37"/>
        <w:pageBreakBefore w:val="0"/>
        <w:widowControl w:val="0"/>
        <w:kinsoku/>
        <w:wordWrap/>
        <w:overflowPunct/>
        <w:topLinePunct w:val="0"/>
        <w:autoSpaceDE/>
        <w:autoSpaceDN/>
        <w:bidi w:val="0"/>
        <w:spacing w:after="0" w:line="360" w:lineRule="auto"/>
        <w:ind w:left="0" w:leftChars="0" w:firstLine="0" w:firstLineChars="0"/>
        <w:rPr>
          <w:rFonts w:hint="eastAsia" w:ascii="宋体" w:hAnsi="宋体" w:eastAsia="宋体" w:cs="宋体"/>
          <w:color w:val="auto"/>
          <w:kern w:val="2"/>
          <w:sz w:val="24"/>
          <w:szCs w:val="24"/>
          <w:highlight w:val="none"/>
          <w:lang w:val="en-US" w:eastAsia="zh-CN" w:bidi="ar-SA"/>
        </w:rPr>
      </w:pPr>
    </w:p>
    <w:p>
      <w:pPr>
        <w:pStyle w:val="2"/>
        <w:pageBreakBefore w:val="0"/>
        <w:widowControl w:val="0"/>
        <w:numPr>
          <w:ilvl w:val="0"/>
          <w:numId w:val="0"/>
        </w:numPr>
        <w:kinsoku/>
        <w:wordWrap/>
        <w:overflowPunct/>
        <w:topLinePunct w:val="0"/>
        <w:autoSpaceDE/>
        <w:autoSpaceDN/>
        <w:bidi w:val="0"/>
        <w:snapToGrid w:val="0"/>
        <w:spacing w:before="0" w:line="360" w:lineRule="auto"/>
        <w:rPr>
          <w:rFonts w:hint="eastAsia" w:ascii="宋体" w:hAnsi="宋体" w:eastAsia="宋体" w:cs="宋体"/>
          <w:color w:val="auto"/>
          <w:sz w:val="24"/>
          <w:szCs w:val="24"/>
          <w:highlight w:val="none"/>
          <w:lang w:val="en-US" w:eastAsia="zh-CN" w:bidi="ar"/>
        </w:rPr>
      </w:pPr>
      <w:bookmarkStart w:id="59" w:name="_Toc488941195"/>
      <w:bookmarkStart w:id="60" w:name="_Toc19913"/>
      <w:bookmarkStart w:id="61" w:name="_Toc5520"/>
      <w:bookmarkStart w:id="62" w:name="_Toc21325"/>
      <w:bookmarkStart w:id="63" w:name="_Toc3983"/>
      <w:bookmarkStart w:id="64" w:name="_Toc19818"/>
      <w:bookmarkStart w:id="65" w:name="_Toc29075"/>
      <w:bookmarkStart w:id="66" w:name="_Toc20076"/>
      <w:r>
        <w:rPr>
          <w:rFonts w:hint="eastAsia" w:ascii="宋体" w:hAnsi="宋体" w:eastAsia="宋体" w:cs="宋体"/>
          <w:color w:val="auto"/>
          <w:sz w:val="24"/>
          <w:szCs w:val="24"/>
          <w:highlight w:val="none"/>
          <w:lang w:val="en-US" w:eastAsia="zh-CN" w:bidi="ar"/>
        </w:rPr>
        <w:t>▲四、报价要求</w:t>
      </w:r>
      <w:bookmarkEnd w:id="55"/>
      <w:bookmarkEnd w:id="56"/>
      <w:bookmarkEnd w:id="59"/>
      <w:bookmarkEnd w:id="60"/>
      <w:bookmarkEnd w:id="61"/>
      <w:bookmarkEnd w:id="62"/>
      <w:bookmarkEnd w:id="63"/>
      <w:bookmarkEnd w:id="64"/>
      <w:bookmarkEnd w:id="65"/>
      <w:bookmarkEnd w:id="66"/>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本项目投标报价为一年</w:t>
      </w:r>
      <w:r>
        <w:rPr>
          <w:rFonts w:hint="eastAsia" w:ascii="宋体" w:hAnsi="宋体" w:eastAsia="宋体" w:cs="宋体"/>
          <w:color w:val="auto"/>
          <w:sz w:val="24"/>
          <w:szCs w:val="24"/>
          <w:highlight w:val="none"/>
          <w:lang w:val="en-US" w:eastAsia="zh-CN"/>
        </w:rPr>
        <w:t>医院</w:t>
      </w:r>
      <w:r>
        <w:rPr>
          <w:rFonts w:hint="eastAsia" w:ascii="宋体" w:hAnsi="宋体" w:eastAsia="宋体" w:cs="宋体"/>
          <w:color w:val="auto"/>
          <w:sz w:val="24"/>
          <w:szCs w:val="24"/>
          <w:highlight w:val="none"/>
          <w:lang w:eastAsia="zh-CN"/>
        </w:rPr>
        <w:t>发展咨询辅导服务，包括</w:t>
      </w:r>
      <w:r>
        <w:rPr>
          <w:rFonts w:hint="eastAsia" w:ascii="宋体" w:hAnsi="宋体" w:eastAsia="宋体" w:cs="宋体"/>
          <w:color w:val="auto"/>
          <w:sz w:val="24"/>
          <w:szCs w:val="24"/>
          <w:highlight w:val="none"/>
          <w:lang w:val="en-US" w:eastAsia="zh-CN"/>
        </w:rPr>
        <w:t>但不仅限于</w:t>
      </w:r>
      <w:r>
        <w:rPr>
          <w:rFonts w:hint="eastAsia" w:ascii="宋体" w:hAnsi="宋体" w:eastAsia="宋体" w:cs="宋体"/>
          <w:color w:val="auto"/>
          <w:sz w:val="24"/>
          <w:szCs w:val="24"/>
          <w:highlight w:val="none"/>
          <w:lang w:eastAsia="zh-CN"/>
        </w:rPr>
        <w:t>人工费、交通、</w:t>
      </w:r>
      <w:r>
        <w:rPr>
          <w:rFonts w:hint="eastAsia" w:ascii="宋体" w:hAnsi="宋体" w:eastAsia="宋体" w:cs="宋体"/>
          <w:color w:val="auto"/>
          <w:sz w:val="24"/>
          <w:szCs w:val="24"/>
          <w:highlight w:val="none"/>
          <w:lang w:val="en-US" w:eastAsia="zh-CN"/>
        </w:rPr>
        <w:t>住宿差旅费、办公费用、教材费、会议费用、培训费用、管理费、</w:t>
      </w:r>
      <w:r>
        <w:rPr>
          <w:rFonts w:hint="eastAsia" w:ascii="宋体" w:hAnsi="宋体" w:eastAsia="宋体" w:cs="宋体"/>
          <w:color w:val="auto"/>
          <w:sz w:val="24"/>
          <w:szCs w:val="24"/>
          <w:highlight w:val="none"/>
          <w:lang w:eastAsia="zh-CN"/>
        </w:rPr>
        <w:t>税金、利润以及完成本项目应该包括的其他全部费用。</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2.本项目为固定总价包干，完成本项目的一切工作，包括招标文件已提到和招标文件未提到但应该包括的所有工作内容均由供应商完成，其费用已包含在投标文件报价中，不得增加。</w:t>
      </w:r>
    </w:p>
    <w:p>
      <w:pPr>
        <w:pStyle w:val="7"/>
        <w:pageBreakBefore w:val="0"/>
        <w:widowControl w:val="0"/>
        <w:kinsoku/>
        <w:wordWrap/>
        <w:overflowPunct/>
        <w:topLinePunct w:val="0"/>
        <w:autoSpaceDE/>
        <w:autoSpaceDN/>
        <w:bidi w:val="0"/>
        <w:spacing w:after="0" w:line="360" w:lineRule="auto"/>
        <w:ind w:firstLine="0" w:firstLineChars="0"/>
        <w:rPr>
          <w:rFonts w:hint="eastAsia" w:ascii="宋体" w:hAnsi="宋体" w:eastAsia="宋体" w:cs="宋体"/>
          <w:color w:val="auto"/>
          <w:sz w:val="24"/>
          <w:szCs w:val="24"/>
          <w:highlight w:val="none"/>
        </w:rPr>
      </w:pPr>
    </w:p>
    <w:p>
      <w:pPr>
        <w:pStyle w:val="2"/>
        <w:pageBreakBefore w:val="0"/>
        <w:widowControl w:val="0"/>
        <w:numPr>
          <w:ilvl w:val="0"/>
          <w:numId w:val="0"/>
        </w:numPr>
        <w:kinsoku/>
        <w:wordWrap/>
        <w:overflowPunct/>
        <w:topLinePunct w:val="0"/>
        <w:autoSpaceDE/>
        <w:autoSpaceDN/>
        <w:bidi w:val="0"/>
        <w:snapToGrid w:val="0"/>
        <w:spacing w:before="0" w:line="360" w:lineRule="auto"/>
        <w:rPr>
          <w:rFonts w:hint="eastAsia" w:ascii="宋体" w:hAnsi="宋体" w:eastAsia="宋体" w:cs="宋体"/>
          <w:color w:val="auto"/>
          <w:sz w:val="24"/>
          <w:szCs w:val="24"/>
          <w:highlight w:val="none"/>
          <w:lang w:val="en-US" w:eastAsia="zh-CN" w:bidi="ar"/>
        </w:rPr>
      </w:pPr>
      <w:bookmarkStart w:id="67" w:name="_Toc30971"/>
      <w:bookmarkStart w:id="68" w:name="_Toc3503"/>
      <w:bookmarkStart w:id="69" w:name="_Toc27146"/>
      <w:r>
        <w:rPr>
          <w:rFonts w:hint="eastAsia" w:ascii="宋体" w:hAnsi="宋体" w:eastAsia="宋体" w:cs="宋体"/>
          <w:color w:val="auto"/>
          <w:sz w:val="24"/>
          <w:szCs w:val="24"/>
          <w:highlight w:val="none"/>
          <w:lang w:val="en-US" w:eastAsia="zh-CN" w:bidi="ar"/>
        </w:rPr>
        <w:t>▲五、</w:t>
      </w:r>
      <w:bookmarkEnd w:id="67"/>
      <w:bookmarkEnd w:id="68"/>
      <w:r>
        <w:rPr>
          <w:rFonts w:hint="eastAsia" w:ascii="宋体" w:hAnsi="宋体" w:eastAsia="宋体" w:cs="宋体"/>
          <w:color w:val="auto"/>
          <w:sz w:val="24"/>
          <w:szCs w:val="24"/>
          <w:highlight w:val="none"/>
          <w:lang w:val="en-US" w:eastAsia="zh-CN" w:bidi="ar"/>
        </w:rPr>
        <w:t>服务期限</w:t>
      </w:r>
      <w:bookmarkEnd w:id="69"/>
    </w:p>
    <w:p>
      <w:pPr>
        <w:pStyle w:val="10"/>
        <w:pageBreakBefore w:val="0"/>
        <w:widowControl w:val="0"/>
        <w:kinsoku/>
        <w:wordWrap/>
        <w:overflowPunct/>
        <w:topLinePunct w:val="0"/>
        <w:autoSpaceDE/>
        <w:autoSpaceDN/>
        <w:bidi w:val="0"/>
        <w:spacing w:after="0" w:afterLines="0" w:line="360" w:lineRule="auto"/>
        <w:ind w:left="0" w:leftChars="0"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合同签订后一年。</w:t>
      </w:r>
    </w:p>
    <w:p>
      <w:pPr>
        <w:pStyle w:val="2"/>
        <w:pageBreakBefore w:val="0"/>
        <w:widowControl w:val="0"/>
        <w:kinsoku/>
        <w:wordWrap/>
        <w:overflowPunct/>
        <w:topLinePunct w:val="0"/>
        <w:autoSpaceDE/>
        <w:autoSpaceDN/>
        <w:bidi w:val="0"/>
        <w:adjustRightInd w:val="0"/>
        <w:snapToGrid w:val="0"/>
        <w:spacing w:before="0" w:line="360" w:lineRule="auto"/>
        <w:jc w:val="left"/>
        <w:outlineLvl w:val="9"/>
        <w:rPr>
          <w:rFonts w:hint="eastAsia" w:ascii="宋体" w:hAnsi="宋体" w:eastAsia="宋体" w:cs="宋体"/>
          <w:b/>
          <w:bCs/>
          <w:color w:val="auto"/>
          <w:kern w:val="0"/>
          <w:sz w:val="24"/>
          <w:szCs w:val="24"/>
          <w:highlight w:val="none"/>
          <w:lang w:val="en-US" w:eastAsia="zh-CN"/>
        </w:rPr>
      </w:pPr>
    </w:p>
    <w:p>
      <w:pPr>
        <w:pStyle w:val="2"/>
        <w:pageBreakBefore w:val="0"/>
        <w:widowControl w:val="0"/>
        <w:numPr>
          <w:ilvl w:val="0"/>
          <w:numId w:val="0"/>
        </w:numPr>
        <w:kinsoku/>
        <w:wordWrap/>
        <w:overflowPunct/>
        <w:topLinePunct w:val="0"/>
        <w:autoSpaceDE/>
        <w:autoSpaceDN/>
        <w:bidi w:val="0"/>
        <w:snapToGrid w:val="0"/>
        <w:spacing w:before="0" w:line="360" w:lineRule="auto"/>
        <w:rPr>
          <w:rFonts w:hint="eastAsia" w:ascii="宋体" w:hAnsi="宋体" w:eastAsia="宋体" w:cs="宋体"/>
          <w:color w:val="auto"/>
          <w:sz w:val="24"/>
          <w:szCs w:val="24"/>
          <w:highlight w:val="none"/>
          <w:lang w:val="en-US" w:eastAsia="zh-CN" w:bidi="ar"/>
        </w:rPr>
      </w:pPr>
      <w:bookmarkStart w:id="70" w:name="_Toc10293"/>
      <w:r>
        <w:rPr>
          <w:rFonts w:hint="eastAsia" w:ascii="宋体" w:hAnsi="宋体" w:eastAsia="宋体" w:cs="宋体"/>
          <w:color w:val="auto"/>
          <w:sz w:val="24"/>
          <w:szCs w:val="24"/>
          <w:highlight w:val="none"/>
          <w:lang w:val="en-US" w:eastAsia="zh-CN" w:bidi="ar"/>
        </w:rPr>
        <w:t>六、项目实施计划和服务周期</w:t>
      </w:r>
      <w:bookmarkEnd w:id="70"/>
    </w:p>
    <w:p>
      <w:pPr>
        <w:keepNext w:val="0"/>
        <w:keepLines w:val="0"/>
        <w:pageBreakBefore w:val="0"/>
        <w:widowControl w:val="0"/>
        <w:kinsoku/>
        <w:wordWrap/>
        <w:overflowPunct/>
        <w:topLinePunct w:val="0"/>
        <w:autoSpaceDE/>
        <w:autoSpaceDN/>
        <w:bidi w:val="0"/>
        <w:adjustRightInd/>
        <w:snapToGrid w:val="0"/>
        <w:spacing w:line="360" w:lineRule="auto"/>
        <w:ind w:firstLine="564" w:firstLineChars="235"/>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1.项目总体工作周期为十二个月</w:t>
      </w:r>
    </w:p>
    <w:p>
      <w:pPr>
        <w:keepNext w:val="0"/>
        <w:keepLines w:val="0"/>
        <w:pageBreakBefore w:val="0"/>
        <w:widowControl w:val="0"/>
        <w:kinsoku/>
        <w:wordWrap/>
        <w:overflowPunct/>
        <w:topLinePunct w:val="0"/>
        <w:autoSpaceDE/>
        <w:autoSpaceDN/>
        <w:bidi w:val="0"/>
        <w:adjustRightInd/>
        <w:snapToGrid w:val="0"/>
        <w:spacing w:line="360" w:lineRule="auto"/>
        <w:ind w:firstLine="564" w:firstLineChars="235"/>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2.第一阶段（第1-3月）</w:t>
      </w:r>
    </w:p>
    <w:p>
      <w:pPr>
        <w:keepNext w:val="0"/>
        <w:keepLines w:val="0"/>
        <w:pageBreakBefore w:val="0"/>
        <w:widowControl w:val="0"/>
        <w:kinsoku/>
        <w:wordWrap/>
        <w:overflowPunct/>
        <w:topLinePunct w:val="0"/>
        <w:autoSpaceDE/>
        <w:autoSpaceDN/>
        <w:bidi w:val="0"/>
        <w:adjustRightInd/>
        <w:snapToGrid w:val="0"/>
        <w:spacing w:line="360" w:lineRule="auto"/>
        <w:ind w:firstLine="566" w:firstLineChars="235"/>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2.1医院经营情况与科室运营全数据分析（约4周）</w:t>
      </w:r>
    </w:p>
    <w:p>
      <w:pPr>
        <w:pStyle w:val="4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547" w:firstLineChars="228"/>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2.1.1</w:t>
      </w:r>
      <w:r>
        <w:rPr>
          <w:rFonts w:hint="eastAsia" w:ascii="宋体" w:hAnsi="宋体" w:eastAsia="宋体" w:cs="宋体"/>
          <w:color w:val="auto"/>
          <w:sz w:val="24"/>
          <w:szCs w:val="24"/>
          <w:highlight w:val="none"/>
        </w:rPr>
        <w:t>收集区域卫生统计资讯与当地主要竞争者信息，进行外部环境分析</w:t>
      </w:r>
    </w:p>
    <w:p>
      <w:pPr>
        <w:pStyle w:val="4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547" w:firstLineChars="228"/>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2.1.2</w:t>
      </w:r>
      <w:r>
        <w:rPr>
          <w:rFonts w:hint="eastAsia" w:ascii="宋体" w:hAnsi="宋体" w:eastAsia="宋体" w:cs="宋体"/>
          <w:color w:val="auto"/>
          <w:sz w:val="24"/>
          <w:szCs w:val="24"/>
          <w:highlight w:val="none"/>
        </w:rPr>
        <w:t>基于医院经营与各科室的业务运营全数据，进行全方面的内部分析</w:t>
      </w:r>
    </w:p>
    <w:p>
      <w:pPr>
        <w:keepNext w:val="0"/>
        <w:keepLines w:val="0"/>
        <w:pageBreakBefore w:val="0"/>
        <w:widowControl w:val="0"/>
        <w:kinsoku/>
        <w:wordWrap/>
        <w:overflowPunct/>
        <w:topLinePunct w:val="0"/>
        <w:autoSpaceDE/>
        <w:autoSpaceDN/>
        <w:bidi w:val="0"/>
        <w:adjustRightInd/>
        <w:snapToGrid w:val="0"/>
        <w:spacing w:line="360" w:lineRule="auto"/>
        <w:ind w:firstLine="566" w:firstLineChars="235"/>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2.2医院业务科室发展诉求深度调研（约4周）</w:t>
      </w:r>
    </w:p>
    <w:p>
      <w:pPr>
        <w:pStyle w:val="4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547" w:firstLineChars="228"/>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2.2.1专家至各医疗业务科室带头人个别访谈，深度对话，澄清疑义</w:t>
      </w:r>
    </w:p>
    <w:p>
      <w:pPr>
        <w:pStyle w:val="4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547" w:firstLineChars="228"/>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2.2.2针对访谈意见分析与内部管理梳理矛盾</w:t>
      </w:r>
    </w:p>
    <w:p>
      <w:pPr>
        <w:keepNext w:val="0"/>
        <w:keepLines w:val="0"/>
        <w:pageBreakBefore w:val="0"/>
        <w:widowControl w:val="0"/>
        <w:kinsoku/>
        <w:wordWrap/>
        <w:overflowPunct/>
        <w:topLinePunct w:val="0"/>
        <w:autoSpaceDE/>
        <w:autoSpaceDN/>
        <w:bidi w:val="0"/>
        <w:adjustRightInd/>
        <w:snapToGrid w:val="0"/>
        <w:spacing w:line="360" w:lineRule="auto"/>
        <w:ind w:firstLine="566" w:firstLineChars="235"/>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2.3战略定位规划与十四五顶层设计（约3周）</w:t>
      </w:r>
    </w:p>
    <w:p>
      <w:pPr>
        <w:pStyle w:val="4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547" w:firstLineChars="228"/>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2.3.1医院领导班子访谈与调研意见反馈</w:t>
      </w:r>
    </w:p>
    <w:p>
      <w:pPr>
        <w:pStyle w:val="4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547" w:firstLineChars="228"/>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2.3.2依据院领导发展思路、外部环境与科室发展完成嘉医战略定位规划</w:t>
      </w:r>
    </w:p>
    <w:p>
      <w:pPr>
        <w:pStyle w:val="4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547" w:firstLineChars="228"/>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2.3.3基于战略定位、业务顶层规划，进一步提供医院品牌定位建议</w:t>
      </w:r>
    </w:p>
    <w:p>
      <w:pPr>
        <w:keepNext w:val="0"/>
        <w:keepLines w:val="0"/>
        <w:pageBreakBefore w:val="0"/>
        <w:widowControl w:val="0"/>
        <w:kinsoku/>
        <w:wordWrap/>
        <w:overflowPunct/>
        <w:topLinePunct w:val="0"/>
        <w:autoSpaceDE/>
        <w:autoSpaceDN/>
        <w:bidi w:val="0"/>
        <w:adjustRightInd/>
        <w:snapToGrid w:val="0"/>
        <w:spacing w:line="360" w:lineRule="auto"/>
        <w:ind w:firstLine="566" w:firstLineChars="235"/>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2.4全院十四五发展战略定位宣贯（约1周）</w:t>
      </w:r>
    </w:p>
    <w:p>
      <w:pPr>
        <w:pStyle w:val="4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547" w:firstLineChars="228"/>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2.4.1协助筹备与召开全院的战略定位宣贯会议</w:t>
      </w:r>
    </w:p>
    <w:p>
      <w:pPr>
        <w:pStyle w:val="4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547" w:firstLineChars="228"/>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2.4.2全院十四五发展战略定位宣贯</w:t>
      </w:r>
    </w:p>
    <w:p>
      <w:pPr>
        <w:keepNext w:val="0"/>
        <w:keepLines w:val="0"/>
        <w:pageBreakBefore w:val="0"/>
        <w:widowControl w:val="0"/>
        <w:kinsoku/>
        <w:wordWrap/>
        <w:overflowPunct/>
        <w:topLinePunct w:val="0"/>
        <w:autoSpaceDE/>
        <w:autoSpaceDN/>
        <w:bidi w:val="0"/>
        <w:adjustRightInd/>
        <w:snapToGrid w:val="0"/>
        <w:spacing w:line="360" w:lineRule="auto"/>
        <w:ind w:firstLine="566" w:firstLineChars="235"/>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eastAsia="zh-TW"/>
        </w:rPr>
        <w:t>全年度</w:t>
      </w:r>
      <w:r>
        <w:rPr>
          <w:rFonts w:hint="eastAsia" w:ascii="宋体" w:hAnsi="宋体" w:eastAsia="宋体" w:cs="宋体"/>
          <w:b/>
          <w:bCs/>
          <w:color w:val="auto"/>
          <w:sz w:val="24"/>
          <w:szCs w:val="24"/>
          <w:highlight w:val="none"/>
          <w:lang w:val="en-US" w:eastAsia="zh-CN"/>
        </w:rPr>
        <w:t>全程</w:t>
      </w:r>
    </w:p>
    <w:p>
      <w:pPr>
        <w:pStyle w:val="4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547" w:firstLineChars="228"/>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3.1针对专科辅导，推动临床骨干学习，实现科室经营管理；</w:t>
      </w:r>
    </w:p>
    <w:p>
      <w:pPr>
        <w:pStyle w:val="4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547" w:firstLineChars="228"/>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3.2提供有关三级公立医院绩效考核研究核心资源支持。</w:t>
      </w:r>
    </w:p>
    <w:p>
      <w:pPr>
        <w:pStyle w:val="2"/>
        <w:pageBreakBefore w:val="0"/>
        <w:widowControl w:val="0"/>
        <w:numPr>
          <w:ilvl w:val="0"/>
          <w:numId w:val="0"/>
        </w:numPr>
        <w:kinsoku/>
        <w:wordWrap/>
        <w:overflowPunct/>
        <w:topLinePunct w:val="0"/>
        <w:autoSpaceDE/>
        <w:autoSpaceDN/>
        <w:bidi w:val="0"/>
        <w:snapToGrid w:val="0"/>
        <w:spacing w:before="0" w:line="312" w:lineRule="auto"/>
        <w:textAlignment w:val="auto"/>
        <w:rPr>
          <w:rFonts w:hint="eastAsia" w:ascii="宋体" w:hAnsi="宋体" w:eastAsia="宋体" w:cs="宋体"/>
          <w:color w:val="auto"/>
          <w:sz w:val="24"/>
          <w:szCs w:val="24"/>
          <w:highlight w:val="none"/>
          <w:lang w:val="en-US" w:eastAsia="zh-CN" w:bidi="ar"/>
        </w:rPr>
      </w:pPr>
      <w:bookmarkStart w:id="71" w:name="_Toc18454"/>
      <w:r>
        <w:rPr>
          <w:rFonts w:hint="eastAsia" w:ascii="宋体" w:hAnsi="宋体" w:eastAsia="宋体" w:cs="宋体"/>
          <w:color w:val="auto"/>
          <w:sz w:val="24"/>
          <w:szCs w:val="24"/>
          <w:highlight w:val="none"/>
          <w:lang w:val="en-US" w:eastAsia="zh-CN" w:bidi="ar"/>
        </w:rPr>
        <w:t>七、质量要求和成果形式</w:t>
      </w:r>
      <w:bookmarkEnd w:id="71"/>
    </w:p>
    <w:tbl>
      <w:tblPr>
        <w:tblStyle w:val="18"/>
        <w:tblW w:w="8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75"/>
        <w:gridCol w:w="3625"/>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1775" w:type="dxa"/>
            <w:noWrap w:val="0"/>
            <w:vAlign w:val="top"/>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工作阶段</w:t>
            </w:r>
          </w:p>
        </w:tc>
        <w:tc>
          <w:tcPr>
            <w:tcW w:w="3625" w:type="dxa"/>
            <w:noWrap w:val="0"/>
            <w:vAlign w:val="top"/>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协助</w:t>
            </w:r>
          </w:p>
        </w:tc>
        <w:tc>
          <w:tcPr>
            <w:tcW w:w="2895" w:type="dxa"/>
            <w:noWrap w:val="0"/>
            <w:vAlign w:val="top"/>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项目交付</w:t>
            </w:r>
            <w:r>
              <w:rPr>
                <w:rFonts w:hint="eastAsia" w:ascii="宋体" w:hAnsi="宋体" w:eastAsia="宋体" w:cs="宋体"/>
                <w:color w:val="auto"/>
                <w:sz w:val="24"/>
                <w:szCs w:val="24"/>
                <w:highlight w:val="none"/>
                <w:lang w:val="en-US" w:eastAsia="zh-CN"/>
              </w:rPr>
              <w:t>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w:t>
            </w:r>
          </w:p>
          <w:p>
            <w:pPr>
              <w:keepNext w:val="0"/>
              <w:keepLines w:val="0"/>
              <w:pageBreakBefore w:val="0"/>
              <w:widowControl w:val="0"/>
              <w:kinsoku/>
              <w:wordWrap/>
              <w:overflowPunct/>
              <w:topLinePunct w:val="0"/>
              <w:autoSpaceDE/>
              <w:autoSpaceDN/>
              <w:bidi w:val="0"/>
              <w:adjustRightInd w:val="0"/>
              <w:snapToGrid w:val="0"/>
              <w:spacing w:line="312"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医院经营情况与科室运营全数据分析</w:t>
            </w:r>
          </w:p>
        </w:tc>
        <w:tc>
          <w:tcPr>
            <w:tcW w:w="3625" w:type="dxa"/>
            <w:noWrap w:val="0"/>
            <w:vAlign w:val="top"/>
          </w:tcPr>
          <w:p>
            <w:pPr>
              <w:pStyle w:val="45"/>
              <w:keepNext w:val="0"/>
              <w:keepLines w:val="0"/>
              <w:pageBreakBefore w:val="0"/>
              <w:widowControl w:val="0"/>
              <w:numPr>
                <w:ilvl w:val="0"/>
                <w:numId w:val="0"/>
              </w:numPr>
              <w:kinsoku/>
              <w:wordWrap/>
              <w:overflowPunct/>
              <w:topLinePunct w:val="0"/>
              <w:autoSpaceDE/>
              <w:autoSpaceDN/>
              <w:bidi w:val="0"/>
              <w:adjustRightInd w:val="0"/>
              <w:snapToGrid w:val="0"/>
              <w:spacing w:line="312" w:lineRule="auto"/>
              <w:ind w:left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完整介绍现有绩效管理、指标考核、业务监测、数据管理的相关机制，并提供相关文件资料</w:t>
            </w:r>
            <w:r>
              <w:rPr>
                <w:rFonts w:hint="eastAsia" w:ascii="宋体" w:hAnsi="宋体" w:eastAsia="宋体" w:cs="宋体"/>
                <w:color w:val="auto"/>
                <w:sz w:val="24"/>
                <w:szCs w:val="24"/>
                <w:highlight w:val="none"/>
                <w:lang w:eastAsia="zh-CN"/>
              </w:rPr>
              <w:t>；</w:t>
            </w:r>
          </w:p>
          <w:p>
            <w:pPr>
              <w:pStyle w:val="45"/>
              <w:keepNext w:val="0"/>
              <w:keepLines w:val="0"/>
              <w:pageBreakBefore w:val="0"/>
              <w:widowControl w:val="0"/>
              <w:numPr>
                <w:ilvl w:val="0"/>
                <w:numId w:val="0"/>
              </w:numPr>
              <w:kinsoku/>
              <w:wordWrap/>
              <w:overflowPunct/>
              <w:topLinePunct w:val="0"/>
              <w:autoSpaceDE/>
              <w:autoSpaceDN/>
              <w:bidi w:val="0"/>
              <w:adjustRightInd w:val="0"/>
              <w:snapToGrid w:val="0"/>
              <w:spacing w:line="312" w:lineRule="auto"/>
              <w:ind w:left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提供近两年运营相关数据</w:t>
            </w:r>
            <w:r>
              <w:rPr>
                <w:rFonts w:hint="eastAsia" w:ascii="宋体" w:hAnsi="宋体" w:eastAsia="宋体" w:cs="宋体"/>
                <w:color w:val="auto"/>
                <w:sz w:val="24"/>
                <w:szCs w:val="24"/>
                <w:highlight w:val="none"/>
                <w:lang w:eastAsia="zh-CN"/>
              </w:rPr>
              <w:t>；</w:t>
            </w:r>
          </w:p>
          <w:p>
            <w:pPr>
              <w:pStyle w:val="45"/>
              <w:keepNext w:val="0"/>
              <w:keepLines w:val="0"/>
              <w:pageBreakBefore w:val="0"/>
              <w:widowControl w:val="0"/>
              <w:numPr>
                <w:ilvl w:val="0"/>
                <w:numId w:val="0"/>
              </w:numPr>
              <w:kinsoku/>
              <w:wordWrap/>
              <w:overflowPunct/>
              <w:topLinePunct w:val="0"/>
              <w:autoSpaceDE/>
              <w:autoSpaceDN/>
              <w:bidi w:val="0"/>
              <w:adjustRightInd w:val="0"/>
              <w:snapToGrid w:val="0"/>
              <w:spacing w:line="312" w:lineRule="auto"/>
              <w:ind w:left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提供全院人员基本信息</w:t>
            </w:r>
            <w:r>
              <w:rPr>
                <w:rFonts w:hint="eastAsia" w:ascii="宋体" w:hAnsi="宋体" w:eastAsia="宋体" w:cs="宋体"/>
                <w:color w:val="auto"/>
                <w:sz w:val="24"/>
                <w:szCs w:val="24"/>
                <w:highlight w:val="none"/>
                <w:lang w:eastAsia="zh-CN"/>
              </w:rPr>
              <w:t>。</w:t>
            </w:r>
          </w:p>
        </w:tc>
        <w:tc>
          <w:tcPr>
            <w:tcW w:w="2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医院</w:t>
            </w:r>
            <w:r>
              <w:rPr>
                <w:rFonts w:hint="eastAsia" w:ascii="宋体" w:hAnsi="宋体" w:eastAsia="宋体" w:cs="宋体"/>
                <w:color w:val="auto"/>
                <w:sz w:val="24"/>
                <w:szCs w:val="24"/>
                <w:highlight w:val="none"/>
              </w:rPr>
              <w:t>运营现况分析报告</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含嘉兴市及浙江省内情况</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（二）</w:t>
            </w:r>
          </w:p>
          <w:p>
            <w:pPr>
              <w:keepNext w:val="0"/>
              <w:keepLines w:val="0"/>
              <w:pageBreakBefore w:val="0"/>
              <w:widowControl w:val="0"/>
              <w:kinsoku/>
              <w:wordWrap/>
              <w:overflowPunct/>
              <w:topLinePunct w:val="0"/>
              <w:autoSpaceDE/>
              <w:autoSpaceDN/>
              <w:bidi w:val="0"/>
              <w:adjustRightInd w:val="0"/>
              <w:snapToGrid w:val="0"/>
              <w:spacing w:line="312"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医院业务科室发展诉求深度调研</w:t>
            </w:r>
          </w:p>
        </w:tc>
        <w:tc>
          <w:tcPr>
            <w:tcW w:w="3625"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val="0"/>
              <w:snapToGrid w:val="0"/>
              <w:spacing w:line="312" w:lineRule="auto"/>
              <w:ind w:left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协助安排院内</w:t>
            </w:r>
            <w:r>
              <w:rPr>
                <w:rFonts w:hint="eastAsia" w:ascii="宋体" w:hAnsi="宋体" w:eastAsia="宋体" w:cs="宋体"/>
                <w:color w:val="auto"/>
                <w:sz w:val="24"/>
                <w:szCs w:val="24"/>
                <w:highlight w:val="none"/>
                <w:lang w:val="en-US" w:eastAsia="zh-CN"/>
              </w:rPr>
              <w:t>临床专科</w:t>
            </w:r>
            <w:r>
              <w:rPr>
                <w:rFonts w:hint="eastAsia" w:ascii="宋体" w:hAnsi="宋体" w:eastAsia="宋体" w:cs="宋体"/>
                <w:color w:val="auto"/>
                <w:sz w:val="24"/>
                <w:szCs w:val="24"/>
                <w:highlight w:val="none"/>
              </w:rPr>
              <w:t>的科主任及骨干接受调研，针对现存问题与未来优化诉求提出代表性的意见</w:t>
            </w:r>
            <w:r>
              <w:rPr>
                <w:rFonts w:hint="eastAsia" w:ascii="宋体" w:hAnsi="宋体" w:eastAsia="宋体" w:cs="宋体"/>
                <w:color w:val="auto"/>
                <w:sz w:val="24"/>
                <w:szCs w:val="24"/>
                <w:highlight w:val="none"/>
                <w:lang w:eastAsia="zh-CN"/>
              </w:rPr>
              <w:t>；</w:t>
            </w:r>
          </w:p>
          <w:p>
            <w:pPr>
              <w:pStyle w:val="45"/>
              <w:keepNext w:val="0"/>
              <w:keepLines w:val="0"/>
              <w:pageBreakBefore w:val="0"/>
              <w:widowControl w:val="0"/>
              <w:numPr>
                <w:ilvl w:val="0"/>
                <w:numId w:val="0"/>
              </w:numPr>
              <w:kinsoku/>
              <w:wordWrap/>
              <w:overflowPunct/>
              <w:topLinePunct w:val="0"/>
              <w:autoSpaceDE/>
              <w:autoSpaceDN/>
              <w:bidi w:val="0"/>
              <w:adjustRightInd w:val="0"/>
              <w:snapToGrid w:val="0"/>
              <w:spacing w:line="312" w:lineRule="auto"/>
              <w:ind w:left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每个临床业务科室</w:t>
            </w:r>
            <w:r>
              <w:rPr>
                <w:rFonts w:hint="eastAsia" w:ascii="宋体" w:hAnsi="宋体" w:eastAsia="宋体" w:cs="宋体"/>
                <w:color w:val="auto"/>
                <w:sz w:val="24"/>
                <w:szCs w:val="24"/>
                <w:highlight w:val="none"/>
                <w:lang w:val="en-US" w:eastAsia="zh-CN"/>
              </w:rPr>
              <w:t>及医技科室</w:t>
            </w:r>
            <w:r>
              <w:rPr>
                <w:rFonts w:hint="eastAsia" w:ascii="宋体" w:hAnsi="宋体" w:eastAsia="宋体" w:cs="宋体"/>
                <w:color w:val="auto"/>
                <w:sz w:val="24"/>
                <w:szCs w:val="24"/>
                <w:highlight w:val="none"/>
              </w:rPr>
              <w:t>深度访谈</w:t>
            </w:r>
            <w:r>
              <w:rPr>
                <w:rFonts w:hint="eastAsia" w:ascii="宋体" w:hAnsi="宋体" w:eastAsia="宋体" w:cs="宋体"/>
                <w:color w:val="auto"/>
                <w:sz w:val="24"/>
                <w:szCs w:val="24"/>
                <w:highlight w:val="none"/>
                <w:lang w:val="en-US" w:eastAsia="zh-CN"/>
              </w:rPr>
              <w:t>至少</w:t>
            </w:r>
            <w:r>
              <w:rPr>
                <w:rFonts w:hint="eastAsia" w:ascii="宋体" w:hAnsi="宋体" w:eastAsia="宋体" w:cs="宋体"/>
                <w:color w:val="auto"/>
                <w:sz w:val="24"/>
                <w:szCs w:val="24"/>
                <w:highlight w:val="none"/>
              </w:rPr>
              <w:t>1小时</w:t>
            </w:r>
            <w:r>
              <w:rPr>
                <w:rFonts w:hint="eastAsia" w:ascii="宋体" w:hAnsi="宋体" w:eastAsia="宋体" w:cs="宋体"/>
                <w:color w:val="auto"/>
                <w:sz w:val="24"/>
                <w:szCs w:val="24"/>
                <w:highlight w:val="none"/>
                <w:lang w:eastAsia="zh-CN"/>
              </w:rPr>
              <w:t>。</w:t>
            </w:r>
          </w:p>
        </w:tc>
        <w:tc>
          <w:tcPr>
            <w:tcW w:w="2895"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val="0"/>
              <w:snapToGrid w:val="0"/>
              <w:spacing w:line="312" w:lineRule="auto"/>
              <w:ind w:left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2、各科室调研核心记录会议纪要</w:t>
            </w:r>
            <w:r>
              <w:rPr>
                <w:rFonts w:hint="eastAsia" w:ascii="宋体" w:hAnsi="宋体" w:eastAsia="宋体" w:cs="宋体"/>
                <w:color w:val="auto"/>
                <w:sz w:val="24"/>
                <w:szCs w:val="24"/>
                <w:highlight w:val="none"/>
                <w:lang w:eastAsia="zh-CN"/>
              </w:rPr>
              <w:t>；</w:t>
            </w:r>
          </w:p>
          <w:p>
            <w:pPr>
              <w:pStyle w:val="45"/>
              <w:keepNext w:val="0"/>
              <w:keepLines w:val="0"/>
              <w:pageBreakBefore w:val="0"/>
              <w:widowControl w:val="0"/>
              <w:numPr>
                <w:ilvl w:val="0"/>
                <w:numId w:val="0"/>
              </w:numPr>
              <w:kinsoku/>
              <w:wordWrap/>
              <w:overflowPunct/>
              <w:topLinePunct w:val="0"/>
              <w:autoSpaceDE/>
              <w:autoSpaceDN/>
              <w:bidi w:val="0"/>
              <w:adjustRightInd w:val="0"/>
              <w:snapToGrid w:val="0"/>
              <w:spacing w:line="312" w:lineRule="auto"/>
              <w:ind w:lef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3、核心专科（不少于10个）分析报告。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w:t>
            </w:r>
          </w:p>
          <w:p>
            <w:pPr>
              <w:keepNext w:val="0"/>
              <w:keepLines w:val="0"/>
              <w:pageBreakBefore w:val="0"/>
              <w:widowControl w:val="0"/>
              <w:kinsoku/>
              <w:wordWrap/>
              <w:overflowPunct/>
              <w:topLinePunct w:val="0"/>
              <w:autoSpaceDE/>
              <w:autoSpaceDN/>
              <w:bidi w:val="0"/>
              <w:adjustRightInd w:val="0"/>
              <w:snapToGrid w:val="0"/>
              <w:spacing w:line="312"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战略定位规划与十四五顶层设计</w:t>
            </w:r>
          </w:p>
        </w:tc>
        <w:tc>
          <w:tcPr>
            <w:tcW w:w="3625"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val="0"/>
              <w:snapToGrid w:val="0"/>
              <w:spacing w:line="312" w:lineRule="auto"/>
              <w:ind w:left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院领导班子接受调研，反映整体业务现状并充分表达发展诉求，共同探讨未来发展方向</w:t>
            </w:r>
            <w:r>
              <w:rPr>
                <w:rFonts w:hint="eastAsia" w:ascii="宋体" w:hAnsi="宋体" w:eastAsia="宋体" w:cs="宋体"/>
                <w:color w:val="auto"/>
                <w:sz w:val="24"/>
                <w:szCs w:val="24"/>
                <w:highlight w:val="none"/>
                <w:lang w:eastAsia="zh-CN"/>
              </w:rPr>
              <w:t>。</w:t>
            </w:r>
          </w:p>
        </w:tc>
        <w:tc>
          <w:tcPr>
            <w:tcW w:w="2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嘉兴市第一医院</w:t>
            </w:r>
            <w:r>
              <w:rPr>
                <w:rFonts w:hint="eastAsia" w:ascii="宋体" w:hAnsi="宋体" w:eastAsia="宋体" w:cs="宋体"/>
                <w:color w:val="auto"/>
                <w:sz w:val="24"/>
                <w:szCs w:val="24"/>
                <w:highlight w:val="none"/>
              </w:rPr>
              <w:t>战略发展定位分析报告</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w:t>
            </w:r>
          </w:p>
          <w:p>
            <w:pPr>
              <w:keepNext w:val="0"/>
              <w:keepLines w:val="0"/>
              <w:pageBreakBefore w:val="0"/>
              <w:widowControl w:val="0"/>
              <w:kinsoku/>
              <w:wordWrap/>
              <w:overflowPunct/>
              <w:topLinePunct w:val="0"/>
              <w:autoSpaceDE/>
              <w:autoSpaceDN/>
              <w:bidi w:val="0"/>
              <w:adjustRightInd w:val="0"/>
              <w:snapToGrid w:val="0"/>
              <w:spacing w:line="312"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全院战略定位宣贯</w:t>
            </w:r>
          </w:p>
        </w:tc>
        <w:tc>
          <w:tcPr>
            <w:tcW w:w="3625"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val="0"/>
              <w:snapToGrid w:val="0"/>
              <w:spacing w:line="312" w:lineRule="auto"/>
              <w:ind w:left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组织全院召开医院发展现况与挑战共识会</w:t>
            </w:r>
            <w:r>
              <w:rPr>
                <w:rFonts w:hint="eastAsia" w:ascii="宋体" w:hAnsi="宋体" w:eastAsia="宋体" w:cs="宋体"/>
                <w:color w:val="auto"/>
                <w:sz w:val="24"/>
                <w:szCs w:val="24"/>
                <w:highlight w:val="none"/>
                <w:lang w:eastAsia="zh-CN"/>
              </w:rPr>
              <w:t>。</w:t>
            </w:r>
          </w:p>
        </w:tc>
        <w:tc>
          <w:tcPr>
            <w:tcW w:w="2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、医院发展共识会筹办与宣讲</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（五）全程</w:t>
            </w:r>
          </w:p>
        </w:tc>
        <w:tc>
          <w:tcPr>
            <w:tcW w:w="3625"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val="0"/>
              <w:snapToGrid w:val="0"/>
              <w:spacing w:line="312" w:lineRule="auto"/>
              <w:ind w:left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协助选定试点科室接受科经营辅导</w:t>
            </w:r>
            <w:r>
              <w:rPr>
                <w:rFonts w:hint="eastAsia" w:ascii="宋体" w:hAnsi="宋体" w:eastAsia="宋体" w:cs="宋体"/>
                <w:color w:val="auto"/>
                <w:sz w:val="24"/>
                <w:szCs w:val="24"/>
                <w:highlight w:val="none"/>
                <w:lang w:eastAsia="zh-CN"/>
              </w:rPr>
              <w:t>；</w:t>
            </w:r>
          </w:p>
          <w:p>
            <w:pPr>
              <w:pStyle w:val="45"/>
              <w:keepNext w:val="0"/>
              <w:keepLines w:val="0"/>
              <w:pageBreakBefore w:val="0"/>
              <w:widowControl w:val="0"/>
              <w:numPr>
                <w:ilvl w:val="0"/>
                <w:numId w:val="0"/>
              </w:numPr>
              <w:kinsoku/>
              <w:wordWrap/>
              <w:overflowPunct/>
              <w:topLinePunct w:val="0"/>
              <w:autoSpaceDE/>
              <w:autoSpaceDN/>
              <w:bidi w:val="0"/>
              <w:adjustRightInd w:val="0"/>
              <w:snapToGrid w:val="0"/>
              <w:spacing w:line="312" w:lineRule="auto"/>
              <w:ind w:left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负责试点科室骨干对接与面对面辅导的安排、协调与反馈</w:t>
            </w:r>
            <w:r>
              <w:rPr>
                <w:rFonts w:hint="eastAsia" w:ascii="宋体" w:hAnsi="宋体" w:eastAsia="宋体" w:cs="宋体"/>
                <w:color w:val="auto"/>
                <w:sz w:val="24"/>
                <w:szCs w:val="24"/>
                <w:highlight w:val="none"/>
                <w:lang w:eastAsia="zh-CN"/>
              </w:rPr>
              <w:t>。</w:t>
            </w:r>
          </w:p>
        </w:tc>
        <w:tc>
          <w:tcPr>
            <w:tcW w:w="2895"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val="0"/>
              <w:snapToGrid w:val="0"/>
              <w:spacing w:line="312" w:lineRule="auto"/>
              <w:ind w:left="0" w:left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新任中层骨干（科主任）经营管理培训</w:t>
            </w:r>
            <w:r>
              <w:rPr>
                <w:rFonts w:hint="eastAsia" w:ascii="宋体" w:hAnsi="宋体" w:eastAsia="宋体" w:cs="宋体"/>
                <w:color w:val="auto"/>
                <w:sz w:val="24"/>
                <w:szCs w:val="24"/>
                <w:highlight w:val="none"/>
                <w:lang w:eastAsia="zh-CN"/>
              </w:rPr>
              <w:t>；</w:t>
            </w:r>
          </w:p>
          <w:p>
            <w:pPr>
              <w:pStyle w:val="45"/>
              <w:keepNext w:val="0"/>
              <w:keepLines w:val="0"/>
              <w:pageBreakBefore w:val="0"/>
              <w:widowControl w:val="0"/>
              <w:numPr>
                <w:ilvl w:val="0"/>
                <w:numId w:val="0"/>
              </w:numPr>
              <w:kinsoku/>
              <w:wordWrap/>
              <w:overflowPunct/>
              <w:topLinePunct w:val="0"/>
              <w:autoSpaceDE/>
              <w:autoSpaceDN/>
              <w:bidi w:val="0"/>
              <w:adjustRightInd w:val="0"/>
              <w:snapToGrid w:val="0"/>
              <w:spacing w:line="312" w:lineRule="auto"/>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科室经营管理试点科室全程辅导</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不少于 6个</w:t>
            </w:r>
            <w:r>
              <w:rPr>
                <w:rFonts w:hint="eastAsia" w:ascii="宋体" w:hAnsi="宋体" w:eastAsia="宋体" w:cs="宋体"/>
                <w:color w:val="auto"/>
                <w:sz w:val="24"/>
                <w:szCs w:val="24"/>
                <w:highlight w:val="none"/>
                <w:lang w:eastAsia="zh-CN"/>
              </w:rPr>
              <w:t>）；</w:t>
            </w:r>
          </w:p>
          <w:p>
            <w:pPr>
              <w:pStyle w:val="45"/>
              <w:keepNext w:val="0"/>
              <w:keepLines w:val="0"/>
              <w:pageBreakBefore w:val="0"/>
              <w:widowControl w:val="0"/>
              <w:numPr>
                <w:ilvl w:val="0"/>
                <w:numId w:val="0"/>
              </w:numPr>
              <w:kinsoku/>
              <w:wordWrap/>
              <w:overflowPunct/>
              <w:topLinePunct w:val="0"/>
              <w:autoSpaceDE/>
              <w:autoSpaceDN/>
              <w:bidi w:val="0"/>
              <w:adjustRightInd w:val="0"/>
              <w:snapToGrid w:val="0"/>
              <w:spacing w:line="312" w:lineRule="auto"/>
              <w:ind w:left="0" w:left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院级运营干事遴选与赋能培训</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六</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全程</w:t>
            </w:r>
          </w:p>
        </w:tc>
        <w:tc>
          <w:tcPr>
            <w:tcW w:w="3625"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val="0"/>
              <w:snapToGrid w:val="0"/>
              <w:spacing w:line="312" w:lineRule="auto"/>
              <w:ind w:left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新一年度</w:t>
            </w:r>
            <w:r>
              <w:rPr>
                <w:rFonts w:hint="eastAsia" w:ascii="宋体" w:hAnsi="宋体" w:eastAsia="宋体" w:cs="宋体"/>
                <w:color w:val="auto"/>
                <w:sz w:val="24"/>
                <w:szCs w:val="24"/>
                <w:highlight w:val="none"/>
                <w:lang w:val="en-US" w:eastAsia="zh-CN"/>
              </w:rPr>
              <w:t>国家三级公立医院绩效考核</w:t>
            </w:r>
            <w:r>
              <w:rPr>
                <w:rFonts w:hint="eastAsia" w:ascii="宋体" w:hAnsi="宋体" w:eastAsia="宋体" w:cs="宋体"/>
                <w:color w:val="auto"/>
                <w:sz w:val="24"/>
                <w:szCs w:val="24"/>
                <w:highlight w:val="none"/>
              </w:rPr>
              <w:t>成绩</w:t>
            </w:r>
            <w:r>
              <w:rPr>
                <w:rFonts w:hint="eastAsia" w:ascii="宋体" w:hAnsi="宋体" w:eastAsia="宋体" w:cs="宋体"/>
                <w:color w:val="auto"/>
                <w:sz w:val="24"/>
                <w:szCs w:val="24"/>
                <w:highlight w:val="none"/>
                <w:lang w:eastAsia="zh-CN"/>
              </w:rPr>
              <w:t>。</w:t>
            </w:r>
          </w:p>
        </w:tc>
        <w:tc>
          <w:tcPr>
            <w:tcW w:w="2895"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val="0"/>
              <w:snapToGrid w:val="0"/>
              <w:spacing w:line="312" w:lineRule="auto"/>
              <w:ind w:left="0" w:left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绩效国考全国标杆医院对标分析报告</w:t>
            </w:r>
            <w:r>
              <w:rPr>
                <w:rFonts w:hint="eastAsia" w:ascii="宋体" w:hAnsi="宋体" w:eastAsia="宋体" w:cs="宋体"/>
                <w:color w:val="auto"/>
                <w:sz w:val="24"/>
                <w:szCs w:val="24"/>
                <w:highlight w:val="none"/>
                <w:lang w:eastAsia="zh-CN"/>
              </w:rPr>
              <w:t>。</w:t>
            </w:r>
          </w:p>
        </w:tc>
      </w:tr>
    </w:tbl>
    <w:p>
      <w:pPr>
        <w:pStyle w:val="7"/>
        <w:pageBreakBefore w:val="0"/>
        <w:widowControl w:val="0"/>
        <w:kinsoku/>
        <w:wordWrap/>
        <w:overflowPunct/>
        <w:topLinePunct w:val="0"/>
        <w:autoSpaceDE/>
        <w:autoSpaceDN/>
        <w:bidi w:val="0"/>
        <w:spacing w:after="0" w:line="360" w:lineRule="auto"/>
        <w:ind w:left="0" w:leftChars="0" w:firstLine="0" w:firstLineChars="0"/>
        <w:rPr>
          <w:rFonts w:hint="eastAsia" w:ascii="宋体" w:hAnsi="宋体" w:eastAsia="宋体" w:cs="宋体"/>
          <w:color w:val="auto"/>
          <w:sz w:val="24"/>
          <w:szCs w:val="24"/>
          <w:highlight w:val="none"/>
          <w:lang w:val="en-US" w:eastAsia="zh-CN"/>
        </w:rPr>
      </w:pPr>
    </w:p>
    <w:p>
      <w:pPr>
        <w:pStyle w:val="2"/>
        <w:pageBreakBefore w:val="0"/>
        <w:widowControl w:val="0"/>
        <w:numPr>
          <w:ilvl w:val="0"/>
          <w:numId w:val="0"/>
        </w:numPr>
        <w:kinsoku/>
        <w:wordWrap/>
        <w:overflowPunct/>
        <w:topLinePunct w:val="0"/>
        <w:autoSpaceDE/>
        <w:autoSpaceDN/>
        <w:bidi w:val="0"/>
        <w:snapToGrid w:val="0"/>
        <w:spacing w:before="0" w:line="360" w:lineRule="auto"/>
        <w:rPr>
          <w:rFonts w:hint="eastAsia" w:ascii="宋体" w:hAnsi="宋体" w:eastAsia="宋体" w:cs="宋体"/>
          <w:color w:val="auto"/>
          <w:sz w:val="24"/>
          <w:szCs w:val="24"/>
          <w:highlight w:val="none"/>
          <w:lang w:val="en-US" w:eastAsia="zh-CN" w:bidi="ar"/>
        </w:rPr>
      </w:pPr>
      <w:bookmarkStart w:id="72" w:name="_Toc28924"/>
      <w:r>
        <w:rPr>
          <w:rFonts w:hint="eastAsia" w:ascii="宋体" w:hAnsi="宋体" w:eastAsia="宋体" w:cs="宋体"/>
          <w:color w:val="auto"/>
          <w:sz w:val="24"/>
          <w:szCs w:val="24"/>
          <w:highlight w:val="none"/>
          <w:lang w:val="en-US" w:eastAsia="zh-CN" w:bidi="ar"/>
        </w:rPr>
        <w:t>八、人员要求</w:t>
      </w:r>
      <w:bookmarkEnd w:id="72"/>
    </w:p>
    <w:p>
      <w:pPr>
        <w:pageBreakBefore w:val="0"/>
        <w:widowControl w:val="0"/>
        <w:numPr>
          <w:ilvl w:val="0"/>
          <w:numId w:val="0"/>
        </w:numPr>
        <w:kinsoku/>
        <w:wordWrap/>
        <w:overflowPunct/>
        <w:topLinePunct w:val="0"/>
        <w:autoSpaceDE/>
        <w:autoSpaceDN/>
        <w:bidi w:val="0"/>
        <w:spacing w:line="360" w:lineRule="auto"/>
        <w:ind w:firstLine="240" w:firstLineChars="1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1.具有医疗服务与管理咨询工作经验；</w:t>
      </w:r>
    </w:p>
    <w:p>
      <w:pPr>
        <w:pageBreakBefore w:val="0"/>
        <w:widowControl w:val="0"/>
        <w:numPr>
          <w:ilvl w:val="0"/>
          <w:numId w:val="0"/>
        </w:numPr>
        <w:kinsoku/>
        <w:wordWrap/>
        <w:overflowPunct/>
        <w:topLinePunct w:val="0"/>
        <w:autoSpaceDE/>
        <w:autoSpaceDN/>
        <w:bidi w:val="0"/>
        <w:spacing w:line="360" w:lineRule="auto"/>
        <w:ind w:firstLine="240" w:firstLineChars="1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2.具有深度辅导公立医院绩效考核前50名医院的工作经验；</w:t>
      </w:r>
    </w:p>
    <w:p>
      <w:pPr>
        <w:pageBreakBefore w:val="0"/>
        <w:widowControl w:val="0"/>
        <w:numPr>
          <w:ilvl w:val="0"/>
          <w:numId w:val="0"/>
        </w:numPr>
        <w:kinsoku/>
        <w:wordWrap/>
        <w:overflowPunct/>
        <w:topLinePunct w:val="0"/>
        <w:autoSpaceDE/>
        <w:autoSpaceDN/>
        <w:bidi w:val="0"/>
        <w:spacing w:line="360" w:lineRule="auto"/>
        <w:ind w:firstLine="240" w:firstLineChars="1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3.具有三年以上深度辅导医院运营管理的工作经验；</w:t>
      </w:r>
    </w:p>
    <w:p>
      <w:pPr>
        <w:pageBreakBefore w:val="0"/>
        <w:widowControl w:val="0"/>
        <w:numPr>
          <w:ilvl w:val="0"/>
          <w:numId w:val="0"/>
        </w:numPr>
        <w:kinsoku/>
        <w:wordWrap/>
        <w:overflowPunct/>
        <w:topLinePunct w:val="0"/>
        <w:autoSpaceDE/>
        <w:autoSpaceDN/>
        <w:bidi w:val="0"/>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4.来院团队人员不少于4人，项目负责人为公司高层管理管理人员。</w:t>
      </w:r>
    </w:p>
    <w:p>
      <w:pPr>
        <w:pageBreakBefore w:val="0"/>
        <w:widowControl w:val="0"/>
        <w:kinsoku/>
        <w:wordWrap/>
        <w:overflowPunct/>
        <w:topLinePunct w:val="0"/>
        <w:autoSpaceDE/>
        <w:autoSpaceDN/>
        <w:bidi w:val="0"/>
        <w:spacing w:line="360" w:lineRule="auto"/>
        <w:rPr>
          <w:rFonts w:hint="eastAsia" w:ascii="宋体" w:hAnsi="宋体" w:eastAsia="宋体" w:cs="宋体"/>
          <w:color w:val="auto"/>
          <w:sz w:val="24"/>
          <w:szCs w:val="24"/>
          <w:highlight w:val="none"/>
        </w:rPr>
      </w:pPr>
    </w:p>
    <w:p>
      <w:pPr>
        <w:pStyle w:val="2"/>
        <w:pageBreakBefore w:val="0"/>
        <w:widowControl w:val="0"/>
        <w:numPr>
          <w:ilvl w:val="0"/>
          <w:numId w:val="0"/>
        </w:numPr>
        <w:kinsoku/>
        <w:wordWrap/>
        <w:overflowPunct/>
        <w:topLinePunct w:val="0"/>
        <w:autoSpaceDE/>
        <w:autoSpaceDN/>
        <w:bidi w:val="0"/>
        <w:snapToGrid w:val="0"/>
        <w:spacing w:before="0" w:line="360" w:lineRule="auto"/>
        <w:rPr>
          <w:rFonts w:hint="eastAsia" w:ascii="宋体" w:hAnsi="宋体" w:eastAsia="宋体" w:cs="宋体"/>
          <w:color w:val="auto"/>
          <w:sz w:val="24"/>
          <w:szCs w:val="24"/>
          <w:highlight w:val="none"/>
          <w:lang w:val="en-US" w:eastAsia="zh-CN" w:bidi="ar"/>
        </w:rPr>
      </w:pPr>
      <w:bookmarkStart w:id="73" w:name="_Toc21918"/>
      <w:r>
        <w:rPr>
          <w:rFonts w:hint="eastAsia" w:ascii="宋体" w:hAnsi="宋体" w:eastAsia="宋体" w:cs="宋体"/>
          <w:color w:val="auto"/>
          <w:sz w:val="24"/>
          <w:szCs w:val="24"/>
          <w:highlight w:val="none"/>
          <w:lang w:val="en-US" w:eastAsia="zh-CN" w:bidi="ar"/>
        </w:rPr>
        <w:t>九、其他要求</w:t>
      </w:r>
      <w:bookmarkEnd w:id="73"/>
    </w:p>
    <w:p>
      <w:pPr>
        <w:pageBreakBefore w:val="0"/>
        <w:widowControl w:val="0"/>
        <w:numPr>
          <w:ilvl w:val="0"/>
          <w:numId w:val="0"/>
        </w:numPr>
        <w:kinsoku/>
        <w:wordWrap/>
        <w:overflowPunct/>
        <w:topLinePunct w:val="0"/>
        <w:autoSpaceDE/>
        <w:autoSpaceDN/>
        <w:bidi w:val="0"/>
        <w:spacing w:line="360" w:lineRule="auto"/>
        <w:ind w:firstLine="240" w:firstLineChars="1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1.本次成果所有权和使用权均属于采购单位所有。未经采购单位书面同意，任何单位和个人不得转让和使用本项目的成果。</w:t>
      </w:r>
    </w:p>
    <w:p>
      <w:pPr>
        <w:pageBreakBefore w:val="0"/>
        <w:widowControl w:val="0"/>
        <w:numPr>
          <w:ilvl w:val="0"/>
          <w:numId w:val="0"/>
        </w:numPr>
        <w:kinsoku/>
        <w:wordWrap/>
        <w:overflowPunct/>
        <w:topLinePunct w:val="0"/>
        <w:autoSpaceDE/>
        <w:autoSpaceDN/>
        <w:bidi w:val="0"/>
        <w:spacing w:line="360" w:lineRule="auto"/>
        <w:ind w:firstLine="240" w:firstLineChars="1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2.中标人须建立严格的保密制度，并加强对工作人员的保密管理及保密知识教育。</w:t>
      </w:r>
    </w:p>
    <w:p>
      <w:pPr>
        <w:pageBreakBefore w:val="0"/>
        <w:widowControl w:val="0"/>
        <w:numPr>
          <w:ilvl w:val="0"/>
          <w:numId w:val="0"/>
        </w:numPr>
        <w:kinsoku/>
        <w:wordWrap/>
        <w:overflowPunct/>
        <w:topLinePunct w:val="0"/>
        <w:autoSpaceDE/>
        <w:autoSpaceDN/>
        <w:bidi w:val="0"/>
        <w:spacing w:line="360" w:lineRule="auto"/>
        <w:ind w:firstLine="240" w:firstLineChars="1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3.中标人须承担与此有关的技术情报和数据资料的保密责任。与本项目有关的资料及数据成果中涉及国家秘密的内容，均要求按照《国家保密法》及相关法律法规执行。</w:t>
      </w:r>
    </w:p>
    <w:p>
      <w:pPr>
        <w:pageBreakBefore w:val="0"/>
        <w:widowControl w:val="0"/>
        <w:numPr>
          <w:ilvl w:val="0"/>
          <w:numId w:val="0"/>
        </w:numPr>
        <w:kinsoku/>
        <w:wordWrap/>
        <w:overflowPunct/>
        <w:topLinePunct w:val="0"/>
        <w:autoSpaceDE/>
        <w:autoSpaceDN/>
        <w:bidi w:val="0"/>
        <w:spacing w:line="360" w:lineRule="auto"/>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4.签订并严格落实安全保密协议，不得向第三方泄漏所咨询项目采购方认为需要保密的内容，包括但不仅限于规划编制过程中的工作资料，调研内容，规划成果等。</w:t>
      </w:r>
    </w:p>
    <w:p>
      <w:pPr>
        <w:pageBreakBefore w:val="0"/>
        <w:widowControl w:val="0"/>
        <w:tabs>
          <w:tab w:val="left" w:pos="2996"/>
        </w:tabs>
        <w:kinsoku/>
        <w:wordWrap/>
        <w:overflowPunct/>
        <w:topLinePunct w:val="0"/>
        <w:autoSpaceDE/>
        <w:autoSpaceDN/>
        <w:bidi w:val="0"/>
        <w:spacing w:line="360" w:lineRule="auto"/>
        <w:ind w:left="11"/>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snapToGrid w:val="0"/>
        <w:spacing w:line="360" w:lineRule="auto"/>
        <w:jc w:val="center"/>
        <w:outlineLvl w:val="0"/>
        <w:rPr>
          <w:rFonts w:hint="eastAsia" w:ascii="宋体" w:hAnsi="宋体" w:eastAsia="宋体" w:cs="宋体"/>
          <w:b/>
          <w:color w:val="auto"/>
          <w:sz w:val="36"/>
          <w:szCs w:val="36"/>
          <w:highlight w:val="none"/>
        </w:rPr>
      </w:pPr>
      <w:bookmarkStart w:id="74" w:name="_Toc24301"/>
      <w:r>
        <w:rPr>
          <w:rFonts w:hint="eastAsia" w:ascii="宋体" w:hAnsi="宋体" w:eastAsia="宋体" w:cs="宋体"/>
          <w:b/>
          <w:color w:val="auto"/>
          <w:sz w:val="36"/>
          <w:szCs w:val="36"/>
          <w:highlight w:val="none"/>
        </w:rPr>
        <w:t xml:space="preserve">第四部分   </w:t>
      </w:r>
      <w:bookmarkStart w:id="75" w:name="_Toc184308037"/>
      <w:bookmarkEnd w:id="75"/>
      <w:bookmarkStart w:id="76" w:name="_Toc184308076"/>
      <w:bookmarkEnd w:id="76"/>
      <w:bookmarkStart w:id="77" w:name="_Toc184312096"/>
      <w:bookmarkEnd w:id="77"/>
      <w:bookmarkStart w:id="78" w:name="_Toc184313309"/>
      <w:bookmarkEnd w:id="78"/>
      <w:bookmarkStart w:id="79" w:name="_Toc184308107"/>
      <w:bookmarkEnd w:id="79"/>
      <w:bookmarkStart w:id="80" w:name="_Toc184313288"/>
      <w:bookmarkEnd w:id="80"/>
      <w:bookmarkStart w:id="81" w:name="_Toc184312091"/>
      <w:bookmarkEnd w:id="81"/>
      <w:bookmarkStart w:id="82" w:name="_Toc184310320"/>
      <w:bookmarkEnd w:id="82"/>
      <w:bookmarkStart w:id="83" w:name="_Toc184308044"/>
      <w:bookmarkEnd w:id="83"/>
      <w:bookmarkStart w:id="84" w:name="_Toc184310302"/>
      <w:bookmarkEnd w:id="84"/>
      <w:bookmarkStart w:id="85" w:name="_Toc184308046"/>
      <w:bookmarkEnd w:id="85"/>
      <w:bookmarkStart w:id="86" w:name="_Toc184310280"/>
      <w:bookmarkEnd w:id="86"/>
      <w:bookmarkStart w:id="87" w:name="_Toc184310287"/>
      <w:bookmarkEnd w:id="87"/>
      <w:bookmarkStart w:id="88" w:name="_Toc184308093"/>
      <w:bookmarkEnd w:id="88"/>
      <w:bookmarkStart w:id="89" w:name="_Toc184314464"/>
      <w:bookmarkEnd w:id="89"/>
      <w:bookmarkStart w:id="90" w:name="_Toc184310329"/>
      <w:bookmarkEnd w:id="90"/>
      <w:bookmarkStart w:id="91" w:name="_Toc184314452"/>
      <w:bookmarkEnd w:id="91"/>
      <w:bookmarkStart w:id="92" w:name="_Toc184310331"/>
      <w:bookmarkEnd w:id="92"/>
      <w:bookmarkStart w:id="93" w:name="_Toc184308043"/>
      <w:bookmarkEnd w:id="93"/>
      <w:bookmarkStart w:id="94" w:name="_Toc184312089"/>
      <w:bookmarkEnd w:id="94"/>
      <w:bookmarkStart w:id="95" w:name="_Toc184312110"/>
      <w:bookmarkEnd w:id="95"/>
      <w:bookmarkStart w:id="96" w:name="_Toc184314468"/>
      <w:bookmarkEnd w:id="96"/>
      <w:bookmarkStart w:id="97" w:name="_Toc184313298"/>
      <w:bookmarkEnd w:id="97"/>
      <w:bookmarkStart w:id="98" w:name="_Toc184314462"/>
      <w:bookmarkEnd w:id="98"/>
      <w:bookmarkStart w:id="99" w:name="_Toc184314437"/>
      <w:bookmarkEnd w:id="99"/>
      <w:bookmarkStart w:id="100" w:name="_Toc184313242"/>
      <w:bookmarkEnd w:id="100"/>
      <w:bookmarkStart w:id="101" w:name="_Toc184314423"/>
      <w:bookmarkEnd w:id="101"/>
      <w:bookmarkStart w:id="102" w:name="_Toc184310334"/>
      <w:bookmarkEnd w:id="102"/>
      <w:bookmarkStart w:id="103" w:name="_Toc184308077"/>
      <w:bookmarkEnd w:id="103"/>
      <w:bookmarkStart w:id="104" w:name="_Toc184314435"/>
      <w:bookmarkEnd w:id="104"/>
      <w:bookmarkStart w:id="105" w:name="_Toc184313304"/>
      <w:bookmarkEnd w:id="105"/>
      <w:bookmarkStart w:id="106" w:name="_Toc184312090"/>
      <w:bookmarkEnd w:id="106"/>
      <w:bookmarkStart w:id="107" w:name="_Toc184308095"/>
      <w:bookmarkEnd w:id="107"/>
      <w:bookmarkStart w:id="108" w:name="_Toc184308088"/>
      <w:bookmarkEnd w:id="108"/>
      <w:bookmarkStart w:id="109" w:name="_Toc184308094"/>
      <w:bookmarkEnd w:id="109"/>
      <w:bookmarkStart w:id="110" w:name="_Toc184308063"/>
      <w:bookmarkEnd w:id="110"/>
      <w:bookmarkStart w:id="111" w:name="_Toc184314415"/>
      <w:bookmarkEnd w:id="111"/>
      <w:bookmarkStart w:id="112" w:name="_Toc184314448"/>
      <w:bookmarkEnd w:id="112"/>
      <w:bookmarkStart w:id="113" w:name="_Toc184313261"/>
      <w:bookmarkEnd w:id="113"/>
      <w:bookmarkStart w:id="114" w:name="_Toc184314472"/>
      <w:bookmarkEnd w:id="114"/>
      <w:bookmarkStart w:id="115" w:name="_Toc184310340"/>
      <w:bookmarkEnd w:id="115"/>
      <w:bookmarkStart w:id="116" w:name="_Toc184314451"/>
      <w:bookmarkEnd w:id="116"/>
      <w:bookmarkStart w:id="117" w:name="_Toc184310330"/>
      <w:bookmarkEnd w:id="117"/>
      <w:bookmarkStart w:id="118" w:name="_Toc184312074"/>
      <w:bookmarkEnd w:id="118"/>
      <w:bookmarkStart w:id="119" w:name="_Toc184314414"/>
      <w:bookmarkEnd w:id="119"/>
      <w:bookmarkStart w:id="120" w:name="_Toc184313244"/>
      <w:bookmarkEnd w:id="120"/>
      <w:bookmarkStart w:id="121" w:name="_Toc184313286"/>
      <w:bookmarkEnd w:id="121"/>
      <w:bookmarkStart w:id="122" w:name="_Toc184310312"/>
      <w:bookmarkEnd w:id="122"/>
      <w:bookmarkStart w:id="123" w:name="_Toc184308050"/>
      <w:bookmarkEnd w:id="123"/>
      <w:bookmarkStart w:id="124" w:name="_Toc184312104"/>
      <w:bookmarkEnd w:id="124"/>
      <w:bookmarkStart w:id="125" w:name="_Toc184312133"/>
      <w:bookmarkEnd w:id="125"/>
      <w:bookmarkStart w:id="126" w:name="_Toc184313250"/>
      <w:bookmarkEnd w:id="126"/>
      <w:bookmarkStart w:id="127" w:name="_Toc184308059"/>
      <w:bookmarkEnd w:id="127"/>
      <w:bookmarkStart w:id="128" w:name="_Toc184312125"/>
      <w:bookmarkEnd w:id="128"/>
      <w:bookmarkStart w:id="129" w:name="_Toc184313294"/>
      <w:bookmarkEnd w:id="129"/>
      <w:bookmarkStart w:id="130" w:name="_Toc184310338"/>
      <w:bookmarkEnd w:id="130"/>
      <w:bookmarkStart w:id="131" w:name="_Toc184308099"/>
      <w:bookmarkEnd w:id="131"/>
      <w:bookmarkStart w:id="132" w:name="_Toc184314465"/>
      <w:bookmarkEnd w:id="132"/>
      <w:bookmarkStart w:id="133" w:name="_Toc184312118"/>
      <w:bookmarkEnd w:id="133"/>
      <w:bookmarkStart w:id="134" w:name="_Toc184314479"/>
      <w:bookmarkEnd w:id="134"/>
      <w:bookmarkStart w:id="135" w:name="_Toc184310295"/>
      <w:bookmarkEnd w:id="135"/>
      <w:bookmarkStart w:id="136" w:name="_Toc184313248"/>
      <w:bookmarkEnd w:id="136"/>
      <w:bookmarkStart w:id="137" w:name="_Toc184312099"/>
      <w:bookmarkEnd w:id="137"/>
      <w:bookmarkStart w:id="138" w:name="_Toc184312107"/>
      <w:bookmarkEnd w:id="138"/>
      <w:bookmarkStart w:id="139" w:name="_Toc184312120"/>
      <w:bookmarkEnd w:id="139"/>
      <w:bookmarkStart w:id="140" w:name="_Toc184312080"/>
      <w:bookmarkEnd w:id="140"/>
      <w:bookmarkStart w:id="141" w:name="_Toc184308062"/>
      <w:bookmarkEnd w:id="141"/>
      <w:bookmarkStart w:id="142" w:name="_Toc184310304"/>
      <w:bookmarkEnd w:id="142"/>
      <w:bookmarkStart w:id="143" w:name="_Toc184308106"/>
      <w:bookmarkEnd w:id="143"/>
      <w:bookmarkStart w:id="144" w:name="_Toc184312075"/>
      <w:bookmarkEnd w:id="144"/>
      <w:bookmarkStart w:id="145" w:name="_Toc184312138"/>
      <w:bookmarkEnd w:id="145"/>
      <w:bookmarkStart w:id="146" w:name="_Toc184314420"/>
      <w:bookmarkEnd w:id="146"/>
      <w:bookmarkStart w:id="147" w:name="_Toc184308073"/>
      <w:bookmarkEnd w:id="147"/>
      <w:bookmarkStart w:id="148" w:name="_Toc184310324"/>
      <w:bookmarkEnd w:id="148"/>
      <w:bookmarkStart w:id="149" w:name="_Toc184313252"/>
      <w:bookmarkEnd w:id="149"/>
      <w:bookmarkStart w:id="150" w:name="_Toc184310319"/>
      <w:bookmarkEnd w:id="150"/>
      <w:bookmarkStart w:id="151" w:name="_Toc184312076"/>
      <w:bookmarkEnd w:id="151"/>
      <w:bookmarkStart w:id="152" w:name="_Toc184314477"/>
      <w:bookmarkEnd w:id="152"/>
      <w:bookmarkStart w:id="153" w:name="_Toc184308060"/>
      <w:bookmarkEnd w:id="153"/>
      <w:bookmarkStart w:id="154" w:name="_Toc184312121"/>
      <w:bookmarkEnd w:id="154"/>
      <w:bookmarkStart w:id="155" w:name="_Toc184308042"/>
      <w:bookmarkEnd w:id="155"/>
      <w:bookmarkStart w:id="156" w:name="_Toc184313297"/>
      <w:bookmarkEnd w:id="156"/>
      <w:bookmarkStart w:id="157" w:name="_Toc184312136"/>
      <w:bookmarkEnd w:id="157"/>
      <w:bookmarkStart w:id="158" w:name="_Toc184314457"/>
      <w:bookmarkEnd w:id="158"/>
      <w:bookmarkStart w:id="159" w:name="_Toc184312126"/>
      <w:bookmarkEnd w:id="159"/>
      <w:bookmarkStart w:id="160" w:name="_Toc184310306"/>
      <w:bookmarkEnd w:id="160"/>
      <w:bookmarkStart w:id="161" w:name="_Toc184310325"/>
      <w:bookmarkEnd w:id="161"/>
      <w:bookmarkStart w:id="162" w:name="_Toc184313265"/>
      <w:bookmarkEnd w:id="162"/>
      <w:bookmarkStart w:id="163" w:name="_Toc184314456"/>
      <w:bookmarkEnd w:id="163"/>
      <w:bookmarkStart w:id="164" w:name="_Toc184313243"/>
      <w:bookmarkEnd w:id="164"/>
      <w:bookmarkStart w:id="165" w:name="_Toc184313296"/>
      <w:bookmarkEnd w:id="165"/>
      <w:bookmarkStart w:id="166" w:name="_Toc184313274"/>
      <w:bookmarkEnd w:id="166"/>
      <w:bookmarkStart w:id="167" w:name="_Toc184310333"/>
      <w:bookmarkEnd w:id="167"/>
      <w:bookmarkStart w:id="168" w:name="_Toc184308102"/>
      <w:bookmarkEnd w:id="168"/>
      <w:bookmarkStart w:id="169" w:name="_Toc184312105"/>
      <w:bookmarkEnd w:id="169"/>
      <w:bookmarkStart w:id="170" w:name="_Toc184310286"/>
      <w:bookmarkEnd w:id="170"/>
      <w:bookmarkStart w:id="171" w:name="_Toc184314425"/>
      <w:bookmarkEnd w:id="171"/>
      <w:bookmarkStart w:id="172" w:name="_Toc184313305"/>
      <w:bookmarkEnd w:id="172"/>
      <w:bookmarkStart w:id="173" w:name="_Toc184314422"/>
      <w:bookmarkEnd w:id="173"/>
      <w:bookmarkStart w:id="174" w:name="_Toc184313284"/>
      <w:bookmarkEnd w:id="174"/>
      <w:bookmarkStart w:id="175" w:name="_Toc184308097"/>
      <w:bookmarkEnd w:id="175"/>
      <w:bookmarkStart w:id="176" w:name="_Toc184314463"/>
      <w:bookmarkEnd w:id="176"/>
      <w:bookmarkStart w:id="177" w:name="_Toc184313245"/>
      <w:bookmarkEnd w:id="177"/>
      <w:bookmarkStart w:id="178" w:name="_Toc184314427"/>
      <w:bookmarkEnd w:id="178"/>
      <w:bookmarkStart w:id="179" w:name="_Toc184310321"/>
      <w:bookmarkEnd w:id="179"/>
      <w:bookmarkStart w:id="180" w:name="_Toc184308103"/>
      <w:bookmarkEnd w:id="180"/>
      <w:bookmarkStart w:id="181" w:name="_Toc184308092"/>
      <w:bookmarkEnd w:id="181"/>
      <w:bookmarkStart w:id="182" w:name="_Toc184312139"/>
      <w:bookmarkEnd w:id="182"/>
      <w:bookmarkStart w:id="183" w:name="_Toc184313276"/>
      <w:bookmarkEnd w:id="183"/>
      <w:bookmarkStart w:id="184" w:name="_Toc184314481"/>
      <w:bookmarkEnd w:id="184"/>
      <w:bookmarkStart w:id="185" w:name="_Toc184314442"/>
      <w:bookmarkEnd w:id="185"/>
      <w:bookmarkStart w:id="186" w:name="_Toc184314467"/>
      <w:bookmarkEnd w:id="186"/>
      <w:bookmarkStart w:id="187" w:name="_Toc184308045"/>
      <w:bookmarkEnd w:id="187"/>
      <w:bookmarkStart w:id="188" w:name="_Toc184312132"/>
      <w:bookmarkEnd w:id="188"/>
      <w:bookmarkStart w:id="189" w:name="_Toc184312124"/>
      <w:bookmarkEnd w:id="189"/>
      <w:bookmarkStart w:id="190" w:name="_Toc184313241"/>
      <w:bookmarkEnd w:id="190"/>
      <w:bookmarkStart w:id="191" w:name="_Toc184312131"/>
      <w:bookmarkEnd w:id="191"/>
      <w:bookmarkStart w:id="192" w:name="_Toc184308098"/>
      <w:bookmarkEnd w:id="192"/>
      <w:bookmarkStart w:id="193" w:name="_Toc184308041"/>
      <w:bookmarkEnd w:id="193"/>
      <w:bookmarkStart w:id="194" w:name="_Toc184308086"/>
      <w:bookmarkEnd w:id="194"/>
      <w:bookmarkStart w:id="195" w:name="_Toc184310313"/>
      <w:bookmarkEnd w:id="195"/>
      <w:bookmarkStart w:id="196" w:name="_Toc184313281"/>
      <w:bookmarkEnd w:id="196"/>
      <w:bookmarkStart w:id="197" w:name="_Toc184314480"/>
      <w:bookmarkEnd w:id="197"/>
      <w:bookmarkStart w:id="198" w:name="_Toc184313301"/>
      <w:bookmarkEnd w:id="198"/>
      <w:bookmarkStart w:id="199" w:name="_Toc184314461"/>
      <w:bookmarkEnd w:id="199"/>
      <w:bookmarkStart w:id="200" w:name="_Toc184313299"/>
      <w:bookmarkEnd w:id="200"/>
      <w:bookmarkStart w:id="201" w:name="_Toc184310326"/>
      <w:bookmarkEnd w:id="201"/>
      <w:bookmarkStart w:id="202" w:name="_Toc184313291"/>
      <w:bookmarkEnd w:id="202"/>
      <w:bookmarkStart w:id="203" w:name="_Toc184308068"/>
      <w:bookmarkEnd w:id="203"/>
      <w:bookmarkStart w:id="204" w:name="_Toc184312109"/>
      <w:bookmarkEnd w:id="204"/>
      <w:bookmarkStart w:id="205" w:name="_Toc184313310"/>
      <w:bookmarkEnd w:id="205"/>
      <w:bookmarkStart w:id="206" w:name="_Toc184314419"/>
      <w:bookmarkEnd w:id="206"/>
      <w:bookmarkStart w:id="207" w:name="_Toc184312123"/>
      <w:bookmarkEnd w:id="207"/>
      <w:bookmarkStart w:id="208" w:name="_Toc184313290"/>
      <w:bookmarkEnd w:id="208"/>
      <w:bookmarkStart w:id="209" w:name="_Toc184313273"/>
      <w:bookmarkEnd w:id="209"/>
      <w:bookmarkStart w:id="210" w:name="_Toc184312101"/>
      <w:bookmarkEnd w:id="210"/>
      <w:bookmarkStart w:id="211" w:name="_Toc184313289"/>
      <w:bookmarkEnd w:id="211"/>
      <w:bookmarkStart w:id="212" w:name="_Toc184314424"/>
      <w:bookmarkEnd w:id="212"/>
      <w:bookmarkStart w:id="213" w:name="_Toc184314410"/>
      <w:bookmarkEnd w:id="213"/>
      <w:bookmarkStart w:id="214" w:name="_Toc184308090"/>
      <w:bookmarkEnd w:id="214"/>
      <w:bookmarkStart w:id="215" w:name="_Toc184312114"/>
      <w:bookmarkEnd w:id="215"/>
      <w:bookmarkStart w:id="216" w:name="_Toc184312122"/>
      <w:bookmarkEnd w:id="216"/>
      <w:bookmarkStart w:id="217" w:name="_Toc184308108"/>
      <w:bookmarkEnd w:id="217"/>
      <w:bookmarkStart w:id="218" w:name="_Toc184314426"/>
      <w:bookmarkEnd w:id="218"/>
      <w:bookmarkStart w:id="219" w:name="_Toc184312137"/>
      <w:bookmarkEnd w:id="219"/>
      <w:bookmarkStart w:id="220" w:name="_Toc184310301"/>
      <w:bookmarkEnd w:id="220"/>
      <w:bookmarkStart w:id="221" w:name="_Toc184312127"/>
      <w:bookmarkEnd w:id="221"/>
      <w:bookmarkStart w:id="222" w:name="_Toc184310311"/>
      <w:bookmarkEnd w:id="222"/>
      <w:bookmarkStart w:id="223" w:name="_Toc184308085"/>
      <w:bookmarkEnd w:id="223"/>
      <w:bookmarkStart w:id="224" w:name="_Toc184314453"/>
      <w:bookmarkEnd w:id="224"/>
      <w:bookmarkStart w:id="225" w:name="_Toc184312129"/>
      <w:bookmarkEnd w:id="225"/>
      <w:bookmarkStart w:id="226" w:name="_Toc184308083"/>
      <w:bookmarkEnd w:id="226"/>
      <w:bookmarkStart w:id="227" w:name="_Toc184310328"/>
      <w:bookmarkEnd w:id="227"/>
      <w:bookmarkStart w:id="228" w:name="_Toc184312093"/>
      <w:bookmarkEnd w:id="228"/>
      <w:bookmarkStart w:id="229" w:name="_Toc184312112"/>
      <w:bookmarkEnd w:id="229"/>
      <w:bookmarkStart w:id="230" w:name="_Toc184314412"/>
      <w:bookmarkEnd w:id="230"/>
      <w:bookmarkStart w:id="231" w:name="_Toc184312130"/>
      <w:bookmarkEnd w:id="231"/>
      <w:bookmarkStart w:id="232" w:name="_Toc184308070"/>
      <w:bookmarkEnd w:id="232"/>
      <w:bookmarkStart w:id="233" w:name="_Toc184308080"/>
      <w:bookmarkEnd w:id="233"/>
      <w:bookmarkStart w:id="234" w:name="_Toc184310307"/>
      <w:bookmarkEnd w:id="234"/>
      <w:bookmarkStart w:id="235" w:name="_Toc184308087"/>
      <w:bookmarkEnd w:id="235"/>
      <w:bookmarkStart w:id="236" w:name="_Toc184313239"/>
      <w:bookmarkEnd w:id="236"/>
      <w:bookmarkStart w:id="237" w:name="_Toc184312071"/>
      <w:bookmarkEnd w:id="237"/>
      <w:bookmarkStart w:id="238" w:name="_Toc184313285"/>
      <w:bookmarkEnd w:id="238"/>
      <w:bookmarkStart w:id="239" w:name="_Toc184314469"/>
      <w:bookmarkEnd w:id="239"/>
      <w:bookmarkStart w:id="240" w:name="_Toc184308091"/>
      <w:bookmarkEnd w:id="240"/>
      <w:bookmarkStart w:id="241" w:name="_Toc184310282"/>
      <w:bookmarkEnd w:id="241"/>
      <w:bookmarkStart w:id="242" w:name="_Toc184313295"/>
      <w:bookmarkEnd w:id="242"/>
      <w:bookmarkStart w:id="243" w:name="_Toc184314460"/>
      <w:bookmarkEnd w:id="243"/>
      <w:bookmarkStart w:id="244" w:name="_Toc184314466"/>
      <w:bookmarkEnd w:id="244"/>
      <w:bookmarkStart w:id="245" w:name="_Toc184310343"/>
      <w:bookmarkEnd w:id="245"/>
      <w:bookmarkStart w:id="246" w:name="_Toc184308089"/>
      <w:bookmarkEnd w:id="246"/>
      <w:bookmarkStart w:id="247" w:name="_Toc184308036"/>
      <w:bookmarkEnd w:id="247"/>
      <w:bookmarkStart w:id="248" w:name="_Toc184313308"/>
      <w:bookmarkEnd w:id="248"/>
      <w:bookmarkStart w:id="249" w:name="_Toc184310337"/>
      <w:bookmarkEnd w:id="249"/>
      <w:bookmarkStart w:id="250" w:name="_Toc184314440"/>
      <w:bookmarkEnd w:id="250"/>
      <w:bookmarkStart w:id="251" w:name="_Toc184308051"/>
      <w:bookmarkEnd w:id="251"/>
      <w:bookmarkStart w:id="252" w:name="_Toc184312081"/>
      <w:bookmarkEnd w:id="252"/>
      <w:bookmarkStart w:id="253" w:name="_Toc184313238"/>
      <w:bookmarkEnd w:id="253"/>
      <w:bookmarkStart w:id="254" w:name="_Toc184310284"/>
      <w:bookmarkEnd w:id="254"/>
      <w:bookmarkStart w:id="255" w:name="_Toc184312102"/>
      <w:bookmarkEnd w:id="255"/>
      <w:bookmarkStart w:id="256" w:name="_Toc184312100"/>
      <w:bookmarkEnd w:id="256"/>
      <w:bookmarkStart w:id="257" w:name="_Toc184314441"/>
      <w:bookmarkEnd w:id="257"/>
      <w:bookmarkStart w:id="258" w:name="_Toc184314455"/>
      <w:bookmarkEnd w:id="258"/>
      <w:bookmarkStart w:id="259" w:name="_Toc184313264"/>
      <w:bookmarkEnd w:id="259"/>
      <w:bookmarkStart w:id="260" w:name="_Toc184313278"/>
      <w:bookmarkEnd w:id="260"/>
      <w:bookmarkStart w:id="261" w:name="_Toc184314471"/>
      <w:bookmarkEnd w:id="261"/>
      <w:bookmarkStart w:id="262" w:name="_Toc184308071"/>
      <w:bookmarkEnd w:id="262"/>
      <w:bookmarkStart w:id="263" w:name="_Toc184313293"/>
      <w:bookmarkEnd w:id="263"/>
      <w:bookmarkStart w:id="264" w:name="_Toc184312119"/>
      <w:bookmarkEnd w:id="264"/>
      <w:bookmarkStart w:id="265" w:name="_Toc184310308"/>
      <w:bookmarkEnd w:id="265"/>
      <w:bookmarkStart w:id="266" w:name="_Toc184312078"/>
      <w:bookmarkEnd w:id="266"/>
      <w:bookmarkStart w:id="267" w:name="_Toc184314476"/>
      <w:bookmarkEnd w:id="267"/>
      <w:bookmarkStart w:id="268" w:name="_Toc184308100"/>
      <w:bookmarkEnd w:id="268"/>
      <w:bookmarkStart w:id="269" w:name="_Toc184310309"/>
      <w:bookmarkEnd w:id="269"/>
      <w:bookmarkStart w:id="270" w:name="_Toc184312103"/>
      <w:bookmarkEnd w:id="270"/>
      <w:bookmarkStart w:id="271" w:name="_Toc184314421"/>
      <w:bookmarkEnd w:id="271"/>
      <w:bookmarkStart w:id="272" w:name="_Toc184314444"/>
      <w:bookmarkEnd w:id="272"/>
      <w:bookmarkStart w:id="273" w:name="_Toc184313302"/>
      <w:bookmarkEnd w:id="273"/>
      <w:bookmarkStart w:id="274" w:name="_Toc184314445"/>
      <w:bookmarkEnd w:id="274"/>
      <w:bookmarkStart w:id="275" w:name="_Toc184310327"/>
      <w:bookmarkEnd w:id="275"/>
      <w:bookmarkStart w:id="276" w:name="_Toc184312128"/>
      <w:bookmarkEnd w:id="276"/>
      <w:bookmarkStart w:id="277" w:name="_Toc184313255"/>
      <w:bookmarkEnd w:id="277"/>
      <w:bookmarkStart w:id="278" w:name="_Toc184310285"/>
      <w:bookmarkEnd w:id="278"/>
      <w:bookmarkStart w:id="279" w:name="_Toc184310305"/>
      <w:bookmarkEnd w:id="279"/>
      <w:bookmarkStart w:id="280" w:name="_Toc184310297"/>
      <w:bookmarkEnd w:id="280"/>
      <w:bookmarkStart w:id="281" w:name="_Toc184308040"/>
      <w:bookmarkEnd w:id="281"/>
      <w:bookmarkStart w:id="282" w:name="_Toc184314470"/>
      <w:bookmarkEnd w:id="282"/>
      <w:bookmarkStart w:id="283" w:name="_Toc184313247"/>
      <w:bookmarkEnd w:id="283"/>
      <w:bookmarkStart w:id="284" w:name="_Toc184310289"/>
      <w:bookmarkEnd w:id="284"/>
      <w:bookmarkStart w:id="285" w:name="_Toc184310303"/>
      <w:bookmarkEnd w:id="285"/>
      <w:bookmarkStart w:id="286" w:name="_Toc184313249"/>
      <w:bookmarkEnd w:id="286"/>
      <w:bookmarkStart w:id="287" w:name="_Toc184313279"/>
      <w:bookmarkEnd w:id="287"/>
      <w:bookmarkStart w:id="288" w:name="_Toc184310293"/>
      <w:bookmarkEnd w:id="288"/>
      <w:bookmarkStart w:id="289" w:name="_Toc184312086"/>
      <w:bookmarkEnd w:id="289"/>
      <w:bookmarkStart w:id="290" w:name="_Toc184308101"/>
      <w:bookmarkEnd w:id="290"/>
      <w:bookmarkStart w:id="291" w:name="_Toc184312115"/>
      <w:bookmarkEnd w:id="291"/>
      <w:bookmarkStart w:id="292" w:name="_Toc184310273"/>
      <w:bookmarkEnd w:id="292"/>
      <w:bookmarkStart w:id="293" w:name="_Toc184313268"/>
      <w:bookmarkEnd w:id="293"/>
      <w:bookmarkStart w:id="294" w:name="_Toc184312068"/>
      <w:bookmarkEnd w:id="294"/>
      <w:bookmarkStart w:id="295" w:name="_Toc184314450"/>
      <w:bookmarkEnd w:id="295"/>
      <w:bookmarkStart w:id="296" w:name="_Toc184312113"/>
      <w:bookmarkEnd w:id="296"/>
      <w:bookmarkStart w:id="297" w:name="_Toc184313269"/>
      <w:bookmarkEnd w:id="297"/>
      <w:bookmarkStart w:id="298" w:name="_Toc184308069"/>
      <w:bookmarkEnd w:id="298"/>
      <w:bookmarkStart w:id="299" w:name="_Toc184312094"/>
      <w:bookmarkEnd w:id="299"/>
      <w:bookmarkStart w:id="300" w:name="_Toc184308048"/>
      <w:bookmarkEnd w:id="300"/>
      <w:bookmarkStart w:id="301" w:name="_Toc184312135"/>
      <w:bookmarkEnd w:id="301"/>
      <w:bookmarkStart w:id="302" w:name="_Toc184312095"/>
      <w:bookmarkEnd w:id="302"/>
      <w:bookmarkStart w:id="303" w:name="_Toc184308079"/>
      <w:bookmarkEnd w:id="303"/>
      <w:bookmarkStart w:id="304" w:name="_Toc184314432"/>
      <w:bookmarkEnd w:id="304"/>
      <w:bookmarkStart w:id="305" w:name="_Toc184312134"/>
      <w:bookmarkEnd w:id="305"/>
      <w:bookmarkStart w:id="306" w:name="_Toc184310299"/>
      <w:bookmarkEnd w:id="306"/>
      <w:bookmarkStart w:id="307" w:name="_Toc184310300"/>
      <w:bookmarkEnd w:id="307"/>
      <w:bookmarkStart w:id="308" w:name="_Toc184313272"/>
      <w:bookmarkEnd w:id="308"/>
      <w:bookmarkStart w:id="309" w:name="_Toc184310292"/>
      <w:bookmarkEnd w:id="309"/>
      <w:bookmarkStart w:id="310" w:name="_Toc184312079"/>
      <w:bookmarkEnd w:id="310"/>
      <w:bookmarkStart w:id="311" w:name="_Toc184313275"/>
      <w:bookmarkEnd w:id="311"/>
      <w:bookmarkStart w:id="312" w:name="_Toc184308061"/>
      <w:bookmarkEnd w:id="312"/>
      <w:bookmarkStart w:id="313" w:name="_Toc184313266"/>
      <w:bookmarkEnd w:id="313"/>
      <w:bookmarkStart w:id="314" w:name="_Toc184312116"/>
      <w:bookmarkEnd w:id="314"/>
      <w:bookmarkStart w:id="315" w:name="_Toc184310283"/>
      <w:bookmarkEnd w:id="315"/>
      <w:bookmarkStart w:id="316" w:name="_Toc184308049"/>
      <w:bookmarkEnd w:id="316"/>
      <w:bookmarkStart w:id="317" w:name="_Toc184313280"/>
      <w:bookmarkEnd w:id="317"/>
      <w:bookmarkStart w:id="318" w:name="_Toc184313251"/>
      <w:bookmarkEnd w:id="318"/>
      <w:bookmarkStart w:id="319" w:name="_Toc184314459"/>
      <w:bookmarkEnd w:id="319"/>
      <w:bookmarkStart w:id="320" w:name="_Toc184310281"/>
      <w:bookmarkEnd w:id="320"/>
      <w:bookmarkStart w:id="321" w:name="_Toc184313270"/>
      <w:bookmarkEnd w:id="321"/>
      <w:bookmarkStart w:id="322" w:name="_Toc184312087"/>
      <w:bookmarkEnd w:id="322"/>
      <w:bookmarkStart w:id="323" w:name="_Toc184308082"/>
      <w:bookmarkEnd w:id="323"/>
      <w:bookmarkStart w:id="324" w:name="_Toc184313300"/>
      <w:bookmarkEnd w:id="324"/>
      <w:bookmarkStart w:id="325" w:name="_Toc184313271"/>
      <w:bookmarkEnd w:id="325"/>
      <w:bookmarkStart w:id="326" w:name="_Toc184314436"/>
      <w:bookmarkEnd w:id="326"/>
      <w:bookmarkStart w:id="327" w:name="_Toc184312085"/>
      <w:bookmarkEnd w:id="327"/>
      <w:bookmarkStart w:id="328" w:name="_Toc184308064"/>
      <w:bookmarkEnd w:id="328"/>
      <w:bookmarkStart w:id="329" w:name="_Toc184310341"/>
      <w:bookmarkEnd w:id="329"/>
      <w:bookmarkStart w:id="330" w:name="_Toc184312108"/>
      <w:bookmarkEnd w:id="330"/>
      <w:bookmarkStart w:id="331" w:name="_Toc184308047"/>
      <w:bookmarkEnd w:id="331"/>
      <w:bookmarkStart w:id="332" w:name="_Toc184312098"/>
      <w:bookmarkEnd w:id="332"/>
      <w:bookmarkStart w:id="333" w:name="_Toc184313258"/>
      <w:bookmarkEnd w:id="333"/>
      <w:bookmarkStart w:id="334" w:name="_Toc184312106"/>
      <w:bookmarkEnd w:id="334"/>
      <w:bookmarkStart w:id="335" w:name="_Toc184314482"/>
      <w:bookmarkEnd w:id="335"/>
      <w:bookmarkStart w:id="336" w:name="_Toc184314434"/>
      <w:bookmarkEnd w:id="336"/>
      <w:bookmarkStart w:id="337" w:name="_Toc184310323"/>
      <w:bookmarkEnd w:id="337"/>
      <w:bookmarkStart w:id="338" w:name="_Toc184313303"/>
      <w:bookmarkEnd w:id="338"/>
      <w:bookmarkStart w:id="339" w:name="_Toc184312083"/>
      <w:bookmarkEnd w:id="339"/>
      <w:bookmarkStart w:id="340" w:name="_Toc184314446"/>
      <w:bookmarkEnd w:id="340"/>
      <w:bookmarkStart w:id="341" w:name="_Toc184312111"/>
      <w:bookmarkEnd w:id="341"/>
      <w:bookmarkStart w:id="342" w:name="_Toc184313259"/>
      <w:bookmarkEnd w:id="342"/>
      <w:bookmarkStart w:id="343" w:name="_Toc184308074"/>
      <w:bookmarkEnd w:id="343"/>
      <w:bookmarkStart w:id="344" w:name="_Toc184314473"/>
      <w:bookmarkEnd w:id="344"/>
      <w:bookmarkStart w:id="345" w:name="_Toc184308065"/>
      <w:bookmarkEnd w:id="345"/>
      <w:bookmarkStart w:id="346" w:name="_Toc184310322"/>
      <w:bookmarkEnd w:id="346"/>
      <w:bookmarkStart w:id="347" w:name="_Toc184313307"/>
      <w:bookmarkEnd w:id="347"/>
      <w:bookmarkStart w:id="348" w:name="_Toc184313257"/>
      <w:bookmarkEnd w:id="348"/>
      <w:bookmarkStart w:id="349" w:name="_Toc184310279"/>
      <w:bookmarkEnd w:id="349"/>
      <w:bookmarkStart w:id="350" w:name="_Toc184312067"/>
      <w:bookmarkEnd w:id="350"/>
      <w:bookmarkStart w:id="351" w:name="_Toc184310275"/>
      <w:bookmarkEnd w:id="351"/>
      <w:bookmarkStart w:id="352" w:name="_Toc184308066"/>
      <w:bookmarkEnd w:id="352"/>
      <w:bookmarkStart w:id="353" w:name="_Toc184308072"/>
      <w:bookmarkEnd w:id="353"/>
      <w:bookmarkStart w:id="354" w:name="_Toc184308067"/>
      <w:bookmarkEnd w:id="354"/>
      <w:bookmarkStart w:id="355" w:name="_Toc184312092"/>
      <w:bookmarkEnd w:id="355"/>
      <w:bookmarkStart w:id="356" w:name="_Toc184313253"/>
      <w:bookmarkEnd w:id="356"/>
      <w:bookmarkStart w:id="357" w:name="_Toc184308057"/>
      <w:bookmarkEnd w:id="357"/>
      <w:bookmarkStart w:id="358" w:name="_Toc184310277"/>
      <w:bookmarkEnd w:id="358"/>
      <w:bookmarkStart w:id="359" w:name="_Toc184314474"/>
      <w:bookmarkEnd w:id="359"/>
      <w:bookmarkStart w:id="360" w:name="_Toc184308056"/>
      <w:bookmarkEnd w:id="360"/>
      <w:bookmarkStart w:id="361" w:name="_Toc184312117"/>
      <w:bookmarkEnd w:id="361"/>
      <w:bookmarkStart w:id="362" w:name="_Toc184313240"/>
      <w:bookmarkEnd w:id="362"/>
      <w:bookmarkStart w:id="363" w:name="_Toc184310310"/>
      <w:bookmarkEnd w:id="363"/>
      <w:bookmarkStart w:id="364" w:name="_Toc184314439"/>
      <w:bookmarkEnd w:id="364"/>
      <w:bookmarkStart w:id="365" w:name="_Toc184314443"/>
      <w:bookmarkEnd w:id="365"/>
      <w:bookmarkStart w:id="366" w:name="_Toc184308078"/>
      <w:bookmarkEnd w:id="366"/>
      <w:bookmarkStart w:id="367" w:name="_Toc184312070"/>
      <w:bookmarkEnd w:id="367"/>
      <w:bookmarkStart w:id="368" w:name="_Toc184313254"/>
      <w:bookmarkEnd w:id="368"/>
      <w:bookmarkStart w:id="369" w:name="_Toc184314429"/>
      <w:bookmarkEnd w:id="369"/>
      <w:bookmarkStart w:id="370" w:name="_Toc184308053"/>
      <w:bookmarkEnd w:id="370"/>
      <w:bookmarkStart w:id="371" w:name="_Toc184314413"/>
      <w:bookmarkEnd w:id="371"/>
      <w:bookmarkStart w:id="372" w:name="_Toc184314449"/>
      <w:bookmarkEnd w:id="372"/>
      <w:bookmarkStart w:id="373" w:name="_Toc184308052"/>
      <w:bookmarkEnd w:id="373"/>
      <w:bookmarkStart w:id="374" w:name="_Toc184314438"/>
      <w:bookmarkEnd w:id="374"/>
      <w:bookmarkStart w:id="375" w:name="_Toc184308058"/>
      <w:bookmarkEnd w:id="375"/>
      <w:bookmarkStart w:id="376" w:name="_Toc184312084"/>
      <w:bookmarkEnd w:id="376"/>
      <w:bookmarkStart w:id="377" w:name="_Toc184310339"/>
      <w:bookmarkEnd w:id="377"/>
      <w:bookmarkStart w:id="378" w:name="_Toc184313263"/>
      <w:bookmarkEnd w:id="378"/>
      <w:bookmarkStart w:id="379" w:name="_Toc184313306"/>
      <w:bookmarkEnd w:id="379"/>
      <w:bookmarkStart w:id="380" w:name="_Toc184310272"/>
      <w:bookmarkEnd w:id="380"/>
      <w:bookmarkStart w:id="381" w:name="_Toc184312088"/>
      <w:bookmarkEnd w:id="381"/>
      <w:bookmarkStart w:id="382" w:name="_Toc184314454"/>
      <w:bookmarkEnd w:id="382"/>
      <w:bookmarkStart w:id="383" w:name="_Toc184308075"/>
      <w:bookmarkEnd w:id="383"/>
      <w:bookmarkStart w:id="384" w:name="_Toc184310276"/>
      <w:bookmarkEnd w:id="384"/>
      <w:bookmarkStart w:id="385" w:name="_Toc184313287"/>
      <w:bookmarkEnd w:id="385"/>
      <w:bookmarkStart w:id="386" w:name="_Toc184314416"/>
      <w:bookmarkEnd w:id="386"/>
      <w:bookmarkStart w:id="387" w:name="_Toc184314431"/>
      <w:bookmarkEnd w:id="387"/>
      <w:bookmarkStart w:id="388" w:name="_Toc184310336"/>
      <w:bookmarkEnd w:id="388"/>
      <w:bookmarkStart w:id="389" w:name="_Toc184308084"/>
      <w:bookmarkEnd w:id="389"/>
      <w:bookmarkStart w:id="390" w:name="_Toc184310335"/>
      <w:bookmarkEnd w:id="390"/>
      <w:bookmarkStart w:id="391" w:name="_Toc184313282"/>
      <w:bookmarkEnd w:id="391"/>
      <w:bookmarkStart w:id="392" w:name="_Toc184308039"/>
      <w:bookmarkEnd w:id="392"/>
      <w:bookmarkStart w:id="393" w:name="_Toc184312073"/>
      <w:bookmarkEnd w:id="393"/>
      <w:bookmarkStart w:id="394" w:name="_Toc184313277"/>
      <w:bookmarkEnd w:id="394"/>
      <w:bookmarkStart w:id="395" w:name="_Toc184310290"/>
      <w:bookmarkEnd w:id="395"/>
      <w:bookmarkStart w:id="396" w:name="_Toc184314411"/>
      <w:bookmarkEnd w:id="396"/>
      <w:bookmarkStart w:id="397" w:name="_Toc184308081"/>
      <w:bookmarkEnd w:id="397"/>
      <w:bookmarkStart w:id="398" w:name="_Toc184310298"/>
      <w:bookmarkEnd w:id="398"/>
      <w:bookmarkStart w:id="399" w:name="_Toc184313260"/>
      <w:bookmarkEnd w:id="399"/>
      <w:bookmarkStart w:id="400" w:name="_Toc184312097"/>
      <w:bookmarkEnd w:id="400"/>
      <w:bookmarkStart w:id="401" w:name="_Toc184313256"/>
      <w:bookmarkEnd w:id="401"/>
      <w:bookmarkStart w:id="402" w:name="_Toc184314478"/>
      <w:bookmarkEnd w:id="402"/>
      <w:bookmarkStart w:id="403" w:name="_Toc184310315"/>
      <w:bookmarkEnd w:id="403"/>
      <w:bookmarkStart w:id="404" w:name="_Toc184314430"/>
      <w:bookmarkEnd w:id="404"/>
      <w:bookmarkStart w:id="405" w:name="_Toc184314475"/>
      <w:bookmarkEnd w:id="405"/>
      <w:bookmarkStart w:id="406" w:name="_Toc184310342"/>
      <w:bookmarkEnd w:id="406"/>
      <w:bookmarkStart w:id="407" w:name="_Toc184310274"/>
      <w:bookmarkEnd w:id="407"/>
      <w:bookmarkStart w:id="408" w:name="_Toc184314447"/>
      <w:bookmarkEnd w:id="408"/>
      <w:bookmarkStart w:id="409" w:name="_Toc184310296"/>
      <w:bookmarkEnd w:id="409"/>
      <w:bookmarkStart w:id="410" w:name="_Toc184310291"/>
      <w:bookmarkEnd w:id="410"/>
      <w:bookmarkStart w:id="411" w:name="_Toc184310278"/>
      <w:bookmarkEnd w:id="411"/>
      <w:bookmarkStart w:id="412" w:name="_Toc184308104"/>
      <w:bookmarkEnd w:id="412"/>
      <w:bookmarkStart w:id="413" w:name="_Toc184310294"/>
      <w:bookmarkEnd w:id="413"/>
      <w:bookmarkStart w:id="414" w:name="_Toc184313283"/>
      <w:bookmarkEnd w:id="414"/>
      <w:bookmarkStart w:id="415" w:name="_Toc184313262"/>
      <w:bookmarkEnd w:id="415"/>
      <w:bookmarkStart w:id="416" w:name="_Toc184313292"/>
      <w:bookmarkEnd w:id="416"/>
      <w:bookmarkStart w:id="417" w:name="_Toc184314417"/>
      <w:bookmarkEnd w:id="417"/>
      <w:bookmarkStart w:id="418" w:name="_Toc184313246"/>
      <w:bookmarkEnd w:id="418"/>
      <w:bookmarkStart w:id="419" w:name="_Toc184308105"/>
      <w:bookmarkEnd w:id="419"/>
      <w:bookmarkStart w:id="420" w:name="_Toc184314433"/>
      <w:bookmarkEnd w:id="420"/>
      <w:bookmarkStart w:id="421" w:name="_Toc184310318"/>
      <w:bookmarkEnd w:id="421"/>
      <w:bookmarkStart w:id="422" w:name="_Toc184308055"/>
      <w:bookmarkEnd w:id="422"/>
      <w:bookmarkStart w:id="423" w:name="_Toc184314418"/>
      <w:bookmarkEnd w:id="423"/>
      <w:bookmarkStart w:id="424" w:name="_Toc184310344"/>
      <w:bookmarkEnd w:id="424"/>
      <w:bookmarkStart w:id="425" w:name="_Toc184308054"/>
      <w:bookmarkEnd w:id="425"/>
      <w:bookmarkStart w:id="426" w:name="_Toc184310314"/>
      <w:bookmarkEnd w:id="426"/>
      <w:bookmarkStart w:id="427" w:name="_Toc184310332"/>
      <w:bookmarkEnd w:id="427"/>
      <w:bookmarkStart w:id="428" w:name="_Toc184312072"/>
      <w:bookmarkEnd w:id="428"/>
      <w:bookmarkStart w:id="429" w:name="_Toc184308096"/>
      <w:bookmarkEnd w:id="429"/>
      <w:bookmarkStart w:id="430" w:name="_Toc184312082"/>
      <w:bookmarkEnd w:id="430"/>
      <w:bookmarkStart w:id="431" w:name="_Toc184313267"/>
      <w:bookmarkEnd w:id="431"/>
      <w:bookmarkStart w:id="432" w:name="_Toc184310316"/>
      <w:bookmarkEnd w:id="432"/>
      <w:bookmarkStart w:id="433" w:name="_Toc184310317"/>
      <w:bookmarkEnd w:id="433"/>
      <w:bookmarkStart w:id="434" w:name="_Toc184310288"/>
      <w:bookmarkEnd w:id="434"/>
      <w:bookmarkStart w:id="435" w:name="_Toc184312069"/>
      <w:bookmarkEnd w:id="435"/>
      <w:bookmarkStart w:id="436" w:name="_Toc184314428"/>
      <w:bookmarkEnd w:id="436"/>
      <w:bookmarkStart w:id="437" w:name="_Toc184308038"/>
      <w:bookmarkEnd w:id="437"/>
      <w:bookmarkStart w:id="438" w:name="_Toc184314458"/>
      <w:bookmarkEnd w:id="438"/>
      <w:bookmarkStart w:id="439" w:name="_Toc184312077"/>
      <w:bookmarkEnd w:id="439"/>
      <w:r>
        <w:rPr>
          <w:rFonts w:hint="eastAsia" w:ascii="宋体" w:hAnsi="宋体" w:eastAsia="宋体" w:cs="宋体"/>
          <w:b/>
          <w:color w:val="auto"/>
          <w:sz w:val="36"/>
          <w:szCs w:val="36"/>
          <w:highlight w:val="none"/>
        </w:rPr>
        <w:t>评标办法</w:t>
      </w:r>
      <w:bookmarkEnd w:id="74"/>
    </w:p>
    <w:p>
      <w:pPr>
        <w:pStyle w:val="2"/>
        <w:bidi w:val="0"/>
        <w:jc w:val="center"/>
        <w:rPr>
          <w:rFonts w:hint="eastAsia" w:ascii="宋体" w:hAnsi="宋体" w:eastAsia="宋体" w:cs="宋体"/>
          <w:color w:val="auto"/>
        </w:rPr>
      </w:pPr>
      <w:bookmarkStart w:id="440" w:name="_Toc24016"/>
      <w:r>
        <w:rPr>
          <w:rFonts w:hint="eastAsia" w:ascii="宋体" w:hAnsi="宋体" w:eastAsia="宋体" w:cs="宋体"/>
          <w:color w:val="auto"/>
        </w:rPr>
        <w:t>评标办法前附表</w:t>
      </w:r>
      <w:bookmarkEnd w:id="440"/>
    </w:p>
    <w:tbl>
      <w:tblPr>
        <w:tblStyle w:val="17"/>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503"/>
        <w:gridCol w:w="5475"/>
        <w:gridCol w:w="602"/>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评审内容</w:t>
            </w:r>
          </w:p>
        </w:tc>
        <w:tc>
          <w:tcPr>
            <w:tcW w:w="5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序号</w:t>
            </w:r>
          </w:p>
        </w:tc>
        <w:tc>
          <w:tcPr>
            <w:tcW w:w="5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评分标准</w:t>
            </w:r>
          </w:p>
        </w:tc>
        <w:tc>
          <w:tcPr>
            <w:tcW w:w="6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权值比重(100分)</w:t>
            </w:r>
          </w:p>
        </w:tc>
        <w:tc>
          <w:tcPr>
            <w:tcW w:w="1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cs="宋体"/>
                <w:color w:val="auto"/>
                <w:kern w:val="0"/>
                <w:sz w:val="24"/>
                <w:highlight w:val="none"/>
                <w:lang w:val="en-US" w:eastAsia="zh-CN"/>
              </w:rPr>
            </w:pPr>
            <w:r>
              <w:rPr>
                <w:rFonts w:hint="eastAsia" w:ascii="宋体" w:hAnsi="宋体" w:cs="宋体"/>
                <w:bCs/>
                <w:color w:val="auto"/>
                <w:sz w:val="24"/>
                <w:szCs w:val="24"/>
                <w:highlight w:val="none"/>
                <w:lang w:val="en-US" w:eastAsia="zh-CN"/>
              </w:rPr>
              <w:t>投标</w:t>
            </w:r>
            <w:r>
              <w:rPr>
                <w:rFonts w:hint="eastAsia" w:ascii="宋体" w:hAnsi="宋体" w:eastAsia="宋体" w:cs="宋体"/>
                <w:bCs/>
                <w:color w:val="auto"/>
                <w:sz w:val="24"/>
                <w:szCs w:val="24"/>
                <w:highlight w:val="none"/>
                <w:lang w:eastAsia="zh-CN"/>
              </w:rPr>
              <w:t>文件</w:t>
            </w:r>
            <w:r>
              <w:rPr>
                <w:rFonts w:hint="eastAsia" w:ascii="宋体" w:hAnsi="宋体" w:eastAsia="宋体" w:cs="宋体"/>
                <w:bCs/>
                <w:color w:val="auto"/>
                <w:sz w:val="24"/>
                <w:szCs w:val="24"/>
                <w:highlight w:val="none"/>
              </w:rPr>
              <w:t>中相应的商务技术资料目录</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页码</w:t>
            </w:r>
            <w:r>
              <w:rPr>
                <w:rFonts w:hint="eastAsia" w:ascii="宋体" w:hAnsi="宋体" w:eastAsia="宋体" w:cs="宋体"/>
                <w:bCs/>
                <w:color w:val="auto"/>
                <w:sz w:val="24"/>
                <w:szCs w:val="24"/>
                <w:highlight w:val="none"/>
                <w:lang w:eastAsia="zh-CN"/>
              </w:rPr>
              <w:t>）</w:t>
            </w:r>
            <w:r>
              <w:rPr>
                <w:rFonts w:hint="eastAsia" w:ascii="宋体" w:hAnsi="宋体" w:eastAsia="宋体" w:cs="宋体"/>
                <w:color w:val="auto"/>
                <w:sz w:val="20"/>
                <w:szCs w:val="20"/>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99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cs="宋体"/>
                <w:color w:val="auto"/>
                <w:kern w:val="0"/>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cs="宋体"/>
                <w:color w:val="auto"/>
                <w:kern w:val="0"/>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cs="宋体"/>
                <w:color w:val="auto"/>
                <w:kern w:val="0"/>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技术</w:t>
            </w:r>
            <w:r>
              <w:rPr>
                <w:rFonts w:hint="eastAsia" w:ascii="宋体" w:hAnsi="宋体" w:cs="宋体"/>
                <w:color w:val="auto"/>
                <w:kern w:val="0"/>
                <w:sz w:val="24"/>
                <w:highlight w:val="none"/>
                <w:lang w:val="en-US" w:eastAsia="zh-CN"/>
              </w:rPr>
              <w:t>商务</w:t>
            </w:r>
            <w:r>
              <w:rPr>
                <w:rFonts w:hint="eastAsia" w:ascii="宋体" w:hAnsi="宋体" w:cs="宋体"/>
                <w:color w:val="auto"/>
                <w:kern w:val="0"/>
                <w:sz w:val="24"/>
                <w:highlight w:val="none"/>
              </w:rPr>
              <w:t>部分（满分</w:t>
            </w:r>
            <w:r>
              <w:rPr>
                <w:rFonts w:hint="eastAsia" w:ascii="宋体" w:hAnsi="宋体" w:cs="宋体"/>
                <w:color w:val="auto"/>
                <w:kern w:val="0"/>
                <w:sz w:val="24"/>
                <w:highlight w:val="none"/>
                <w:lang w:val="en-US" w:eastAsia="zh-CN"/>
              </w:rPr>
              <w:t>80</w:t>
            </w:r>
            <w:r>
              <w:rPr>
                <w:rFonts w:hint="eastAsia" w:ascii="宋体" w:hAnsi="宋体" w:cs="宋体"/>
                <w:color w:val="auto"/>
                <w:kern w:val="0"/>
                <w:sz w:val="24"/>
                <w:highlight w:val="none"/>
              </w:rPr>
              <w:t>分）</w:t>
            </w:r>
          </w:p>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cs="宋体"/>
                <w:color w:val="auto"/>
                <w:kern w:val="0"/>
                <w:sz w:val="24"/>
                <w:highlight w:val="none"/>
              </w:rPr>
            </w:pPr>
          </w:p>
        </w:tc>
        <w:tc>
          <w:tcPr>
            <w:tcW w:w="5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1</w:t>
            </w:r>
          </w:p>
        </w:tc>
        <w:tc>
          <w:tcPr>
            <w:tcW w:w="5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left"/>
              <w:textAlignment w:val="auto"/>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投标人自201</w:t>
            </w:r>
            <w:r>
              <w:rPr>
                <w:rFonts w:hint="eastAsia" w:ascii="宋体" w:hAnsi="宋体" w:eastAsia="宋体" w:cs="宋体"/>
                <w:color w:val="auto"/>
                <w:kern w:val="0"/>
                <w:sz w:val="24"/>
                <w:highlight w:val="none"/>
                <w:lang w:val="en-US" w:eastAsia="zh-CN"/>
              </w:rPr>
              <w:t>8</w:t>
            </w:r>
            <w:r>
              <w:rPr>
                <w:rFonts w:hint="eastAsia" w:ascii="宋体" w:hAnsi="宋体" w:eastAsia="宋体" w:cs="宋体"/>
                <w:color w:val="auto"/>
                <w:kern w:val="0"/>
                <w:sz w:val="24"/>
                <w:highlight w:val="none"/>
              </w:rPr>
              <w:t>年1月1日至今（以合同签订时间为准）具有</w:t>
            </w:r>
            <w:r>
              <w:rPr>
                <w:rFonts w:hint="eastAsia" w:ascii="宋体" w:hAnsi="宋体" w:eastAsia="宋体" w:cs="宋体"/>
                <w:color w:val="auto"/>
                <w:kern w:val="0"/>
                <w:sz w:val="24"/>
                <w:highlight w:val="none"/>
                <w:lang w:eastAsia="zh-CN"/>
              </w:rPr>
              <w:t>与本项目</w:t>
            </w:r>
            <w:r>
              <w:rPr>
                <w:rFonts w:hint="eastAsia" w:ascii="宋体" w:hAnsi="宋体" w:eastAsia="宋体" w:cs="宋体"/>
                <w:color w:val="auto"/>
                <w:kern w:val="0"/>
                <w:sz w:val="24"/>
                <w:highlight w:val="none"/>
                <w:lang w:val="en-US" w:eastAsia="zh-CN"/>
              </w:rPr>
              <w:t>采购内容</w:t>
            </w:r>
            <w:r>
              <w:rPr>
                <w:rFonts w:hint="eastAsia" w:ascii="宋体" w:hAnsi="宋体" w:eastAsia="宋体" w:cs="宋体"/>
                <w:color w:val="auto"/>
                <w:kern w:val="0"/>
                <w:sz w:val="24"/>
                <w:highlight w:val="none"/>
                <w:lang w:eastAsia="zh-CN"/>
              </w:rPr>
              <w:t>类似的</w:t>
            </w:r>
            <w:r>
              <w:rPr>
                <w:rFonts w:hint="eastAsia" w:ascii="宋体" w:hAnsi="宋体" w:eastAsia="宋体" w:cs="宋体"/>
                <w:color w:val="auto"/>
                <w:kern w:val="0"/>
                <w:sz w:val="24"/>
                <w:highlight w:val="none"/>
                <w:lang w:val="en-US" w:eastAsia="zh-CN"/>
              </w:rPr>
              <w:t>服务业绩</w:t>
            </w:r>
            <w:r>
              <w:rPr>
                <w:rFonts w:hint="eastAsia" w:ascii="宋体" w:hAnsi="宋体" w:eastAsia="宋体" w:cs="宋体"/>
                <w:color w:val="auto"/>
                <w:kern w:val="0"/>
                <w:sz w:val="24"/>
                <w:highlight w:val="none"/>
              </w:rPr>
              <w:t>，每个得</w:t>
            </w:r>
            <w:r>
              <w:rPr>
                <w:rFonts w:hint="eastAsia" w:ascii="宋体" w:hAnsi="宋体" w:eastAsia="宋体" w:cs="宋体"/>
                <w:color w:val="auto"/>
                <w:kern w:val="0"/>
                <w:sz w:val="24"/>
                <w:highlight w:val="none"/>
                <w:lang w:val="en-US" w:eastAsia="zh-CN"/>
              </w:rPr>
              <w:t>1</w:t>
            </w:r>
            <w:r>
              <w:rPr>
                <w:rFonts w:hint="eastAsia" w:ascii="宋体" w:hAnsi="宋体" w:eastAsia="宋体" w:cs="宋体"/>
                <w:color w:val="auto"/>
                <w:kern w:val="0"/>
                <w:sz w:val="24"/>
                <w:highlight w:val="none"/>
              </w:rPr>
              <w:t>分，最高得</w:t>
            </w:r>
            <w:r>
              <w:rPr>
                <w:rFonts w:hint="eastAsia" w:ascii="宋体" w:hAnsi="宋体" w:cs="宋体"/>
                <w:color w:val="auto"/>
                <w:kern w:val="0"/>
                <w:sz w:val="24"/>
                <w:highlight w:val="none"/>
                <w:lang w:val="en-US" w:eastAsia="zh-CN"/>
              </w:rPr>
              <w:t>2</w:t>
            </w:r>
            <w:r>
              <w:rPr>
                <w:rFonts w:hint="eastAsia" w:ascii="宋体" w:hAnsi="宋体" w:eastAsia="宋体" w:cs="宋体"/>
                <w:color w:val="auto"/>
                <w:kern w:val="0"/>
                <w:sz w:val="24"/>
                <w:highlight w:val="none"/>
              </w:rPr>
              <w:t>分。</w:t>
            </w:r>
            <w:r>
              <w:rPr>
                <w:rFonts w:hint="eastAsia" w:ascii="宋体" w:hAnsi="宋体" w:eastAsia="宋体" w:cs="宋体"/>
                <w:color w:val="auto"/>
                <w:kern w:val="0"/>
                <w:sz w:val="24"/>
                <w:highlight w:val="none"/>
                <w:lang w:eastAsia="zh-CN"/>
              </w:rPr>
              <w:t>同一个业主只计分</w:t>
            </w:r>
            <w:r>
              <w:rPr>
                <w:rFonts w:hint="eastAsia" w:ascii="宋体" w:hAnsi="宋体" w:eastAsia="宋体" w:cs="宋体"/>
                <w:color w:val="auto"/>
                <w:kern w:val="0"/>
                <w:sz w:val="24"/>
                <w:highlight w:val="none"/>
                <w:lang w:val="en-US" w:eastAsia="zh-CN"/>
              </w:rPr>
              <w:t>1</w:t>
            </w:r>
            <w:r>
              <w:rPr>
                <w:rFonts w:hint="eastAsia" w:ascii="宋体" w:hAnsi="宋体" w:eastAsia="宋体" w:cs="宋体"/>
                <w:color w:val="auto"/>
                <w:kern w:val="0"/>
                <w:sz w:val="24"/>
                <w:highlight w:val="none"/>
                <w:lang w:eastAsia="zh-CN"/>
              </w:rPr>
              <w:t>次。</w:t>
            </w:r>
            <w:r>
              <w:rPr>
                <w:rFonts w:hint="eastAsia" w:ascii="宋体" w:hAnsi="宋体" w:eastAsia="宋体" w:cs="宋体"/>
                <w:color w:val="auto"/>
                <w:kern w:val="0"/>
                <w:sz w:val="24"/>
                <w:highlight w:val="none"/>
              </w:rPr>
              <w:t>（提供合同复印件加盖投标人公章，原件备查）</w:t>
            </w:r>
            <w:r>
              <w:rPr>
                <w:rFonts w:hint="eastAsia" w:ascii="宋体" w:hAnsi="宋体" w:cs="宋体"/>
                <w:color w:val="auto"/>
                <w:kern w:val="0"/>
                <w:sz w:val="24"/>
                <w:highlight w:val="none"/>
                <w:lang w:eastAsia="zh-CN"/>
              </w:rPr>
              <w:t>。</w:t>
            </w:r>
          </w:p>
        </w:tc>
        <w:tc>
          <w:tcPr>
            <w:tcW w:w="6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2</w:t>
            </w:r>
            <w:r>
              <w:rPr>
                <w:rFonts w:hint="eastAsia" w:ascii="宋体" w:hAnsi="宋体" w:eastAsia="宋体" w:cs="宋体"/>
                <w:color w:val="auto"/>
                <w:kern w:val="0"/>
                <w:sz w:val="24"/>
                <w:highlight w:val="none"/>
                <w:lang w:val="en-US" w:eastAsia="zh-CN"/>
              </w:rPr>
              <w:t>分</w:t>
            </w:r>
          </w:p>
        </w:tc>
        <w:tc>
          <w:tcPr>
            <w:tcW w:w="1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99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cs="宋体"/>
                <w:color w:val="auto"/>
                <w:kern w:val="0"/>
                <w:sz w:val="24"/>
                <w:highlight w:val="none"/>
              </w:rPr>
            </w:pPr>
          </w:p>
        </w:tc>
        <w:tc>
          <w:tcPr>
            <w:tcW w:w="5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c>
          <w:tcPr>
            <w:tcW w:w="5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投标文件对招标文件第三部分采购需求、第四部分评标办法响应，与招标文件无</w:t>
            </w:r>
            <w:r>
              <w:rPr>
                <w:rFonts w:hint="eastAsia" w:ascii="宋体" w:hAnsi="宋体" w:cs="宋体"/>
                <w:color w:val="auto"/>
                <w:sz w:val="24"/>
                <w:szCs w:val="24"/>
                <w:highlight w:val="none"/>
                <w:lang w:val="en-US" w:eastAsia="zh-CN"/>
              </w:rPr>
              <w:t>负</w:t>
            </w:r>
            <w:r>
              <w:rPr>
                <w:rFonts w:hint="eastAsia" w:ascii="宋体" w:hAnsi="宋体" w:eastAsia="宋体" w:cs="宋体"/>
                <w:color w:val="auto"/>
                <w:sz w:val="24"/>
                <w:szCs w:val="24"/>
                <w:highlight w:val="none"/>
                <w:lang w:val="en-US" w:eastAsia="zh-CN"/>
              </w:rPr>
              <w:t>偏离得5分；非实质性负偏离每项扣1分，扣完为止。标注▲条款为实质性条款。</w:t>
            </w:r>
          </w:p>
        </w:tc>
        <w:tc>
          <w:tcPr>
            <w:tcW w:w="6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5</w:t>
            </w:r>
            <w:r>
              <w:rPr>
                <w:rFonts w:hint="eastAsia" w:ascii="宋体" w:hAnsi="宋体" w:eastAsia="宋体" w:cs="宋体"/>
                <w:color w:val="auto"/>
                <w:kern w:val="0"/>
                <w:sz w:val="24"/>
                <w:highlight w:val="none"/>
                <w:lang w:val="en-US" w:eastAsia="zh-CN"/>
              </w:rPr>
              <w:t>分</w:t>
            </w:r>
          </w:p>
        </w:tc>
        <w:tc>
          <w:tcPr>
            <w:tcW w:w="1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99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cs="宋体"/>
                <w:color w:val="auto"/>
                <w:kern w:val="0"/>
                <w:sz w:val="24"/>
                <w:highlight w:val="none"/>
              </w:rPr>
            </w:pPr>
          </w:p>
        </w:tc>
        <w:tc>
          <w:tcPr>
            <w:tcW w:w="5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c>
          <w:tcPr>
            <w:tcW w:w="5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投标人</w:t>
            </w:r>
            <w:r>
              <w:rPr>
                <w:rFonts w:hint="eastAsia" w:ascii="宋体" w:hAnsi="宋体" w:eastAsia="宋体" w:cs="宋体"/>
                <w:color w:val="auto"/>
                <w:sz w:val="24"/>
                <w:szCs w:val="24"/>
                <w:highlight w:val="none"/>
                <w:lang w:val="en-US" w:eastAsia="zh-CN"/>
              </w:rPr>
              <w:t>对采购人运营管理现状、项目目标、行业现状解读分析。</w:t>
            </w:r>
          </w:p>
        </w:tc>
        <w:tc>
          <w:tcPr>
            <w:tcW w:w="6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5分</w:t>
            </w:r>
          </w:p>
        </w:tc>
        <w:tc>
          <w:tcPr>
            <w:tcW w:w="1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cs="宋体"/>
                <w:color w:val="auto"/>
                <w:kern w:val="0"/>
                <w:sz w:val="24"/>
                <w:highlight w:val="none"/>
              </w:rPr>
            </w:pPr>
          </w:p>
        </w:tc>
        <w:tc>
          <w:tcPr>
            <w:tcW w:w="5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c>
          <w:tcPr>
            <w:tcW w:w="5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投标人</w:t>
            </w:r>
            <w:r>
              <w:rPr>
                <w:rFonts w:hint="eastAsia" w:ascii="宋体" w:hAnsi="宋体" w:eastAsia="宋体" w:cs="宋体"/>
                <w:color w:val="auto"/>
                <w:sz w:val="24"/>
                <w:szCs w:val="24"/>
                <w:highlight w:val="none"/>
                <w:lang w:val="en-US" w:eastAsia="zh-CN"/>
              </w:rPr>
              <w:t>项目总体实施计划与服务方案。</w:t>
            </w:r>
          </w:p>
        </w:tc>
        <w:tc>
          <w:tcPr>
            <w:tcW w:w="6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5分</w:t>
            </w:r>
          </w:p>
        </w:tc>
        <w:tc>
          <w:tcPr>
            <w:tcW w:w="1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cs="宋体"/>
                <w:color w:val="auto"/>
                <w:kern w:val="0"/>
                <w:sz w:val="24"/>
                <w:highlight w:val="none"/>
              </w:rPr>
            </w:pPr>
          </w:p>
        </w:tc>
        <w:tc>
          <w:tcPr>
            <w:tcW w:w="5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5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投标人管理培训辅导服务方案。</w:t>
            </w:r>
          </w:p>
        </w:tc>
        <w:tc>
          <w:tcPr>
            <w:tcW w:w="6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5分</w:t>
            </w:r>
          </w:p>
        </w:tc>
        <w:tc>
          <w:tcPr>
            <w:tcW w:w="1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99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cs="宋体"/>
                <w:color w:val="auto"/>
                <w:kern w:val="0"/>
                <w:sz w:val="24"/>
                <w:highlight w:val="none"/>
              </w:rPr>
            </w:pPr>
          </w:p>
        </w:tc>
        <w:tc>
          <w:tcPr>
            <w:tcW w:w="5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p>
        </w:tc>
        <w:tc>
          <w:tcPr>
            <w:tcW w:w="5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投标人企业管理体系、项目实施规范和管理制度等。</w:t>
            </w:r>
          </w:p>
        </w:tc>
        <w:tc>
          <w:tcPr>
            <w:tcW w:w="6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5分</w:t>
            </w:r>
          </w:p>
        </w:tc>
        <w:tc>
          <w:tcPr>
            <w:tcW w:w="1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cs="宋体"/>
                <w:color w:val="auto"/>
                <w:kern w:val="0"/>
                <w:sz w:val="24"/>
                <w:highlight w:val="none"/>
              </w:rPr>
            </w:pPr>
          </w:p>
        </w:tc>
        <w:tc>
          <w:tcPr>
            <w:tcW w:w="5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7</w:t>
            </w:r>
          </w:p>
        </w:tc>
        <w:tc>
          <w:tcPr>
            <w:tcW w:w="5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投标人进度保障措施：使项目顺利进行的各项保证、保障措施以及时间配置方案</w:t>
            </w:r>
            <w:r>
              <w:rPr>
                <w:rFonts w:hint="eastAsia" w:ascii="宋体" w:hAnsi="宋体" w:cs="宋体"/>
                <w:color w:val="auto"/>
                <w:sz w:val="24"/>
                <w:szCs w:val="24"/>
                <w:highlight w:val="none"/>
                <w:lang w:val="en-US" w:eastAsia="zh-CN"/>
              </w:rPr>
              <w:t>。</w:t>
            </w:r>
          </w:p>
        </w:tc>
        <w:tc>
          <w:tcPr>
            <w:tcW w:w="6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5分</w:t>
            </w:r>
          </w:p>
        </w:tc>
        <w:tc>
          <w:tcPr>
            <w:tcW w:w="1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cs="宋体"/>
                <w:color w:val="auto"/>
                <w:kern w:val="0"/>
                <w:sz w:val="24"/>
                <w:highlight w:val="none"/>
              </w:rPr>
            </w:pPr>
          </w:p>
        </w:tc>
        <w:tc>
          <w:tcPr>
            <w:tcW w:w="5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8</w:t>
            </w:r>
          </w:p>
        </w:tc>
        <w:tc>
          <w:tcPr>
            <w:tcW w:w="5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投标人服务质量保证措施。</w:t>
            </w:r>
          </w:p>
        </w:tc>
        <w:tc>
          <w:tcPr>
            <w:tcW w:w="6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5分</w:t>
            </w:r>
          </w:p>
        </w:tc>
        <w:tc>
          <w:tcPr>
            <w:tcW w:w="1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cs="宋体"/>
                <w:color w:val="auto"/>
                <w:kern w:val="0"/>
                <w:sz w:val="24"/>
                <w:highlight w:val="none"/>
              </w:rPr>
            </w:pPr>
          </w:p>
        </w:tc>
        <w:tc>
          <w:tcPr>
            <w:tcW w:w="5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9</w:t>
            </w:r>
          </w:p>
        </w:tc>
        <w:tc>
          <w:tcPr>
            <w:tcW w:w="5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投标人</w:t>
            </w:r>
            <w:r>
              <w:rPr>
                <w:rFonts w:hint="eastAsia" w:ascii="宋体" w:hAnsi="宋体" w:eastAsia="宋体" w:cs="宋体"/>
                <w:color w:val="auto"/>
                <w:sz w:val="24"/>
                <w:szCs w:val="24"/>
                <w:highlight w:val="none"/>
                <w:lang w:val="en-US" w:eastAsia="zh-CN"/>
              </w:rPr>
              <w:t>运营数据分析与调研能力。</w:t>
            </w:r>
          </w:p>
        </w:tc>
        <w:tc>
          <w:tcPr>
            <w:tcW w:w="6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3</w:t>
            </w:r>
            <w:r>
              <w:rPr>
                <w:rFonts w:hint="eastAsia" w:ascii="宋体" w:hAnsi="宋体" w:eastAsia="宋体" w:cs="宋体"/>
                <w:color w:val="auto"/>
                <w:kern w:val="0"/>
                <w:sz w:val="24"/>
                <w:highlight w:val="none"/>
                <w:lang w:val="en-US" w:eastAsia="zh-CN"/>
              </w:rPr>
              <w:t>分</w:t>
            </w:r>
          </w:p>
        </w:tc>
        <w:tc>
          <w:tcPr>
            <w:tcW w:w="1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cs="宋体"/>
                <w:color w:val="auto"/>
                <w:kern w:val="0"/>
                <w:sz w:val="24"/>
                <w:highlight w:val="none"/>
              </w:rPr>
            </w:pPr>
          </w:p>
        </w:tc>
        <w:tc>
          <w:tcPr>
            <w:tcW w:w="5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10</w:t>
            </w:r>
          </w:p>
        </w:tc>
        <w:tc>
          <w:tcPr>
            <w:tcW w:w="5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left"/>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投标人组织活动与筹办能力。</w:t>
            </w:r>
          </w:p>
        </w:tc>
        <w:tc>
          <w:tcPr>
            <w:tcW w:w="6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5分</w:t>
            </w:r>
          </w:p>
        </w:tc>
        <w:tc>
          <w:tcPr>
            <w:tcW w:w="1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cs="宋体"/>
                <w:color w:val="auto"/>
                <w:kern w:val="0"/>
                <w:sz w:val="24"/>
                <w:highlight w:val="none"/>
              </w:rPr>
            </w:pPr>
          </w:p>
        </w:tc>
        <w:tc>
          <w:tcPr>
            <w:tcW w:w="5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10</w:t>
            </w:r>
          </w:p>
        </w:tc>
        <w:tc>
          <w:tcPr>
            <w:tcW w:w="5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left"/>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拟投入本项目团队的</w:t>
            </w:r>
            <w:r>
              <w:rPr>
                <w:rFonts w:hint="eastAsia" w:ascii="宋体" w:hAnsi="宋体" w:cs="宋体"/>
                <w:color w:val="auto"/>
                <w:sz w:val="24"/>
                <w:szCs w:val="24"/>
                <w:highlight w:val="none"/>
                <w:lang w:val="en-US" w:eastAsia="zh-CN"/>
              </w:rPr>
              <w:t>项目负责人</w:t>
            </w:r>
            <w:r>
              <w:rPr>
                <w:rFonts w:hint="eastAsia" w:ascii="宋体" w:hAnsi="宋体" w:eastAsia="宋体" w:cs="宋体"/>
                <w:color w:val="auto"/>
                <w:sz w:val="24"/>
                <w:szCs w:val="24"/>
                <w:highlight w:val="none"/>
                <w:lang w:val="en-US" w:eastAsia="zh-CN"/>
              </w:rPr>
              <w:t>的</w:t>
            </w:r>
            <w:r>
              <w:rPr>
                <w:rFonts w:hint="eastAsia" w:ascii="宋体" w:hAnsi="宋体" w:cs="宋体"/>
                <w:color w:val="auto"/>
                <w:sz w:val="24"/>
                <w:szCs w:val="24"/>
                <w:highlight w:val="none"/>
                <w:lang w:val="en-US" w:eastAsia="zh-CN"/>
              </w:rPr>
              <w:t>学历、资格证书、职称、</w:t>
            </w:r>
            <w:r>
              <w:rPr>
                <w:rFonts w:hint="eastAsia" w:ascii="宋体" w:hAnsi="宋体" w:eastAsia="宋体" w:cs="宋体"/>
                <w:color w:val="auto"/>
                <w:sz w:val="24"/>
                <w:szCs w:val="24"/>
                <w:highlight w:val="none"/>
                <w:lang w:val="en-US" w:eastAsia="zh-CN"/>
              </w:rPr>
              <w:t>从业经验、组织能力、</w:t>
            </w:r>
            <w:r>
              <w:rPr>
                <w:rFonts w:hint="eastAsia" w:ascii="宋体" w:hAnsi="宋体" w:cs="宋体"/>
                <w:color w:val="auto"/>
                <w:sz w:val="24"/>
                <w:szCs w:val="24"/>
                <w:highlight w:val="none"/>
                <w:lang w:val="en-US" w:eastAsia="zh-CN"/>
              </w:rPr>
              <w:t>管理</w:t>
            </w:r>
            <w:r>
              <w:rPr>
                <w:rFonts w:hint="eastAsia" w:ascii="宋体" w:hAnsi="宋体" w:eastAsia="宋体" w:cs="宋体"/>
                <w:color w:val="auto"/>
                <w:sz w:val="24"/>
                <w:szCs w:val="24"/>
                <w:highlight w:val="none"/>
                <w:lang w:val="en-US" w:eastAsia="zh-CN"/>
              </w:rPr>
              <w:t>能力</w:t>
            </w:r>
            <w:r>
              <w:rPr>
                <w:rFonts w:hint="eastAsia" w:ascii="宋体" w:hAnsi="宋体" w:cs="宋体"/>
                <w:color w:val="auto"/>
                <w:sz w:val="24"/>
                <w:szCs w:val="24"/>
                <w:highlight w:val="none"/>
                <w:lang w:val="en-US" w:eastAsia="zh-CN"/>
              </w:rPr>
              <w:t>等</w:t>
            </w:r>
            <w:r>
              <w:rPr>
                <w:rFonts w:hint="eastAsia" w:ascii="宋体" w:hAnsi="宋体" w:eastAsia="宋体" w:cs="宋体"/>
                <w:color w:val="auto"/>
                <w:sz w:val="24"/>
                <w:szCs w:val="24"/>
                <w:highlight w:val="none"/>
                <w:lang w:val="en-US" w:eastAsia="zh-CN"/>
              </w:rPr>
              <w:t>综合技术水平情况。</w:t>
            </w:r>
          </w:p>
        </w:tc>
        <w:tc>
          <w:tcPr>
            <w:tcW w:w="6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5</w:t>
            </w:r>
            <w:r>
              <w:rPr>
                <w:rFonts w:hint="eastAsia" w:ascii="宋体" w:hAnsi="宋体" w:eastAsia="宋体" w:cs="宋体"/>
                <w:color w:val="auto"/>
                <w:kern w:val="0"/>
                <w:sz w:val="24"/>
                <w:highlight w:val="none"/>
                <w:lang w:val="en-US" w:eastAsia="zh-CN"/>
              </w:rPr>
              <w:t>分</w:t>
            </w:r>
          </w:p>
        </w:tc>
        <w:tc>
          <w:tcPr>
            <w:tcW w:w="1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cs="宋体"/>
                <w:color w:val="auto"/>
                <w:kern w:val="0"/>
                <w:sz w:val="24"/>
                <w:highlight w:val="none"/>
              </w:rPr>
            </w:pPr>
          </w:p>
        </w:tc>
        <w:tc>
          <w:tcPr>
            <w:tcW w:w="5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11</w:t>
            </w:r>
          </w:p>
        </w:tc>
        <w:tc>
          <w:tcPr>
            <w:tcW w:w="5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拟投入本项目团队</w:t>
            </w:r>
            <w:r>
              <w:rPr>
                <w:rFonts w:hint="eastAsia" w:ascii="宋体" w:hAnsi="宋体" w:cs="宋体"/>
                <w:color w:val="auto"/>
                <w:sz w:val="24"/>
                <w:szCs w:val="24"/>
                <w:highlight w:val="none"/>
                <w:lang w:val="en-US" w:eastAsia="zh-CN"/>
              </w:rPr>
              <w:t>人员</w:t>
            </w:r>
            <w:r>
              <w:rPr>
                <w:rFonts w:hint="eastAsia" w:ascii="宋体" w:hAnsi="宋体" w:eastAsia="宋体" w:cs="宋体"/>
                <w:color w:val="auto"/>
                <w:sz w:val="24"/>
                <w:szCs w:val="24"/>
                <w:highlight w:val="none"/>
                <w:lang w:val="en-US" w:eastAsia="zh-CN"/>
              </w:rPr>
              <w:t>的</w:t>
            </w:r>
            <w:r>
              <w:rPr>
                <w:rFonts w:hint="eastAsia" w:ascii="宋体" w:hAnsi="宋体" w:cs="宋体"/>
                <w:color w:val="auto"/>
                <w:sz w:val="24"/>
                <w:szCs w:val="24"/>
                <w:highlight w:val="none"/>
                <w:lang w:val="en-US" w:eastAsia="zh-CN"/>
              </w:rPr>
              <w:t>学历、</w:t>
            </w:r>
            <w:r>
              <w:rPr>
                <w:rFonts w:hint="eastAsia" w:ascii="宋体" w:hAnsi="宋体" w:eastAsia="宋体" w:cs="宋体"/>
                <w:color w:val="auto"/>
                <w:sz w:val="24"/>
                <w:szCs w:val="24"/>
                <w:highlight w:val="none"/>
                <w:lang w:val="en-US" w:eastAsia="zh-CN"/>
              </w:rPr>
              <w:t>专业配置</w:t>
            </w:r>
            <w:r>
              <w:rPr>
                <w:rFonts w:hint="eastAsia" w:ascii="宋体" w:hAnsi="宋体" w:cs="宋体"/>
                <w:color w:val="auto"/>
                <w:sz w:val="24"/>
                <w:szCs w:val="24"/>
                <w:highlight w:val="none"/>
                <w:lang w:val="en-US" w:eastAsia="zh-CN"/>
              </w:rPr>
              <w:t>、资格证书、</w:t>
            </w:r>
            <w:r>
              <w:rPr>
                <w:rFonts w:hint="eastAsia" w:ascii="宋体" w:hAnsi="宋体" w:eastAsia="宋体" w:cs="宋体"/>
                <w:color w:val="auto"/>
                <w:sz w:val="24"/>
                <w:szCs w:val="24"/>
                <w:highlight w:val="none"/>
                <w:lang w:val="en-US" w:eastAsia="zh-CN"/>
              </w:rPr>
              <w:t>从业经验、访谈能力、分工明确程度</w:t>
            </w:r>
            <w:r>
              <w:rPr>
                <w:rFonts w:hint="eastAsia" w:ascii="宋体" w:hAnsi="宋体" w:cs="宋体"/>
                <w:color w:val="auto"/>
                <w:sz w:val="24"/>
                <w:szCs w:val="24"/>
                <w:highlight w:val="none"/>
                <w:lang w:val="en-US" w:eastAsia="zh-CN"/>
              </w:rPr>
              <w:t>等</w:t>
            </w:r>
            <w:r>
              <w:rPr>
                <w:rFonts w:hint="eastAsia" w:ascii="宋体" w:hAnsi="宋体" w:eastAsia="宋体" w:cs="宋体"/>
                <w:color w:val="auto"/>
                <w:sz w:val="24"/>
                <w:szCs w:val="24"/>
                <w:highlight w:val="none"/>
                <w:lang w:val="en-US" w:eastAsia="zh-CN"/>
              </w:rPr>
              <w:t>综合技术水平情况。</w:t>
            </w:r>
          </w:p>
        </w:tc>
        <w:tc>
          <w:tcPr>
            <w:tcW w:w="6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5分</w:t>
            </w:r>
          </w:p>
        </w:tc>
        <w:tc>
          <w:tcPr>
            <w:tcW w:w="1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cs="宋体"/>
                <w:color w:val="auto"/>
                <w:kern w:val="0"/>
                <w:sz w:val="24"/>
                <w:highlight w:val="none"/>
              </w:rPr>
            </w:pPr>
          </w:p>
        </w:tc>
        <w:tc>
          <w:tcPr>
            <w:tcW w:w="5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12</w:t>
            </w:r>
          </w:p>
        </w:tc>
        <w:tc>
          <w:tcPr>
            <w:tcW w:w="5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拟投入本项目的团队人员超过4人的每增加1人加1分，最高得4分。</w:t>
            </w:r>
          </w:p>
        </w:tc>
        <w:tc>
          <w:tcPr>
            <w:tcW w:w="6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4分</w:t>
            </w:r>
          </w:p>
        </w:tc>
        <w:tc>
          <w:tcPr>
            <w:tcW w:w="1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cs="宋体"/>
                <w:color w:val="auto"/>
                <w:kern w:val="0"/>
                <w:sz w:val="24"/>
                <w:highlight w:val="none"/>
              </w:rPr>
            </w:pPr>
          </w:p>
        </w:tc>
        <w:tc>
          <w:tcPr>
            <w:tcW w:w="5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13</w:t>
            </w:r>
          </w:p>
        </w:tc>
        <w:tc>
          <w:tcPr>
            <w:tcW w:w="5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投标人</w:t>
            </w:r>
            <w:r>
              <w:rPr>
                <w:rFonts w:hint="eastAsia" w:ascii="宋体" w:hAnsi="宋体" w:eastAsia="宋体" w:cs="宋体"/>
                <w:color w:val="auto"/>
                <w:sz w:val="24"/>
                <w:szCs w:val="24"/>
                <w:highlight w:val="none"/>
                <w:lang w:val="en-US" w:eastAsia="zh-CN"/>
              </w:rPr>
              <w:t>与采购人的沟通协调配合方案</w:t>
            </w:r>
            <w:r>
              <w:rPr>
                <w:rFonts w:hint="eastAsia" w:ascii="宋体" w:hAnsi="宋体" w:cs="宋体"/>
                <w:color w:val="auto"/>
                <w:sz w:val="24"/>
                <w:szCs w:val="24"/>
                <w:highlight w:val="none"/>
                <w:lang w:val="en-US" w:eastAsia="zh-CN"/>
              </w:rPr>
              <w:t>。</w:t>
            </w:r>
          </w:p>
        </w:tc>
        <w:tc>
          <w:tcPr>
            <w:tcW w:w="6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4</w:t>
            </w:r>
            <w:r>
              <w:rPr>
                <w:rFonts w:hint="eastAsia" w:ascii="宋体" w:hAnsi="宋体" w:eastAsia="宋体" w:cs="宋体"/>
                <w:color w:val="auto"/>
                <w:kern w:val="0"/>
                <w:sz w:val="24"/>
                <w:highlight w:val="none"/>
                <w:lang w:val="en-US" w:eastAsia="zh-CN"/>
              </w:rPr>
              <w:t>分</w:t>
            </w:r>
          </w:p>
        </w:tc>
        <w:tc>
          <w:tcPr>
            <w:tcW w:w="1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cs="宋体"/>
                <w:color w:val="auto"/>
                <w:kern w:val="0"/>
                <w:sz w:val="24"/>
                <w:highlight w:val="none"/>
              </w:rPr>
            </w:pPr>
          </w:p>
        </w:tc>
        <w:tc>
          <w:tcPr>
            <w:tcW w:w="5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4</w:t>
            </w:r>
          </w:p>
        </w:tc>
        <w:tc>
          <w:tcPr>
            <w:tcW w:w="5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投标人</w:t>
            </w:r>
            <w:r>
              <w:rPr>
                <w:rFonts w:hint="default" w:ascii="宋体" w:hAnsi="宋体" w:eastAsia="宋体" w:cs="宋体"/>
                <w:color w:val="auto"/>
                <w:sz w:val="24"/>
                <w:szCs w:val="24"/>
                <w:highlight w:val="none"/>
                <w:lang w:val="en-US" w:eastAsia="zh-CN"/>
              </w:rPr>
              <w:t>项目交付成果</w:t>
            </w:r>
            <w:r>
              <w:rPr>
                <w:rFonts w:hint="eastAsia" w:ascii="宋体" w:hAnsi="宋体" w:eastAsia="宋体" w:cs="宋体"/>
                <w:color w:val="auto"/>
                <w:sz w:val="24"/>
                <w:szCs w:val="24"/>
                <w:highlight w:val="none"/>
                <w:lang w:val="en-US" w:eastAsia="zh-CN"/>
              </w:rPr>
              <w:t>实施思路</w:t>
            </w:r>
            <w:r>
              <w:rPr>
                <w:rFonts w:hint="eastAsia" w:ascii="宋体" w:hAnsi="宋体" w:cs="宋体"/>
                <w:color w:val="auto"/>
                <w:sz w:val="24"/>
                <w:szCs w:val="24"/>
                <w:highlight w:val="none"/>
                <w:lang w:val="en-US" w:eastAsia="zh-CN"/>
              </w:rPr>
              <w:t>、信息的获取、编写流程等</w:t>
            </w:r>
            <w:r>
              <w:rPr>
                <w:rFonts w:hint="eastAsia" w:ascii="宋体" w:hAnsi="宋体" w:eastAsia="宋体" w:cs="宋体"/>
                <w:color w:val="auto"/>
                <w:sz w:val="24"/>
                <w:szCs w:val="24"/>
                <w:highlight w:val="none"/>
                <w:lang w:val="en-US" w:eastAsia="zh-CN"/>
              </w:rPr>
              <w:t>编纂能力</w:t>
            </w:r>
            <w:r>
              <w:rPr>
                <w:rFonts w:hint="eastAsia" w:ascii="宋体" w:hAnsi="宋体" w:cs="宋体"/>
                <w:color w:val="auto"/>
                <w:sz w:val="24"/>
                <w:szCs w:val="24"/>
                <w:highlight w:val="none"/>
                <w:lang w:val="en-US" w:eastAsia="zh-CN"/>
              </w:rPr>
              <w:t>。</w:t>
            </w:r>
          </w:p>
        </w:tc>
        <w:tc>
          <w:tcPr>
            <w:tcW w:w="6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4</w:t>
            </w:r>
            <w:r>
              <w:rPr>
                <w:rFonts w:hint="eastAsia" w:ascii="宋体" w:hAnsi="宋体" w:eastAsia="宋体" w:cs="宋体"/>
                <w:color w:val="auto"/>
                <w:kern w:val="0"/>
                <w:sz w:val="24"/>
                <w:highlight w:val="none"/>
                <w:lang w:val="en-US" w:eastAsia="zh-CN"/>
              </w:rPr>
              <w:t>分</w:t>
            </w:r>
          </w:p>
        </w:tc>
        <w:tc>
          <w:tcPr>
            <w:tcW w:w="1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cs="宋体"/>
                <w:color w:val="auto"/>
                <w:kern w:val="0"/>
                <w:sz w:val="24"/>
                <w:highlight w:val="none"/>
              </w:rPr>
            </w:pPr>
          </w:p>
        </w:tc>
        <w:tc>
          <w:tcPr>
            <w:tcW w:w="5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15</w:t>
            </w:r>
          </w:p>
        </w:tc>
        <w:tc>
          <w:tcPr>
            <w:tcW w:w="5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left"/>
              <w:textAlignment w:val="auto"/>
              <w:rPr>
                <w:rFonts w:hint="eastAsia" w:ascii="宋体" w:hAnsi="宋体" w:cs="宋体" w:eastAsiaTheme="minorEastAsia"/>
                <w:color w:val="auto"/>
                <w:sz w:val="24"/>
                <w:szCs w:val="24"/>
                <w:highlight w:val="none"/>
                <w:lang w:val="en-US" w:eastAsia="zh-CN"/>
              </w:rPr>
            </w:pPr>
            <w:r>
              <w:rPr>
                <w:rFonts w:hint="eastAsia" w:asciiTheme="minorEastAsia" w:hAnsiTheme="minorEastAsia" w:eastAsiaTheme="minorEastAsia"/>
                <w:bCs/>
                <w:color w:val="auto"/>
                <w:sz w:val="24"/>
                <w:szCs w:val="24"/>
                <w:highlight w:val="none"/>
                <w:lang w:val="en-US" w:eastAsia="zh-CN"/>
              </w:rPr>
              <w:t>投标人</w:t>
            </w:r>
            <w:r>
              <w:rPr>
                <w:rFonts w:hint="eastAsia" w:asciiTheme="minorEastAsia" w:hAnsiTheme="minorEastAsia" w:eastAsiaTheme="minorEastAsia"/>
                <w:bCs/>
                <w:color w:val="auto"/>
                <w:sz w:val="24"/>
                <w:szCs w:val="24"/>
                <w:highlight w:val="none"/>
              </w:rPr>
              <w:t>完善的售后服务承诺与措施</w:t>
            </w:r>
            <w:r>
              <w:rPr>
                <w:rFonts w:hint="eastAsia" w:asciiTheme="minorEastAsia" w:hAnsiTheme="minorEastAsia" w:eastAsiaTheme="minorEastAsia"/>
                <w:bCs/>
                <w:color w:val="auto"/>
                <w:sz w:val="24"/>
                <w:szCs w:val="24"/>
                <w:highlight w:val="none"/>
                <w:lang w:eastAsia="zh-CN"/>
              </w:rPr>
              <w:t>。</w:t>
            </w:r>
          </w:p>
        </w:tc>
        <w:tc>
          <w:tcPr>
            <w:tcW w:w="6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3</w:t>
            </w:r>
            <w:r>
              <w:rPr>
                <w:rFonts w:hint="eastAsia" w:ascii="宋体" w:hAnsi="宋体" w:eastAsia="宋体" w:cs="宋体"/>
                <w:color w:val="auto"/>
                <w:kern w:val="0"/>
                <w:sz w:val="24"/>
                <w:highlight w:val="none"/>
                <w:lang w:val="en-US" w:eastAsia="zh-CN"/>
              </w:rPr>
              <w:t>分</w:t>
            </w:r>
          </w:p>
        </w:tc>
        <w:tc>
          <w:tcPr>
            <w:tcW w:w="1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cs="宋体"/>
                <w:color w:val="auto"/>
                <w:kern w:val="0"/>
                <w:sz w:val="24"/>
                <w:highlight w:val="none"/>
              </w:rPr>
            </w:pPr>
          </w:p>
        </w:tc>
        <w:tc>
          <w:tcPr>
            <w:tcW w:w="5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16</w:t>
            </w:r>
          </w:p>
        </w:tc>
        <w:tc>
          <w:tcPr>
            <w:tcW w:w="5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投标人</w:t>
            </w:r>
            <w:r>
              <w:rPr>
                <w:rFonts w:hint="eastAsia" w:ascii="宋体" w:hAnsi="宋体" w:eastAsia="宋体" w:cs="宋体"/>
                <w:color w:val="auto"/>
                <w:sz w:val="24"/>
                <w:szCs w:val="24"/>
                <w:highlight w:val="none"/>
                <w:lang w:val="en-US" w:eastAsia="zh-CN"/>
              </w:rPr>
              <w:t>提供额外的增值服务承诺</w:t>
            </w:r>
            <w:r>
              <w:rPr>
                <w:rFonts w:hint="eastAsia" w:ascii="宋体" w:hAnsi="宋体" w:cs="宋体"/>
                <w:color w:val="auto"/>
                <w:sz w:val="24"/>
                <w:szCs w:val="24"/>
                <w:highlight w:val="none"/>
                <w:lang w:val="en-US" w:eastAsia="zh-CN"/>
              </w:rPr>
              <w:t>。</w:t>
            </w:r>
          </w:p>
        </w:tc>
        <w:tc>
          <w:tcPr>
            <w:tcW w:w="6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2</w:t>
            </w:r>
            <w:r>
              <w:rPr>
                <w:rFonts w:hint="eastAsia" w:ascii="宋体" w:hAnsi="宋体" w:eastAsia="宋体" w:cs="宋体"/>
                <w:color w:val="auto"/>
                <w:kern w:val="0"/>
                <w:sz w:val="24"/>
                <w:highlight w:val="none"/>
                <w:lang w:val="en-US" w:eastAsia="zh-CN"/>
              </w:rPr>
              <w:t>分</w:t>
            </w:r>
          </w:p>
        </w:tc>
        <w:tc>
          <w:tcPr>
            <w:tcW w:w="1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cs="宋体"/>
                <w:color w:val="auto"/>
                <w:kern w:val="0"/>
                <w:sz w:val="24"/>
                <w:highlight w:val="none"/>
              </w:rPr>
            </w:pPr>
          </w:p>
        </w:tc>
        <w:tc>
          <w:tcPr>
            <w:tcW w:w="5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7</w:t>
            </w:r>
          </w:p>
        </w:tc>
        <w:tc>
          <w:tcPr>
            <w:tcW w:w="5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left"/>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投标人</w:t>
            </w:r>
            <w:r>
              <w:rPr>
                <w:rFonts w:hint="eastAsia" w:ascii="宋体" w:hAnsi="宋体" w:eastAsia="宋体" w:cs="宋体"/>
                <w:color w:val="auto"/>
                <w:sz w:val="24"/>
                <w:szCs w:val="24"/>
                <w:highlight w:val="none"/>
                <w:lang w:val="en-US" w:eastAsia="zh-CN"/>
              </w:rPr>
              <w:t>保密安全方案</w:t>
            </w:r>
            <w:r>
              <w:rPr>
                <w:rFonts w:hint="eastAsia" w:ascii="宋体" w:hAnsi="宋体" w:cs="宋体"/>
                <w:color w:val="auto"/>
                <w:sz w:val="24"/>
                <w:szCs w:val="24"/>
                <w:highlight w:val="none"/>
                <w:lang w:val="en-US" w:eastAsia="zh-CN"/>
              </w:rPr>
              <w:t>。</w:t>
            </w:r>
          </w:p>
        </w:tc>
        <w:tc>
          <w:tcPr>
            <w:tcW w:w="6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5分</w:t>
            </w:r>
          </w:p>
        </w:tc>
        <w:tc>
          <w:tcPr>
            <w:tcW w:w="1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cs="宋体"/>
                <w:color w:val="auto"/>
                <w:kern w:val="0"/>
                <w:sz w:val="24"/>
                <w:highlight w:val="none"/>
              </w:rPr>
            </w:pPr>
          </w:p>
        </w:tc>
        <w:tc>
          <w:tcPr>
            <w:tcW w:w="5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8</w:t>
            </w:r>
          </w:p>
        </w:tc>
        <w:tc>
          <w:tcPr>
            <w:tcW w:w="5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本项目的重、难点分析及解决措施</w:t>
            </w:r>
            <w:r>
              <w:rPr>
                <w:rFonts w:hint="eastAsia" w:ascii="宋体" w:hAnsi="宋体" w:cs="宋体"/>
                <w:color w:val="auto"/>
                <w:sz w:val="24"/>
                <w:szCs w:val="24"/>
                <w:highlight w:val="none"/>
                <w:lang w:val="en-US" w:eastAsia="zh-CN"/>
              </w:rPr>
              <w:t>。</w:t>
            </w:r>
          </w:p>
        </w:tc>
        <w:tc>
          <w:tcPr>
            <w:tcW w:w="6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3</w:t>
            </w:r>
            <w:r>
              <w:rPr>
                <w:rFonts w:hint="eastAsia" w:ascii="宋体" w:hAnsi="宋体" w:eastAsia="宋体" w:cs="宋体"/>
                <w:color w:val="auto"/>
                <w:kern w:val="0"/>
                <w:sz w:val="24"/>
                <w:highlight w:val="none"/>
                <w:lang w:val="en-US" w:eastAsia="zh-CN"/>
              </w:rPr>
              <w:t>分</w:t>
            </w:r>
          </w:p>
        </w:tc>
        <w:tc>
          <w:tcPr>
            <w:tcW w:w="1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8" w:hRule="atLeast"/>
          <w:jc w:val="center"/>
        </w:trPr>
        <w:tc>
          <w:tcPr>
            <w:tcW w:w="9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lang w:eastAsia="zh-CN"/>
              </w:rPr>
              <w:t>价格</w:t>
            </w:r>
            <w:r>
              <w:rPr>
                <w:rFonts w:hint="eastAsia" w:ascii="宋体" w:hAnsi="宋体" w:cs="宋体"/>
                <w:color w:val="auto"/>
                <w:kern w:val="0"/>
                <w:sz w:val="24"/>
                <w:highlight w:val="none"/>
              </w:rPr>
              <w:t>部分</w:t>
            </w:r>
          </w:p>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（满分</w:t>
            </w:r>
            <w:r>
              <w:rPr>
                <w:rFonts w:hint="eastAsia" w:ascii="宋体" w:hAnsi="宋体" w:cs="宋体"/>
                <w:color w:val="auto"/>
                <w:kern w:val="0"/>
                <w:sz w:val="24"/>
                <w:highlight w:val="none"/>
                <w:lang w:val="en-US" w:eastAsia="zh-CN"/>
              </w:rPr>
              <w:t>20</w:t>
            </w:r>
            <w:r>
              <w:rPr>
                <w:rFonts w:hint="eastAsia" w:ascii="宋体" w:hAnsi="宋体" w:cs="宋体"/>
                <w:color w:val="auto"/>
                <w:kern w:val="0"/>
                <w:sz w:val="24"/>
                <w:highlight w:val="none"/>
              </w:rPr>
              <w:t>分）</w:t>
            </w:r>
          </w:p>
        </w:tc>
        <w:tc>
          <w:tcPr>
            <w:tcW w:w="5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1</w:t>
            </w:r>
          </w:p>
        </w:tc>
        <w:tc>
          <w:tcPr>
            <w:tcW w:w="5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满足招标文件要求且投标价格</w:t>
            </w:r>
            <w:r>
              <w:rPr>
                <w:rFonts w:hint="eastAsia" w:ascii="宋体" w:hAnsi="宋体" w:cs="宋体"/>
                <w:color w:val="auto"/>
                <w:sz w:val="24"/>
                <w:highlight w:val="none"/>
                <w:lang w:eastAsia="zh-CN"/>
              </w:rPr>
              <w:t>（政府采购政策价格扣除后）</w:t>
            </w:r>
            <w:r>
              <w:rPr>
                <w:rFonts w:hint="eastAsia" w:ascii="宋体" w:hAnsi="宋体" w:eastAsia="宋体" w:cs="宋体"/>
                <w:color w:val="auto"/>
                <w:sz w:val="24"/>
                <w:szCs w:val="24"/>
                <w:highlight w:val="none"/>
              </w:rPr>
              <w:t>最低的投标报价为评标基准价，其价格分为满分。</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各个投标人的投标价与评标基准价相比，计算出投标报价得分。</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投标报价得分=(评标基准价／投标报价)×</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注：以上评分保留小数2位。</w:t>
            </w:r>
          </w:p>
        </w:tc>
        <w:tc>
          <w:tcPr>
            <w:tcW w:w="6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20分</w:t>
            </w:r>
          </w:p>
        </w:tc>
        <w:tc>
          <w:tcPr>
            <w:tcW w:w="1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107" w:leftChars="-51" w:right="-97" w:rightChars="-46"/>
              <w:jc w:val="center"/>
              <w:textAlignment w:val="auto"/>
              <w:rPr>
                <w:rFonts w:hint="eastAsia" w:ascii="宋体" w:hAnsi="宋体" w:eastAsia="宋体" w:cs="宋体"/>
                <w:color w:val="auto"/>
                <w:kern w:val="0"/>
                <w:sz w:val="24"/>
                <w:highlight w:val="none"/>
                <w:lang w:val="en-US" w:eastAsia="zh-CN"/>
              </w:rPr>
            </w:pPr>
          </w:p>
        </w:tc>
      </w:tr>
    </w:tbl>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w:t>
      </w:r>
      <w:r>
        <w:rPr>
          <w:rFonts w:hint="eastAsia" w:ascii="宋体" w:hAnsi="宋体" w:eastAsia="宋体" w:cs="宋体"/>
          <w:b/>
          <w:color w:val="auto"/>
          <w:sz w:val="24"/>
          <w:szCs w:val="24"/>
          <w:highlight w:val="none"/>
        </w:rPr>
        <w:t>备注：</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编制</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（商务技术文件部分）时，建议按此目录（序号和内容）</w:t>
      </w:r>
    </w:p>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提供评</w:t>
      </w:r>
      <w:r>
        <w:rPr>
          <w:rFonts w:hint="eastAsia" w:ascii="宋体" w:hAnsi="宋体" w:eastAsia="宋体" w:cs="宋体"/>
          <w:color w:val="auto"/>
          <w:sz w:val="24"/>
          <w:szCs w:val="24"/>
          <w:highlight w:val="none"/>
          <w:lang w:val="en-US" w:eastAsia="zh-CN"/>
        </w:rPr>
        <w:t>审</w:t>
      </w:r>
      <w:r>
        <w:rPr>
          <w:rFonts w:hint="eastAsia" w:ascii="宋体" w:hAnsi="宋体" w:eastAsia="宋体" w:cs="宋体"/>
          <w:color w:val="auto"/>
          <w:sz w:val="24"/>
          <w:szCs w:val="24"/>
          <w:highlight w:val="none"/>
        </w:rPr>
        <w:t>标准相应的商务技术资料。</w:t>
      </w:r>
    </w:p>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b/>
          <w:color w:val="auto"/>
          <w:sz w:val="24"/>
          <w:szCs w:val="24"/>
          <w:highlight w:val="none"/>
        </w:rPr>
      </w:pPr>
    </w:p>
    <w:p>
      <w:pPr>
        <w:pStyle w:val="2"/>
        <w:bidi w:val="0"/>
        <w:jc w:val="left"/>
        <w:rPr>
          <w:rFonts w:hint="eastAsia" w:ascii="宋体" w:hAnsi="宋体" w:eastAsia="宋体" w:cs="宋体"/>
          <w:color w:val="auto"/>
          <w:sz w:val="24"/>
          <w:szCs w:val="24"/>
        </w:rPr>
      </w:pPr>
      <w:bookmarkStart w:id="441" w:name="_Toc3941"/>
      <w:r>
        <w:rPr>
          <w:rFonts w:hint="eastAsia" w:ascii="宋体" w:hAnsi="宋体" w:eastAsia="宋体" w:cs="宋体"/>
          <w:color w:val="auto"/>
          <w:sz w:val="24"/>
          <w:szCs w:val="24"/>
        </w:rPr>
        <w:t>一、评标方法</w:t>
      </w:r>
      <w:bookmarkEnd w:id="441"/>
    </w:p>
    <w:p>
      <w:pPr>
        <w:keepNext w:val="0"/>
        <w:keepLines w:val="0"/>
        <w:pageBreakBefore w:val="0"/>
        <w:kinsoku/>
        <w:wordWrap/>
        <w:overflowPunct/>
        <w:topLinePunct w:val="0"/>
        <w:autoSpaceDE/>
        <w:autoSpaceDN/>
        <w:bidi w:val="0"/>
        <w:adjustRightInd/>
        <w:spacing w:line="360" w:lineRule="auto"/>
        <w:ind w:firstLine="472" w:firstLineChars="196"/>
        <w:textAlignment w:val="auto"/>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1.本项目采用综合评分法。</w:t>
      </w:r>
      <w:r>
        <w:rPr>
          <w:rFonts w:hint="eastAsia" w:ascii="宋体" w:hAnsi="宋体" w:eastAsia="宋体" w:cs="宋体"/>
          <w:color w:val="auto"/>
          <w:kern w:val="0"/>
          <w:sz w:val="24"/>
          <w:szCs w:val="24"/>
          <w:highlight w:val="none"/>
        </w:rPr>
        <w:t>综合评分法，是指投标文件满足招标文件全部实质性要求，且按照评审因素的量化指标评审得分最高的投标人为中标候选人的评标方法。</w:t>
      </w: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b/>
          <w:color w:val="auto"/>
          <w:sz w:val="24"/>
          <w:szCs w:val="24"/>
          <w:highlight w:val="none"/>
        </w:rPr>
      </w:pPr>
    </w:p>
    <w:p>
      <w:pPr>
        <w:pStyle w:val="2"/>
        <w:bidi w:val="0"/>
        <w:jc w:val="left"/>
        <w:rPr>
          <w:rFonts w:hint="eastAsia" w:ascii="宋体" w:hAnsi="宋体" w:eastAsia="宋体" w:cs="宋体"/>
          <w:color w:val="auto"/>
          <w:sz w:val="24"/>
          <w:szCs w:val="24"/>
        </w:rPr>
      </w:pPr>
      <w:bookmarkStart w:id="442" w:name="_Toc13269"/>
      <w:r>
        <w:rPr>
          <w:rFonts w:hint="eastAsia" w:ascii="宋体" w:hAnsi="宋体" w:eastAsia="宋体" w:cs="宋体"/>
          <w:color w:val="auto"/>
          <w:sz w:val="24"/>
          <w:szCs w:val="24"/>
        </w:rPr>
        <w:t>二、评标标准</w:t>
      </w:r>
      <w:bookmarkEnd w:id="442"/>
    </w:p>
    <w:p>
      <w:pPr>
        <w:keepNext w:val="0"/>
        <w:keepLines w:val="0"/>
        <w:pageBreakBefore w:val="0"/>
        <w:kinsoku/>
        <w:wordWrap/>
        <w:overflowPunct/>
        <w:topLinePunct w:val="0"/>
        <w:autoSpaceDE/>
        <w:autoSpaceDN/>
        <w:bidi w:val="0"/>
        <w:spacing w:line="360" w:lineRule="auto"/>
        <w:ind w:firstLine="472" w:firstLineChars="196"/>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w:t>
      </w:r>
      <w:r>
        <w:rPr>
          <w:rFonts w:hint="eastAsia" w:ascii="宋体" w:hAnsi="宋体" w:eastAsia="宋体" w:cs="宋体"/>
          <w:color w:val="auto"/>
          <w:sz w:val="24"/>
          <w:szCs w:val="24"/>
          <w:highlight w:val="none"/>
        </w:rPr>
        <w:t xml:space="preserve"> </w:t>
      </w:r>
      <w:r>
        <w:rPr>
          <w:rFonts w:hint="eastAsia" w:ascii="宋体" w:hAnsi="宋体" w:eastAsia="宋体" w:cs="宋体"/>
          <w:b/>
          <w:color w:val="auto"/>
          <w:sz w:val="24"/>
          <w:szCs w:val="24"/>
          <w:highlight w:val="none"/>
        </w:rPr>
        <w:t>评标标准：</w:t>
      </w:r>
      <w:r>
        <w:rPr>
          <w:rFonts w:hint="eastAsia" w:ascii="宋体" w:hAnsi="宋体" w:eastAsia="宋体" w:cs="宋体"/>
          <w:color w:val="auto"/>
          <w:kern w:val="0"/>
          <w:sz w:val="24"/>
          <w:szCs w:val="24"/>
          <w:highlight w:val="none"/>
        </w:rPr>
        <w:t>见评标办法前附表。</w:t>
      </w:r>
    </w:p>
    <w:p>
      <w:pPr>
        <w:keepNext w:val="0"/>
        <w:keepLines w:val="0"/>
        <w:pageBreakBefore w:val="0"/>
        <w:kinsoku/>
        <w:wordWrap/>
        <w:overflowPunct/>
        <w:topLinePunct w:val="0"/>
        <w:autoSpaceDE/>
        <w:autoSpaceDN/>
        <w:bidi w:val="0"/>
        <w:spacing w:line="360" w:lineRule="auto"/>
        <w:textAlignment w:val="auto"/>
        <w:outlineLvl w:val="9"/>
        <w:rPr>
          <w:rFonts w:hint="eastAsia" w:ascii="宋体" w:hAnsi="宋体" w:eastAsia="宋体" w:cs="宋体"/>
          <w:b/>
          <w:color w:val="auto"/>
          <w:sz w:val="24"/>
          <w:szCs w:val="24"/>
          <w:highlight w:val="none"/>
        </w:rPr>
      </w:pPr>
    </w:p>
    <w:p>
      <w:pPr>
        <w:pStyle w:val="2"/>
        <w:bidi w:val="0"/>
        <w:jc w:val="left"/>
        <w:rPr>
          <w:rFonts w:hint="eastAsia" w:ascii="宋体" w:hAnsi="宋体" w:eastAsia="宋体" w:cs="宋体"/>
          <w:color w:val="auto"/>
          <w:sz w:val="24"/>
          <w:szCs w:val="24"/>
        </w:rPr>
      </w:pPr>
      <w:bookmarkStart w:id="443" w:name="_Toc3879"/>
      <w:r>
        <w:rPr>
          <w:rFonts w:hint="eastAsia" w:ascii="宋体" w:hAnsi="宋体" w:eastAsia="宋体" w:cs="宋体"/>
          <w:color w:val="auto"/>
          <w:sz w:val="24"/>
          <w:szCs w:val="24"/>
        </w:rPr>
        <w:t>三、评标程序</w:t>
      </w:r>
      <w:bookmarkEnd w:id="443"/>
    </w:p>
    <w:p>
      <w:pPr>
        <w:keepNext w:val="0"/>
        <w:keepLines w:val="0"/>
        <w:pageBreakBefore w:val="0"/>
        <w:kinsoku/>
        <w:wordWrap/>
        <w:overflowPunct/>
        <w:topLinePunct w:val="0"/>
        <w:autoSpaceDE/>
        <w:autoSpaceDN/>
        <w:bidi w:val="0"/>
        <w:spacing w:line="360" w:lineRule="auto"/>
        <w:ind w:firstLine="472" w:firstLineChars="196"/>
        <w:textAlignment w:val="auto"/>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3.1符合性审查。</w:t>
      </w:r>
      <w:r>
        <w:rPr>
          <w:rFonts w:hint="eastAsia" w:ascii="宋体" w:hAnsi="宋体" w:eastAsia="宋体" w:cs="宋体"/>
          <w:color w:val="auto"/>
          <w:kern w:val="0"/>
          <w:sz w:val="24"/>
          <w:szCs w:val="24"/>
          <w:highlight w:val="none"/>
        </w:rPr>
        <w:t>评标委员会应当对符合资格的投标人的投标文件进行符合性审查，以确定其是否满足招标文件的实质性要求。不满足招标文件的实质性要求的，投标无效。</w:t>
      </w:r>
    </w:p>
    <w:p>
      <w:pPr>
        <w:keepNext w:val="0"/>
        <w:keepLines w:val="0"/>
        <w:pageBreakBefore w:val="0"/>
        <w:kinsoku/>
        <w:wordWrap/>
        <w:overflowPunct/>
        <w:topLinePunct w:val="0"/>
        <w:autoSpaceDE/>
        <w:autoSpaceDN/>
        <w:bidi w:val="0"/>
        <w:spacing w:line="360" w:lineRule="auto"/>
        <w:ind w:firstLine="472" w:firstLineChars="196"/>
        <w:textAlignment w:val="auto"/>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3.2 比较与评价。</w:t>
      </w:r>
      <w:r>
        <w:rPr>
          <w:rFonts w:hint="eastAsia" w:ascii="宋体" w:hAnsi="宋体" w:eastAsia="宋体" w:cs="宋体"/>
          <w:color w:val="auto"/>
          <w:kern w:val="0"/>
          <w:sz w:val="24"/>
          <w:szCs w:val="24"/>
          <w:highlight w:val="none"/>
        </w:rPr>
        <w:t>评标委员会应当按照招标文件中规定的评标方法和标准，对符合性审查合格的投标文件进行商务和技术评估，综合比较与评价。</w:t>
      </w:r>
    </w:p>
    <w:p>
      <w:pPr>
        <w:keepNext w:val="0"/>
        <w:keepLines w:val="0"/>
        <w:pageBreakBefore w:val="0"/>
        <w:kinsoku/>
        <w:wordWrap/>
        <w:overflowPunct/>
        <w:topLinePunct w:val="0"/>
        <w:autoSpaceDE/>
        <w:autoSpaceDN/>
        <w:bidi w:val="0"/>
        <w:spacing w:line="360" w:lineRule="auto"/>
        <w:ind w:firstLine="472" w:firstLineChars="196"/>
        <w:textAlignment w:val="auto"/>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3.3汇总商务技术得分。</w:t>
      </w:r>
      <w:r>
        <w:rPr>
          <w:rFonts w:hint="eastAsia" w:ascii="宋体" w:hAnsi="宋体" w:eastAsia="宋体" w:cs="宋体"/>
          <w:color w:val="auto"/>
          <w:kern w:val="0"/>
          <w:sz w:val="24"/>
          <w:szCs w:val="24"/>
          <w:highlight w:val="none"/>
        </w:rPr>
        <w:t>评标委员会各成员应当独立对每个投标人的商务和技术文件进行评价，并汇总商务技术得分情况。</w:t>
      </w:r>
    </w:p>
    <w:p>
      <w:pPr>
        <w:keepNext w:val="0"/>
        <w:keepLines w:val="0"/>
        <w:pageBreakBefore w:val="0"/>
        <w:kinsoku/>
        <w:wordWrap/>
        <w:overflowPunct/>
        <w:topLinePunct w:val="0"/>
        <w:autoSpaceDE/>
        <w:autoSpaceDN/>
        <w:bidi w:val="0"/>
        <w:spacing w:line="360" w:lineRule="auto"/>
        <w:ind w:firstLine="472" w:firstLineChars="196"/>
        <w:textAlignment w:val="auto"/>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3.4报价评审。</w:t>
      </w:r>
    </w:p>
    <w:p>
      <w:pPr>
        <w:pStyle w:val="24"/>
        <w:keepNext w:val="0"/>
        <w:keepLines w:val="0"/>
        <w:pageBreakBefore w:val="0"/>
        <w:kinsoku/>
        <w:wordWrap/>
        <w:overflowPunct/>
        <w:topLinePunct w:val="0"/>
        <w:autoSpaceDE/>
        <w:autoSpaceDN/>
        <w:bidi w:val="0"/>
        <w:spacing w:before="0" w:line="360" w:lineRule="auto"/>
        <w:ind w:firstLine="508" w:firstLineChars="212"/>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3.4.1投标文件报价出现前后不一致的，按照下列规定修正：</w:t>
      </w:r>
    </w:p>
    <w:p>
      <w:pPr>
        <w:pStyle w:val="24"/>
        <w:keepNext w:val="0"/>
        <w:keepLines w:val="0"/>
        <w:pageBreakBefore w:val="0"/>
        <w:kinsoku/>
        <w:wordWrap/>
        <w:overflowPunct/>
        <w:topLinePunct w:val="0"/>
        <w:autoSpaceDE/>
        <w:autoSpaceDN/>
        <w:bidi w:val="0"/>
        <w:spacing w:before="0" w:line="360" w:lineRule="auto"/>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3.4.1.1投标文件中开标一览表(报价表)内容与投标文件中相应内容不一致的，以开标一览表(报价表)为准;</w:t>
      </w:r>
    </w:p>
    <w:p>
      <w:pPr>
        <w:pStyle w:val="24"/>
        <w:keepNext w:val="0"/>
        <w:keepLines w:val="0"/>
        <w:pageBreakBefore w:val="0"/>
        <w:kinsoku/>
        <w:wordWrap/>
        <w:overflowPunct/>
        <w:topLinePunct w:val="0"/>
        <w:autoSpaceDE/>
        <w:autoSpaceDN/>
        <w:bidi w:val="0"/>
        <w:spacing w:before="0" w:line="360" w:lineRule="auto"/>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3.4.1.2大写金额和小写金额不一致的，以大写金额为准;</w:t>
      </w:r>
    </w:p>
    <w:p>
      <w:pPr>
        <w:pStyle w:val="24"/>
        <w:keepNext w:val="0"/>
        <w:keepLines w:val="0"/>
        <w:pageBreakBefore w:val="0"/>
        <w:kinsoku/>
        <w:wordWrap/>
        <w:overflowPunct/>
        <w:topLinePunct w:val="0"/>
        <w:autoSpaceDE/>
        <w:autoSpaceDN/>
        <w:bidi w:val="0"/>
        <w:spacing w:before="0" w:line="360" w:lineRule="auto"/>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3.4.1.3单价金额小数点或者百分比有明显错位的，以开标一览表的总价为准，并修改单价;</w:t>
      </w:r>
    </w:p>
    <w:p>
      <w:pPr>
        <w:pStyle w:val="24"/>
        <w:keepNext w:val="0"/>
        <w:keepLines w:val="0"/>
        <w:pageBreakBefore w:val="0"/>
        <w:kinsoku/>
        <w:wordWrap/>
        <w:overflowPunct/>
        <w:topLinePunct w:val="0"/>
        <w:autoSpaceDE/>
        <w:autoSpaceDN/>
        <w:bidi w:val="0"/>
        <w:spacing w:before="0" w:line="360" w:lineRule="auto"/>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3.4.1.4总价金额与按单价汇总金额不一致的，以单价金额计算结果为准。</w:t>
      </w:r>
    </w:p>
    <w:p>
      <w:pPr>
        <w:pStyle w:val="24"/>
        <w:keepNext w:val="0"/>
        <w:keepLines w:val="0"/>
        <w:pageBreakBefore w:val="0"/>
        <w:kinsoku/>
        <w:wordWrap/>
        <w:overflowPunct/>
        <w:topLinePunct w:val="0"/>
        <w:autoSpaceDE/>
        <w:autoSpaceDN/>
        <w:bidi w:val="0"/>
        <w:spacing w:before="0" w:line="360" w:lineRule="auto"/>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keepNext w:val="0"/>
        <w:keepLines w:val="0"/>
        <w:pageBreakBefore w:val="0"/>
        <w:kinsoku/>
        <w:wordWrap/>
        <w:overflowPunct/>
        <w:topLinePunct w:val="0"/>
        <w:autoSpaceDE/>
        <w:autoSpaceDN/>
        <w:bidi w:val="0"/>
        <w:snapToGrid w:val="0"/>
        <w:spacing w:line="36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3.4.2投标文件出现不是唯一的、有选择性投标报价的，投标无效。</w:t>
      </w:r>
    </w:p>
    <w:p>
      <w:pPr>
        <w:keepNext w:val="0"/>
        <w:keepLines w:val="0"/>
        <w:pageBreakBefore w:val="0"/>
        <w:kinsoku/>
        <w:wordWrap/>
        <w:overflowPunct/>
        <w:topLinePunct w:val="0"/>
        <w:autoSpaceDE/>
        <w:autoSpaceDN/>
        <w:bidi w:val="0"/>
        <w:snapToGrid w:val="0"/>
        <w:spacing w:line="36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3.4.3投标报价超过招标文件中规定的预算金额或者最高限价的，投标无效。</w:t>
      </w:r>
    </w:p>
    <w:p>
      <w:pPr>
        <w:pStyle w:val="24"/>
        <w:keepNext w:val="0"/>
        <w:keepLines w:val="0"/>
        <w:pageBreakBefore w:val="0"/>
        <w:kinsoku/>
        <w:wordWrap/>
        <w:overflowPunct/>
        <w:topLinePunct w:val="0"/>
        <w:autoSpaceDE/>
        <w:autoSpaceDN/>
        <w:bidi w:val="0"/>
        <w:spacing w:before="0" w:line="360" w:lineRule="auto"/>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24"/>
        <w:keepNext w:val="0"/>
        <w:keepLines w:val="0"/>
        <w:pageBreakBefore w:val="0"/>
        <w:kinsoku/>
        <w:wordWrap/>
        <w:overflowPunct/>
        <w:topLinePunct w:val="0"/>
        <w:autoSpaceDE/>
        <w:autoSpaceDN/>
        <w:bidi w:val="0"/>
        <w:spacing w:before="0" w:line="360" w:lineRule="auto"/>
        <w:ind w:firstLine="480"/>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3.4.5对于未预留份额专门面向中小企业的政府采购货物或服务项目，以及预留份额政府采购货物或服务项目中的非预留部分标项，对小型和微型企业的投标报价给予（货物和服务项目为10%、工程项目为5%）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货物和服务项目为3%、工程项目为2%）的扣除，用扣除后的价格参加评审。组成联合体或者接受分包的小微企业与联合体内其他企业、分包企业之间存在直接控股、管理关系的，不享受价格扣除优惠政策。</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3.5排序与推荐。</w:t>
      </w:r>
      <w:r>
        <w:rPr>
          <w:rFonts w:hint="eastAsia" w:ascii="宋体" w:hAnsi="宋体" w:eastAsia="宋体" w:cs="宋体"/>
          <w:color w:val="auto"/>
          <w:kern w:val="0"/>
          <w:sz w:val="24"/>
          <w:szCs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keepNext w:val="0"/>
        <w:keepLines w:val="0"/>
        <w:pageBreakBefore w:val="0"/>
        <w:kinsoku/>
        <w:wordWrap/>
        <w:overflowPunct/>
        <w:topLinePunct w:val="0"/>
        <w:autoSpaceDE/>
        <w:autoSpaceDN/>
        <w:bidi w:val="0"/>
        <w:spacing w:line="360" w:lineRule="auto"/>
        <w:ind w:firstLine="472" w:firstLineChars="196"/>
        <w:textAlignment w:val="auto"/>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3.6编写评标报告。</w:t>
      </w:r>
      <w:r>
        <w:rPr>
          <w:rFonts w:hint="eastAsia" w:ascii="宋体" w:hAnsi="宋体" w:eastAsia="宋体" w:cs="宋体"/>
          <w:color w:val="auto"/>
          <w:kern w:val="0"/>
          <w:sz w:val="24"/>
          <w:szCs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keepNext w:val="0"/>
        <w:keepLines w:val="0"/>
        <w:pageBreakBefore w:val="0"/>
        <w:widowControl/>
        <w:shd w:val="clear" w:color="auto" w:fill="FFFFFF"/>
        <w:kinsoku/>
        <w:wordWrap/>
        <w:overflowPunct/>
        <w:topLinePunct w:val="0"/>
        <w:autoSpaceDE/>
        <w:autoSpaceDN/>
        <w:bidi w:val="0"/>
        <w:adjustRightInd/>
        <w:spacing w:line="360" w:lineRule="auto"/>
        <w:jc w:val="left"/>
        <w:textAlignment w:val="auto"/>
        <w:rPr>
          <w:rFonts w:hint="eastAsia" w:ascii="宋体" w:hAnsi="宋体" w:eastAsia="宋体" w:cs="宋体"/>
          <w:b/>
          <w:color w:val="auto"/>
          <w:sz w:val="24"/>
          <w:szCs w:val="24"/>
          <w:highlight w:val="none"/>
        </w:rPr>
      </w:pPr>
    </w:p>
    <w:p>
      <w:pPr>
        <w:pStyle w:val="2"/>
        <w:bidi w:val="0"/>
        <w:jc w:val="left"/>
        <w:rPr>
          <w:rFonts w:hint="eastAsia" w:ascii="宋体" w:hAnsi="宋体" w:eastAsia="宋体" w:cs="宋体"/>
          <w:color w:val="auto"/>
          <w:sz w:val="24"/>
          <w:szCs w:val="24"/>
        </w:rPr>
      </w:pPr>
      <w:bookmarkStart w:id="444" w:name="_Toc1724"/>
      <w:r>
        <w:rPr>
          <w:rFonts w:hint="eastAsia" w:ascii="宋体" w:hAnsi="宋体" w:eastAsia="宋体" w:cs="宋体"/>
          <w:color w:val="auto"/>
          <w:sz w:val="24"/>
          <w:szCs w:val="24"/>
        </w:rPr>
        <w:t>四、评标中的其他事项</w:t>
      </w:r>
      <w:bookmarkEnd w:id="444"/>
    </w:p>
    <w:p>
      <w:pPr>
        <w:pStyle w:val="24"/>
        <w:keepNext w:val="0"/>
        <w:keepLines w:val="0"/>
        <w:pageBreakBefore w:val="0"/>
        <w:kinsoku/>
        <w:wordWrap/>
        <w:overflowPunct/>
        <w:topLinePunct w:val="0"/>
        <w:autoSpaceDE/>
        <w:autoSpaceDN/>
        <w:bidi w:val="0"/>
        <w:spacing w:before="0" w:line="360" w:lineRule="auto"/>
        <w:ind w:firstLine="472" w:firstLineChars="196"/>
        <w:textAlignment w:val="auto"/>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4.1投标人澄清、说明或者补正。</w:t>
      </w:r>
      <w:r>
        <w:rPr>
          <w:rFonts w:hint="eastAsia" w:ascii="宋体" w:hAnsi="宋体" w:eastAsia="宋体" w:cs="宋体"/>
          <w:color w:val="auto"/>
          <w:kern w:val="0"/>
          <w:sz w:val="24"/>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8"/>
        <w:keepNext w:val="0"/>
        <w:keepLines w:val="0"/>
        <w:pageBreakBefore w:val="0"/>
        <w:kinsoku/>
        <w:wordWrap/>
        <w:overflowPunct/>
        <w:topLinePunct w:val="0"/>
        <w:autoSpaceDE/>
        <w:autoSpaceDN/>
        <w:bidi w:val="0"/>
        <w:spacing w:line="360" w:lineRule="auto"/>
        <w:ind w:left="954" w:leftChars="226" w:hanging="479" w:firstLineChars="0"/>
        <w:textAlignment w:val="auto"/>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rPr>
        <w:t>4.2投标无效。</w:t>
      </w:r>
      <w:r>
        <w:rPr>
          <w:rFonts w:hint="eastAsia" w:ascii="宋体" w:hAnsi="宋体" w:eastAsia="宋体" w:cs="宋体"/>
          <w:color w:val="auto"/>
          <w:kern w:val="0"/>
          <w:sz w:val="24"/>
          <w:szCs w:val="24"/>
          <w:highlight w:val="none"/>
        </w:rPr>
        <w:t>开标结束后，采购人或采购代理机构将对依法对供应商的资格</w:t>
      </w:r>
      <w:r>
        <w:rPr>
          <w:rFonts w:hint="eastAsia" w:ascii="宋体" w:hAnsi="宋体" w:eastAsia="宋体" w:cs="宋体"/>
          <w:color w:val="auto"/>
          <w:kern w:val="0"/>
          <w:sz w:val="24"/>
          <w:szCs w:val="24"/>
          <w:highlight w:val="none"/>
          <w:lang w:eastAsia="zh-CN"/>
        </w:rPr>
        <w:t>投标文件</w:t>
      </w:r>
      <w:r>
        <w:rPr>
          <w:rFonts w:hint="eastAsia" w:ascii="宋体" w:hAnsi="宋体" w:eastAsia="宋体" w:cs="宋体"/>
          <w:color w:val="auto"/>
          <w:kern w:val="0"/>
          <w:sz w:val="24"/>
          <w:szCs w:val="24"/>
          <w:highlight w:val="none"/>
        </w:rPr>
        <w:t>进行审查，资格审查结束后进入符合性审查和商务技术服务的评审。</w:t>
      </w:r>
      <w:r>
        <w:rPr>
          <w:rFonts w:hint="eastAsia" w:ascii="宋体" w:hAnsi="宋体" w:eastAsia="宋体" w:cs="宋体"/>
          <w:color w:val="auto"/>
          <w:sz w:val="24"/>
          <w:szCs w:val="24"/>
          <w:highlight w:val="none"/>
        </w:rPr>
        <w:t>有下列情况之一的，投标无效：</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4.2.1在商务和技术服务评审时，如发现下列情形之一的，投标文件将被视为无效：</w:t>
      </w:r>
    </w:p>
    <w:p>
      <w:pPr>
        <w:keepNext w:val="0"/>
        <w:keepLines w:val="0"/>
        <w:pageBreakBefore w:val="0"/>
        <w:numPr>
          <w:ilvl w:val="0"/>
          <w:numId w:val="0"/>
        </w:numPr>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r>
        <w:rPr>
          <w:rFonts w:hint="eastAsia" w:ascii="宋体" w:hAnsi="宋体" w:cs="宋体"/>
          <w:color w:val="auto"/>
          <w:sz w:val="24"/>
          <w:szCs w:val="24"/>
          <w:highlight w:val="none"/>
          <w:lang w:val="en-US" w:eastAsia="zh-CN"/>
        </w:rPr>
        <w:t>投标人</w:t>
      </w:r>
      <w:r>
        <w:rPr>
          <w:rFonts w:hint="eastAsia" w:ascii="宋体" w:hAnsi="宋体" w:eastAsia="宋体" w:cs="宋体"/>
          <w:color w:val="auto"/>
          <w:kern w:val="2"/>
          <w:sz w:val="24"/>
          <w:szCs w:val="24"/>
          <w:highlight w:val="none"/>
          <w:lang w:val="en-US" w:eastAsia="zh-CN" w:bidi="ar-SA"/>
        </w:rPr>
        <w:t>不具备</w:t>
      </w:r>
      <w:r>
        <w:rPr>
          <w:rFonts w:hint="eastAsia" w:ascii="宋体" w:hAnsi="宋体" w:cs="宋体"/>
          <w:color w:val="auto"/>
          <w:kern w:val="2"/>
          <w:sz w:val="24"/>
          <w:szCs w:val="24"/>
          <w:highlight w:val="none"/>
          <w:lang w:val="en-US" w:eastAsia="zh-CN" w:bidi="ar-SA"/>
        </w:rPr>
        <w:t>招标</w:t>
      </w:r>
      <w:r>
        <w:rPr>
          <w:rFonts w:hint="eastAsia" w:ascii="宋体" w:hAnsi="宋体" w:eastAsia="宋体" w:cs="宋体"/>
          <w:color w:val="auto"/>
          <w:kern w:val="2"/>
          <w:sz w:val="24"/>
          <w:szCs w:val="24"/>
          <w:highlight w:val="none"/>
          <w:lang w:val="en-US" w:eastAsia="zh-CN" w:bidi="ar-SA"/>
        </w:rPr>
        <w:t>文件中规定的资格要求的（</w:t>
      </w:r>
      <w:r>
        <w:rPr>
          <w:rFonts w:hint="eastAsia" w:ascii="宋体" w:hAnsi="宋体" w:cs="宋体"/>
          <w:color w:val="auto"/>
          <w:sz w:val="24"/>
          <w:szCs w:val="24"/>
          <w:highlight w:val="none"/>
          <w:lang w:val="en-US" w:eastAsia="zh-CN"/>
        </w:rPr>
        <w:t>投标人</w:t>
      </w:r>
      <w:r>
        <w:rPr>
          <w:rFonts w:hint="eastAsia" w:ascii="宋体" w:hAnsi="宋体" w:eastAsia="宋体" w:cs="宋体"/>
          <w:color w:val="auto"/>
          <w:kern w:val="2"/>
          <w:sz w:val="24"/>
          <w:szCs w:val="24"/>
          <w:highlight w:val="none"/>
          <w:lang w:val="en-US" w:eastAsia="zh-CN" w:bidi="ar-SA"/>
        </w:rPr>
        <w:t>未提供有效的资格文件的，视为</w:t>
      </w:r>
      <w:r>
        <w:rPr>
          <w:rFonts w:hint="eastAsia" w:ascii="宋体" w:hAnsi="宋体" w:cs="宋体"/>
          <w:color w:val="auto"/>
          <w:sz w:val="24"/>
          <w:szCs w:val="24"/>
          <w:highlight w:val="none"/>
          <w:lang w:val="en-US" w:eastAsia="zh-CN"/>
        </w:rPr>
        <w:t>投标人</w:t>
      </w:r>
      <w:r>
        <w:rPr>
          <w:rFonts w:hint="eastAsia" w:ascii="宋体" w:hAnsi="宋体" w:eastAsia="宋体" w:cs="宋体"/>
          <w:color w:val="auto"/>
          <w:kern w:val="2"/>
          <w:sz w:val="24"/>
          <w:szCs w:val="24"/>
          <w:highlight w:val="none"/>
          <w:lang w:val="en-US" w:eastAsia="zh-CN" w:bidi="ar-SA"/>
        </w:rPr>
        <w:t>不具备</w:t>
      </w:r>
      <w:r>
        <w:rPr>
          <w:rFonts w:hint="eastAsia" w:ascii="宋体" w:hAnsi="宋体" w:cs="宋体"/>
          <w:color w:val="auto"/>
          <w:kern w:val="2"/>
          <w:sz w:val="24"/>
          <w:szCs w:val="24"/>
          <w:highlight w:val="none"/>
          <w:lang w:val="en-US" w:eastAsia="zh-CN" w:bidi="ar-SA"/>
        </w:rPr>
        <w:t>招标</w:t>
      </w:r>
      <w:r>
        <w:rPr>
          <w:rFonts w:hint="eastAsia" w:ascii="宋体" w:hAnsi="宋体" w:eastAsia="宋体" w:cs="宋体"/>
          <w:color w:val="auto"/>
          <w:kern w:val="2"/>
          <w:sz w:val="24"/>
          <w:szCs w:val="24"/>
          <w:highlight w:val="none"/>
          <w:lang w:val="en-US" w:eastAsia="zh-CN" w:bidi="ar-SA"/>
        </w:rPr>
        <w:t>文件中规定的资格要求）；</w:t>
      </w:r>
    </w:p>
    <w:p>
      <w:pPr>
        <w:keepNext w:val="0"/>
        <w:keepLines w:val="0"/>
        <w:pageBreakBefore w:val="0"/>
        <w:numPr>
          <w:ilvl w:val="0"/>
          <w:numId w:val="0"/>
        </w:numPr>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2）投标文件未按照</w:t>
      </w:r>
      <w:r>
        <w:rPr>
          <w:rFonts w:hint="eastAsia" w:ascii="宋体" w:hAnsi="宋体" w:cs="宋体"/>
          <w:color w:val="auto"/>
          <w:kern w:val="2"/>
          <w:sz w:val="24"/>
          <w:szCs w:val="24"/>
          <w:highlight w:val="none"/>
          <w:lang w:val="en-US" w:eastAsia="zh-CN" w:bidi="ar-SA"/>
        </w:rPr>
        <w:t>招标</w:t>
      </w:r>
      <w:r>
        <w:rPr>
          <w:rFonts w:hint="eastAsia" w:ascii="宋体" w:hAnsi="宋体" w:eastAsia="宋体" w:cs="宋体"/>
          <w:color w:val="auto"/>
          <w:kern w:val="2"/>
          <w:sz w:val="24"/>
          <w:szCs w:val="24"/>
          <w:highlight w:val="none"/>
          <w:lang w:val="en-US" w:eastAsia="zh-CN" w:bidi="ar-SA"/>
        </w:rPr>
        <w:t>文件要求签署、盖章的；</w:t>
      </w:r>
    </w:p>
    <w:p>
      <w:pPr>
        <w:keepNext w:val="0"/>
        <w:keepLines w:val="0"/>
        <w:pageBreakBefore w:val="0"/>
        <w:numPr>
          <w:ilvl w:val="0"/>
          <w:numId w:val="0"/>
        </w:numPr>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3）采购人拟采购的产品属于政府强制采购的节能产品品目清单范围的，</w:t>
      </w:r>
      <w:r>
        <w:rPr>
          <w:rFonts w:hint="eastAsia" w:ascii="宋体" w:hAnsi="宋体" w:cs="宋体"/>
          <w:color w:val="auto"/>
          <w:sz w:val="24"/>
          <w:szCs w:val="24"/>
          <w:highlight w:val="none"/>
          <w:lang w:val="en-US" w:eastAsia="zh-CN"/>
        </w:rPr>
        <w:t>投标人</w:t>
      </w:r>
      <w:r>
        <w:rPr>
          <w:rFonts w:hint="eastAsia" w:ascii="宋体" w:hAnsi="宋体" w:eastAsia="宋体" w:cs="宋体"/>
          <w:color w:val="auto"/>
          <w:kern w:val="2"/>
          <w:sz w:val="24"/>
          <w:szCs w:val="24"/>
          <w:highlight w:val="none"/>
          <w:lang w:val="en-US" w:eastAsia="zh-CN" w:bidi="ar-SA"/>
        </w:rPr>
        <w:t>未按</w:t>
      </w:r>
      <w:r>
        <w:rPr>
          <w:rFonts w:hint="eastAsia" w:ascii="宋体" w:hAnsi="宋体" w:cs="宋体"/>
          <w:color w:val="auto"/>
          <w:kern w:val="2"/>
          <w:sz w:val="24"/>
          <w:szCs w:val="24"/>
          <w:highlight w:val="none"/>
          <w:lang w:val="en-US" w:eastAsia="zh-CN" w:bidi="ar-SA"/>
        </w:rPr>
        <w:t>招标文件</w:t>
      </w:r>
      <w:r>
        <w:rPr>
          <w:rFonts w:hint="eastAsia" w:ascii="宋体" w:hAnsi="宋体" w:eastAsia="宋体" w:cs="宋体"/>
          <w:color w:val="auto"/>
          <w:kern w:val="2"/>
          <w:sz w:val="24"/>
          <w:szCs w:val="24"/>
          <w:highlight w:val="none"/>
          <w:lang w:val="en-US" w:eastAsia="zh-CN" w:bidi="ar-SA"/>
        </w:rPr>
        <w:t>要求提供国家确定的认证机构出具的、处于有效期之内的节能产品认证证书的；</w:t>
      </w:r>
    </w:p>
    <w:p>
      <w:pPr>
        <w:keepNext w:val="0"/>
        <w:keepLines w:val="0"/>
        <w:pageBreakBefore w:val="0"/>
        <w:numPr>
          <w:ilvl w:val="0"/>
          <w:numId w:val="0"/>
        </w:numPr>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4）投标文件含有采购人不能接受的附加条件的；</w:t>
      </w:r>
    </w:p>
    <w:p>
      <w:pPr>
        <w:keepNext w:val="0"/>
        <w:keepLines w:val="0"/>
        <w:pageBreakBefore w:val="0"/>
        <w:numPr>
          <w:ilvl w:val="0"/>
          <w:numId w:val="0"/>
        </w:numPr>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5）投标文件中承诺的投标有效期少于</w:t>
      </w:r>
      <w:r>
        <w:rPr>
          <w:rFonts w:hint="eastAsia" w:ascii="宋体" w:hAnsi="宋体" w:cs="宋体"/>
          <w:color w:val="auto"/>
          <w:kern w:val="2"/>
          <w:sz w:val="24"/>
          <w:szCs w:val="24"/>
          <w:highlight w:val="none"/>
          <w:lang w:val="en-US" w:eastAsia="zh-CN" w:bidi="ar-SA"/>
        </w:rPr>
        <w:t>招标</w:t>
      </w:r>
      <w:r>
        <w:rPr>
          <w:rFonts w:hint="eastAsia" w:ascii="宋体" w:hAnsi="宋体" w:eastAsia="宋体" w:cs="宋体"/>
          <w:color w:val="auto"/>
          <w:kern w:val="2"/>
          <w:sz w:val="24"/>
          <w:szCs w:val="24"/>
          <w:highlight w:val="none"/>
          <w:lang w:val="en-US" w:eastAsia="zh-CN" w:bidi="ar-SA"/>
        </w:rPr>
        <w:t>文件中载明的投标有效期的；</w:t>
      </w:r>
    </w:p>
    <w:p>
      <w:pPr>
        <w:keepNext w:val="0"/>
        <w:keepLines w:val="0"/>
        <w:pageBreakBefore w:val="0"/>
        <w:numPr>
          <w:ilvl w:val="0"/>
          <w:numId w:val="0"/>
        </w:numPr>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w:t>
      </w:r>
      <w:r>
        <w:rPr>
          <w:rFonts w:hint="eastAsia" w:ascii="宋体" w:hAnsi="宋体" w:cs="宋体"/>
          <w:color w:val="auto"/>
          <w:sz w:val="24"/>
          <w:szCs w:val="24"/>
          <w:highlight w:val="none"/>
          <w:lang w:val="en-US" w:eastAsia="zh-CN"/>
        </w:rPr>
        <w:t>投标人</w:t>
      </w:r>
      <w:r>
        <w:rPr>
          <w:rFonts w:hint="eastAsia" w:ascii="宋体" w:hAnsi="宋体" w:eastAsia="宋体" w:cs="宋体"/>
          <w:color w:val="auto"/>
          <w:kern w:val="2"/>
          <w:sz w:val="24"/>
          <w:szCs w:val="24"/>
          <w:highlight w:val="none"/>
          <w:lang w:val="en-US" w:eastAsia="zh-CN" w:bidi="ar-SA"/>
        </w:rPr>
        <w:t>提供虚假材料的；</w:t>
      </w:r>
    </w:p>
    <w:p>
      <w:pPr>
        <w:keepNext w:val="0"/>
        <w:keepLines w:val="0"/>
        <w:pageBreakBefore w:val="0"/>
        <w:numPr>
          <w:ilvl w:val="0"/>
          <w:numId w:val="0"/>
        </w:numPr>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w:t>
      </w:r>
      <w:r>
        <w:rPr>
          <w:rFonts w:hint="eastAsia" w:ascii="宋体" w:hAnsi="宋体" w:cs="宋体"/>
          <w:color w:val="auto"/>
          <w:sz w:val="24"/>
          <w:szCs w:val="24"/>
          <w:highlight w:val="none"/>
          <w:lang w:val="en-US" w:eastAsia="zh-CN"/>
        </w:rPr>
        <w:t>投标人</w:t>
      </w:r>
      <w:r>
        <w:rPr>
          <w:rFonts w:hint="eastAsia" w:ascii="宋体" w:hAnsi="宋体" w:eastAsia="宋体" w:cs="宋体"/>
          <w:color w:val="auto"/>
          <w:kern w:val="2"/>
          <w:sz w:val="24"/>
          <w:szCs w:val="24"/>
          <w:highlight w:val="none"/>
          <w:lang w:val="en-US" w:eastAsia="zh-CN" w:bidi="ar-SA"/>
        </w:rPr>
        <w:t>有恶意串通、妨碍其他供应商的竞争行为、损害采购人或者其他供应商的合法权益情形的；</w:t>
      </w:r>
    </w:p>
    <w:p>
      <w:pPr>
        <w:keepNext w:val="0"/>
        <w:keepLines w:val="0"/>
        <w:pageBreakBefore w:val="0"/>
        <w:numPr>
          <w:ilvl w:val="0"/>
          <w:numId w:val="0"/>
        </w:numPr>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8）</w:t>
      </w:r>
      <w:r>
        <w:rPr>
          <w:rFonts w:hint="eastAsia" w:ascii="宋体" w:hAnsi="宋体" w:cs="宋体"/>
          <w:color w:val="auto"/>
          <w:sz w:val="24"/>
          <w:szCs w:val="24"/>
          <w:highlight w:val="none"/>
          <w:lang w:val="en-US" w:eastAsia="zh-CN"/>
        </w:rPr>
        <w:t>投标人</w:t>
      </w:r>
      <w:r>
        <w:rPr>
          <w:rFonts w:hint="eastAsia" w:ascii="宋体" w:hAnsi="宋体" w:eastAsia="宋体" w:cs="宋体"/>
          <w:color w:val="auto"/>
          <w:kern w:val="2"/>
          <w:sz w:val="24"/>
          <w:szCs w:val="24"/>
          <w:highlight w:val="none"/>
          <w:lang w:val="en-US" w:eastAsia="zh-CN" w:bidi="ar-SA"/>
        </w:rPr>
        <w:t>仅提交备份投标文件，没有在电子交易平台传输递交投标文件的，投标无效；</w:t>
      </w:r>
    </w:p>
    <w:p>
      <w:pPr>
        <w:keepNext w:val="0"/>
        <w:keepLines w:val="0"/>
        <w:pageBreakBefore w:val="0"/>
        <w:numPr>
          <w:ilvl w:val="0"/>
          <w:numId w:val="0"/>
        </w:numPr>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9）投标文件不满足</w:t>
      </w:r>
      <w:r>
        <w:rPr>
          <w:rFonts w:hint="eastAsia" w:ascii="宋体" w:hAnsi="宋体" w:cs="宋体"/>
          <w:color w:val="auto"/>
          <w:kern w:val="2"/>
          <w:sz w:val="24"/>
          <w:szCs w:val="24"/>
          <w:highlight w:val="none"/>
          <w:lang w:val="en-US" w:eastAsia="zh-CN" w:bidi="ar-SA"/>
        </w:rPr>
        <w:t>招标</w:t>
      </w:r>
      <w:r>
        <w:rPr>
          <w:rFonts w:hint="eastAsia" w:ascii="宋体" w:hAnsi="宋体" w:eastAsia="宋体" w:cs="宋体"/>
          <w:color w:val="auto"/>
          <w:kern w:val="2"/>
          <w:sz w:val="24"/>
          <w:szCs w:val="24"/>
          <w:highlight w:val="none"/>
          <w:lang w:val="en-US" w:eastAsia="zh-CN" w:bidi="ar-SA"/>
        </w:rPr>
        <w:t>文件的其它实质性要求的；</w:t>
      </w:r>
    </w:p>
    <w:p>
      <w:pPr>
        <w:keepNext w:val="0"/>
        <w:keepLines w:val="0"/>
        <w:pageBreakBefore w:val="0"/>
        <w:numPr>
          <w:ilvl w:val="0"/>
          <w:numId w:val="0"/>
        </w:numPr>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10）法律、法规、规章（适用本市的）及省级以上规范性文件（适用本市的）规定的其他无效情形。</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4.2.2在报价评审时，如发现下列情形之一的，投标文件将被视为无效</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1）投标文件未按照</w:t>
      </w:r>
      <w:r>
        <w:rPr>
          <w:rFonts w:hint="eastAsia" w:ascii="宋体" w:hAnsi="宋体" w:cs="宋体"/>
          <w:color w:val="auto"/>
          <w:kern w:val="2"/>
          <w:sz w:val="24"/>
          <w:szCs w:val="24"/>
          <w:highlight w:val="none"/>
          <w:lang w:val="en-US" w:eastAsia="zh-CN" w:bidi="ar-SA"/>
        </w:rPr>
        <w:t>招标文件</w:t>
      </w:r>
      <w:r>
        <w:rPr>
          <w:rFonts w:hint="eastAsia" w:ascii="宋体" w:hAnsi="宋体" w:eastAsia="宋体" w:cs="宋体"/>
          <w:color w:val="auto"/>
          <w:kern w:val="2"/>
          <w:sz w:val="24"/>
          <w:szCs w:val="24"/>
          <w:highlight w:val="none"/>
          <w:lang w:val="en-US" w:eastAsia="zh-CN" w:bidi="ar-SA"/>
        </w:rPr>
        <w:t>要求签署、盖章的；</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2）投标文件出现不是唯一的、有选择性投标报价的;</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3）投标文件报价清单与</w:t>
      </w:r>
      <w:r>
        <w:rPr>
          <w:rFonts w:hint="eastAsia" w:ascii="宋体" w:hAnsi="宋体" w:cs="宋体"/>
          <w:color w:val="auto"/>
          <w:kern w:val="2"/>
          <w:sz w:val="24"/>
          <w:szCs w:val="24"/>
          <w:highlight w:val="none"/>
          <w:lang w:val="en-US" w:eastAsia="zh-CN" w:bidi="ar-SA"/>
        </w:rPr>
        <w:t>招标</w:t>
      </w:r>
      <w:r>
        <w:rPr>
          <w:rFonts w:hint="eastAsia" w:ascii="宋体" w:hAnsi="宋体" w:eastAsia="宋体" w:cs="宋体"/>
          <w:color w:val="auto"/>
          <w:kern w:val="2"/>
          <w:sz w:val="24"/>
          <w:szCs w:val="24"/>
          <w:highlight w:val="none"/>
          <w:lang w:val="en-US" w:eastAsia="zh-CN" w:bidi="ar-SA"/>
        </w:rPr>
        <w:t>文件（包括答疑等补充文件）提供的清单不一致的；</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4）投标报价超过</w:t>
      </w:r>
      <w:r>
        <w:rPr>
          <w:rFonts w:hint="eastAsia" w:ascii="宋体" w:hAnsi="宋体" w:cs="宋体"/>
          <w:color w:val="auto"/>
          <w:kern w:val="2"/>
          <w:sz w:val="24"/>
          <w:szCs w:val="24"/>
          <w:highlight w:val="none"/>
          <w:lang w:val="en-US" w:eastAsia="zh-CN" w:bidi="ar-SA"/>
        </w:rPr>
        <w:t>招标</w:t>
      </w:r>
      <w:r>
        <w:rPr>
          <w:rFonts w:hint="eastAsia" w:ascii="宋体" w:hAnsi="宋体" w:eastAsia="宋体" w:cs="宋体"/>
          <w:color w:val="auto"/>
          <w:kern w:val="2"/>
          <w:sz w:val="24"/>
          <w:szCs w:val="24"/>
          <w:highlight w:val="none"/>
          <w:lang w:val="en-US" w:eastAsia="zh-CN" w:bidi="ar-SA"/>
        </w:rPr>
        <w:t>文件中规定的预算金额或者最高限价的;</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highlight w:val="none"/>
          <w:lang w:val="en-US" w:eastAsia="zh-CN" w:bidi="ar-SA"/>
        </w:rPr>
        <w:t>5）报价明显低于其他通过符合性审查供应商的报价，有可能影响产品质量或者不能诚信履约的，未能按要求提供书面说明</w:t>
      </w:r>
      <w:r>
        <w:rPr>
          <w:rFonts w:hint="eastAsia" w:ascii="宋体" w:hAnsi="宋体" w:eastAsia="宋体" w:cs="宋体"/>
          <w:color w:val="auto"/>
          <w:sz w:val="24"/>
          <w:szCs w:val="24"/>
          <w:highlight w:val="none"/>
          <w:lang w:eastAsia="zh-CN"/>
        </w:rPr>
        <w:t>或者提交相关证明材料，不能证明其报价合理性的;</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r>
        <w:rPr>
          <w:rFonts w:hint="eastAsia" w:ascii="宋体" w:hAnsi="宋体" w:cs="宋体"/>
          <w:color w:val="auto"/>
          <w:sz w:val="24"/>
          <w:szCs w:val="24"/>
          <w:highlight w:val="none"/>
          <w:lang w:val="en-US" w:eastAsia="zh-CN"/>
        </w:rPr>
        <w:t>投标人</w:t>
      </w:r>
      <w:r>
        <w:rPr>
          <w:rFonts w:hint="eastAsia" w:ascii="宋体" w:hAnsi="宋体" w:eastAsia="宋体" w:cs="宋体"/>
          <w:color w:val="auto"/>
          <w:sz w:val="24"/>
          <w:szCs w:val="24"/>
          <w:highlight w:val="none"/>
          <w:lang w:eastAsia="zh-CN"/>
        </w:rPr>
        <w:t>对根据修正原则修正后的报价不确认的；</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7)</w:t>
      </w:r>
      <w:r>
        <w:rPr>
          <w:rFonts w:hint="eastAsia" w:ascii="宋体" w:hAnsi="宋体" w:cs="宋体"/>
          <w:color w:val="auto"/>
          <w:sz w:val="24"/>
          <w:szCs w:val="24"/>
          <w:highlight w:val="none"/>
          <w:lang w:val="en-US" w:eastAsia="zh-CN"/>
        </w:rPr>
        <w:t>投标人</w:t>
      </w:r>
      <w:r>
        <w:rPr>
          <w:rFonts w:hint="eastAsia" w:ascii="宋体" w:hAnsi="宋体" w:eastAsia="宋体" w:cs="宋体"/>
          <w:color w:val="auto"/>
          <w:sz w:val="24"/>
          <w:szCs w:val="24"/>
          <w:highlight w:val="none"/>
          <w:lang w:eastAsia="zh-CN"/>
        </w:rPr>
        <w:t>提供虚假材料投标的；</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8)</w:t>
      </w:r>
      <w:r>
        <w:rPr>
          <w:rFonts w:hint="eastAsia" w:ascii="宋体" w:hAnsi="宋体" w:cs="宋体"/>
          <w:color w:val="auto"/>
          <w:sz w:val="24"/>
          <w:szCs w:val="24"/>
          <w:highlight w:val="none"/>
          <w:lang w:val="en-US" w:eastAsia="zh-CN"/>
        </w:rPr>
        <w:t>投标人</w:t>
      </w:r>
      <w:r>
        <w:rPr>
          <w:rFonts w:hint="eastAsia" w:ascii="宋体" w:hAnsi="宋体" w:eastAsia="宋体" w:cs="宋体"/>
          <w:color w:val="auto"/>
          <w:sz w:val="24"/>
          <w:szCs w:val="24"/>
          <w:highlight w:val="none"/>
          <w:lang w:eastAsia="zh-CN"/>
        </w:rPr>
        <w:t>有恶意串通、妨碍其他供应商的竞争行为、损害采购人或者其他供应商的合法权益情形的；</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9)</w:t>
      </w:r>
      <w:r>
        <w:rPr>
          <w:rFonts w:hint="eastAsia" w:ascii="宋体" w:hAnsi="宋体" w:cs="宋体"/>
          <w:color w:val="auto"/>
          <w:sz w:val="24"/>
          <w:szCs w:val="24"/>
          <w:highlight w:val="none"/>
          <w:lang w:val="en-US" w:eastAsia="zh-CN"/>
        </w:rPr>
        <w:t>投标人</w:t>
      </w:r>
      <w:r>
        <w:rPr>
          <w:rFonts w:hint="eastAsia" w:ascii="宋体" w:hAnsi="宋体" w:eastAsia="宋体" w:cs="宋体"/>
          <w:color w:val="auto"/>
          <w:sz w:val="24"/>
          <w:szCs w:val="24"/>
          <w:highlight w:val="none"/>
          <w:lang w:eastAsia="zh-CN"/>
        </w:rPr>
        <w:t>仅提交备份投标文件，没有在电子交易平台传输递交投标文件的，投标无效；</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kern w:val="2"/>
          <w:sz w:val="24"/>
          <w:szCs w:val="24"/>
          <w:highlight w:val="none"/>
          <w:lang w:val="en-US" w:eastAsia="zh-CN" w:bidi="ar-SA"/>
        </w:rPr>
        <w:t>投标文件不满足</w:t>
      </w:r>
      <w:r>
        <w:rPr>
          <w:rFonts w:hint="eastAsia" w:ascii="宋体" w:hAnsi="宋体" w:cs="宋体"/>
          <w:color w:val="auto"/>
          <w:kern w:val="2"/>
          <w:sz w:val="24"/>
          <w:szCs w:val="24"/>
          <w:highlight w:val="none"/>
          <w:lang w:val="en-US" w:eastAsia="zh-CN" w:bidi="ar-SA"/>
        </w:rPr>
        <w:t>招标</w:t>
      </w:r>
      <w:r>
        <w:rPr>
          <w:rFonts w:hint="eastAsia" w:ascii="宋体" w:hAnsi="宋体" w:eastAsia="宋体" w:cs="宋体"/>
          <w:color w:val="auto"/>
          <w:kern w:val="2"/>
          <w:sz w:val="24"/>
          <w:szCs w:val="24"/>
          <w:highlight w:val="none"/>
          <w:lang w:val="en-US" w:eastAsia="zh-CN" w:bidi="ar-SA"/>
        </w:rPr>
        <w:t>文件的其它实质性要求的；</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lang w:eastAsia="zh-CN"/>
        </w:rPr>
        <w:t>法律、法规、规章（适用本市的）及省级以上规范性文件（适用本市的）规定的其他无效情形。</w:t>
      </w:r>
    </w:p>
    <w:p>
      <w:pPr>
        <w:pStyle w:val="8"/>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5.废标。</w:t>
      </w:r>
      <w:r>
        <w:rPr>
          <w:rFonts w:hint="eastAsia" w:ascii="宋体" w:hAnsi="宋体" w:eastAsia="宋体" w:cs="宋体"/>
          <w:color w:val="auto"/>
          <w:sz w:val="24"/>
          <w:szCs w:val="24"/>
          <w:highlight w:val="none"/>
        </w:rPr>
        <w:t>根据《中华人民共和国政府采购法》第三十六条之规定，在采购中，出现下列情形之一的，应予废标：</w:t>
      </w:r>
    </w:p>
    <w:p>
      <w:pPr>
        <w:pStyle w:val="8"/>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5.1符合专业条件的供应商或者对招标文件作实质响应的供应商不足3家的；</w:t>
      </w:r>
    </w:p>
    <w:p>
      <w:pPr>
        <w:pStyle w:val="8"/>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5.2出现影响采购公正的违法、违规行为的；</w:t>
      </w:r>
    </w:p>
    <w:p>
      <w:pPr>
        <w:pStyle w:val="8"/>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5.3投标人的报价均超过了采购预算，采购人不能支付的；</w:t>
      </w:r>
    </w:p>
    <w:p>
      <w:pPr>
        <w:pStyle w:val="8"/>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5.4因重大变故，采购任务取消的。</w:t>
      </w:r>
    </w:p>
    <w:p>
      <w:pPr>
        <w:pStyle w:val="8"/>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废标后，采购机构应当将废标理由通知所有投标人。</w:t>
      </w:r>
    </w:p>
    <w:p>
      <w:pPr>
        <w:pStyle w:val="8"/>
        <w:keepNext w:val="0"/>
        <w:keepLines w:val="0"/>
        <w:pageBreakBefore w:val="0"/>
        <w:kinsoku/>
        <w:wordWrap/>
        <w:overflowPunct/>
        <w:topLinePunct w:val="0"/>
        <w:autoSpaceDE/>
        <w:autoSpaceDN/>
        <w:bidi w:val="0"/>
        <w:snapToGrid w:val="0"/>
        <w:spacing w:line="360" w:lineRule="auto"/>
        <w:ind w:firstLine="590" w:firstLineChars="245"/>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6.修改招标文件，重新组织采购活动。</w:t>
      </w:r>
      <w:r>
        <w:rPr>
          <w:rFonts w:hint="eastAsia" w:ascii="宋体" w:hAnsi="宋体" w:eastAsia="宋体" w:cs="宋体"/>
          <w:color w:val="auto"/>
          <w:sz w:val="24"/>
          <w:szCs w:val="24"/>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8"/>
        <w:keepNext w:val="0"/>
        <w:keepLines w:val="0"/>
        <w:pageBreakBefore w:val="0"/>
        <w:kinsoku/>
        <w:wordWrap/>
        <w:overflowPunct/>
        <w:topLinePunct w:val="0"/>
        <w:autoSpaceDE/>
        <w:autoSpaceDN/>
        <w:bidi w:val="0"/>
        <w:snapToGrid w:val="0"/>
        <w:spacing w:line="360" w:lineRule="auto"/>
        <w:ind w:firstLine="590" w:firstLineChars="245"/>
        <w:textAlignment w:val="auto"/>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rPr>
        <w:t>7.重新开展采购。</w:t>
      </w:r>
      <w:r>
        <w:rPr>
          <w:rFonts w:hint="eastAsia" w:ascii="宋体" w:hAnsi="宋体" w:eastAsia="宋体" w:cs="宋体"/>
          <w:color w:val="auto"/>
          <w:sz w:val="24"/>
          <w:szCs w:val="24"/>
          <w:highlight w:val="none"/>
        </w:rPr>
        <w:t>有政府采购法第七十一条、第七十二条规定的违法行为之一，影响或者可能影响中标、成交结果的，依照下列规定处理：</w:t>
      </w:r>
    </w:p>
    <w:p>
      <w:pPr>
        <w:pStyle w:val="8"/>
        <w:keepNext w:val="0"/>
        <w:keepLines w:val="0"/>
        <w:pageBreakBefore w:val="0"/>
        <w:kinsoku/>
        <w:wordWrap/>
        <w:overflowPunct/>
        <w:topLinePunct w:val="0"/>
        <w:autoSpaceDE/>
        <w:autoSpaceDN/>
        <w:bidi w:val="0"/>
        <w:snapToGrid w:val="0"/>
        <w:spacing w:line="360" w:lineRule="auto"/>
        <w:ind w:firstLine="600" w:firstLineChars="2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7.1未确定中标或者中标人的，终止本次政府采购活动，重新开展政府采购活动。</w:t>
      </w:r>
    </w:p>
    <w:p>
      <w:pPr>
        <w:pStyle w:val="8"/>
        <w:keepNext w:val="0"/>
        <w:keepLines w:val="0"/>
        <w:pageBreakBefore w:val="0"/>
        <w:kinsoku/>
        <w:wordWrap/>
        <w:overflowPunct/>
        <w:topLinePunct w:val="0"/>
        <w:autoSpaceDE/>
        <w:autoSpaceDN/>
        <w:bidi w:val="0"/>
        <w:snapToGrid w:val="0"/>
        <w:spacing w:line="360" w:lineRule="auto"/>
        <w:ind w:firstLine="600" w:firstLineChars="2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8"/>
        <w:keepNext w:val="0"/>
        <w:keepLines w:val="0"/>
        <w:pageBreakBefore w:val="0"/>
        <w:kinsoku/>
        <w:wordWrap/>
        <w:overflowPunct/>
        <w:topLinePunct w:val="0"/>
        <w:autoSpaceDE/>
        <w:autoSpaceDN/>
        <w:bidi w:val="0"/>
        <w:snapToGrid w:val="0"/>
        <w:spacing w:line="360" w:lineRule="auto"/>
        <w:ind w:firstLine="600" w:firstLineChars="2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7.3政府采购合同已签订但尚未履行的，撤销合同，从合格的中标或者成交候选人中另行确定中标或者中标人；没有合格的中标或者成交候选人的，重新开展政府采购活动。</w:t>
      </w:r>
    </w:p>
    <w:p>
      <w:pPr>
        <w:pStyle w:val="8"/>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7.4政府采购合同已经履行，给采购人、供应商造成损失的，由责任人承担赔偿责任。</w:t>
      </w:r>
    </w:p>
    <w:p>
      <w:pPr>
        <w:pStyle w:val="8"/>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7.5政府采购当事人有其他违反政府采购法</w:t>
      </w:r>
      <w:r>
        <w:rPr>
          <w:rFonts w:hint="eastAsia" w:ascii="宋体" w:hAnsi="宋体" w:eastAsia="宋体" w:cs="宋体"/>
          <w:color w:val="auto"/>
          <w:kern w:val="0"/>
          <w:sz w:val="24"/>
          <w:szCs w:val="24"/>
          <w:highlight w:val="none"/>
        </w:rPr>
        <w:t>或者政府采购法实施条例等法律法规规定</w:t>
      </w:r>
      <w:r>
        <w:rPr>
          <w:rFonts w:hint="eastAsia" w:ascii="宋体" w:hAnsi="宋体" w:eastAsia="宋体" w:cs="宋体"/>
          <w:color w:val="auto"/>
          <w:sz w:val="24"/>
          <w:szCs w:val="24"/>
          <w:highlight w:val="none"/>
        </w:rPr>
        <w:t>的行为，经改正后仍然影响或者可能影响中标、成交结果或者依法被认定为中标、成交无效的，依照7.1-7.4规定处理。</w:t>
      </w:r>
    </w:p>
    <w:p>
      <w:pPr>
        <w:pStyle w:val="8"/>
        <w:snapToGrid w:val="0"/>
        <w:spacing w:line="360" w:lineRule="auto"/>
        <w:ind w:firstLine="0" w:firstLineChars="0"/>
        <w:rPr>
          <w:rFonts w:hint="eastAsia" w:ascii="宋体" w:hAnsi="宋体" w:eastAsia="宋体" w:cs="宋体"/>
          <w:color w:val="auto"/>
          <w:highlight w:val="none"/>
        </w:rPr>
      </w:pPr>
    </w:p>
    <w:bookmarkEnd w:id="48"/>
    <w:p>
      <w:pPr>
        <w:rPr>
          <w:rFonts w:hint="eastAsia" w:ascii="宋体" w:hAnsi="宋体" w:eastAsia="宋体" w:cs="宋体"/>
          <w:b/>
          <w:color w:val="auto"/>
          <w:sz w:val="36"/>
          <w:szCs w:val="36"/>
          <w:highlight w:val="none"/>
        </w:rPr>
      </w:pPr>
      <w:bookmarkStart w:id="445" w:name="第五部分"/>
      <w:bookmarkStart w:id="446" w:name="_Toc86217003"/>
      <w:r>
        <w:rPr>
          <w:rFonts w:hint="eastAsia" w:ascii="宋体" w:hAnsi="宋体" w:eastAsia="宋体" w:cs="宋体"/>
          <w:b/>
          <w:color w:val="auto"/>
          <w:sz w:val="36"/>
          <w:szCs w:val="36"/>
          <w:highlight w:val="none"/>
        </w:rPr>
        <w:br w:type="page"/>
      </w:r>
    </w:p>
    <w:p>
      <w:pPr>
        <w:pStyle w:val="3"/>
        <w:keepNext/>
        <w:keepLines/>
        <w:pageBreakBefore w:val="0"/>
        <w:widowControl w:val="0"/>
        <w:kinsoku/>
        <w:wordWrap/>
        <w:overflowPunct/>
        <w:topLinePunct w:val="0"/>
        <w:autoSpaceDE/>
        <w:autoSpaceDN/>
        <w:bidi w:val="0"/>
        <w:adjustRightInd w:val="0"/>
        <w:snapToGrid/>
        <w:spacing w:before="0" w:after="0" w:line="360" w:lineRule="auto"/>
        <w:ind w:left="431" w:hanging="431"/>
        <w:jc w:val="center"/>
        <w:textAlignment w:val="auto"/>
        <w:rPr>
          <w:rFonts w:hint="eastAsia"/>
          <w:color w:val="auto"/>
        </w:rPr>
      </w:pPr>
      <w:bookmarkStart w:id="447" w:name="_Toc6416"/>
      <w:r>
        <w:rPr>
          <w:rFonts w:hint="eastAsia"/>
          <w:color w:val="auto"/>
        </w:rPr>
        <w:t>第五部分 拟签订的合同文本</w:t>
      </w:r>
      <w:bookmarkEnd w:id="447"/>
    </w:p>
    <w:p>
      <w:pPr>
        <w:spacing w:line="480" w:lineRule="auto"/>
        <w:jc w:val="both"/>
        <w:rPr>
          <w:rFonts w:hint="eastAsia" w:ascii="宋体" w:hAnsi="宋体" w:eastAsia="宋体" w:cs="宋体"/>
          <w:b/>
          <w:color w:val="auto"/>
          <w:sz w:val="24"/>
          <w:highlight w:val="none"/>
        </w:rPr>
      </w:pPr>
    </w:p>
    <w:p>
      <w:pPr>
        <w:autoSpaceDE w:val="0"/>
        <w:autoSpaceDN w:val="0"/>
        <w:adjustRightInd w:val="0"/>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嘉兴市政府采购合同</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一、通用必备条款部分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eastAsia="宋体" w:cs="宋体"/>
          <w:b/>
          <w:color w:val="auto"/>
          <w:kern w:val="0"/>
          <w:sz w:val="24"/>
          <w:szCs w:val="24"/>
          <w:highlight w:val="non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合同编号：</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政府采购计划（预算）确认号：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预算金额：   万元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采购人（以下称甲方）：</w:t>
      </w:r>
      <w:r>
        <w:rPr>
          <w:rFonts w:hint="eastAsia" w:ascii="宋体" w:hAnsi="宋体" w:eastAsia="宋体" w:cs="宋体"/>
          <w:color w:val="auto"/>
          <w:kern w:val="0"/>
          <w:sz w:val="24"/>
          <w:szCs w:val="24"/>
          <w:highlight w:val="none"/>
          <w:lang w:eastAsia="zh-CN"/>
        </w:rPr>
        <w:t>嘉兴市第一医院</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供应商（以下称乙方）：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采购代理机构：杭州中浙招标有限公司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采购方式：公开招标</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根据《中华人民共和国政府采购法》、《中华人民共和国</w:t>
      </w:r>
      <w:r>
        <w:rPr>
          <w:rFonts w:hint="eastAsia" w:ascii="宋体" w:hAnsi="宋体" w:eastAsia="宋体" w:cs="宋体"/>
          <w:color w:val="auto"/>
          <w:kern w:val="0"/>
          <w:sz w:val="24"/>
          <w:szCs w:val="24"/>
          <w:highlight w:val="none"/>
          <w:lang w:val="en-US" w:eastAsia="zh-CN"/>
        </w:rPr>
        <w:t>民法典</w:t>
      </w:r>
      <w:r>
        <w:rPr>
          <w:rFonts w:hint="eastAsia" w:ascii="宋体" w:hAnsi="宋体" w:eastAsia="宋体" w:cs="宋体"/>
          <w:color w:val="auto"/>
          <w:kern w:val="0"/>
          <w:sz w:val="24"/>
          <w:szCs w:val="24"/>
          <w:highlight w:val="none"/>
        </w:rPr>
        <w:t>》等法律法规的规定，甲乙双方按照</w:t>
      </w:r>
      <w:r>
        <w:rPr>
          <w:rFonts w:hint="eastAsia" w:ascii="宋体" w:hAnsi="宋体" w:eastAsia="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eastAsia="zh-CN"/>
        </w:rPr>
        <w:t>嘉兴市第一医院高质量发展咨询辅导项目</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采购结果签订本合同。</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第一条 合同组成</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本次政府采购活动的相关文件为本合同的组成部分，这些文件包括但不限于：</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（1）本合同文本；</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（2）招标文件与投标文件；</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（3）中标或成交通知书；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组成本合同的所有文件必须为书面形式。政府采购合同备案时，须提供以上（1）、（3）两项，如由社会中介机构代理，须提供代理协议，合同如有变更的，须提供变更协议。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第二条 合同标的与相关属性</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1.本次采购的是</w:t>
      </w:r>
      <w:r>
        <w:rPr>
          <w:rFonts w:hint="eastAsia" w:ascii="宋体" w:hAnsi="宋体" w:eastAsia="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eastAsia="zh-CN"/>
        </w:rPr>
        <w:t>嘉兴市第一医院高质量发展咨询辅导项目</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2.乙方是否属于中小微企业：□是；□否。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3.本合同项下产品属于（可多选）：□环保产品；□节能产品；□进口产品。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eastAsia="宋体" w:cs="宋体"/>
          <w:color w:val="auto"/>
          <w:kern w:val="0"/>
          <w:sz w:val="24"/>
          <w:szCs w:val="24"/>
          <w:highlight w:val="non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第三条 合同价款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1.本合同项下总价款为</w:t>
      </w:r>
      <w:r>
        <w:rPr>
          <w:rFonts w:hint="eastAsia" w:ascii="宋体" w:hAnsi="宋体" w:cs="宋体"/>
          <w:color w:val="auto"/>
          <w:kern w:val="0"/>
          <w:sz w:val="24"/>
          <w:szCs w:val="24"/>
          <w:highlight w:val="none"/>
          <w:lang w:val="en-US" w:eastAsia="zh-CN"/>
        </w:rPr>
        <w:t>小写</w:t>
      </w:r>
      <w:r>
        <w:rPr>
          <w:rFonts w:hint="eastAsia" w:ascii="宋体" w:hAnsi="宋体" w:eastAsia="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元</w:t>
      </w:r>
      <w:r>
        <w:rPr>
          <w:rFonts w:hint="eastAsia" w:ascii="宋体" w:hAnsi="宋体" w:eastAsia="宋体" w:cs="宋体"/>
          <w:color w:val="auto"/>
          <w:kern w:val="0"/>
          <w:sz w:val="24"/>
          <w:szCs w:val="24"/>
          <w:highlight w:val="none"/>
        </w:rPr>
        <w:t>（大写）</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人民币。</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lang w:eastAsia="zh-CN"/>
        </w:rPr>
        <w:t>本项目投标报价为一年</w:t>
      </w:r>
      <w:r>
        <w:rPr>
          <w:rFonts w:hint="eastAsia" w:ascii="宋体" w:hAnsi="宋体" w:eastAsia="宋体" w:cs="宋体"/>
          <w:color w:val="auto"/>
          <w:sz w:val="24"/>
          <w:highlight w:val="none"/>
          <w:lang w:val="en-US" w:eastAsia="zh-CN"/>
        </w:rPr>
        <w:t>医院</w:t>
      </w:r>
      <w:r>
        <w:rPr>
          <w:rFonts w:hint="eastAsia" w:ascii="宋体" w:hAnsi="宋体" w:eastAsia="宋体" w:cs="宋体"/>
          <w:color w:val="auto"/>
          <w:sz w:val="24"/>
          <w:highlight w:val="none"/>
          <w:lang w:eastAsia="zh-CN"/>
        </w:rPr>
        <w:t>发展咨询辅导服务，包括</w:t>
      </w:r>
      <w:r>
        <w:rPr>
          <w:rFonts w:hint="eastAsia" w:ascii="宋体" w:hAnsi="宋体" w:eastAsia="宋体" w:cs="宋体"/>
          <w:color w:val="auto"/>
          <w:sz w:val="24"/>
          <w:highlight w:val="none"/>
          <w:lang w:val="en-US" w:eastAsia="zh-CN"/>
        </w:rPr>
        <w:t>但不仅限于</w:t>
      </w:r>
      <w:r>
        <w:rPr>
          <w:rFonts w:hint="eastAsia" w:ascii="宋体" w:hAnsi="宋体" w:eastAsia="宋体" w:cs="宋体"/>
          <w:color w:val="auto"/>
          <w:sz w:val="24"/>
          <w:highlight w:val="none"/>
          <w:lang w:eastAsia="zh-CN"/>
        </w:rPr>
        <w:t>人工费、</w:t>
      </w:r>
      <w:r>
        <w:rPr>
          <w:rFonts w:hint="eastAsia" w:ascii="宋体" w:hAnsi="宋体" w:cs="宋体"/>
          <w:color w:val="auto"/>
          <w:sz w:val="24"/>
          <w:highlight w:val="none"/>
          <w:lang w:eastAsia="zh-CN"/>
        </w:rPr>
        <w:t>交通、</w:t>
      </w:r>
      <w:r>
        <w:rPr>
          <w:rFonts w:hint="eastAsia" w:ascii="宋体" w:hAnsi="宋体" w:eastAsia="宋体" w:cs="宋体"/>
          <w:color w:val="auto"/>
          <w:sz w:val="24"/>
          <w:highlight w:val="none"/>
          <w:lang w:val="en-US" w:eastAsia="zh-CN"/>
        </w:rPr>
        <w:t>住宿差旅费、办公费用、</w:t>
      </w:r>
      <w:r>
        <w:rPr>
          <w:rFonts w:hint="eastAsia" w:ascii="宋体" w:hAnsi="宋体" w:cs="宋体"/>
          <w:color w:val="auto"/>
          <w:sz w:val="24"/>
          <w:highlight w:val="none"/>
          <w:lang w:val="en-US" w:eastAsia="zh-CN"/>
        </w:rPr>
        <w:t>教材费、会议费用、</w:t>
      </w:r>
      <w:r>
        <w:rPr>
          <w:rFonts w:hint="eastAsia" w:ascii="宋体" w:hAnsi="宋体" w:eastAsia="宋体" w:cs="宋体"/>
          <w:color w:val="auto"/>
          <w:sz w:val="24"/>
          <w:highlight w:val="none"/>
          <w:lang w:val="en-US" w:eastAsia="zh-CN"/>
        </w:rPr>
        <w:t>培训费用、</w:t>
      </w:r>
      <w:r>
        <w:rPr>
          <w:rFonts w:hint="eastAsia" w:ascii="宋体" w:hAnsi="宋体" w:cs="宋体"/>
          <w:color w:val="auto"/>
          <w:sz w:val="24"/>
          <w:highlight w:val="none"/>
          <w:lang w:val="en-US" w:eastAsia="zh-CN"/>
        </w:rPr>
        <w:t>管理费、</w:t>
      </w:r>
      <w:r>
        <w:rPr>
          <w:rFonts w:hint="eastAsia" w:ascii="宋体" w:hAnsi="宋体" w:eastAsia="宋体" w:cs="宋体"/>
          <w:color w:val="auto"/>
          <w:sz w:val="24"/>
          <w:highlight w:val="none"/>
          <w:lang w:eastAsia="zh-CN"/>
        </w:rPr>
        <w:t>税金、利润</w:t>
      </w:r>
      <w:r>
        <w:rPr>
          <w:rFonts w:hint="eastAsia" w:ascii="宋体" w:hAnsi="宋体" w:cs="宋体"/>
          <w:color w:val="auto"/>
          <w:sz w:val="24"/>
          <w:highlight w:val="none"/>
          <w:lang w:eastAsia="zh-CN"/>
        </w:rPr>
        <w:t>以及完成本项目应该包括的其他</w:t>
      </w:r>
      <w:r>
        <w:rPr>
          <w:rFonts w:hint="eastAsia" w:ascii="宋体" w:hAnsi="宋体" w:eastAsia="宋体" w:cs="宋体"/>
          <w:color w:val="auto"/>
          <w:sz w:val="24"/>
          <w:highlight w:val="none"/>
          <w:lang w:eastAsia="zh-CN"/>
        </w:rPr>
        <w:t>全部费用。</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2.本项目为固定总价包干，完成本项目的一切工作，包括招标文件已提到和招标文件未提到但应该包括的所有工作内容均由供应商完成，其费用已包含在投标文件报价中，不得增加。</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3.本合同付款方式为以下第</w:t>
      </w:r>
      <w:r>
        <w:rPr>
          <w:rFonts w:hint="eastAsia" w:ascii="宋体" w:hAnsi="宋体" w:eastAsia="宋体" w:cs="宋体"/>
          <w:color w:val="auto"/>
          <w:kern w:val="0"/>
          <w:sz w:val="24"/>
          <w:szCs w:val="24"/>
          <w:highlight w:val="none"/>
          <w:u w:val="single"/>
        </w:rPr>
        <w:t xml:space="preserve"> （1） </w:t>
      </w:r>
      <w:r>
        <w:rPr>
          <w:rFonts w:hint="eastAsia" w:ascii="宋体" w:hAnsi="宋体" w:eastAsia="宋体" w:cs="宋体"/>
          <w:color w:val="auto"/>
          <w:kern w:val="0"/>
          <w:sz w:val="24"/>
          <w:szCs w:val="24"/>
          <w:highlight w:val="none"/>
        </w:rPr>
        <w:t>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（1）本合同项下的采购资金系甲方自行支付，付款程序为:</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default"/>
          <w:color w:val="auto"/>
          <w:highlight w:val="none"/>
          <w:lang w:val="en-US" w:eastAsia="zh-CN"/>
        </w:rPr>
      </w:pPr>
      <w:r>
        <w:rPr>
          <w:rFonts w:hint="eastAsia" w:ascii="宋体" w:hAnsi="宋体" w:eastAsia="宋体" w:cs="宋体"/>
          <w:color w:val="auto"/>
          <w:kern w:val="0"/>
          <w:sz w:val="24"/>
          <w:highlight w:val="none"/>
          <w:lang w:val="en-US" w:eastAsia="zh-CN"/>
        </w:rPr>
        <w:t>合同</w:t>
      </w:r>
      <w:r>
        <w:rPr>
          <w:rFonts w:hint="eastAsia" w:ascii="宋体" w:hAnsi="宋体" w:cs="宋体"/>
          <w:color w:val="auto"/>
          <w:kern w:val="0"/>
          <w:sz w:val="24"/>
          <w:highlight w:val="none"/>
          <w:lang w:val="en-US" w:eastAsia="zh-CN"/>
        </w:rPr>
        <w:t>生效以及工作开展后</w:t>
      </w:r>
      <w:r>
        <w:rPr>
          <w:rFonts w:hint="eastAsia" w:ascii="宋体" w:hAnsi="宋体" w:eastAsia="宋体" w:cs="宋体"/>
          <w:color w:val="auto"/>
          <w:kern w:val="0"/>
          <w:sz w:val="24"/>
          <w:highlight w:val="none"/>
          <w:lang w:val="en-US" w:eastAsia="zh-CN"/>
        </w:rPr>
        <w:t>支付乙方合同金额的</w:t>
      </w:r>
      <w:r>
        <w:rPr>
          <w:rFonts w:hint="eastAsia" w:ascii="宋体" w:hAnsi="宋体" w:cs="宋体"/>
          <w:color w:val="auto"/>
          <w:kern w:val="0"/>
          <w:sz w:val="24"/>
          <w:highlight w:val="none"/>
          <w:lang w:val="en-US" w:eastAsia="zh-CN"/>
        </w:rPr>
        <w:t>30</w:t>
      </w:r>
      <w:r>
        <w:rPr>
          <w:rFonts w:hint="eastAsia" w:ascii="宋体" w:hAnsi="宋体" w:eastAsia="宋体" w:cs="宋体"/>
          <w:color w:val="auto"/>
          <w:kern w:val="0"/>
          <w:sz w:val="24"/>
          <w:highlight w:val="none"/>
          <w:lang w:val="en-US" w:eastAsia="zh-CN"/>
        </w:rPr>
        <w:t>%，服务完成后经甲方验收合格</w:t>
      </w:r>
      <w:r>
        <w:rPr>
          <w:rFonts w:hint="eastAsia" w:ascii="宋体" w:hAnsi="宋体" w:cs="宋体"/>
          <w:color w:val="auto"/>
          <w:kern w:val="0"/>
          <w:sz w:val="24"/>
          <w:highlight w:val="none"/>
          <w:lang w:val="en-US" w:eastAsia="zh-CN"/>
        </w:rPr>
        <w:t>且收到发票后7个工作日内</w:t>
      </w:r>
      <w:r>
        <w:rPr>
          <w:rFonts w:hint="eastAsia" w:ascii="宋体" w:hAnsi="宋体" w:eastAsia="宋体" w:cs="宋体"/>
          <w:color w:val="auto"/>
          <w:kern w:val="0"/>
          <w:sz w:val="24"/>
          <w:highlight w:val="none"/>
          <w:lang w:val="en-US" w:eastAsia="zh-CN"/>
        </w:rPr>
        <w:t>支付乙方剩余的合同价款。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（2）本合同项下的采购资金须财政直接支付，付款程序为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（3）其他方式：</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4.本合同项下的采购资金付款进度按招投标文件规定，未规定时按以下第</w:t>
      </w:r>
      <w:r>
        <w:rPr>
          <w:rFonts w:hint="eastAsia" w:ascii="宋体" w:hAnsi="宋体" w:eastAsia="宋体" w:cs="宋体"/>
          <w:color w:val="auto"/>
          <w:kern w:val="0"/>
          <w:sz w:val="24"/>
          <w:szCs w:val="24"/>
          <w:highlight w:val="none"/>
          <w:u w:val="single"/>
        </w:rPr>
        <w:t xml:space="preserve">  /   </w:t>
      </w:r>
      <w:r>
        <w:rPr>
          <w:rFonts w:hint="eastAsia" w:ascii="宋体" w:hAnsi="宋体" w:eastAsia="宋体" w:cs="宋体"/>
          <w:color w:val="auto"/>
          <w:kern w:val="0"/>
          <w:sz w:val="24"/>
          <w:szCs w:val="24"/>
          <w:highlight w:val="none"/>
        </w:rPr>
        <w:t xml:space="preserve"> 项支付：</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（1）一次性付款：乙方合同履行达到</w:t>
      </w:r>
      <w:r>
        <w:rPr>
          <w:rFonts w:hint="eastAsia" w:ascii="宋体" w:hAnsi="宋体" w:eastAsia="宋体" w:cs="宋体"/>
          <w:color w:val="auto"/>
          <w:kern w:val="0"/>
          <w:sz w:val="24"/>
          <w:szCs w:val="24"/>
          <w:highlight w:val="none"/>
          <w:u w:val="single"/>
        </w:rPr>
        <w:t xml:space="preserve"> / </w:t>
      </w:r>
      <w:r>
        <w:rPr>
          <w:rFonts w:hint="eastAsia" w:ascii="宋体" w:hAnsi="宋体" w:eastAsia="宋体" w:cs="宋体"/>
          <w:color w:val="auto"/>
          <w:kern w:val="0"/>
          <w:sz w:val="24"/>
          <w:szCs w:val="24"/>
          <w:highlight w:val="none"/>
        </w:rPr>
        <w:t>（条件）时，一次性付款；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（2）分期付款</w:t>
      </w:r>
      <w:r>
        <w:rPr>
          <w:rFonts w:hint="eastAsia" w:ascii="宋体" w:hAnsi="宋体" w:eastAsia="宋体" w:cs="宋体"/>
          <w:color w:val="auto"/>
          <w:kern w:val="0"/>
          <w:sz w:val="24"/>
          <w:szCs w:val="24"/>
          <w:highlight w:val="none"/>
          <w:u w:val="single"/>
        </w:rPr>
        <w:t xml:space="preserve">  / </w:t>
      </w:r>
      <w:r>
        <w:rPr>
          <w:rFonts w:hint="eastAsia" w:ascii="宋体" w:hAnsi="宋体" w:eastAsia="宋体" w:cs="宋体"/>
          <w:color w:val="auto"/>
          <w:kern w:val="0"/>
          <w:sz w:val="24"/>
          <w:szCs w:val="24"/>
          <w:highlight w:val="none"/>
        </w:rPr>
        <w:t>时支付</w:t>
      </w:r>
      <w:r>
        <w:rPr>
          <w:rFonts w:hint="eastAsia" w:ascii="宋体" w:hAnsi="宋体" w:eastAsia="宋体" w:cs="宋体"/>
          <w:color w:val="auto"/>
          <w:kern w:val="0"/>
          <w:sz w:val="24"/>
          <w:szCs w:val="24"/>
          <w:highlight w:val="none"/>
          <w:u w:val="single"/>
        </w:rPr>
        <w:t xml:space="preserve"> / </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u w:val="single"/>
        </w:rPr>
        <w:t xml:space="preserve"> / </w:t>
      </w:r>
      <w:r>
        <w:rPr>
          <w:rFonts w:hint="eastAsia" w:ascii="宋体" w:hAnsi="宋体" w:eastAsia="宋体" w:cs="宋体"/>
          <w:color w:val="auto"/>
          <w:kern w:val="0"/>
          <w:sz w:val="24"/>
          <w:szCs w:val="24"/>
          <w:highlight w:val="none"/>
        </w:rPr>
        <w:t>时支付</w:t>
      </w:r>
      <w:r>
        <w:rPr>
          <w:rFonts w:hint="eastAsia" w:ascii="宋体" w:hAnsi="宋体" w:eastAsia="宋体" w:cs="宋体"/>
          <w:color w:val="auto"/>
          <w:kern w:val="0"/>
          <w:sz w:val="24"/>
          <w:szCs w:val="24"/>
          <w:highlight w:val="none"/>
          <w:u w:val="single"/>
        </w:rPr>
        <w:t xml:space="preserve"> / </w:t>
      </w:r>
      <w:r>
        <w:rPr>
          <w:rFonts w:hint="eastAsia" w:ascii="宋体" w:hAnsi="宋体" w:eastAsia="宋体" w:cs="宋体"/>
          <w:color w:val="auto"/>
          <w:kern w:val="0"/>
          <w:sz w:val="24"/>
          <w:szCs w:val="24"/>
          <w:highlight w:val="none"/>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若收取了履约保证金，则不应重复设置尾款支付条件。</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eastAsia="宋体" w:cs="宋体"/>
          <w:color w:val="auto"/>
          <w:kern w:val="0"/>
          <w:sz w:val="24"/>
          <w:szCs w:val="24"/>
          <w:highlight w:val="non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第四条 履约保证金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按以下第</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1</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项处理：</w:t>
      </w:r>
    </w:p>
    <w:p>
      <w:pPr>
        <w:numPr>
          <w:ilvl w:val="0"/>
          <w:numId w:val="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eastAsia="宋体" w:cs="宋体"/>
          <w:color w:val="auto"/>
          <w:kern w:val="0"/>
          <w:sz w:val="24"/>
          <w:highlight w:val="none"/>
        </w:rPr>
      </w:pPr>
      <w:r>
        <w:rPr>
          <w:rFonts w:hint="eastAsia" w:ascii="宋体" w:hAnsi="宋体" w:cs="宋体"/>
          <w:color w:val="auto"/>
          <w:kern w:val="0"/>
          <w:sz w:val="24"/>
          <w:highlight w:val="none"/>
          <w:lang w:val="en-US" w:eastAsia="zh-CN"/>
        </w:rPr>
        <w:t>1.</w:t>
      </w:r>
      <w:r>
        <w:rPr>
          <w:rFonts w:hint="eastAsia" w:ascii="宋体" w:hAnsi="宋体" w:eastAsia="宋体" w:cs="宋体"/>
          <w:color w:val="auto"/>
          <w:kern w:val="0"/>
          <w:sz w:val="24"/>
          <w:highlight w:val="none"/>
        </w:rPr>
        <w:t>本项目设置履约保证金，乙方应于</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sz w:val="24"/>
          <w:highlight w:val="none"/>
          <w:u w:val="single"/>
        </w:rPr>
        <w:t xml:space="preserve">合同签订前10天内 </w:t>
      </w:r>
      <w:r>
        <w:rPr>
          <w:rFonts w:hint="eastAsia" w:ascii="宋体" w:hAnsi="宋体" w:eastAsia="宋体" w:cs="宋体"/>
          <w:color w:val="auto"/>
          <w:kern w:val="0"/>
          <w:sz w:val="24"/>
          <w:highlight w:val="none"/>
        </w:rPr>
        <w:t>向甲方提交履约保证金</w:t>
      </w:r>
      <w:r>
        <w:rPr>
          <w:rFonts w:hint="eastAsia" w:ascii="宋体" w:hAnsi="宋体" w:eastAsia="宋体" w:cs="宋体"/>
          <w:color w:val="auto"/>
          <w:kern w:val="0"/>
          <w:sz w:val="24"/>
          <w:highlight w:val="none"/>
          <w:lang w:val="en-US" w:eastAsia="zh-CN"/>
        </w:rPr>
        <w:t>_______</w:t>
      </w:r>
      <w:r>
        <w:rPr>
          <w:rFonts w:hint="eastAsia" w:ascii="宋体" w:hAnsi="宋体" w:eastAsia="宋体" w:cs="宋体"/>
          <w:color w:val="auto"/>
          <w:kern w:val="0"/>
          <w:sz w:val="24"/>
          <w:highlight w:val="none"/>
        </w:rPr>
        <w:t>元（合同金额的</w:t>
      </w:r>
      <w:r>
        <w:rPr>
          <w:rFonts w:hint="eastAsia" w:ascii="宋体" w:hAnsi="宋体" w:cs="宋体"/>
          <w:color w:val="auto"/>
          <w:kern w:val="0"/>
          <w:sz w:val="24"/>
          <w:highlight w:val="none"/>
          <w:lang w:val="en-US" w:eastAsia="zh-CN"/>
        </w:rPr>
        <w:t>2.5</w:t>
      </w:r>
      <w:r>
        <w:rPr>
          <w:rFonts w:hint="eastAsia" w:ascii="宋体" w:hAnsi="宋体" w:eastAsia="宋体" w:cs="宋体"/>
          <w:color w:val="auto"/>
          <w:kern w:val="0"/>
          <w:sz w:val="24"/>
          <w:highlight w:val="none"/>
        </w:rPr>
        <w:t>%）。履约保证金在</w:t>
      </w:r>
      <w:r>
        <w:rPr>
          <w:rFonts w:hint="eastAsia" w:ascii="宋体" w:hAnsi="宋体" w:eastAsia="宋体" w:cs="宋体"/>
          <w:color w:val="auto"/>
          <w:sz w:val="24"/>
          <w:highlight w:val="none"/>
          <w:u w:val="single"/>
        </w:rPr>
        <w:t>合同结束并结清费用后</w:t>
      </w:r>
      <w:r>
        <w:rPr>
          <w:rFonts w:hint="eastAsia" w:ascii="宋体" w:hAnsi="宋体" w:eastAsia="宋体" w:cs="宋体"/>
          <w:color w:val="auto"/>
          <w:sz w:val="24"/>
          <w:highlight w:val="none"/>
        </w:rPr>
        <w:t>完成</w:t>
      </w:r>
      <w:r>
        <w:rPr>
          <w:rFonts w:hint="eastAsia" w:ascii="宋体" w:hAnsi="宋体" w:eastAsia="宋体" w:cs="宋体"/>
          <w:color w:val="auto"/>
          <w:kern w:val="0"/>
          <w:sz w:val="24"/>
          <w:highlight w:val="none"/>
        </w:rPr>
        <w:t>退还乙方。</w:t>
      </w:r>
    </w:p>
    <w:p>
      <w:pPr>
        <w:numPr>
          <w:ilvl w:val="0"/>
          <w:numId w:val="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highlight w:val="none"/>
          <w:lang w:val="en-US" w:eastAsia="zh-CN"/>
        </w:rPr>
        <w:t>形式：</w:t>
      </w:r>
      <w:r>
        <w:rPr>
          <w:rFonts w:hint="eastAsia" w:ascii="宋体" w:hAnsi="宋体" w:eastAsia="宋体" w:cs="宋体"/>
          <w:color w:val="auto"/>
          <w:kern w:val="0"/>
          <w:sz w:val="24"/>
          <w:highlight w:val="none"/>
        </w:rPr>
        <w:t>支票、汇票、本票或者金融机构、担保机构出具的保函等非现金形式</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rPr>
        <w:t>鼓励和支持乙方以银行、保险公司出具的保函形式提供履约保证</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2.本项目不设置履约保证金。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eastAsia="宋体" w:cs="宋体"/>
          <w:color w:val="auto"/>
          <w:kern w:val="0"/>
          <w:sz w:val="24"/>
          <w:szCs w:val="24"/>
          <w:highlight w:val="non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第五条 合同的变更和终止</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除《政府采购法》第49条、第50条第二款规定的情形外，本合同一经签订，甲乙双方不得擅自终止合同或对合同实质性条款进行变更。确有特殊情况的，须经同级财政部门备案同意。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eastAsia="宋体" w:cs="宋体"/>
          <w:color w:val="auto"/>
          <w:kern w:val="0"/>
          <w:sz w:val="24"/>
          <w:szCs w:val="24"/>
          <w:highlight w:val="non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第六条 合同的转让与分包</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乙方不得擅自部分或全部转让其应履行的合同义务。乙方分包的，应经过甲方书面同意。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eastAsia="宋体" w:cs="宋体"/>
          <w:color w:val="auto"/>
          <w:kern w:val="0"/>
          <w:sz w:val="24"/>
          <w:szCs w:val="24"/>
          <w:highlight w:val="non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第七条 争议的解决</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1.因履行本合同引起的或与本合同有关的争议，甲、乙双方应首先通过友好协商解决，如果协商不能解决争议，则采取以下第</w:t>
      </w:r>
      <w:r>
        <w:rPr>
          <w:rFonts w:hint="eastAsia" w:ascii="宋体" w:hAnsi="宋体" w:eastAsia="宋体" w:cs="宋体"/>
          <w:color w:val="auto"/>
          <w:kern w:val="0"/>
          <w:sz w:val="24"/>
          <w:szCs w:val="24"/>
          <w:highlight w:val="none"/>
          <w:u w:val="single"/>
        </w:rPr>
        <w:t xml:space="preserve"> （1） </w:t>
      </w:r>
      <w:r>
        <w:rPr>
          <w:rFonts w:hint="eastAsia" w:ascii="宋体" w:hAnsi="宋体" w:eastAsia="宋体" w:cs="宋体"/>
          <w:color w:val="auto"/>
          <w:kern w:val="0"/>
          <w:sz w:val="24"/>
          <w:szCs w:val="24"/>
          <w:highlight w:val="none"/>
        </w:rPr>
        <w:t>种方式解决争议：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（1）向甲方所在地有管辖权的人民法院提起诉讼；</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（2）向</w:t>
      </w:r>
      <w:r>
        <w:rPr>
          <w:rFonts w:hint="eastAsia" w:ascii="宋体" w:hAnsi="宋体" w:eastAsia="宋体" w:cs="宋体"/>
          <w:color w:val="auto"/>
          <w:kern w:val="0"/>
          <w:sz w:val="24"/>
          <w:szCs w:val="24"/>
          <w:highlight w:val="none"/>
          <w:u w:val="single"/>
        </w:rPr>
        <w:t xml:space="preserve"> / </w:t>
      </w:r>
      <w:r>
        <w:rPr>
          <w:rFonts w:hint="eastAsia" w:ascii="宋体" w:hAnsi="宋体" w:eastAsia="宋体" w:cs="宋体"/>
          <w:color w:val="auto"/>
          <w:kern w:val="0"/>
          <w:sz w:val="24"/>
          <w:szCs w:val="24"/>
          <w:highlight w:val="none"/>
        </w:rPr>
        <w:t>仲裁委员申请仲裁。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eastAsia="宋体" w:cs="宋体"/>
          <w:color w:val="auto"/>
          <w:kern w:val="0"/>
          <w:sz w:val="24"/>
          <w:szCs w:val="24"/>
          <w:highlight w:val="non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第八条 合同备案及其他</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本合同一式</w:t>
      </w:r>
      <w:r>
        <w:rPr>
          <w:rFonts w:hint="eastAsia" w:ascii="宋体" w:hAnsi="宋体" w:eastAsia="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陆</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份，甲乙双方各执</w:t>
      </w:r>
      <w:r>
        <w:rPr>
          <w:rFonts w:hint="eastAsia" w:ascii="宋体" w:hAnsi="宋体" w:cs="宋体"/>
          <w:color w:val="auto"/>
          <w:kern w:val="0"/>
          <w:sz w:val="24"/>
          <w:szCs w:val="24"/>
          <w:highlight w:val="none"/>
          <w:u w:val="single"/>
          <w:lang w:val="en-US" w:eastAsia="zh-CN"/>
        </w:rPr>
        <w:t>叁</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份，</w:t>
      </w:r>
      <w:r>
        <w:rPr>
          <w:rFonts w:hint="eastAsia" w:ascii="宋体" w:hAnsi="宋体" w:eastAsia="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叁</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份报送政府采购监督管理部门备案，</w:t>
      </w:r>
      <w:r>
        <w:rPr>
          <w:rFonts w:hint="eastAsia" w:ascii="宋体" w:hAnsi="宋体" w:eastAsia="宋体" w:cs="宋体"/>
          <w:color w:val="auto"/>
          <w:kern w:val="0"/>
          <w:sz w:val="24"/>
          <w:szCs w:val="24"/>
          <w:highlight w:val="none"/>
          <w:u w:val="single"/>
        </w:rPr>
        <w:t xml:space="preserve"> 壹 </w:t>
      </w:r>
      <w:r>
        <w:rPr>
          <w:rFonts w:hint="eastAsia" w:ascii="宋体" w:hAnsi="宋体" w:eastAsia="宋体" w:cs="宋体"/>
          <w:color w:val="auto"/>
          <w:kern w:val="0"/>
          <w:sz w:val="24"/>
          <w:szCs w:val="24"/>
          <w:highlight w:val="none"/>
        </w:rPr>
        <w:t>份送</w:t>
      </w:r>
      <w:r>
        <w:rPr>
          <w:rFonts w:hint="eastAsia" w:ascii="宋体" w:hAnsi="宋体" w:eastAsia="宋体" w:cs="宋体"/>
          <w:color w:val="auto"/>
          <w:sz w:val="24"/>
          <w:szCs w:val="24"/>
          <w:highlight w:val="none"/>
        </w:rPr>
        <w:t>财政核算支付中心</w:t>
      </w:r>
      <w:r>
        <w:rPr>
          <w:rFonts w:hint="eastAsia" w:ascii="宋体" w:hAnsi="宋体" w:eastAsia="宋体" w:cs="宋体"/>
          <w:color w:val="auto"/>
          <w:kern w:val="0"/>
          <w:sz w:val="24"/>
          <w:szCs w:val="24"/>
          <w:highlight w:val="none"/>
        </w:rPr>
        <w:t>。（若执行政采贷，另加二份）</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eastAsia="宋体" w:cs="宋体"/>
          <w:b/>
          <w:bCs/>
          <w:color w:val="auto"/>
          <w:kern w:val="0"/>
          <w:sz w:val="24"/>
          <w:szCs w:val="24"/>
          <w:highlight w:val="none"/>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eastAsia="宋体" w:cs="宋体"/>
          <w:b/>
          <w:bCs/>
          <w:color w:val="auto"/>
          <w:kern w:val="0"/>
          <w:sz w:val="24"/>
          <w:szCs w:val="24"/>
          <w:highlight w:val="none"/>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eastAsia="宋体" w:cs="宋体"/>
          <w:b/>
          <w:bCs/>
          <w:color w:val="auto"/>
          <w:kern w:val="0"/>
          <w:sz w:val="24"/>
          <w:szCs w:val="24"/>
          <w:highlight w:val="none"/>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eastAsia="宋体" w:cs="宋体"/>
          <w:b/>
          <w:bCs/>
          <w:color w:val="auto"/>
          <w:kern w:val="0"/>
          <w:sz w:val="24"/>
          <w:szCs w:val="24"/>
          <w:highlight w:val="none"/>
        </w:rPr>
      </w:pPr>
    </w:p>
    <w:p>
      <w:pPr>
        <w:pStyle w:val="2"/>
        <w:outlineLvl w:val="9"/>
        <w:rPr>
          <w:rFonts w:hint="eastAsia" w:ascii="宋体" w:hAnsi="宋体" w:eastAsia="宋体" w:cs="宋体"/>
          <w:b/>
          <w:bCs/>
          <w:color w:val="auto"/>
          <w:kern w:val="0"/>
          <w:sz w:val="24"/>
          <w:szCs w:val="24"/>
          <w:highlight w:val="none"/>
        </w:rPr>
      </w:pPr>
    </w:p>
    <w:p>
      <w:pPr>
        <w:rPr>
          <w:rFonts w:hint="eastAsia" w:ascii="宋体" w:hAnsi="宋体" w:eastAsia="宋体" w:cs="宋体"/>
          <w:b/>
          <w:bCs/>
          <w:color w:val="auto"/>
          <w:kern w:val="0"/>
          <w:sz w:val="24"/>
          <w:szCs w:val="24"/>
          <w:highlight w:val="none"/>
        </w:rPr>
      </w:pPr>
    </w:p>
    <w:p>
      <w:pPr>
        <w:pStyle w:val="2"/>
        <w:outlineLvl w:val="9"/>
        <w:rPr>
          <w:rFonts w:hint="eastAsia" w:ascii="宋体" w:hAnsi="宋体" w:eastAsia="宋体" w:cs="宋体"/>
          <w:b/>
          <w:bCs/>
          <w:color w:val="auto"/>
          <w:kern w:val="0"/>
          <w:sz w:val="24"/>
          <w:szCs w:val="24"/>
          <w:highlight w:val="none"/>
        </w:rPr>
      </w:pPr>
    </w:p>
    <w:p>
      <w:pPr>
        <w:rPr>
          <w:rFonts w:hint="eastAsia" w:ascii="宋体" w:hAnsi="宋体" w:eastAsia="宋体" w:cs="宋体"/>
          <w:b/>
          <w:bCs/>
          <w:color w:val="auto"/>
          <w:kern w:val="0"/>
          <w:sz w:val="24"/>
          <w:szCs w:val="24"/>
          <w:highlight w:val="none"/>
        </w:rPr>
      </w:pPr>
    </w:p>
    <w:p>
      <w:pPr>
        <w:pStyle w:val="2"/>
        <w:outlineLvl w:val="9"/>
        <w:rPr>
          <w:rFonts w:hint="eastAsia"/>
          <w:color w:val="auto"/>
          <w:highlight w:val="none"/>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eastAsia="宋体" w:cs="宋体"/>
          <w:b/>
          <w:bCs/>
          <w:color w:val="auto"/>
          <w:kern w:val="0"/>
          <w:sz w:val="24"/>
          <w:szCs w:val="24"/>
          <w:highlight w:val="none"/>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eastAsia="宋体" w:cs="宋体"/>
          <w:b/>
          <w:bCs/>
          <w:color w:val="auto"/>
          <w:kern w:val="0"/>
          <w:sz w:val="24"/>
          <w:szCs w:val="24"/>
          <w:highlight w:val="none"/>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二、特殊专用条款部分</w:t>
      </w:r>
    </w:p>
    <w:p>
      <w:pPr>
        <w:spacing w:line="360" w:lineRule="auto"/>
        <w:ind w:firstLine="361" w:firstLineChars="150"/>
        <w:rPr>
          <w:rFonts w:hint="eastAsia" w:ascii="宋体" w:hAnsi="宋体"/>
          <w:color w:val="auto"/>
          <w:sz w:val="24"/>
          <w:highlight w:val="none"/>
        </w:rPr>
      </w:pPr>
      <w:r>
        <w:rPr>
          <w:rFonts w:hint="eastAsia" w:ascii="黑体" w:hAnsi="黑体" w:eastAsia="黑体"/>
          <w:b/>
          <w:color w:val="auto"/>
          <w:sz w:val="24"/>
          <w:highlight w:val="none"/>
        </w:rPr>
        <w:t xml:space="preserve">第一条 </w:t>
      </w:r>
      <w:r>
        <w:rPr>
          <w:rFonts w:hint="eastAsia" w:ascii="宋体" w:hAnsi="宋体"/>
          <w:color w:val="auto"/>
          <w:sz w:val="24"/>
          <w:highlight w:val="none"/>
        </w:rPr>
        <w:t xml:space="preserve"> 甲方委托乙方进行技术服务的内容如下：</w:t>
      </w:r>
    </w:p>
    <w:p>
      <w:pPr>
        <w:spacing w:line="360" w:lineRule="auto"/>
        <w:ind w:firstLine="480" w:firstLineChars="200"/>
        <w:rPr>
          <w:rFonts w:hint="eastAsia"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lang w:eastAsia="zh-CN"/>
        </w:rPr>
        <w:t>.</w:t>
      </w:r>
      <w:r>
        <w:rPr>
          <w:rFonts w:hint="eastAsia" w:ascii="宋体" w:hAnsi="宋体"/>
          <w:color w:val="auto"/>
          <w:sz w:val="24"/>
          <w:highlight w:val="none"/>
        </w:rPr>
        <w:t>技术服务的目标：转</w:t>
      </w:r>
      <w:r>
        <w:rPr>
          <w:rFonts w:hint="eastAsia" w:ascii="宋体" w:hAnsi="宋体"/>
          <w:color w:val="auto"/>
          <w:sz w:val="24"/>
          <w:highlight w:val="none"/>
          <w:u w:val="single"/>
        </w:rPr>
        <w:t>变发展理念，找准医院发展定位</w:t>
      </w:r>
      <w:r>
        <w:rPr>
          <w:rFonts w:hint="eastAsia" w:ascii="宋体" w:hAnsi="宋体"/>
          <w:color w:val="auto"/>
          <w:sz w:val="24"/>
          <w:highlight w:val="none"/>
          <w:u w:val="single"/>
          <w:lang w:eastAsia="zh-CN"/>
        </w:rPr>
        <w:t>、</w:t>
      </w:r>
      <w:r>
        <w:rPr>
          <w:rFonts w:hint="eastAsia" w:ascii="宋体" w:hAnsi="宋体"/>
          <w:color w:val="auto"/>
          <w:sz w:val="24"/>
          <w:highlight w:val="none"/>
          <w:u w:val="single"/>
        </w:rPr>
        <w:t>明确十四五规划，推动规划稳步落地</w:t>
      </w:r>
      <w:r>
        <w:rPr>
          <w:rFonts w:hint="eastAsia" w:ascii="宋体" w:hAnsi="宋体"/>
          <w:color w:val="auto"/>
          <w:sz w:val="24"/>
          <w:highlight w:val="none"/>
          <w:u w:val="single"/>
          <w:lang w:eastAsia="zh-CN"/>
        </w:rPr>
        <w:t>、</w:t>
      </w:r>
      <w:r>
        <w:rPr>
          <w:rFonts w:hint="eastAsia" w:ascii="宋体" w:hAnsi="宋体"/>
          <w:color w:val="auto"/>
          <w:sz w:val="24"/>
          <w:highlight w:val="none"/>
          <w:u w:val="single"/>
        </w:rPr>
        <w:t>梳理学科现状，制订差异化学科发展目标</w:t>
      </w:r>
      <w:r>
        <w:rPr>
          <w:rFonts w:hint="eastAsia" w:ascii="宋体" w:hAnsi="宋体"/>
          <w:color w:val="auto"/>
          <w:sz w:val="24"/>
          <w:highlight w:val="none"/>
          <w:u w:val="single"/>
          <w:lang w:eastAsia="zh-CN"/>
        </w:rPr>
        <w:t>、</w:t>
      </w:r>
      <w:r>
        <w:rPr>
          <w:rFonts w:hint="eastAsia" w:ascii="宋体" w:hAnsi="宋体"/>
          <w:color w:val="auto"/>
          <w:sz w:val="24"/>
          <w:highlight w:val="none"/>
          <w:u w:val="single"/>
        </w:rPr>
        <w:t>推进精益管理，强化业务与绩效管理基础</w:t>
      </w:r>
      <w:r>
        <w:rPr>
          <w:rFonts w:hint="eastAsia" w:ascii="宋体" w:hAnsi="宋体"/>
          <w:color w:val="auto"/>
          <w:sz w:val="24"/>
          <w:highlight w:val="none"/>
          <w:u w:val="single"/>
          <w:lang w:eastAsia="zh-CN"/>
        </w:rPr>
        <w:t>、</w:t>
      </w:r>
      <w:r>
        <w:rPr>
          <w:rFonts w:hint="eastAsia" w:ascii="宋体" w:hAnsi="宋体"/>
          <w:color w:val="auto"/>
          <w:sz w:val="24"/>
          <w:highlight w:val="none"/>
          <w:u w:val="single"/>
        </w:rPr>
        <w:t>提升中层干部管理能力，培养运营管理骨干。</w:t>
      </w:r>
    </w:p>
    <w:p>
      <w:pPr>
        <w:spacing w:line="360" w:lineRule="auto"/>
        <w:ind w:firstLine="480" w:firstLineChars="200"/>
        <w:rPr>
          <w:rFonts w:hint="eastAsia"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、技术服务的内容：</w:t>
      </w:r>
    </w:p>
    <w:p>
      <w:pPr>
        <w:spacing w:line="360" w:lineRule="auto"/>
        <w:ind w:firstLine="360" w:firstLineChars="150"/>
        <w:rPr>
          <w:rFonts w:hint="eastAsia" w:ascii="宋体" w:hAnsi="宋体"/>
          <w:color w:val="auto"/>
          <w:sz w:val="24"/>
          <w:highlight w:val="none"/>
          <w:u w:val="single"/>
        </w:rPr>
      </w:pPr>
      <w:r>
        <w:rPr>
          <w:rFonts w:hint="eastAsia" w:ascii="宋体" w:hAnsi="宋体"/>
          <w:color w:val="auto"/>
          <w:sz w:val="24"/>
          <w:highlight w:val="none"/>
          <w:u w:val="single"/>
        </w:rPr>
        <w:t>（1）医院经营情况与科室运营全数据分析</w:t>
      </w:r>
    </w:p>
    <w:p>
      <w:pPr>
        <w:spacing w:line="360" w:lineRule="auto"/>
        <w:ind w:firstLine="360" w:firstLineChars="150"/>
        <w:rPr>
          <w:rFonts w:hint="eastAsia" w:ascii="宋体" w:hAnsi="宋体"/>
          <w:color w:val="auto"/>
          <w:sz w:val="24"/>
          <w:highlight w:val="none"/>
          <w:u w:val="single"/>
        </w:rPr>
      </w:pPr>
      <w:r>
        <w:rPr>
          <w:rFonts w:hint="eastAsia" w:ascii="宋体" w:hAnsi="宋体"/>
          <w:color w:val="auto"/>
          <w:sz w:val="24"/>
          <w:highlight w:val="none"/>
          <w:u w:val="single"/>
        </w:rPr>
        <w:t>（2）医院业务科室发展诉求深度调研</w:t>
      </w:r>
    </w:p>
    <w:p>
      <w:pPr>
        <w:spacing w:line="360" w:lineRule="auto"/>
        <w:ind w:firstLine="360" w:firstLineChars="150"/>
        <w:rPr>
          <w:rFonts w:hint="eastAsia" w:ascii="宋体" w:hAnsi="宋体"/>
          <w:color w:val="auto"/>
          <w:sz w:val="24"/>
          <w:highlight w:val="none"/>
          <w:u w:val="single"/>
        </w:rPr>
      </w:pPr>
      <w:r>
        <w:rPr>
          <w:rFonts w:hint="eastAsia" w:ascii="宋体" w:hAnsi="宋体"/>
          <w:color w:val="auto"/>
          <w:sz w:val="24"/>
          <w:highlight w:val="none"/>
          <w:u w:val="single"/>
        </w:rPr>
        <w:t>（3）战略定位规划与十四五顶层设计</w:t>
      </w:r>
    </w:p>
    <w:p>
      <w:pPr>
        <w:spacing w:line="360" w:lineRule="auto"/>
        <w:ind w:firstLine="360" w:firstLineChars="150"/>
        <w:rPr>
          <w:rFonts w:hint="eastAsia" w:ascii="宋体" w:hAnsi="宋体"/>
          <w:color w:val="auto"/>
          <w:sz w:val="24"/>
          <w:highlight w:val="none"/>
          <w:u w:val="single"/>
        </w:rPr>
      </w:pPr>
      <w:r>
        <w:rPr>
          <w:rFonts w:hint="eastAsia" w:ascii="宋体" w:hAnsi="宋体"/>
          <w:color w:val="auto"/>
          <w:sz w:val="24"/>
          <w:highlight w:val="none"/>
          <w:u w:val="single"/>
        </w:rPr>
        <w:t>（4）全院十四五发展战略定位宣贯</w:t>
      </w:r>
    </w:p>
    <w:p>
      <w:pPr>
        <w:spacing w:line="360" w:lineRule="auto"/>
        <w:ind w:firstLine="360" w:firstLineChars="150"/>
        <w:rPr>
          <w:rFonts w:hint="eastAsia" w:ascii="宋体" w:hAnsi="宋体"/>
          <w:color w:val="auto"/>
          <w:sz w:val="24"/>
          <w:highlight w:val="none"/>
          <w:u w:val="single"/>
        </w:rPr>
      </w:pPr>
      <w:r>
        <w:rPr>
          <w:rFonts w:hint="eastAsia" w:ascii="宋体" w:hAnsi="宋体"/>
          <w:color w:val="auto"/>
          <w:sz w:val="24"/>
          <w:highlight w:val="none"/>
          <w:u w:val="single"/>
        </w:rPr>
        <w:t>（5）专科运营辅导、管理骨干和运营管理干事培训</w:t>
      </w:r>
    </w:p>
    <w:p>
      <w:pPr>
        <w:spacing w:line="360" w:lineRule="auto"/>
        <w:ind w:firstLine="360" w:firstLineChars="150"/>
        <w:rPr>
          <w:rFonts w:hint="eastAsia" w:ascii="宋体" w:hAnsi="宋体"/>
          <w:color w:val="auto"/>
          <w:sz w:val="24"/>
          <w:highlight w:val="none"/>
          <w:u w:val="single"/>
        </w:rPr>
      </w:pPr>
      <w:r>
        <w:rPr>
          <w:rFonts w:hint="eastAsia" w:ascii="宋体" w:hAnsi="宋体"/>
          <w:color w:val="auto"/>
          <w:sz w:val="24"/>
          <w:highlight w:val="none"/>
          <w:u w:val="single"/>
        </w:rPr>
        <w:t>（6）国家公立医院绩效考核对标分析及辅导</w:t>
      </w:r>
    </w:p>
    <w:p>
      <w:pPr>
        <w:spacing w:line="360" w:lineRule="auto"/>
        <w:ind w:firstLine="360" w:firstLineChars="150"/>
        <w:rPr>
          <w:rFonts w:hint="eastAsia" w:ascii="宋体" w:hAnsi="宋体"/>
          <w:color w:val="auto"/>
          <w:sz w:val="24"/>
          <w:highlight w:val="none"/>
        </w:rPr>
      </w:pPr>
      <w:r>
        <w:rPr>
          <w:rFonts w:hint="eastAsia" w:ascii="宋体" w:hAnsi="宋体"/>
          <w:color w:val="auto"/>
          <w:sz w:val="24"/>
          <w:highlight w:val="none"/>
        </w:rPr>
        <w:t xml:space="preserve">3、技术服务的方式： </w:t>
      </w:r>
    </w:p>
    <w:p>
      <w:pPr>
        <w:spacing w:line="360" w:lineRule="auto"/>
        <w:ind w:firstLine="360" w:firstLineChars="150"/>
        <w:rPr>
          <w:rFonts w:hint="eastAsia" w:ascii="宋体" w:hAnsi="宋体"/>
          <w:color w:val="auto"/>
          <w:sz w:val="24"/>
          <w:highlight w:val="none"/>
          <w:u w:val="single"/>
        </w:rPr>
      </w:pPr>
      <w:r>
        <w:rPr>
          <w:rFonts w:hint="eastAsia" w:ascii="宋体" w:hAnsi="宋体"/>
          <w:color w:val="auto"/>
          <w:sz w:val="24"/>
          <w:highlight w:val="none"/>
          <w:u w:val="single"/>
        </w:rPr>
        <w:t>（1）</w:t>
      </w:r>
      <w:r>
        <w:rPr>
          <w:rFonts w:hint="eastAsia" w:ascii="宋体" w:hAnsi="宋体"/>
          <w:color w:val="auto"/>
          <w:sz w:val="24"/>
          <w:highlight w:val="none"/>
          <w:u w:val="single"/>
          <w:lang w:val="en-US" w:eastAsia="zh-CN"/>
        </w:rPr>
        <w:t xml:space="preserve">   双方自行协商          </w:t>
      </w:r>
    </w:p>
    <w:p>
      <w:pPr>
        <w:spacing w:line="360" w:lineRule="auto"/>
        <w:ind w:firstLine="361" w:firstLineChars="150"/>
        <w:rPr>
          <w:rFonts w:hint="eastAsia" w:ascii="宋体" w:hAnsi="宋体"/>
          <w:color w:val="auto"/>
          <w:sz w:val="24"/>
          <w:highlight w:val="none"/>
        </w:rPr>
      </w:pPr>
      <w:r>
        <w:rPr>
          <w:rFonts w:hint="eastAsia" w:ascii="黑体" w:hAnsi="黑体" w:eastAsia="黑体"/>
          <w:b/>
          <w:color w:val="auto"/>
          <w:sz w:val="24"/>
          <w:highlight w:val="none"/>
        </w:rPr>
        <w:t xml:space="preserve">第二条 </w:t>
      </w:r>
      <w:r>
        <w:rPr>
          <w:rFonts w:hint="eastAsia" w:ascii="宋体" w:hAnsi="宋体"/>
          <w:color w:val="auto"/>
          <w:sz w:val="24"/>
          <w:highlight w:val="none"/>
        </w:rPr>
        <w:t xml:space="preserve"> 乙方应按下列要求完成技术服务工作：</w:t>
      </w:r>
    </w:p>
    <w:p>
      <w:pPr>
        <w:spacing w:line="360" w:lineRule="auto"/>
        <w:ind w:firstLine="360" w:firstLineChars="150"/>
        <w:rPr>
          <w:rFonts w:hint="eastAsia" w:ascii="宋体" w:hAnsi="宋体"/>
          <w:color w:val="auto"/>
          <w:sz w:val="24"/>
          <w:highlight w:val="none"/>
        </w:rPr>
      </w:pPr>
      <w:r>
        <w:rPr>
          <w:rFonts w:hint="eastAsia" w:ascii="宋体" w:hAnsi="宋体"/>
          <w:color w:val="auto"/>
          <w:sz w:val="24"/>
          <w:highlight w:val="none"/>
        </w:rPr>
        <w:t>1、技术服务地点：</w:t>
      </w:r>
      <w:r>
        <w:rPr>
          <w:rFonts w:hint="eastAsia" w:ascii="宋体" w:hAnsi="宋体"/>
          <w:color w:val="auto"/>
          <w:sz w:val="24"/>
          <w:highlight w:val="none"/>
          <w:u w:val="single"/>
        </w:rPr>
        <w:t xml:space="preserve">甲方指定地点       </w:t>
      </w:r>
    </w:p>
    <w:p>
      <w:pPr>
        <w:spacing w:line="360" w:lineRule="auto"/>
        <w:ind w:firstLine="360" w:firstLineChars="150"/>
        <w:rPr>
          <w:rFonts w:hint="eastAsia" w:ascii="宋体" w:hAnsi="宋体"/>
          <w:color w:val="auto"/>
          <w:sz w:val="24"/>
          <w:highlight w:val="none"/>
        </w:rPr>
      </w:pPr>
      <w:r>
        <w:rPr>
          <w:rFonts w:hint="eastAsia" w:ascii="宋体" w:hAnsi="宋体"/>
          <w:color w:val="auto"/>
          <w:sz w:val="24"/>
          <w:highlight w:val="none"/>
        </w:rPr>
        <w:t>2、技术服务期限：</w:t>
      </w:r>
      <w:r>
        <w:rPr>
          <w:rFonts w:hint="eastAsia" w:ascii="宋体" w:hAnsi="宋体"/>
          <w:color w:val="auto"/>
          <w:sz w:val="24"/>
          <w:highlight w:val="none"/>
          <w:u w:val="single"/>
          <w:lang w:val="en-US" w:eastAsia="zh-CN"/>
        </w:rPr>
        <w:t>合同签订后一年</w:t>
      </w:r>
      <w:r>
        <w:rPr>
          <w:rFonts w:hint="eastAsia" w:ascii="宋体" w:hAnsi="宋体"/>
          <w:color w:val="auto"/>
          <w:sz w:val="24"/>
          <w:highlight w:val="none"/>
          <w:u w:val="single"/>
        </w:rPr>
        <w:t xml:space="preserve">      </w:t>
      </w:r>
    </w:p>
    <w:p>
      <w:pPr>
        <w:spacing w:line="360" w:lineRule="auto"/>
        <w:ind w:firstLine="360" w:firstLineChars="150"/>
        <w:rPr>
          <w:rFonts w:hint="eastAsia" w:ascii="宋体" w:hAnsi="宋体"/>
          <w:color w:val="auto"/>
          <w:sz w:val="24"/>
          <w:highlight w:val="none"/>
        </w:rPr>
      </w:pPr>
      <w:r>
        <w:rPr>
          <w:rFonts w:hint="eastAsia" w:ascii="宋体" w:hAnsi="宋体"/>
          <w:color w:val="auto"/>
          <w:sz w:val="24"/>
          <w:highlight w:val="none"/>
        </w:rPr>
        <w:t>3、技术服务进度：</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第一阶段（第1-3月）</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1.医院经营情况与科室运营全数据分析（约4周）</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1.1收集区域卫生统计资讯与当地主要竞争者信息，进行外部环境分析</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1.2基于医院经营与各科室的业务运营全数据，进行全方面的内部分析</w:t>
      </w:r>
    </w:p>
    <w:p>
      <w:pPr>
        <w:spacing w:line="360" w:lineRule="auto"/>
        <w:ind w:firstLine="240" w:firstLineChars="100"/>
        <w:rPr>
          <w:rFonts w:hint="eastAsia"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lang w:eastAsia="zh-CN"/>
        </w:rPr>
        <w:t>.</w:t>
      </w:r>
      <w:r>
        <w:rPr>
          <w:rFonts w:hint="eastAsia" w:ascii="宋体" w:hAnsi="宋体"/>
          <w:color w:val="auto"/>
          <w:sz w:val="24"/>
          <w:highlight w:val="none"/>
        </w:rPr>
        <w:t>医院业务科室发展诉求深度调研（约4周）</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2.1专家至各医疗业务科室带头人个别访谈，深度对话，澄清疑义</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2.2针对访谈意见分析与内部管理梳理矛盾</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w:t>
      </w:r>
      <w:r>
        <w:rPr>
          <w:rFonts w:hint="eastAsia" w:ascii="宋体" w:hAnsi="宋体"/>
          <w:color w:val="auto"/>
          <w:sz w:val="24"/>
          <w:highlight w:val="none"/>
          <w:lang w:eastAsia="zh-CN"/>
        </w:rPr>
        <w:t>.</w:t>
      </w:r>
      <w:r>
        <w:rPr>
          <w:rFonts w:hint="eastAsia" w:ascii="宋体" w:hAnsi="宋体"/>
          <w:color w:val="auto"/>
          <w:sz w:val="24"/>
          <w:highlight w:val="none"/>
        </w:rPr>
        <w:t>战略定位规划与十四五顶层设计（约3周）</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3.1医院领导班子访谈与调研意见反馈</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3.2依据院领导发展思路、外部环境与科室发展完成嘉医战略定位规划</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3.3基于战略定位、业务顶层规划，进一步提供医院品牌定位建议</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w:t>
      </w:r>
      <w:r>
        <w:rPr>
          <w:rFonts w:hint="eastAsia" w:ascii="宋体" w:hAnsi="宋体"/>
          <w:color w:val="auto"/>
          <w:sz w:val="24"/>
          <w:highlight w:val="none"/>
          <w:lang w:eastAsia="zh-CN"/>
        </w:rPr>
        <w:t>.</w:t>
      </w:r>
      <w:r>
        <w:rPr>
          <w:rFonts w:hint="eastAsia" w:ascii="宋体" w:hAnsi="宋体"/>
          <w:color w:val="auto"/>
          <w:sz w:val="24"/>
          <w:highlight w:val="none"/>
        </w:rPr>
        <w:t>全院十四五发展战略定位宣贯（约1周）</w:t>
      </w:r>
    </w:p>
    <w:p>
      <w:pPr>
        <w:spacing w:line="360" w:lineRule="auto"/>
        <w:ind w:firstLine="720" w:firstLineChars="300"/>
        <w:rPr>
          <w:rFonts w:hint="eastAsia" w:ascii="宋体" w:hAnsi="宋体"/>
          <w:color w:val="auto"/>
          <w:sz w:val="24"/>
          <w:highlight w:val="none"/>
        </w:rPr>
      </w:pPr>
      <w:r>
        <w:rPr>
          <w:rFonts w:hint="eastAsia" w:ascii="宋体" w:hAnsi="宋体"/>
          <w:color w:val="auto"/>
          <w:sz w:val="24"/>
          <w:highlight w:val="none"/>
        </w:rPr>
        <w:t>4.1协助筹备与召开全院的战略定位宣贯会议</w:t>
      </w:r>
    </w:p>
    <w:p>
      <w:pPr>
        <w:spacing w:line="360" w:lineRule="auto"/>
        <w:ind w:firstLine="720" w:firstLineChars="300"/>
        <w:rPr>
          <w:rFonts w:hint="eastAsia" w:ascii="宋体" w:hAnsi="宋体"/>
          <w:color w:val="auto"/>
          <w:sz w:val="24"/>
          <w:highlight w:val="none"/>
        </w:rPr>
      </w:pPr>
      <w:r>
        <w:rPr>
          <w:rFonts w:hint="eastAsia" w:ascii="宋体" w:hAnsi="宋体"/>
          <w:color w:val="auto"/>
          <w:sz w:val="24"/>
          <w:highlight w:val="none"/>
        </w:rPr>
        <w:t>4.2全院十四五发展战略定位宣贯</w:t>
      </w:r>
    </w:p>
    <w:p>
      <w:pPr>
        <w:spacing w:line="360" w:lineRule="auto"/>
        <w:ind w:firstLine="240" w:firstLineChars="100"/>
        <w:rPr>
          <w:rFonts w:hint="eastAsia" w:ascii="宋体" w:hAnsi="宋体"/>
          <w:color w:val="auto"/>
          <w:sz w:val="24"/>
          <w:highlight w:val="none"/>
        </w:rPr>
      </w:pPr>
      <w:r>
        <w:rPr>
          <w:rFonts w:hint="eastAsia" w:ascii="宋体" w:hAnsi="宋体"/>
          <w:color w:val="auto"/>
          <w:sz w:val="24"/>
          <w:highlight w:val="none"/>
          <w:lang w:val="en-US" w:eastAsia="zh-CN"/>
        </w:rPr>
        <w:t>5.</w:t>
      </w:r>
      <w:r>
        <w:rPr>
          <w:rFonts w:hint="eastAsia" w:ascii="宋体" w:hAnsi="宋体"/>
          <w:color w:val="auto"/>
          <w:sz w:val="24"/>
          <w:highlight w:val="none"/>
        </w:rPr>
        <w:t>全年度全程</w:t>
      </w:r>
    </w:p>
    <w:p>
      <w:pPr>
        <w:spacing w:line="360" w:lineRule="auto"/>
        <w:ind w:firstLine="240" w:firstLineChars="100"/>
        <w:rPr>
          <w:rFonts w:hint="eastAsia" w:ascii="宋体" w:hAnsi="宋体"/>
          <w:color w:val="auto"/>
          <w:sz w:val="24"/>
          <w:highlight w:val="none"/>
        </w:rPr>
      </w:pPr>
      <w:r>
        <w:rPr>
          <w:rFonts w:hint="eastAsia" w:ascii="宋体" w:hAnsi="宋体"/>
          <w:color w:val="auto"/>
          <w:sz w:val="24"/>
          <w:highlight w:val="none"/>
          <w:lang w:val="en-US" w:eastAsia="zh-CN"/>
        </w:rPr>
        <w:t>5.</w:t>
      </w:r>
      <w:r>
        <w:rPr>
          <w:rFonts w:hint="eastAsia" w:ascii="宋体" w:hAnsi="宋体"/>
          <w:color w:val="auto"/>
          <w:sz w:val="24"/>
          <w:highlight w:val="none"/>
        </w:rPr>
        <w:t>1针对专科辅导，推动临床骨干学习，实现科室经营管理</w:t>
      </w:r>
    </w:p>
    <w:p>
      <w:pPr>
        <w:spacing w:line="360" w:lineRule="auto"/>
        <w:ind w:firstLine="240" w:firstLineChars="100"/>
        <w:rPr>
          <w:rFonts w:hint="eastAsia" w:ascii="宋体" w:hAnsi="宋体"/>
          <w:color w:val="auto"/>
          <w:sz w:val="24"/>
          <w:highlight w:val="none"/>
        </w:rPr>
      </w:pPr>
      <w:r>
        <w:rPr>
          <w:rFonts w:hint="eastAsia" w:ascii="宋体" w:hAnsi="宋体"/>
          <w:color w:val="auto"/>
          <w:sz w:val="24"/>
          <w:highlight w:val="none"/>
          <w:lang w:val="en-US" w:eastAsia="zh-CN"/>
        </w:rPr>
        <w:t>5.</w:t>
      </w:r>
      <w:r>
        <w:rPr>
          <w:rFonts w:hint="eastAsia" w:ascii="宋体" w:hAnsi="宋体"/>
          <w:color w:val="auto"/>
          <w:sz w:val="24"/>
          <w:highlight w:val="none"/>
        </w:rPr>
        <w:t>2提供有关三级公立医院绩效考核研究核心资源支持</w:t>
      </w:r>
    </w:p>
    <w:p>
      <w:pPr>
        <w:pStyle w:val="7"/>
        <w:ind w:left="0" w:leftChars="0" w:firstLine="0" w:firstLineChars="0"/>
        <w:rPr>
          <w:rFonts w:hint="default" w:ascii="宋体" w:hAnsi="宋体" w:eastAsia="宋体" w:cs="Calibri"/>
          <w:color w:val="auto"/>
          <w:kern w:val="2"/>
          <w:sz w:val="24"/>
          <w:szCs w:val="21"/>
          <w:highlight w:val="none"/>
          <w:lang w:val="en-US" w:eastAsia="zh-CN" w:bidi="ar-SA"/>
        </w:rPr>
      </w:pPr>
      <w:r>
        <w:rPr>
          <w:rFonts w:hint="eastAsia" w:ascii="宋体" w:hAnsi="宋体" w:eastAsia="宋体" w:cs="Calibri"/>
          <w:color w:val="auto"/>
          <w:kern w:val="2"/>
          <w:sz w:val="24"/>
          <w:szCs w:val="21"/>
          <w:highlight w:val="none"/>
          <w:lang w:val="en-US" w:eastAsia="zh-CN" w:bidi="ar-SA"/>
        </w:rPr>
        <w:t>以上进度计划仅为初步安排，具体进度计划安排按照采购人要求实施。</w:t>
      </w:r>
    </w:p>
    <w:p>
      <w:pPr>
        <w:numPr>
          <w:ilvl w:val="0"/>
          <w:numId w:val="2"/>
        </w:numPr>
        <w:spacing w:line="360" w:lineRule="auto"/>
        <w:ind w:left="360" w:leftChars="0" w:firstLine="0" w:firstLineChars="0"/>
        <w:rPr>
          <w:rFonts w:hint="eastAsia" w:ascii="宋体" w:hAnsi="宋体"/>
          <w:color w:val="auto"/>
          <w:sz w:val="24"/>
          <w:highlight w:val="none"/>
        </w:rPr>
      </w:pPr>
      <w:r>
        <w:rPr>
          <w:rFonts w:hint="eastAsia" w:ascii="宋体" w:hAnsi="宋体"/>
          <w:color w:val="auto"/>
          <w:sz w:val="24"/>
          <w:highlight w:val="none"/>
        </w:rPr>
        <w:t xml:space="preserve"> 技术服务经费、报酬及其支付或结算方式：</w:t>
      </w:r>
    </w:p>
    <w:p>
      <w:pPr>
        <w:pStyle w:val="7"/>
        <w:numPr>
          <w:ilvl w:val="0"/>
          <w:numId w:val="0"/>
        </w:numPr>
        <w:ind w:left="360" w:leftChars="0" w:firstLine="240" w:firstLineChars="100"/>
        <w:rPr>
          <w:rFonts w:hint="default" w:ascii="宋体" w:hAnsi="宋体" w:eastAsia="宋体" w:cs="Calibri"/>
          <w:color w:val="auto"/>
          <w:kern w:val="2"/>
          <w:sz w:val="24"/>
          <w:szCs w:val="21"/>
          <w:highlight w:val="none"/>
          <w:u w:val="single"/>
          <w:lang w:val="en-US" w:eastAsia="zh-CN" w:bidi="ar-SA"/>
        </w:rPr>
      </w:pPr>
      <w:r>
        <w:rPr>
          <w:rFonts w:hint="eastAsia" w:ascii="宋体" w:hAnsi="宋体" w:eastAsia="宋体" w:cs="Calibri"/>
          <w:color w:val="auto"/>
          <w:kern w:val="2"/>
          <w:sz w:val="24"/>
          <w:szCs w:val="21"/>
          <w:highlight w:val="none"/>
          <w:u w:val="single"/>
          <w:lang w:val="en-US" w:eastAsia="zh-CN" w:bidi="ar-SA"/>
        </w:rPr>
        <w:t>详见通用条款</w:t>
      </w:r>
    </w:p>
    <w:p>
      <w:pPr>
        <w:spacing w:line="360" w:lineRule="auto"/>
        <w:ind w:firstLine="361" w:firstLineChars="150"/>
        <w:rPr>
          <w:rFonts w:ascii="宋体" w:hAnsi="宋体"/>
          <w:color w:val="auto"/>
          <w:sz w:val="24"/>
          <w:highlight w:val="none"/>
        </w:rPr>
      </w:pPr>
      <w:r>
        <w:rPr>
          <w:rFonts w:hint="eastAsia" w:ascii="黑体" w:hAnsi="黑体" w:eastAsia="黑体"/>
          <w:b/>
          <w:color w:val="auto"/>
          <w:sz w:val="24"/>
          <w:highlight w:val="none"/>
        </w:rPr>
        <w:t>第四条</w:t>
      </w:r>
      <w:r>
        <w:rPr>
          <w:rFonts w:hint="eastAsia" w:ascii="宋体" w:hAnsi="宋体"/>
          <w:color w:val="auto"/>
          <w:sz w:val="24"/>
          <w:highlight w:val="none"/>
        </w:rPr>
        <w:t xml:space="preserve">  </w:t>
      </w:r>
      <w:r>
        <w:rPr>
          <w:rFonts w:ascii="宋体" w:hAnsi="宋体"/>
          <w:color w:val="auto"/>
          <w:sz w:val="24"/>
          <w:highlight w:val="none"/>
        </w:rPr>
        <w:t>为保证乙方有效进行技术服务工作，甲方应当向乙方提供下列工作条件和协作事项：</w:t>
      </w:r>
    </w:p>
    <w:p>
      <w:pPr>
        <w:spacing w:line="360" w:lineRule="auto"/>
        <w:ind w:firstLine="480" w:firstLineChars="200"/>
        <w:rPr>
          <w:rFonts w:hint="eastAsia" w:ascii="宋体" w:hAns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w:t>
      </w:r>
      <w:r>
        <w:rPr>
          <w:rFonts w:ascii="宋体" w:hAnsi="宋体"/>
          <w:color w:val="auto"/>
          <w:sz w:val="24"/>
          <w:highlight w:val="none"/>
        </w:rPr>
        <w:t>提供技术资料：</w:t>
      </w:r>
      <w:r>
        <w:rPr>
          <w:rFonts w:hint="eastAsia" w:ascii="宋体" w:hAnsi="宋体"/>
          <w:color w:val="auto"/>
          <w:sz w:val="24"/>
          <w:highlight w:val="none"/>
          <w:u w:val="single"/>
        </w:rPr>
        <w:t>提供本项目的有关资料；</w:t>
      </w:r>
    </w:p>
    <w:p>
      <w:pPr>
        <w:spacing w:line="360" w:lineRule="auto"/>
        <w:ind w:firstLine="480" w:firstLineChars="200"/>
        <w:rPr>
          <w:rFonts w:hint="eastAsia" w:ascii="宋体" w:hAnsi="宋体"/>
          <w:color w:val="auto"/>
          <w:sz w:val="24"/>
          <w:highlight w:val="none"/>
          <w:u w:val="single"/>
        </w:rPr>
      </w:pPr>
      <w:r>
        <w:rPr>
          <w:rFonts w:ascii="宋体" w:hAnsi="宋体"/>
          <w:color w:val="auto"/>
          <w:sz w:val="24"/>
          <w:highlight w:val="none"/>
        </w:rPr>
        <w:t>2</w:t>
      </w:r>
      <w:r>
        <w:rPr>
          <w:rFonts w:hint="eastAsia" w:ascii="宋体" w:hAnsi="宋体"/>
          <w:color w:val="auto"/>
          <w:sz w:val="24"/>
          <w:highlight w:val="none"/>
        </w:rPr>
        <w:t>、</w:t>
      </w:r>
      <w:r>
        <w:rPr>
          <w:rFonts w:ascii="宋体" w:hAnsi="宋体"/>
          <w:color w:val="auto"/>
          <w:sz w:val="24"/>
          <w:highlight w:val="none"/>
        </w:rPr>
        <w:t>提供工作条件：</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 </w:t>
      </w:r>
      <w:r>
        <w:rPr>
          <w:rFonts w:hint="eastAsia" w:ascii="宋体" w:hAnsi="宋体"/>
          <w:color w:val="auto"/>
          <w:sz w:val="24"/>
          <w:highlight w:val="none"/>
          <w:u w:val="single"/>
        </w:rPr>
        <w:t xml:space="preserve">  </w:t>
      </w:r>
    </w:p>
    <w:p>
      <w:pPr>
        <w:spacing w:line="360" w:lineRule="auto"/>
        <w:ind w:firstLine="480" w:firstLineChars="200"/>
        <w:rPr>
          <w:rFonts w:hint="eastAsia"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w:t>
      </w:r>
      <w:r>
        <w:rPr>
          <w:rFonts w:ascii="宋体" w:hAnsi="宋体"/>
          <w:color w:val="auto"/>
          <w:sz w:val="24"/>
          <w:highlight w:val="none"/>
        </w:rPr>
        <w:t>其他：</w:t>
      </w:r>
      <w:r>
        <w:rPr>
          <w:rFonts w:hint="eastAsia" w:ascii="宋体" w:hAnsi="宋体"/>
          <w:color w:val="auto"/>
          <w:sz w:val="24"/>
          <w:highlight w:val="none"/>
          <w:u w:val="single"/>
        </w:rPr>
        <w:t xml:space="preserve">做好协调配合工作，负责项目验收及验收会议工作。   </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甲方提供上述协作事项的时间及方式：</w:t>
      </w:r>
      <w:r>
        <w:rPr>
          <w:rFonts w:hint="eastAsia" w:ascii="宋体" w:hAnsi="宋体"/>
          <w:color w:val="auto"/>
          <w:sz w:val="24"/>
          <w:highlight w:val="none"/>
          <w:u w:val="single"/>
        </w:rPr>
        <w:t xml:space="preserve">由甲乙双方按照商定的时间及方式进行。 </w:t>
      </w:r>
      <w:r>
        <w:rPr>
          <w:rFonts w:hint="eastAsia" w:ascii="宋体" w:hAnsi="宋体"/>
          <w:color w:val="auto"/>
          <w:sz w:val="24"/>
          <w:highlight w:val="none"/>
        </w:rPr>
        <w:t xml:space="preserve">                                      </w:t>
      </w:r>
    </w:p>
    <w:p>
      <w:pPr>
        <w:spacing w:line="360" w:lineRule="auto"/>
        <w:ind w:firstLine="361" w:firstLineChars="150"/>
        <w:rPr>
          <w:rFonts w:hint="eastAsia" w:ascii="宋体" w:hAnsi="宋体"/>
          <w:color w:val="auto"/>
          <w:sz w:val="24"/>
          <w:highlight w:val="none"/>
        </w:rPr>
      </w:pPr>
      <w:r>
        <w:rPr>
          <w:rFonts w:hint="eastAsia" w:ascii="黑体" w:hAnsi="黑体" w:eastAsia="黑体"/>
          <w:b/>
          <w:color w:val="auto"/>
          <w:sz w:val="24"/>
          <w:highlight w:val="none"/>
        </w:rPr>
        <w:t xml:space="preserve">第五条  </w:t>
      </w:r>
      <w:r>
        <w:rPr>
          <w:rFonts w:hint="eastAsia" w:ascii="宋体" w:hAnsi="宋体"/>
          <w:color w:val="auto"/>
          <w:sz w:val="24"/>
          <w:highlight w:val="none"/>
        </w:rPr>
        <w:t>双方确定因履行本合同应遵守的保密义务如下：</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甲方：</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1.保密内容（包括技术信息和经营信息）:</w:t>
      </w:r>
      <w:r>
        <w:rPr>
          <w:rFonts w:hint="eastAsia" w:ascii="宋体" w:hAnsi="宋体"/>
          <w:color w:val="auto"/>
          <w:sz w:val="24"/>
          <w:highlight w:val="none"/>
          <w:u w:val="single"/>
        </w:rPr>
        <w:t xml:space="preserve">    无             </w:t>
      </w:r>
    </w:p>
    <w:p>
      <w:pPr>
        <w:spacing w:line="36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rPr>
        <w:t>2．涉密人员范围:</w:t>
      </w:r>
      <w:r>
        <w:rPr>
          <w:rFonts w:hint="eastAsia" w:ascii="宋体" w:hAnsi="宋体"/>
          <w:color w:val="auto"/>
          <w:sz w:val="24"/>
          <w:highlight w:val="none"/>
          <w:u w:val="single"/>
        </w:rPr>
        <w:t xml:space="preserve">        无                              </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3．保密期限：</w:t>
      </w:r>
      <w:r>
        <w:rPr>
          <w:rFonts w:hint="eastAsia" w:ascii="宋体" w:hAnsi="宋体"/>
          <w:color w:val="auto"/>
          <w:sz w:val="24"/>
          <w:highlight w:val="none"/>
          <w:u w:val="single"/>
        </w:rPr>
        <w:t xml:space="preserve">           无                              </w:t>
      </w:r>
    </w:p>
    <w:p>
      <w:pPr>
        <w:spacing w:line="36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rPr>
        <w:t>4．泄密责任：</w:t>
      </w:r>
      <w:r>
        <w:rPr>
          <w:rFonts w:hint="eastAsia" w:ascii="宋体" w:hAnsi="宋体"/>
          <w:color w:val="auto"/>
          <w:sz w:val="24"/>
          <w:highlight w:val="none"/>
          <w:u w:val="single"/>
        </w:rPr>
        <w:t xml:space="preserve">           无                              </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乙方：</w:t>
      </w:r>
    </w:p>
    <w:p>
      <w:pPr>
        <w:spacing w:line="36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rPr>
        <w:t xml:space="preserve">1．保密内容（包括技术信息和经营信息）: </w:t>
      </w:r>
      <w:r>
        <w:rPr>
          <w:rFonts w:hint="eastAsia" w:ascii="宋体" w:hAnsi="宋体"/>
          <w:color w:val="auto"/>
          <w:sz w:val="24"/>
          <w:highlight w:val="none"/>
          <w:u w:val="single"/>
        </w:rPr>
        <w:t xml:space="preserve">  调研、咨询资料及成果报告          </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 xml:space="preserve">2．涉密人员范围: </w:t>
      </w:r>
      <w:r>
        <w:rPr>
          <w:rFonts w:hint="eastAsia" w:ascii="宋体" w:hAnsi="宋体"/>
          <w:color w:val="auto"/>
          <w:sz w:val="24"/>
          <w:highlight w:val="none"/>
          <w:u w:val="single"/>
        </w:rPr>
        <w:t xml:space="preserve">乙方参与本项目的所有人员          </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3．保密期限：</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按甲方要求</w:t>
      </w:r>
      <w:r>
        <w:rPr>
          <w:rFonts w:hint="eastAsia" w:ascii="宋体" w:hAnsi="宋体"/>
          <w:color w:val="auto"/>
          <w:sz w:val="24"/>
          <w:highlight w:val="none"/>
          <w:u w:val="single"/>
        </w:rPr>
        <w:t xml:space="preserve">                           </w:t>
      </w:r>
    </w:p>
    <w:p>
      <w:pPr>
        <w:spacing w:line="36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rPr>
        <w:t>4．泄密责任：</w:t>
      </w:r>
      <w:r>
        <w:rPr>
          <w:rFonts w:hint="eastAsia" w:ascii="宋体" w:hAnsi="宋体"/>
          <w:color w:val="auto"/>
          <w:sz w:val="24"/>
          <w:highlight w:val="none"/>
          <w:u w:val="single"/>
        </w:rPr>
        <w:t xml:space="preserve"> 乙方应严守甲方的各项业务机密，禁止向甲方允许范围以外的任何人员或单位（含用户方工作人员、用户方其他项目组、维护服务单位其他项目组等）泄漏服务成果信息。如有违反上述情况，甲方有权向乙方追究其法律责任。</w:t>
      </w:r>
    </w:p>
    <w:p>
      <w:pPr>
        <w:spacing w:line="360" w:lineRule="auto"/>
        <w:rPr>
          <w:rFonts w:hint="eastAsia" w:ascii="宋体" w:hAnsi="宋体"/>
          <w:color w:val="auto"/>
          <w:sz w:val="24"/>
          <w:highlight w:val="none"/>
        </w:rPr>
      </w:pPr>
      <w:r>
        <w:rPr>
          <w:rFonts w:ascii="宋体" w:hAnsi="宋体"/>
          <w:color w:val="auto"/>
          <w:sz w:val="24"/>
          <w:highlight w:val="none"/>
        </w:rPr>
        <w:t xml:space="preserve">  </w:t>
      </w:r>
      <w:r>
        <w:rPr>
          <w:rFonts w:hint="eastAsia" w:ascii="黑体" w:hAnsi="黑体" w:eastAsia="黑体"/>
          <w:b/>
          <w:color w:val="auto"/>
          <w:sz w:val="24"/>
          <w:highlight w:val="none"/>
        </w:rPr>
        <w:t xml:space="preserve">第六条  </w:t>
      </w:r>
      <w:r>
        <w:rPr>
          <w:rFonts w:hint="eastAsia" w:ascii="宋体" w:hAnsi="宋体"/>
          <w:color w:val="auto"/>
          <w:sz w:val="24"/>
          <w:highlight w:val="none"/>
        </w:rPr>
        <w:t>本合同的变更必须由双方协商一致，并以</w:t>
      </w:r>
      <w:r>
        <w:rPr>
          <w:rFonts w:hint="eastAsia" w:ascii="宋体" w:hAnsi="宋体"/>
          <w:color w:val="auto"/>
          <w:sz w:val="24"/>
          <w:highlight w:val="none"/>
          <w:u w:val="single"/>
        </w:rPr>
        <w:t>书面形式</w:t>
      </w:r>
      <w:r>
        <w:rPr>
          <w:rFonts w:hint="eastAsia" w:ascii="宋体" w:hAnsi="宋体"/>
          <w:color w:val="auto"/>
          <w:sz w:val="24"/>
          <w:highlight w:val="none"/>
        </w:rPr>
        <w:t>确定。</w:t>
      </w:r>
    </w:p>
    <w:p>
      <w:pPr>
        <w:spacing w:line="360" w:lineRule="auto"/>
        <w:rPr>
          <w:rFonts w:hint="eastAsia" w:ascii="宋体" w:hAnsi="宋体"/>
          <w:color w:val="auto"/>
          <w:sz w:val="24"/>
          <w:highlight w:val="none"/>
        </w:rPr>
      </w:pPr>
      <w:r>
        <w:rPr>
          <w:rFonts w:hint="eastAsia" w:ascii="宋体" w:hAnsi="宋体"/>
          <w:color w:val="auto"/>
          <w:sz w:val="24"/>
          <w:highlight w:val="none"/>
        </w:rPr>
        <w:t>一方可以向另一方提出变更合同权利与义务的请求，另一方应当在</w:t>
      </w:r>
      <w:r>
        <w:rPr>
          <w:rFonts w:ascii="宋体" w:hAnsi="宋体"/>
          <w:color w:val="auto"/>
          <w:sz w:val="24"/>
          <w:highlight w:val="none"/>
          <w:u w:val="single"/>
        </w:rPr>
        <w:t xml:space="preserve"> </w:t>
      </w:r>
      <w:r>
        <w:rPr>
          <w:rFonts w:hint="eastAsia" w:ascii="宋体" w:hAnsi="宋体"/>
          <w:color w:val="auto"/>
          <w:sz w:val="24"/>
          <w:highlight w:val="none"/>
          <w:u w:val="single"/>
        </w:rPr>
        <w:t>7</w:t>
      </w:r>
      <w:r>
        <w:rPr>
          <w:rFonts w:ascii="宋体" w:hAnsi="宋体"/>
          <w:color w:val="auto"/>
          <w:sz w:val="24"/>
          <w:highlight w:val="none"/>
          <w:u w:val="single"/>
        </w:rPr>
        <w:t xml:space="preserve"> </w:t>
      </w:r>
      <w:r>
        <w:rPr>
          <w:rFonts w:hint="eastAsia" w:ascii="宋体" w:hAnsi="宋体"/>
          <w:color w:val="auto"/>
          <w:sz w:val="24"/>
          <w:highlight w:val="none"/>
        </w:rPr>
        <w:t>日内予以答复；逾期未予答复的，视为同意。</w:t>
      </w:r>
    </w:p>
    <w:p>
      <w:pPr>
        <w:spacing w:line="360" w:lineRule="auto"/>
        <w:ind w:firstLine="241" w:firstLineChars="100"/>
        <w:rPr>
          <w:rFonts w:hint="eastAsia" w:ascii="宋体" w:hAnsi="宋体"/>
          <w:color w:val="auto"/>
          <w:sz w:val="24"/>
          <w:highlight w:val="none"/>
        </w:rPr>
      </w:pPr>
      <w:r>
        <w:rPr>
          <w:rFonts w:hint="eastAsia" w:ascii="黑体" w:hAnsi="黑体" w:eastAsia="黑体"/>
          <w:b/>
          <w:color w:val="auto"/>
          <w:sz w:val="24"/>
          <w:highlight w:val="none"/>
        </w:rPr>
        <w:t xml:space="preserve">第七条  </w:t>
      </w:r>
      <w:r>
        <w:rPr>
          <w:rFonts w:hint="eastAsia" w:ascii="宋体" w:hAnsi="宋体"/>
          <w:color w:val="auto"/>
          <w:sz w:val="24"/>
          <w:highlight w:val="none"/>
        </w:rPr>
        <w:t>双方确定以下列方式对乙方的技术服务工作成果进行验收：</w:t>
      </w:r>
    </w:p>
    <w:p>
      <w:pPr>
        <w:autoSpaceDE w:val="0"/>
        <w:autoSpaceDN w:val="0"/>
        <w:adjustRightInd w:val="0"/>
        <w:snapToGrid w:val="0"/>
        <w:spacing w:line="360" w:lineRule="auto"/>
        <w:ind w:firstLine="480" w:firstLineChars="200"/>
        <w:textAlignment w:val="bottom"/>
        <w:rPr>
          <w:rFonts w:hint="default" w:ascii="宋体" w:hAnsi="宋体" w:eastAsia="宋体"/>
          <w:color w:val="auto"/>
          <w:sz w:val="24"/>
          <w:highlight w:val="none"/>
          <w:u w:val="single"/>
          <w:lang w:val="en-US" w:eastAsia="zh-CN"/>
        </w:rPr>
      </w:pPr>
      <w:r>
        <w:rPr>
          <w:rFonts w:hint="eastAsia" w:ascii="宋体" w:hAnsi="宋体"/>
          <w:color w:val="auto"/>
          <w:sz w:val="24"/>
          <w:highlight w:val="none"/>
        </w:rPr>
        <w:t>1、乙方提交技术咨询工作成果的形式</w:t>
      </w:r>
      <w:r>
        <w:rPr>
          <w:rFonts w:hint="eastAsia" w:ascii="宋体" w:hAnsi="宋体"/>
          <w:color w:val="auto"/>
          <w:sz w:val="24"/>
          <w:highlight w:val="none"/>
          <w:u w:val="single"/>
        </w:rPr>
        <w:t>：</w:t>
      </w:r>
      <w:r>
        <w:rPr>
          <w:rFonts w:hint="eastAsia" w:ascii="宋体" w:hAnsi="宋体"/>
          <w:color w:val="auto"/>
          <w:sz w:val="24"/>
          <w:highlight w:val="none"/>
          <w:u w:val="single"/>
          <w:lang w:val="en-US" w:eastAsia="zh-CN"/>
        </w:rPr>
        <w:t xml:space="preserve">             </w:t>
      </w:r>
    </w:p>
    <w:p>
      <w:pPr>
        <w:spacing w:line="360" w:lineRule="auto"/>
        <w:ind w:firstLine="240" w:firstLineChars="100"/>
        <w:rPr>
          <w:rFonts w:hint="eastAsia" w:ascii="宋体" w:hAnsi="宋体" w:eastAsia="宋体"/>
          <w:color w:val="auto"/>
          <w:sz w:val="24"/>
          <w:highlight w:val="none"/>
          <w:u w:val="single"/>
          <w:lang w:val="zh-CN"/>
        </w:rPr>
      </w:pPr>
      <w:r>
        <w:rPr>
          <w:rFonts w:hint="eastAsia" w:ascii="宋体" w:hAnsi="宋体" w:eastAsia="宋体"/>
          <w:color w:val="auto"/>
          <w:sz w:val="24"/>
          <w:highlight w:val="none"/>
          <w:u w:val="single"/>
          <w:lang w:val="en-US" w:eastAsia="zh-CN"/>
        </w:rPr>
        <w:t>(1)</w:t>
      </w:r>
      <w:r>
        <w:rPr>
          <w:rFonts w:hint="eastAsia" w:ascii="宋体" w:hAnsi="宋体" w:eastAsia="宋体"/>
          <w:color w:val="auto"/>
          <w:sz w:val="24"/>
          <w:highlight w:val="none"/>
          <w:u w:val="single"/>
          <w:lang w:val="zh-CN"/>
        </w:rPr>
        <w:t>嘉医运营现况分析报告（含嘉兴市及浙江省内情况）</w:t>
      </w:r>
    </w:p>
    <w:p>
      <w:pPr>
        <w:spacing w:line="360" w:lineRule="auto"/>
        <w:ind w:firstLine="240" w:firstLineChars="100"/>
        <w:rPr>
          <w:rFonts w:hint="eastAsia" w:ascii="宋体" w:hAnsi="宋体" w:eastAsia="宋体"/>
          <w:color w:val="auto"/>
          <w:sz w:val="24"/>
          <w:highlight w:val="none"/>
          <w:u w:val="single"/>
          <w:lang w:val="en-US" w:eastAsia="zh-CN"/>
        </w:rPr>
      </w:pPr>
      <w:r>
        <w:rPr>
          <w:rFonts w:hint="eastAsia" w:ascii="宋体" w:hAnsi="宋体" w:eastAsia="宋体"/>
          <w:color w:val="auto"/>
          <w:sz w:val="24"/>
          <w:highlight w:val="none"/>
          <w:u w:val="single"/>
          <w:lang w:val="en-US" w:eastAsia="zh-CN"/>
        </w:rPr>
        <w:t>(2)各科室调研核心记录会议纪要</w:t>
      </w:r>
    </w:p>
    <w:p>
      <w:pPr>
        <w:spacing w:line="360" w:lineRule="auto"/>
        <w:ind w:firstLine="240" w:firstLineChars="100"/>
        <w:rPr>
          <w:rFonts w:hint="eastAsia" w:ascii="宋体" w:hAnsi="宋体" w:eastAsia="宋体"/>
          <w:color w:val="auto"/>
          <w:sz w:val="24"/>
          <w:highlight w:val="none"/>
          <w:u w:val="single"/>
          <w:lang w:val="zh-CN" w:eastAsia="zh-CN"/>
        </w:rPr>
      </w:pPr>
      <w:r>
        <w:rPr>
          <w:rFonts w:hint="eastAsia" w:ascii="宋体" w:hAnsi="宋体"/>
          <w:color w:val="auto"/>
          <w:sz w:val="24"/>
          <w:highlight w:val="none"/>
          <w:u w:val="single"/>
          <w:lang w:val="en-US" w:eastAsia="zh-CN"/>
        </w:rPr>
        <w:t>(</w:t>
      </w:r>
      <w:r>
        <w:rPr>
          <w:rFonts w:hint="eastAsia" w:ascii="宋体" w:hAnsi="宋体" w:eastAsia="宋体"/>
          <w:color w:val="auto"/>
          <w:sz w:val="24"/>
          <w:highlight w:val="none"/>
          <w:u w:val="single"/>
          <w:lang w:val="en-US" w:eastAsia="zh-CN"/>
        </w:rPr>
        <w:t>3</w:t>
      </w:r>
      <w:r>
        <w:rPr>
          <w:rFonts w:hint="eastAsia" w:ascii="宋体" w:hAnsi="宋体"/>
          <w:color w:val="auto"/>
          <w:sz w:val="24"/>
          <w:highlight w:val="none"/>
          <w:u w:val="single"/>
          <w:lang w:val="en-US" w:eastAsia="zh-CN"/>
        </w:rPr>
        <w:t>)</w:t>
      </w:r>
      <w:r>
        <w:rPr>
          <w:rFonts w:hint="eastAsia" w:ascii="宋体" w:hAnsi="宋体" w:eastAsia="宋体"/>
          <w:color w:val="auto"/>
          <w:sz w:val="24"/>
          <w:highlight w:val="none"/>
          <w:u w:val="single"/>
          <w:lang w:val="en-US" w:eastAsia="zh-CN"/>
        </w:rPr>
        <w:t>核心专科（不少于10个）分析报告</w:t>
      </w:r>
    </w:p>
    <w:p>
      <w:pPr>
        <w:spacing w:line="360" w:lineRule="auto"/>
        <w:ind w:firstLine="240" w:firstLineChars="100"/>
        <w:rPr>
          <w:rFonts w:hint="eastAsia" w:ascii="宋体" w:hAnsi="宋体" w:eastAsia="宋体"/>
          <w:color w:val="auto"/>
          <w:sz w:val="24"/>
          <w:highlight w:val="none"/>
          <w:u w:val="single"/>
          <w:lang w:val="zh-CN"/>
        </w:rPr>
      </w:pPr>
      <w:r>
        <w:rPr>
          <w:rFonts w:hint="eastAsia" w:ascii="宋体" w:hAnsi="宋体" w:eastAsia="宋体"/>
          <w:color w:val="auto"/>
          <w:sz w:val="24"/>
          <w:highlight w:val="none"/>
          <w:u w:val="single"/>
          <w:lang w:val="en-US" w:eastAsia="zh-CN"/>
        </w:rPr>
        <w:t>(</w:t>
      </w:r>
      <w:r>
        <w:rPr>
          <w:rFonts w:hint="eastAsia" w:ascii="宋体" w:hAnsi="宋体"/>
          <w:color w:val="auto"/>
          <w:sz w:val="24"/>
          <w:highlight w:val="none"/>
          <w:u w:val="single"/>
          <w:lang w:val="en-US" w:eastAsia="zh-CN"/>
        </w:rPr>
        <w:t>4</w:t>
      </w:r>
      <w:r>
        <w:rPr>
          <w:rFonts w:hint="eastAsia" w:ascii="宋体" w:hAnsi="宋体" w:eastAsia="宋体"/>
          <w:color w:val="auto"/>
          <w:sz w:val="24"/>
          <w:highlight w:val="none"/>
          <w:u w:val="single"/>
          <w:lang w:val="en-US" w:eastAsia="zh-CN"/>
        </w:rPr>
        <w:t>)嘉兴市第一医院</w:t>
      </w:r>
      <w:r>
        <w:rPr>
          <w:rFonts w:hint="eastAsia" w:ascii="宋体" w:hAnsi="宋体" w:eastAsia="宋体"/>
          <w:color w:val="auto"/>
          <w:sz w:val="24"/>
          <w:highlight w:val="none"/>
          <w:u w:val="single"/>
          <w:lang w:val="zh-CN"/>
        </w:rPr>
        <w:t>战略发展定位分析报告</w:t>
      </w:r>
    </w:p>
    <w:p>
      <w:pPr>
        <w:spacing w:line="360" w:lineRule="auto"/>
        <w:ind w:firstLine="240" w:firstLineChars="100"/>
        <w:rPr>
          <w:rFonts w:hint="eastAsia" w:ascii="宋体" w:hAnsi="宋体" w:eastAsia="宋体"/>
          <w:color w:val="auto"/>
          <w:sz w:val="24"/>
          <w:highlight w:val="none"/>
          <w:u w:val="single"/>
          <w:lang w:val="zh-CN"/>
        </w:rPr>
      </w:pPr>
      <w:r>
        <w:rPr>
          <w:rFonts w:hint="eastAsia" w:ascii="宋体" w:hAnsi="宋体" w:eastAsia="宋体"/>
          <w:color w:val="auto"/>
          <w:sz w:val="24"/>
          <w:highlight w:val="none"/>
          <w:u w:val="single"/>
          <w:lang w:val="en-US" w:eastAsia="zh-CN"/>
        </w:rPr>
        <w:t>(</w:t>
      </w:r>
      <w:r>
        <w:rPr>
          <w:rFonts w:hint="eastAsia" w:ascii="宋体" w:hAnsi="宋体"/>
          <w:color w:val="auto"/>
          <w:sz w:val="24"/>
          <w:highlight w:val="none"/>
          <w:u w:val="single"/>
          <w:lang w:val="en-US" w:eastAsia="zh-CN"/>
        </w:rPr>
        <w:t>5</w:t>
      </w:r>
      <w:r>
        <w:rPr>
          <w:rFonts w:hint="eastAsia" w:ascii="宋体" w:hAnsi="宋体" w:eastAsia="宋体"/>
          <w:color w:val="auto"/>
          <w:sz w:val="24"/>
          <w:highlight w:val="none"/>
          <w:u w:val="single"/>
          <w:lang w:val="en-US" w:eastAsia="zh-CN"/>
        </w:rPr>
        <w:t>)</w:t>
      </w:r>
      <w:r>
        <w:rPr>
          <w:rFonts w:hint="eastAsia" w:ascii="宋体" w:hAnsi="宋体" w:eastAsia="宋体"/>
          <w:color w:val="auto"/>
          <w:sz w:val="24"/>
          <w:highlight w:val="none"/>
          <w:u w:val="single"/>
          <w:lang w:val="zh-CN"/>
        </w:rPr>
        <w:t>医院发展共识会筹办与宣讲</w:t>
      </w:r>
    </w:p>
    <w:p>
      <w:pPr>
        <w:spacing w:line="360" w:lineRule="auto"/>
        <w:ind w:firstLine="240" w:firstLineChars="100"/>
        <w:rPr>
          <w:rFonts w:hint="eastAsia" w:ascii="宋体" w:hAnsi="宋体" w:eastAsia="宋体"/>
          <w:color w:val="auto"/>
          <w:sz w:val="24"/>
          <w:highlight w:val="none"/>
          <w:u w:val="single"/>
          <w:lang w:val="zh-CN"/>
        </w:rPr>
      </w:pPr>
      <w:r>
        <w:rPr>
          <w:rFonts w:hint="eastAsia" w:ascii="宋体" w:hAnsi="宋体" w:eastAsia="宋体"/>
          <w:color w:val="auto"/>
          <w:sz w:val="24"/>
          <w:highlight w:val="none"/>
          <w:u w:val="single"/>
          <w:lang w:val="en-US" w:eastAsia="zh-CN"/>
        </w:rPr>
        <w:t>(</w:t>
      </w:r>
      <w:r>
        <w:rPr>
          <w:rFonts w:hint="eastAsia" w:ascii="宋体" w:hAnsi="宋体"/>
          <w:color w:val="auto"/>
          <w:sz w:val="24"/>
          <w:highlight w:val="none"/>
          <w:u w:val="single"/>
          <w:lang w:val="en-US" w:eastAsia="zh-CN"/>
        </w:rPr>
        <w:t>6</w:t>
      </w:r>
      <w:r>
        <w:rPr>
          <w:rFonts w:hint="eastAsia" w:ascii="宋体" w:hAnsi="宋体" w:eastAsia="宋体"/>
          <w:color w:val="auto"/>
          <w:sz w:val="24"/>
          <w:highlight w:val="none"/>
          <w:u w:val="single"/>
          <w:lang w:val="en-US" w:eastAsia="zh-CN"/>
        </w:rPr>
        <w:t>)</w:t>
      </w:r>
      <w:r>
        <w:rPr>
          <w:rFonts w:hint="eastAsia" w:ascii="宋体" w:hAnsi="宋体" w:eastAsia="宋体"/>
          <w:color w:val="auto"/>
          <w:sz w:val="24"/>
          <w:highlight w:val="none"/>
          <w:u w:val="single"/>
          <w:lang w:val="zh-CN"/>
        </w:rPr>
        <w:t>新任中层骨干（科主任）经营管理培训</w:t>
      </w:r>
    </w:p>
    <w:p>
      <w:pPr>
        <w:spacing w:line="360" w:lineRule="auto"/>
        <w:ind w:firstLine="240" w:firstLineChars="100"/>
        <w:rPr>
          <w:rFonts w:hint="eastAsia" w:ascii="宋体" w:hAnsi="宋体" w:eastAsia="宋体"/>
          <w:color w:val="auto"/>
          <w:sz w:val="24"/>
          <w:highlight w:val="none"/>
          <w:u w:val="single"/>
          <w:lang w:val="zh-CN"/>
        </w:rPr>
      </w:pPr>
      <w:r>
        <w:rPr>
          <w:rFonts w:hint="eastAsia" w:ascii="宋体" w:hAnsi="宋体" w:eastAsia="宋体"/>
          <w:color w:val="auto"/>
          <w:sz w:val="24"/>
          <w:highlight w:val="none"/>
          <w:u w:val="single"/>
          <w:lang w:val="en-US" w:eastAsia="zh-CN"/>
        </w:rPr>
        <w:t>(</w:t>
      </w:r>
      <w:r>
        <w:rPr>
          <w:rFonts w:hint="eastAsia" w:ascii="宋体" w:hAnsi="宋体"/>
          <w:color w:val="auto"/>
          <w:sz w:val="24"/>
          <w:highlight w:val="none"/>
          <w:u w:val="single"/>
          <w:lang w:val="en-US" w:eastAsia="zh-CN"/>
        </w:rPr>
        <w:t>7</w:t>
      </w:r>
      <w:r>
        <w:rPr>
          <w:rFonts w:hint="eastAsia" w:ascii="宋体" w:hAnsi="宋体" w:eastAsia="宋体"/>
          <w:color w:val="auto"/>
          <w:sz w:val="24"/>
          <w:highlight w:val="none"/>
          <w:u w:val="single"/>
          <w:lang w:val="en-US" w:eastAsia="zh-CN"/>
        </w:rPr>
        <w:t>)</w:t>
      </w:r>
      <w:r>
        <w:rPr>
          <w:rFonts w:hint="eastAsia" w:ascii="宋体" w:hAnsi="宋体" w:eastAsia="宋体"/>
          <w:color w:val="auto"/>
          <w:sz w:val="24"/>
          <w:highlight w:val="none"/>
          <w:u w:val="single"/>
          <w:lang w:val="zh-CN"/>
        </w:rPr>
        <w:t>科室经营管理试点科室全程辅导</w:t>
      </w:r>
      <w:r>
        <w:rPr>
          <w:rFonts w:hint="eastAsia" w:ascii="宋体" w:hAnsi="宋体" w:eastAsia="宋体"/>
          <w:color w:val="auto"/>
          <w:sz w:val="24"/>
          <w:highlight w:val="none"/>
          <w:u w:val="single"/>
          <w:lang w:val="zh-CN" w:eastAsia="zh-CN"/>
        </w:rPr>
        <w:t>（</w:t>
      </w:r>
      <w:r>
        <w:rPr>
          <w:rFonts w:hint="eastAsia" w:ascii="宋体" w:hAnsi="宋体" w:eastAsia="宋体"/>
          <w:color w:val="auto"/>
          <w:sz w:val="24"/>
          <w:highlight w:val="none"/>
          <w:u w:val="single"/>
          <w:lang w:val="en-US" w:eastAsia="zh-CN"/>
        </w:rPr>
        <w:t>不少于 6个</w:t>
      </w:r>
      <w:r>
        <w:rPr>
          <w:rFonts w:hint="eastAsia" w:ascii="宋体" w:hAnsi="宋体" w:eastAsia="宋体"/>
          <w:color w:val="auto"/>
          <w:sz w:val="24"/>
          <w:highlight w:val="none"/>
          <w:u w:val="single"/>
          <w:lang w:val="zh-CN" w:eastAsia="zh-CN"/>
        </w:rPr>
        <w:t>）</w:t>
      </w:r>
    </w:p>
    <w:p>
      <w:pPr>
        <w:spacing w:line="360" w:lineRule="auto"/>
        <w:ind w:firstLine="240" w:firstLineChars="100"/>
        <w:rPr>
          <w:rFonts w:hint="eastAsia" w:ascii="宋体" w:hAnsi="宋体" w:eastAsia="宋体"/>
          <w:color w:val="auto"/>
          <w:sz w:val="24"/>
          <w:highlight w:val="none"/>
          <w:u w:val="single"/>
          <w:lang w:val="zh-CN"/>
        </w:rPr>
      </w:pPr>
      <w:r>
        <w:rPr>
          <w:rFonts w:hint="eastAsia" w:ascii="宋体" w:hAnsi="宋体" w:eastAsia="宋体"/>
          <w:color w:val="auto"/>
          <w:sz w:val="24"/>
          <w:highlight w:val="none"/>
          <w:u w:val="single"/>
          <w:lang w:val="en-US" w:eastAsia="zh-CN"/>
        </w:rPr>
        <w:t>(</w:t>
      </w:r>
      <w:r>
        <w:rPr>
          <w:rFonts w:hint="eastAsia" w:ascii="宋体" w:hAnsi="宋体"/>
          <w:color w:val="auto"/>
          <w:sz w:val="24"/>
          <w:highlight w:val="none"/>
          <w:u w:val="single"/>
          <w:lang w:val="en-US" w:eastAsia="zh-CN"/>
        </w:rPr>
        <w:t>8</w:t>
      </w:r>
      <w:r>
        <w:rPr>
          <w:rFonts w:hint="eastAsia" w:ascii="宋体" w:hAnsi="宋体" w:eastAsia="宋体"/>
          <w:color w:val="auto"/>
          <w:sz w:val="24"/>
          <w:highlight w:val="none"/>
          <w:u w:val="single"/>
          <w:lang w:val="en-US" w:eastAsia="zh-CN"/>
        </w:rPr>
        <w:t>)</w:t>
      </w:r>
      <w:r>
        <w:rPr>
          <w:rFonts w:hint="eastAsia" w:ascii="宋体" w:hAnsi="宋体" w:eastAsia="宋体"/>
          <w:color w:val="auto"/>
          <w:sz w:val="24"/>
          <w:highlight w:val="none"/>
          <w:u w:val="single"/>
          <w:lang w:val="zh-CN"/>
        </w:rPr>
        <w:t>院级运营干事遴选与赋能培训</w:t>
      </w:r>
    </w:p>
    <w:p>
      <w:pPr>
        <w:spacing w:line="360" w:lineRule="auto"/>
        <w:ind w:firstLine="240" w:firstLineChars="100"/>
        <w:rPr>
          <w:rFonts w:hint="eastAsia" w:ascii="宋体" w:hAnsi="宋体" w:eastAsia="宋体"/>
          <w:color w:val="auto"/>
          <w:sz w:val="24"/>
          <w:highlight w:val="none"/>
          <w:u w:val="single"/>
          <w:lang w:val="zh-CN"/>
        </w:rPr>
      </w:pPr>
      <w:r>
        <w:rPr>
          <w:rFonts w:hint="eastAsia" w:ascii="宋体" w:hAnsi="宋体" w:eastAsia="宋体"/>
          <w:color w:val="auto"/>
          <w:sz w:val="24"/>
          <w:highlight w:val="none"/>
          <w:u w:val="single"/>
          <w:lang w:val="en-US" w:eastAsia="zh-CN"/>
        </w:rPr>
        <w:t>(</w:t>
      </w:r>
      <w:r>
        <w:rPr>
          <w:rFonts w:hint="eastAsia" w:ascii="宋体" w:hAnsi="宋体"/>
          <w:color w:val="auto"/>
          <w:sz w:val="24"/>
          <w:highlight w:val="none"/>
          <w:u w:val="single"/>
          <w:lang w:val="en-US" w:eastAsia="zh-CN"/>
        </w:rPr>
        <w:t>9</w:t>
      </w:r>
      <w:r>
        <w:rPr>
          <w:rFonts w:hint="eastAsia" w:ascii="宋体" w:hAnsi="宋体" w:eastAsia="宋体"/>
          <w:color w:val="auto"/>
          <w:sz w:val="24"/>
          <w:highlight w:val="none"/>
          <w:u w:val="single"/>
          <w:lang w:val="en-US" w:eastAsia="zh-CN"/>
        </w:rPr>
        <w:t>)</w:t>
      </w:r>
      <w:r>
        <w:rPr>
          <w:rFonts w:hint="eastAsia" w:ascii="宋体" w:hAnsi="宋体" w:eastAsia="宋体"/>
          <w:color w:val="auto"/>
          <w:sz w:val="24"/>
          <w:highlight w:val="none"/>
          <w:u w:val="single"/>
          <w:lang w:val="zh-CN"/>
        </w:rPr>
        <w:t>绩效国考全国标杆医院对标分析报告</w:t>
      </w:r>
    </w:p>
    <w:p>
      <w:pPr>
        <w:spacing w:line="360" w:lineRule="auto"/>
        <w:ind w:firstLine="240" w:firstLineChars="100"/>
        <w:rPr>
          <w:rFonts w:hint="eastAsia" w:ascii="宋体" w:hAnsi="宋体" w:eastAsia="宋体"/>
          <w:color w:val="auto"/>
          <w:sz w:val="24"/>
          <w:highlight w:val="none"/>
          <w:u w:val="single"/>
          <w:lang w:val="en-US" w:eastAsia="zh-CN"/>
        </w:rPr>
      </w:pPr>
      <w:r>
        <w:rPr>
          <w:rFonts w:hint="eastAsia" w:ascii="宋体" w:hAnsi="宋体" w:eastAsia="宋体"/>
          <w:color w:val="auto"/>
          <w:sz w:val="24"/>
          <w:highlight w:val="none"/>
          <w:u w:val="single"/>
          <w:lang w:val="en-US" w:eastAsia="zh-CN"/>
        </w:rPr>
        <w:t>(</w:t>
      </w:r>
      <w:r>
        <w:rPr>
          <w:rFonts w:hint="eastAsia" w:ascii="宋体" w:hAnsi="宋体"/>
          <w:color w:val="auto"/>
          <w:sz w:val="24"/>
          <w:highlight w:val="none"/>
          <w:u w:val="single"/>
          <w:lang w:val="en-US" w:eastAsia="zh-CN"/>
        </w:rPr>
        <w:t>10</w:t>
      </w:r>
      <w:r>
        <w:rPr>
          <w:rFonts w:hint="eastAsia" w:ascii="宋体" w:hAnsi="宋体" w:eastAsia="宋体"/>
          <w:color w:val="auto"/>
          <w:sz w:val="24"/>
          <w:highlight w:val="none"/>
          <w:u w:val="single"/>
          <w:lang w:val="en-US" w:eastAsia="zh-CN"/>
        </w:rPr>
        <w:t>)甲方要求的其它资料</w:t>
      </w:r>
    </w:p>
    <w:p>
      <w:pPr>
        <w:rPr>
          <w:rFonts w:hint="default"/>
          <w:color w:val="auto"/>
          <w:highlight w:val="none"/>
          <w:lang w:val="en-US" w:eastAsia="zh-CN"/>
        </w:rPr>
      </w:pPr>
    </w:p>
    <w:p>
      <w:pPr>
        <w:spacing w:line="360" w:lineRule="auto"/>
        <w:ind w:firstLine="240" w:firstLineChars="100"/>
        <w:rPr>
          <w:rFonts w:hint="eastAsia" w:ascii="宋体" w:hAnsi="宋体"/>
          <w:color w:val="auto"/>
          <w:sz w:val="24"/>
          <w:highlight w:val="none"/>
          <w:u w:val="single"/>
        </w:rPr>
      </w:pPr>
      <w:r>
        <w:rPr>
          <w:rFonts w:hint="eastAsia" w:ascii="宋体" w:hAnsi="宋体"/>
          <w:color w:val="auto"/>
          <w:sz w:val="24"/>
          <w:highlight w:val="none"/>
        </w:rPr>
        <w:t>2、技术咨询工作成果的验收方法：</w:t>
      </w:r>
      <w:r>
        <w:rPr>
          <w:rFonts w:hint="eastAsia" w:ascii="宋体" w:hAnsi="宋体"/>
          <w:color w:val="auto"/>
          <w:sz w:val="24"/>
          <w:highlight w:val="none"/>
          <w:u w:val="single"/>
        </w:rPr>
        <w:t>由甲方组织验收 。</w:t>
      </w:r>
    </w:p>
    <w:p>
      <w:pPr>
        <w:spacing w:line="360" w:lineRule="auto"/>
        <w:ind w:firstLine="240" w:firstLineChars="100"/>
        <w:rPr>
          <w:rFonts w:hint="eastAsia" w:ascii="宋体" w:hAnsi="宋体"/>
          <w:color w:val="auto"/>
          <w:sz w:val="24"/>
          <w:highlight w:val="none"/>
        </w:rPr>
      </w:pPr>
      <w:r>
        <w:rPr>
          <w:rFonts w:hint="eastAsia" w:ascii="宋体" w:hAnsi="宋体"/>
          <w:color w:val="auto"/>
          <w:sz w:val="24"/>
          <w:highlight w:val="none"/>
        </w:rPr>
        <w:t>3、验收的时间和地点：</w:t>
      </w:r>
      <w:r>
        <w:rPr>
          <w:rFonts w:hint="eastAsia" w:ascii="宋体" w:hAnsi="宋体"/>
          <w:color w:val="auto"/>
          <w:sz w:val="24"/>
          <w:highlight w:val="none"/>
          <w:u w:val="single"/>
        </w:rPr>
        <w:t xml:space="preserve"> 由甲方确定。</w:t>
      </w:r>
    </w:p>
    <w:p>
      <w:pPr>
        <w:spacing w:line="360" w:lineRule="auto"/>
        <w:rPr>
          <w:rFonts w:hint="eastAsia" w:ascii="宋体" w:hAnsi="宋体"/>
          <w:color w:val="auto"/>
          <w:sz w:val="24"/>
          <w:highlight w:val="none"/>
        </w:rPr>
      </w:pPr>
      <w:r>
        <w:rPr>
          <w:rFonts w:ascii="黑体" w:hAnsi="黑体" w:eastAsia="黑体"/>
          <w:b/>
          <w:color w:val="auto"/>
          <w:sz w:val="24"/>
          <w:highlight w:val="none"/>
        </w:rPr>
        <w:t xml:space="preserve">   </w:t>
      </w:r>
      <w:r>
        <w:rPr>
          <w:rFonts w:hint="eastAsia" w:ascii="黑体" w:hAnsi="黑体" w:eastAsia="黑体"/>
          <w:b/>
          <w:color w:val="auto"/>
          <w:sz w:val="24"/>
          <w:highlight w:val="none"/>
        </w:rPr>
        <w:t>第八条</w:t>
      </w:r>
      <w:r>
        <w:rPr>
          <w:rFonts w:hint="eastAsia" w:ascii="宋体" w:hAnsi="宋体"/>
          <w:color w:val="auto"/>
          <w:sz w:val="24"/>
          <w:highlight w:val="none"/>
        </w:rPr>
        <w:t xml:space="preserve"> 双方确定：</w:t>
      </w:r>
    </w:p>
    <w:p>
      <w:pPr>
        <w:spacing w:line="360" w:lineRule="auto"/>
        <w:rPr>
          <w:rFonts w:hint="eastAsia" w:ascii="宋体" w:hAns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 xml:space="preserve"> </w:t>
      </w:r>
      <w:r>
        <w:rPr>
          <w:rFonts w:ascii="宋体" w:hAnsi="宋体"/>
          <w:color w:val="auto"/>
          <w:sz w:val="24"/>
          <w:highlight w:val="none"/>
        </w:rPr>
        <w:t>1</w:t>
      </w:r>
      <w:r>
        <w:rPr>
          <w:rFonts w:hint="eastAsia" w:ascii="宋体" w:hAnsi="宋体"/>
          <w:color w:val="auto"/>
          <w:sz w:val="24"/>
          <w:highlight w:val="none"/>
        </w:rPr>
        <w:t>、在本合同有效期内，甲方利用乙方提交的技术服务工作成果所完成的新的技术成果，归</w:t>
      </w:r>
      <w:r>
        <w:rPr>
          <w:rFonts w:hint="eastAsia" w:ascii="宋体" w:hAnsi="宋体"/>
          <w:color w:val="auto"/>
          <w:sz w:val="24"/>
          <w:highlight w:val="none"/>
          <w:u w:val="single"/>
        </w:rPr>
        <w:t xml:space="preserve"> 甲 </w:t>
      </w:r>
      <w:r>
        <w:rPr>
          <w:rFonts w:hint="eastAsia" w:ascii="宋体" w:hAnsi="宋体"/>
          <w:color w:val="auto"/>
          <w:sz w:val="24"/>
          <w:highlight w:val="none"/>
        </w:rPr>
        <w:t>（甲、双）方所有。</w:t>
      </w:r>
    </w:p>
    <w:p>
      <w:pPr>
        <w:spacing w:line="360" w:lineRule="auto"/>
        <w:ind w:firstLine="360" w:firstLineChars="150"/>
        <w:rPr>
          <w:rFonts w:hint="eastAsia"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、在本合同有效期内，乙方利用甲方提供的技术资料和工作条件所完成的新的技术成果，归</w:t>
      </w:r>
      <w:r>
        <w:rPr>
          <w:rFonts w:ascii="宋体" w:hAnsi="宋体"/>
          <w:color w:val="auto"/>
          <w:sz w:val="24"/>
          <w:highlight w:val="none"/>
          <w:u w:val="single"/>
        </w:rPr>
        <w:t xml:space="preserve"> </w:t>
      </w:r>
      <w:r>
        <w:rPr>
          <w:rFonts w:hint="eastAsia" w:ascii="宋体" w:hAnsi="宋体"/>
          <w:color w:val="auto"/>
          <w:sz w:val="24"/>
          <w:highlight w:val="none"/>
          <w:u w:val="single"/>
        </w:rPr>
        <w:t>甲</w:t>
      </w:r>
      <w:r>
        <w:rPr>
          <w:rFonts w:ascii="宋体" w:hAnsi="宋体"/>
          <w:color w:val="auto"/>
          <w:sz w:val="24"/>
          <w:highlight w:val="none"/>
          <w:u w:val="single"/>
        </w:rPr>
        <w:t xml:space="preserve"> </w:t>
      </w:r>
      <w:r>
        <w:rPr>
          <w:rFonts w:hint="eastAsia" w:ascii="宋体" w:hAnsi="宋体"/>
          <w:color w:val="auto"/>
          <w:sz w:val="24"/>
          <w:highlight w:val="none"/>
        </w:rPr>
        <w:t>（乙、双）方所有。</w:t>
      </w:r>
    </w:p>
    <w:p>
      <w:pPr>
        <w:spacing w:line="360" w:lineRule="auto"/>
        <w:rPr>
          <w:rFonts w:hint="eastAsia" w:ascii="宋体" w:hAnsi="宋体"/>
          <w:color w:val="auto"/>
          <w:spacing w:val="6"/>
          <w:sz w:val="24"/>
          <w:highlight w:val="none"/>
        </w:rPr>
      </w:pPr>
      <w:r>
        <w:rPr>
          <w:rFonts w:ascii="宋体" w:hAnsi="宋体"/>
          <w:color w:val="auto"/>
          <w:sz w:val="24"/>
          <w:highlight w:val="none"/>
        </w:rPr>
        <w:t xml:space="preserve">   </w:t>
      </w:r>
      <w:r>
        <w:rPr>
          <w:rFonts w:hint="eastAsia" w:ascii="宋体" w:hAnsi="宋体"/>
          <w:b/>
          <w:color w:val="auto"/>
          <w:sz w:val="24"/>
          <w:highlight w:val="none"/>
        </w:rPr>
        <w:t xml:space="preserve">第九条 </w:t>
      </w:r>
      <w:r>
        <w:rPr>
          <w:rFonts w:hint="eastAsia" w:ascii="宋体" w:hAnsi="宋体"/>
          <w:color w:val="auto"/>
          <w:sz w:val="24"/>
          <w:highlight w:val="none"/>
        </w:rPr>
        <w:t xml:space="preserve"> </w:t>
      </w:r>
      <w:r>
        <w:rPr>
          <w:rFonts w:hint="eastAsia" w:ascii="宋体" w:hAnsi="宋体"/>
          <w:color w:val="auto"/>
          <w:spacing w:val="6"/>
          <w:sz w:val="24"/>
          <w:highlight w:val="none"/>
        </w:rPr>
        <w:t>双方确定，按以下约定承担各自的违约责任：</w:t>
      </w:r>
    </w:p>
    <w:p>
      <w:pPr>
        <w:spacing w:line="360" w:lineRule="auto"/>
        <w:ind w:firstLine="525"/>
        <w:rPr>
          <w:rFonts w:hint="eastAsia" w:ascii="宋体" w:hAnsi="宋体" w:eastAsia="宋体"/>
          <w:color w:val="auto"/>
          <w:spacing w:val="6"/>
          <w:sz w:val="24"/>
          <w:highlight w:val="none"/>
          <w:u w:val="single"/>
        </w:rPr>
      </w:pPr>
      <w:r>
        <w:rPr>
          <w:rFonts w:hint="eastAsia" w:ascii="宋体" w:hAnsi="宋体" w:eastAsia="宋体"/>
          <w:color w:val="auto"/>
          <w:spacing w:val="6"/>
          <w:sz w:val="24"/>
          <w:highlight w:val="none"/>
          <w:u w:val="single"/>
        </w:rPr>
        <w:t>1</w:t>
      </w:r>
      <w:r>
        <w:rPr>
          <w:rFonts w:hint="eastAsia" w:ascii="宋体" w:hAnsi="宋体" w:eastAsia="宋体"/>
          <w:color w:val="auto"/>
          <w:spacing w:val="6"/>
          <w:sz w:val="24"/>
          <w:highlight w:val="none"/>
          <w:u w:val="single"/>
          <w:lang w:eastAsia="zh-CN"/>
        </w:rPr>
        <w:t>.</w:t>
      </w:r>
      <w:r>
        <w:rPr>
          <w:rFonts w:hint="eastAsia" w:ascii="宋体" w:hAnsi="宋体" w:eastAsia="宋体"/>
          <w:color w:val="auto"/>
          <w:spacing w:val="6"/>
          <w:sz w:val="24"/>
          <w:highlight w:val="none"/>
          <w:u w:val="single"/>
        </w:rPr>
        <w:t>如果乙方违反本合同的约定未能履行相关的合同义务，应当支付合同总金额10%的违约金，并继续履行本合同。</w:t>
      </w:r>
    </w:p>
    <w:p>
      <w:pPr>
        <w:spacing w:line="360" w:lineRule="auto"/>
        <w:ind w:firstLine="525"/>
        <w:rPr>
          <w:rFonts w:hint="eastAsia" w:ascii="宋体" w:hAnsi="宋体" w:eastAsia="宋体"/>
          <w:color w:val="auto"/>
          <w:spacing w:val="6"/>
          <w:sz w:val="24"/>
          <w:highlight w:val="none"/>
          <w:u w:val="single"/>
        </w:rPr>
      </w:pPr>
      <w:r>
        <w:rPr>
          <w:rFonts w:hint="eastAsia" w:ascii="宋体" w:hAnsi="宋体" w:eastAsia="宋体"/>
          <w:color w:val="auto"/>
          <w:spacing w:val="6"/>
          <w:sz w:val="24"/>
          <w:highlight w:val="none"/>
          <w:u w:val="single"/>
        </w:rPr>
        <w:t>2</w:t>
      </w:r>
      <w:r>
        <w:rPr>
          <w:rFonts w:hint="eastAsia" w:ascii="宋体" w:hAnsi="宋体" w:eastAsia="宋体"/>
          <w:color w:val="auto"/>
          <w:spacing w:val="6"/>
          <w:sz w:val="24"/>
          <w:highlight w:val="none"/>
          <w:u w:val="single"/>
          <w:lang w:eastAsia="zh-CN"/>
        </w:rPr>
        <w:t>.</w:t>
      </w:r>
      <w:r>
        <w:rPr>
          <w:rFonts w:hint="eastAsia" w:ascii="宋体" w:hAnsi="宋体" w:eastAsia="宋体"/>
          <w:color w:val="auto"/>
          <w:spacing w:val="6"/>
          <w:sz w:val="24"/>
          <w:highlight w:val="none"/>
          <w:u w:val="single"/>
        </w:rPr>
        <w:t>如果乙方延期交付工作成果的，则甲方可在未付余款中按每日千分之三计算违约金。乙方延期超过30日的，甲方有权终止合同，乙方需退回已收取款项，并向甲方支付合同总价款20%的违约金。</w:t>
      </w:r>
    </w:p>
    <w:p>
      <w:pPr>
        <w:spacing w:line="360" w:lineRule="auto"/>
        <w:ind w:firstLine="525"/>
        <w:rPr>
          <w:rFonts w:hint="eastAsia" w:ascii="宋体" w:hAnsi="宋体" w:eastAsia="宋体"/>
          <w:color w:val="auto"/>
          <w:spacing w:val="6"/>
          <w:sz w:val="24"/>
          <w:highlight w:val="none"/>
          <w:u w:val="single"/>
        </w:rPr>
      </w:pPr>
      <w:r>
        <w:rPr>
          <w:rFonts w:hint="eastAsia" w:ascii="宋体" w:hAnsi="宋体" w:eastAsia="宋体"/>
          <w:color w:val="auto"/>
          <w:spacing w:val="6"/>
          <w:sz w:val="24"/>
          <w:highlight w:val="none"/>
          <w:u w:val="single"/>
          <w:lang w:val="en-US" w:eastAsia="zh-CN"/>
        </w:rPr>
        <w:t>3.</w:t>
      </w:r>
      <w:r>
        <w:rPr>
          <w:rFonts w:hint="eastAsia" w:ascii="宋体" w:hAnsi="宋体" w:eastAsia="宋体"/>
          <w:color w:val="auto"/>
          <w:spacing w:val="6"/>
          <w:sz w:val="24"/>
          <w:highlight w:val="none"/>
          <w:u w:val="single"/>
        </w:rPr>
        <w:t xml:space="preserve">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spacing w:line="360" w:lineRule="auto"/>
        <w:ind w:firstLine="525"/>
        <w:rPr>
          <w:rFonts w:hint="eastAsia" w:ascii="宋体" w:hAnsi="宋体"/>
          <w:color w:val="auto"/>
          <w:spacing w:val="6"/>
          <w:sz w:val="24"/>
          <w:highlight w:val="none"/>
          <w:u w:val="single"/>
        </w:rPr>
      </w:pPr>
      <w:r>
        <w:rPr>
          <w:rFonts w:hint="eastAsia" w:ascii="宋体" w:hAnsi="宋体"/>
          <w:color w:val="auto"/>
          <w:spacing w:val="6"/>
          <w:sz w:val="24"/>
          <w:highlight w:val="none"/>
        </w:rPr>
        <w:t>3、</w:t>
      </w:r>
      <w:r>
        <w:rPr>
          <w:rFonts w:hint="eastAsia" w:ascii="宋体" w:hAnsi="宋体"/>
          <w:color w:val="auto"/>
          <w:spacing w:val="6"/>
          <w:sz w:val="24"/>
          <w:highlight w:val="none"/>
          <w:u w:val="single"/>
        </w:rPr>
        <w:t>如果甲方未能按期支付合同约定的款项，按逾期支付金额10%支付违约金。</w:t>
      </w:r>
    </w:p>
    <w:p>
      <w:pPr>
        <w:spacing w:line="360" w:lineRule="auto"/>
        <w:ind w:firstLine="361" w:firstLineChars="150"/>
        <w:rPr>
          <w:rFonts w:hint="eastAsia" w:ascii="宋体" w:hAnsi="宋体"/>
          <w:color w:val="auto"/>
          <w:sz w:val="24"/>
          <w:highlight w:val="none"/>
        </w:rPr>
      </w:pPr>
      <w:r>
        <w:rPr>
          <w:rFonts w:hint="eastAsia" w:ascii="黑体" w:hAnsi="黑体" w:eastAsia="黑体"/>
          <w:b/>
          <w:color w:val="auto"/>
          <w:sz w:val="24"/>
          <w:highlight w:val="none"/>
        </w:rPr>
        <w:t>第十条</w:t>
      </w:r>
      <w:r>
        <w:rPr>
          <w:rFonts w:hint="eastAsia" w:ascii="宋体" w:hAnsi="宋体"/>
          <w:color w:val="auto"/>
          <w:sz w:val="24"/>
          <w:highlight w:val="none"/>
        </w:rPr>
        <w:t xml:space="preserve">  双方确定，在本合同有效期内，甲方指定</w:t>
      </w:r>
      <w:r>
        <w:rPr>
          <w:rFonts w:hint="eastAsia" w:ascii="宋体" w:hAnsi="宋体"/>
          <w:color w:val="auto"/>
          <w:sz w:val="24"/>
          <w:highlight w:val="none"/>
          <w:u w:val="single"/>
        </w:rPr>
        <w:t xml:space="preserve">       </w:t>
      </w:r>
      <w:r>
        <w:rPr>
          <w:rFonts w:hint="eastAsia" w:ascii="宋体" w:hAnsi="宋体"/>
          <w:color w:val="auto"/>
          <w:sz w:val="24"/>
          <w:highlight w:val="none"/>
        </w:rPr>
        <w:t>为甲方项目联系人，乙方指定</w:t>
      </w:r>
      <w:r>
        <w:rPr>
          <w:rFonts w:hint="eastAsia" w:ascii="宋体" w:hAnsi="宋体"/>
          <w:color w:val="auto"/>
          <w:sz w:val="24"/>
          <w:highlight w:val="none"/>
          <w:u w:val="single"/>
        </w:rPr>
        <w:t xml:space="preserve">       </w:t>
      </w:r>
      <w:r>
        <w:rPr>
          <w:rFonts w:hint="eastAsia" w:ascii="宋体" w:hAnsi="宋体"/>
          <w:color w:val="auto"/>
          <w:sz w:val="24"/>
          <w:highlight w:val="none"/>
        </w:rPr>
        <w:t>为乙方项目联系人。项目联系人承担以下责任：</w:t>
      </w:r>
    </w:p>
    <w:p>
      <w:pPr>
        <w:spacing w:line="360" w:lineRule="auto"/>
        <w:ind w:firstLine="360" w:firstLineChars="150"/>
        <w:rPr>
          <w:rFonts w:hint="eastAsia"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u w:val="single"/>
        </w:rPr>
        <w:t xml:space="preserve">甲方联系人按照要求及时为乙方提供信息资料；  </w:t>
      </w:r>
    </w:p>
    <w:p>
      <w:pPr>
        <w:spacing w:line="360" w:lineRule="auto"/>
        <w:ind w:firstLine="360" w:firstLineChars="150"/>
        <w:rPr>
          <w:rFonts w:hint="eastAsia"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u w:val="single"/>
        </w:rPr>
        <w:t>乙方联系人在项目实施过程中及时与甲方沟通及反馈信息 。</w:t>
      </w:r>
    </w:p>
    <w:p>
      <w:pPr>
        <w:spacing w:line="360" w:lineRule="auto"/>
        <w:ind w:firstLine="360" w:firstLineChars="150"/>
        <w:rPr>
          <w:rFonts w:hint="eastAsia" w:ascii="宋体" w:hAnsi="宋体"/>
          <w:color w:val="auto"/>
          <w:sz w:val="24"/>
          <w:highlight w:val="none"/>
        </w:rPr>
      </w:pPr>
      <w:r>
        <w:rPr>
          <w:rFonts w:hint="eastAsia" w:ascii="宋体" w:hAnsi="宋体"/>
          <w:color w:val="auto"/>
          <w:sz w:val="24"/>
          <w:highlight w:val="none"/>
        </w:rPr>
        <w:t>一方变更项目联系人的，应当及时以书面形式通知另一方。未及时通知并影响本合同履行或造成损失的，应承担相应的责任。</w:t>
      </w:r>
    </w:p>
    <w:p>
      <w:pPr>
        <w:spacing w:line="360" w:lineRule="auto"/>
        <w:rPr>
          <w:rFonts w:hint="eastAsia" w:ascii="宋体" w:hAnsi="宋体"/>
          <w:color w:val="auto"/>
          <w:sz w:val="24"/>
          <w:highlight w:val="none"/>
        </w:rPr>
      </w:pPr>
      <w:r>
        <w:rPr>
          <w:rFonts w:ascii="宋体" w:hAnsi="宋体"/>
          <w:color w:val="auto"/>
          <w:sz w:val="24"/>
          <w:highlight w:val="none"/>
        </w:rPr>
        <w:t xml:space="preserve">   </w:t>
      </w:r>
      <w:r>
        <w:rPr>
          <w:rFonts w:hint="eastAsia" w:ascii="黑体" w:hAnsi="黑体" w:eastAsia="黑体"/>
          <w:b/>
          <w:color w:val="auto"/>
          <w:sz w:val="24"/>
          <w:highlight w:val="none"/>
        </w:rPr>
        <w:t xml:space="preserve">第十一条 </w:t>
      </w:r>
      <w:r>
        <w:rPr>
          <w:rFonts w:hint="eastAsia" w:ascii="宋体" w:hAnsi="宋体"/>
          <w:color w:val="auto"/>
          <w:sz w:val="24"/>
          <w:highlight w:val="none"/>
        </w:rPr>
        <w:t>双方确定，出现下列情形，致使本合同的履行成为不必要或不可能的，可以解除本合同：</w:t>
      </w:r>
    </w:p>
    <w:p>
      <w:pPr>
        <w:spacing w:line="360" w:lineRule="auto"/>
        <w:rPr>
          <w:rFonts w:hint="eastAsia" w:ascii="宋体" w:hAnsi="宋体"/>
          <w:color w:val="auto"/>
          <w:sz w:val="24"/>
          <w:highlight w:val="none"/>
        </w:rPr>
      </w:pPr>
      <w:r>
        <w:rPr>
          <w:rFonts w:ascii="宋体" w:hAnsi="宋体"/>
          <w:color w:val="auto"/>
          <w:sz w:val="24"/>
          <w:highlight w:val="none"/>
        </w:rPr>
        <w:t xml:space="preserve">   1</w:t>
      </w:r>
      <w:r>
        <w:rPr>
          <w:rFonts w:hint="eastAsia" w:ascii="宋体" w:hAnsi="宋体"/>
          <w:color w:val="auto"/>
          <w:sz w:val="24"/>
          <w:highlight w:val="none"/>
        </w:rPr>
        <w:t>、</w:t>
      </w:r>
      <w:r>
        <w:rPr>
          <w:rFonts w:hint="eastAsia" w:ascii="宋体" w:hAnsi="宋体"/>
          <w:color w:val="auto"/>
          <w:sz w:val="24"/>
          <w:highlight w:val="none"/>
          <w:u w:val="single"/>
        </w:rPr>
        <w:t>发生不可抗力；</w:t>
      </w:r>
    </w:p>
    <w:p>
      <w:pPr>
        <w:spacing w:line="360" w:lineRule="auto"/>
        <w:rPr>
          <w:rFonts w:hint="eastAsia" w:ascii="宋体" w:hAns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2、</w:t>
      </w:r>
      <w:r>
        <w:rPr>
          <w:rFonts w:hint="eastAsia" w:ascii="宋体" w:hAnsi="宋体"/>
          <w:color w:val="auto"/>
          <w:sz w:val="24"/>
          <w:highlight w:val="none"/>
          <w:u w:val="single"/>
        </w:rPr>
        <w:t xml:space="preserve">非本报告编制因素所产生的政策性风险；      </w:t>
      </w:r>
      <w:r>
        <w:rPr>
          <w:rFonts w:hint="eastAsia" w:ascii="宋体" w:hAnsi="宋体"/>
          <w:color w:val="auto"/>
          <w:sz w:val="24"/>
          <w:highlight w:val="none"/>
        </w:rPr>
        <w:t xml:space="preserve"> </w:t>
      </w:r>
    </w:p>
    <w:p>
      <w:pPr>
        <w:spacing w:line="360" w:lineRule="auto"/>
        <w:ind w:firstLine="361" w:firstLineChars="150"/>
        <w:rPr>
          <w:rFonts w:hint="eastAsia" w:ascii="宋体" w:hAnsi="宋体"/>
          <w:color w:val="auto"/>
          <w:sz w:val="24"/>
          <w:highlight w:val="none"/>
        </w:rPr>
      </w:pPr>
      <w:r>
        <w:rPr>
          <w:rFonts w:hint="eastAsia" w:ascii="黑体" w:hAnsi="黑体" w:eastAsia="黑体"/>
          <w:b/>
          <w:color w:val="auto"/>
          <w:sz w:val="24"/>
          <w:highlight w:val="none"/>
        </w:rPr>
        <w:t>第十二条</w:t>
      </w:r>
      <w:r>
        <w:rPr>
          <w:rFonts w:hint="eastAsia" w:ascii="宋体" w:hAnsi="宋体"/>
          <w:color w:val="auto"/>
          <w:sz w:val="24"/>
          <w:highlight w:val="none"/>
        </w:rPr>
        <w:t xml:space="preserve"> 双方因履行本合同而发生的争议，应协商、调解解决。</w:t>
      </w:r>
    </w:p>
    <w:p>
      <w:pPr>
        <w:spacing w:line="360" w:lineRule="auto"/>
        <w:rPr>
          <w:rFonts w:hint="eastAsia" w:ascii="宋体" w:hAnsi="宋体"/>
          <w:color w:val="auto"/>
          <w:sz w:val="24"/>
          <w:highlight w:val="none"/>
        </w:rPr>
      </w:pPr>
      <w:r>
        <w:rPr>
          <w:rFonts w:hint="eastAsia" w:ascii="宋体" w:hAnsi="宋体"/>
          <w:color w:val="auto"/>
          <w:sz w:val="24"/>
          <w:highlight w:val="none"/>
        </w:rPr>
        <w:t>协商、调解不成的，确定按以下第</w:t>
      </w:r>
      <w:r>
        <w:rPr>
          <w:rFonts w:ascii="宋体" w:hAnsi="宋体"/>
          <w:color w:val="auto"/>
          <w:sz w:val="24"/>
          <w:highlight w:val="none"/>
          <w:u w:val="single"/>
        </w:rPr>
        <w:t xml:space="preserve"> </w:t>
      </w:r>
      <w:r>
        <w:rPr>
          <w:rFonts w:hint="eastAsia" w:ascii="宋体" w:hAnsi="宋体"/>
          <w:color w:val="auto"/>
          <w:sz w:val="24"/>
          <w:highlight w:val="none"/>
          <w:u w:val="single"/>
          <w:lang w:val="en-US" w:eastAsia="zh-CN"/>
        </w:rPr>
        <w:t>2</w:t>
      </w:r>
      <w:r>
        <w:rPr>
          <w:rFonts w:hint="eastAsia" w:ascii="宋体" w:hAnsi="宋体"/>
          <w:color w:val="auto"/>
          <w:sz w:val="24"/>
          <w:highlight w:val="none"/>
        </w:rPr>
        <w:t>种方式处理：</w:t>
      </w:r>
    </w:p>
    <w:p>
      <w:pPr>
        <w:spacing w:line="360" w:lineRule="auto"/>
        <w:rPr>
          <w:rFonts w:hint="eastAsia" w:ascii="宋体" w:hAnsi="宋体"/>
          <w:color w:val="auto"/>
          <w:sz w:val="24"/>
          <w:highlight w:val="none"/>
        </w:rPr>
      </w:pPr>
      <w:r>
        <w:rPr>
          <w:rFonts w:ascii="宋体" w:hAnsi="宋体"/>
          <w:color w:val="auto"/>
          <w:sz w:val="24"/>
          <w:highlight w:val="none"/>
        </w:rPr>
        <w:t xml:space="preserve">   1</w:t>
      </w:r>
      <w:r>
        <w:rPr>
          <w:rFonts w:hint="eastAsia" w:ascii="宋体" w:hAnsi="宋体"/>
          <w:color w:val="auto"/>
          <w:sz w:val="24"/>
          <w:highlight w:val="none"/>
        </w:rPr>
        <w:t>、提交</w:t>
      </w:r>
      <w:r>
        <w:rPr>
          <w:rFonts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仲裁委员会仲裁；</w:t>
      </w:r>
    </w:p>
    <w:p>
      <w:pPr>
        <w:spacing w:line="360" w:lineRule="auto"/>
        <w:rPr>
          <w:rFonts w:hint="eastAsia" w:ascii="宋体" w:hAns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2、依法向</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甲方所在地</w:t>
      </w:r>
      <w:r>
        <w:rPr>
          <w:rFonts w:hint="eastAsia" w:ascii="宋体" w:hAnsi="宋体"/>
          <w:color w:val="auto"/>
          <w:sz w:val="24"/>
          <w:highlight w:val="none"/>
        </w:rPr>
        <w:t>人民法院起诉。</w:t>
      </w:r>
    </w:p>
    <w:p>
      <w:pPr>
        <w:spacing w:line="360" w:lineRule="auto"/>
        <w:ind w:firstLine="361" w:firstLineChars="150"/>
        <w:rPr>
          <w:rFonts w:hint="eastAsia" w:ascii="宋体" w:hAnsi="宋体"/>
          <w:color w:val="auto"/>
          <w:sz w:val="24"/>
          <w:highlight w:val="none"/>
        </w:rPr>
      </w:pPr>
      <w:r>
        <w:rPr>
          <w:rFonts w:hint="eastAsia" w:ascii="黑体" w:hAnsi="黑体" w:eastAsia="黑体"/>
          <w:b/>
          <w:color w:val="auto"/>
          <w:sz w:val="24"/>
          <w:highlight w:val="none"/>
        </w:rPr>
        <w:t>第十三条</w:t>
      </w:r>
      <w:r>
        <w:rPr>
          <w:rFonts w:hint="eastAsia" w:ascii="宋体" w:hAnsi="宋体"/>
          <w:color w:val="auto"/>
          <w:sz w:val="24"/>
          <w:highlight w:val="none"/>
        </w:rPr>
        <w:t xml:space="preserve"> 双方确定：本合同及相关附件中所涉及的有关名词和技术术语，其定义和解释如下：</w:t>
      </w:r>
    </w:p>
    <w:p>
      <w:pPr>
        <w:spacing w:line="360" w:lineRule="auto"/>
        <w:rPr>
          <w:rFonts w:hint="eastAsia" w:ascii="宋体" w:hAnsi="宋体"/>
          <w:color w:val="auto"/>
          <w:sz w:val="24"/>
          <w:highlight w:val="none"/>
        </w:rPr>
      </w:pPr>
      <w:r>
        <w:rPr>
          <w:rFonts w:ascii="宋体" w:hAnsi="宋体"/>
          <w:color w:val="auto"/>
          <w:sz w:val="24"/>
          <w:highlight w:val="none"/>
        </w:rPr>
        <w:t xml:space="preserve">     1</w:t>
      </w:r>
      <w:r>
        <w:rPr>
          <w:rFonts w:hint="eastAsia" w:ascii="宋体" w:hAnsi="宋体"/>
          <w:color w:val="auto"/>
          <w:sz w:val="24"/>
          <w:highlight w:val="none"/>
        </w:rPr>
        <w:t>、</w:t>
      </w:r>
      <w:r>
        <w:rPr>
          <w:rFonts w:hint="eastAsia" w:ascii="宋体" w:hAnsi="宋体"/>
          <w:color w:val="auto"/>
          <w:sz w:val="24"/>
          <w:highlight w:val="none"/>
          <w:u w:val="single"/>
        </w:rPr>
        <w:t>不可抗力：</w:t>
      </w:r>
      <w:r>
        <w:rPr>
          <w:rFonts w:ascii="宋体" w:hAnsi="宋体"/>
          <w:color w:val="auto"/>
          <w:sz w:val="24"/>
          <w:highlight w:val="none"/>
          <w:u w:val="single"/>
        </w:rPr>
        <w:t>由于台风、水灾、火灾以及其他不能预见并对其发生和后果不能预防或避免的不可抗</w:t>
      </w:r>
      <w:r>
        <w:rPr>
          <w:rFonts w:hint="eastAsia" w:ascii="宋体" w:hAnsi="宋体"/>
          <w:color w:val="auto"/>
          <w:sz w:val="24"/>
          <w:highlight w:val="none"/>
          <w:u w:val="single"/>
        </w:rPr>
        <w:t xml:space="preserve">拒因素。 </w:t>
      </w:r>
      <w:r>
        <w:rPr>
          <w:rFonts w:hint="eastAsia" w:ascii="宋体" w:hAnsi="宋体"/>
          <w:color w:val="auto"/>
          <w:sz w:val="24"/>
          <w:highlight w:val="none"/>
        </w:rPr>
        <w:t xml:space="preserve"> </w:t>
      </w:r>
      <w:r>
        <w:rPr>
          <w:rFonts w:ascii="宋体" w:hAnsi="宋体"/>
          <w:color w:val="auto"/>
          <w:sz w:val="24"/>
          <w:highlight w:val="none"/>
        </w:rPr>
        <w:t xml:space="preserve"> </w:t>
      </w:r>
    </w:p>
    <w:p>
      <w:pPr>
        <w:spacing w:line="360" w:lineRule="auto"/>
        <w:rPr>
          <w:rFonts w:hint="eastAsia" w:ascii="宋体" w:hAnsi="宋体" w:eastAsia="宋体" w:cs="宋体"/>
          <w:color w:val="auto"/>
          <w:sz w:val="24"/>
          <w:szCs w:val="24"/>
          <w:highlight w:val="none"/>
        </w:rPr>
      </w:pPr>
      <w:r>
        <w:rPr>
          <w:rFonts w:ascii="宋体" w:hAnsi="宋体"/>
          <w:color w:val="auto"/>
          <w:sz w:val="24"/>
          <w:highlight w:val="none"/>
        </w:rPr>
        <w:t xml:space="preserve">   </w:t>
      </w:r>
      <w:r>
        <w:rPr>
          <w:rFonts w:hint="eastAsia" w:ascii="黑体" w:hAnsi="黑体" w:eastAsia="黑体"/>
          <w:b/>
          <w:color w:val="auto"/>
          <w:sz w:val="24"/>
          <w:highlight w:val="none"/>
        </w:rPr>
        <w:t xml:space="preserve">第十四条 </w:t>
      </w:r>
      <w:r>
        <w:rPr>
          <w:rFonts w:hint="eastAsia" w:ascii="宋体" w:hAnsi="宋体"/>
          <w:color w:val="auto"/>
          <w:sz w:val="24"/>
          <w:highlight w:val="none"/>
        </w:rPr>
        <w:t>本合同一式</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陆</w:t>
      </w:r>
      <w:r>
        <w:rPr>
          <w:rFonts w:hint="eastAsia" w:ascii="宋体" w:hAnsi="宋体"/>
          <w:color w:val="auto"/>
          <w:sz w:val="24"/>
          <w:highlight w:val="none"/>
          <w:u w:val="single"/>
        </w:rPr>
        <w:t xml:space="preserve"> </w:t>
      </w:r>
      <w:r>
        <w:rPr>
          <w:rFonts w:hint="eastAsia" w:ascii="宋体" w:hAnsi="宋体"/>
          <w:color w:val="auto"/>
          <w:sz w:val="24"/>
          <w:highlight w:val="none"/>
        </w:rPr>
        <w:t>份，双方各执</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叁</w:t>
      </w:r>
      <w:r>
        <w:rPr>
          <w:rFonts w:hint="eastAsia" w:ascii="宋体" w:hAnsi="宋体"/>
          <w:color w:val="auto"/>
          <w:sz w:val="24"/>
          <w:highlight w:val="none"/>
          <w:u w:val="single"/>
        </w:rPr>
        <w:t xml:space="preserve"> </w:t>
      </w:r>
      <w:r>
        <w:rPr>
          <w:rFonts w:hint="eastAsia" w:ascii="宋体" w:hAnsi="宋体"/>
          <w:color w:val="auto"/>
          <w:sz w:val="24"/>
          <w:highlight w:val="none"/>
        </w:rPr>
        <w:t>份，具有同等法律效力。</w:t>
      </w:r>
    </w:p>
    <w:p>
      <w:pPr>
        <w:pStyle w:val="9"/>
        <w:numPr>
          <w:ilvl w:val="0"/>
          <w:numId w:val="0"/>
        </w:numPr>
        <w:snapToGrid w:val="0"/>
        <w:spacing w:line="360" w:lineRule="auto"/>
        <w:ind w:left="850" w:left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甲方：                             乙方： </w:t>
      </w:r>
    </w:p>
    <w:p>
      <w:pPr>
        <w:pStyle w:val="9"/>
        <w:numPr>
          <w:ilvl w:val="0"/>
          <w:numId w:val="0"/>
        </w:numPr>
        <w:snapToGrid w:val="0"/>
        <w:spacing w:line="360" w:lineRule="auto"/>
        <w:ind w:left="850" w:left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地址：                             地址： </w:t>
      </w:r>
    </w:p>
    <w:p>
      <w:pPr>
        <w:pStyle w:val="9"/>
        <w:numPr>
          <w:ilvl w:val="0"/>
          <w:numId w:val="0"/>
        </w:numPr>
        <w:snapToGrid w:val="0"/>
        <w:spacing w:line="360" w:lineRule="auto"/>
        <w:ind w:left="850" w:left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法定代表人或被授权人：             法定代表人或被授权人：</w:t>
      </w:r>
    </w:p>
    <w:p>
      <w:pPr>
        <w:pStyle w:val="9"/>
        <w:numPr>
          <w:ilvl w:val="0"/>
          <w:numId w:val="0"/>
        </w:numPr>
        <w:snapToGrid w:val="0"/>
        <w:spacing w:line="360" w:lineRule="auto"/>
        <w:ind w:left="850" w:left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签订地点：                  </w:t>
      </w:r>
    </w:p>
    <w:p>
      <w:pPr>
        <w:pStyle w:val="9"/>
        <w:numPr>
          <w:ilvl w:val="0"/>
          <w:numId w:val="0"/>
        </w:numPr>
        <w:spacing w:line="360" w:lineRule="auto"/>
        <w:ind w:left="850" w:left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签订日期：      年  月  日</w:t>
      </w:r>
    </w:p>
    <w:p>
      <w:pPr>
        <w:pStyle w:val="9"/>
        <w:numPr>
          <w:ilvl w:val="0"/>
          <w:numId w:val="0"/>
        </w:num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注：本合同作为示范文本，具体以中标人与业主单位所签定正式合同为准。</w:t>
      </w:r>
    </w:p>
    <w:p>
      <w:pPr>
        <w:rPr>
          <w:rFonts w:hint="eastAsia" w:ascii="宋体" w:hAnsi="宋体" w:eastAsia="宋体" w:cs="宋体"/>
          <w:color w:val="auto"/>
          <w:sz w:val="24"/>
          <w:szCs w:val="24"/>
          <w:highlight w:val="none"/>
        </w:rPr>
      </w:pPr>
    </w:p>
    <w:p>
      <w:pPr>
        <w:spacing w:line="360" w:lineRule="auto"/>
        <w:ind w:left="720" w:firstLine="1446" w:firstLineChars="400"/>
        <w:outlineLvl w:val="9"/>
        <w:rPr>
          <w:rFonts w:hint="eastAsia" w:ascii="宋体" w:hAnsi="宋体" w:eastAsia="宋体" w:cs="宋体"/>
          <w:b/>
          <w:color w:val="auto"/>
          <w:sz w:val="36"/>
          <w:szCs w:val="20"/>
          <w:highlight w:val="none"/>
        </w:rPr>
      </w:pPr>
    </w:p>
    <w:p>
      <w:pPr>
        <w:spacing w:line="360" w:lineRule="auto"/>
        <w:ind w:left="720" w:firstLine="1446" w:firstLineChars="400"/>
        <w:outlineLvl w:val="0"/>
        <w:rPr>
          <w:rFonts w:hint="eastAsia" w:ascii="宋体" w:hAnsi="宋体" w:eastAsia="宋体" w:cs="宋体"/>
          <w:b/>
          <w:color w:val="auto"/>
          <w:sz w:val="36"/>
          <w:szCs w:val="20"/>
          <w:highlight w:val="none"/>
        </w:rPr>
      </w:pPr>
      <w:bookmarkStart w:id="448" w:name="_Toc30154"/>
      <w:r>
        <w:rPr>
          <w:rFonts w:hint="eastAsia" w:ascii="宋体" w:hAnsi="宋体" w:eastAsia="宋体" w:cs="宋体"/>
          <w:b/>
          <w:color w:val="auto"/>
          <w:sz w:val="36"/>
          <w:szCs w:val="20"/>
          <w:highlight w:val="none"/>
        </w:rPr>
        <w:t>第六部分</w:t>
      </w:r>
      <w:bookmarkEnd w:id="445"/>
      <w:r>
        <w:rPr>
          <w:rFonts w:hint="eastAsia" w:ascii="宋体" w:hAnsi="宋体" w:eastAsia="宋体" w:cs="宋体"/>
          <w:b/>
          <w:color w:val="auto"/>
          <w:sz w:val="36"/>
          <w:szCs w:val="20"/>
          <w:highlight w:val="none"/>
        </w:rPr>
        <w:t xml:space="preserve"> </w:t>
      </w:r>
      <w:bookmarkEnd w:id="446"/>
      <w:r>
        <w:rPr>
          <w:rFonts w:hint="eastAsia" w:ascii="宋体" w:hAnsi="宋体" w:eastAsia="宋体" w:cs="宋体"/>
          <w:b/>
          <w:color w:val="auto"/>
          <w:sz w:val="36"/>
          <w:szCs w:val="20"/>
          <w:highlight w:val="none"/>
        </w:rPr>
        <w:t>应提交的有关格式范例</w:t>
      </w:r>
      <w:bookmarkEnd w:id="448"/>
    </w:p>
    <w:p>
      <w:pPr>
        <w:spacing w:after="360" w:afterLines="150"/>
        <w:ind w:firstLine="627" w:firstLineChars="196"/>
        <w:rPr>
          <w:rFonts w:hint="eastAsia" w:ascii="宋体" w:hAnsi="宋体" w:eastAsia="宋体" w:cs="宋体"/>
          <w:color w:val="auto"/>
          <w:sz w:val="32"/>
          <w:highlight w:val="none"/>
        </w:rPr>
      </w:pPr>
    </w:p>
    <w:p>
      <w:pPr>
        <w:spacing w:line="360" w:lineRule="auto"/>
        <w:jc w:val="center"/>
        <w:outlineLvl w:val="0"/>
        <w:rPr>
          <w:rFonts w:hint="eastAsia" w:ascii="宋体" w:hAnsi="宋体" w:eastAsia="宋体" w:cs="宋体"/>
          <w:b/>
          <w:color w:val="auto"/>
          <w:kern w:val="0"/>
          <w:sz w:val="36"/>
          <w:szCs w:val="36"/>
          <w:highlight w:val="none"/>
        </w:rPr>
      </w:pPr>
      <w:bookmarkStart w:id="449" w:name="_Toc26536"/>
      <w:r>
        <w:rPr>
          <w:rFonts w:hint="eastAsia" w:ascii="宋体" w:hAnsi="宋体" w:eastAsia="宋体" w:cs="宋体"/>
          <w:b/>
          <w:color w:val="auto"/>
          <w:kern w:val="0"/>
          <w:sz w:val="36"/>
          <w:szCs w:val="36"/>
          <w:highlight w:val="none"/>
        </w:rPr>
        <w:t>资格文件部分</w:t>
      </w:r>
      <w:bookmarkEnd w:id="449"/>
    </w:p>
    <w:p>
      <w:pPr>
        <w:spacing w:line="360" w:lineRule="auto"/>
        <w:jc w:val="center"/>
        <w:outlineLvl w:val="0"/>
        <w:rPr>
          <w:rFonts w:hint="eastAsia" w:ascii="宋体" w:hAnsi="宋体" w:eastAsia="宋体" w:cs="宋体"/>
          <w:b/>
          <w:color w:val="auto"/>
          <w:kern w:val="0"/>
          <w:sz w:val="36"/>
          <w:szCs w:val="36"/>
          <w:highlight w:val="none"/>
        </w:rPr>
      </w:pPr>
      <w:bookmarkStart w:id="450" w:name="_Toc28764"/>
      <w:r>
        <w:rPr>
          <w:rFonts w:hint="eastAsia" w:ascii="宋体" w:hAnsi="宋体" w:eastAsia="宋体" w:cs="宋体"/>
          <w:b/>
          <w:color w:val="auto"/>
          <w:kern w:val="0"/>
          <w:sz w:val="36"/>
          <w:szCs w:val="36"/>
          <w:highlight w:val="none"/>
        </w:rPr>
        <w:t>目录</w:t>
      </w:r>
      <w:bookmarkEnd w:id="450"/>
    </w:p>
    <w:p>
      <w:pPr>
        <w:spacing w:line="360" w:lineRule="auto"/>
        <w:jc w:val="center"/>
        <w:outlineLvl w:val="9"/>
        <w:rPr>
          <w:rFonts w:hint="eastAsia" w:ascii="宋体" w:hAnsi="宋体" w:eastAsia="宋体" w:cs="宋体"/>
          <w:b/>
          <w:color w:val="auto"/>
          <w:kern w:val="0"/>
          <w:sz w:val="36"/>
          <w:szCs w:val="36"/>
          <w:highlight w:val="none"/>
        </w:rPr>
      </w:pPr>
    </w:p>
    <w:p>
      <w:pPr>
        <w:snapToGrid w:val="0"/>
        <w:spacing w:line="360" w:lineRule="auto"/>
        <w:outlineLvl w:val="0"/>
        <w:rPr>
          <w:rFonts w:hint="eastAsia" w:ascii="宋体" w:hAnsi="宋体" w:eastAsia="宋体" w:cs="宋体"/>
          <w:color w:val="auto"/>
          <w:sz w:val="24"/>
          <w:highlight w:val="none"/>
        </w:rPr>
      </w:pPr>
      <w:bookmarkStart w:id="451" w:name="_Toc6147"/>
      <w:r>
        <w:rPr>
          <w:rFonts w:hint="eastAsia" w:ascii="宋体" w:hAnsi="宋体" w:eastAsia="宋体" w:cs="宋体"/>
          <w:color w:val="auto"/>
          <w:sz w:val="24"/>
          <w:highlight w:val="none"/>
        </w:rPr>
        <w:t>（1）符合参加政府采购活动应当具备的一般条件的承诺函……………（页码）</w:t>
      </w:r>
      <w:bookmarkEnd w:id="451"/>
    </w:p>
    <w:p>
      <w:pPr>
        <w:snapToGrid w:val="0"/>
        <w:spacing w:line="360" w:lineRule="auto"/>
        <w:outlineLvl w:val="0"/>
        <w:rPr>
          <w:rFonts w:hint="eastAsia" w:ascii="宋体" w:hAnsi="宋体" w:eastAsia="宋体" w:cs="宋体"/>
          <w:color w:val="auto"/>
          <w:sz w:val="24"/>
          <w:highlight w:val="none"/>
        </w:rPr>
      </w:pPr>
      <w:bookmarkStart w:id="452" w:name="_Toc1465"/>
      <w:r>
        <w:rPr>
          <w:rFonts w:hint="eastAsia" w:ascii="宋体" w:hAnsi="宋体" w:eastAsia="宋体" w:cs="宋体"/>
          <w:color w:val="auto"/>
          <w:sz w:val="24"/>
          <w:highlight w:val="none"/>
        </w:rPr>
        <w:t>（2）落实政府采购政策需满足的资格要求………………………………（页码）</w:t>
      </w:r>
      <w:bookmarkEnd w:id="452"/>
    </w:p>
    <w:p>
      <w:pPr>
        <w:snapToGrid w:val="0"/>
        <w:spacing w:line="360" w:lineRule="auto"/>
        <w:outlineLvl w:val="0"/>
        <w:rPr>
          <w:rFonts w:hint="eastAsia" w:ascii="宋体" w:hAnsi="宋体" w:eastAsia="宋体" w:cs="宋体"/>
          <w:color w:val="auto"/>
          <w:sz w:val="24"/>
          <w:highlight w:val="none"/>
        </w:rPr>
      </w:pPr>
      <w:bookmarkStart w:id="453" w:name="_Toc20677"/>
      <w:r>
        <w:rPr>
          <w:rFonts w:hint="eastAsia" w:ascii="宋体" w:hAnsi="宋体" w:eastAsia="宋体" w:cs="宋体"/>
          <w:color w:val="auto"/>
          <w:sz w:val="24"/>
          <w:highlight w:val="none"/>
        </w:rPr>
        <w:t>（3）本项目的特定资格要求………………………………………………（页码）</w:t>
      </w:r>
      <w:bookmarkEnd w:id="453"/>
    </w:p>
    <w:p>
      <w:pPr>
        <w:snapToGrid w:val="0"/>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napToGrid w:val="0"/>
        <w:spacing w:line="360" w:lineRule="auto"/>
        <w:ind w:right="-88" w:rightChars="0"/>
        <w:jc w:val="center"/>
        <w:outlineLvl w:val="1"/>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br w:type="page"/>
      </w:r>
      <w:bookmarkStart w:id="454" w:name="_Toc11396"/>
      <w:r>
        <w:rPr>
          <w:rFonts w:hint="eastAsia" w:ascii="宋体" w:hAnsi="宋体" w:eastAsia="宋体" w:cs="宋体"/>
          <w:b/>
          <w:color w:val="auto"/>
          <w:kern w:val="0"/>
          <w:sz w:val="32"/>
          <w:szCs w:val="32"/>
          <w:highlight w:val="none"/>
        </w:rPr>
        <w:t>一、符合参加政府采购活动应当具备的一般条件的承诺函</w:t>
      </w:r>
      <w:bookmarkEnd w:id="454"/>
    </w:p>
    <w:p>
      <w:pPr>
        <w:snapToGrid w:val="0"/>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嘉兴市第一医院</w:t>
      </w:r>
      <w:r>
        <w:rPr>
          <w:rFonts w:hint="eastAsia" w:ascii="宋体" w:hAnsi="宋体" w:eastAsia="宋体" w:cs="宋体"/>
          <w:color w:val="auto"/>
          <w:sz w:val="24"/>
          <w:highlight w:val="none"/>
        </w:rPr>
        <w:t>、杭州中浙招标有限公司：</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w:t>
      </w:r>
      <w:r>
        <w:rPr>
          <w:rFonts w:hint="eastAsia" w:ascii="宋体" w:hAnsi="宋体" w:cs="宋体"/>
          <w:color w:val="auto"/>
          <w:sz w:val="24"/>
          <w:highlight w:val="none"/>
          <w:lang w:eastAsia="zh-CN"/>
        </w:rPr>
        <w:t>嘉兴市第一医院高质量发展咨询辅导项目</w:t>
      </w:r>
      <w:r>
        <w:rPr>
          <w:rFonts w:hint="eastAsia" w:ascii="宋体" w:hAnsi="宋体" w:eastAsia="宋体" w:cs="宋体"/>
          <w:color w:val="auto"/>
          <w:sz w:val="24"/>
          <w:highlight w:val="none"/>
        </w:rPr>
        <w:t>）【招标编号：（采购编号</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eastAsia="zh-CN"/>
        </w:rPr>
        <w:t>中浙-CZTC22034</w:t>
      </w:r>
      <w:r>
        <w:rPr>
          <w:rFonts w:hint="eastAsia" w:ascii="宋体" w:hAnsi="宋体" w:eastAsia="宋体" w:cs="宋体"/>
          <w:color w:val="auto"/>
          <w:sz w:val="24"/>
          <w:highlight w:val="none"/>
        </w:rPr>
        <w:t>）】政府采购活动，郑重承诺：</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6、具有法律、行政法规规定的其他条件。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（三）不存在以下情况：</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投标人名称(电子签名)：</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pStyle w:val="2"/>
        <w:outlineLvl w:val="9"/>
        <w:rPr>
          <w:rFonts w:hint="eastAsia"/>
          <w:color w:val="auto"/>
          <w:highlight w:val="none"/>
        </w:rPr>
      </w:pPr>
    </w:p>
    <w:p>
      <w:pPr>
        <w:snapToGrid w:val="0"/>
        <w:spacing w:line="360" w:lineRule="auto"/>
        <w:ind w:right="480"/>
        <w:jc w:val="center"/>
        <w:outlineLvl w:val="1"/>
        <w:rPr>
          <w:rFonts w:hint="eastAsia" w:ascii="宋体" w:hAnsi="宋体" w:eastAsia="宋体" w:cs="宋体"/>
          <w:b/>
          <w:color w:val="auto"/>
          <w:kern w:val="0"/>
          <w:sz w:val="32"/>
          <w:szCs w:val="32"/>
          <w:highlight w:val="none"/>
        </w:rPr>
      </w:pPr>
      <w:bookmarkStart w:id="455" w:name="_Toc13909"/>
      <w:r>
        <w:rPr>
          <w:rFonts w:hint="eastAsia" w:ascii="宋体" w:hAnsi="宋体" w:eastAsia="宋体" w:cs="宋体"/>
          <w:b/>
          <w:color w:val="auto"/>
          <w:kern w:val="0"/>
          <w:sz w:val="32"/>
          <w:szCs w:val="32"/>
          <w:highlight w:val="none"/>
        </w:rPr>
        <w:t>二、落实政府采购政策需满足的资格要求</w:t>
      </w:r>
      <w:bookmarkEnd w:id="455"/>
    </w:p>
    <w:p>
      <w:pPr>
        <w:widowControl/>
        <w:spacing w:line="360" w:lineRule="auto"/>
        <w:ind w:left="150"/>
        <w:jc w:val="center"/>
        <w:rPr>
          <w:rFonts w:hint="eastAsia" w:ascii="宋体" w:hAnsi="宋体" w:eastAsia="宋体" w:cs="宋体"/>
          <w:b/>
          <w:color w:val="auto"/>
          <w:kern w:val="0"/>
          <w:sz w:val="32"/>
          <w:szCs w:val="32"/>
          <w:highlight w:val="none"/>
          <w:lang w:val="en-US" w:eastAsia="zh-CN"/>
        </w:rPr>
      </w:pPr>
      <w:r>
        <w:rPr>
          <w:rFonts w:hint="eastAsia" w:ascii="宋体" w:hAnsi="宋体" w:eastAsia="宋体" w:cs="宋体"/>
          <w:b/>
          <w:color w:val="auto"/>
          <w:kern w:val="0"/>
          <w:sz w:val="32"/>
          <w:szCs w:val="32"/>
          <w:highlight w:val="none"/>
          <w:lang w:val="en-US" w:eastAsia="zh-CN"/>
        </w:rPr>
        <w:t>本项目无</w:t>
      </w:r>
    </w:p>
    <w:p>
      <w:pPr>
        <w:pStyle w:val="23"/>
        <w:rPr>
          <w:rFonts w:hint="eastAsia" w:ascii="宋体" w:hAnsi="宋体" w:eastAsia="宋体" w:cs="宋体"/>
          <w:b/>
          <w:color w:val="auto"/>
          <w:kern w:val="0"/>
          <w:sz w:val="32"/>
          <w:szCs w:val="32"/>
          <w:highlight w:val="none"/>
          <w:lang w:val="en-US" w:eastAsia="zh-CN"/>
        </w:rPr>
      </w:pPr>
    </w:p>
    <w:p>
      <w:pPr>
        <w:rPr>
          <w:rFonts w:hint="eastAsia" w:ascii="宋体" w:hAnsi="宋体" w:eastAsia="宋体" w:cs="宋体"/>
          <w:color w:val="auto"/>
          <w:highlight w:val="none"/>
          <w:lang w:val="en-US" w:eastAsia="zh-CN"/>
        </w:rPr>
      </w:pPr>
    </w:p>
    <w:p>
      <w:pPr>
        <w:widowControl/>
        <w:numPr>
          <w:ilvl w:val="0"/>
          <w:numId w:val="0"/>
        </w:numPr>
        <w:spacing w:line="360" w:lineRule="auto"/>
        <w:ind w:firstLine="964" w:firstLineChars="300"/>
        <w:jc w:val="both"/>
        <w:rPr>
          <w:rFonts w:hint="eastAsia" w:ascii="宋体" w:hAnsi="宋体" w:cs="宋体"/>
          <w:b/>
          <w:color w:val="auto"/>
          <w:kern w:val="0"/>
          <w:sz w:val="32"/>
          <w:szCs w:val="32"/>
          <w:highlight w:val="none"/>
          <w:lang w:val="en-US" w:eastAsia="zh-CN"/>
        </w:rPr>
      </w:pPr>
    </w:p>
    <w:p>
      <w:pPr>
        <w:widowControl/>
        <w:numPr>
          <w:ilvl w:val="0"/>
          <w:numId w:val="0"/>
        </w:numPr>
        <w:spacing w:line="360" w:lineRule="auto"/>
        <w:ind w:firstLine="964" w:firstLineChars="300"/>
        <w:jc w:val="both"/>
        <w:rPr>
          <w:rFonts w:hint="eastAsia" w:ascii="宋体" w:hAnsi="宋体" w:cs="宋体"/>
          <w:b/>
          <w:color w:val="auto"/>
          <w:kern w:val="0"/>
          <w:sz w:val="32"/>
          <w:szCs w:val="32"/>
          <w:highlight w:val="none"/>
          <w:lang w:val="en-US" w:eastAsia="zh-CN"/>
        </w:rPr>
      </w:pPr>
    </w:p>
    <w:p>
      <w:pPr>
        <w:widowControl/>
        <w:numPr>
          <w:ilvl w:val="0"/>
          <w:numId w:val="0"/>
        </w:numPr>
        <w:spacing w:line="360" w:lineRule="auto"/>
        <w:ind w:left="0" w:leftChars="0" w:firstLine="0" w:firstLineChars="0"/>
        <w:jc w:val="center"/>
        <w:outlineLvl w:val="1"/>
        <w:rPr>
          <w:rFonts w:hint="eastAsia" w:ascii="宋体" w:hAnsi="宋体" w:eastAsia="宋体" w:cs="宋体"/>
          <w:b/>
          <w:color w:val="auto"/>
          <w:kern w:val="0"/>
          <w:sz w:val="32"/>
          <w:szCs w:val="32"/>
          <w:highlight w:val="none"/>
        </w:rPr>
      </w:pPr>
      <w:bookmarkStart w:id="456" w:name="_Toc1708"/>
      <w:r>
        <w:rPr>
          <w:rFonts w:hint="eastAsia" w:ascii="宋体" w:hAnsi="宋体" w:cs="宋体"/>
          <w:b/>
          <w:color w:val="auto"/>
          <w:kern w:val="0"/>
          <w:sz w:val="32"/>
          <w:szCs w:val="32"/>
          <w:highlight w:val="none"/>
          <w:lang w:val="en-US" w:eastAsia="zh-CN"/>
        </w:rPr>
        <w:t>三、</w:t>
      </w:r>
      <w:r>
        <w:rPr>
          <w:rFonts w:hint="eastAsia" w:ascii="宋体" w:hAnsi="宋体" w:eastAsia="宋体" w:cs="宋体"/>
          <w:b/>
          <w:color w:val="auto"/>
          <w:kern w:val="0"/>
          <w:sz w:val="32"/>
          <w:szCs w:val="32"/>
          <w:highlight w:val="none"/>
        </w:rPr>
        <w:t>本项目的特定资格要求</w:t>
      </w:r>
      <w:bookmarkEnd w:id="456"/>
    </w:p>
    <w:p>
      <w:pPr>
        <w:widowControl/>
        <w:numPr>
          <w:ilvl w:val="0"/>
          <w:numId w:val="0"/>
        </w:numPr>
        <w:spacing w:line="360" w:lineRule="auto"/>
        <w:ind w:left="0" w:leftChars="0" w:firstLine="0" w:firstLineChars="0"/>
        <w:jc w:val="center"/>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32"/>
          <w:szCs w:val="32"/>
          <w:highlight w:val="none"/>
          <w:lang w:val="en-US" w:eastAsia="zh-CN"/>
        </w:rPr>
        <w:t>本项目无</w:t>
      </w:r>
    </w:p>
    <w:p>
      <w:pPr>
        <w:snapToGrid w:val="0"/>
        <w:spacing w:line="360" w:lineRule="auto"/>
        <w:ind w:right="480"/>
        <w:jc w:val="both"/>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pacing w:line="360" w:lineRule="auto"/>
        <w:jc w:val="center"/>
        <w:outlineLvl w:val="9"/>
        <w:rPr>
          <w:rFonts w:hint="eastAsia" w:ascii="宋体" w:hAnsi="宋体" w:eastAsia="宋体" w:cs="宋体"/>
          <w:b/>
          <w:color w:val="auto"/>
          <w:kern w:val="0"/>
          <w:sz w:val="36"/>
          <w:szCs w:val="36"/>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pacing w:line="360" w:lineRule="auto"/>
        <w:jc w:val="center"/>
        <w:outlineLvl w:val="9"/>
        <w:rPr>
          <w:rFonts w:hint="eastAsia" w:ascii="宋体" w:hAnsi="宋体" w:eastAsia="宋体" w:cs="宋体"/>
          <w:b/>
          <w:color w:val="auto"/>
          <w:kern w:val="0"/>
          <w:sz w:val="36"/>
          <w:szCs w:val="36"/>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pacing w:line="360" w:lineRule="auto"/>
        <w:jc w:val="center"/>
        <w:outlineLvl w:val="9"/>
        <w:rPr>
          <w:rFonts w:hint="eastAsia" w:ascii="宋体" w:hAnsi="宋体" w:eastAsia="宋体" w:cs="宋体"/>
          <w:b/>
          <w:color w:val="auto"/>
          <w:kern w:val="0"/>
          <w:sz w:val="36"/>
          <w:szCs w:val="36"/>
          <w:highlight w:val="none"/>
        </w:rPr>
      </w:pPr>
    </w:p>
    <w:p>
      <w:pPr>
        <w:pStyle w:val="23"/>
        <w:rPr>
          <w:rFonts w:hint="eastAsia" w:ascii="宋体" w:hAnsi="宋体" w:eastAsia="宋体" w:cs="宋体"/>
          <w:b/>
          <w:color w:val="auto"/>
          <w:kern w:val="0"/>
          <w:sz w:val="36"/>
          <w:szCs w:val="36"/>
          <w:highlight w:val="none"/>
        </w:rPr>
      </w:pPr>
    </w:p>
    <w:p>
      <w:pPr>
        <w:rPr>
          <w:rFonts w:hint="eastAsia" w:ascii="宋体" w:hAnsi="宋体" w:eastAsia="宋体" w:cs="宋体"/>
          <w:b/>
          <w:color w:val="auto"/>
          <w:kern w:val="0"/>
          <w:sz w:val="36"/>
          <w:szCs w:val="36"/>
          <w:highlight w:val="none"/>
        </w:rPr>
      </w:pPr>
    </w:p>
    <w:p>
      <w:pPr>
        <w:spacing w:line="360" w:lineRule="auto"/>
        <w:ind w:left="0" w:leftChars="0" w:right="420" w:firstLine="0" w:firstLineChars="0"/>
        <w:jc w:val="center"/>
        <w:outlineLvl w:val="0"/>
        <w:rPr>
          <w:rFonts w:hint="eastAsia" w:ascii="宋体" w:hAnsi="宋体" w:eastAsia="宋体" w:cs="宋体"/>
          <w:b/>
          <w:color w:val="auto"/>
          <w:kern w:val="0"/>
          <w:sz w:val="36"/>
          <w:szCs w:val="36"/>
          <w:highlight w:val="none"/>
        </w:rPr>
      </w:pPr>
      <w:bookmarkStart w:id="457" w:name="_Toc15734"/>
      <w:r>
        <w:rPr>
          <w:rFonts w:hint="eastAsia" w:ascii="宋体" w:hAnsi="宋体" w:eastAsia="宋体" w:cs="宋体"/>
          <w:b/>
          <w:color w:val="auto"/>
          <w:kern w:val="0"/>
          <w:sz w:val="36"/>
          <w:szCs w:val="36"/>
          <w:highlight w:val="none"/>
        </w:rPr>
        <w:t>商务技术文件部分</w:t>
      </w:r>
      <w:bookmarkEnd w:id="457"/>
    </w:p>
    <w:p>
      <w:pPr>
        <w:spacing w:line="360" w:lineRule="auto"/>
        <w:jc w:val="center"/>
        <w:outlineLvl w:val="9"/>
        <w:rPr>
          <w:rFonts w:hint="eastAsia" w:ascii="宋体" w:hAnsi="宋体" w:eastAsia="宋体" w:cs="宋体"/>
          <w:b/>
          <w:color w:val="auto"/>
          <w:kern w:val="0"/>
          <w:sz w:val="24"/>
          <w:highlight w:val="none"/>
        </w:rPr>
      </w:pPr>
    </w:p>
    <w:p>
      <w:pPr>
        <w:spacing w:line="360" w:lineRule="auto"/>
        <w:jc w:val="center"/>
        <w:outlineLvl w:val="0"/>
        <w:rPr>
          <w:rFonts w:hint="eastAsia" w:ascii="宋体" w:hAnsi="宋体" w:eastAsia="宋体" w:cs="宋体"/>
          <w:b/>
          <w:color w:val="auto"/>
          <w:kern w:val="0"/>
          <w:sz w:val="28"/>
          <w:szCs w:val="28"/>
          <w:highlight w:val="none"/>
        </w:rPr>
      </w:pPr>
      <w:bookmarkStart w:id="458" w:name="_Toc3608"/>
      <w:r>
        <w:rPr>
          <w:rFonts w:hint="eastAsia" w:ascii="宋体" w:hAnsi="宋体" w:eastAsia="宋体" w:cs="宋体"/>
          <w:b/>
          <w:color w:val="auto"/>
          <w:kern w:val="0"/>
          <w:sz w:val="28"/>
          <w:szCs w:val="28"/>
          <w:highlight w:val="none"/>
        </w:rPr>
        <w:t>目录</w:t>
      </w:r>
      <w:bookmarkEnd w:id="458"/>
    </w:p>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投标响应</w:t>
      </w:r>
      <w:r>
        <w:rPr>
          <w:rFonts w:hint="eastAsia" w:ascii="宋体" w:hAnsi="宋体" w:eastAsia="宋体" w:cs="宋体"/>
          <w:color w:val="auto"/>
          <w:sz w:val="24"/>
          <w:szCs w:val="24"/>
          <w:highlight w:val="none"/>
        </w:rPr>
        <w:t>函…………………………………………………………………（页码）</w:t>
      </w:r>
    </w:p>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）授权委托书或法定代表人（单位负责人、自然人本人）身份证明……（页码）</w:t>
      </w:r>
    </w:p>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）符合性审查资料……………………………………………………………（页码）</w:t>
      </w:r>
    </w:p>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标准相应的商务技术资料……………………………………………（页码）</w:t>
      </w:r>
    </w:p>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）商务技术偏离表……………………………………………………………（页码）</w:t>
      </w:r>
    </w:p>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val="zh-CN"/>
        </w:rPr>
        <w:t>）政府采购供应商廉洁自律承诺书</w:t>
      </w:r>
      <w:r>
        <w:rPr>
          <w:rFonts w:hint="eastAsia" w:ascii="宋体" w:hAnsi="宋体" w:eastAsia="宋体" w:cs="宋体"/>
          <w:color w:val="auto"/>
          <w:sz w:val="24"/>
          <w:szCs w:val="24"/>
          <w:highlight w:val="none"/>
        </w:rPr>
        <w:t>…………………………………………（页码）</w:t>
      </w:r>
    </w:p>
    <w:p>
      <w:pPr>
        <w:pStyle w:val="22"/>
        <w:rPr>
          <w:rFonts w:hint="eastAsia" w:ascii="宋体" w:hAnsi="宋体" w:eastAsia="宋体" w:cs="宋体"/>
          <w:color w:val="auto"/>
          <w:highlight w:val="none"/>
        </w:rPr>
      </w:pPr>
    </w:p>
    <w:p>
      <w:pPr>
        <w:pStyle w:val="22"/>
        <w:rPr>
          <w:rFonts w:hint="eastAsia" w:ascii="宋体" w:hAnsi="宋体" w:eastAsia="宋体" w:cs="宋体"/>
          <w:color w:val="auto"/>
          <w:highlight w:val="none"/>
        </w:rPr>
      </w:pPr>
    </w:p>
    <w:p>
      <w:pPr>
        <w:pStyle w:val="22"/>
        <w:rPr>
          <w:rFonts w:hint="eastAsia" w:ascii="宋体" w:hAnsi="宋体" w:eastAsia="宋体" w:cs="宋体"/>
          <w:color w:val="auto"/>
          <w:highlight w:val="none"/>
        </w:rPr>
      </w:pPr>
    </w:p>
    <w:p>
      <w:pPr>
        <w:pStyle w:val="22"/>
        <w:rPr>
          <w:rFonts w:hint="eastAsia" w:ascii="宋体" w:hAnsi="宋体" w:eastAsia="宋体" w:cs="宋体"/>
          <w:color w:val="auto"/>
          <w:highlight w:val="none"/>
        </w:rPr>
      </w:pPr>
    </w:p>
    <w:p>
      <w:pPr>
        <w:pStyle w:val="22"/>
        <w:rPr>
          <w:rFonts w:hint="eastAsia" w:ascii="宋体" w:hAnsi="宋体" w:eastAsia="宋体" w:cs="宋体"/>
          <w:color w:val="auto"/>
          <w:highlight w:val="none"/>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outlineLvl w:val="9"/>
        <w:rPr>
          <w:rFonts w:hint="eastAsia" w:ascii="宋体" w:hAnsi="宋体" w:eastAsia="宋体" w:cs="宋体"/>
          <w:b/>
          <w:color w:val="auto"/>
          <w:kern w:val="0"/>
          <w:sz w:val="32"/>
          <w:szCs w:val="32"/>
          <w:highlight w:val="none"/>
        </w:rPr>
      </w:pPr>
    </w:p>
    <w:p>
      <w:pPr>
        <w:pStyle w:val="22"/>
        <w:rPr>
          <w:rFonts w:hint="eastAsia" w:ascii="宋体" w:hAnsi="宋体" w:eastAsia="宋体" w:cs="宋体"/>
          <w:b/>
          <w:color w:val="auto"/>
          <w:kern w:val="0"/>
          <w:sz w:val="32"/>
          <w:szCs w:val="32"/>
          <w:highlight w:val="none"/>
        </w:rPr>
      </w:pPr>
    </w:p>
    <w:p>
      <w:pPr>
        <w:pStyle w:val="22"/>
        <w:rPr>
          <w:rFonts w:hint="eastAsia" w:ascii="宋体" w:hAnsi="宋体" w:eastAsia="宋体" w:cs="宋体"/>
          <w:b/>
          <w:color w:val="auto"/>
          <w:kern w:val="0"/>
          <w:sz w:val="32"/>
          <w:szCs w:val="32"/>
          <w:highlight w:val="none"/>
        </w:rPr>
      </w:pPr>
    </w:p>
    <w:p>
      <w:pPr>
        <w:pStyle w:val="22"/>
        <w:rPr>
          <w:rFonts w:hint="eastAsia" w:ascii="宋体" w:hAnsi="宋体" w:eastAsia="宋体" w:cs="宋体"/>
          <w:b/>
          <w:color w:val="auto"/>
          <w:kern w:val="0"/>
          <w:sz w:val="32"/>
          <w:szCs w:val="32"/>
          <w:highlight w:val="none"/>
        </w:rPr>
      </w:pPr>
    </w:p>
    <w:p>
      <w:pPr>
        <w:pStyle w:val="22"/>
        <w:rPr>
          <w:rFonts w:hint="eastAsia" w:ascii="宋体" w:hAnsi="宋体" w:eastAsia="宋体" w:cs="宋体"/>
          <w:b/>
          <w:color w:val="auto"/>
          <w:kern w:val="0"/>
          <w:sz w:val="32"/>
          <w:szCs w:val="32"/>
          <w:highlight w:val="none"/>
        </w:rPr>
      </w:pPr>
    </w:p>
    <w:p>
      <w:pPr>
        <w:pStyle w:val="22"/>
        <w:rPr>
          <w:rFonts w:hint="eastAsia" w:ascii="宋体" w:hAnsi="宋体" w:eastAsia="宋体" w:cs="宋体"/>
          <w:b/>
          <w:color w:val="auto"/>
          <w:kern w:val="0"/>
          <w:sz w:val="32"/>
          <w:szCs w:val="32"/>
          <w:highlight w:val="none"/>
        </w:rPr>
      </w:pPr>
    </w:p>
    <w:p>
      <w:pPr>
        <w:pStyle w:val="22"/>
        <w:rPr>
          <w:rFonts w:hint="eastAsia" w:ascii="宋体" w:hAnsi="宋体" w:eastAsia="宋体" w:cs="宋体"/>
          <w:b/>
          <w:color w:val="auto"/>
          <w:kern w:val="0"/>
          <w:sz w:val="32"/>
          <w:szCs w:val="32"/>
          <w:highlight w:val="none"/>
        </w:rPr>
      </w:pPr>
    </w:p>
    <w:p>
      <w:pPr>
        <w:pStyle w:val="22"/>
        <w:rPr>
          <w:rFonts w:hint="eastAsia" w:ascii="宋体" w:hAnsi="宋体" w:eastAsia="宋体" w:cs="宋体"/>
          <w:b/>
          <w:color w:val="auto"/>
          <w:kern w:val="0"/>
          <w:sz w:val="32"/>
          <w:szCs w:val="32"/>
          <w:highlight w:val="none"/>
        </w:rPr>
      </w:pPr>
    </w:p>
    <w:p>
      <w:pPr>
        <w:pStyle w:val="22"/>
        <w:rPr>
          <w:rFonts w:hint="eastAsia" w:ascii="宋体" w:hAnsi="宋体" w:eastAsia="宋体" w:cs="宋体"/>
          <w:b/>
          <w:color w:val="auto"/>
          <w:kern w:val="0"/>
          <w:sz w:val="32"/>
          <w:szCs w:val="32"/>
          <w:highlight w:val="none"/>
        </w:rPr>
      </w:pPr>
    </w:p>
    <w:p>
      <w:pPr>
        <w:pStyle w:val="22"/>
        <w:rPr>
          <w:rFonts w:hint="eastAsia" w:ascii="宋体" w:hAnsi="宋体" w:eastAsia="宋体" w:cs="宋体"/>
          <w:b/>
          <w:color w:val="auto"/>
          <w:kern w:val="0"/>
          <w:sz w:val="32"/>
          <w:szCs w:val="32"/>
          <w:highlight w:val="none"/>
        </w:rPr>
      </w:pPr>
    </w:p>
    <w:p>
      <w:pPr>
        <w:pStyle w:val="22"/>
        <w:rPr>
          <w:rFonts w:hint="eastAsia" w:ascii="宋体" w:hAnsi="宋体" w:eastAsia="宋体" w:cs="宋体"/>
          <w:b/>
          <w:color w:val="auto"/>
          <w:kern w:val="0"/>
          <w:sz w:val="32"/>
          <w:szCs w:val="32"/>
          <w:highlight w:val="none"/>
        </w:rPr>
      </w:pPr>
    </w:p>
    <w:p>
      <w:pPr>
        <w:pStyle w:val="22"/>
        <w:rPr>
          <w:rFonts w:hint="eastAsia" w:ascii="宋体" w:hAnsi="宋体" w:eastAsia="宋体" w:cs="宋体"/>
          <w:b/>
          <w:color w:val="auto"/>
          <w:kern w:val="0"/>
          <w:sz w:val="32"/>
          <w:szCs w:val="32"/>
          <w:highlight w:val="none"/>
        </w:rPr>
      </w:pPr>
    </w:p>
    <w:p>
      <w:pPr>
        <w:pStyle w:val="22"/>
        <w:rPr>
          <w:rFonts w:hint="eastAsia" w:ascii="宋体" w:hAnsi="宋体" w:eastAsia="宋体" w:cs="宋体"/>
          <w:b/>
          <w:color w:val="auto"/>
          <w:kern w:val="0"/>
          <w:sz w:val="32"/>
          <w:szCs w:val="32"/>
          <w:highlight w:val="none"/>
        </w:rPr>
      </w:pPr>
    </w:p>
    <w:p>
      <w:pPr>
        <w:pStyle w:val="22"/>
        <w:rPr>
          <w:rFonts w:hint="eastAsia" w:ascii="宋体" w:hAnsi="宋体" w:eastAsia="宋体" w:cs="宋体"/>
          <w:b/>
          <w:color w:val="auto"/>
          <w:kern w:val="0"/>
          <w:sz w:val="32"/>
          <w:szCs w:val="32"/>
          <w:highlight w:val="none"/>
        </w:rPr>
      </w:pPr>
    </w:p>
    <w:p>
      <w:pPr>
        <w:pStyle w:val="22"/>
        <w:rPr>
          <w:rFonts w:hint="eastAsia" w:ascii="宋体" w:hAnsi="宋体" w:eastAsia="宋体" w:cs="宋体"/>
          <w:b/>
          <w:color w:val="auto"/>
          <w:kern w:val="0"/>
          <w:sz w:val="32"/>
          <w:szCs w:val="32"/>
          <w:highlight w:val="none"/>
        </w:rPr>
      </w:pPr>
    </w:p>
    <w:p>
      <w:pPr>
        <w:pStyle w:val="22"/>
        <w:rPr>
          <w:rFonts w:hint="eastAsia" w:ascii="宋体" w:hAnsi="宋体" w:eastAsia="宋体" w:cs="宋体"/>
          <w:b/>
          <w:color w:val="auto"/>
          <w:kern w:val="0"/>
          <w:sz w:val="32"/>
          <w:szCs w:val="32"/>
          <w:highlight w:val="none"/>
        </w:rPr>
      </w:pPr>
    </w:p>
    <w:p>
      <w:pPr>
        <w:snapToGrid w:val="0"/>
        <w:spacing w:line="360" w:lineRule="auto"/>
        <w:jc w:val="center"/>
        <w:outlineLvl w:val="9"/>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sz w:val="32"/>
          <w:szCs w:val="32"/>
          <w:highlight w:val="none"/>
        </w:rPr>
      </w:pPr>
      <w:bookmarkStart w:id="459" w:name="_Toc14308"/>
      <w:r>
        <w:rPr>
          <w:rFonts w:hint="eastAsia" w:ascii="宋体" w:hAnsi="宋体" w:eastAsia="宋体" w:cs="宋体"/>
          <w:b/>
          <w:color w:val="auto"/>
          <w:kern w:val="0"/>
          <w:sz w:val="32"/>
          <w:szCs w:val="32"/>
          <w:highlight w:val="none"/>
        </w:rPr>
        <w:t>一、投标</w:t>
      </w:r>
      <w:r>
        <w:rPr>
          <w:rFonts w:hint="eastAsia" w:ascii="宋体" w:hAnsi="宋体" w:eastAsia="宋体" w:cs="宋体"/>
          <w:b/>
          <w:color w:val="auto"/>
          <w:sz w:val="32"/>
          <w:szCs w:val="32"/>
          <w:highlight w:val="none"/>
        </w:rPr>
        <w:t>函</w:t>
      </w:r>
      <w:bookmarkEnd w:id="459"/>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嘉兴市第一医院</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杭州中浙招标有限公司：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我方参加你方组织的</w:t>
      </w:r>
      <w:r>
        <w:rPr>
          <w:rFonts w:hint="eastAsia" w:ascii="宋体" w:hAnsi="宋体" w:cs="宋体"/>
          <w:color w:val="auto"/>
          <w:sz w:val="24"/>
          <w:szCs w:val="24"/>
          <w:highlight w:val="none"/>
          <w:lang w:eastAsia="zh-CN"/>
        </w:rPr>
        <w:t>嘉兴市第一医院高质量发展咨询辅导项目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招标编号：</w:t>
      </w:r>
      <w:r>
        <w:rPr>
          <w:rFonts w:hint="eastAsia" w:ascii="宋体" w:hAnsi="宋体" w:cs="宋体"/>
          <w:color w:val="auto"/>
          <w:sz w:val="24"/>
          <w:szCs w:val="24"/>
          <w:highlight w:val="none"/>
          <w:lang w:eastAsia="zh-CN"/>
        </w:rPr>
        <w:t>中浙-CZTC22034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1、我方承诺投标有效期从提交投标文件的截止之日起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天（不少于90天），本投标文件在投标有效期满之前均具有约束力。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firstLine="480" w:firstLineChars="200"/>
        <w:textAlignment w:val="auto"/>
        <w:outlineLvl w:val="1"/>
        <w:rPr>
          <w:rFonts w:hint="eastAsia" w:ascii="宋体" w:hAnsi="宋体" w:eastAsia="宋体" w:cs="宋体"/>
          <w:color w:val="auto"/>
          <w:sz w:val="24"/>
          <w:szCs w:val="24"/>
          <w:highlight w:val="none"/>
        </w:rPr>
      </w:pPr>
      <w:bookmarkStart w:id="460" w:name="_Toc14167"/>
      <w:r>
        <w:rPr>
          <w:rFonts w:hint="eastAsia" w:ascii="宋体" w:hAnsi="宋体" w:eastAsia="宋体" w:cs="宋体"/>
          <w:color w:val="auto"/>
          <w:sz w:val="24"/>
          <w:szCs w:val="24"/>
          <w:highlight w:val="none"/>
        </w:rPr>
        <w:t>2.1资格文件：</w:t>
      </w:r>
      <w:bookmarkEnd w:id="460"/>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2.1.1承诺函；</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2.1.2落实政府采购政策需满足的资格要求（如果有）；</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2.1.3本项目的特定资格要求（如果有）。</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firstLine="480" w:firstLineChars="200"/>
        <w:textAlignment w:val="auto"/>
        <w:outlineLvl w:val="1"/>
        <w:rPr>
          <w:rFonts w:hint="eastAsia" w:ascii="宋体" w:hAnsi="宋体" w:eastAsia="宋体" w:cs="宋体"/>
          <w:color w:val="auto"/>
          <w:sz w:val="24"/>
          <w:szCs w:val="24"/>
          <w:highlight w:val="none"/>
          <w:lang w:val="zh-CN"/>
        </w:rPr>
      </w:pPr>
      <w:bookmarkStart w:id="461" w:name="_Toc4779"/>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CN"/>
        </w:rPr>
        <w:t xml:space="preserve"> </w:t>
      </w:r>
      <w:r>
        <w:rPr>
          <w:rFonts w:hint="eastAsia" w:ascii="宋体" w:hAnsi="宋体" w:eastAsia="宋体" w:cs="宋体"/>
          <w:color w:val="auto"/>
          <w:sz w:val="24"/>
          <w:szCs w:val="24"/>
          <w:highlight w:val="none"/>
        </w:rPr>
        <w:t>商务技术</w:t>
      </w:r>
      <w:r>
        <w:rPr>
          <w:rFonts w:hint="eastAsia" w:ascii="宋体" w:hAnsi="宋体" w:eastAsia="宋体" w:cs="宋体"/>
          <w:color w:val="auto"/>
          <w:sz w:val="24"/>
          <w:szCs w:val="24"/>
          <w:highlight w:val="none"/>
          <w:lang w:val="zh-CN"/>
        </w:rPr>
        <w:t>文件：</w:t>
      </w:r>
      <w:bookmarkEnd w:id="461"/>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w:t>
      </w:r>
      <w:r>
        <w:rPr>
          <w:rFonts w:hint="eastAsia" w:ascii="宋体" w:hAnsi="宋体" w:cs="宋体"/>
          <w:color w:val="auto"/>
          <w:sz w:val="24"/>
          <w:szCs w:val="24"/>
          <w:highlight w:val="none"/>
          <w:lang w:val="en-US" w:eastAsia="zh-CN"/>
        </w:rPr>
        <w:t>投标</w:t>
      </w: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函；</w:t>
      </w:r>
      <w:r>
        <w:rPr>
          <w:rFonts w:hint="eastAsia" w:ascii="宋体" w:hAnsi="宋体" w:eastAsia="宋体" w:cs="宋体"/>
          <w:color w:val="auto"/>
          <w:sz w:val="24"/>
          <w:szCs w:val="24"/>
          <w:highlight w:val="non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符合性审查资料；</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标准相应的商务技术资料；</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商务技术偏离表；</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firstLine="480" w:firstLineChars="200"/>
        <w:textAlignment w:val="auto"/>
        <w:outlineLvl w:val="1"/>
        <w:rPr>
          <w:rFonts w:hint="eastAsia" w:ascii="宋体" w:hAnsi="宋体" w:eastAsia="宋体" w:cs="宋体"/>
          <w:color w:val="auto"/>
          <w:sz w:val="24"/>
          <w:szCs w:val="24"/>
          <w:highlight w:val="none"/>
        </w:rPr>
      </w:pPr>
      <w:bookmarkStart w:id="462" w:name="_Toc17175"/>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rPr>
        <w:t>3报价文件</w:t>
      </w:r>
      <w:bookmarkEnd w:id="462"/>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2.3.1开标一览表（报价表）；</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2.3.2中小企业声明函（如果有）</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保证忠实地执行双方所签订的合同，并承担合同规定的责任和义务。</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保证遵守</w:t>
      </w:r>
      <w:r>
        <w:rPr>
          <w:rFonts w:hint="eastAsia" w:ascii="宋体" w:hAnsi="宋体" w:cs="宋体"/>
          <w:color w:val="auto"/>
          <w:sz w:val="24"/>
          <w:szCs w:val="24"/>
          <w:highlight w:val="none"/>
          <w:lang w:eastAsia="zh-CN"/>
        </w:rPr>
        <w:t>招标文件</w:t>
      </w:r>
      <w:r>
        <w:rPr>
          <w:rFonts w:hint="eastAsia" w:ascii="宋体" w:hAnsi="宋体" w:cs="宋体"/>
          <w:color w:val="auto"/>
          <w:sz w:val="24"/>
          <w:szCs w:val="24"/>
          <w:highlight w:val="none"/>
        </w:rPr>
        <w:t>中的其他有关规定。</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我方完全理解贵方不一定要接受最低价的投标报价。</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rPr>
        <w:t>我方愿意向贵方提供任何与该项投标有关的数据、情况和技术资料。若贵方需要，我方愿意提供我方作出的一切承诺的证明材料。</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我方已详细审核全部投标文件，包括投标文件修改书（如果有）、参考资料及有关附件，确认无误。</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（1）提供虚假材料谋取成交、成交的；</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（2）采取不正当手段诋毁、排挤其他供应商的；</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（3）与</w:t>
      </w:r>
      <w:r>
        <w:rPr>
          <w:rFonts w:hint="eastAsia" w:ascii="宋体" w:hAnsi="宋体" w:cs="宋体"/>
          <w:color w:val="auto"/>
          <w:kern w:val="0"/>
          <w:sz w:val="24"/>
          <w:szCs w:val="24"/>
          <w:highlight w:val="none"/>
        </w:rPr>
        <w:t>采购人</w:t>
      </w:r>
      <w:r>
        <w:rPr>
          <w:rFonts w:hint="eastAsia" w:ascii="宋体" w:hAnsi="宋体" w:cs="宋体"/>
          <w:color w:val="auto"/>
          <w:sz w:val="24"/>
          <w:szCs w:val="24"/>
          <w:highlight w:val="none"/>
        </w:rPr>
        <w:t>、其它供应商恶意串通的；</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（4）向</w:t>
      </w:r>
      <w:r>
        <w:rPr>
          <w:rFonts w:hint="eastAsia" w:ascii="宋体" w:hAnsi="宋体" w:cs="宋体"/>
          <w:color w:val="auto"/>
          <w:kern w:val="0"/>
          <w:sz w:val="24"/>
          <w:szCs w:val="24"/>
          <w:highlight w:val="none"/>
        </w:rPr>
        <w:t>采购人</w:t>
      </w:r>
      <w:r>
        <w:rPr>
          <w:rFonts w:hint="eastAsia" w:ascii="宋体" w:hAnsi="宋体" w:cs="宋体"/>
          <w:color w:val="auto"/>
          <w:sz w:val="24"/>
          <w:szCs w:val="24"/>
          <w:highlight w:val="none"/>
        </w:rPr>
        <w:t>、采购代理机构行贿或者提供其他不正当利益的；</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（5）在招标采购过程中与</w:t>
      </w:r>
      <w:r>
        <w:rPr>
          <w:rFonts w:hint="eastAsia" w:ascii="宋体" w:hAnsi="宋体" w:cs="宋体"/>
          <w:color w:val="auto"/>
          <w:kern w:val="0"/>
          <w:sz w:val="24"/>
          <w:szCs w:val="24"/>
          <w:highlight w:val="none"/>
        </w:rPr>
        <w:t>采购人</w:t>
      </w:r>
      <w:r>
        <w:rPr>
          <w:rFonts w:hint="eastAsia" w:ascii="宋体" w:hAnsi="宋体" w:cs="宋体"/>
          <w:color w:val="auto"/>
          <w:sz w:val="24"/>
          <w:szCs w:val="24"/>
          <w:highlight w:val="none"/>
        </w:rPr>
        <w:t>进行协商谈判的；</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color w:val="auto"/>
          <w:sz w:val="24"/>
          <w:szCs w:val="24"/>
          <w:highlight w:val="none"/>
        </w:rPr>
      </w:pPr>
      <w:r>
        <w:rPr>
          <w:rFonts w:hint="eastAsia" w:ascii="宋体" w:hAnsi="宋体" w:cs="宋体"/>
          <w:color w:val="auto"/>
          <w:sz w:val="24"/>
          <w:szCs w:val="24"/>
          <w:highlight w:val="none"/>
        </w:rPr>
        <w:t>（6）拒绝有关部门监督检查或提供虚假情况的。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、如我方中标，我方承诺：</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 xml:space="preserve">.1在收到中标通知书后，在中标通知书规定的期限内与你方签订合同；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 xml:space="preserve">.2在签订合同时不向你方提出附加条件；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 xml:space="preserve">.3按照招标文件要求提交履约保证金；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 xml:space="preserve">.4在合同约定的期限内完成合同规定的全部义务。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rPr>
        <w:t>、其他补充说明:</w:t>
      </w:r>
      <w:r>
        <w:rPr>
          <w:rFonts w:hint="eastAsia" w:ascii="宋体" w:hAnsi="宋体" w:eastAsia="宋体" w:cs="宋体"/>
          <w:color w:val="auto"/>
          <w:sz w:val="24"/>
          <w:szCs w:val="24"/>
          <w:highlight w:val="none"/>
          <w:u w:val="single"/>
          <w:lang w:val="en-US" w:eastAsia="zh-CN"/>
        </w:rPr>
        <w:t>按</w:t>
      </w:r>
      <w:r>
        <w:rPr>
          <w:rFonts w:hint="eastAsia" w:ascii="宋体" w:hAnsi="宋体" w:cs="宋体"/>
          <w:color w:val="auto"/>
          <w:sz w:val="24"/>
          <w:szCs w:val="24"/>
          <w:highlight w:val="none"/>
          <w:u w:val="single"/>
          <w:lang w:val="en-US" w:eastAsia="zh-CN"/>
        </w:rPr>
        <w:t>招标文件</w:t>
      </w:r>
      <w:r>
        <w:rPr>
          <w:rFonts w:hint="eastAsia" w:ascii="宋体" w:hAnsi="宋体" w:eastAsia="宋体" w:cs="宋体"/>
          <w:color w:val="auto"/>
          <w:sz w:val="24"/>
          <w:szCs w:val="24"/>
          <w:highlight w:val="none"/>
          <w:u w:val="single"/>
          <w:lang w:val="en-US" w:eastAsia="zh-CN"/>
        </w:rPr>
        <w:t>要求支付采购代理机构成交服务费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val="0"/>
        <w:spacing w:line="360" w:lineRule="auto"/>
        <w:ind w:firstLine="3600" w:firstLineChars="15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投标人名称（电子签名）：                          </w:t>
      </w:r>
    </w:p>
    <w:p>
      <w:pPr>
        <w:keepNext w:val="0"/>
        <w:keepLines w:val="0"/>
        <w:pageBreakBefore w:val="0"/>
        <w:widowControl w:val="0"/>
        <w:kinsoku/>
        <w:wordWrap/>
        <w:overflowPunct/>
        <w:topLinePunct w:val="0"/>
        <w:autoSpaceDE/>
        <w:autoSpaceDN/>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日期：  年   月   日</w:t>
      </w:r>
    </w:p>
    <w:p>
      <w:pP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br w:type="page"/>
      </w:r>
    </w:p>
    <w:p>
      <w:pPr>
        <w:jc w:val="center"/>
        <w:outlineLvl w:val="0"/>
        <w:rPr>
          <w:rFonts w:hint="eastAsia" w:ascii="宋体" w:hAnsi="宋体" w:eastAsia="宋体" w:cs="宋体"/>
          <w:b/>
          <w:color w:val="auto"/>
          <w:kern w:val="0"/>
          <w:sz w:val="32"/>
          <w:szCs w:val="32"/>
          <w:highlight w:val="none"/>
          <w:lang w:val="zh-CN"/>
        </w:rPr>
      </w:pPr>
      <w:bookmarkStart w:id="463" w:name="_Toc15434"/>
      <w:r>
        <w:rPr>
          <w:rFonts w:hint="eastAsia" w:ascii="宋体" w:hAnsi="宋体" w:eastAsia="宋体" w:cs="宋体"/>
          <w:b/>
          <w:color w:val="auto"/>
          <w:kern w:val="0"/>
          <w:sz w:val="32"/>
          <w:szCs w:val="32"/>
          <w:highlight w:val="none"/>
          <w:lang w:val="zh-CN"/>
        </w:rPr>
        <w:t>二、授权委托书或法定代表人（单位负责人、自然人本人）身份证明</w:t>
      </w:r>
      <w:bookmarkEnd w:id="463"/>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napToGrid w:val="0"/>
        <w:spacing w:line="360" w:lineRule="auto"/>
        <w:ind w:firstLine="3833" w:firstLineChars="1193"/>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lang w:val="zh-CN"/>
        </w:rPr>
        <w:t>授权委托书</w:t>
      </w:r>
      <w:r>
        <w:rPr>
          <w:rFonts w:hint="eastAsia" w:ascii="宋体" w:hAnsi="宋体" w:eastAsia="宋体" w:cs="宋体"/>
          <w:color w:val="auto"/>
          <w:highlight w:val="none"/>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嘉兴市第一医院</w:t>
      </w:r>
      <w:r>
        <w:rPr>
          <w:rFonts w:hint="eastAsia" w:ascii="宋体" w:hAnsi="宋体" w:eastAsia="宋体" w:cs="宋体"/>
          <w:color w:val="auto"/>
          <w:sz w:val="24"/>
          <w:highlight w:val="none"/>
        </w:rPr>
        <w:t>、杭州中浙招标有限公司：</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cs="宋体"/>
          <w:color w:val="auto"/>
          <w:sz w:val="24"/>
          <w:highlight w:val="none"/>
          <w:lang w:eastAsia="zh-CN"/>
        </w:rPr>
        <w:t>嘉兴市第一医院高质量发展咨询辅导项目</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招标编号：</w:t>
      </w:r>
      <w:r>
        <w:rPr>
          <w:rFonts w:hint="eastAsia" w:ascii="宋体" w:hAnsi="宋体" w:cs="宋体"/>
          <w:color w:val="auto"/>
          <w:sz w:val="24"/>
          <w:highlight w:val="none"/>
          <w:lang w:eastAsia="zh-CN"/>
        </w:rPr>
        <w:t>中浙-CZTC22034</w:t>
      </w:r>
      <w:r>
        <w:rPr>
          <w:rFonts w:hint="eastAsia" w:ascii="宋体" w:hAnsi="宋体" w:eastAsia="宋体" w:cs="宋体"/>
          <w:color w:val="auto"/>
          <w:sz w:val="24"/>
          <w:highlight w:val="none"/>
          <w:lang w:eastAsia="zh-CN"/>
        </w:rPr>
        <w:t>）</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投标人名称(电子签名)：</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签发日期：  年  月   日</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 xml:space="preserve"> </w:t>
      </w:r>
    </w:p>
    <w:p>
      <w:pPr>
        <w:pStyle w:val="23"/>
        <w:rPr>
          <w:rFonts w:hint="eastAsia" w:ascii="宋体" w:hAnsi="宋体" w:eastAsia="宋体" w:cs="宋体"/>
          <w:b/>
          <w:color w:val="auto"/>
          <w:kern w:val="0"/>
          <w:sz w:val="32"/>
          <w:szCs w:val="32"/>
          <w:highlight w:val="none"/>
          <w:lang w:val="zh-CN"/>
        </w:rPr>
      </w:pPr>
    </w:p>
    <w:p>
      <w:pPr>
        <w:rPr>
          <w:rFonts w:hint="eastAsia" w:ascii="宋体" w:hAnsi="宋体" w:eastAsia="宋体" w:cs="宋体"/>
          <w:b/>
          <w:color w:val="auto"/>
          <w:kern w:val="0"/>
          <w:sz w:val="32"/>
          <w:szCs w:val="32"/>
          <w:highlight w:val="none"/>
          <w:lang w:val="zh-CN"/>
        </w:rPr>
      </w:pPr>
    </w:p>
    <w:p>
      <w:pPr>
        <w:pStyle w:val="23"/>
        <w:rPr>
          <w:rFonts w:hint="eastAsia" w:ascii="宋体" w:hAnsi="宋体" w:eastAsia="宋体" w:cs="宋体"/>
          <w:b/>
          <w:color w:val="auto"/>
          <w:kern w:val="0"/>
          <w:sz w:val="32"/>
          <w:szCs w:val="32"/>
          <w:highlight w:val="none"/>
          <w:lang w:val="zh-CN"/>
        </w:rPr>
      </w:pPr>
    </w:p>
    <w:p>
      <w:pPr>
        <w:rPr>
          <w:rFonts w:hint="eastAsia" w:ascii="宋体" w:hAnsi="宋体" w:eastAsia="宋体" w:cs="宋体"/>
          <w:b/>
          <w:color w:val="auto"/>
          <w:kern w:val="0"/>
          <w:sz w:val="32"/>
          <w:szCs w:val="32"/>
          <w:highlight w:val="none"/>
          <w:lang w:val="zh-CN"/>
        </w:rPr>
      </w:pPr>
    </w:p>
    <w:p>
      <w:pPr>
        <w:pStyle w:val="23"/>
        <w:rPr>
          <w:rFonts w:hint="eastAsia" w:ascii="宋体" w:hAnsi="宋体" w:eastAsia="宋体" w:cs="宋体"/>
          <w:b/>
          <w:color w:val="auto"/>
          <w:kern w:val="0"/>
          <w:sz w:val="32"/>
          <w:szCs w:val="32"/>
          <w:highlight w:val="none"/>
          <w:lang w:val="zh-CN"/>
        </w:rPr>
      </w:pPr>
    </w:p>
    <w:p>
      <w:pPr>
        <w:rPr>
          <w:rFonts w:hint="eastAsia" w:ascii="宋体" w:hAnsi="宋体" w:eastAsia="宋体" w:cs="宋体"/>
          <w:b/>
          <w:color w:val="auto"/>
          <w:kern w:val="0"/>
          <w:sz w:val="32"/>
          <w:szCs w:val="32"/>
          <w:highlight w:val="none"/>
          <w:lang w:val="zh-CN"/>
        </w:rPr>
      </w:pPr>
    </w:p>
    <w:p>
      <w:pPr>
        <w:pStyle w:val="23"/>
        <w:rPr>
          <w:rFonts w:hint="eastAsia" w:ascii="宋体" w:hAnsi="宋体" w:eastAsia="宋体" w:cs="宋体"/>
          <w:b/>
          <w:color w:val="auto"/>
          <w:kern w:val="0"/>
          <w:sz w:val="32"/>
          <w:szCs w:val="32"/>
          <w:highlight w:val="none"/>
          <w:lang w:val="zh-CN"/>
        </w:rPr>
      </w:pPr>
    </w:p>
    <w:p>
      <w:pPr>
        <w:rPr>
          <w:rFonts w:hint="eastAsia" w:ascii="宋体" w:hAnsi="宋体" w:eastAsia="宋体" w:cs="宋体"/>
          <w:b/>
          <w:color w:val="auto"/>
          <w:kern w:val="0"/>
          <w:sz w:val="32"/>
          <w:szCs w:val="32"/>
          <w:highlight w:val="none"/>
          <w:lang w:val="zh-CN"/>
        </w:rPr>
      </w:pPr>
    </w:p>
    <w:p>
      <w:pPr>
        <w:pStyle w:val="2"/>
        <w:outlineLvl w:val="9"/>
        <w:rPr>
          <w:rFonts w:hint="eastAsia" w:ascii="宋体" w:hAnsi="宋体" w:eastAsia="宋体" w:cs="宋体"/>
          <w:b/>
          <w:color w:val="auto"/>
          <w:kern w:val="0"/>
          <w:sz w:val="32"/>
          <w:szCs w:val="32"/>
          <w:highlight w:val="none"/>
          <w:lang w:val="zh-CN"/>
        </w:rPr>
      </w:pPr>
    </w:p>
    <w:p>
      <w:pPr>
        <w:rPr>
          <w:rFonts w:hint="eastAsia"/>
          <w:color w:val="auto"/>
          <w:highlight w:val="none"/>
          <w:lang w:val="zh-CN"/>
        </w:rPr>
      </w:pPr>
    </w:p>
    <w:p>
      <w:pPr>
        <w:rPr>
          <w:rFonts w:hint="eastAsia" w:ascii="宋体" w:hAnsi="宋体" w:eastAsia="宋体" w:cs="宋体"/>
          <w:b/>
          <w:color w:val="auto"/>
          <w:kern w:val="0"/>
          <w:sz w:val="32"/>
          <w:szCs w:val="32"/>
          <w:highlight w:val="none"/>
          <w:lang w:val="zh-CN"/>
        </w:rPr>
      </w:pPr>
    </w:p>
    <w:p>
      <w:pPr>
        <w:pStyle w:val="23"/>
        <w:rPr>
          <w:rFonts w:hint="eastAsia" w:ascii="宋体" w:hAnsi="宋体" w:eastAsia="宋体" w:cs="宋体"/>
          <w:color w:val="auto"/>
          <w:highlight w:val="none"/>
          <w:lang w:val="zh-CN"/>
        </w:rPr>
      </w:pPr>
    </w:p>
    <w:p>
      <w:pPr>
        <w:autoSpaceDE w:val="0"/>
        <w:autoSpaceDN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kern w:val="0"/>
          <w:sz w:val="32"/>
          <w:szCs w:val="32"/>
          <w:highlight w:val="none"/>
          <w:lang w:val="zh-CN"/>
        </w:rPr>
        <w:t>法定代表人、单位负责人或自然人本人</w:t>
      </w:r>
      <w:r>
        <w:rPr>
          <w:rFonts w:hint="eastAsia" w:ascii="宋体" w:hAnsi="宋体" w:eastAsia="宋体" w:cs="宋体"/>
          <w:b/>
          <w:color w:val="auto"/>
          <w:sz w:val="30"/>
          <w:szCs w:val="30"/>
          <w:highlight w:val="none"/>
        </w:rPr>
        <w:t>的身份证明（适用于法定代表人、单位负责人或者自然人本人代表投标人参加投标）</w:t>
      </w:r>
    </w:p>
    <w:p>
      <w:pPr>
        <w:pStyle w:val="32"/>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身份证件扫描件：</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32"/>
              <w:adjustRightIn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正面：                                 反面：</w:t>
            </w:r>
          </w:p>
          <w:p>
            <w:pPr>
              <w:pStyle w:val="32"/>
              <w:adjustRightInd w:val="0"/>
              <w:spacing w:line="360" w:lineRule="auto"/>
              <w:rPr>
                <w:rFonts w:hint="eastAsia" w:ascii="宋体" w:hAnsi="宋体" w:eastAsia="宋体" w:cs="宋体"/>
                <w:bCs/>
                <w:color w:val="auto"/>
                <w:sz w:val="24"/>
                <w:highlight w:val="none"/>
              </w:rPr>
            </w:pPr>
          </w:p>
        </w:tc>
      </w:tr>
    </w:tbl>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ind w:firstLine="576"/>
        <w:jc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zh-CN"/>
        </w:rPr>
        <w:t xml:space="preserve">                  投标人名称(电子签名)：</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cs="宋体"/>
          <w:color w:val="auto"/>
          <w:kern w:val="0"/>
          <w:sz w:val="24"/>
          <w:highlight w:val="none"/>
          <w:lang w:val="en-US" w:eastAsia="zh-CN"/>
        </w:rPr>
        <w:t xml:space="preserve">                  </w:t>
      </w:r>
      <w:r>
        <w:rPr>
          <w:rFonts w:hint="eastAsia" w:ascii="宋体" w:hAnsi="宋体" w:eastAsia="宋体" w:cs="宋体"/>
          <w:color w:val="auto"/>
          <w:kern w:val="0"/>
          <w:sz w:val="24"/>
          <w:highlight w:val="none"/>
          <w:lang w:val="zh-CN"/>
        </w:rPr>
        <w:t>日期：  年  月  日</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pStyle w:val="2"/>
        <w:outlineLvl w:val="9"/>
        <w:rPr>
          <w:rFonts w:hint="eastAsia" w:ascii="宋体" w:hAnsi="宋体" w:eastAsia="宋体" w:cs="宋体"/>
          <w:b/>
          <w:color w:val="auto"/>
          <w:kern w:val="0"/>
          <w:sz w:val="32"/>
          <w:szCs w:val="32"/>
          <w:highlight w:val="none"/>
        </w:rPr>
      </w:pPr>
    </w:p>
    <w:p>
      <w:pPr>
        <w:rPr>
          <w:rFonts w:hint="eastAsia" w:ascii="宋体" w:hAnsi="宋体" w:eastAsia="宋体" w:cs="宋体"/>
          <w:b/>
          <w:color w:val="auto"/>
          <w:kern w:val="0"/>
          <w:sz w:val="32"/>
          <w:szCs w:val="32"/>
          <w:highlight w:val="none"/>
        </w:rPr>
      </w:pPr>
    </w:p>
    <w:p>
      <w:pPr>
        <w:pStyle w:val="2"/>
        <w:outlineLvl w:val="9"/>
        <w:rPr>
          <w:rFonts w:hint="eastAsia" w:ascii="宋体" w:hAnsi="宋体" w:eastAsia="宋体" w:cs="宋体"/>
          <w:b/>
          <w:color w:val="auto"/>
          <w:kern w:val="0"/>
          <w:sz w:val="32"/>
          <w:szCs w:val="32"/>
          <w:highlight w:val="none"/>
        </w:rPr>
      </w:pPr>
    </w:p>
    <w:p>
      <w:pPr>
        <w:rPr>
          <w:rFonts w:hint="eastAsia"/>
          <w:color w:val="auto"/>
          <w:highlight w:val="none"/>
        </w:rPr>
      </w:pPr>
    </w:p>
    <w:p>
      <w:pPr>
        <w:pStyle w:val="22"/>
        <w:rPr>
          <w:rFonts w:hint="eastAsia"/>
          <w:color w:val="auto"/>
          <w:highlight w:val="none"/>
        </w:rPr>
      </w:pPr>
    </w:p>
    <w:p>
      <w:pPr>
        <w:jc w:val="center"/>
        <w:rPr>
          <w:rFonts w:hint="eastAsia" w:ascii="宋体" w:hAnsi="宋体" w:eastAsia="宋体" w:cs="宋体"/>
          <w:b/>
          <w:color w:val="auto"/>
          <w:kern w:val="0"/>
          <w:sz w:val="32"/>
          <w:szCs w:val="32"/>
          <w:highlight w:val="none"/>
        </w:rPr>
      </w:pPr>
    </w:p>
    <w:p>
      <w:pPr>
        <w:jc w:val="center"/>
        <w:outlineLvl w:val="0"/>
        <w:rPr>
          <w:rFonts w:hint="eastAsia" w:ascii="宋体" w:hAnsi="宋体" w:eastAsia="宋体" w:cs="宋体"/>
          <w:b/>
          <w:color w:val="auto"/>
          <w:kern w:val="0"/>
          <w:sz w:val="32"/>
          <w:szCs w:val="32"/>
          <w:highlight w:val="none"/>
        </w:rPr>
      </w:pPr>
      <w:bookmarkStart w:id="464" w:name="_Toc31808"/>
      <w:r>
        <w:rPr>
          <w:rFonts w:hint="eastAsia" w:ascii="宋体" w:hAnsi="宋体" w:eastAsia="宋体" w:cs="宋体"/>
          <w:b/>
          <w:color w:val="auto"/>
          <w:kern w:val="0"/>
          <w:sz w:val="32"/>
          <w:szCs w:val="32"/>
          <w:highlight w:val="none"/>
          <w:lang w:val="en-US" w:eastAsia="zh-CN"/>
        </w:rPr>
        <w:t>三</w:t>
      </w:r>
      <w:r>
        <w:rPr>
          <w:rFonts w:hint="eastAsia" w:ascii="宋体" w:hAnsi="宋体" w:eastAsia="宋体" w:cs="宋体"/>
          <w:b/>
          <w:color w:val="auto"/>
          <w:kern w:val="0"/>
          <w:sz w:val="32"/>
          <w:szCs w:val="32"/>
          <w:highlight w:val="none"/>
        </w:rPr>
        <w:t>、符合性审查资料</w:t>
      </w:r>
      <w:bookmarkEnd w:id="464"/>
    </w:p>
    <w:p>
      <w:pPr>
        <w:jc w:val="center"/>
        <w:rPr>
          <w:rFonts w:hint="eastAsia" w:ascii="宋体" w:hAnsi="宋体" w:eastAsia="宋体" w:cs="宋体"/>
          <w:b/>
          <w:color w:val="auto"/>
          <w:kern w:val="0"/>
          <w:sz w:val="32"/>
          <w:szCs w:val="32"/>
          <w:highlight w:val="none"/>
        </w:rPr>
      </w:pPr>
    </w:p>
    <w:tbl>
      <w:tblPr>
        <w:tblStyle w:val="17"/>
        <w:tblW w:w="8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2698"/>
        <w:gridCol w:w="3172"/>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2698"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实质性要求</w:t>
            </w:r>
          </w:p>
        </w:tc>
        <w:tc>
          <w:tcPr>
            <w:tcW w:w="3172"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需要提供的符合性审查资料</w:t>
            </w:r>
          </w:p>
        </w:tc>
        <w:tc>
          <w:tcPr>
            <w:tcW w:w="1653"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2698"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投标文件按照招标文件要求签署、盖章。</w:t>
            </w:r>
          </w:p>
        </w:tc>
        <w:tc>
          <w:tcPr>
            <w:tcW w:w="31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需要使用电子签名或者签字盖章的投标文件的组成部分</w:t>
            </w:r>
          </w:p>
        </w:tc>
        <w:tc>
          <w:tcPr>
            <w:tcW w:w="1653" w:type="dxa"/>
          </w:tcPr>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见投标文件</w:t>
            </w:r>
          </w:p>
          <w:p>
            <w:pPr>
              <w:rPr>
                <w:rFonts w:hint="eastAsia" w:ascii="宋体" w:hAnsi="宋体" w:eastAsia="宋体" w:cs="宋体"/>
                <w:color w:val="auto"/>
                <w:highlight w:val="none"/>
              </w:rPr>
            </w:pPr>
            <w:r>
              <w:rPr>
                <w:rFonts w:hint="eastAsia" w:ascii="宋体" w:hAnsi="宋体" w:eastAsia="宋体" w:cs="宋体"/>
                <w:color w:val="auto"/>
                <w:sz w:val="24"/>
                <w:highlight w:val="none"/>
              </w:rPr>
              <w:t>第</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2</w:t>
            </w:r>
          </w:p>
        </w:tc>
        <w:tc>
          <w:tcPr>
            <w:tcW w:w="2698"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投标文件中承诺的投标有效期不少于招标文件中载明的投标有效期。</w:t>
            </w:r>
          </w:p>
        </w:tc>
        <w:tc>
          <w:tcPr>
            <w:tcW w:w="31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投标函</w:t>
            </w:r>
          </w:p>
        </w:tc>
        <w:tc>
          <w:tcPr>
            <w:tcW w:w="1653" w:type="dxa"/>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见投标文件</w:t>
            </w:r>
          </w:p>
          <w:p>
            <w:pPr>
              <w:rPr>
                <w:rFonts w:hint="eastAsia" w:ascii="宋体" w:hAnsi="宋体" w:eastAsia="宋体" w:cs="宋体"/>
                <w:color w:val="auto"/>
                <w:highlight w:val="none"/>
              </w:rPr>
            </w:pPr>
            <w:r>
              <w:rPr>
                <w:rFonts w:hint="eastAsia" w:ascii="宋体" w:hAnsi="宋体" w:eastAsia="宋体" w:cs="宋体"/>
                <w:color w:val="auto"/>
                <w:sz w:val="24"/>
                <w:highlight w:val="none"/>
              </w:rPr>
              <w:t>第</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3</w:t>
            </w:r>
          </w:p>
        </w:tc>
        <w:tc>
          <w:tcPr>
            <w:tcW w:w="2698"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投标文件满足招标文件的其它实质性要求。</w:t>
            </w:r>
          </w:p>
        </w:tc>
        <w:tc>
          <w:tcPr>
            <w:tcW w:w="31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招标文件其它实质性要求相应的材料（“▲” 系指实质性要求条款，招标文件无其它实质性要求的，无需提供）</w:t>
            </w:r>
          </w:p>
        </w:tc>
        <w:tc>
          <w:tcPr>
            <w:tcW w:w="1653" w:type="dxa"/>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见投标文件</w:t>
            </w:r>
          </w:p>
          <w:p>
            <w:pPr>
              <w:rPr>
                <w:rFonts w:hint="eastAsia" w:ascii="宋体" w:hAnsi="宋体" w:eastAsia="宋体" w:cs="宋体"/>
                <w:color w:val="auto"/>
                <w:highlight w:val="none"/>
              </w:rPr>
            </w:pPr>
            <w:r>
              <w:rPr>
                <w:rFonts w:hint="eastAsia" w:ascii="宋体" w:hAnsi="宋体" w:eastAsia="宋体" w:cs="宋体"/>
                <w:color w:val="auto"/>
                <w:sz w:val="24"/>
                <w:highlight w:val="none"/>
              </w:rPr>
              <w:t>第</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页</w:t>
            </w:r>
          </w:p>
        </w:tc>
      </w:tr>
    </w:tbl>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 xml:space="preserve">            </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br w:type="page"/>
      </w:r>
    </w:p>
    <w:p>
      <w:pPr>
        <w:spacing w:line="360" w:lineRule="auto"/>
        <w:jc w:val="center"/>
        <w:outlineLvl w:val="0"/>
        <w:rPr>
          <w:rFonts w:hint="eastAsia" w:ascii="宋体" w:hAnsi="宋体" w:eastAsia="宋体" w:cs="宋体"/>
          <w:color w:val="auto"/>
          <w:highlight w:val="none"/>
        </w:rPr>
      </w:pPr>
      <w:bookmarkStart w:id="465" w:name="_Toc6371"/>
      <w:r>
        <w:rPr>
          <w:rFonts w:hint="eastAsia" w:ascii="宋体" w:hAnsi="宋体" w:eastAsia="宋体" w:cs="宋体"/>
          <w:b/>
          <w:color w:val="auto"/>
          <w:kern w:val="0"/>
          <w:sz w:val="32"/>
          <w:szCs w:val="32"/>
          <w:highlight w:val="none"/>
          <w:lang w:val="en-US" w:eastAsia="zh-CN"/>
        </w:rPr>
        <w:t>四</w:t>
      </w:r>
      <w:r>
        <w:rPr>
          <w:rFonts w:hint="eastAsia" w:ascii="宋体" w:hAnsi="宋体" w:eastAsia="宋体" w:cs="宋体"/>
          <w:b/>
          <w:color w:val="auto"/>
          <w:kern w:val="0"/>
          <w:sz w:val="32"/>
          <w:szCs w:val="32"/>
          <w:highlight w:val="none"/>
        </w:rPr>
        <w:t>、</w:t>
      </w:r>
      <w:r>
        <w:rPr>
          <w:rFonts w:hint="eastAsia" w:ascii="宋体" w:hAnsi="宋体" w:eastAsia="宋体" w:cs="宋体"/>
          <w:b/>
          <w:color w:val="auto"/>
          <w:kern w:val="0"/>
          <w:sz w:val="32"/>
          <w:szCs w:val="32"/>
          <w:highlight w:val="none"/>
          <w:lang w:eastAsia="zh-CN"/>
        </w:rPr>
        <w:t>评审</w:t>
      </w:r>
      <w:r>
        <w:rPr>
          <w:rFonts w:hint="eastAsia" w:ascii="宋体" w:hAnsi="宋体" w:eastAsia="宋体" w:cs="宋体"/>
          <w:b/>
          <w:color w:val="auto"/>
          <w:kern w:val="0"/>
          <w:sz w:val="32"/>
          <w:szCs w:val="32"/>
          <w:highlight w:val="none"/>
        </w:rPr>
        <w:t>标准相应的商务技术资料</w:t>
      </w:r>
      <w:bookmarkEnd w:id="465"/>
    </w:p>
    <w:p>
      <w:pPr>
        <w:snapToGrid w:val="0"/>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（按</w:t>
      </w:r>
      <w:r>
        <w:rPr>
          <w:rFonts w:hint="eastAsia" w:ascii="宋体" w:hAnsi="宋体" w:cs="宋体"/>
          <w:b/>
          <w:color w:val="auto"/>
          <w:sz w:val="24"/>
          <w:highlight w:val="none"/>
          <w:lang w:eastAsia="zh-CN"/>
        </w:rPr>
        <w:t>招标文件</w:t>
      </w:r>
      <w:r>
        <w:rPr>
          <w:rFonts w:hint="eastAsia" w:ascii="宋体" w:hAnsi="宋体" w:eastAsia="宋体" w:cs="宋体"/>
          <w:b/>
          <w:color w:val="auto"/>
          <w:sz w:val="24"/>
          <w:highlight w:val="none"/>
        </w:rPr>
        <w:t>第四部分</w:t>
      </w:r>
      <w:r>
        <w:rPr>
          <w:rFonts w:hint="eastAsia" w:ascii="宋体" w:hAnsi="宋体" w:eastAsia="宋体" w:cs="宋体"/>
          <w:b/>
          <w:color w:val="auto"/>
          <w:sz w:val="24"/>
          <w:highlight w:val="none"/>
          <w:lang w:eastAsia="zh-CN"/>
        </w:rPr>
        <w:t>评审</w:t>
      </w:r>
      <w:r>
        <w:rPr>
          <w:rFonts w:hint="eastAsia" w:ascii="宋体" w:hAnsi="宋体" w:eastAsia="宋体" w:cs="宋体"/>
          <w:b/>
          <w:color w:val="auto"/>
          <w:sz w:val="24"/>
          <w:highlight w:val="none"/>
        </w:rPr>
        <w:t>办法前附表中“</w:t>
      </w:r>
      <w:r>
        <w:rPr>
          <w:rFonts w:hint="eastAsia" w:ascii="宋体" w:hAnsi="宋体" w:cs="宋体"/>
          <w:b/>
          <w:color w:val="auto"/>
          <w:sz w:val="24"/>
          <w:highlight w:val="none"/>
          <w:lang w:eastAsia="zh-CN"/>
        </w:rPr>
        <w:t>投标文件</w:t>
      </w:r>
      <w:r>
        <w:rPr>
          <w:rFonts w:hint="eastAsia" w:ascii="宋体" w:hAnsi="宋体" w:eastAsia="宋体" w:cs="宋体"/>
          <w:b/>
          <w:color w:val="auto"/>
          <w:sz w:val="24"/>
          <w:highlight w:val="none"/>
        </w:rPr>
        <w:t>中</w:t>
      </w:r>
      <w:r>
        <w:rPr>
          <w:rFonts w:hint="eastAsia" w:ascii="宋体" w:hAnsi="宋体" w:eastAsia="宋体" w:cs="宋体"/>
          <w:b/>
          <w:color w:val="auto"/>
          <w:sz w:val="24"/>
          <w:highlight w:val="none"/>
          <w:lang w:eastAsia="zh-CN"/>
        </w:rPr>
        <w:t>评审</w:t>
      </w:r>
      <w:r>
        <w:rPr>
          <w:rFonts w:hint="eastAsia" w:ascii="宋体" w:hAnsi="宋体" w:eastAsia="宋体" w:cs="宋体"/>
          <w:b/>
          <w:color w:val="auto"/>
          <w:sz w:val="24"/>
          <w:highlight w:val="none"/>
        </w:rPr>
        <w:t>标准相应的商务技术资料目录”提供资料）</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1.供应商基本情况表（格式参考</w:t>
      </w:r>
      <w:r>
        <w:rPr>
          <w:rFonts w:hint="eastAsia" w:ascii="宋体" w:hAnsi="宋体" w:cs="宋体"/>
          <w:color w:val="auto"/>
          <w:kern w:val="0"/>
          <w:sz w:val="24"/>
          <w:highlight w:val="none"/>
          <w:lang w:val="en-US" w:eastAsia="zh-CN"/>
        </w:rPr>
        <w:t>投标文件</w:t>
      </w:r>
      <w:r>
        <w:rPr>
          <w:rFonts w:hint="eastAsia" w:ascii="宋体" w:hAnsi="宋体" w:eastAsia="宋体" w:cs="宋体"/>
          <w:color w:val="auto"/>
          <w:kern w:val="0"/>
          <w:sz w:val="24"/>
          <w:highlight w:val="none"/>
          <w:lang w:val="en-US" w:eastAsia="zh-CN"/>
        </w:rPr>
        <w:t>格式1）；</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2.主要业绩证明（格式参考</w:t>
      </w:r>
      <w:r>
        <w:rPr>
          <w:rFonts w:hint="eastAsia" w:ascii="宋体" w:hAnsi="宋体" w:cs="宋体"/>
          <w:color w:val="auto"/>
          <w:kern w:val="0"/>
          <w:sz w:val="24"/>
          <w:highlight w:val="none"/>
          <w:lang w:val="en-US" w:eastAsia="zh-CN"/>
        </w:rPr>
        <w:t>投标文件</w:t>
      </w:r>
      <w:r>
        <w:rPr>
          <w:rFonts w:hint="eastAsia" w:ascii="宋体" w:hAnsi="宋体" w:eastAsia="宋体" w:cs="宋体"/>
          <w:color w:val="auto"/>
          <w:kern w:val="0"/>
          <w:sz w:val="24"/>
          <w:highlight w:val="none"/>
          <w:lang w:val="en-US" w:eastAsia="zh-CN"/>
        </w:rPr>
        <w:t>格式2）（若有）；</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32"/>
          <w:szCs w:val="32"/>
          <w:highlight w:val="none"/>
        </w:rPr>
      </w:pPr>
      <w:r>
        <w:rPr>
          <w:rFonts w:hint="eastAsia" w:ascii="宋体" w:hAnsi="宋体" w:cs="宋体"/>
          <w:color w:val="auto"/>
          <w:kern w:val="0"/>
          <w:sz w:val="24"/>
          <w:highlight w:val="none"/>
          <w:lang w:val="en-US" w:eastAsia="zh-CN"/>
        </w:rPr>
        <w:t>3</w:t>
      </w:r>
      <w:r>
        <w:rPr>
          <w:rFonts w:hint="eastAsia" w:ascii="宋体" w:hAnsi="宋体" w:eastAsia="宋体" w:cs="宋体"/>
          <w:color w:val="auto"/>
          <w:kern w:val="0"/>
          <w:sz w:val="24"/>
          <w:highlight w:val="none"/>
          <w:lang w:val="en-US" w:eastAsia="zh-CN"/>
        </w:rPr>
        <w:t>.</w:t>
      </w:r>
      <w:r>
        <w:rPr>
          <w:rFonts w:hint="eastAsia" w:ascii="宋体" w:hAnsi="宋体" w:eastAsia="宋体" w:cs="宋体"/>
          <w:color w:val="auto"/>
          <w:kern w:val="0"/>
          <w:sz w:val="24"/>
          <w:highlight w:val="none"/>
          <w:lang w:val="zh-CN" w:eastAsia="zh-CN"/>
        </w:rPr>
        <w:t>招标代理费支付承诺书</w:t>
      </w:r>
      <w:r>
        <w:rPr>
          <w:rFonts w:hint="eastAsia" w:ascii="宋体" w:hAnsi="宋体" w:eastAsia="宋体" w:cs="宋体"/>
          <w:color w:val="auto"/>
          <w:kern w:val="0"/>
          <w:sz w:val="24"/>
          <w:highlight w:val="none"/>
          <w:lang w:val="en-US" w:eastAsia="zh-CN"/>
        </w:rPr>
        <w:t>（格式参考</w:t>
      </w:r>
      <w:r>
        <w:rPr>
          <w:rFonts w:hint="eastAsia" w:ascii="宋体" w:hAnsi="宋体" w:cs="宋体"/>
          <w:color w:val="auto"/>
          <w:kern w:val="0"/>
          <w:sz w:val="24"/>
          <w:highlight w:val="none"/>
          <w:lang w:val="en-US" w:eastAsia="zh-CN"/>
        </w:rPr>
        <w:t>投标文件</w:t>
      </w:r>
      <w:r>
        <w:rPr>
          <w:rFonts w:hint="eastAsia" w:ascii="宋体" w:hAnsi="宋体" w:eastAsia="宋体" w:cs="宋体"/>
          <w:color w:val="auto"/>
          <w:kern w:val="0"/>
          <w:sz w:val="24"/>
          <w:highlight w:val="none"/>
          <w:lang w:val="en-US" w:eastAsia="zh-CN"/>
        </w:rPr>
        <w:t>格式</w:t>
      </w:r>
      <w:r>
        <w:rPr>
          <w:rFonts w:hint="eastAsia" w:ascii="宋体" w:hAnsi="宋体" w:cs="宋体"/>
          <w:color w:val="auto"/>
          <w:kern w:val="0"/>
          <w:sz w:val="24"/>
          <w:highlight w:val="none"/>
          <w:lang w:val="en-US" w:eastAsia="zh-CN"/>
        </w:rPr>
        <w:t>5</w:t>
      </w:r>
      <w:r>
        <w:rPr>
          <w:rFonts w:hint="eastAsia" w:ascii="宋体" w:hAnsi="宋体" w:eastAsia="宋体" w:cs="宋体"/>
          <w:color w:val="auto"/>
          <w:kern w:val="0"/>
          <w:sz w:val="24"/>
          <w:highlight w:val="none"/>
          <w:lang w:val="en-US" w:eastAsia="zh-CN"/>
        </w:rPr>
        <w:t>）；</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4.</w:t>
      </w:r>
      <w:r>
        <w:rPr>
          <w:rFonts w:hint="eastAsia" w:ascii="宋体" w:hAnsi="宋体" w:eastAsia="宋体" w:cs="宋体"/>
          <w:color w:val="auto"/>
          <w:kern w:val="0"/>
          <w:sz w:val="24"/>
          <w:highlight w:val="none"/>
          <w:lang w:val="en-US" w:eastAsia="zh-CN"/>
        </w:rPr>
        <w:t>对采购人运营管理现状、项目目标、行业现状解读分析；</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5.</w:t>
      </w:r>
      <w:r>
        <w:rPr>
          <w:rFonts w:hint="eastAsia" w:ascii="宋体" w:hAnsi="宋体" w:eastAsia="宋体" w:cs="宋体"/>
          <w:color w:val="auto"/>
          <w:kern w:val="0"/>
          <w:sz w:val="24"/>
          <w:highlight w:val="none"/>
          <w:lang w:val="en-US" w:eastAsia="zh-CN"/>
        </w:rPr>
        <w:t>项目总体实施计划与服务方案；</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6.</w:t>
      </w:r>
      <w:r>
        <w:rPr>
          <w:rFonts w:hint="eastAsia" w:ascii="宋体" w:hAnsi="宋体" w:eastAsia="宋体" w:cs="宋体"/>
          <w:color w:val="auto"/>
          <w:kern w:val="0"/>
          <w:sz w:val="24"/>
          <w:highlight w:val="none"/>
          <w:lang w:val="en-US" w:eastAsia="zh-CN"/>
        </w:rPr>
        <w:t>投标人管理培训辅导服务方案；</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7.</w:t>
      </w:r>
      <w:r>
        <w:rPr>
          <w:rFonts w:hint="eastAsia" w:ascii="宋体" w:hAnsi="宋体" w:eastAsia="宋体" w:cs="宋体"/>
          <w:color w:val="auto"/>
          <w:kern w:val="0"/>
          <w:sz w:val="24"/>
          <w:highlight w:val="none"/>
          <w:lang w:val="en-US" w:eastAsia="zh-CN"/>
        </w:rPr>
        <w:t>投标人企业管理体系、项目实施规范和管理制度等；</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8.</w:t>
      </w:r>
      <w:r>
        <w:rPr>
          <w:rFonts w:hint="eastAsia" w:ascii="宋体" w:hAnsi="宋体" w:eastAsia="宋体" w:cs="宋体"/>
          <w:color w:val="auto"/>
          <w:kern w:val="0"/>
          <w:sz w:val="24"/>
          <w:highlight w:val="none"/>
          <w:lang w:val="en-US" w:eastAsia="zh-CN"/>
        </w:rPr>
        <w:t>投标人进度保障措施：使项目顺利进行的各项保证、保障措施以及时间配置方案；</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9.</w:t>
      </w:r>
      <w:r>
        <w:rPr>
          <w:rFonts w:hint="eastAsia" w:ascii="宋体" w:hAnsi="宋体" w:eastAsia="宋体" w:cs="宋体"/>
          <w:color w:val="auto"/>
          <w:kern w:val="0"/>
          <w:sz w:val="24"/>
          <w:highlight w:val="none"/>
          <w:lang w:val="en-US" w:eastAsia="zh-CN"/>
        </w:rPr>
        <w:t>投标人服务质量保证措施；</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10.</w:t>
      </w:r>
      <w:r>
        <w:rPr>
          <w:rFonts w:hint="eastAsia" w:ascii="宋体" w:hAnsi="宋体" w:eastAsia="宋体" w:cs="宋体"/>
          <w:color w:val="auto"/>
          <w:kern w:val="0"/>
          <w:sz w:val="24"/>
          <w:highlight w:val="none"/>
          <w:lang w:val="en-US" w:eastAsia="zh-CN"/>
        </w:rPr>
        <w:t>投标人运营数据分析与调研能力；</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11.</w:t>
      </w:r>
      <w:r>
        <w:rPr>
          <w:rFonts w:hint="eastAsia" w:ascii="宋体" w:hAnsi="宋体" w:eastAsia="宋体" w:cs="宋体"/>
          <w:color w:val="auto"/>
          <w:kern w:val="0"/>
          <w:sz w:val="24"/>
          <w:highlight w:val="none"/>
          <w:lang w:val="en-US" w:eastAsia="zh-CN"/>
        </w:rPr>
        <w:t>投标人组织活动与筹办能力；</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12.</w:t>
      </w:r>
      <w:r>
        <w:rPr>
          <w:rFonts w:hint="eastAsia" w:ascii="宋体" w:hAnsi="宋体" w:eastAsia="宋体" w:cs="宋体"/>
          <w:color w:val="auto"/>
          <w:kern w:val="0"/>
          <w:sz w:val="24"/>
          <w:highlight w:val="none"/>
          <w:lang w:val="en-US" w:eastAsia="zh-CN"/>
        </w:rPr>
        <w:t>拟投入本项目团队的项目负责人的学历、资格证书、职称、从业经验、组织能力、管理能力等综合技术水平情况（格式参考</w:t>
      </w:r>
      <w:r>
        <w:rPr>
          <w:rFonts w:hint="eastAsia" w:ascii="宋体" w:hAnsi="宋体" w:cs="宋体"/>
          <w:color w:val="auto"/>
          <w:kern w:val="0"/>
          <w:sz w:val="24"/>
          <w:highlight w:val="none"/>
          <w:lang w:val="en-US" w:eastAsia="zh-CN"/>
        </w:rPr>
        <w:t>投标文件</w:t>
      </w:r>
      <w:r>
        <w:rPr>
          <w:rFonts w:hint="eastAsia" w:ascii="宋体" w:hAnsi="宋体" w:eastAsia="宋体" w:cs="宋体"/>
          <w:color w:val="auto"/>
          <w:kern w:val="0"/>
          <w:sz w:val="24"/>
          <w:highlight w:val="none"/>
          <w:lang w:val="en-US" w:eastAsia="zh-CN"/>
        </w:rPr>
        <w:t>格式3）；</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13.</w:t>
      </w:r>
      <w:r>
        <w:rPr>
          <w:rFonts w:hint="eastAsia" w:ascii="宋体" w:hAnsi="宋体" w:eastAsia="宋体" w:cs="宋体"/>
          <w:color w:val="auto"/>
          <w:kern w:val="0"/>
          <w:sz w:val="24"/>
          <w:highlight w:val="none"/>
          <w:lang w:val="en-US" w:eastAsia="zh-CN"/>
        </w:rPr>
        <w:t>拟投入本项目团队的项目人员的学历、专业配置、资格证书、从业经验、访谈能力、分工明确程度等综合技术水平情况（格式参考</w:t>
      </w:r>
      <w:r>
        <w:rPr>
          <w:rFonts w:hint="eastAsia" w:ascii="宋体" w:hAnsi="宋体" w:cs="宋体"/>
          <w:color w:val="auto"/>
          <w:kern w:val="0"/>
          <w:sz w:val="24"/>
          <w:highlight w:val="none"/>
          <w:lang w:val="en-US" w:eastAsia="zh-CN"/>
        </w:rPr>
        <w:t>投标文件</w:t>
      </w:r>
      <w:r>
        <w:rPr>
          <w:rFonts w:hint="eastAsia" w:ascii="宋体" w:hAnsi="宋体" w:eastAsia="宋体" w:cs="宋体"/>
          <w:color w:val="auto"/>
          <w:kern w:val="0"/>
          <w:sz w:val="24"/>
          <w:highlight w:val="none"/>
          <w:lang w:val="en-US" w:eastAsia="zh-CN"/>
        </w:rPr>
        <w:t>格式4）；</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14.</w:t>
      </w:r>
      <w:r>
        <w:rPr>
          <w:rFonts w:hint="eastAsia" w:ascii="宋体" w:hAnsi="宋体" w:eastAsia="宋体" w:cs="宋体"/>
          <w:color w:val="auto"/>
          <w:kern w:val="0"/>
          <w:sz w:val="24"/>
          <w:highlight w:val="none"/>
          <w:lang w:val="en-US" w:eastAsia="zh-CN"/>
        </w:rPr>
        <w:t>与采购人的沟通协调配合方案；</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15.</w:t>
      </w:r>
      <w:r>
        <w:rPr>
          <w:rFonts w:hint="eastAsia" w:ascii="宋体" w:hAnsi="宋体" w:eastAsia="宋体" w:cs="宋体"/>
          <w:color w:val="auto"/>
          <w:kern w:val="0"/>
          <w:sz w:val="24"/>
          <w:highlight w:val="none"/>
          <w:lang w:val="en-US" w:eastAsia="zh-CN"/>
        </w:rPr>
        <w:t>项目交付成果实施思路、信息的获取、编写流程等编纂能力；</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16.</w:t>
      </w:r>
      <w:r>
        <w:rPr>
          <w:rFonts w:hint="eastAsia" w:ascii="宋体" w:hAnsi="宋体" w:eastAsia="宋体" w:cs="宋体"/>
          <w:color w:val="auto"/>
          <w:kern w:val="0"/>
          <w:sz w:val="24"/>
          <w:highlight w:val="none"/>
          <w:lang w:val="en-US" w:eastAsia="zh-CN"/>
        </w:rPr>
        <w:t>完善的售后服务承诺与措施；</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17.</w:t>
      </w:r>
      <w:r>
        <w:rPr>
          <w:rFonts w:hint="eastAsia" w:ascii="宋体" w:hAnsi="宋体" w:eastAsia="宋体" w:cs="宋体"/>
          <w:color w:val="auto"/>
          <w:kern w:val="0"/>
          <w:sz w:val="24"/>
          <w:highlight w:val="none"/>
          <w:lang w:val="en-US" w:eastAsia="zh-CN"/>
        </w:rPr>
        <w:t>供应商提供额外的增值服务承诺；</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18.</w:t>
      </w:r>
      <w:r>
        <w:rPr>
          <w:rFonts w:hint="eastAsia" w:ascii="宋体" w:hAnsi="宋体" w:eastAsia="宋体" w:cs="宋体"/>
          <w:color w:val="auto"/>
          <w:kern w:val="0"/>
          <w:sz w:val="24"/>
          <w:highlight w:val="none"/>
          <w:lang w:val="en-US" w:eastAsia="zh-CN"/>
        </w:rPr>
        <w:t>保密安全方案；</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19.</w:t>
      </w:r>
      <w:r>
        <w:rPr>
          <w:rFonts w:hint="eastAsia" w:ascii="宋体" w:hAnsi="宋体" w:eastAsia="宋体" w:cs="宋体"/>
          <w:color w:val="auto"/>
          <w:kern w:val="0"/>
          <w:sz w:val="24"/>
          <w:highlight w:val="none"/>
          <w:lang w:val="en-US" w:eastAsia="zh-CN"/>
        </w:rPr>
        <w:t>本项目的重、难点分析及解决措施；</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20.其它投标人认为应该提供的资料。</w:t>
      </w:r>
    </w:p>
    <w:p>
      <w:pPr>
        <w:pStyle w:val="22"/>
        <w:rPr>
          <w:rFonts w:hint="eastAsia" w:ascii="宋体" w:hAnsi="宋体" w:eastAsia="宋体" w:cs="宋体"/>
          <w:color w:val="auto"/>
          <w:kern w:val="2"/>
          <w:sz w:val="32"/>
          <w:szCs w:val="32"/>
          <w:highlight w:val="none"/>
        </w:rPr>
      </w:pPr>
    </w:p>
    <w:p>
      <w:pPr>
        <w:pStyle w:val="22"/>
        <w:rPr>
          <w:rFonts w:hint="eastAsia" w:ascii="宋体" w:hAnsi="宋体" w:eastAsia="宋体" w:cs="宋体"/>
          <w:color w:val="auto"/>
          <w:kern w:val="2"/>
          <w:sz w:val="32"/>
          <w:szCs w:val="32"/>
          <w:highlight w:val="none"/>
        </w:rPr>
      </w:pPr>
    </w:p>
    <w:p>
      <w:pPr>
        <w:rPr>
          <w:rFonts w:hint="eastAsia" w:ascii="宋体" w:hAnsi="宋体" w:eastAsia="宋体" w:cs="宋体"/>
          <w:color w:val="auto"/>
          <w:kern w:val="2"/>
          <w:sz w:val="32"/>
          <w:szCs w:val="32"/>
          <w:highlight w:val="none"/>
        </w:rPr>
      </w:pPr>
    </w:p>
    <w:p>
      <w:pPr>
        <w:pStyle w:val="2"/>
        <w:jc w:val="center"/>
        <w:rPr>
          <w:rFonts w:hint="eastAsia" w:ascii="宋体" w:hAnsi="宋体" w:eastAsia="宋体" w:cs="宋体"/>
          <w:color w:val="auto"/>
          <w:highlight w:val="none"/>
        </w:rPr>
      </w:pPr>
      <w:bookmarkStart w:id="466" w:name="_Toc20440"/>
      <w:r>
        <w:rPr>
          <w:rFonts w:hint="eastAsia" w:ascii="宋体" w:hAnsi="宋体" w:eastAsia="宋体" w:cs="宋体"/>
          <w:color w:val="auto"/>
          <w:highlight w:val="none"/>
          <w:lang w:val="en-US" w:eastAsia="zh-CN"/>
        </w:rPr>
        <w:t>投标文件格式1：</w:t>
      </w:r>
      <w:r>
        <w:rPr>
          <w:rFonts w:hint="eastAsia" w:ascii="宋体" w:hAnsi="宋体" w:eastAsia="宋体" w:cs="宋体"/>
          <w:color w:val="auto"/>
          <w:highlight w:val="none"/>
        </w:rPr>
        <w:t>供应商基本情况表</w:t>
      </w:r>
      <w:bookmarkEnd w:id="466"/>
    </w:p>
    <w:p>
      <w:pPr>
        <w:spacing w:line="480" w:lineRule="exact"/>
        <w:jc w:val="center"/>
        <w:outlineLvl w:val="0"/>
        <w:rPr>
          <w:rFonts w:hint="eastAsia" w:ascii="宋体" w:hAnsi="宋体" w:eastAsia="宋体" w:cs="宋体"/>
          <w:color w:val="auto"/>
          <w:sz w:val="28"/>
          <w:highlight w:val="none"/>
        </w:rPr>
      </w:pPr>
      <w:bookmarkStart w:id="467" w:name="_Toc23820"/>
      <w:r>
        <w:rPr>
          <w:rFonts w:hint="eastAsia" w:ascii="宋体" w:hAnsi="宋体" w:eastAsia="宋体" w:cs="宋体"/>
          <w:color w:val="auto"/>
          <w:sz w:val="28"/>
          <w:highlight w:val="none"/>
        </w:rPr>
        <w:t>（由</w:t>
      </w:r>
      <w:r>
        <w:rPr>
          <w:rFonts w:hint="eastAsia" w:ascii="宋体" w:hAnsi="宋体" w:cs="宋体"/>
          <w:color w:val="auto"/>
          <w:sz w:val="28"/>
          <w:highlight w:val="none"/>
          <w:lang w:val="en-US" w:eastAsia="zh-CN"/>
        </w:rPr>
        <w:t>投标人</w:t>
      </w:r>
      <w:r>
        <w:rPr>
          <w:rFonts w:hint="eastAsia" w:ascii="宋体" w:hAnsi="宋体" w:eastAsia="宋体" w:cs="宋体"/>
          <w:color w:val="auto"/>
          <w:sz w:val="28"/>
          <w:highlight w:val="none"/>
        </w:rPr>
        <w:t>自行编制）</w:t>
      </w:r>
      <w:bookmarkEnd w:id="467"/>
    </w:p>
    <w:tbl>
      <w:tblPr>
        <w:tblStyle w:val="17"/>
        <w:tblW w:w="0" w:type="auto"/>
        <w:tblInd w:w="168" w:type="dxa"/>
        <w:shd w:val="clear" w:color="auto" w:fill="FFFFFF" w:themeFill="background1"/>
        <w:tblLayout w:type="fixed"/>
        <w:tblCellMar>
          <w:top w:w="0" w:type="dxa"/>
          <w:left w:w="168" w:type="dxa"/>
          <w:bottom w:w="0" w:type="dxa"/>
          <w:right w:w="168" w:type="dxa"/>
        </w:tblCellMar>
      </w:tblPr>
      <w:tblGrid>
        <w:gridCol w:w="5227"/>
        <w:gridCol w:w="3799"/>
      </w:tblGrid>
      <w:tr>
        <w:tblPrEx>
          <w:shd w:val="clear" w:color="auto" w:fill="FFFFFF" w:themeFill="background1"/>
          <w:tblCellMar>
            <w:top w:w="0" w:type="dxa"/>
            <w:left w:w="168" w:type="dxa"/>
            <w:bottom w:w="0" w:type="dxa"/>
            <w:right w:w="168" w:type="dxa"/>
          </w:tblCellMar>
        </w:tblPrEx>
        <w:tc>
          <w:tcPr>
            <w:tcW w:w="5227" w:type="dxa"/>
            <w:tcBorders>
              <w:top w:val="single" w:color="auto" w:sz="6" w:space="0"/>
              <w:left w:val="single" w:color="auto" w:sz="6" w:space="0"/>
              <w:bottom w:val="nil"/>
              <w:right w:val="nil"/>
            </w:tcBorders>
            <w:shd w:val="clear" w:color="auto" w:fill="FFFFFF" w:themeFill="background1"/>
            <w:noWrap w:val="0"/>
            <w:vAlign w:val="to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项目</w:t>
            </w:r>
          </w:p>
        </w:tc>
        <w:tc>
          <w:tcPr>
            <w:tcW w:w="3799" w:type="dxa"/>
            <w:tcBorders>
              <w:top w:val="single" w:color="auto" w:sz="6" w:space="0"/>
              <w:left w:val="single" w:color="auto" w:sz="6" w:space="0"/>
              <w:bottom w:val="nil"/>
              <w:right w:val="single" w:color="auto" w:sz="6" w:space="0"/>
            </w:tcBorders>
            <w:shd w:val="clear" w:color="auto" w:fill="FFFFFF" w:themeFill="background1"/>
            <w:noWrap w:val="0"/>
            <w:vAlign w:val="to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叙述/提供</w:t>
            </w:r>
          </w:p>
        </w:tc>
      </w:tr>
      <w:tr>
        <w:tblPrEx>
          <w:shd w:val="clear" w:color="auto" w:fill="FFFFFF" w:themeFill="background1"/>
        </w:tblPrEx>
        <w:tc>
          <w:tcPr>
            <w:tcW w:w="5227" w:type="dxa"/>
            <w:tcBorders>
              <w:top w:val="single" w:color="auto" w:sz="6" w:space="0"/>
              <w:left w:val="single" w:color="auto" w:sz="6" w:space="0"/>
              <w:bottom w:val="single" w:color="auto" w:sz="6" w:space="0"/>
              <w:right w:val="nil"/>
            </w:tcBorders>
            <w:shd w:val="clear" w:color="auto" w:fill="FFFFFF" w:themeFill="background1"/>
            <w:noWrap w:val="0"/>
            <w:vAlign w:val="to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w:t>
            </w:r>
            <w:r>
              <w:rPr>
                <w:rFonts w:hint="eastAsia" w:ascii="宋体" w:hAnsi="宋体" w:eastAsia="宋体" w:cs="宋体"/>
                <w:b/>
                <w:bCs/>
                <w:color w:val="auto"/>
                <w:sz w:val="24"/>
                <w:highlight w:val="none"/>
              </w:rPr>
              <w:tab/>
            </w:r>
            <w:r>
              <w:rPr>
                <w:rFonts w:hint="eastAsia" w:ascii="宋体" w:hAnsi="宋体" w:eastAsia="宋体" w:cs="宋体"/>
                <w:b/>
                <w:bCs/>
                <w:color w:val="auto"/>
                <w:sz w:val="24"/>
                <w:highlight w:val="none"/>
              </w:rPr>
              <w:t>一般情况</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公司名称（包括：母公司/附属公司/办事处）</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公司地址</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公司成立时间</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1.4</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公司主业</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1.5</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业务范围</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1.6</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从事类似项目实施的情况，</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1.7</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也可列举出在其它行业从事的相应工作。</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1.8</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典型项目实例: 需提供合同复印件，成功案例单位出具的用户报告并加盖公章</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w:t>
            </w:r>
            <w:r>
              <w:rPr>
                <w:rFonts w:hint="eastAsia" w:ascii="宋体" w:hAnsi="宋体" w:eastAsia="宋体" w:cs="宋体"/>
                <w:b/>
                <w:bCs/>
                <w:color w:val="auto"/>
                <w:sz w:val="24"/>
                <w:highlight w:val="none"/>
              </w:rPr>
              <w:tab/>
            </w:r>
            <w:r>
              <w:rPr>
                <w:rFonts w:hint="eastAsia" w:ascii="宋体" w:hAnsi="宋体" w:eastAsia="宋体" w:cs="宋体"/>
                <w:b/>
                <w:bCs/>
                <w:color w:val="auto"/>
                <w:sz w:val="24"/>
                <w:highlight w:val="none"/>
              </w:rPr>
              <w:t>支持与经验</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2.1</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支持服务能力</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服务人员的数量、学历、资历，典型项目实例；</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3．公司的组织结构简图</w:t>
            </w:r>
            <w:r>
              <w:rPr>
                <w:rFonts w:hint="eastAsia" w:ascii="宋体" w:hAnsi="宋体" w:eastAsia="宋体" w:cs="宋体"/>
                <w:color w:val="auto"/>
                <w:sz w:val="24"/>
                <w:highlight w:val="none"/>
              </w:rPr>
              <w:t>（以下可另附）</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eastAsia="宋体" w:cs="宋体"/>
                <w:b/>
                <w:bCs/>
                <w:color w:val="auto"/>
                <w:sz w:val="24"/>
                <w:highlight w:val="none"/>
              </w:rPr>
            </w:pPr>
            <w:r>
              <w:rPr>
                <w:rFonts w:hint="eastAsia" w:ascii="宋体" w:hAnsi="宋体" w:cs="宋体"/>
                <w:b/>
                <w:bCs/>
                <w:color w:val="auto"/>
                <w:sz w:val="24"/>
                <w:highlight w:val="none"/>
                <w:lang w:val="en-US" w:eastAsia="zh-CN"/>
              </w:rPr>
              <w:t>4</w:t>
            </w:r>
            <w:r>
              <w:rPr>
                <w:rFonts w:hint="eastAsia" w:ascii="宋体" w:hAnsi="宋体" w:eastAsia="宋体" w:cs="宋体"/>
                <w:b/>
                <w:bCs/>
                <w:color w:val="auto"/>
                <w:sz w:val="24"/>
                <w:highlight w:val="none"/>
              </w:rPr>
              <w:t>．营业执照复印件</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eastAsia="宋体" w:cs="宋体"/>
                <w:b/>
                <w:bCs/>
                <w:color w:val="auto"/>
                <w:sz w:val="24"/>
                <w:highlight w:val="none"/>
              </w:rPr>
            </w:pPr>
            <w:r>
              <w:rPr>
                <w:rFonts w:hint="eastAsia" w:ascii="宋体" w:hAnsi="宋体" w:cs="宋体"/>
                <w:b/>
                <w:bCs/>
                <w:color w:val="auto"/>
                <w:sz w:val="24"/>
                <w:highlight w:val="none"/>
                <w:lang w:val="en-US" w:eastAsia="zh-CN"/>
              </w:rPr>
              <w:t>5</w:t>
            </w:r>
            <w:r>
              <w:rPr>
                <w:rFonts w:hint="eastAsia" w:ascii="宋体" w:hAnsi="宋体" w:eastAsia="宋体" w:cs="宋体"/>
                <w:b/>
                <w:bCs/>
                <w:color w:val="auto"/>
                <w:sz w:val="24"/>
                <w:highlight w:val="none"/>
              </w:rPr>
              <w:t>．相关资质证明</w:t>
            </w:r>
          </w:p>
        </w:tc>
        <w:tc>
          <w:tcPr>
            <w:tcW w:w="3799" w:type="dxa"/>
            <w:tcBorders>
              <w:top w:val="single" w:color="auto" w:sz="6" w:space="0"/>
              <w:left w:val="single" w:color="auto" w:sz="6" w:space="0"/>
              <w:bottom w:val="single" w:color="auto" w:sz="6" w:space="0"/>
              <w:right w:val="single" w:color="auto" w:sz="6" w:space="0"/>
            </w:tcBorders>
            <w:shd w:val="clear" w:color="auto" w:fill="FFFFFF" w:themeFill="background1"/>
            <w:noWrap w:val="0"/>
            <w:vAlign w:val="to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宋体" w:hAnsi="宋体" w:eastAsia="宋体" w:cs="宋体"/>
                <w:color w:val="auto"/>
                <w:sz w:val="24"/>
                <w:highlight w:val="none"/>
              </w:rPr>
            </w:pPr>
          </w:p>
        </w:tc>
      </w:tr>
    </w:tbl>
    <w:p>
      <w:pPr>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br w:type="page"/>
      </w:r>
    </w:p>
    <w:p>
      <w:pPr>
        <w:pStyle w:val="2"/>
        <w:ind w:left="0" w:leftChars="0" w:firstLine="1928" w:firstLineChars="600"/>
        <w:jc w:val="both"/>
        <w:rPr>
          <w:rFonts w:hint="eastAsia" w:ascii="宋体" w:hAnsi="宋体" w:eastAsia="宋体" w:cs="宋体"/>
          <w:color w:val="auto"/>
          <w:highlight w:val="none"/>
        </w:rPr>
      </w:pPr>
      <w:bookmarkStart w:id="468" w:name="_Toc21795"/>
      <w:r>
        <w:rPr>
          <w:rFonts w:hint="eastAsia" w:ascii="宋体" w:hAnsi="宋体" w:eastAsia="宋体" w:cs="宋体"/>
          <w:color w:val="auto"/>
          <w:highlight w:val="none"/>
          <w:lang w:val="en-US" w:eastAsia="zh-CN"/>
        </w:rPr>
        <w:t>投标文件格式</w:t>
      </w:r>
      <w:r>
        <w:rPr>
          <w:rFonts w:hint="eastAsia"/>
          <w:color w:val="auto"/>
          <w:highlight w:val="none"/>
          <w:lang w:val="en-US" w:eastAsia="zh-CN"/>
        </w:rPr>
        <w:t>2：</w:t>
      </w:r>
      <w:r>
        <w:rPr>
          <w:rFonts w:hint="eastAsia" w:ascii="宋体" w:hAnsi="宋体" w:eastAsia="宋体" w:cs="宋体"/>
          <w:color w:val="auto"/>
          <w:highlight w:val="none"/>
          <w:lang w:val="zh-CN"/>
        </w:rPr>
        <w:t>主要业绩证明</w:t>
      </w:r>
      <w:bookmarkEnd w:id="468"/>
    </w:p>
    <w:tbl>
      <w:tblPr>
        <w:tblStyle w:val="17"/>
        <w:tblW w:w="4998" w:type="pct"/>
        <w:tblInd w:w="0" w:type="dxa"/>
        <w:tblLayout w:type="autofit"/>
        <w:tblCellMar>
          <w:top w:w="0" w:type="dxa"/>
          <w:left w:w="28" w:type="dxa"/>
          <w:bottom w:w="0" w:type="dxa"/>
          <w:right w:w="28" w:type="dxa"/>
        </w:tblCellMar>
      </w:tblPr>
      <w:tblGrid>
        <w:gridCol w:w="1528"/>
        <w:gridCol w:w="1269"/>
        <w:gridCol w:w="1329"/>
        <w:gridCol w:w="1289"/>
        <w:gridCol w:w="2185"/>
        <w:gridCol w:w="1184"/>
      </w:tblGrid>
      <w:tr>
        <w:tblPrEx>
          <w:tblCellMar>
            <w:top w:w="0" w:type="dxa"/>
            <w:left w:w="28" w:type="dxa"/>
            <w:bottom w:w="0" w:type="dxa"/>
            <w:right w:w="28" w:type="dxa"/>
          </w:tblCellMar>
        </w:tblPrEx>
        <w:trPr>
          <w:trHeight w:val="1177" w:hRule="atLeast"/>
        </w:trPr>
        <w:tc>
          <w:tcPr>
            <w:tcW w:w="869"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p>
        </w:tc>
        <w:tc>
          <w:tcPr>
            <w:tcW w:w="722"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项目类型</w:t>
            </w:r>
          </w:p>
        </w:tc>
        <w:tc>
          <w:tcPr>
            <w:tcW w:w="756"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简要描述</w:t>
            </w:r>
          </w:p>
        </w:tc>
        <w:tc>
          <w:tcPr>
            <w:tcW w:w="73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合同金额</w:t>
            </w:r>
          </w:p>
          <w:p>
            <w:pPr>
              <w:autoSpaceDE w:val="0"/>
              <w:autoSpaceDN w:val="0"/>
              <w:adjustRightInd w:val="0"/>
              <w:spacing w:line="4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（万元）</w:t>
            </w:r>
          </w:p>
        </w:tc>
        <w:tc>
          <w:tcPr>
            <w:tcW w:w="124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项目地址与</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联系电话</w:t>
            </w:r>
          </w:p>
        </w:tc>
        <w:tc>
          <w:tcPr>
            <w:tcW w:w="67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所在页码</w:t>
            </w:r>
          </w:p>
        </w:tc>
      </w:tr>
      <w:tr>
        <w:tblPrEx>
          <w:tblCellMar>
            <w:top w:w="0" w:type="dxa"/>
            <w:left w:w="28" w:type="dxa"/>
            <w:bottom w:w="0" w:type="dxa"/>
            <w:right w:w="28" w:type="dxa"/>
          </w:tblCellMar>
        </w:tblPrEx>
        <w:trPr>
          <w:trHeight w:val="528" w:hRule="atLeast"/>
        </w:trPr>
        <w:tc>
          <w:tcPr>
            <w:tcW w:w="869"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722"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7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733"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1243"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673"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r>
      <w:tr>
        <w:tblPrEx>
          <w:tblCellMar>
            <w:top w:w="0" w:type="dxa"/>
            <w:left w:w="28" w:type="dxa"/>
            <w:bottom w:w="0" w:type="dxa"/>
            <w:right w:w="28" w:type="dxa"/>
          </w:tblCellMar>
        </w:tblPrEx>
        <w:trPr>
          <w:trHeight w:val="450" w:hRule="atLeast"/>
        </w:trPr>
        <w:tc>
          <w:tcPr>
            <w:tcW w:w="869"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722"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7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733"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1243"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673"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r>
      <w:tr>
        <w:tblPrEx>
          <w:tblCellMar>
            <w:top w:w="0" w:type="dxa"/>
            <w:left w:w="28" w:type="dxa"/>
            <w:bottom w:w="0" w:type="dxa"/>
            <w:right w:w="28" w:type="dxa"/>
          </w:tblCellMar>
        </w:tblPrEx>
        <w:trPr>
          <w:trHeight w:val="456" w:hRule="atLeast"/>
        </w:trPr>
        <w:tc>
          <w:tcPr>
            <w:tcW w:w="869"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722"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7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733"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1243"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673"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r>
      <w:tr>
        <w:tblPrEx>
          <w:tblCellMar>
            <w:top w:w="0" w:type="dxa"/>
            <w:left w:w="28" w:type="dxa"/>
            <w:bottom w:w="0" w:type="dxa"/>
            <w:right w:w="28" w:type="dxa"/>
          </w:tblCellMar>
        </w:tblPrEx>
        <w:trPr>
          <w:trHeight w:val="448" w:hRule="atLeast"/>
        </w:trPr>
        <w:tc>
          <w:tcPr>
            <w:tcW w:w="869"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722"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7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733"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1243"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673"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r>
      <w:tr>
        <w:tblPrEx>
          <w:tblCellMar>
            <w:top w:w="0" w:type="dxa"/>
            <w:left w:w="28" w:type="dxa"/>
            <w:bottom w:w="0" w:type="dxa"/>
            <w:right w:w="28" w:type="dxa"/>
          </w:tblCellMar>
        </w:tblPrEx>
        <w:trPr>
          <w:trHeight w:val="454" w:hRule="atLeast"/>
        </w:trPr>
        <w:tc>
          <w:tcPr>
            <w:tcW w:w="869"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722"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7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733"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1243"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673"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r>
      <w:tr>
        <w:tblPrEx>
          <w:tblCellMar>
            <w:top w:w="0" w:type="dxa"/>
            <w:left w:w="28" w:type="dxa"/>
            <w:bottom w:w="0" w:type="dxa"/>
            <w:right w:w="28" w:type="dxa"/>
          </w:tblCellMar>
        </w:tblPrEx>
        <w:trPr>
          <w:trHeight w:val="454" w:hRule="atLeast"/>
        </w:trPr>
        <w:tc>
          <w:tcPr>
            <w:tcW w:w="869"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722"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7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733"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1243"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673"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r>
      <w:tr>
        <w:tblPrEx>
          <w:tblCellMar>
            <w:top w:w="0" w:type="dxa"/>
            <w:left w:w="28" w:type="dxa"/>
            <w:bottom w:w="0" w:type="dxa"/>
            <w:right w:w="28" w:type="dxa"/>
          </w:tblCellMar>
        </w:tblPrEx>
        <w:trPr>
          <w:trHeight w:val="454" w:hRule="atLeast"/>
        </w:trPr>
        <w:tc>
          <w:tcPr>
            <w:tcW w:w="869"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722"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7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733"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1243"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c>
          <w:tcPr>
            <w:tcW w:w="673"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s="宋体"/>
                <w:color w:val="auto"/>
                <w:sz w:val="24"/>
                <w:highlight w:val="none"/>
              </w:rPr>
            </w:pPr>
          </w:p>
        </w:tc>
      </w:tr>
    </w:tbl>
    <w:p>
      <w:pPr>
        <w:autoSpaceDE w:val="0"/>
        <w:autoSpaceDN w:val="0"/>
        <w:adjustRightInd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注：</w:t>
      </w:r>
      <w:r>
        <w:rPr>
          <w:rFonts w:hint="eastAsia" w:ascii="宋体" w:hAnsi="宋体" w:cs="宋体"/>
          <w:color w:val="auto"/>
          <w:kern w:val="0"/>
          <w:sz w:val="24"/>
          <w:highlight w:val="none"/>
          <w:lang w:val="en-US" w:eastAsia="zh-CN"/>
        </w:rPr>
        <w:t>投标人2018年1月1日至今（以合同签订时间为准）具有与本项目采购内容类似的服务业绩</w:t>
      </w:r>
      <w:r>
        <w:rPr>
          <w:rFonts w:hint="eastAsia" w:ascii="宋体" w:hAnsi="宋体" w:eastAsia="宋体" w:cs="宋体"/>
          <w:color w:val="auto"/>
          <w:sz w:val="24"/>
          <w:highlight w:val="none"/>
        </w:rPr>
        <w:t>（提供合同复印件加盖</w:t>
      </w:r>
      <w:r>
        <w:rPr>
          <w:rFonts w:hint="eastAsia" w:ascii="宋体" w:hAnsi="宋体" w:cs="宋体"/>
          <w:color w:val="auto"/>
          <w:sz w:val="24"/>
          <w:highlight w:val="none"/>
          <w:lang w:val="en-US" w:eastAsia="zh-CN"/>
        </w:rPr>
        <w:t>投标人</w:t>
      </w:r>
      <w:r>
        <w:rPr>
          <w:rFonts w:hint="eastAsia" w:ascii="宋体" w:hAnsi="宋体" w:eastAsia="宋体" w:cs="宋体"/>
          <w:color w:val="auto"/>
          <w:sz w:val="24"/>
          <w:highlight w:val="none"/>
        </w:rPr>
        <w:t>公章，原件备查）。</w:t>
      </w:r>
    </w:p>
    <w:p>
      <w:pPr>
        <w:autoSpaceDE w:val="0"/>
        <w:autoSpaceDN w:val="0"/>
        <w:adjustRightInd w:val="0"/>
        <w:spacing w:line="420" w:lineRule="exact"/>
        <w:ind w:firstLine="5280" w:firstLineChars="2200"/>
        <w:rPr>
          <w:rFonts w:hint="eastAsia" w:ascii="宋体" w:hAnsi="宋体" w:eastAsia="宋体" w:cs="宋体"/>
          <w:color w:val="auto"/>
          <w:kern w:val="0"/>
          <w:sz w:val="24"/>
          <w:highlight w:val="none"/>
        </w:rPr>
      </w:pPr>
    </w:p>
    <w:p>
      <w:pPr>
        <w:snapToGrid w:val="0"/>
        <w:spacing w:line="360" w:lineRule="auto"/>
        <w:ind w:firstLine="576"/>
        <w:jc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 xml:space="preserve">               </w:t>
      </w:r>
      <w:r>
        <w:rPr>
          <w:rFonts w:hint="eastAsia" w:ascii="宋体" w:hAnsi="宋体" w:eastAsia="宋体" w:cs="宋体"/>
          <w:color w:val="auto"/>
          <w:kern w:val="0"/>
          <w:sz w:val="24"/>
          <w:highlight w:val="none"/>
          <w:lang w:val="zh-CN"/>
        </w:rPr>
        <w:t xml:space="preserve"> 投标人名称(电子签名)：</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cs="宋体"/>
          <w:color w:val="auto"/>
          <w:kern w:val="0"/>
          <w:sz w:val="24"/>
          <w:highlight w:val="none"/>
          <w:lang w:val="en-US" w:eastAsia="zh-CN"/>
        </w:rPr>
        <w:t xml:space="preserve">                  </w:t>
      </w:r>
      <w:r>
        <w:rPr>
          <w:rFonts w:hint="eastAsia" w:ascii="宋体" w:hAnsi="宋体" w:eastAsia="宋体" w:cs="宋体"/>
          <w:color w:val="auto"/>
          <w:kern w:val="0"/>
          <w:sz w:val="24"/>
          <w:highlight w:val="none"/>
          <w:lang w:val="zh-CN"/>
        </w:rPr>
        <w:t>日期：  年  月  日</w:t>
      </w:r>
    </w:p>
    <w:p>
      <w:pPr>
        <w:rPr>
          <w:rFonts w:hint="eastAsia" w:ascii="宋体" w:hAnsi="宋体" w:eastAsia="宋体" w:cs="宋体"/>
          <w:color w:val="auto"/>
          <w:kern w:val="2"/>
          <w:sz w:val="32"/>
          <w:szCs w:val="32"/>
          <w:highlight w:val="none"/>
        </w:rPr>
      </w:pPr>
    </w:p>
    <w:p>
      <w:pPr>
        <w:rPr>
          <w:rFonts w:hint="eastAsia" w:ascii="宋体" w:hAnsi="宋体" w:cs="宋体"/>
          <w:b/>
          <w:bCs/>
          <w:color w:val="auto"/>
          <w:kern w:val="2"/>
          <w:sz w:val="32"/>
          <w:szCs w:val="32"/>
          <w:highlight w:val="none"/>
          <w:lang w:val="en-US" w:eastAsia="zh-CN" w:bidi="ar-SA"/>
        </w:rPr>
      </w:pPr>
      <w:r>
        <w:rPr>
          <w:rFonts w:hint="eastAsia" w:ascii="宋体" w:hAnsi="宋体" w:cs="宋体"/>
          <w:b/>
          <w:bCs/>
          <w:color w:val="auto"/>
          <w:kern w:val="2"/>
          <w:sz w:val="32"/>
          <w:szCs w:val="32"/>
          <w:highlight w:val="none"/>
          <w:lang w:val="en-US" w:eastAsia="zh-CN" w:bidi="ar-SA"/>
        </w:rPr>
        <w:br w:type="page"/>
      </w:r>
    </w:p>
    <w:p>
      <w:pPr>
        <w:adjustRightInd w:val="0"/>
        <w:snapToGrid w:val="0"/>
        <w:spacing w:line="360" w:lineRule="auto"/>
        <w:jc w:val="center"/>
        <w:rPr>
          <w:rFonts w:hint="eastAsia" w:ascii="宋体" w:hAnsi="宋体" w:eastAsia="宋体" w:cs="宋体"/>
          <w:b/>
          <w:bCs/>
          <w:color w:val="auto"/>
          <w:kern w:val="2"/>
          <w:sz w:val="32"/>
          <w:szCs w:val="32"/>
          <w:highlight w:val="none"/>
          <w:lang w:val="en-US" w:eastAsia="zh-CN" w:bidi="ar-SA"/>
        </w:rPr>
      </w:pPr>
      <w:r>
        <w:rPr>
          <w:rFonts w:hint="eastAsia" w:ascii="宋体" w:hAnsi="宋体" w:cs="宋体"/>
          <w:b/>
          <w:bCs/>
          <w:color w:val="auto"/>
          <w:kern w:val="2"/>
          <w:sz w:val="32"/>
          <w:szCs w:val="32"/>
          <w:highlight w:val="none"/>
          <w:lang w:val="en-US" w:eastAsia="zh-CN" w:bidi="ar-SA"/>
        </w:rPr>
        <w:t>投标文件</w:t>
      </w:r>
      <w:r>
        <w:rPr>
          <w:rFonts w:hint="eastAsia" w:ascii="宋体" w:hAnsi="宋体" w:eastAsia="宋体" w:cs="宋体"/>
          <w:b/>
          <w:bCs/>
          <w:color w:val="auto"/>
          <w:kern w:val="2"/>
          <w:sz w:val="32"/>
          <w:szCs w:val="32"/>
          <w:highlight w:val="none"/>
          <w:lang w:val="en-US" w:eastAsia="zh-CN" w:bidi="ar-SA"/>
        </w:rPr>
        <w:t>格式</w:t>
      </w:r>
      <w:r>
        <w:rPr>
          <w:rFonts w:hint="eastAsia" w:ascii="宋体" w:hAnsi="宋体" w:cs="宋体"/>
          <w:b/>
          <w:bCs/>
          <w:color w:val="auto"/>
          <w:kern w:val="2"/>
          <w:sz w:val="32"/>
          <w:szCs w:val="32"/>
          <w:highlight w:val="none"/>
          <w:lang w:val="en-US" w:eastAsia="zh-CN" w:bidi="ar-SA"/>
        </w:rPr>
        <w:t>3</w:t>
      </w:r>
      <w:r>
        <w:rPr>
          <w:rFonts w:hint="eastAsia" w:ascii="宋体" w:hAnsi="宋体" w:eastAsia="宋体" w:cs="宋体"/>
          <w:b/>
          <w:bCs/>
          <w:color w:val="auto"/>
          <w:kern w:val="2"/>
          <w:sz w:val="32"/>
          <w:szCs w:val="32"/>
          <w:highlight w:val="none"/>
          <w:lang w:val="en-US" w:eastAsia="zh-CN" w:bidi="ar-SA"/>
        </w:rPr>
        <w:t>：项目负责人简历表</w:t>
      </w:r>
    </w:p>
    <w:tbl>
      <w:tblPr>
        <w:tblStyle w:val="17"/>
        <w:tblW w:w="8431" w:type="dxa"/>
        <w:jc w:val="center"/>
        <w:tblLayout w:type="fixed"/>
        <w:tblCellMar>
          <w:top w:w="0" w:type="dxa"/>
          <w:left w:w="108" w:type="dxa"/>
          <w:bottom w:w="0" w:type="dxa"/>
          <w:right w:w="108" w:type="dxa"/>
        </w:tblCellMar>
      </w:tblPr>
      <w:tblGrid>
        <w:gridCol w:w="2388"/>
        <w:gridCol w:w="1510"/>
        <w:gridCol w:w="4533"/>
      </w:tblGrid>
      <w:tr>
        <w:tblPrEx>
          <w:tblCellMar>
            <w:top w:w="0" w:type="dxa"/>
            <w:left w:w="108" w:type="dxa"/>
            <w:bottom w:w="0" w:type="dxa"/>
            <w:right w:w="108" w:type="dxa"/>
          </w:tblCellMar>
        </w:tblPrEx>
        <w:trPr>
          <w:trHeight w:val="707" w:hRule="atLeast"/>
          <w:jc w:val="center"/>
        </w:trPr>
        <w:tc>
          <w:tcPr>
            <w:tcW w:w="23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sz w:val="24"/>
                <w:szCs w:val="24"/>
                <w:highlight w:val="none"/>
              </w:rPr>
            </w:pPr>
            <w:r>
              <w:rPr>
                <w:rFonts w:hint="eastAsia" w:ascii="Arial" w:hAnsi="Arial" w:cs="Arial"/>
                <w:color w:val="auto"/>
                <w:sz w:val="24"/>
                <w:szCs w:val="24"/>
                <w:highlight w:val="none"/>
                <w:lang w:val="zh-CN"/>
              </w:rPr>
              <w:t>姓名</w:t>
            </w:r>
          </w:p>
        </w:tc>
        <w:tc>
          <w:tcPr>
            <w:tcW w:w="151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sz w:val="24"/>
                <w:szCs w:val="24"/>
                <w:highlight w:val="none"/>
              </w:rPr>
            </w:pPr>
          </w:p>
        </w:tc>
        <w:tc>
          <w:tcPr>
            <w:tcW w:w="453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sz w:val="24"/>
                <w:szCs w:val="24"/>
                <w:highlight w:val="none"/>
              </w:rPr>
            </w:pPr>
            <w:r>
              <w:rPr>
                <w:rFonts w:hint="eastAsia" w:ascii="Arial" w:hAnsi="Arial" w:cs="Arial"/>
                <w:color w:val="auto"/>
                <w:sz w:val="24"/>
                <w:szCs w:val="24"/>
                <w:highlight w:val="none"/>
                <w:lang w:val="zh-CN"/>
              </w:rPr>
              <w:t>业绩及承担的主要工作情况</w:t>
            </w:r>
          </w:p>
        </w:tc>
      </w:tr>
      <w:tr>
        <w:tblPrEx>
          <w:tblCellMar>
            <w:top w:w="0" w:type="dxa"/>
            <w:left w:w="108" w:type="dxa"/>
            <w:bottom w:w="0" w:type="dxa"/>
            <w:right w:w="108" w:type="dxa"/>
          </w:tblCellMar>
        </w:tblPrEx>
        <w:trPr>
          <w:cantSplit/>
          <w:trHeight w:val="456" w:hRule="atLeast"/>
          <w:jc w:val="center"/>
        </w:trPr>
        <w:tc>
          <w:tcPr>
            <w:tcW w:w="23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sz w:val="24"/>
                <w:szCs w:val="24"/>
                <w:highlight w:val="none"/>
              </w:rPr>
            </w:pPr>
            <w:r>
              <w:rPr>
                <w:rFonts w:hint="eastAsia" w:ascii="Arial" w:hAnsi="Arial" w:cs="Arial"/>
                <w:color w:val="auto"/>
                <w:sz w:val="24"/>
                <w:szCs w:val="24"/>
                <w:highlight w:val="none"/>
                <w:lang w:val="zh-CN"/>
              </w:rPr>
              <w:t>性别</w:t>
            </w:r>
          </w:p>
        </w:tc>
        <w:tc>
          <w:tcPr>
            <w:tcW w:w="151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sz w:val="24"/>
                <w:szCs w:val="24"/>
                <w:highlight w:val="none"/>
              </w:rPr>
            </w:pPr>
          </w:p>
        </w:tc>
        <w:tc>
          <w:tcPr>
            <w:tcW w:w="4533" w:type="dxa"/>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Arial" w:hAnsi="Arial" w:cs="Arial"/>
                <w:color w:val="auto"/>
                <w:sz w:val="24"/>
                <w:szCs w:val="24"/>
                <w:highlight w:val="none"/>
              </w:rPr>
            </w:pPr>
          </w:p>
        </w:tc>
      </w:tr>
      <w:tr>
        <w:tblPrEx>
          <w:tblCellMar>
            <w:top w:w="0" w:type="dxa"/>
            <w:left w:w="108" w:type="dxa"/>
            <w:bottom w:w="0" w:type="dxa"/>
            <w:right w:w="108" w:type="dxa"/>
          </w:tblCellMar>
        </w:tblPrEx>
        <w:trPr>
          <w:cantSplit/>
          <w:trHeight w:val="456" w:hRule="atLeast"/>
          <w:jc w:val="center"/>
        </w:trPr>
        <w:tc>
          <w:tcPr>
            <w:tcW w:w="23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sz w:val="24"/>
                <w:szCs w:val="24"/>
                <w:highlight w:val="none"/>
              </w:rPr>
            </w:pPr>
            <w:r>
              <w:rPr>
                <w:rFonts w:hint="eastAsia" w:ascii="Arial" w:hAnsi="Arial" w:cs="Arial"/>
                <w:color w:val="auto"/>
                <w:sz w:val="24"/>
                <w:szCs w:val="24"/>
                <w:highlight w:val="none"/>
                <w:lang w:val="zh-CN"/>
              </w:rPr>
              <w:t>年龄</w:t>
            </w:r>
          </w:p>
        </w:tc>
        <w:tc>
          <w:tcPr>
            <w:tcW w:w="151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sz w:val="24"/>
                <w:szCs w:val="24"/>
                <w:highlight w:val="none"/>
              </w:rPr>
            </w:pPr>
          </w:p>
        </w:tc>
        <w:tc>
          <w:tcPr>
            <w:tcW w:w="4533"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Arial" w:hAnsi="Arial" w:cs="Arial"/>
                <w:color w:val="auto"/>
                <w:sz w:val="24"/>
                <w:szCs w:val="24"/>
                <w:highlight w:val="none"/>
              </w:rPr>
            </w:pPr>
          </w:p>
        </w:tc>
      </w:tr>
      <w:tr>
        <w:tblPrEx>
          <w:tblCellMar>
            <w:top w:w="0" w:type="dxa"/>
            <w:left w:w="108" w:type="dxa"/>
            <w:bottom w:w="0" w:type="dxa"/>
            <w:right w:w="108" w:type="dxa"/>
          </w:tblCellMar>
        </w:tblPrEx>
        <w:trPr>
          <w:cantSplit/>
          <w:trHeight w:val="456" w:hRule="atLeast"/>
          <w:jc w:val="center"/>
        </w:trPr>
        <w:tc>
          <w:tcPr>
            <w:tcW w:w="23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sz w:val="24"/>
                <w:szCs w:val="24"/>
                <w:highlight w:val="none"/>
              </w:rPr>
            </w:pPr>
            <w:r>
              <w:rPr>
                <w:rFonts w:hint="eastAsia" w:ascii="Arial" w:hAnsi="Arial" w:cs="Arial"/>
                <w:color w:val="auto"/>
                <w:sz w:val="24"/>
                <w:szCs w:val="24"/>
                <w:highlight w:val="none"/>
                <w:lang w:val="zh-CN"/>
              </w:rPr>
              <w:t>职称</w:t>
            </w:r>
          </w:p>
        </w:tc>
        <w:tc>
          <w:tcPr>
            <w:tcW w:w="151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sz w:val="24"/>
                <w:szCs w:val="24"/>
                <w:highlight w:val="none"/>
              </w:rPr>
            </w:pPr>
          </w:p>
        </w:tc>
        <w:tc>
          <w:tcPr>
            <w:tcW w:w="4533"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Arial" w:hAnsi="Arial" w:cs="Arial"/>
                <w:color w:val="auto"/>
                <w:sz w:val="24"/>
                <w:szCs w:val="24"/>
                <w:highlight w:val="none"/>
              </w:rPr>
            </w:pPr>
          </w:p>
        </w:tc>
      </w:tr>
      <w:tr>
        <w:tblPrEx>
          <w:tblCellMar>
            <w:top w:w="0" w:type="dxa"/>
            <w:left w:w="108" w:type="dxa"/>
            <w:bottom w:w="0" w:type="dxa"/>
            <w:right w:w="108" w:type="dxa"/>
          </w:tblCellMar>
        </w:tblPrEx>
        <w:trPr>
          <w:cantSplit/>
          <w:trHeight w:val="456" w:hRule="atLeast"/>
          <w:jc w:val="center"/>
        </w:trPr>
        <w:tc>
          <w:tcPr>
            <w:tcW w:w="23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sz w:val="24"/>
                <w:szCs w:val="24"/>
                <w:highlight w:val="none"/>
              </w:rPr>
            </w:pPr>
            <w:r>
              <w:rPr>
                <w:rFonts w:hint="eastAsia" w:ascii="Arial" w:hAnsi="Arial" w:cs="Arial"/>
                <w:color w:val="auto"/>
                <w:sz w:val="24"/>
                <w:szCs w:val="24"/>
                <w:highlight w:val="none"/>
                <w:lang w:val="zh-CN"/>
              </w:rPr>
              <w:t>毕业时间</w:t>
            </w:r>
          </w:p>
        </w:tc>
        <w:tc>
          <w:tcPr>
            <w:tcW w:w="151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sz w:val="24"/>
                <w:szCs w:val="24"/>
                <w:highlight w:val="none"/>
              </w:rPr>
            </w:pPr>
          </w:p>
        </w:tc>
        <w:tc>
          <w:tcPr>
            <w:tcW w:w="4533"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Arial" w:hAnsi="Arial" w:cs="Arial"/>
                <w:color w:val="auto"/>
                <w:sz w:val="24"/>
                <w:szCs w:val="24"/>
                <w:highlight w:val="none"/>
              </w:rPr>
            </w:pPr>
          </w:p>
        </w:tc>
      </w:tr>
      <w:tr>
        <w:tblPrEx>
          <w:tblCellMar>
            <w:top w:w="0" w:type="dxa"/>
            <w:left w:w="108" w:type="dxa"/>
            <w:bottom w:w="0" w:type="dxa"/>
            <w:right w:w="108" w:type="dxa"/>
          </w:tblCellMar>
        </w:tblPrEx>
        <w:trPr>
          <w:cantSplit/>
          <w:trHeight w:val="480" w:hRule="atLeast"/>
          <w:jc w:val="center"/>
        </w:trPr>
        <w:tc>
          <w:tcPr>
            <w:tcW w:w="23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sz w:val="24"/>
                <w:szCs w:val="24"/>
                <w:highlight w:val="none"/>
              </w:rPr>
            </w:pPr>
            <w:r>
              <w:rPr>
                <w:rFonts w:hint="eastAsia" w:ascii="Arial" w:hAnsi="Arial" w:cs="Arial"/>
                <w:color w:val="auto"/>
                <w:sz w:val="24"/>
                <w:szCs w:val="24"/>
                <w:highlight w:val="none"/>
                <w:lang w:val="zh-CN"/>
              </w:rPr>
              <w:t>所学专业</w:t>
            </w:r>
          </w:p>
        </w:tc>
        <w:tc>
          <w:tcPr>
            <w:tcW w:w="151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sz w:val="24"/>
                <w:szCs w:val="24"/>
                <w:highlight w:val="none"/>
              </w:rPr>
            </w:pPr>
          </w:p>
        </w:tc>
        <w:tc>
          <w:tcPr>
            <w:tcW w:w="4533"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Arial" w:hAnsi="Arial" w:cs="Arial"/>
                <w:color w:val="auto"/>
                <w:sz w:val="24"/>
                <w:szCs w:val="24"/>
                <w:highlight w:val="none"/>
              </w:rPr>
            </w:pPr>
          </w:p>
        </w:tc>
      </w:tr>
      <w:tr>
        <w:tblPrEx>
          <w:tblCellMar>
            <w:top w:w="0" w:type="dxa"/>
            <w:left w:w="108" w:type="dxa"/>
            <w:bottom w:w="0" w:type="dxa"/>
            <w:right w:w="108" w:type="dxa"/>
          </w:tblCellMar>
        </w:tblPrEx>
        <w:trPr>
          <w:cantSplit/>
          <w:trHeight w:val="473" w:hRule="atLeast"/>
          <w:jc w:val="center"/>
        </w:trPr>
        <w:tc>
          <w:tcPr>
            <w:tcW w:w="23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sz w:val="24"/>
                <w:szCs w:val="24"/>
                <w:highlight w:val="none"/>
              </w:rPr>
            </w:pPr>
            <w:r>
              <w:rPr>
                <w:rFonts w:hint="eastAsia" w:ascii="Arial" w:hAnsi="Arial" w:cs="Arial"/>
                <w:color w:val="auto"/>
                <w:sz w:val="24"/>
                <w:szCs w:val="24"/>
                <w:highlight w:val="none"/>
                <w:lang w:val="zh-CN"/>
              </w:rPr>
              <w:t>学历</w:t>
            </w:r>
          </w:p>
        </w:tc>
        <w:tc>
          <w:tcPr>
            <w:tcW w:w="151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sz w:val="24"/>
                <w:szCs w:val="24"/>
                <w:highlight w:val="none"/>
              </w:rPr>
            </w:pPr>
          </w:p>
        </w:tc>
        <w:tc>
          <w:tcPr>
            <w:tcW w:w="4533"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Arial" w:hAnsi="Arial" w:cs="Arial"/>
                <w:color w:val="auto"/>
                <w:sz w:val="24"/>
                <w:szCs w:val="24"/>
                <w:highlight w:val="none"/>
              </w:rPr>
            </w:pPr>
          </w:p>
        </w:tc>
      </w:tr>
      <w:tr>
        <w:tblPrEx>
          <w:tblCellMar>
            <w:top w:w="0" w:type="dxa"/>
            <w:left w:w="108" w:type="dxa"/>
            <w:bottom w:w="0" w:type="dxa"/>
            <w:right w:w="108" w:type="dxa"/>
          </w:tblCellMar>
        </w:tblPrEx>
        <w:trPr>
          <w:cantSplit/>
          <w:trHeight w:val="659" w:hRule="atLeast"/>
          <w:jc w:val="center"/>
        </w:trPr>
        <w:tc>
          <w:tcPr>
            <w:tcW w:w="23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sz w:val="24"/>
                <w:szCs w:val="24"/>
                <w:highlight w:val="none"/>
              </w:rPr>
            </w:pPr>
            <w:r>
              <w:rPr>
                <w:rFonts w:hint="eastAsia" w:ascii="Arial" w:hAnsi="Arial" w:cs="Arial"/>
                <w:color w:val="auto"/>
                <w:sz w:val="24"/>
                <w:szCs w:val="24"/>
                <w:highlight w:val="none"/>
                <w:lang w:val="zh-CN"/>
              </w:rPr>
              <w:t>资质证书编号</w:t>
            </w:r>
            <w:r>
              <w:rPr>
                <w:rFonts w:ascii="Arial" w:hAnsi="Arial" w:cs="Arial"/>
                <w:color w:val="auto"/>
                <w:sz w:val="24"/>
                <w:szCs w:val="24"/>
                <w:highlight w:val="none"/>
                <w:lang w:val="zh-CN"/>
              </w:rPr>
              <w:t>(</w:t>
            </w:r>
            <w:r>
              <w:rPr>
                <w:rFonts w:hint="eastAsia" w:ascii="Arial" w:hAnsi="Arial" w:cs="Arial"/>
                <w:color w:val="auto"/>
                <w:sz w:val="24"/>
                <w:szCs w:val="24"/>
                <w:highlight w:val="none"/>
                <w:lang w:val="zh-CN"/>
              </w:rPr>
              <w:t>如有</w:t>
            </w:r>
            <w:r>
              <w:rPr>
                <w:rFonts w:ascii="Arial" w:hAnsi="Arial" w:cs="Arial"/>
                <w:color w:val="auto"/>
                <w:sz w:val="24"/>
                <w:szCs w:val="24"/>
                <w:highlight w:val="none"/>
                <w:lang w:val="zh-CN"/>
              </w:rPr>
              <w:t>)</w:t>
            </w:r>
          </w:p>
        </w:tc>
        <w:tc>
          <w:tcPr>
            <w:tcW w:w="151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sz w:val="24"/>
                <w:szCs w:val="24"/>
                <w:highlight w:val="none"/>
              </w:rPr>
            </w:pPr>
          </w:p>
        </w:tc>
        <w:tc>
          <w:tcPr>
            <w:tcW w:w="4533"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Arial" w:hAnsi="Arial" w:cs="Arial"/>
                <w:color w:val="auto"/>
                <w:sz w:val="24"/>
                <w:szCs w:val="24"/>
                <w:highlight w:val="none"/>
              </w:rPr>
            </w:pPr>
          </w:p>
        </w:tc>
      </w:tr>
      <w:tr>
        <w:tblPrEx>
          <w:tblCellMar>
            <w:top w:w="0" w:type="dxa"/>
            <w:left w:w="108" w:type="dxa"/>
            <w:bottom w:w="0" w:type="dxa"/>
            <w:right w:w="108" w:type="dxa"/>
          </w:tblCellMar>
        </w:tblPrEx>
        <w:trPr>
          <w:cantSplit/>
          <w:trHeight w:val="645" w:hRule="atLeast"/>
          <w:jc w:val="center"/>
        </w:trPr>
        <w:tc>
          <w:tcPr>
            <w:tcW w:w="23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sz w:val="24"/>
                <w:szCs w:val="24"/>
                <w:highlight w:val="none"/>
              </w:rPr>
            </w:pPr>
            <w:r>
              <w:rPr>
                <w:rFonts w:hint="eastAsia" w:ascii="Arial" w:hAnsi="Arial" w:cs="Arial"/>
                <w:color w:val="auto"/>
                <w:sz w:val="24"/>
                <w:szCs w:val="24"/>
                <w:highlight w:val="none"/>
                <w:lang w:val="zh-CN"/>
              </w:rPr>
              <w:t>其他资质情况</w:t>
            </w:r>
            <w:r>
              <w:rPr>
                <w:rFonts w:ascii="Arial" w:hAnsi="Arial" w:cs="Arial"/>
                <w:color w:val="auto"/>
                <w:sz w:val="24"/>
                <w:szCs w:val="24"/>
                <w:highlight w:val="none"/>
                <w:lang w:val="zh-CN"/>
              </w:rPr>
              <w:t>(</w:t>
            </w:r>
            <w:r>
              <w:rPr>
                <w:rFonts w:hint="eastAsia" w:ascii="Arial" w:hAnsi="Arial" w:cs="Arial"/>
                <w:color w:val="auto"/>
                <w:sz w:val="24"/>
                <w:szCs w:val="24"/>
                <w:highlight w:val="none"/>
                <w:lang w:val="zh-CN"/>
              </w:rPr>
              <w:t>如有</w:t>
            </w:r>
            <w:r>
              <w:rPr>
                <w:rFonts w:ascii="Arial" w:hAnsi="Arial" w:cs="Arial"/>
                <w:color w:val="auto"/>
                <w:sz w:val="24"/>
                <w:szCs w:val="24"/>
                <w:highlight w:val="none"/>
                <w:lang w:val="zh-CN"/>
              </w:rPr>
              <w:t>)</w:t>
            </w:r>
          </w:p>
        </w:tc>
        <w:tc>
          <w:tcPr>
            <w:tcW w:w="151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sz w:val="24"/>
                <w:szCs w:val="24"/>
                <w:highlight w:val="none"/>
              </w:rPr>
            </w:pPr>
          </w:p>
        </w:tc>
        <w:tc>
          <w:tcPr>
            <w:tcW w:w="4533"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Arial" w:hAnsi="Arial" w:cs="Arial"/>
                <w:color w:val="auto"/>
                <w:sz w:val="24"/>
                <w:szCs w:val="24"/>
                <w:highlight w:val="none"/>
              </w:rPr>
            </w:pPr>
          </w:p>
        </w:tc>
      </w:tr>
      <w:tr>
        <w:tblPrEx>
          <w:tblCellMar>
            <w:top w:w="0" w:type="dxa"/>
            <w:left w:w="108" w:type="dxa"/>
            <w:bottom w:w="0" w:type="dxa"/>
            <w:right w:w="108" w:type="dxa"/>
          </w:tblCellMar>
        </w:tblPrEx>
        <w:trPr>
          <w:cantSplit/>
          <w:trHeight w:val="645" w:hRule="atLeast"/>
          <w:jc w:val="center"/>
        </w:trPr>
        <w:tc>
          <w:tcPr>
            <w:tcW w:w="23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Arial" w:hAnsi="Arial" w:cs="Arial"/>
                <w:color w:val="auto"/>
                <w:sz w:val="24"/>
                <w:szCs w:val="24"/>
                <w:highlight w:val="none"/>
                <w:lang w:val="zh-CN"/>
              </w:rPr>
            </w:pPr>
            <w:r>
              <w:rPr>
                <w:rFonts w:hint="eastAsia" w:ascii="Arial" w:hAnsi="Arial" w:cs="Arial"/>
                <w:color w:val="auto"/>
                <w:sz w:val="24"/>
                <w:szCs w:val="24"/>
                <w:highlight w:val="none"/>
                <w:lang w:val="zh-CN"/>
              </w:rPr>
              <w:t>联系电话</w:t>
            </w:r>
          </w:p>
        </w:tc>
        <w:tc>
          <w:tcPr>
            <w:tcW w:w="151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sz w:val="24"/>
                <w:szCs w:val="24"/>
                <w:highlight w:val="none"/>
              </w:rPr>
            </w:pPr>
          </w:p>
        </w:tc>
        <w:tc>
          <w:tcPr>
            <w:tcW w:w="4533"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Arial" w:hAnsi="Arial" w:cs="Arial"/>
                <w:color w:val="auto"/>
                <w:sz w:val="24"/>
                <w:szCs w:val="24"/>
                <w:highlight w:val="none"/>
              </w:rPr>
            </w:pPr>
          </w:p>
        </w:tc>
      </w:tr>
      <w:tr>
        <w:tblPrEx>
          <w:tblCellMar>
            <w:top w:w="0" w:type="dxa"/>
            <w:left w:w="108" w:type="dxa"/>
            <w:bottom w:w="0" w:type="dxa"/>
            <w:right w:w="108" w:type="dxa"/>
          </w:tblCellMar>
        </w:tblPrEx>
        <w:trPr>
          <w:cantSplit/>
          <w:trHeight w:val="520" w:hRule="atLeast"/>
          <w:jc w:val="center"/>
        </w:trPr>
        <w:tc>
          <w:tcPr>
            <w:tcW w:w="23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default" w:ascii="Arial" w:hAnsi="Arial" w:eastAsia="宋体" w:cs="Arial"/>
                <w:color w:val="auto"/>
                <w:sz w:val="24"/>
                <w:szCs w:val="24"/>
                <w:highlight w:val="none"/>
                <w:lang w:val="en-US" w:eastAsia="zh-CN"/>
              </w:rPr>
            </w:pPr>
            <w:r>
              <w:rPr>
                <w:rFonts w:hint="eastAsia" w:ascii="Arial" w:hAnsi="Arial" w:cs="Arial"/>
                <w:color w:val="auto"/>
                <w:sz w:val="24"/>
                <w:szCs w:val="24"/>
                <w:highlight w:val="none"/>
                <w:lang w:val="en-US" w:eastAsia="zh-CN"/>
              </w:rPr>
              <w:t>.........</w:t>
            </w:r>
          </w:p>
        </w:tc>
        <w:tc>
          <w:tcPr>
            <w:tcW w:w="151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both"/>
              <w:rPr>
                <w:rFonts w:hint="eastAsia" w:ascii="Arial" w:hAnsi="Arial" w:eastAsia="宋体" w:cs="Arial"/>
                <w:color w:val="auto"/>
                <w:sz w:val="24"/>
                <w:szCs w:val="24"/>
                <w:highlight w:val="none"/>
                <w:lang w:val="en-US" w:eastAsia="zh-CN"/>
              </w:rPr>
            </w:pPr>
          </w:p>
        </w:tc>
        <w:tc>
          <w:tcPr>
            <w:tcW w:w="4533"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Arial" w:hAnsi="Arial" w:cs="Arial"/>
                <w:color w:val="auto"/>
                <w:sz w:val="24"/>
                <w:szCs w:val="24"/>
                <w:highlight w:val="none"/>
              </w:rPr>
            </w:pPr>
          </w:p>
        </w:tc>
      </w:tr>
    </w:tbl>
    <w:p>
      <w:pPr>
        <w:rPr>
          <w:rFonts w:hint="default" w:ascii="宋体" w:hAnsi="宋体" w:eastAsia="宋体" w:cs="宋体"/>
          <w:bCs/>
          <w:color w:val="auto"/>
          <w:kern w:val="0"/>
          <w:sz w:val="24"/>
          <w:highlight w:val="none"/>
          <w:lang w:val="en-US" w:eastAsia="zh-CN"/>
        </w:rPr>
      </w:pPr>
      <w:r>
        <w:rPr>
          <w:rFonts w:hint="eastAsia" w:ascii="宋体" w:hAnsi="宋体" w:eastAsia="宋体" w:cs="宋体"/>
          <w:bCs/>
          <w:color w:val="auto"/>
          <w:kern w:val="0"/>
          <w:sz w:val="24"/>
          <w:highlight w:val="none"/>
        </w:rPr>
        <w:t>注：须附身份证、</w:t>
      </w:r>
      <w:r>
        <w:rPr>
          <w:rFonts w:hint="eastAsia" w:ascii="宋体" w:hAnsi="宋体" w:cs="宋体"/>
          <w:bCs/>
          <w:color w:val="auto"/>
          <w:kern w:val="0"/>
          <w:sz w:val="24"/>
          <w:highlight w:val="none"/>
          <w:lang w:val="en-US" w:eastAsia="zh-CN"/>
        </w:rPr>
        <w:t>学历证书、从业经验、资格证书、职称证书、</w:t>
      </w:r>
      <w:r>
        <w:rPr>
          <w:rFonts w:hint="eastAsia" w:ascii="宋体" w:hAnsi="宋体" w:eastAsia="宋体" w:cs="宋体"/>
          <w:color w:val="auto"/>
          <w:kern w:val="0"/>
          <w:sz w:val="24"/>
          <w:highlight w:val="none"/>
        </w:rPr>
        <w:t>专业证书、</w:t>
      </w:r>
      <w:r>
        <w:rPr>
          <w:rFonts w:hint="eastAsia" w:ascii="宋体" w:hAnsi="宋体" w:eastAsia="宋体" w:cs="宋体"/>
          <w:bCs/>
          <w:color w:val="auto"/>
          <w:kern w:val="0"/>
          <w:sz w:val="24"/>
          <w:highlight w:val="none"/>
        </w:rPr>
        <w:t>社保证明</w:t>
      </w:r>
      <w:r>
        <w:rPr>
          <w:rFonts w:hint="eastAsia" w:ascii="宋体" w:hAnsi="宋体" w:cs="宋体"/>
          <w:bCs/>
          <w:color w:val="auto"/>
          <w:kern w:val="0"/>
          <w:sz w:val="24"/>
          <w:highlight w:val="none"/>
          <w:lang w:val="en-US" w:eastAsia="zh-CN"/>
        </w:rPr>
        <w:t>等</w:t>
      </w:r>
      <w:r>
        <w:rPr>
          <w:rFonts w:hint="eastAsia" w:ascii="宋体" w:hAnsi="宋体" w:eastAsia="宋体" w:cs="宋体"/>
          <w:bCs/>
          <w:color w:val="auto"/>
          <w:kern w:val="0"/>
          <w:sz w:val="24"/>
          <w:highlight w:val="none"/>
        </w:rPr>
        <w:t>复印件，原件备查。在填写时，如本表格不适合</w:t>
      </w:r>
      <w:r>
        <w:rPr>
          <w:rFonts w:hint="eastAsia" w:ascii="宋体" w:hAnsi="宋体" w:cs="宋体"/>
          <w:bCs/>
          <w:color w:val="auto"/>
          <w:kern w:val="0"/>
          <w:sz w:val="24"/>
          <w:highlight w:val="none"/>
          <w:lang w:val="en-US" w:eastAsia="zh-CN"/>
        </w:rPr>
        <w:t>投标</w:t>
      </w:r>
      <w:r>
        <w:rPr>
          <w:rFonts w:hint="eastAsia" w:ascii="宋体" w:hAnsi="宋体" w:eastAsia="宋体" w:cs="宋体"/>
          <w:bCs/>
          <w:color w:val="auto"/>
          <w:kern w:val="0"/>
          <w:sz w:val="24"/>
          <w:highlight w:val="none"/>
        </w:rPr>
        <w:t xml:space="preserve">单位的实际情况，可根据本表格式自行划表填写。 </w:t>
      </w:r>
    </w:p>
    <w:p>
      <w:pPr>
        <w:snapToGrid w:val="0"/>
        <w:spacing w:line="360" w:lineRule="auto"/>
        <w:ind w:firstLine="576"/>
        <w:jc w:val="center"/>
        <w:rPr>
          <w:rFonts w:hint="eastAsia" w:ascii="宋体" w:hAnsi="宋体" w:eastAsia="宋体" w:cs="宋体"/>
          <w:color w:val="auto"/>
          <w:kern w:val="0"/>
          <w:sz w:val="24"/>
          <w:highlight w:val="none"/>
          <w:lang w:val="zh-CN"/>
        </w:rPr>
      </w:pPr>
    </w:p>
    <w:p>
      <w:pPr>
        <w:snapToGrid w:val="0"/>
        <w:spacing w:line="360" w:lineRule="auto"/>
        <w:ind w:firstLine="576"/>
        <w:jc w:val="center"/>
        <w:rPr>
          <w:rFonts w:hint="eastAsia" w:ascii="宋体" w:hAnsi="宋体" w:eastAsia="宋体" w:cs="宋体"/>
          <w:color w:val="auto"/>
          <w:kern w:val="0"/>
          <w:sz w:val="24"/>
          <w:highlight w:val="none"/>
          <w:lang w:val="zh-CN"/>
        </w:rPr>
      </w:pPr>
    </w:p>
    <w:p>
      <w:pPr>
        <w:snapToGrid w:val="0"/>
        <w:spacing w:line="360" w:lineRule="auto"/>
        <w:ind w:firstLine="576"/>
        <w:jc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 xml:space="preserve">                </w:t>
      </w:r>
      <w:r>
        <w:rPr>
          <w:rFonts w:hint="eastAsia" w:ascii="宋体" w:hAnsi="宋体" w:eastAsia="宋体" w:cs="宋体"/>
          <w:color w:val="auto"/>
          <w:kern w:val="0"/>
          <w:sz w:val="24"/>
          <w:highlight w:val="none"/>
          <w:lang w:val="zh-CN"/>
        </w:rPr>
        <w:t>投标人名称(电子签名)：</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cs="宋体"/>
          <w:color w:val="auto"/>
          <w:kern w:val="0"/>
          <w:sz w:val="24"/>
          <w:highlight w:val="none"/>
          <w:lang w:val="en-US" w:eastAsia="zh-CN"/>
        </w:rPr>
        <w:t xml:space="preserve">                  </w:t>
      </w:r>
      <w:r>
        <w:rPr>
          <w:rFonts w:hint="eastAsia" w:ascii="宋体" w:hAnsi="宋体" w:eastAsia="宋体" w:cs="宋体"/>
          <w:color w:val="auto"/>
          <w:kern w:val="0"/>
          <w:sz w:val="24"/>
          <w:highlight w:val="none"/>
          <w:lang w:val="zh-CN"/>
        </w:rPr>
        <w:t>日期：  年  月  日</w:t>
      </w:r>
    </w:p>
    <w:p>
      <w:pPr>
        <w:rPr>
          <w:rFonts w:hint="eastAsia" w:ascii="宋体" w:hAnsi="宋体" w:eastAsia="宋体" w:cs="宋体"/>
          <w:color w:val="auto"/>
          <w:kern w:val="2"/>
          <w:sz w:val="32"/>
          <w:szCs w:val="32"/>
          <w:highlight w:val="none"/>
        </w:rPr>
      </w:pPr>
    </w:p>
    <w:p>
      <w:pPr>
        <w:rPr>
          <w:rFonts w:hint="eastAsia" w:ascii="宋体" w:hAnsi="宋体" w:cs="宋体"/>
          <w:b/>
          <w:bCs/>
          <w:color w:val="auto"/>
          <w:kern w:val="2"/>
          <w:sz w:val="32"/>
          <w:szCs w:val="32"/>
          <w:highlight w:val="none"/>
          <w:lang w:val="en-US" w:eastAsia="zh-CN" w:bidi="ar-SA"/>
        </w:rPr>
      </w:pPr>
      <w:bookmarkStart w:id="469" w:name="_Toc13580"/>
      <w:r>
        <w:rPr>
          <w:rFonts w:hint="eastAsia" w:ascii="宋体" w:hAnsi="宋体" w:cs="宋体"/>
          <w:b/>
          <w:bCs/>
          <w:color w:val="auto"/>
          <w:kern w:val="2"/>
          <w:sz w:val="32"/>
          <w:szCs w:val="32"/>
          <w:highlight w:val="none"/>
          <w:lang w:val="en-US" w:eastAsia="zh-CN" w:bidi="ar-SA"/>
        </w:rPr>
        <w:br w:type="page"/>
      </w:r>
    </w:p>
    <w:p>
      <w:pPr>
        <w:adjustRightInd w:val="0"/>
        <w:snapToGrid w:val="0"/>
        <w:spacing w:line="360" w:lineRule="auto"/>
        <w:jc w:val="center"/>
        <w:rPr>
          <w:rStyle w:val="42"/>
          <w:rFonts w:hint="eastAsia" w:ascii="宋体" w:hAnsi="宋体" w:eastAsia="宋体" w:cs="宋体"/>
          <w:color w:val="auto"/>
          <w:highlight w:val="none"/>
        </w:rPr>
      </w:pPr>
      <w:r>
        <w:rPr>
          <w:rFonts w:hint="eastAsia" w:ascii="宋体" w:hAnsi="宋体" w:cs="宋体"/>
          <w:b/>
          <w:bCs/>
          <w:color w:val="auto"/>
          <w:kern w:val="2"/>
          <w:sz w:val="32"/>
          <w:szCs w:val="32"/>
          <w:highlight w:val="none"/>
          <w:lang w:val="en-US" w:eastAsia="zh-CN" w:bidi="ar-SA"/>
        </w:rPr>
        <w:t>投标文件</w:t>
      </w:r>
      <w:r>
        <w:rPr>
          <w:rFonts w:hint="eastAsia" w:ascii="宋体" w:hAnsi="宋体" w:eastAsia="宋体" w:cs="宋体"/>
          <w:b/>
          <w:bCs/>
          <w:color w:val="auto"/>
          <w:kern w:val="2"/>
          <w:sz w:val="32"/>
          <w:szCs w:val="32"/>
          <w:highlight w:val="none"/>
          <w:lang w:val="en-US" w:eastAsia="zh-CN" w:bidi="ar-SA"/>
        </w:rPr>
        <w:t>格式</w:t>
      </w:r>
      <w:r>
        <w:rPr>
          <w:rStyle w:val="42"/>
          <w:rFonts w:hint="eastAsia" w:ascii="宋体" w:hAnsi="宋体" w:cs="宋体"/>
          <w:color w:val="auto"/>
          <w:highlight w:val="none"/>
          <w:lang w:val="en-US" w:eastAsia="zh-CN"/>
        </w:rPr>
        <w:t>4</w:t>
      </w:r>
      <w:r>
        <w:rPr>
          <w:rStyle w:val="42"/>
          <w:rFonts w:hint="eastAsia" w:ascii="宋体" w:hAnsi="宋体" w:eastAsia="宋体" w:cs="宋体"/>
          <w:color w:val="auto"/>
          <w:highlight w:val="none"/>
          <w:lang w:val="en-US" w:eastAsia="zh-CN"/>
        </w:rPr>
        <w:t>：</w:t>
      </w:r>
      <w:r>
        <w:rPr>
          <w:rStyle w:val="42"/>
          <w:rFonts w:hint="eastAsia" w:ascii="宋体" w:hAnsi="宋体" w:eastAsia="宋体" w:cs="宋体"/>
          <w:color w:val="auto"/>
          <w:highlight w:val="none"/>
        </w:rPr>
        <w:t>拟派本项目人员技术力量配备情况</w:t>
      </w:r>
      <w:bookmarkEnd w:id="469"/>
    </w:p>
    <w:tbl>
      <w:tblPr>
        <w:tblStyle w:val="17"/>
        <w:tblW w:w="8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925"/>
        <w:gridCol w:w="1415"/>
        <w:gridCol w:w="1080"/>
        <w:gridCol w:w="1440"/>
        <w:gridCol w:w="1226"/>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姓 名</w:t>
            </w:r>
          </w:p>
        </w:tc>
        <w:tc>
          <w:tcPr>
            <w:tcW w:w="9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left="10" w:leftChars="-36" w:hanging="86" w:hangingChars="36"/>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性别</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相关证书</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职务</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身份证号码</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工作年限</w:t>
            </w:r>
          </w:p>
        </w:tc>
        <w:tc>
          <w:tcPr>
            <w:tcW w:w="167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在本项目拟担任岗位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97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p>
            <w:pPr>
              <w:spacing w:line="440" w:lineRule="exact"/>
              <w:ind w:firstLine="592"/>
              <w:jc w:val="center"/>
              <w:rPr>
                <w:rFonts w:hint="eastAsia" w:ascii="宋体" w:hAnsi="宋体" w:eastAsia="宋体" w:cs="宋体"/>
                <w:color w:val="auto"/>
                <w:kern w:val="0"/>
                <w:sz w:val="24"/>
                <w:highlight w:val="none"/>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c>
          <w:tcPr>
            <w:tcW w:w="122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c>
          <w:tcPr>
            <w:tcW w:w="167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97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c>
          <w:tcPr>
            <w:tcW w:w="122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c>
          <w:tcPr>
            <w:tcW w:w="167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97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c>
          <w:tcPr>
            <w:tcW w:w="122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c>
          <w:tcPr>
            <w:tcW w:w="167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97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p>
            <w:pPr>
              <w:spacing w:line="440" w:lineRule="exact"/>
              <w:ind w:firstLine="592"/>
              <w:jc w:val="center"/>
              <w:rPr>
                <w:rFonts w:hint="eastAsia" w:ascii="宋体" w:hAnsi="宋体" w:eastAsia="宋体" w:cs="宋体"/>
                <w:color w:val="auto"/>
                <w:kern w:val="0"/>
                <w:sz w:val="24"/>
                <w:highlight w:val="none"/>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c>
          <w:tcPr>
            <w:tcW w:w="122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c>
          <w:tcPr>
            <w:tcW w:w="167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97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p>
            <w:pPr>
              <w:spacing w:line="440" w:lineRule="exact"/>
              <w:ind w:firstLine="592"/>
              <w:jc w:val="center"/>
              <w:rPr>
                <w:rFonts w:hint="eastAsia" w:ascii="宋体" w:hAnsi="宋体" w:eastAsia="宋体" w:cs="宋体"/>
                <w:color w:val="auto"/>
                <w:kern w:val="0"/>
                <w:sz w:val="24"/>
                <w:highlight w:val="none"/>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c>
          <w:tcPr>
            <w:tcW w:w="122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c>
          <w:tcPr>
            <w:tcW w:w="167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97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p>
            <w:pPr>
              <w:spacing w:line="440" w:lineRule="exact"/>
              <w:ind w:firstLine="592"/>
              <w:jc w:val="center"/>
              <w:rPr>
                <w:rFonts w:hint="eastAsia" w:ascii="宋体" w:hAnsi="宋体" w:eastAsia="宋体" w:cs="宋体"/>
                <w:color w:val="auto"/>
                <w:kern w:val="0"/>
                <w:sz w:val="24"/>
                <w:highlight w:val="none"/>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c>
          <w:tcPr>
            <w:tcW w:w="122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c>
          <w:tcPr>
            <w:tcW w:w="167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int="eastAsia" w:ascii="宋体" w:hAnsi="宋体" w:eastAsia="宋体" w:cs="宋体"/>
                <w:color w:val="auto"/>
                <w:kern w:val="0"/>
                <w:sz w:val="24"/>
                <w:highlight w:val="none"/>
              </w:rPr>
            </w:pPr>
          </w:p>
        </w:tc>
      </w:tr>
    </w:tbl>
    <w:p>
      <w:pPr>
        <w:ind w:firstLine="480" w:firstLineChars="200"/>
        <w:rPr>
          <w:rFonts w:hint="default" w:ascii="宋体" w:hAnsi="宋体" w:eastAsia="宋体" w:cs="宋体"/>
          <w:bCs/>
          <w:color w:val="auto"/>
          <w:kern w:val="0"/>
          <w:sz w:val="24"/>
          <w:highlight w:val="none"/>
          <w:lang w:val="en-US" w:eastAsia="zh-CN"/>
        </w:rPr>
      </w:pPr>
      <w:r>
        <w:rPr>
          <w:rFonts w:hint="eastAsia" w:ascii="宋体" w:hAnsi="宋体" w:eastAsia="宋体" w:cs="宋体"/>
          <w:bCs/>
          <w:color w:val="auto"/>
          <w:kern w:val="0"/>
          <w:sz w:val="24"/>
          <w:highlight w:val="none"/>
        </w:rPr>
        <w:t>注：</w:t>
      </w:r>
      <w:r>
        <w:rPr>
          <w:rFonts w:hint="eastAsia" w:ascii="宋体" w:hAnsi="宋体" w:cs="宋体"/>
          <w:bCs/>
          <w:color w:val="auto"/>
          <w:kern w:val="0"/>
          <w:sz w:val="24"/>
          <w:highlight w:val="none"/>
          <w:lang w:val="en-US" w:eastAsia="zh-CN"/>
        </w:rPr>
        <w:t>1.每个拟投入工作人员填一张表并附下面资料（如有）</w:t>
      </w:r>
    </w:p>
    <w:p>
      <w:pPr>
        <w:ind w:firstLine="960" w:firstLineChars="400"/>
        <w:rPr>
          <w:rFonts w:hint="eastAsia" w:ascii="宋体" w:hAnsi="宋体" w:eastAsia="宋体" w:cs="宋体"/>
          <w:bCs/>
          <w:color w:val="auto"/>
          <w:kern w:val="0"/>
          <w:sz w:val="24"/>
          <w:highlight w:val="none"/>
        </w:rPr>
      </w:pPr>
      <w:r>
        <w:rPr>
          <w:rFonts w:hint="eastAsia" w:ascii="宋体" w:hAnsi="宋体" w:cs="宋体"/>
          <w:bCs/>
          <w:color w:val="auto"/>
          <w:kern w:val="0"/>
          <w:sz w:val="24"/>
          <w:highlight w:val="none"/>
          <w:lang w:val="en-US" w:eastAsia="zh-CN"/>
        </w:rPr>
        <w:t>2.</w:t>
      </w:r>
      <w:r>
        <w:rPr>
          <w:rFonts w:hint="eastAsia" w:ascii="宋体" w:hAnsi="宋体" w:eastAsia="宋体" w:cs="宋体"/>
          <w:bCs/>
          <w:color w:val="auto"/>
          <w:kern w:val="0"/>
          <w:sz w:val="24"/>
          <w:highlight w:val="none"/>
        </w:rPr>
        <w:t>提供项目团队人员名单，后附身份证、</w:t>
      </w:r>
      <w:r>
        <w:rPr>
          <w:rFonts w:hint="eastAsia" w:ascii="宋体" w:hAnsi="宋体" w:cs="宋体"/>
          <w:bCs/>
          <w:color w:val="auto"/>
          <w:kern w:val="0"/>
          <w:sz w:val="24"/>
          <w:highlight w:val="none"/>
          <w:lang w:val="en-US" w:eastAsia="zh-CN"/>
        </w:rPr>
        <w:t>学历证书、</w:t>
      </w:r>
      <w:r>
        <w:rPr>
          <w:rFonts w:hint="eastAsia" w:ascii="宋体" w:hAnsi="宋体" w:eastAsia="宋体" w:cs="宋体"/>
          <w:bCs/>
          <w:color w:val="auto"/>
          <w:kern w:val="0"/>
          <w:sz w:val="24"/>
          <w:highlight w:val="none"/>
        </w:rPr>
        <w:t>社保、</w:t>
      </w:r>
      <w:r>
        <w:rPr>
          <w:rFonts w:hint="eastAsia" w:ascii="宋体" w:hAnsi="宋体" w:cs="宋体"/>
          <w:bCs/>
          <w:color w:val="auto"/>
          <w:kern w:val="0"/>
          <w:sz w:val="24"/>
          <w:highlight w:val="none"/>
          <w:lang w:val="en-US" w:eastAsia="zh-CN"/>
        </w:rPr>
        <w:t>从业经验、</w:t>
      </w:r>
      <w:r>
        <w:rPr>
          <w:rFonts w:hint="eastAsia" w:ascii="宋体" w:hAnsi="宋体" w:eastAsia="宋体" w:cs="宋体"/>
          <w:bCs/>
          <w:color w:val="auto"/>
          <w:kern w:val="0"/>
          <w:sz w:val="24"/>
          <w:highlight w:val="none"/>
        </w:rPr>
        <w:t>专业证书等复印件。在填写时，如本表格不适合</w:t>
      </w:r>
      <w:r>
        <w:rPr>
          <w:rFonts w:hint="eastAsia" w:ascii="宋体" w:hAnsi="宋体" w:cs="宋体"/>
          <w:bCs/>
          <w:color w:val="auto"/>
          <w:kern w:val="0"/>
          <w:sz w:val="24"/>
          <w:highlight w:val="none"/>
          <w:lang w:val="en-US" w:eastAsia="zh-CN"/>
        </w:rPr>
        <w:t>投标</w:t>
      </w:r>
      <w:r>
        <w:rPr>
          <w:rFonts w:hint="eastAsia" w:ascii="宋体" w:hAnsi="宋体" w:eastAsia="宋体" w:cs="宋体"/>
          <w:bCs/>
          <w:color w:val="auto"/>
          <w:kern w:val="0"/>
          <w:sz w:val="24"/>
          <w:highlight w:val="none"/>
        </w:rPr>
        <w:t xml:space="preserve">单位的实际情况，可根据本表格式自行划表填写。 </w:t>
      </w:r>
    </w:p>
    <w:p>
      <w:pPr>
        <w:ind w:firstLine="480" w:firstLineChars="200"/>
        <w:rPr>
          <w:rFonts w:hint="eastAsia" w:ascii="宋体" w:hAnsi="宋体" w:eastAsia="宋体" w:cs="宋体"/>
          <w:bCs/>
          <w:color w:val="auto"/>
          <w:kern w:val="0"/>
          <w:sz w:val="24"/>
          <w:highlight w:val="none"/>
        </w:rPr>
      </w:pPr>
    </w:p>
    <w:p>
      <w:pPr>
        <w:snapToGrid w:val="0"/>
        <w:spacing w:line="360" w:lineRule="auto"/>
        <w:ind w:firstLine="576"/>
        <w:jc w:val="center"/>
        <w:rPr>
          <w:rFonts w:hint="eastAsia" w:ascii="宋体" w:hAnsi="宋体" w:eastAsia="宋体" w:cs="宋体"/>
          <w:color w:val="auto"/>
          <w:kern w:val="0"/>
          <w:sz w:val="24"/>
          <w:highlight w:val="none"/>
          <w:lang w:val="zh-CN"/>
        </w:rPr>
      </w:pPr>
    </w:p>
    <w:p>
      <w:pPr>
        <w:snapToGrid w:val="0"/>
        <w:spacing w:line="360" w:lineRule="auto"/>
        <w:ind w:firstLine="576"/>
        <w:jc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 xml:space="preserve">                </w:t>
      </w:r>
      <w:r>
        <w:rPr>
          <w:rFonts w:hint="eastAsia" w:ascii="宋体" w:hAnsi="宋体" w:eastAsia="宋体" w:cs="宋体"/>
          <w:color w:val="auto"/>
          <w:kern w:val="0"/>
          <w:sz w:val="24"/>
          <w:highlight w:val="none"/>
          <w:lang w:val="zh-CN"/>
        </w:rPr>
        <w:t>投标人名称(电子签名)：</w:t>
      </w:r>
    </w:p>
    <w:p>
      <w:pPr>
        <w:ind w:firstLine="480" w:firstLineChars="200"/>
        <w:rPr>
          <w:rFonts w:hint="eastAsia" w:ascii="宋体" w:hAnsi="宋体" w:eastAsia="宋体" w:cs="宋体"/>
          <w:color w:val="auto"/>
          <w:kern w:val="2"/>
          <w:sz w:val="32"/>
          <w:szCs w:val="32"/>
          <w:highlight w:val="none"/>
        </w:rPr>
      </w:pPr>
      <w:r>
        <w:rPr>
          <w:rFonts w:hint="eastAsia" w:ascii="宋体" w:hAnsi="宋体" w:cs="宋体"/>
          <w:color w:val="auto"/>
          <w:kern w:val="0"/>
          <w:sz w:val="24"/>
          <w:highlight w:val="none"/>
          <w:lang w:val="en-US" w:eastAsia="zh-CN"/>
        </w:rPr>
        <w:t xml:space="preserve">                                </w:t>
      </w:r>
      <w:r>
        <w:rPr>
          <w:rFonts w:hint="eastAsia" w:ascii="宋体" w:hAnsi="宋体" w:eastAsia="宋体" w:cs="宋体"/>
          <w:color w:val="auto"/>
          <w:kern w:val="0"/>
          <w:sz w:val="24"/>
          <w:highlight w:val="none"/>
          <w:lang w:val="zh-CN"/>
        </w:rPr>
        <w:t>日期：  年  月  日</w:t>
      </w:r>
      <w:r>
        <w:rPr>
          <w:rFonts w:hint="eastAsia" w:ascii="宋体" w:hAnsi="宋体" w:eastAsia="宋体" w:cs="宋体"/>
          <w:color w:val="auto"/>
          <w:kern w:val="2"/>
          <w:sz w:val="32"/>
          <w:szCs w:val="32"/>
          <w:highlight w:val="none"/>
        </w:rPr>
        <w:br w:type="page"/>
      </w:r>
    </w:p>
    <w:p>
      <w:pPr>
        <w:ind w:firstLine="964" w:firstLineChars="300"/>
        <w:outlineLvl w:val="1"/>
        <w:rPr>
          <w:rStyle w:val="42"/>
          <w:rFonts w:hint="eastAsia" w:ascii="宋体" w:hAnsi="宋体" w:eastAsia="宋体" w:cs="宋体"/>
          <w:color w:val="auto"/>
          <w:highlight w:val="none"/>
          <w:lang w:val="zh-CN"/>
        </w:rPr>
      </w:pPr>
      <w:bookmarkStart w:id="470" w:name="_Toc11258"/>
      <w:r>
        <w:rPr>
          <w:rStyle w:val="42"/>
          <w:rFonts w:hint="eastAsia" w:ascii="宋体" w:hAnsi="宋体" w:cs="宋体"/>
          <w:color w:val="auto"/>
          <w:highlight w:val="none"/>
          <w:lang w:val="en-US" w:eastAsia="zh-CN"/>
        </w:rPr>
        <w:t>投标文件</w:t>
      </w:r>
      <w:r>
        <w:rPr>
          <w:rStyle w:val="42"/>
          <w:rFonts w:hint="eastAsia" w:ascii="宋体" w:hAnsi="宋体" w:eastAsia="宋体" w:cs="宋体"/>
          <w:color w:val="auto"/>
          <w:highlight w:val="none"/>
          <w:lang w:val="en-US" w:eastAsia="zh-CN"/>
        </w:rPr>
        <w:t>格式</w:t>
      </w:r>
      <w:r>
        <w:rPr>
          <w:rStyle w:val="42"/>
          <w:rFonts w:hint="eastAsia" w:ascii="宋体" w:hAnsi="宋体" w:cs="宋体"/>
          <w:color w:val="auto"/>
          <w:highlight w:val="none"/>
          <w:lang w:val="en-US" w:eastAsia="zh-CN"/>
        </w:rPr>
        <w:t>5</w:t>
      </w:r>
      <w:r>
        <w:rPr>
          <w:rStyle w:val="42"/>
          <w:rFonts w:hint="eastAsia" w:ascii="宋体" w:hAnsi="宋体" w:eastAsia="宋体" w:cs="宋体"/>
          <w:color w:val="auto"/>
          <w:highlight w:val="none"/>
          <w:lang w:val="en-US" w:eastAsia="zh-CN"/>
        </w:rPr>
        <w:t>：</w:t>
      </w:r>
      <w:r>
        <w:rPr>
          <w:rStyle w:val="42"/>
          <w:rFonts w:hint="eastAsia" w:ascii="宋体" w:hAnsi="宋体" w:eastAsia="宋体" w:cs="宋体"/>
          <w:color w:val="auto"/>
          <w:highlight w:val="none"/>
          <w:lang w:val="zh-CN"/>
        </w:rPr>
        <w:t>招标代理费支付承诺书</w:t>
      </w:r>
      <w:bookmarkEnd w:id="470"/>
    </w:p>
    <w:p>
      <w:pPr>
        <w:spacing w:line="420" w:lineRule="exact"/>
        <w:jc w:val="center"/>
        <w:rPr>
          <w:rFonts w:hint="eastAsia" w:ascii="宋体" w:hAnsi="宋体" w:eastAsia="宋体" w:cs="宋体"/>
          <w:b/>
          <w:color w:val="auto"/>
          <w:sz w:val="32"/>
          <w:szCs w:val="32"/>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致：杭州中浙招标有限公司</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如我单位在贵方组织的</w:t>
      </w:r>
      <w:r>
        <w:rPr>
          <w:rFonts w:hint="eastAsia" w:ascii="宋体" w:hAnsi="宋体" w:eastAsia="宋体" w:cs="宋体"/>
          <w:color w:val="auto"/>
          <w:sz w:val="24"/>
          <w:highlight w:val="none"/>
          <w:u w:val="single"/>
        </w:rPr>
        <w:t xml:space="preserve">                   项目</w:t>
      </w:r>
      <w:r>
        <w:rPr>
          <w:rFonts w:hint="eastAsia" w:ascii="宋体" w:hAnsi="宋体" w:eastAsia="宋体" w:cs="宋体"/>
          <w:color w:val="auto"/>
          <w:sz w:val="24"/>
          <w:highlight w:val="none"/>
        </w:rPr>
        <w:t>招标中（</w:t>
      </w:r>
      <w:r>
        <w:rPr>
          <w:rFonts w:hint="eastAsia" w:ascii="宋体" w:hAnsi="宋体" w:eastAsia="宋体" w:cs="宋体"/>
          <w:color w:val="auto"/>
          <w:sz w:val="24"/>
          <w:highlight w:val="none"/>
          <w:u w:val="single"/>
        </w:rPr>
        <w:t xml:space="preserve">编号：      </w:t>
      </w:r>
      <w:r>
        <w:rPr>
          <w:rFonts w:hint="eastAsia" w:ascii="宋体" w:hAnsi="宋体" w:eastAsia="宋体" w:cs="宋体"/>
          <w:color w:val="auto"/>
          <w:sz w:val="24"/>
          <w:highlight w:val="none"/>
        </w:rPr>
        <w:t>）中标。我方承诺按投标文件的规定，在领取中标通知书的同时，以网银或电汇形式向贵方支付招标代理服务费。其金额按投标文件约定计算。</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我方如违约，愿凭贵方开出的违约通知，按上述承诺金额的200％在采购人支付给成交人的合同款中扣缴。</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特此承诺！</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承诺方法定名称：＿＿＿＿＿＿＿＿＿＿</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地址：＿＿＿＿＿＿＿＿＿＿</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邮编：＿＿＿＿＿＿＿＿＿＿</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电话：＿＿＿＿＿＿＿＿＿＿</w:t>
      </w:r>
    </w:p>
    <w:p>
      <w:pPr>
        <w:pStyle w:val="22"/>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传真：＿＿＿＿＿＿＿＿＿＿</w:t>
      </w:r>
    </w:p>
    <w:p>
      <w:pPr>
        <w:pStyle w:val="22"/>
        <w:rPr>
          <w:rFonts w:hint="eastAsia" w:ascii="宋体" w:hAnsi="宋体" w:eastAsia="宋体" w:cs="宋体"/>
          <w:color w:val="auto"/>
          <w:sz w:val="24"/>
          <w:highlight w:val="none"/>
        </w:rPr>
      </w:pPr>
    </w:p>
    <w:p>
      <w:pPr>
        <w:pStyle w:val="22"/>
        <w:rPr>
          <w:rFonts w:hint="eastAsia" w:ascii="宋体" w:hAnsi="宋体" w:eastAsia="宋体" w:cs="宋体"/>
          <w:color w:val="auto"/>
          <w:sz w:val="24"/>
          <w:highlight w:val="none"/>
        </w:rPr>
      </w:pPr>
    </w:p>
    <w:p>
      <w:pPr>
        <w:autoSpaceDE w:val="0"/>
        <w:autoSpaceDN w:val="0"/>
        <w:snapToGrid w:val="0"/>
        <w:spacing w:line="312" w:lineRule="auto"/>
        <w:outlineLvl w:val="0"/>
        <w:rPr>
          <w:rFonts w:hint="eastAsia" w:ascii="宋体" w:hAnsi="宋体" w:eastAsia="宋体" w:cs="宋体"/>
          <w:b/>
          <w:bCs/>
          <w:color w:val="auto"/>
          <w:sz w:val="28"/>
          <w:szCs w:val="28"/>
          <w:highlight w:val="none"/>
        </w:rPr>
      </w:pPr>
      <w:bookmarkStart w:id="471" w:name="_Toc20372"/>
      <w:r>
        <w:rPr>
          <w:rFonts w:hint="eastAsia" w:ascii="宋体" w:hAnsi="宋体" w:eastAsia="宋体" w:cs="宋体"/>
          <w:b/>
          <w:bCs/>
          <w:color w:val="auto"/>
          <w:sz w:val="28"/>
          <w:szCs w:val="28"/>
          <w:highlight w:val="none"/>
        </w:rPr>
        <w:t>附：账户信息</w:t>
      </w:r>
      <w:bookmarkEnd w:id="471"/>
    </w:p>
    <w:p>
      <w:pPr>
        <w:autoSpaceDE w:val="0"/>
        <w:autoSpaceDN w:val="0"/>
        <w:snapToGrid w:val="0"/>
        <w:spacing w:line="312" w:lineRule="auto"/>
        <w:outlineLvl w:val="0"/>
        <w:rPr>
          <w:rFonts w:hint="eastAsia" w:ascii="宋体" w:hAnsi="宋体" w:eastAsia="宋体" w:cs="宋体"/>
          <w:b/>
          <w:bCs/>
          <w:color w:val="auto"/>
          <w:sz w:val="28"/>
          <w:szCs w:val="28"/>
          <w:highlight w:val="none"/>
        </w:rPr>
      </w:pPr>
      <w:bookmarkStart w:id="472" w:name="_Toc31765"/>
      <w:r>
        <w:rPr>
          <w:rFonts w:hint="eastAsia" w:ascii="宋体" w:hAnsi="宋体" w:eastAsia="宋体" w:cs="宋体"/>
          <w:b/>
          <w:bCs/>
          <w:color w:val="auto"/>
          <w:sz w:val="28"/>
          <w:szCs w:val="28"/>
          <w:highlight w:val="none"/>
        </w:rPr>
        <w:t>单位名称：杭州中浙招标有限公司</w:t>
      </w:r>
      <w:bookmarkEnd w:id="472"/>
    </w:p>
    <w:p>
      <w:pPr>
        <w:autoSpaceDE w:val="0"/>
        <w:autoSpaceDN w:val="0"/>
        <w:snapToGrid w:val="0"/>
        <w:spacing w:line="312" w:lineRule="auto"/>
        <w:outlineLvl w:val="0"/>
        <w:rPr>
          <w:rFonts w:hint="eastAsia" w:ascii="宋体" w:hAnsi="宋体" w:eastAsia="宋体" w:cs="宋体"/>
          <w:b/>
          <w:bCs/>
          <w:color w:val="auto"/>
          <w:sz w:val="28"/>
          <w:szCs w:val="28"/>
          <w:highlight w:val="none"/>
        </w:rPr>
      </w:pPr>
      <w:bookmarkStart w:id="473" w:name="_Toc16788"/>
      <w:r>
        <w:rPr>
          <w:rFonts w:hint="eastAsia" w:ascii="宋体" w:hAnsi="宋体" w:eastAsia="宋体" w:cs="宋体"/>
          <w:b/>
          <w:bCs/>
          <w:color w:val="auto"/>
          <w:sz w:val="28"/>
          <w:szCs w:val="28"/>
          <w:highlight w:val="none"/>
        </w:rPr>
        <w:t>开户银行：杭州银行拱宸桥支行</w:t>
      </w:r>
      <w:bookmarkEnd w:id="473"/>
    </w:p>
    <w:p>
      <w:pPr>
        <w:outlineLvl w:val="0"/>
        <w:rPr>
          <w:rFonts w:hint="eastAsia"/>
          <w:color w:val="auto"/>
          <w:highlight w:val="none"/>
        </w:rPr>
      </w:pPr>
      <w:bookmarkStart w:id="474" w:name="_Toc7490"/>
      <w:r>
        <w:rPr>
          <w:rFonts w:hint="eastAsia" w:ascii="宋体" w:hAnsi="宋体" w:eastAsia="宋体" w:cs="宋体"/>
          <w:b/>
          <w:bCs/>
          <w:color w:val="auto"/>
          <w:sz w:val="28"/>
          <w:szCs w:val="28"/>
          <w:highlight w:val="none"/>
        </w:rPr>
        <w:t>帐    号：3301040160001182073</w:t>
      </w:r>
      <w:bookmarkEnd w:id="474"/>
    </w:p>
    <w:p>
      <w:pPr>
        <w:pStyle w:val="22"/>
        <w:rPr>
          <w:rFonts w:hint="eastAsia"/>
          <w:color w:val="auto"/>
          <w:highlight w:val="none"/>
        </w:rPr>
      </w:pPr>
    </w:p>
    <w:p>
      <w:pPr>
        <w:pStyle w:val="34"/>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34"/>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34"/>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34"/>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34"/>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34"/>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34"/>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spacing w:line="360" w:lineRule="auto"/>
        <w:jc w:val="center"/>
        <w:outlineLvl w:val="0"/>
        <w:rPr>
          <w:rFonts w:hint="eastAsia" w:ascii="宋体" w:hAnsi="宋体" w:eastAsia="宋体" w:cs="宋体"/>
          <w:b/>
          <w:color w:val="auto"/>
          <w:kern w:val="0"/>
          <w:sz w:val="36"/>
          <w:szCs w:val="36"/>
          <w:highlight w:val="none"/>
        </w:rPr>
      </w:pPr>
      <w:bookmarkStart w:id="475" w:name="_Toc7717"/>
      <w:r>
        <w:rPr>
          <w:rFonts w:hint="eastAsia" w:ascii="宋体" w:hAnsi="宋体" w:eastAsia="宋体" w:cs="宋体"/>
          <w:b/>
          <w:color w:val="auto"/>
          <w:kern w:val="0"/>
          <w:sz w:val="36"/>
          <w:szCs w:val="36"/>
          <w:highlight w:val="none"/>
        </w:rPr>
        <w:t>报价文件部分</w:t>
      </w:r>
      <w:bookmarkEnd w:id="475"/>
    </w:p>
    <w:p>
      <w:pPr>
        <w:spacing w:line="360" w:lineRule="auto"/>
        <w:jc w:val="center"/>
        <w:outlineLvl w:val="0"/>
        <w:rPr>
          <w:rFonts w:hint="eastAsia" w:ascii="宋体" w:hAnsi="宋体" w:eastAsia="宋体" w:cs="宋体"/>
          <w:b/>
          <w:color w:val="auto"/>
          <w:kern w:val="0"/>
          <w:sz w:val="36"/>
          <w:szCs w:val="36"/>
          <w:highlight w:val="none"/>
        </w:rPr>
      </w:pPr>
      <w:bookmarkStart w:id="476" w:name="_Toc22115"/>
      <w:r>
        <w:rPr>
          <w:rFonts w:hint="eastAsia" w:ascii="宋体" w:hAnsi="宋体" w:eastAsia="宋体" w:cs="宋体"/>
          <w:b/>
          <w:color w:val="auto"/>
          <w:kern w:val="0"/>
          <w:sz w:val="36"/>
          <w:szCs w:val="36"/>
          <w:highlight w:val="none"/>
        </w:rPr>
        <w:t>目录</w:t>
      </w:r>
      <w:bookmarkEnd w:id="476"/>
    </w:p>
    <w:p>
      <w:pPr>
        <w:spacing w:line="360" w:lineRule="auto"/>
        <w:jc w:val="center"/>
        <w:outlineLvl w:val="9"/>
        <w:rPr>
          <w:rFonts w:hint="eastAsia" w:ascii="宋体" w:hAnsi="宋体" w:eastAsia="宋体" w:cs="宋体"/>
          <w:b/>
          <w:color w:val="auto"/>
          <w:kern w:val="0"/>
          <w:sz w:val="36"/>
          <w:szCs w:val="36"/>
          <w:highlight w:val="none"/>
        </w:rPr>
      </w:pPr>
    </w:p>
    <w:p>
      <w:pPr>
        <w:snapToGrid w:val="0"/>
        <w:spacing w:line="360" w:lineRule="auto"/>
        <w:outlineLvl w:val="0"/>
        <w:rPr>
          <w:rFonts w:hint="eastAsia" w:ascii="宋体" w:hAnsi="宋体" w:eastAsia="宋体" w:cs="宋体"/>
          <w:color w:val="auto"/>
          <w:sz w:val="24"/>
          <w:highlight w:val="none"/>
        </w:rPr>
      </w:pPr>
      <w:bookmarkStart w:id="477" w:name="_Toc22758"/>
      <w:r>
        <w:rPr>
          <w:rFonts w:hint="eastAsia" w:ascii="宋体" w:hAnsi="宋体" w:eastAsia="宋体" w:cs="宋体"/>
          <w:color w:val="auto"/>
          <w:sz w:val="24"/>
          <w:highlight w:val="none"/>
        </w:rPr>
        <w:t>（1）开标一览表（报价表）………………………………………………………（页码）</w:t>
      </w:r>
      <w:bookmarkEnd w:id="477"/>
    </w:p>
    <w:p>
      <w:pPr>
        <w:snapToGrid w:val="0"/>
        <w:spacing w:line="360" w:lineRule="auto"/>
        <w:outlineLvl w:val="0"/>
        <w:rPr>
          <w:rFonts w:hint="eastAsia" w:ascii="宋体" w:hAnsi="宋体" w:eastAsia="宋体" w:cs="宋体"/>
          <w:color w:val="auto"/>
          <w:sz w:val="24"/>
          <w:highlight w:val="none"/>
        </w:rPr>
      </w:pPr>
      <w:bookmarkStart w:id="478" w:name="_Toc31702"/>
      <w:r>
        <w:rPr>
          <w:rFonts w:hint="eastAsia" w:ascii="宋体" w:hAnsi="宋体" w:eastAsia="宋体" w:cs="宋体"/>
          <w:color w:val="auto"/>
          <w:sz w:val="24"/>
          <w:highlight w:val="none"/>
        </w:rPr>
        <w:t>（2）中小企业声明函………………………………………………………………（页码）</w:t>
      </w:r>
      <w:bookmarkEnd w:id="478"/>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pStyle w:val="34"/>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footerReference r:id="rId10" w:type="first"/>
          <w:headerReference r:id="rId8" w:type="default"/>
          <w:footerReference r:id="rId9" w:type="default"/>
          <w:pgSz w:w="11906" w:h="16838"/>
          <w:pgMar w:top="1474" w:right="1587" w:bottom="1474" w:left="1587" w:header="851" w:footer="992" w:gutter="0"/>
          <w:cols w:space="0" w:num="1"/>
          <w:titlePg/>
          <w:rtlGutter w:val="0"/>
          <w:docGrid w:linePitch="312" w:charSpace="0"/>
        </w:sectPr>
      </w:pPr>
    </w:p>
    <w:p>
      <w:pPr>
        <w:pStyle w:val="34"/>
        <w:keepNext w:val="0"/>
        <w:pageBreakBefore w:val="0"/>
        <w:tabs>
          <w:tab w:val="clear" w:pos="720"/>
        </w:tabs>
        <w:snapToGrid w:val="0"/>
        <w:spacing w:before="120" w:after="120"/>
        <w:ind w:firstLine="643"/>
        <w:outlineLvl w:val="1"/>
        <w:rPr>
          <w:rFonts w:hint="eastAsia" w:ascii="宋体" w:hAnsi="宋体" w:eastAsia="宋体" w:cs="宋体"/>
          <w:color w:val="auto"/>
          <w:kern w:val="2"/>
          <w:sz w:val="32"/>
          <w:szCs w:val="32"/>
          <w:highlight w:val="none"/>
        </w:rPr>
      </w:pPr>
      <w:bookmarkStart w:id="479" w:name="_Toc20237"/>
      <w:r>
        <w:rPr>
          <w:rFonts w:hint="eastAsia" w:ascii="宋体" w:hAnsi="宋体" w:eastAsia="宋体" w:cs="宋体"/>
          <w:color w:val="auto"/>
          <w:kern w:val="2"/>
          <w:sz w:val="32"/>
          <w:szCs w:val="32"/>
          <w:highlight w:val="none"/>
        </w:rPr>
        <w:t>一、开标一览表（报价表）</w:t>
      </w:r>
      <w:bookmarkEnd w:id="479"/>
    </w:p>
    <w:p>
      <w:pPr>
        <w:snapToGrid w:val="0"/>
        <w:spacing w:line="360" w:lineRule="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嘉兴市</w:t>
      </w:r>
      <w:r>
        <w:rPr>
          <w:rFonts w:hint="eastAsia" w:ascii="宋体" w:hAnsi="宋体" w:cs="宋体"/>
          <w:color w:val="auto"/>
          <w:kern w:val="0"/>
          <w:sz w:val="24"/>
          <w:highlight w:val="none"/>
          <w:lang w:val="en-US" w:eastAsia="zh-CN"/>
        </w:rPr>
        <w:t>第一医</w:t>
      </w:r>
      <w:r>
        <w:rPr>
          <w:rFonts w:hint="eastAsia" w:ascii="宋体" w:hAnsi="宋体" w:eastAsia="宋体" w:cs="宋体"/>
          <w:color w:val="auto"/>
          <w:kern w:val="0"/>
          <w:sz w:val="24"/>
          <w:highlight w:val="none"/>
          <w:lang w:val="en-US" w:eastAsia="zh-CN"/>
        </w:rPr>
        <w:t>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杭州中浙招标有限公司</w:t>
      </w:r>
      <w:r>
        <w:rPr>
          <w:rFonts w:hint="eastAsia" w:ascii="宋体" w:hAnsi="宋体" w:eastAsia="宋体" w:cs="宋体"/>
          <w:color w:val="auto"/>
          <w:kern w:val="0"/>
          <w:sz w:val="24"/>
          <w:highlight w:val="none"/>
          <w:lang w:val="zh-CN"/>
        </w:rPr>
        <w:t>：</w:t>
      </w:r>
    </w:p>
    <w:p>
      <w:pPr>
        <w:spacing w:line="360" w:lineRule="auto"/>
        <w:jc w:val="center"/>
        <w:rPr>
          <w:rFonts w:hint="eastAsia" w:ascii="宋体" w:hAnsi="宋体" w:eastAsia="宋体" w:cs="宋体"/>
          <w:b w:val="0"/>
          <w:bCs/>
          <w:color w:val="auto"/>
          <w:kern w:val="0"/>
          <w:sz w:val="24"/>
          <w:highlight w:val="none"/>
          <w:lang w:val="zh-CN"/>
        </w:rPr>
      </w:pPr>
      <w:r>
        <w:rPr>
          <w:rFonts w:hint="eastAsia" w:ascii="宋体" w:hAnsi="宋体" w:eastAsia="宋体" w:cs="宋体"/>
          <w:b w:val="0"/>
          <w:bCs/>
          <w:color w:val="auto"/>
          <w:kern w:val="0"/>
          <w:sz w:val="24"/>
          <w:highlight w:val="none"/>
          <w:lang w:val="zh-CN"/>
        </w:rPr>
        <w:t>按你方招标文件要求，我们，本投标文件签字方，谨此向你方发出要约如下：如你方接受本投标，我方承诺按照如下开标一览表（报价表）的价格完成（项目名称）【招标编号：（采购编号）】的实施。</w:t>
      </w:r>
    </w:p>
    <w:p>
      <w:pPr>
        <w:spacing w:line="360" w:lineRule="auto"/>
        <w:jc w:val="center"/>
        <w:rPr>
          <w:rFonts w:hint="eastAsia"/>
          <w:color w:val="auto"/>
          <w:highlight w:val="none"/>
          <w:lang w:val="zh-CN"/>
        </w:rPr>
      </w:pPr>
      <w:r>
        <w:rPr>
          <w:rFonts w:hint="eastAsia" w:ascii="宋体" w:hAnsi="宋体" w:eastAsia="宋体" w:cs="宋体"/>
          <w:b/>
          <w:color w:val="auto"/>
          <w:kern w:val="0"/>
          <w:sz w:val="24"/>
          <w:highlight w:val="none"/>
          <w:lang w:val="zh-CN"/>
        </w:rPr>
        <w:t>开标一览表（报价表）(单位均为人民币元)</w:t>
      </w:r>
    </w:p>
    <w:tbl>
      <w:tblPr>
        <w:tblStyle w:val="17"/>
        <w:tblW w:w="9208"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4038"/>
        <w:gridCol w:w="3497"/>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00"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4038"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名称</w:t>
            </w:r>
          </w:p>
        </w:tc>
        <w:tc>
          <w:tcPr>
            <w:tcW w:w="3497"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______________项目</w:t>
            </w:r>
          </w:p>
        </w:tc>
        <w:tc>
          <w:tcPr>
            <w:tcW w:w="773"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900" w:type="dxa"/>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1</w:t>
            </w:r>
          </w:p>
        </w:tc>
        <w:tc>
          <w:tcPr>
            <w:tcW w:w="4038" w:type="dxa"/>
            <w:noWrap w:val="0"/>
            <w:vAlign w:val="center"/>
          </w:tcPr>
          <w:p>
            <w:pPr>
              <w:spacing w:line="36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投标价格</w:t>
            </w:r>
          </w:p>
        </w:tc>
        <w:tc>
          <w:tcPr>
            <w:tcW w:w="3497" w:type="dxa"/>
            <w:noWrap w:val="0"/>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人民币（小写）：</w:t>
            </w:r>
          </w:p>
          <w:p>
            <w:pPr>
              <w:spacing w:line="36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人民币（大写）：</w:t>
            </w:r>
          </w:p>
        </w:tc>
        <w:tc>
          <w:tcPr>
            <w:tcW w:w="773"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00" w:type="dxa"/>
            <w:noWrap w:val="0"/>
            <w:vAlign w:val="center"/>
          </w:tcPr>
          <w:p>
            <w:pPr>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p>
        </w:tc>
        <w:tc>
          <w:tcPr>
            <w:tcW w:w="4038" w:type="dxa"/>
            <w:noWrap w:val="0"/>
            <w:vAlign w:val="center"/>
          </w:tcPr>
          <w:p>
            <w:pPr>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项目负责人</w:t>
            </w:r>
          </w:p>
        </w:tc>
        <w:tc>
          <w:tcPr>
            <w:tcW w:w="3497" w:type="dxa"/>
            <w:noWrap w:val="0"/>
            <w:vAlign w:val="center"/>
          </w:tcPr>
          <w:p>
            <w:pPr>
              <w:spacing w:line="360" w:lineRule="auto"/>
              <w:jc w:val="both"/>
              <w:rPr>
                <w:rFonts w:hint="eastAsia" w:ascii="宋体" w:hAnsi="宋体" w:eastAsia="宋体" w:cs="宋体"/>
                <w:color w:val="auto"/>
                <w:sz w:val="24"/>
                <w:highlight w:val="none"/>
              </w:rPr>
            </w:pPr>
          </w:p>
        </w:tc>
        <w:tc>
          <w:tcPr>
            <w:tcW w:w="773"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900" w:type="dxa"/>
            <w:noWrap w:val="0"/>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3</w:t>
            </w:r>
          </w:p>
        </w:tc>
        <w:tc>
          <w:tcPr>
            <w:tcW w:w="4038" w:type="dxa"/>
            <w:noWrap w:val="0"/>
            <w:vAlign w:val="center"/>
          </w:tcPr>
          <w:p>
            <w:pPr>
              <w:jc w:val="center"/>
              <w:rPr>
                <w:rFonts w:hint="default" w:ascii="宋体" w:hAnsi="宋体" w:eastAsia="宋体" w:cs="宋体"/>
                <w:color w:val="auto"/>
                <w:sz w:val="24"/>
                <w:highlight w:val="none"/>
                <w:lang w:val="en-US"/>
              </w:rPr>
            </w:pPr>
            <w:r>
              <w:rPr>
                <w:rFonts w:hint="eastAsia" w:ascii="宋体" w:hAnsi="宋体" w:cs="宋体"/>
                <w:color w:val="auto"/>
                <w:sz w:val="24"/>
                <w:highlight w:val="none"/>
                <w:lang w:val="en-US" w:eastAsia="zh-CN"/>
              </w:rPr>
              <w:t>服务期限</w:t>
            </w:r>
          </w:p>
        </w:tc>
        <w:tc>
          <w:tcPr>
            <w:tcW w:w="3497" w:type="dxa"/>
            <w:noWrap w:val="0"/>
            <w:vAlign w:val="center"/>
          </w:tcPr>
          <w:p>
            <w:pPr>
              <w:spacing w:line="360" w:lineRule="auto"/>
              <w:rPr>
                <w:rFonts w:hint="eastAsia" w:ascii="宋体" w:hAnsi="宋体" w:eastAsia="宋体" w:cs="宋体"/>
                <w:color w:val="auto"/>
                <w:sz w:val="24"/>
                <w:highlight w:val="none"/>
              </w:rPr>
            </w:pPr>
          </w:p>
        </w:tc>
        <w:tc>
          <w:tcPr>
            <w:tcW w:w="773" w:type="dxa"/>
            <w:noWrap w:val="0"/>
            <w:vAlign w:val="center"/>
          </w:tcPr>
          <w:p>
            <w:pPr>
              <w:spacing w:line="360" w:lineRule="auto"/>
              <w:jc w:val="center"/>
              <w:rPr>
                <w:rFonts w:hint="eastAsia" w:ascii="宋体" w:hAnsi="宋体" w:eastAsia="宋体" w:cs="宋体"/>
                <w:color w:val="auto"/>
                <w:sz w:val="24"/>
                <w:highlight w:val="none"/>
              </w:rPr>
            </w:pPr>
          </w:p>
        </w:tc>
      </w:tr>
    </w:tbl>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供应商需按本表格式分别填写，不得自行更改。</w:t>
      </w:r>
    </w:p>
    <w:p>
      <w:pPr>
        <w:spacing w:line="360" w:lineRule="auto"/>
        <w:ind w:left="-2" w:leftChars="-1" w:firstLine="480" w:firstLineChars="200"/>
        <w:rPr>
          <w:rFonts w:hint="eastAsia" w:ascii="宋体" w:hAnsi="宋体" w:eastAsia="宋体" w:cs="宋体"/>
          <w:color w:val="auto"/>
          <w:kern w:val="0"/>
          <w:sz w:val="24"/>
          <w:highlight w:val="none"/>
          <w:lang w:val="zh-CN"/>
        </w:rPr>
      </w:pPr>
      <w:r>
        <w:rPr>
          <w:rFonts w:hint="eastAsia" w:ascii="宋体" w:hAnsi="宋体" w:cs="宋体"/>
          <w:color w:val="auto"/>
          <w:kern w:val="0"/>
          <w:sz w:val="24"/>
          <w:highlight w:val="none"/>
          <w:lang w:val="en-US" w:eastAsia="zh-CN"/>
        </w:rPr>
        <w:t>2</w:t>
      </w:r>
      <w:r>
        <w:rPr>
          <w:rFonts w:hint="eastAsia" w:ascii="宋体" w:hAnsi="宋体" w:eastAsia="宋体" w:cs="宋体"/>
          <w:color w:val="auto"/>
          <w:kern w:val="0"/>
          <w:sz w:val="24"/>
          <w:highlight w:val="none"/>
          <w:lang w:val="en-US" w:eastAsia="zh-CN"/>
        </w:rPr>
        <w:t>.</w:t>
      </w:r>
      <w:r>
        <w:rPr>
          <w:rFonts w:hint="eastAsia" w:ascii="宋体" w:hAnsi="宋体" w:cs="宋体"/>
          <w:color w:val="auto"/>
          <w:kern w:val="0"/>
          <w:sz w:val="24"/>
          <w:highlight w:val="none"/>
          <w:lang w:val="zh-CN"/>
        </w:rPr>
        <w:t>供应商</w:t>
      </w:r>
      <w:r>
        <w:rPr>
          <w:rFonts w:hint="eastAsia" w:ascii="宋体" w:hAnsi="宋体" w:eastAsia="宋体" w:cs="宋体"/>
          <w:color w:val="auto"/>
          <w:kern w:val="0"/>
          <w:sz w:val="24"/>
          <w:highlight w:val="none"/>
          <w:lang w:val="zh-CN"/>
        </w:rPr>
        <w:t>需按本表格式填写，不得自行更改。</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cs="宋体"/>
          <w:color w:val="auto"/>
          <w:kern w:val="0"/>
          <w:sz w:val="24"/>
          <w:highlight w:val="none"/>
          <w:lang w:val="en-US" w:eastAsia="zh-CN"/>
        </w:rPr>
        <w:t>3</w:t>
      </w:r>
      <w:r>
        <w:rPr>
          <w:rFonts w:hint="eastAsia" w:ascii="宋体" w:hAnsi="宋体" w:eastAsia="宋体" w:cs="宋体"/>
          <w:color w:val="auto"/>
          <w:kern w:val="0"/>
          <w:sz w:val="24"/>
          <w:highlight w:val="none"/>
          <w:lang w:val="en-US" w:eastAsia="zh-CN"/>
        </w:rPr>
        <w:t>.</w:t>
      </w:r>
      <w:r>
        <w:rPr>
          <w:rFonts w:hint="eastAsia" w:ascii="宋体" w:hAnsi="宋体" w:eastAsia="宋体" w:cs="宋体"/>
          <w:color w:val="auto"/>
          <w:kern w:val="0"/>
          <w:sz w:val="24"/>
          <w:highlight w:val="none"/>
          <w:lang w:val="zh-CN"/>
        </w:rPr>
        <w:t>有关本项目实施所涉及的一切费用均计入报价。</w:t>
      </w:r>
      <w:r>
        <w:rPr>
          <w:rFonts w:hint="eastAsia" w:ascii="宋体" w:hAnsi="宋体" w:eastAsia="宋体" w:cs="宋体"/>
          <w:b/>
          <w:color w:val="auto"/>
          <w:kern w:val="0"/>
          <w:sz w:val="24"/>
          <w:highlight w:val="none"/>
          <w:lang w:val="zh-CN"/>
        </w:rPr>
        <w:t>采购人将以合同形式有偿取得货物或服务，不接受</w:t>
      </w:r>
      <w:r>
        <w:rPr>
          <w:rFonts w:hint="eastAsia" w:ascii="宋体" w:hAnsi="宋体" w:cs="宋体"/>
          <w:b/>
          <w:color w:val="auto"/>
          <w:kern w:val="0"/>
          <w:sz w:val="24"/>
          <w:highlight w:val="none"/>
          <w:lang w:val="zh-CN"/>
        </w:rPr>
        <w:t>供应商</w:t>
      </w:r>
      <w:r>
        <w:rPr>
          <w:rFonts w:hint="eastAsia" w:ascii="宋体" w:hAnsi="宋体" w:eastAsia="宋体" w:cs="宋体"/>
          <w:b/>
          <w:color w:val="auto"/>
          <w:kern w:val="0"/>
          <w:sz w:val="24"/>
          <w:highlight w:val="none"/>
          <w:lang w:val="zh-CN"/>
        </w:rPr>
        <w:t>给予的赠品、回扣或者与采购无关的其他商品、服务</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不得出现“0元”“免费赠送”等形式的无偿报价，</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投标文件含有采购人不能接受的附加条件的，投标无效</w:t>
      </w:r>
      <w:r>
        <w:rPr>
          <w:rFonts w:hint="eastAsia" w:ascii="宋体" w:hAnsi="宋体" w:eastAsia="宋体" w:cs="宋体"/>
          <w:b/>
          <w:color w:val="auto"/>
          <w:kern w:val="0"/>
          <w:sz w:val="24"/>
          <w:highlight w:val="none"/>
          <w:lang w:val="zh-CN"/>
        </w:rPr>
        <w:t>。</w:t>
      </w:r>
    </w:p>
    <w:p>
      <w:pPr>
        <w:spacing w:line="360" w:lineRule="auto"/>
        <w:ind w:firstLine="480" w:firstLineChars="200"/>
        <w:rPr>
          <w:rFonts w:hint="eastAsia" w:ascii="宋体" w:hAnsi="宋体" w:eastAsia="宋体" w:cs="宋体"/>
          <w:color w:val="auto"/>
          <w:sz w:val="24"/>
          <w:highlight w:val="none"/>
          <w:lang w:val="zh-CN"/>
        </w:rPr>
      </w:pP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lang w:val="zh-CN"/>
        </w:rPr>
        <w:t>特别提示：采购机构将对项目名称和项目编号，中标供应商名称、地址和中标金额，主要中标标的的名称、规格型号、数量、单价、服务要求等予以公示。</w:t>
      </w:r>
    </w:p>
    <w:p>
      <w:pPr>
        <w:snapToGrid w:val="0"/>
        <w:spacing w:line="360" w:lineRule="auto"/>
        <w:ind w:firstLine="576"/>
        <w:jc w:val="center"/>
        <w:rPr>
          <w:rFonts w:hint="eastAsia" w:ascii="宋体" w:hAnsi="宋体" w:eastAsia="宋体" w:cs="宋体"/>
          <w:color w:val="auto"/>
          <w:sz w:val="24"/>
          <w:highlight w:val="none"/>
          <w:lang w:val="zh-CN"/>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zh-CN"/>
        </w:rPr>
        <w:t>符合招标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pStyle w:val="22"/>
        <w:rPr>
          <w:rFonts w:hint="eastAsia"/>
          <w:color w:val="auto"/>
          <w:lang w:val="zh-CN"/>
        </w:rPr>
      </w:pPr>
    </w:p>
    <w:p>
      <w:pPr>
        <w:snapToGrid w:val="0"/>
        <w:spacing w:line="360" w:lineRule="auto"/>
        <w:ind w:firstLine="576"/>
        <w:jc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 xml:space="preserve">                </w:t>
      </w:r>
      <w:r>
        <w:rPr>
          <w:rFonts w:hint="eastAsia" w:ascii="宋体" w:hAnsi="宋体" w:eastAsia="宋体" w:cs="宋体"/>
          <w:color w:val="auto"/>
          <w:kern w:val="0"/>
          <w:sz w:val="24"/>
          <w:highlight w:val="none"/>
          <w:lang w:val="zh-CN"/>
        </w:rPr>
        <w:t>投标人名称(电子签名)：</w:t>
      </w:r>
    </w:p>
    <w:p>
      <w:pPr>
        <w:spacing w:line="360" w:lineRule="auto"/>
        <w:ind w:firstLine="480" w:firstLineChars="200"/>
        <w:rPr>
          <w:rFonts w:hint="eastAsia" w:ascii="宋体" w:hAnsi="宋体" w:eastAsia="宋体" w:cs="宋体"/>
          <w:color w:val="auto"/>
          <w:sz w:val="24"/>
          <w:highlight w:val="none"/>
          <w:lang w:val="zh-CN"/>
        </w:rPr>
      </w:pPr>
      <w:r>
        <w:rPr>
          <w:rFonts w:hint="eastAsia" w:ascii="宋体" w:hAnsi="宋体" w:cs="宋体"/>
          <w:color w:val="auto"/>
          <w:kern w:val="0"/>
          <w:sz w:val="24"/>
          <w:highlight w:val="none"/>
          <w:lang w:val="en-US" w:eastAsia="zh-CN"/>
        </w:rPr>
        <w:t xml:space="preserve">                                </w:t>
      </w:r>
      <w:r>
        <w:rPr>
          <w:rFonts w:hint="eastAsia" w:ascii="宋体" w:hAnsi="宋体" w:eastAsia="宋体" w:cs="宋体"/>
          <w:color w:val="auto"/>
          <w:kern w:val="0"/>
          <w:sz w:val="24"/>
          <w:highlight w:val="none"/>
          <w:lang w:val="zh-CN"/>
        </w:rPr>
        <w:t>日期：  年  月  日</w:t>
      </w:r>
    </w:p>
    <w:p>
      <w:pPr>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br w:type="page"/>
      </w:r>
    </w:p>
    <w:p>
      <w:pPr>
        <w:pStyle w:val="34"/>
        <w:keepNext w:val="0"/>
        <w:pageBreakBefore w:val="0"/>
        <w:tabs>
          <w:tab w:val="clear" w:pos="720"/>
        </w:tabs>
        <w:snapToGrid w:val="0"/>
        <w:spacing w:before="120" w:after="120"/>
        <w:ind w:firstLine="643"/>
        <w:outlineLvl w:val="1"/>
        <w:rPr>
          <w:rFonts w:hint="eastAsia" w:ascii="宋体" w:hAnsi="宋体" w:eastAsia="宋体" w:cs="宋体"/>
          <w:color w:val="auto"/>
          <w:sz w:val="32"/>
          <w:szCs w:val="32"/>
          <w:highlight w:val="none"/>
        </w:rPr>
      </w:pPr>
      <w:bookmarkStart w:id="480" w:name="_Toc12033"/>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w:t>
      </w:r>
      <w:r>
        <w:rPr>
          <w:rFonts w:hint="eastAsia" w:ascii="宋体" w:hAnsi="宋体" w:eastAsia="宋体" w:cs="宋体"/>
          <w:color w:val="auto"/>
          <w:sz w:val="32"/>
          <w:szCs w:val="32"/>
          <w:highlight w:val="none"/>
          <w:lang w:eastAsia="zh-CN"/>
        </w:rPr>
        <w:t>（非小微企业不用提供）</w:t>
      </w:r>
      <w:bookmarkEnd w:id="480"/>
    </w:p>
    <w:p>
      <w:pPr>
        <w:widowControl/>
        <w:spacing w:line="360" w:lineRule="auto"/>
        <w:ind w:firstLine="120" w:firstLineChars="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34"/>
        <w:keepNext w:val="0"/>
        <w:pageBreakBefore w:val="0"/>
        <w:tabs>
          <w:tab w:val="clear" w:pos="720"/>
        </w:tabs>
        <w:snapToGrid w:val="0"/>
        <w:spacing w:before="120" w:after="120"/>
        <w:ind w:firstLine="643"/>
        <w:outlineLvl w:val="9"/>
        <w:rPr>
          <w:rFonts w:hint="eastAsia" w:ascii="宋体" w:hAnsi="宋体" w:eastAsia="宋体" w:cs="宋体"/>
          <w:b w:val="0"/>
          <w:color w:val="auto"/>
          <w:sz w:val="32"/>
          <w:szCs w:val="32"/>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pStyle w:val="3"/>
        <w:keepNext w:val="0"/>
        <w:keepLines w:val="0"/>
        <w:pageBreakBefore/>
        <w:widowControl/>
        <w:spacing w:before="100" w:beforeAutospacing="1" w:after="100" w:afterAutospacing="1" w:line="360" w:lineRule="auto"/>
        <w:ind w:left="1090" w:leftChars="519" w:firstLine="3066" w:firstLineChars="694"/>
        <w:rPr>
          <w:rFonts w:hint="eastAsia" w:ascii="宋体" w:hAnsi="宋体" w:eastAsia="宋体" w:cs="宋体"/>
          <w:color w:val="auto"/>
          <w:highlight w:val="none"/>
        </w:rPr>
      </w:pPr>
      <w:bookmarkStart w:id="481" w:name="_Toc6476"/>
      <w:bookmarkStart w:id="482" w:name="_Toc465665161"/>
      <w:r>
        <w:rPr>
          <w:rFonts w:hint="eastAsia" w:ascii="宋体" w:hAnsi="宋体" w:eastAsia="宋体" w:cs="宋体"/>
          <w:color w:val="auto"/>
          <w:highlight w:val="none"/>
        </w:rPr>
        <w:t>附件</w:t>
      </w:r>
      <w:bookmarkEnd w:id="481"/>
      <w:bookmarkEnd w:id="482"/>
    </w:p>
    <w:p>
      <w:pPr>
        <w:spacing w:line="360" w:lineRule="auto"/>
        <w:outlineLvl w:val="0"/>
        <w:rPr>
          <w:rFonts w:hint="eastAsia" w:ascii="宋体" w:hAnsi="宋体" w:eastAsia="宋体" w:cs="宋体"/>
          <w:b/>
          <w:color w:val="auto"/>
          <w:spacing w:val="6"/>
          <w:sz w:val="32"/>
          <w:szCs w:val="32"/>
          <w:highlight w:val="none"/>
        </w:rPr>
      </w:pPr>
      <w:bookmarkStart w:id="483" w:name="_Toc14123"/>
      <w:r>
        <w:rPr>
          <w:rFonts w:hint="eastAsia" w:ascii="宋体" w:hAnsi="宋体" w:eastAsia="宋体" w:cs="宋体"/>
          <w:b/>
          <w:color w:val="auto"/>
          <w:spacing w:val="6"/>
          <w:sz w:val="32"/>
          <w:szCs w:val="32"/>
          <w:highlight w:val="none"/>
        </w:rPr>
        <w:t>附件1：</w:t>
      </w:r>
      <w:bookmarkEnd w:id="483"/>
    </w:p>
    <w:p>
      <w:pPr>
        <w:spacing w:line="360" w:lineRule="auto"/>
        <w:jc w:val="center"/>
        <w:rPr>
          <w:rFonts w:hint="eastAsia" w:ascii="宋体" w:hAnsi="宋体" w:eastAsia="宋体" w:cs="宋体"/>
          <w:b/>
          <w:color w:val="auto"/>
          <w:spacing w:val="6"/>
          <w:sz w:val="32"/>
          <w:szCs w:val="32"/>
          <w:highlight w:val="none"/>
          <w:lang w:eastAsia="zh-CN"/>
        </w:rPr>
      </w:pPr>
      <w:bookmarkStart w:id="484" w:name="OLE_LINK13"/>
      <w:bookmarkStart w:id="485" w:name="OLE_LINK14"/>
      <w:r>
        <w:rPr>
          <w:rFonts w:hint="eastAsia" w:ascii="宋体" w:hAnsi="宋体" w:eastAsia="宋体" w:cs="宋体"/>
          <w:b/>
          <w:color w:val="auto"/>
          <w:spacing w:val="6"/>
          <w:sz w:val="32"/>
          <w:szCs w:val="32"/>
          <w:highlight w:val="none"/>
        </w:rPr>
        <w:t>残疾人福利性单位声明函</w:t>
      </w:r>
      <w:r>
        <w:rPr>
          <w:rFonts w:hint="eastAsia" w:ascii="宋体" w:hAnsi="宋体" w:cs="宋体"/>
          <w:b/>
          <w:color w:val="auto"/>
          <w:spacing w:val="6"/>
          <w:sz w:val="32"/>
          <w:szCs w:val="32"/>
          <w:highlight w:val="none"/>
          <w:lang w:eastAsia="zh-CN"/>
        </w:rPr>
        <w:t>（</w:t>
      </w:r>
      <w:r>
        <w:rPr>
          <w:rFonts w:hint="eastAsia" w:ascii="宋体" w:hAnsi="宋体" w:cs="宋体"/>
          <w:b/>
          <w:color w:val="auto"/>
          <w:spacing w:val="6"/>
          <w:sz w:val="32"/>
          <w:szCs w:val="32"/>
          <w:highlight w:val="none"/>
          <w:lang w:val="en-US" w:eastAsia="zh-CN"/>
        </w:rPr>
        <w:t>如有</w:t>
      </w:r>
      <w:r>
        <w:rPr>
          <w:rFonts w:hint="eastAsia" w:ascii="宋体" w:hAnsi="宋体" w:cs="宋体"/>
          <w:b/>
          <w:color w:val="auto"/>
          <w:spacing w:val="6"/>
          <w:sz w:val="32"/>
          <w:szCs w:val="32"/>
          <w:highlight w:val="none"/>
          <w:lang w:eastAsia="zh-CN"/>
        </w:rPr>
        <w:t>）</w:t>
      </w:r>
    </w:p>
    <w:bookmarkEnd w:id="484"/>
    <w:bookmarkEnd w:id="485"/>
    <w:p>
      <w:pPr>
        <w:spacing w:line="360" w:lineRule="auto"/>
        <w:rPr>
          <w:rFonts w:hint="eastAsia" w:ascii="宋体" w:hAnsi="宋体" w:eastAsia="宋体" w:cs="宋体"/>
          <w:b/>
          <w:color w:val="auto"/>
          <w:spacing w:val="6"/>
          <w:sz w:val="30"/>
          <w:szCs w:val="30"/>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kern w:val="0"/>
          <w:sz w:val="24"/>
          <w:highlight w:val="none"/>
          <w:lang w:val="zh-CN"/>
        </w:rPr>
        <w:t>投标人名称（电子签名）</w:t>
      </w:r>
      <w:r>
        <w:rPr>
          <w:rFonts w:hint="eastAsia" w:ascii="宋体" w:hAnsi="宋体" w:eastAsia="宋体" w:cs="宋体"/>
          <w:color w:val="auto"/>
          <w:sz w:val="24"/>
          <w:highlight w:val="none"/>
        </w:rPr>
        <w:t>：</w:t>
      </w: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  期：</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jc w:val="left"/>
        <w:outlineLvl w:val="0"/>
        <w:rPr>
          <w:rFonts w:hint="eastAsia" w:ascii="宋体" w:hAnsi="宋体" w:eastAsia="宋体" w:cs="宋体"/>
          <w:b/>
          <w:color w:val="auto"/>
          <w:spacing w:val="6"/>
          <w:sz w:val="32"/>
          <w:szCs w:val="32"/>
          <w:highlight w:val="none"/>
        </w:rPr>
      </w:pPr>
      <w:bookmarkStart w:id="486" w:name="_Toc5562"/>
      <w:r>
        <w:rPr>
          <w:rFonts w:hint="eastAsia" w:ascii="宋体" w:hAnsi="宋体" w:eastAsia="宋体" w:cs="宋体"/>
          <w:b/>
          <w:color w:val="auto"/>
          <w:spacing w:val="6"/>
          <w:sz w:val="32"/>
          <w:szCs w:val="32"/>
          <w:highlight w:val="none"/>
        </w:rPr>
        <w:t>附件2：质疑函范本及制作说明</w:t>
      </w:r>
      <w:bookmarkEnd w:id="486"/>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质疑函范本</w:t>
      </w:r>
    </w:p>
    <w:p>
      <w:pPr>
        <w:snapToGrid w:val="0"/>
        <w:spacing w:before="240" w:beforeLines="100"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一、质疑供应商基本信息</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质疑供应商：</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地址： </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二、质疑项目基本情况</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采购文件获取日期：</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三、质疑事项具体内容</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质疑事项1：</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质疑事项2</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四、与质疑事项相关的质疑请求</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jc w:val="center"/>
        <w:rPr>
          <w:rFonts w:hint="eastAsia" w:ascii="宋体" w:hAnsi="宋体" w:eastAsia="宋体" w:cs="宋体"/>
          <w:b/>
          <w:bCs/>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auto"/>
          <w:sz w:val="30"/>
          <w:szCs w:val="30"/>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outlineLvl w:val="0"/>
        <w:rPr>
          <w:rFonts w:hint="eastAsia" w:ascii="宋体" w:hAnsi="宋体" w:eastAsia="宋体" w:cs="宋体"/>
          <w:b/>
          <w:color w:val="auto"/>
          <w:spacing w:val="6"/>
          <w:sz w:val="32"/>
          <w:szCs w:val="32"/>
          <w:highlight w:val="none"/>
        </w:rPr>
      </w:pPr>
      <w:bookmarkStart w:id="487" w:name="_Toc9781"/>
      <w:r>
        <w:rPr>
          <w:rFonts w:hint="eastAsia" w:ascii="宋体" w:hAnsi="宋体" w:eastAsia="宋体" w:cs="宋体"/>
          <w:b/>
          <w:color w:val="auto"/>
          <w:spacing w:val="6"/>
          <w:sz w:val="32"/>
          <w:szCs w:val="32"/>
          <w:highlight w:val="none"/>
        </w:rPr>
        <w:t>附件3：投诉书范本及制作说明</w:t>
      </w:r>
      <w:bookmarkEnd w:id="487"/>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投诉书范本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一、投诉相关主体基本情况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tabs>
          <w:tab w:val="left" w:pos="6510"/>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法定代表人/主要负责人：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tabs>
          <w:tab w:val="left" w:pos="6510"/>
        </w:tabs>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被投诉人1：</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被投诉人2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相关供应商：</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二、投诉项目基本情况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采购项目名称：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采购项目编号：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代理机构名称：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采购文件公告: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采购结果公告: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三、质疑基本情况</w:t>
      </w:r>
    </w:p>
    <w:p>
      <w:pPr>
        <w:spacing w:line="360" w:lineRule="auto"/>
        <w:ind w:firstLine="480" w:firstLineChars="200"/>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日,向</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提出质疑，质疑事项为：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采购人/代理机构</w:t>
      </w:r>
      <w:r>
        <w:rPr>
          <w:rFonts w:hint="eastAsia" w:ascii="宋体" w:hAnsi="宋体" w:eastAsia="宋体" w:cs="宋体"/>
          <w:color w:val="auto"/>
          <w:sz w:val="24"/>
          <w:highlight w:val="none"/>
        </w:rPr>
        <w:t>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日,就质疑事项作出了答复/没有在法定期限内作出答复。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四、投诉事项具体内容</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投诉事项 1：</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投诉事项2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五、与投诉事项相关的投诉请求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autoSpaceDE w:val="0"/>
        <w:autoSpaceDN w:val="0"/>
        <w:jc w:val="center"/>
        <w:outlineLvl w:val="0"/>
        <w:rPr>
          <w:rFonts w:hint="eastAsia" w:ascii="宋体" w:hAnsi="宋体" w:eastAsia="宋体" w:cs="宋体"/>
          <w:b/>
          <w:bCs/>
          <w:color w:val="auto"/>
          <w:sz w:val="32"/>
          <w:szCs w:val="32"/>
          <w:highlight w:val="none"/>
        </w:rPr>
      </w:pPr>
      <w:bookmarkStart w:id="488" w:name="_Toc12862"/>
      <w:r>
        <w:rPr>
          <w:rFonts w:hint="eastAsia" w:ascii="宋体" w:hAnsi="宋体" w:eastAsia="宋体" w:cs="宋体"/>
          <w:b/>
          <w:color w:val="auto"/>
          <w:spacing w:val="6"/>
          <w:sz w:val="32"/>
          <w:szCs w:val="32"/>
          <w:highlight w:val="none"/>
        </w:rPr>
        <w:t>附件4：</w:t>
      </w:r>
      <w:r>
        <w:rPr>
          <w:rFonts w:hint="eastAsia" w:ascii="宋体" w:hAnsi="宋体" w:eastAsia="宋体" w:cs="宋体"/>
          <w:b/>
          <w:bCs/>
          <w:color w:val="auto"/>
          <w:sz w:val="32"/>
          <w:szCs w:val="32"/>
          <w:highlight w:val="none"/>
        </w:rPr>
        <w:t>业务专用章使用说明函</w:t>
      </w:r>
      <w:bookmarkEnd w:id="488"/>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（采购人）、（采购代理机构）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我方</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(投标人全称)是中华人民共和国依法登记注册的合法企业，</w:t>
      </w:r>
      <w:r>
        <w:rPr>
          <w:rFonts w:hint="eastAsia" w:ascii="宋体" w:hAnsi="宋体" w:eastAsia="宋体" w:cs="宋体"/>
          <w:bCs/>
          <w:color w:val="auto"/>
          <w:sz w:val="24"/>
          <w:highlight w:val="none"/>
        </w:rPr>
        <w:t>在参加</w:t>
      </w:r>
      <w:r>
        <w:rPr>
          <w:rFonts w:hint="eastAsia" w:ascii="宋体" w:hAnsi="宋体" w:eastAsia="宋体" w:cs="宋体"/>
          <w:color w:val="auto"/>
          <w:sz w:val="24"/>
          <w:highlight w:val="none"/>
        </w:rPr>
        <w:t>你方组织的（项目名称）项目【招标编号：（采购编号）】</w:t>
      </w:r>
      <w:r>
        <w:rPr>
          <w:rFonts w:hint="eastAsia" w:ascii="宋体" w:hAnsi="宋体" w:eastAsia="宋体" w:cs="宋体"/>
          <w:bCs/>
          <w:color w:val="auto"/>
          <w:sz w:val="24"/>
          <w:highlight w:val="none"/>
        </w:rPr>
        <w:t>投标活动中作如下说明：</w:t>
      </w:r>
      <w:r>
        <w:rPr>
          <w:rFonts w:hint="eastAsia" w:ascii="宋体" w:hAnsi="宋体" w:eastAsia="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特此说明。</w:t>
      </w: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right="480" w:firstLine="4080" w:firstLineChars="17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投标单位（法定名称章）：</w:t>
      </w:r>
    </w:p>
    <w:p>
      <w:pPr>
        <w:ind w:right="1440" w:firstLine="494"/>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附：</w:t>
      </w:r>
    </w:p>
    <w:p>
      <w:pPr>
        <w:spacing w:line="360" w:lineRule="auto"/>
        <w:rPr>
          <w:rFonts w:hint="eastAsia" w:ascii="宋体" w:hAnsi="宋体" w:eastAsia="宋体" w:cs="宋体"/>
          <w:bCs/>
          <w:color w:val="auto"/>
          <w:sz w:val="24"/>
          <w:highlight w:val="none"/>
        </w:rPr>
      </w:pPr>
      <w:r>
        <w:rPr>
          <w:rFonts w:hint="eastAsia" w:ascii="宋体" w:hAnsi="宋体" w:eastAsia="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color w:val="auto"/>
          <w:sz w:val="24"/>
          <w:highlight w:val="none"/>
        </w:rPr>
        <w:t>投标单位法定名称章（印模）                投标单位“XX专用章”（印模）</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br w:type="page"/>
      </w:r>
    </w:p>
    <w:p>
      <w:pPr>
        <w:autoSpaceDE w:val="0"/>
        <w:autoSpaceDN w:val="0"/>
        <w:jc w:val="center"/>
        <w:outlineLvl w:val="0"/>
        <w:rPr>
          <w:rFonts w:hint="eastAsia" w:ascii="宋体" w:hAnsi="宋体" w:eastAsia="宋体" w:cs="宋体"/>
          <w:b/>
          <w:bCs/>
          <w:color w:val="auto"/>
          <w:sz w:val="32"/>
          <w:szCs w:val="32"/>
          <w:highlight w:val="none"/>
        </w:rPr>
      </w:pPr>
      <w:bookmarkStart w:id="489" w:name="_Toc20456"/>
      <w:r>
        <w:rPr>
          <w:rFonts w:hint="eastAsia" w:ascii="宋体" w:hAnsi="宋体" w:eastAsia="宋体" w:cs="宋体"/>
          <w:b/>
          <w:color w:val="auto"/>
          <w:spacing w:val="6"/>
          <w:sz w:val="32"/>
          <w:szCs w:val="32"/>
          <w:highlight w:val="none"/>
        </w:rPr>
        <w:t>附件5：</w:t>
      </w:r>
      <w:r>
        <w:rPr>
          <w:rFonts w:hint="eastAsia" w:ascii="宋体" w:hAnsi="宋体" w:eastAsia="宋体" w:cs="宋体"/>
          <w:b/>
          <w:color w:val="auto"/>
          <w:sz w:val="32"/>
          <w:szCs w:val="32"/>
          <w:highlight w:val="none"/>
        </w:rPr>
        <w:t>中小企业声明函</w:t>
      </w:r>
      <w:bookmarkEnd w:id="489"/>
    </w:p>
    <w:p>
      <w:pPr>
        <w:spacing w:line="360" w:lineRule="auto"/>
        <w:jc w:val="center"/>
        <w:rPr>
          <w:rFonts w:hint="eastAsia" w:ascii="宋体" w:hAnsi="宋体" w:eastAsia="宋体" w:cs="宋体"/>
          <w:color w:val="auto"/>
          <w:sz w:val="24"/>
          <w:highlight w:val="none"/>
          <w:u w:val="single"/>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 </w:t>
      </w:r>
      <w:r>
        <w:rPr>
          <w:rFonts w:hint="eastAsia" w:asciiTheme="minorEastAsia" w:hAnsiTheme="minorEastAsia" w:eastAsiaTheme="minorEastAsia" w:cstheme="minorEastAsia"/>
          <w:sz w:val="24"/>
          <w:szCs w:val="24"/>
          <w:u w:val="single"/>
        </w:rPr>
        <w:t>（标的名称）</w:t>
      </w:r>
      <w:r>
        <w:rPr>
          <w:rFonts w:hint="eastAsia" w:asciiTheme="minorEastAsia" w:hAnsiTheme="minorEastAsia" w:eastAsiaTheme="minorEastAsia" w:cstheme="minorEastAsia"/>
          <w:sz w:val="24"/>
          <w:szCs w:val="24"/>
        </w:rPr>
        <w:t xml:space="preserve">，属于 </w:t>
      </w:r>
      <w:r>
        <w:rPr>
          <w:rFonts w:hint="eastAsia" w:asciiTheme="minorEastAsia" w:hAnsiTheme="minorEastAsia" w:eastAsiaTheme="minorEastAsia" w:cstheme="minorEastAsia"/>
          <w:sz w:val="24"/>
          <w:szCs w:val="24"/>
          <w:u w:val="single"/>
        </w:rPr>
        <w:t>（采购文件中明确的所属行业）</w:t>
      </w:r>
      <w:r>
        <w:rPr>
          <w:rFonts w:hint="eastAsia" w:asciiTheme="minorEastAsia" w:hAnsiTheme="minorEastAsia" w:eastAsiaTheme="minorEastAsia" w:cstheme="minorEastAsia"/>
          <w:sz w:val="24"/>
          <w:szCs w:val="24"/>
        </w:rPr>
        <w:t xml:space="preserve"> ；承建（承接）企业为 </w:t>
      </w:r>
      <w:r>
        <w:rPr>
          <w:rFonts w:hint="eastAsia" w:asciiTheme="minorEastAsia" w:hAnsiTheme="minorEastAsia" w:eastAsiaTheme="minorEastAsia" w:cstheme="minorEastAsia"/>
          <w:sz w:val="24"/>
          <w:szCs w:val="24"/>
          <w:u w:val="single"/>
        </w:rPr>
        <w:t>（企业名称）</w:t>
      </w:r>
      <w:r>
        <w:rPr>
          <w:rFonts w:hint="eastAsia" w:asciiTheme="minorEastAsia" w:hAnsiTheme="minorEastAsia" w:eastAsiaTheme="minorEastAsia" w:cstheme="minorEastAsia"/>
          <w:sz w:val="24"/>
          <w:szCs w:val="24"/>
        </w:rPr>
        <w:t xml:space="preserve"> ，从业人员</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人，营业收入为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万元，资产总额为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万元属于</w:t>
      </w:r>
      <w:r>
        <w:rPr>
          <w:rFonts w:hint="eastAsia" w:asciiTheme="minorEastAsia" w:hAnsiTheme="minorEastAsia" w:eastAsiaTheme="minorEastAsia" w:cstheme="minorEastAsia"/>
          <w:sz w:val="24"/>
          <w:szCs w:val="24"/>
          <w:u w:val="single"/>
        </w:rPr>
        <w:t xml:space="preserve"> （中型企业、小型企业、微型企业） </w:t>
      </w:r>
      <w:r>
        <w:rPr>
          <w:rFonts w:hint="eastAsia" w:asciiTheme="minorEastAsia" w:hAnsiTheme="minorEastAsia" w:eastAsiaTheme="minorEastAsia" w:cstheme="minorEastAsia"/>
          <w:sz w:val="24"/>
          <w:szCs w:val="24"/>
        </w:rPr>
        <w:t>；</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 </w:t>
      </w:r>
      <w:r>
        <w:rPr>
          <w:rFonts w:hint="eastAsia" w:asciiTheme="minorEastAsia" w:hAnsiTheme="minorEastAsia" w:eastAsiaTheme="minorEastAsia" w:cstheme="minorEastAsia"/>
          <w:sz w:val="24"/>
          <w:szCs w:val="24"/>
          <w:u w:val="single"/>
        </w:rPr>
        <w:t>（标的名称）</w:t>
      </w:r>
      <w:r>
        <w:rPr>
          <w:rFonts w:hint="eastAsia" w:asciiTheme="minorEastAsia" w:hAnsiTheme="minorEastAsia" w:eastAsiaTheme="minorEastAsia" w:cstheme="minorEastAsia"/>
          <w:sz w:val="24"/>
          <w:szCs w:val="24"/>
        </w:rPr>
        <w:t xml:space="preserve">，属于 </w:t>
      </w:r>
      <w:r>
        <w:rPr>
          <w:rFonts w:hint="eastAsia" w:asciiTheme="minorEastAsia" w:hAnsiTheme="minorEastAsia" w:eastAsiaTheme="minorEastAsia" w:cstheme="minorEastAsia"/>
          <w:sz w:val="24"/>
          <w:szCs w:val="24"/>
          <w:u w:val="single"/>
        </w:rPr>
        <w:t>（采购文件中明确的所属行业）</w:t>
      </w:r>
      <w:r>
        <w:rPr>
          <w:rFonts w:hint="eastAsia" w:asciiTheme="minorEastAsia" w:hAnsiTheme="minorEastAsia" w:eastAsiaTheme="minorEastAsia" w:cstheme="minorEastAsia"/>
          <w:sz w:val="24"/>
          <w:szCs w:val="24"/>
        </w:rPr>
        <w:t xml:space="preserve"> ；承建（承接）企业为 </w:t>
      </w:r>
      <w:r>
        <w:rPr>
          <w:rFonts w:hint="eastAsia" w:asciiTheme="minorEastAsia" w:hAnsiTheme="minorEastAsia" w:eastAsiaTheme="minorEastAsia" w:cstheme="minorEastAsia"/>
          <w:sz w:val="24"/>
          <w:szCs w:val="24"/>
          <w:u w:val="single"/>
        </w:rPr>
        <w:t>（企业名称）</w:t>
      </w:r>
      <w:r>
        <w:rPr>
          <w:rFonts w:hint="eastAsia" w:asciiTheme="minorEastAsia" w:hAnsiTheme="minorEastAsia" w:eastAsiaTheme="minorEastAsia" w:cstheme="minorEastAsia"/>
          <w:sz w:val="24"/>
          <w:szCs w:val="24"/>
        </w:rPr>
        <w:t xml:space="preserve"> ，从业人员</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人，营业收入为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万元，资产总额为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万元属于</w:t>
      </w:r>
      <w:r>
        <w:rPr>
          <w:rFonts w:hint="eastAsia" w:asciiTheme="minorEastAsia" w:hAnsiTheme="minorEastAsia" w:eastAsiaTheme="minorEastAsia" w:cstheme="minorEastAsia"/>
          <w:sz w:val="24"/>
          <w:szCs w:val="24"/>
          <w:u w:val="single"/>
        </w:rPr>
        <w:t xml:space="preserve"> （中型企业、小型企业、微型企业） </w:t>
      </w:r>
      <w:r>
        <w:rPr>
          <w:rFonts w:hint="eastAsia" w:asciiTheme="minorEastAsia" w:hAnsiTheme="minorEastAsia" w:eastAsiaTheme="minorEastAsia" w:cstheme="minorEastAsia"/>
          <w:sz w:val="24"/>
          <w:szCs w:val="24"/>
        </w:rPr>
        <w:t>；</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本企业对上述声明内容的真实性负责。如有虚假，将依法承担相应责任。</w:t>
      </w:r>
    </w:p>
    <w:p>
      <w:pPr>
        <w:spacing w:line="360" w:lineRule="auto"/>
        <w:ind w:right="176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投标人名称（电子签名）：</w:t>
      </w:r>
    </w:p>
    <w:p>
      <w:pPr>
        <w:spacing w:line="360" w:lineRule="auto"/>
        <w:ind w:right="1120" w:firstLine="6120" w:firstLineChars="25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 期：</w:t>
      </w:r>
    </w:p>
    <w:p>
      <w:pPr>
        <w:spacing w:line="360" w:lineRule="auto"/>
        <w:ind w:right="11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从业人员、营业收入、资产总额填报上一年度数据，无上一年度数据的新成立企业可不填报。</w:t>
      </w:r>
    </w:p>
    <w:p>
      <w:pPr>
        <w:spacing w:line="360" w:lineRule="auto"/>
        <w:ind w:right="42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sz w:val="24"/>
          <w:szCs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hint="eastAsia" w:ascii="宋体" w:hAnsi="宋体" w:eastAsia="宋体" w:cs="宋体"/>
          <w:color w:val="auto"/>
          <w:highlight w:val="none"/>
        </w:rPr>
      </w:pPr>
    </w:p>
    <w:sectPr>
      <w:footerReference r:id="rId11" w:type="default"/>
      <w:pgSz w:w="11906" w:h="16838"/>
      <w:pgMar w:top="1474" w:right="1587" w:bottom="1474" w:left="1587" w:header="851" w:footer="992" w:gutter="0"/>
      <w:pgBorders>
        <w:top w:val="none" w:sz="0" w:space="0"/>
        <w:left w:val="none" w:sz="0" w:space="0"/>
        <w:bottom w:val="none" w:sz="0" w:space="0"/>
        <w:right w:val="none" w:sz="0" w:space="0"/>
      </w:pgBorders>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20"/>
      </w:rPr>
    </w:pPr>
    <w:r>
      <w:fldChar w:fldCharType="begin"/>
    </w:r>
    <w:r>
      <w:rPr>
        <w:rStyle w:val="20"/>
      </w:rPr>
      <w:instrText xml:space="preserve">PAGE  </w:instrText>
    </w:r>
    <w:r>
      <w:fldChar w:fldCharType="end"/>
    </w: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lang w:val="en-US" w:eastAsia="zh-CN"/>
      </w:rPr>
      <w:t>64</w:t>
    </w:r>
    <w:r>
      <w:rPr>
        <w:rFonts w:hint="eastAsia" w:ascii="仿宋_GB2312" w:eastAsia="仿宋_GB2312"/>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lang w:val="en-US" w:eastAsia="zh-CN"/>
      </w:rPr>
      <w:t>64</w:t>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lang w:val="en-US" w:eastAsia="zh-CN"/>
      </w:rPr>
      <w:t xml:space="preserve">64 </w:t>
    </w:r>
    <w:r>
      <w:rPr>
        <w:rFonts w:hint="eastAsia" w:ascii="仿宋_GB2312" w:eastAsia="仿宋_GB2312"/>
        <w:kern w:val="0"/>
      </w:rPr>
      <w:t>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lang w:val="en-US"/>
      </w:rPr>
    </w:pPr>
    <w:r>
      <w:rPr>
        <w:rFonts w:hint="eastAsia"/>
      </w:rPr>
      <w:t>嘉兴市第一医院高质量发展咨询辅导项目</w:t>
    </w:r>
    <w:r>
      <w:rPr>
        <w:rFonts w:hint="eastAsia"/>
        <w:lang w:val="en-US" w:eastAsia="zh-CN"/>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tabs>
        <w:tab w:val="center" w:pos="4535"/>
        <w:tab w:val="right" w:pos="8820"/>
        <w:tab w:val="clear" w:pos="4153"/>
        <w:tab w:val="clear" w:pos="8306"/>
      </w:tabs>
      <w:jc w:val="right"/>
    </w:pPr>
    <w:r>
      <w:rPr>
        <w:lang w:val="zh-CN"/>
      </w:rPr>
      <w:t></w:t>
    </w:r>
    <w:r>
      <w:tab/>
    </w:r>
    <w:r>
      <w:rPr>
        <w:lang w:val="zh-CN"/>
      </w:rPr>
      <w:t></w:t>
    </w:r>
    <w:r>
      <w:tab/>
    </w:r>
    <w:r>
      <w:rPr>
        <w:rFonts w:hint="eastAsia"/>
      </w:rPr>
      <w:t>嘉兴市第一医院高质量发展咨询辅导项目招标文件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_GB2312" w:eastAsia="仿宋_GB2312"/>
        <w:b/>
        <w:i/>
        <w:sz w:val="18"/>
        <w:u w:val="single"/>
      </w:rPr>
    </w:pPr>
    <w:r>
      <w:rPr>
        <w:rFonts w:hint="eastAsia"/>
      </w:rPr>
      <w:t>嘉兴市第一医院高质量发展咨询辅导项目</w:t>
    </w:r>
    <w:r>
      <w:rPr>
        <w:rFonts w:hint="eastAsia"/>
        <w:lang w:val="en-US" w:eastAsia="zh-CN"/>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2EF95B"/>
    <w:multiLevelType w:val="singleLevel"/>
    <w:tmpl w:val="612EF95B"/>
    <w:lvl w:ilvl="0" w:tentative="0">
      <w:start w:val="5"/>
      <w:numFmt w:val="decimal"/>
      <w:lvlText w:val="%1."/>
      <w:lvlJc w:val="left"/>
      <w:pPr>
        <w:tabs>
          <w:tab w:val="left" w:pos="312"/>
        </w:tabs>
      </w:pPr>
    </w:lvl>
  </w:abstractNum>
  <w:abstractNum w:abstractNumId="1">
    <w:nsid w:val="662D468A"/>
    <w:multiLevelType w:val="singleLevel"/>
    <w:tmpl w:val="662D468A"/>
    <w:lvl w:ilvl="0" w:tentative="0">
      <w:start w:val="3"/>
      <w:numFmt w:val="chineseCounting"/>
      <w:suff w:val="space"/>
      <w:lvlText w:val="第%1条"/>
      <w:lvlJc w:val="left"/>
      <w:pPr>
        <w:ind w:left="36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80729"/>
    <w:rsid w:val="016C344F"/>
    <w:rsid w:val="02664C0C"/>
    <w:rsid w:val="04252E2B"/>
    <w:rsid w:val="049251C3"/>
    <w:rsid w:val="064918B1"/>
    <w:rsid w:val="08B43399"/>
    <w:rsid w:val="09263969"/>
    <w:rsid w:val="09DE3F82"/>
    <w:rsid w:val="0B720E2A"/>
    <w:rsid w:val="0C211689"/>
    <w:rsid w:val="0D712BF8"/>
    <w:rsid w:val="0F6369D1"/>
    <w:rsid w:val="12EE6DFC"/>
    <w:rsid w:val="16695657"/>
    <w:rsid w:val="1A8F61AA"/>
    <w:rsid w:val="1B1B3973"/>
    <w:rsid w:val="1DA93913"/>
    <w:rsid w:val="1DD270EA"/>
    <w:rsid w:val="1FC21484"/>
    <w:rsid w:val="205B13EC"/>
    <w:rsid w:val="2074108D"/>
    <w:rsid w:val="22AA5209"/>
    <w:rsid w:val="25DA5840"/>
    <w:rsid w:val="267B0938"/>
    <w:rsid w:val="28124692"/>
    <w:rsid w:val="2D4C14EE"/>
    <w:rsid w:val="2F4F2EEF"/>
    <w:rsid w:val="303F4DEC"/>
    <w:rsid w:val="317558B3"/>
    <w:rsid w:val="32AA6B55"/>
    <w:rsid w:val="33A15FD9"/>
    <w:rsid w:val="346E3C70"/>
    <w:rsid w:val="36A26508"/>
    <w:rsid w:val="3D5B1B1E"/>
    <w:rsid w:val="427E1887"/>
    <w:rsid w:val="448605D2"/>
    <w:rsid w:val="45121CDE"/>
    <w:rsid w:val="4B1A0571"/>
    <w:rsid w:val="4C97172F"/>
    <w:rsid w:val="4DE8593F"/>
    <w:rsid w:val="52432787"/>
    <w:rsid w:val="5C913EE5"/>
    <w:rsid w:val="5D4A130C"/>
    <w:rsid w:val="5DEA69D6"/>
    <w:rsid w:val="610272A9"/>
    <w:rsid w:val="61934CA5"/>
    <w:rsid w:val="61C21F98"/>
    <w:rsid w:val="623C641B"/>
    <w:rsid w:val="64C73A1F"/>
    <w:rsid w:val="658D1CB8"/>
    <w:rsid w:val="663C30BD"/>
    <w:rsid w:val="66465CAF"/>
    <w:rsid w:val="66B12266"/>
    <w:rsid w:val="66C80B5B"/>
    <w:rsid w:val="66CF7E35"/>
    <w:rsid w:val="6B980729"/>
    <w:rsid w:val="6D6C2544"/>
    <w:rsid w:val="6E616398"/>
    <w:rsid w:val="6FEF7A38"/>
    <w:rsid w:val="70317866"/>
    <w:rsid w:val="70455082"/>
    <w:rsid w:val="706A65C6"/>
    <w:rsid w:val="740B6CC8"/>
    <w:rsid w:val="74973500"/>
    <w:rsid w:val="771808D9"/>
    <w:rsid w:val="7E6C4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link w:val="42"/>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widowControl/>
      <w:snapToGrid w:val="0"/>
      <w:spacing w:line="480" w:lineRule="exact"/>
      <w:ind w:firstLine="567"/>
    </w:pPr>
    <w:rPr>
      <w:rFonts w:ascii="宋体"/>
      <w:snapToGrid w:val="0"/>
      <w:color w:val="000000"/>
      <w:kern w:val="28"/>
      <w:sz w:val="28"/>
      <w:szCs w:val="20"/>
    </w:rPr>
  </w:style>
  <w:style w:type="paragraph" w:styleId="5">
    <w:name w:val="annotation text"/>
    <w:basedOn w:val="1"/>
    <w:qFormat/>
    <w:uiPriority w:val="99"/>
    <w:pPr>
      <w:jc w:val="left"/>
    </w:pPr>
  </w:style>
  <w:style w:type="paragraph" w:styleId="6">
    <w:name w:val="Body Text"/>
    <w:basedOn w:val="1"/>
    <w:next w:val="7"/>
    <w:qFormat/>
    <w:uiPriority w:val="0"/>
    <w:pPr>
      <w:autoSpaceDE w:val="0"/>
      <w:autoSpaceDN w:val="0"/>
      <w:spacing w:line="360" w:lineRule="auto"/>
    </w:pPr>
    <w:rPr>
      <w:rFonts w:ascii="宋体" w:hAnsi="Arial" w:cs="Arial"/>
      <w:snapToGrid w:val="0"/>
      <w:sz w:val="24"/>
      <w:szCs w:val="21"/>
      <w:lang w:val="zh-CN"/>
    </w:rPr>
  </w:style>
  <w:style w:type="paragraph" w:styleId="7">
    <w:name w:val="Body Text First Indent"/>
    <w:basedOn w:val="6"/>
    <w:next w:val="1"/>
    <w:qFormat/>
    <w:uiPriority w:val="0"/>
    <w:pPr>
      <w:autoSpaceDE/>
      <w:autoSpaceDN/>
      <w:adjustRightInd/>
      <w:spacing w:after="120" w:line="240" w:lineRule="auto"/>
      <w:ind w:firstLine="420" w:firstLineChars="100"/>
    </w:pPr>
    <w:rPr>
      <w:rFonts w:ascii="Times New Roman"/>
      <w:sz w:val="21"/>
      <w:szCs w:val="24"/>
      <w:lang w:val="en-US"/>
    </w:rPr>
  </w:style>
  <w:style w:type="paragraph" w:styleId="8">
    <w:name w:val="Body Text Indent"/>
    <w:basedOn w:val="1"/>
    <w:qFormat/>
    <w:uiPriority w:val="0"/>
    <w:pPr>
      <w:spacing w:line="480" w:lineRule="exact"/>
      <w:ind w:firstLine="480" w:firstLineChars="200"/>
    </w:pPr>
    <w:rPr>
      <w:rFonts w:ascii="宋体" w:hAnsi="宋体"/>
      <w:sz w:val="24"/>
    </w:rPr>
  </w:style>
  <w:style w:type="paragraph" w:styleId="9">
    <w:name w:val="Plain Text"/>
    <w:basedOn w:val="1"/>
    <w:next w:val="1"/>
    <w:qFormat/>
    <w:uiPriority w:val="0"/>
    <w:rPr>
      <w:rFonts w:ascii="宋体" w:hAnsi="Courier New" w:cs="Arial"/>
      <w:snapToGrid w:val="0"/>
      <w:szCs w:val="21"/>
    </w:rPr>
  </w:style>
  <w:style w:type="paragraph" w:styleId="10">
    <w:name w:val="Body Text Indent 2"/>
    <w:basedOn w:val="1"/>
    <w:qFormat/>
    <w:uiPriority w:val="0"/>
    <w:pPr>
      <w:spacing w:after="120" w:afterLines="0" w:line="480" w:lineRule="auto"/>
      <w:ind w:left="420" w:leftChars="200"/>
    </w:p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toc 2"/>
    <w:basedOn w:val="1"/>
    <w:next w:val="1"/>
    <w:qFormat/>
    <w:uiPriority w:val="0"/>
    <w:pPr>
      <w:ind w:left="420" w:leftChars="200"/>
    </w:pPr>
  </w:style>
  <w:style w:type="paragraph" w:styleId="1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16">
    <w:name w:val="Title"/>
    <w:basedOn w:val="1"/>
    <w:qFormat/>
    <w:uiPriority w:val="10"/>
    <w:pPr>
      <w:widowControl/>
      <w:overflowPunct w:val="0"/>
      <w:autoSpaceDE w:val="0"/>
      <w:autoSpaceDN w:val="0"/>
      <w:jc w:val="center"/>
      <w:textAlignment w:val="baseline"/>
    </w:pPr>
    <w:rPr>
      <w:b/>
      <w:kern w:val="0"/>
      <w:sz w:val="24"/>
      <w:szCs w:val="20"/>
      <w:lang w:val="en-GB"/>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rPr>
      <w:rFonts w:ascii="Arial" w:hAnsi="Arial" w:eastAsia="黑体" w:cs="Arial"/>
      <w:snapToGrid w:val="0"/>
      <w:kern w:val="0"/>
      <w:szCs w:val="21"/>
    </w:rPr>
  </w:style>
  <w:style w:type="character" w:styleId="21">
    <w:name w:val="Hyperlink"/>
    <w:qFormat/>
    <w:uiPriority w:val="99"/>
    <w:rPr>
      <w:rFonts w:ascii="Arial" w:hAnsi="Arial" w:eastAsia="黑体" w:cs="Arial"/>
      <w:snapToGrid w:val="0"/>
      <w:color w:val="000000"/>
      <w:kern w:val="0"/>
      <w:sz w:val="18"/>
      <w:szCs w:val="18"/>
      <w:u w:val="none"/>
    </w:rPr>
  </w:style>
  <w:style w:type="paragraph" w:customStyle="1" w:styleId="22">
    <w:name w:val="_Style 3"/>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3">
    <w:name w:val="样式3"/>
    <w:basedOn w:val="9"/>
    <w:next w:val="1"/>
    <w:qFormat/>
    <w:uiPriority w:val="0"/>
    <w:pPr>
      <w:numPr>
        <w:ilvl w:val="0"/>
        <w:numId w:val="0"/>
      </w:numPr>
      <w:spacing w:line="415" w:lineRule="auto"/>
    </w:pPr>
    <w:rPr>
      <w:rFonts w:eastAsia="Times New Roman"/>
    </w:rPr>
  </w:style>
  <w:style w:type="paragraph" w:customStyle="1" w:styleId="24">
    <w:name w:val="正文2"/>
    <w:basedOn w:val="1"/>
    <w:qFormat/>
    <w:uiPriority w:val="0"/>
    <w:pPr>
      <w:spacing w:before="156" w:line="360" w:lineRule="auto"/>
      <w:ind w:firstLine="510" w:firstLineChars="200"/>
    </w:pPr>
    <w:rPr>
      <w:sz w:val="24"/>
      <w:szCs w:val="20"/>
    </w:rPr>
  </w:style>
  <w:style w:type="paragraph" w:customStyle="1" w:styleId="2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7">
    <w:name w:val="正文缩进1"/>
    <w:basedOn w:val="1"/>
    <w:next w:val="8"/>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8">
    <w:name w:val="索引 11"/>
    <w:basedOn w:val="1"/>
    <w:next w:val="1"/>
    <w:qFormat/>
    <w:uiPriority w:val="99"/>
    <w:pPr>
      <w:adjustRightInd/>
      <w:spacing w:line="360" w:lineRule="auto"/>
    </w:pPr>
    <w:rPr>
      <w:rFonts w:ascii="仿宋_GB2312" w:eastAsia="仿宋_GB2312"/>
      <w:sz w:val="24"/>
      <w:szCs w:val="20"/>
    </w:rPr>
  </w:style>
  <w:style w:type="paragraph" w:customStyle="1" w:styleId="29">
    <w:name w:val="纯文本1"/>
    <w:basedOn w:val="30"/>
    <w:qFormat/>
    <w:uiPriority w:val="0"/>
    <w:pPr>
      <w:adjustRightInd/>
    </w:pPr>
    <w:rPr>
      <w:rFonts w:ascii="宋体" w:hAnsi="Courier New"/>
      <w:kern w:val="0"/>
      <w:sz w:val="20"/>
      <w:szCs w:val="20"/>
    </w:rPr>
  </w:style>
  <w:style w:type="paragraph" w:customStyle="1" w:styleId="30">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2">
    <w:name w:val="纯文本_0_0"/>
    <w:basedOn w:val="33"/>
    <w:qFormat/>
    <w:uiPriority w:val="0"/>
    <w:rPr>
      <w:rFonts w:ascii="宋体" w:hAnsi="Courier New"/>
      <w:szCs w:val="21"/>
    </w:rPr>
  </w:style>
  <w:style w:type="paragraph" w:customStyle="1" w:styleId="3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character" w:customStyle="1" w:styleId="35">
    <w:name w:val="font41"/>
    <w:basedOn w:val="19"/>
    <w:qFormat/>
    <w:uiPriority w:val="0"/>
    <w:rPr>
      <w:rFonts w:hint="eastAsia" w:ascii="宋体" w:hAnsi="宋体" w:eastAsia="宋体" w:cs="宋体"/>
      <w:b/>
      <w:color w:val="000000"/>
      <w:sz w:val="20"/>
      <w:szCs w:val="20"/>
      <w:u w:val="none"/>
    </w:rPr>
  </w:style>
  <w:style w:type="character" w:customStyle="1" w:styleId="36">
    <w:name w:val="font112"/>
    <w:basedOn w:val="19"/>
    <w:qFormat/>
    <w:uiPriority w:val="0"/>
    <w:rPr>
      <w:rFonts w:ascii="Arial" w:hAnsi="Arial" w:cs="Arial"/>
      <w:color w:val="000000"/>
      <w:sz w:val="18"/>
      <w:szCs w:val="18"/>
      <w:u w:val="none"/>
    </w:rPr>
  </w:style>
  <w:style w:type="paragraph" w:customStyle="1" w:styleId="37">
    <w:name w:val="BodyText1I2"/>
    <w:basedOn w:val="38"/>
    <w:qFormat/>
    <w:uiPriority w:val="0"/>
    <w:pPr>
      <w:spacing w:after="120" w:line="240" w:lineRule="auto"/>
      <w:ind w:left="420" w:leftChars="200" w:firstLine="420" w:firstLineChars="200"/>
      <w:jc w:val="both"/>
      <w:textAlignment w:val="baseline"/>
    </w:pPr>
    <w:rPr>
      <w:rFonts w:eastAsia="仿宋_GB2312"/>
      <w:kern w:val="2"/>
      <w:sz w:val="21"/>
      <w:szCs w:val="21"/>
      <w:lang w:val="en-US" w:eastAsia="zh-CN" w:bidi="ar-SA"/>
    </w:rPr>
  </w:style>
  <w:style w:type="paragraph" w:customStyle="1" w:styleId="38">
    <w:name w:val="BodyTextIndent"/>
    <w:basedOn w:val="1"/>
    <w:qFormat/>
    <w:uiPriority w:val="0"/>
    <w:pPr>
      <w:spacing w:line="460" w:lineRule="exact"/>
      <w:ind w:firstLine="480" w:firstLineChars="200"/>
      <w:jc w:val="both"/>
      <w:textAlignment w:val="baseline"/>
    </w:pPr>
    <w:rPr>
      <w:rFonts w:eastAsia="仿宋_GB2312"/>
      <w:kern w:val="2"/>
      <w:sz w:val="24"/>
      <w:szCs w:val="20"/>
      <w:lang w:val="en-US" w:eastAsia="zh-CN" w:bidi="ar-SA"/>
    </w:rPr>
  </w:style>
  <w:style w:type="character" w:customStyle="1" w:styleId="39">
    <w:name w:val="font51"/>
    <w:basedOn w:val="19"/>
    <w:qFormat/>
    <w:uiPriority w:val="0"/>
    <w:rPr>
      <w:rFonts w:hint="eastAsia" w:ascii="宋体" w:hAnsi="宋体" w:eastAsia="宋体" w:cs="宋体"/>
      <w:b/>
      <w:color w:val="000000"/>
      <w:sz w:val="20"/>
      <w:szCs w:val="20"/>
      <w:u w:val="none"/>
    </w:rPr>
  </w:style>
  <w:style w:type="paragraph" w:customStyle="1" w:styleId="40">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41">
    <w:name w:val="标题 Char1"/>
    <w:qFormat/>
    <w:uiPriority w:val="0"/>
    <w:rPr>
      <w:rFonts w:ascii="Arial" w:hAnsi="Arial" w:eastAsia="宋体" w:cs="Times New Roman"/>
      <w:b/>
      <w:sz w:val="32"/>
      <w:lang w:val="en-US" w:eastAsia="zh-CN" w:bidi="ar-SA"/>
    </w:rPr>
  </w:style>
  <w:style w:type="character" w:customStyle="1" w:styleId="42">
    <w:name w:val="标题 2 字符"/>
    <w:link w:val="2"/>
    <w:qFormat/>
    <w:locked/>
    <w:uiPriority w:val="0"/>
    <w:rPr>
      <w:rFonts w:ascii="仿宋_GB2312" w:hAnsi="仿宋" w:eastAsia="仿宋_GB2312"/>
      <w:b/>
      <w:bCs/>
      <w:sz w:val="32"/>
      <w:szCs w:val="32"/>
      <w:lang w:val="zh-CN"/>
    </w:rPr>
  </w:style>
  <w:style w:type="paragraph" w:customStyle="1" w:styleId="43">
    <w:name w:val="正文首行缩进 21"/>
    <w:basedOn w:val="44"/>
    <w:qFormat/>
    <w:uiPriority w:val="0"/>
    <w:pPr>
      <w:ind w:firstLine="420"/>
    </w:pPr>
    <w:rPr>
      <w:szCs w:val="22"/>
    </w:rPr>
  </w:style>
  <w:style w:type="paragraph" w:customStyle="1" w:styleId="44">
    <w:name w:val="正文文本缩进1"/>
    <w:basedOn w:val="1"/>
    <w:qFormat/>
    <w:uiPriority w:val="0"/>
    <w:pPr>
      <w:spacing w:after="120" w:afterLines="0"/>
      <w:ind w:left="420" w:leftChars="200"/>
    </w:pPr>
  </w:style>
  <w:style w:type="paragraph" w:styleId="45">
    <w:name w:val="List Paragraph"/>
    <w:basedOn w:val="1"/>
    <w:qFormat/>
    <w:uiPriority w:val="0"/>
    <w:pPr>
      <w:ind w:firstLine="420" w:firstLineChars="200"/>
    </w:pPr>
    <w:rPr>
      <w:rFonts w:ascii="Calibri" w:hAnsi="Calibri"/>
      <w:szCs w:val="22"/>
    </w:rPr>
  </w:style>
  <w:style w:type="paragraph" w:customStyle="1" w:styleId="46">
    <w:name w:val="WPSOffice手动目录 1"/>
    <w:qFormat/>
    <w:uiPriority w:val="0"/>
    <w:pPr>
      <w:ind w:leftChars="0"/>
    </w:pPr>
    <w:rPr>
      <w:rFonts w:ascii="Times New Roman" w:hAnsi="Times New Roman" w:eastAsia="宋体" w:cs="Times New Roman"/>
      <w:sz w:val="20"/>
      <w:szCs w:val="20"/>
    </w:rPr>
  </w:style>
  <w:style w:type="paragraph" w:customStyle="1" w:styleId="4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2022-01-17T01:53:00Z</dcterms:created>
  <dc:creator>中浙小蒋</dc:creator>
  <cp:lastModifiedBy>吴战军</cp:lastModifiedBy>
  <dcterms:modified xsi:type="dcterms:W3CDTF">2022-02-22T01:37:27Z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475CA464D80D49C793ECDE46DD5DF02F</vt:lpwstr>
  </property>
</Properties>
</file>