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ind w:right="752" w:rightChars="358"/>
        <w:jc w:val="both"/>
        <w:rPr>
          <w:rFonts w:hint="eastAsia" w:ascii="宋体" w:hAnsi="宋体" w:eastAsia="宋体" w:cs="宋体"/>
          <w:b/>
          <w:bCs/>
          <w:color w:val="auto"/>
          <w:sz w:val="44"/>
          <w:szCs w:val="44"/>
          <w:highlight w:val="none"/>
        </w:rPr>
      </w:pPr>
    </w:p>
    <w:p>
      <w:pPr>
        <w:adjustRightInd/>
        <w:spacing w:line="360" w:lineRule="auto"/>
        <w:jc w:val="center"/>
        <w:outlineLvl w:val="0"/>
        <w:rPr>
          <w:rFonts w:hint="eastAsia" w:ascii="宋体" w:hAnsi="宋体" w:eastAsia="宋体" w:cs="宋体"/>
          <w:b/>
          <w:bCs/>
          <w:color w:val="auto"/>
          <w:sz w:val="44"/>
          <w:szCs w:val="44"/>
          <w:highlight w:val="none"/>
          <w:lang w:eastAsia="zh-CN"/>
        </w:rPr>
      </w:pPr>
      <w:bookmarkStart w:id="0" w:name="_Toc6322"/>
      <w:bookmarkStart w:id="1" w:name="_Toc1435"/>
    </w:p>
    <w:p>
      <w:pPr>
        <w:adjustRightInd/>
        <w:spacing w:line="360" w:lineRule="auto"/>
        <w:jc w:val="center"/>
        <w:outlineLvl w:val="0"/>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lang w:eastAsia="zh-CN"/>
        </w:rPr>
        <w:t>嘉兴市第一医院2022至2023年安保服务</w:t>
      </w:r>
      <w:r>
        <w:rPr>
          <w:rFonts w:hint="eastAsia" w:ascii="宋体" w:hAnsi="宋体" w:eastAsia="宋体" w:cs="宋体"/>
          <w:b/>
          <w:bCs/>
          <w:color w:val="auto"/>
          <w:sz w:val="44"/>
          <w:szCs w:val="44"/>
          <w:highlight w:val="none"/>
        </w:rPr>
        <w:t>项目</w:t>
      </w:r>
      <w:bookmarkEnd w:id="0"/>
      <w:bookmarkEnd w:id="1"/>
    </w:p>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44"/>
          <w:szCs w:val="44"/>
          <w:highlight w:val="none"/>
        </w:rPr>
      </w:pPr>
    </w:p>
    <w:p>
      <w:pPr>
        <w:pStyle w:val="2"/>
        <w:pageBreakBefore w:val="0"/>
        <w:widowControl w:val="0"/>
        <w:kinsoku/>
        <w:wordWrap/>
        <w:overflowPunct/>
        <w:topLinePunct w:val="0"/>
        <w:autoSpaceDE/>
        <w:autoSpaceDN/>
        <w:bidi w:val="0"/>
        <w:snapToGrid/>
        <w:spacing w:before="0" w:after="0" w:line="360" w:lineRule="auto"/>
        <w:textAlignment w:val="auto"/>
        <w:rPr>
          <w:rFonts w:hint="eastAsia" w:ascii="宋体" w:hAnsi="宋体" w:eastAsia="宋体" w:cs="宋体"/>
          <w:color w:val="auto"/>
          <w:highlight w:val="none"/>
        </w:rPr>
      </w:pPr>
    </w:p>
    <w:p>
      <w:pPr>
        <w:adjustRightInd/>
        <w:spacing w:line="360" w:lineRule="auto"/>
        <w:jc w:val="center"/>
        <w:rPr>
          <w:rFonts w:hint="eastAsia" w:ascii="宋体" w:hAnsi="宋体" w:eastAsia="宋体" w:cs="宋体"/>
          <w:b/>
          <w:bCs/>
          <w:color w:val="auto"/>
          <w:sz w:val="84"/>
          <w:szCs w:val="84"/>
          <w:highlight w:val="none"/>
        </w:rPr>
      </w:pPr>
      <w:r>
        <w:rPr>
          <w:rFonts w:hint="eastAsia" w:ascii="宋体" w:hAnsi="宋体" w:eastAsia="宋体" w:cs="宋体"/>
          <w:b/>
          <w:bCs/>
          <w:color w:val="auto"/>
          <w:sz w:val="84"/>
          <w:szCs w:val="84"/>
          <w:highlight w:val="none"/>
        </w:rPr>
        <w:t>招</w:t>
      </w:r>
      <w:r>
        <w:rPr>
          <w:rFonts w:hint="eastAsia" w:ascii="宋体" w:hAnsi="宋体" w:eastAsia="宋体" w:cs="宋体"/>
          <w:b/>
          <w:bCs/>
          <w:color w:val="auto"/>
          <w:sz w:val="84"/>
          <w:szCs w:val="84"/>
          <w:highlight w:val="none"/>
          <w:lang w:val="en-US" w:eastAsia="zh-CN"/>
        </w:rPr>
        <w:t xml:space="preserve"> </w:t>
      </w:r>
      <w:r>
        <w:rPr>
          <w:rFonts w:hint="eastAsia" w:ascii="宋体" w:hAnsi="宋体" w:eastAsia="宋体" w:cs="宋体"/>
          <w:b/>
          <w:bCs/>
          <w:color w:val="auto"/>
          <w:sz w:val="84"/>
          <w:szCs w:val="84"/>
          <w:highlight w:val="none"/>
        </w:rPr>
        <w:t>标</w:t>
      </w:r>
      <w:r>
        <w:rPr>
          <w:rFonts w:hint="eastAsia" w:ascii="宋体" w:hAnsi="宋体" w:eastAsia="宋体" w:cs="宋体"/>
          <w:b/>
          <w:bCs/>
          <w:color w:val="auto"/>
          <w:sz w:val="84"/>
          <w:szCs w:val="84"/>
          <w:highlight w:val="none"/>
          <w:lang w:val="en-US" w:eastAsia="zh-CN"/>
        </w:rPr>
        <w:t xml:space="preserve"> </w:t>
      </w:r>
      <w:r>
        <w:rPr>
          <w:rFonts w:hint="eastAsia" w:ascii="宋体" w:hAnsi="宋体" w:eastAsia="宋体" w:cs="宋体"/>
          <w:b/>
          <w:bCs/>
          <w:color w:val="auto"/>
          <w:sz w:val="84"/>
          <w:szCs w:val="84"/>
          <w:highlight w:val="none"/>
        </w:rPr>
        <w:t>文</w:t>
      </w:r>
      <w:r>
        <w:rPr>
          <w:rFonts w:hint="eastAsia" w:ascii="宋体" w:hAnsi="宋体" w:eastAsia="宋体" w:cs="宋体"/>
          <w:b/>
          <w:bCs/>
          <w:color w:val="auto"/>
          <w:sz w:val="84"/>
          <w:szCs w:val="84"/>
          <w:highlight w:val="none"/>
          <w:lang w:val="en-US" w:eastAsia="zh-CN"/>
        </w:rPr>
        <w:t xml:space="preserve"> </w:t>
      </w:r>
      <w:r>
        <w:rPr>
          <w:rFonts w:hint="eastAsia" w:ascii="宋体" w:hAnsi="宋体" w:eastAsia="宋体" w:cs="宋体"/>
          <w:b/>
          <w:bCs/>
          <w:color w:val="auto"/>
          <w:sz w:val="84"/>
          <w:szCs w:val="84"/>
          <w:highlight w:val="none"/>
        </w:rPr>
        <w:t>件</w:t>
      </w:r>
    </w:p>
    <w:p>
      <w:pPr>
        <w:pStyle w:val="18"/>
        <w:ind w:firstLine="480"/>
        <w:rPr>
          <w:rFonts w:hint="eastAsia" w:ascii="宋体" w:hAnsi="宋体" w:eastAsia="宋体" w:cs="宋体"/>
          <w:color w:val="auto"/>
          <w:highlight w:val="none"/>
        </w:rPr>
      </w:pPr>
    </w:p>
    <w:p>
      <w:pPr>
        <w:adjustRightInd/>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（电子招投标）</w:t>
      </w:r>
    </w:p>
    <w:p>
      <w:pPr>
        <w:snapToGrid w:val="0"/>
        <w:spacing w:line="360" w:lineRule="auto"/>
        <w:jc w:val="center"/>
        <w:rPr>
          <w:rFonts w:hint="eastAsia" w:ascii="宋体" w:hAnsi="宋体" w:eastAsia="宋体" w:cs="宋体"/>
          <w:color w:val="auto"/>
          <w:sz w:val="24"/>
          <w:highlight w:val="none"/>
        </w:rPr>
      </w:pPr>
    </w:p>
    <w:p>
      <w:pPr>
        <w:pStyle w:val="18"/>
        <w:ind w:firstLine="480"/>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bCs/>
          <w:color w:val="auto"/>
          <w:sz w:val="32"/>
          <w:szCs w:val="32"/>
          <w:highlight w:val="none"/>
          <w:lang w:eastAsia="zh-CN"/>
        </w:rPr>
      </w:pPr>
      <w:bookmarkStart w:id="2" w:name="_Toc31743"/>
      <w:bookmarkStart w:id="3" w:name="_Toc32479"/>
      <w:r>
        <w:rPr>
          <w:rFonts w:hint="eastAsia" w:ascii="宋体" w:hAnsi="宋体" w:eastAsia="宋体" w:cs="宋体"/>
          <w:b/>
          <w:bCs/>
          <w:color w:val="auto"/>
          <w:sz w:val="32"/>
          <w:szCs w:val="32"/>
          <w:highlight w:val="none"/>
        </w:rPr>
        <w:t>招标编号：</w:t>
      </w:r>
      <w:r>
        <w:rPr>
          <w:rFonts w:hint="eastAsia" w:ascii="宋体" w:hAnsi="宋体" w:eastAsia="宋体" w:cs="宋体"/>
          <w:b/>
          <w:bCs/>
          <w:color w:val="auto"/>
          <w:sz w:val="32"/>
          <w:szCs w:val="32"/>
          <w:highlight w:val="none"/>
          <w:lang w:eastAsia="zh-CN"/>
        </w:rPr>
        <w:t>中浙-CZTC22211</w:t>
      </w:r>
      <w:bookmarkEnd w:id="2"/>
      <w:bookmarkEnd w:id="3"/>
    </w:p>
    <w:p>
      <w:pPr>
        <w:adjustRightInd/>
        <w:spacing w:line="36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pStyle w:val="18"/>
        <w:ind w:firstLine="480"/>
        <w:rPr>
          <w:rFonts w:hint="eastAsia" w:ascii="宋体" w:hAnsi="宋体" w:eastAsia="宋体" w:cs="宋体"/>
          <w:color w:val="auto"/>
          <w:szCs w:val="24"/>
          <w:highlight w:val="none"/>
        </w:rPr>
      </w:pPr>
    </w:p>
    <w:p>
      <w:pPr>
        <w:spacing w:line="360" w:lineRule="auto"/>
        <w:ind w:firstLine="1391" w:firstLineChars="462"/>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rPr>
        <w:t>采购人：</w:t>
      </w:r>
      <w:r>
        <w:rPr>
          <w:rFonts w:hint="eastAsia" w:ascii="宋体" w:hAnsi="宋体" w:eastAsia="宋体" w:cs="宋体"/>
          <w:b/>
          <w:color w:val="auto"/>
          <w:sz w:val="30"/>
          <w:szCs w:val="30"/>
          <w:highlight w:val="none"/>
          <w:lang w:eastAsia="zh-CN"/>
        </w:rPr>
        <w:t>嘉兴市第一医院</w:t>
      </w:r>
    </w:p>
    <w:p>
      <w:pPr>
        <w:spacing w:line="360" w:lineRule="auto"/>
        <w:ind w:firstLine="1391" w:firstLineChars="462"/>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采购代理机构：杭州中浙招标有限公司</w:t>
      </w:r>
    </w:p>
    <w:p>
      <w:pPr>
        <w:spacing w:line="360" w:lineRule="auto"/>
        <w:jc w:val="center"/>
        <w:rPr>
          <w:rFonts w:hint="eastAsia" w:ascii="宋体" w:hAnsi="宋体" w:eastAsia="宋体" w:cs="宋体"/>
          <w:color w:val="auto"/>
          <w:sz w:val="30"/>
          <w:szCs w:val="30"/>
          <w:highlight w:val="none"/>
          <w:lang w:val="en-US" w:eastAsia="zh-CN"/>
        </w:rPr>
      </w:pPr>
      <w:r>
        <w:rPr>
          <w:rFonts w:hint="eastAsia" w:ascii="宋体" w:hAnsi="宋体" w:eastAsia="宋体" w:cs="宋体"/>
          <w:b/>
          <w:color w:val="auto"/>
          <w:sz w:val="30"/>
          <w:szCs w:val="30"/>
          <w:highlight w:val="none"/>
        </w:rPr>
        <w:t>二○二二年</w:t>
      </w:r>
      <w:r>
        <w:rPr>
          <w:rFonts w:hint="eastAsia" w:ascii="宋体" w:hAnsi="宋体" w:cs="宋体"/>
          <w:b/>
          <w:color w:val="auto"/>
          <w:sz w:val="30"/>
          <w:szCs w:val="30"/>
          <w:highlight w:val="none"/>
          <w:lang w:val="en-US" w:eastAsia="zh-CN"/>
        </w:rPr>
        <w:t>十</w:t>
      </w:r>
      <w:r>
        <w:rPr>
          <w:rFonts w:hint="eastAsia" w:ascii="宋体" w:hAnsi="宋体" w:eastAsia="宋体" w:cs="宋体"/>
          <w:b/>
          <w:color w:val="auto"/>
          <w:sz w:val="30"/>
          <w:szCs w:val="30"/>
          <w:highlight w:val="none"/>
        </w:rPr>
        <w:t>月</w:t>
      </w:r>
      <w:bookmarkStart w:id="4" w:name="_Hlt67893495"/>
      <w:bookmarkEnd w:id="4"/>
      <w:r>
        <w:rPr>
          <w:rFonts w:hint="eastAsia" w:ascii="宋体" w:hAnsi="宋体" w:cs="宋体"/>
          <w:b/>
          <w:color w:val="auto"/>
          <w:sz w:val="30"/>
          <w:szCs w:val="30"/>
          <w:highlight w:val="none"/>
          <w:lang w:val="en-US" w:eastAsia="zh-CN"/>
        </w:rPr>
        <w:t>十</w:t>
      </w:r>
      <w:r>
        <w:rPr>
          <w:rFonts w:hint="eastAsia" w:ascii="宋体" w:hAnsi="宋体" w:eastAsia="宋体" w:cs="宋体"/>
          <w:b/>
          <w:color w:val="auto"/>
          <w:sz w:val="30"/>
          <w:szCs w:val="30"/>
          <w:highlight w:val="none"/>
          <w:lang w:val="en-US" w:eastAsia="zh-CN"/>
        </w:rPr>
        <w:t>日</w:t>
      </w: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24"/>
          <w:highlight w:val="none"/>
        </w:rPr>
        <w:sectPr>
          <w:footerReference r:id="rId4" w:type="first"/>
          <w:headerReference r:id="rId3" w:type="default"/>
          <w:pgSz w:w="11906" w:h="16838"/>
          <w:pgMar w:top="1474" w:right="1587" w:bottom="1474" w:left="1587" w:header="851" w:footer="992" w:gutter="0"/>
          <w:pgNumType w:fmt="decimal" w:start="0"/>
          <w:cols w:space="0" w:num="1"/>
          <w:docGrid w:linePitch="312" w:charSpace="0"/>
        </w:sectPr>
      </w:pPr>
    </w:p>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hint="eastAsia" w:ascii="宋体" w:hAnsi="宋体" w:eastAsia="宋体" w:cs="宋体"/>
          <w:color w:val="auto"/>
          <w:highlight w:val="none"/>
        </w:rPr>
      </w:pPr>
      <w:r>
        <w:rPr>
          <w:rFonts w:hint="eastAsia" w:ascii="宋体" w:hAnsi="宋体" w:eastAsia="宋体" w:cs="宋体"/>
          <w:b/>
          <w:color w:val="auto"/>
          <w:sz w:val="32"/>
          <w:szCs w:val="32"/>
          <w:highlight w:val="none"/>
          <w:lang w:val="en-US" w:eastAsia="zh-CN"/>
        </w:rPr>
        <w:t>招标文件</w:t>
      </w:r>
      <w:r>
        <w:rPr>
          <w:rFonts w:hint="eastAsia" w:ascii="宋体" w:hAnsi="宋体" w:eastAsia="宋体" w:cs="宋体"/>
          <w:b/>
          <w:color w:val="auto"/>
          <w:sz w:val="32"/>
          <w:szCs w:val="32"/>
          <w:highlight w:val="none"/>
        </w:rPr>
        <w:t>目录</w:t>
      </w:r>
      <w:bookmarkStart w:id="5" w:name="_Hlt91233176"/>
      <w:bookmarkEnd w:id="5"/>
      <w:bookmarkStart w:id="6" w:name="_Toc91899869"/>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"1-2" \h \u </w:instrText>
      </w:r>
      <w:r>
        <w:rPr>
          <w:rFonts w:hint="eastAsia" w:ascii="宋体" w:hAnsi="宋体" w:eastAsia="宋体" w:cs="宋体"/>
          <w:color w:val="auto"/>
          <w:highlight w:val="none"/>
        </w:rPr>
        <w:fldChar w:fldCharType="separate"/>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_Toc16807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36"/>
          <w:highlight w:val="none"/>
        </w:rPr>
        <w:t>第一部分 招标公告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_Toc16807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_Toc12537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36"/>
          <w:highlight w:val="none"/>
        </w:rPr>
        <w:t>第二部分 投标人须知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_Toc12537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_Toc15604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一、总则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_Toc15604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_Toc27013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二、招标文件的构成、澄清、修改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_Toc27013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_Toc13566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三、投标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_Toc13566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_Toc23874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四、开标、资格审查与信用信息查询</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_Toc23874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_Toc21612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五、评标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_Toc21612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_Toc9422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六、定 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_Toc9422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_Toc23994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七、合同授予</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_Toc23994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_Toc4526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八、电子交易活动的中止</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_Toc4526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_Toc730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九、验收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_Toc730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_Toc19635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36"/>
          <w:highlight w:val="none"/>
        </w:rPr>
        <w:t>第三部分   采购需求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_Toc19635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_Toc2497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lang w:val="en-US"/>
        </w:rPr>
        <w:t>一、项目背景</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_Toc2497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_Toc27322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lang w:val="en-US"/>
        </w:rPr>
        <w:t>二、招标内容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_Toc27322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_Toc1937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lang w:val="en-US"/>
        </w:rPr>
        <w:t>三、报价要求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_Toc1937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_Toc6452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lang w:val="en-US" w:eastAsia="zh-CN"/>
        </w:rPr>
        <w:t>四</w:t>
      </w:r>
      <w:r>
        <w:rPr>
          <w:rFonts w:hint="eastAsia" w:ascii="宋体" w:hAnsi="宋体" w:eastAsia="宋体" w:cs="宋体"/>
          <w:color w:val="auto"/>
          <w:szCs w:val="24"/>
          <w:highlight w:val="none"/>
          <w:lang w:val="en-US"/>
        </w:rPr>
        <w:t>、</w:t>
      </w:r>
      <w:r>
        <w:rPr>
          <w:rFonts w:hint="eastAsia" w:ascii="宋体" w:hAnsi="宋体" w:eastAsia="宋体" w:cs="宋体"/>
          <w:color w:val="auto"/>
          <w:szCs w:val="24"/>
          <w:highlight w:val="none"/>
        </w:rPr>
        <w:t>服务内容及要求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_Toc6452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_Toc30087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五、合同服务年限</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_Toc30087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_Toc4041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六、采购人对保安服务的考核</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_Toc4041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_Toc19073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附件一、嘉兴市第一医院保安人员考核处罚细则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_Toc19073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_Toc30804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36"/>
          <w:highlight w:val="none"/>
        </w:rPr>
        <w:t>第四部分   评标办法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_Toc30804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_Toc9623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8"/>
          <w:highlight w:val="none"/>
        </w:rPr>
        <w:t>评标办法前附表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_Toc9623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_Toc18318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一、评标方法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_Toc18318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_Toc15001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二、评标标准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_Toc15001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_Toc5140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三、评标程序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_Toc5140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_Toc30586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四、评标中的其他事项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_Toc30586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_Toc9912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36"/>
          <w:highlight w:val="none"/>
        </w:rPr>
        <w:t>第五部分 拟签订的合同文本</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_Toc9912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_Toc20907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36"/>
          <w:highlight w:val="none"/>
        </w:rPr>
        <w:t>第六部分应提交的有关格式范例</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_Toc20907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5"/>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_Toc832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8"/>
          <w:highlight w:val="none"/>
        </w:rPr>
        <w:t>资格文件部分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_Toc832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_Toc24364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36"/>
          <w:highlight w:val="none"/>
        </w:rPr>
        <w:t>商务技术文件部分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_Toc24364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keepNext w:val="0"/>
        <w:keepLines w:val="0"/>
        <w:pageBreakBefore w:val="0"/>
        <w:widowControl w:val="0"/>
        <w:tabs>
          <w:tab w:val="right" w:leader="dot" w:pos="8732"/>
        </w:tabs>
        <w:kinsoku/>
        <w:wordWrap/>
        <w:overflowPunct/>
        <w:topLinePunct w:val="0"/>
        <w:autoSpaceDE/>
        <w:autoSpaceDN/>
        <w:bidi w:val="0"/>
        <w:adjustRightInd w:val="0"/>
        <w:snapToGrid/>
        <w:spacing w:line="31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_Toc29190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32"/>
          <w:highlight w:val="none"/>
        </w:rPr>
        <w:t>报价文件部分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_Toc29190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highlight w:val="none"/>
        </w:rPr>
        <w:sectPr>
          <w:footerReference r:id="rId5" w:type="default"/>
          <w:pgSz w:w="11906" w:h="16838"/>
          <w:pgMar w:top="1474" w:right="1587" w:bottom="1474" w:left="1587" w:header="851" w:footer="992" w:gutter="0"/>
          <w:pgNumType w:fmt="decimal" w:start="1"/>
          <w:cols w:space="0" w:num="1"/>
          <w:docGrid w:linePitch="312" w:charSpace="0"/>
        </w:sectPr>
      </w:pPr>
      <w:r>
        <w:rPr>
          <w:rFonts w:hint="eastAsia" w:ascii="宋体" w:hAnsi="宋体" w:eastAsia="宋体" w:cs="宋体"/>
          <w:color w:val="auto"/>
          <w:highlight w:val="none"/>
        </w:rPr>
        <w:fldChar w:fldCharType="end"/>
      </w:r>
    </w:p>
    <w:bookmarkEnd w:id="6"/>
    <w:p>
      <w:pPr>
        <w:adjustRightInd/>
        <w:spacing w:line="360" w:lineRule="auto"/>
        <w:jc w:val="center"/>
        <w:outlineLvl w:val="0"/>
        <w:rPr>
          <w:rFonts w:hint="eastAsia" w:ascii="宋体" w:hAnsi="宋体" w:eastAsia="宋体" w:cs="宋体"/>
          <w:b/>
          <w:color w:val="auto"/>
          <w:sz w:val="36"/>
          <w:szCs w:val="36"/>
          <w:highlight w:val="none"/>
        </w:rPr>
      </w:pPr>
      <w:bookmarkStart w:id="7" w:name="_Hlt74728647"/>
      <w:bookmarkEnd w:id="7"/>
      <w:bookmarkStart w:id="8" w:name="_Hlt74729822"/>
      <w:bookmarkEnd w:id="8"/>
      <w:bookmarkStart w:id="9" w:name="_Hlt74707423"/>
      <w:bookmarkEnd w:id="9"/>
      <w:bookmarkStart w:id="10" w:name="_Hlt74649545"/>
      <w:bookmarkEnd w:id="10"/>
      <w:bookmarkStart w:id="11" w:name="_Toc6606"/>
      <w:bookmarkStart w:id="12" w:name="_Toc16807"/>
      <w:bookmarkStart w:id="13" w:name="_Toc81"/>
      <w:bookmarkStart w:id="14" w:name="第二部分"/>
      <w:bookmarkStart w:id="15" w:name="_Toc91899870"/>
      <w:bookmarkStart w:id="16" w:name="_Toc91899871"/>
      <w:r>
        <w:rPr>
          <w:rFonts w:hint="eastAsia" w:ascii="宋体" w:hAnsi="宋体" w:eastAsia="宋体" w:cs="宋体"/>
          <w:b/>
          <w:color w:val="auto"/>
          <w:sz w:val="36"/>
          <w:szCs w:val="36"/>
          <w:highlight w:val="none"/>
        </w:rPr>
        <w:t>第一部分 招标公告</w:t>
      </w:r>
      <w:bookmarkEnd w:id="11"/>
      <w:bookmarkEnd w:id="12"/>
      <w:bookmarkEnd w:id="13"/>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嘉兴市第一医院2022至2023年安保服务项目</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23"/>
          <w:rFonts w:hint="eastAsia" w:ascii="宋体" w:hAnsi="宋体" w:eastAsia="宋体" w:cs="宋体"/>
          <w:snapToGrid/>
          <w:color w:val="auto"/>
          <w:kern w:val="2"/>
          <w:sz w:val="24"/>
          <w:szCs w:val="24"/>
          <w:highlight w:val="none"/>
        </w:rPr>
        <w:t>https://www.zcygov.cn/）获取（下载）招标文件，并于</w:t>
      </w:r>
      <w:r>
        <w:rPr>
          <w:rFonts w:hint="eastAsia" w:ascii="宋体" w:hAnsi="宋体" w:eastAsia="宋体" w:cs="宋体"/>
          <w:color w:val="auto"/>
          <w:sz w:val="24"/>
          <w:highlight w:val="none"/>
          <w:u w:val="single"/>
        </w:rPr>
        <w:t>2022年</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31</w:t>
      </w:r>
      <w:r>
        <w:rPr>
          <w:rFonts w:hint="eastAsia" w:ascii="宋体" w:hAnsi="宋体" w:eastAsia="宋体" w:cs="宋体"/>
          <w:color w:val="auto"/>
          <w:sz w:val="24"/>
          <w:highlight w:val="none"/>
          <w:u w:val="single"/>
        </w:rPr>
        <w:t>日9点00分00</w:t>
      </w:r>
      <w:r>
        <w:rPr>
          <w:rFonts w:hint="eastAsia" w:ascii="宋体" w:hAnsi="宋体" w:eastAsia="宋体" w:cs="宋体"/>
          <w:bCs/>
          <w:color w:val="auto"/>
          <w:sz w:val="24"/>
          <w:highlight w:val="none"/>
          <w:u w:val="single"/>
        </w:rPr>
        <w:t>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keepNext w:val="0"/>
        <w:keepLines w:val="0"/>
        <w:pageBreakBefore w:val="0"/>
        <w:kinsoku/>
        <w:wordWrap/>
        <w:overflowPunct/>
        <w:topLinePunct w:val="0"/>
        <w:bidi w:val="0"/>
        <w:spacing w:line="312" w:lineRule="auto"/>
        <w:textAlignment w:val="auto"/>
        <w:outlineLvl w:val="1"/>
        <w:rPr>
          <w:rFonts w:hint="eastAsia" w:ascii="宋体" w:hAnsi="宋体" w:eastAsia="宋体" w:cs="宋体"/>
          <w:b/>
          <w:color w:val="auto"/>
          <w:sz w:val="24"/>
          <w:szCs w:val="24"/>
          <w:highlight w:val="none"/>
        </w:rPr>
      </w:pPr>
      <w:bookmarkStart w:id="17" w:name="_Toc11298"/>
      <w:bookmarkStart w:id="18" w:name="_Toc15500"/>
      <w:bookmarkStart w:id="19" w:name="_Toc460"/>
      <w:r>
        <w:rPr>
          <w:rFonts w:hint="eastAsia" w:ascii="宋体" w:hAnsi="宋体" w:eastAsia="宋体" w:cs="宋体"/>
          <w:b/>
          <w:color w:val="auto"/>
          <w:sz w:val="24"/>
          <w:szCs w:val="24"/>
          <w:highlight w:val="none"/>
        </w:rPr>
        <w:t>一、项目基本情况</w:t>
      </w:r>
      <w:bookmarkEnd w:id="17"/>
      <w:bookmarkEnd w:id="18"/>
      <w:bookmarkEnd w:id="19"/>
    </w:p>
    <w:p>
      <w:pPr>
        <w:keepNext w:val="0"/>
        <w:keepLines w:val="0"/>
        <w:pageBreakBefore w:val="0"/>
        <w:kinsoku/>
        <w:wordWrap/>
        <w:overflowPunct/>
        <w:topLinePunct w:val="0"/>
        <w:bidi w:val="0"/>
        <w:spacing w:line="312" w:lineRule="auto"/>
        <w:ind w:firstLine="48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
          <w:color w:val="auto"/>
          <w:sz w:val="24"/>
          <w:szCs w:val="24"/>
          <w:highlight w:val="none"/>
        </w:rPr>
        <w:t>项目编号</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中浙-CZTC22211</w:t>
      </w:r>
    </w:p>
    <w:p>
      <w:pPr>
        <w:keepNext w:val="0"/>
        <w:keepLines w:val="0"/>
        <w:pageBreakBefore w:val="0"/>
        <w:kinsoku/>
        <w:wordWrap/>
        <w:overflowPunct/>
        <w:topLinePunct w:val="0"/>
        <w:bidi w:val="0"/>
        <w:spacing w:line="312" w:lineRule="auto"/>
        <w:ind w:firstLine="48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
          <w:color w:val="auto"/>
          <w:sz w:val="24"/>
          <w:szCs w:val="24"/>
          <w:highlight w:val="none"/>
        </w:rPr>
        <w:t>项目名称：</w:t>
      </w:r>
      <w:r>
        <w:rPr>
          <w:rFonts w:hint="eastAsia" w:ascii="宋体" w:hAnsi="宋体" w:eastAsia="宋体" w:cs="宋体"/>
          <w:bCs/>
          <w:color w:val="auto"/>
          <w:sz w:val="24"/>
          <w:szCs w:val="24"/>
          <w:highlight w:val="none"/>
          <w:lang w:eastAsia="zh-CN"/>
        </w:rPr>
        <w:t>嘉兴市第一医院2022至2023年安保服务项目</w:t>
      </w:r>
    </w:p>
    <w:p>
      <w:pPr>
        <w:keepNext w:val="0"/>
        <w:keepLines w:val="0"/>
        <w:pageBreakBefore w:val="0"/>
        <w:kinsoku/>
        <w:wordWrap/>
        <w:overflowPunct/>
        <w:topLinePunct w:val="0"/>
        <w:bidi w:val="0"/>
        <w:spacing w:line="312" w:lineRule="auto"/>
        <w:ind w:firstLine="48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
          <w:color w:val="auto"/>
          <w:sz w:val="24"/>
          <w:szCs w:val="24"/>
          <w:highlight w:val="none"/>
        </w:rPr>
        <w:t>预算金额（元）</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lang w:val="en-US" w:eastAsia="zh-CN"/>
        </w:rPr>
        <w:t>9000000</w:t>
      </w:r>
    </w:p>
    <w:p>
      <w:pPr>
        <w:keepNext w:val="0"/>
        <w:keepLines w:val="0"/>
        <w:pageBreakBefore w:val="0"/>
        <w:kinsoku/>
        <w:wordWrap/>
        <w:overflowPunct/>
        <w:topLinePunct w:val="0"/>
        <w:bidi w:val="0"/>
        <w:spacing w:line="312" w:lineRule="auto"/>
        <w:ind w:firstLine="48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
          <w:color w:val="auto"/>
          <w:sz w:val="24"/>
          <w:szCs w:val="24"/>
          <w:highlight w:val="none"/>
        </w:rPr>
        <w:t>最高限价（元）</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lang w:val="en-US" w:eastAsia="zh-CN"/>
        </w:rPr>
        <w:t>9000000</w:t>
      </w:r>
    </w:p>
    <w:p>
      <w:pPr>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采购需求：</w:t>
      </w:r>
      <w:r>
        <w:rPr>
          <w:rFonts w:hint="eastAsia" w:ascii="宋体" w:hAnsi="宋体" w:eastAsia="宋体" w:cs="宋体"/>
          <w:bCs/>
          <w:color w:val="auto"/>
          <w:sz w:val="24"/>
          <w:szCs w:val="24"/>
          <w:highlight w:val="none"/>
          <w:lang w:eastAsia="zh-CN"/>
        </w:rPr>
        <w:t>嘉兴市第一医院</w:t>
      </w:r>
      <w:r>
        <w:rPr>
          <w:rFonts w:hint="eastAsia" w:ascii="宋体" w:hAnsi="宋体" w:eastAsia="宋体" w:cs="宋体"/>
          <w:bCs/>
          <w:color w:val="auto"/>
          <w:sz w:val="24"/>
          <w:szCs w:val="24"/>
          <w:highlight w:val="none"/>
        </w:rPr>
        <w:t>2022年</w:t>
      </w:r>
      <w:r>
        <w:rPr>
          <w:rFonts w:hint="eastAsia" w:ascii="宋体" w:hAnsi="宋体" w:eastAsia="宋体" w:cs="宋体"/>
          <w:bCs/>
          <w:color w:val="auto"/>
          <w:sz w:val="24"/>
          <w:szCs w:val="24"/>
          <w:highlight w:val="none"/>
          <w:lang w:val="en-US" w:eastAsia="zh-CN"/>
        </w:rPr>
        <w:t>至</w:t>
      </w:r>
      <w:r>
        <w:rPr>
          <w:rFonts w:hint="eastAsia" w:ascii="宋体" w:hAnsi="宋体" w:eastAsia="宋体" w:cs="宋体"/>
          <w:bCs/>
          <w:color w:val="auto"/>
          <w:sz w:val="24"/>
          <w:szCs w:val="24"/>
          <w:highlight w:val="none"/>
        </w:rPr>
        <w:t>2023年的全院保安服务，承担</w:t>
      </w:r>
      <w:r>
        <w:rPr>
          <w:rFonts w:hint="eastAsia" w:ascii="宋体" w:hAnsi="宋体" w:eastAsia="宋体" w:cs="宋体"/>
          <w:bCs/>
          <w:color w:val="auto"/>
          <w:sz w:val="24"/>
          <w:szCs w:val="24"/>
          <w:highlight w:val="none"/>
          <w:lang w:val="en-US" w:eastAsia="zh-CN"/>
        </w:rPr>
        <w:t>医院安全</w:t>
      </w:r>
      <w:r>
        <w:rPr>
          <w:rFonts w:hint="eastAsia" w:ascii="宋体" w:hAnsi="宋体" w:eastAsia="宋体" w:cs="宋体"/>
          <w:bCs/>
          <w:color w:val="auto"/>
          <w:sz w:val="24"/>
          <w:szCs w:val="24"/>
          <w:highlight w:val="none"/>
        </w:rPr>
        <w:t>保卫、消防、应急处置及车辆管理、解款押运等工作。</w:t>
      </w:r>
    </w:p>
    <w:p>
      <w:pPr>
        <w:keepNext w:val="0"/>
        <w:keepLines w:val="0"/>
        <w:pageBreakBefore w:val="0"/>
        <w:kinsoku/>
        <w:wordWrap/>
        <w:overflowPunct/>
        <w:topLinePunct w:val="0"/>
        <w:bidi w:val="0"/>
        <w:spacing w:line="312" w:lineRule="auto"/>
        <w:ind w:firstLine="480"/>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合同履约期限：</w:t>
      </w:r>
      <w:r>
        <w:rPr>
          <w:rFonts w:hint="eastAsia" w:ascii="宋体" w:hAnsi="宋体" w:eastAsia="宋体" w:cs="宋体"/>
          <w:bCs/>
          <w:color w:val="auto"/>
          <w:sz w:val="24"/>
          <w:szCs w:val="24"/>
          <w:highlight w:val="none"/>
        </w:rPr>
        <w:t>标项 1，合同签订后一年，其中前三个月（包括在一年中）为试用期，试用期满经采购人考核合格后，合同方为有效。第二年经采购人考核合格后可续签一年。</w:t>
      </w:r>
    </w:p>
    <w:p>
      <w:pPr>
        <w:pStyle w:val="5"/>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b/>
          <w:snapToGrid/>
          <w:color w:val="auto"/>
          <w:kern w:val="2"/>
          <w:sz w:val="24"/>
          <w:szCs w:val="24"/>
          <w:highlight w:val="none"/>
        </w:rPr>
      </w:pPr>
      <w:bookmarkStart w:id="20" w:name="_Toc12406"/>
      <w:r>
        <w:rPr>
          <w:rFonts w:hint="eastAsia" w:ascii="宋体" w:hAnsi="宋体" w:eastAsia="宋体" w:cs="宋体"/>
          <w:b/>
          <w:snapToGrid/>
          <w:color w:val="auto"/>
          <w:kern w:val="2"/>
          <w:sz w:val="24"/>
          <w:szCs w:val="24"/>
          <w:highlight w:val="none"/>
        </w:rPr>
        <w:t>本项目接受联合体投标：否。</w:t>
      </w:r>
    </w:p>
    <w:p>
      <w:pPr>
        <w:pStyle w:val="5"/>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b/>
          <w:snapToGrid/>
          <w:color w:val="auto"/>
          <w:kern w:val="2"/>
          <w:sz w:val="24"/>
          <w:szCs w:val="24"/>
          <w:highlight w:val="none"/>
          <w:lang w:val="en-US" w:eastAsia="zh-CN"/>
        </w:rPr>
      </w:pPr>
      <w:r>
        <w:rPr>
          <w:rFonts w:hint="eastAsia" w:ascii="宋体" w:hAnsi="宋体" w:eastAsia="宋体" w:cs="宋体"/>
          <w:b/>
          <w:snapToGrid/>
          <w:color w:val="auto"/>
          <w:kern w:val="2"/>
          <w:sz w:val="24"/>
          <w:szCs w:val="24"/>
          <w:highlight w:val="none"/>
          <w:lang w:val="en-US" w:eastAsia="zh-CN"/>
        </w:rPr>
        <w:t xml:space="preserve"> </w:t>
      </w:r>
    </w:p>
    <w:p>
      <w:pPr>
        <w:keepNext w:val="0"/>
        <w:keepLines w:val="0"/>
        <w:pageBreakBefore w:val="0"/>
        <w:kinsoku/>
        <w:wordWrap/>
        <w:overflowPunct/>
        <w:topLinePunct w:val="0"/>
        <w:bidi w:val="0"/>
        <w:spacing w:line="312" w:lineRule="auto"/>
        <w:textAlignment w:val="auto"/>
        <w:outlineLvl w:val="1"/>
        <w:rPr>
          <w:rFonts w:hint="eastAsia" w:ascii="宋体" w:hAnsi="宋体" w:eastAsia="宋体" w:cs="宋体"/>
          <w:b/>
          <w:color w:val="auto"/>
          <w:sz w:val="24"/>
          <w:szCs w:val="24"/>
          <w:highlight w:val="none"/>
        </w:rPr>
      </w:pPr>
      <w:bookmarkStart w:id="21" w:name="_Toc31711"/>
      <w:bookmarkStart w:id="22" w:name="_Toc22669"/>
      <w:r>
        <w:rPr>
          <w:rFonts w:hint="eastAsia" w:ascii="宋体" w:hAnsi="宋体" w:eastAsia="宋体" w:cs="宋体"/>
          <w:b/>
          <w:color w:val="auto"/>
          <w:sz w:val="24"/>
          <w:szCs w:val="24"/>
          <w:highlight w:val="none"/>
        </w:rPr>
        <w:t>二、申请人的资格要求：</w:t>
      </w:r>
      <w:bookmarkEnd w:id="20"/>
      <w:bookmarkEnd w:id="21"/>
      <w:bookmarkEnd w:id="22"/>
    </w:p>
    <w:p>
      <w:pPr>
        <w:keepNext w:val="0"/>
        <w:keepLines w:val="0"/>
        <w:pageBreakBefore w:val="0"/>
        <w:kinsoku/>
        <w:wordWrap/>
        <w:overflowPunct/>
        <w:topLinePunct w:val="0"/>
        <w:bidi w:val="0"/>
        <w:spacing w:line="312" w:lineRule="auto"/>
        <w:ind w:firstLine="480"/>
        <w:textAlignment w:val="auto"/>
        <w:rPr>
          <w:rFonts w:hint="eastAsia" w:ascii="宋体" w:hAnsi="宋体" w:eastAsia="宋体" w:cs="宋体"/>
          <w:snapToGrid w:val="0"/>
          <w:color w:val="auto"/>
          <w:kern w:val="28"/>
          <w:sz w:val="24"/>
          <w:szCs w:val="24"/>
          <w:highlight w:val="none"/>
        </w:rPr>
      </w:pPr>
      <w:bookmarkStart w:id="23" w:name="_Toc1752"/>
      <w:r>
        <w:rPr>
          <w:rFonts w:hint="eastAsia" w:ascii="宋体" w:hAnsi="宋体" w:eastAsia="宋体" w:cs="宋体"/>
          <w:snapToGrid w:val="0"/>
          <w:color w:val="auto"/>
          <w:kern w:val="28"/>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bidi w:val="0"/>
        <w:snapToGrid w:val="0"/>
        <w:spacing w:line="312" w:lineRule="auto"/>
        <w:ind w:firstLine="480" w:firstLineChars="200"/>
        <w:textAlignment w:val="auto"/>
        <w:rPr>
          <w:rFonts w:hint="eastAsia" w:ascii="宋体" w:hAnsi="宋体" w:eastAsia="宋体" w:cs="宋体"/>
          <w:snapToGrid w:val="0"/>
          <w:color w:val="auto"/>
          <w:kern w:val="28"/>
          <w:sz w:val="24"/>
          <w:szCs w:val="24"/>
          <w:highlight w:val="none"/>
          <w:lang w:eastAsia="zh-CN"/>
        </w:rPr>
      </w:pPr>
      <w:r>
        <w:rPr>
          <w:rFonts w:hint="eastAsia" w:ascii="宋体" w:hAnsi="宋体" w:eastAsia="宋体" w:cs="宋体"/>
          <w:snapToGrid w:val="0"/>
          <w:color w:val="auto"/>
          <w:kern w:val="28"/>
          <w:sz w:val="24"/>
          <w:szCs w:val="24"/>
          <w:highlight w:val="none"/>
        </w:rPr>
        <w:t>2.落实政府采购政策需满足的资格要求：</w:t>
      </w:r>
      <w:r>
        <w:rPr>
          <w:rFonts w:hint="eastAsia" w:ascii="宋体" w:hAnsi="宋体" w:eastAsia="宋体" w:cs="宋体"/>
          <w:color w:val="auto"/>
          <w:sz w:val="24"/>
          <w:szCs w:val="24"/>
          <w:highlight w:val="none"/>
        </w:rPr>
        <w:t>供应商为中小企业</w:t>
      </w:r>
      <w:r>
        <w:rPr>
          <w:rFonts w:hint="eastAsia" w:ascii="宋体" w:hAnsi="宋体" w:eastAsia="宋体" w:cs="宋体"/>
          <w:color w:val="auto"/>
          <w:sz w:val="24"/>
          <w:szCs w:val="24"/>
          <w:highlight w:val="none"/>
          <w:lang w:val="en-US" w:eastAsia="zh-CN"/>
        </w:rPr>
        <w:t>；</w:t>
      </w:r>
    </w:p>
    <w:p>
      <w:pPr>
        <w:keepNext w:val="0"/>
        <w:keepLines w:val="0"/>
        <w:pageBreakBefore w:val="0"/>
        <w:kinsoku/>
        <w:wordWrap/>
        <w:overflowPunct/>
        <w:topLinePunct w:val="0"/>
        <w:bidi w:val="0"/>
        <w:spacing w:line="312" w:lineRule="auto"/>
        <w:ind w:firstLine="48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lang w:val="en-US" w:eastAsia="zh-CN"/>
        </w:rPr>
        <w:t>3.</w:t>
      </w:r>
      <w:r>
        <w:rPr>
          <w:rFonts w:hint="eastAsia" w:ascii="宋体" w:hAnsi="宋体" w:eastAsia="宋体" w:cs="宋体"/>
          <w:snapToGrid w:val="0"/>
          <w:color w:val="auto"/>
          <w:kern w:val="28"/>
          <w:sz w:val="24"/>
          <w:szCs w:val="24"/>
          <w:highlight w:val="none"/>
        </w:rPr>
        <w:t>本项目的特定资格要求：具有公安行政主管部门颁发的保安服务许可证。</w:t>
      </w:r>
    </w:p>
    <w:p>
      <w:pPr>
        <w:keepNext w:val="0"/>
        <w:keepLines w:val="0"/>
        <w:pageBreakBefore w:val="0"/>
        <w:kinsoku/>
        <w:wordWrap/>
        <w:overflowPunct/>
        <w:topLinePunct w:val="0"/>
        <w:bidi w:val="0"/>
        <w:spacing w:line="312" w:lineRule="auto"/>
        <w:ind w:firstLine="48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lang w:val="en-US" w:eastAsia="zh-CN"/>
        </w:rPr>
        <w:t>4.</w:t>
      </w:r>
      <w:r>
        <w:rPr>
          <w:rFonts w:hint="eastAsia" w:ascii="宋体" w:hAnsi="宋体" w:eastAsia="宋体" w:cs="宋体"/>
          <w:snapToGrid w:val="0"/>
          <w:color w:val="auto"/>
          <w:kern w:val="28"/>
          <w:sz w:val="24"/>
          <w:szCs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r>
        <w:rPr>
          <w:rFonts w:hint="eastAsia" w:ascii="宋体" w:hAnsi="宋体" w:eastAsia="宋体" w:cs="宋体"/>
          <w:snapToGrid w:val="0"/>
          <w:color w:val="auto"/>
          <w:kern w:val="28"/>
          <w:sz w:val="24"/>
          <w:szCs w:val="24"/>
          <w:highlight w:val="none"/>
          <w:lang w:val="en-US" w:eastAsia="zh-CN"/>
        </w:rPr>
        <w:t xml:space="preserve">  </w:t>
      </w:r>
    </w:p>
    <w:p>
      <w:pPr>
        <w:keepNext w:val="0"/>
        <w:keepLines w:val="0"/>
        <w:pageBreakBefore w:val="0"/>
        <w:kinsoku/>
        <w:wordWrap/>
        <w:overflowPunct/>
        <w:topLinePunct w:val="0"/>
        <w:bidi w:val="0"/>
        <w:spacing w:line="312" w:lineRule="auto"/>
        <w:textAlignment w:val="auto"/>
        <w:outlineLvl w:val="1"/>
        <w:rPr>
          <w:rFonts w:hint="eastAsia" w:ascii="宋体" w:hAnsi="宋体" w:eastAsia="宋体" w:cs="宋体"/>
          <w:b/>
          <w:color w:val="auto"/>
          <w:sz w:val="24"/>
          <w:szCs w:val="24"/>
          <w:highlight w:val="none"/>
        </w:rPr>
      </w:pPr>
      <w:bookmarkStart w:id="24" w:name="_Toc8757"/>
      <w:bookmarkStart w:id="25" w:name="_Toc29996"/>
    </w:p>
    <w:p>
      <w:pPr>
        <w:keepNext w:val="0"/>
        <w:keepLines w:val="0"/>
        <w:pageBreakBefore w:val="0"/>
        <w:kinsoku/>
        <w:wordWrap/>
        <w:overflowPunct/>
        <w:topLinePunct w:val="0"/>
        <w:bidi w:val="0"/>
        <w:spacing w:line="312" w:lineRule="auto"/>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三、获取招标文件</w:t>
      </w:r>
      <w:bookmarkEnd w:id="23"/>
      <w:bookmarkEnd w:id="24"/>
      <w:bookmarkEnd w:id="25"/>
    </w:p>
    <w:p>
      <w:pPr>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时间：</w:t>
      </w:r>
      <w:r>
        <w:rPr>
          <w:rFonts w:hint="eastAsia" w:ascii="宋体" w:hAnsi="宋体" w:eastAsia="宋体" w:cs="宋体"/>
          <w:color w:val="auto"/>
          <w:sz w:val="24"/>
          <w:szCs w:val="24"/>
          <w:highlight w:val="none"/>
        </w:rPr>
        <w:t>/至2022年</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31</w:t>
      </w:r>
      <w:r>
        <w:rPr>
          <w:rFonts w:hint="eastAsia" w:ascii="宋体" w:hAnsi="宋体" w:eastAsia="宋体" w:cs="宋体"/>
          <w:color w:val="auto"/>
          <w:sz w:val="24"/>
          <w:szCs w:val="24"/>
          <w:highlight w:val="none"/>
        </w:rPr>
        <w:t>日，每天上午00:00至12:00 ，下午12:00至23:59（北京时间，线上获取法定节假日均可，线下获取文件法定节假日除外）</w:t>
      </w:r>
    </w:p>
    <w:p>
      <w:pPr>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地点（网址）：</w:t>
      </w:r>
      <w:r>
        <w:rPr>
          <w:rFonts w:hint="eastAsia" w:ascii="宋体" w:hAnsi="宋体" w:eastAsia="宋体" w:cs="宋体"/>
          <w:color w:val="auto"/>
          <w:sz w:val="24"/>
          <w:szCs w:val="24"/>
          <w:highlight w:val="none"/>
        </w:rPr>
        <w:t xml:space="preserve">政采云平台（https://www.zcygov.cn/） </w:t>
      </w:r>
    </w:p>
    <w:p>
      <w:pPr>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方式：</w:t>
      </w:r>
      <w:r>
        <w:rPr>
          <w:rFonts w:hint="eastAsia" w:ascii="宋体" w:hAnsi="宋体" w:eastAsia="宋体" w:cs="宋体"/>
          <w:color w:val="auto"/>
          <w:sz w:val="24"/>
          <w:szCs w:val="24"/>
          <w:highlight w:val="none"/>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售价（元）：</w:t>
      </w:r>
      <w:r>
        <w:rPr>
          <w:rFonts w:hint="eastAsia" w:ascii="宋体" w:hAnsi="宋体" w:eastAsia="宋体" w:cs="宋体"/>
          <w:color w:val="auto"/>
          <w:sz w:val="24"/>
          <w:szCs w:val="24"/>
          <w:highlight w:val="none"/>
        </w:rPr>
        <w:t>0</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ab/>
      </w:r>
    </w:p>
    <w:p>
      <w:pPr>
        <w:keepNext w:val="0"/>
        <w:keepLines w:val="0"/>
        <w:pageBreakBefore w:val="0"/>
        <w:kinsoku/>
        <w:wordWrap/>
        <w:overflowPunct/>
        <w:topLinePunct w:val="0"/>
        <w:bidi w:val="0"/>
        <w:spacing w:line="312" w:lineRule="auto"/>
        <w:textAlignment w:val="auto"/>
        <w:outlineLvl w:val="1"/>
        <w:rPr>
          <w:rFonts w:hint="eastAsia" w:ascii="宋体" w:hAnsi="宋体" w:eastAsia="宋体" w:cs="宋体"/>
          <w:b/>
          <w:color w:val="auto"/>
          <w:sz w:val="24"/>
          <w:szCs w:val="24"/>
          <w:highlight w:val="none"/>
        </w:rPr>
      </w:pPr>
      <w:bookmarkStart w:id="26" w:name="_Toc12661"/>
      <w:bookmarkStart w:id="27" w:name="_Toc10624"/>
      <w:bookmarkStart w:id="28" w:name="_Toc18780"/>
      <w:r>
        <w:rPr>
          <w:rFonts w:hint="eastAsia" w:ascii="宋体" w:hAnsi="宋体" w:eastAsia="宋体" w:cs="宋体"/>
          <w:b/>
          <w:color w:val="auto"/>
          <w:sz w:val="24"/>
          <w:szCs w:val="24"/>
          <w:highlight w:val="none"/>
        </w:rPr>
        <w:t>四、提交投标文件截止时间、开标时间和地点</w:t>
      </w:r>
      <w:bookmarkEnd w:id="26"/>
      <w:bookmarkEnd w:id="27"/>
      <w:bookmarkEnd w:id="28"/>
    </w:p>
    <w:p>
      <w:pPr>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提交投标文件截止时间：</w:t>
      </w:r>
      <w:r>
        <w:rPr>
          <w:rFonts w:hint="eastAsia" w:ascii="宋体" w:hAnsi="宋体" w:eastAsia="宋体" w:cs="宋体"/>
          <w:color w:val="auto"/>
          <w:sz w:val="24"/>
          <w:szCs w:val="24"/>
          <w:highlight w:val="none"/>
        </w:rPr>
        <w:t xml:space="preserve"> 2022年</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31</w:t>
      </w:r>
      <w:r>
        <w:rPr>
          <w:rFonts w:hint="eastAsia" w:ascii="宋体" w:hAnsi="宋体" w:eastAsia="宋体" w:cs="宋体"/>
          <w:color w:val="auto"/>
          <w:sz w:val="24"/>
          <w:szCs w:val="24"/>
          <w:highlight w:val="none"/>
        </w:rPr>
        <w:t>日9点00分（北京时间）</w:t>
      </w:r>
    </w:p>
    <w:p>
      <w:pPr>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投标地点（网址）：</w:t>
      </w:r>
      <w:r>
        <w:rPr>
          <w:rFonts w:hint="eastAsia" w:ascii="宋体" w:hAnsi="宋体" w:eastAsia="宋体" w:cs="宋体"/>
          <w:color w:val="auto"/>
          <w:sz w:val="24"/>
          <w:szCs w:val="24"/>
          <w:highlight w:val="none"/>
        </w:rPr>
        <w:t xml:space="preserve">政采云平台（https://www.zcygov.cn/） </w:t>
      </w:r>
    </w:p>
    <w:p>
      <w:pPr>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开标时间：</w:t>
      </w:r>
      <w:r>
        <w:rPr>
          <w:rFonts w:hint="eastAsia" w:ascii="宋体" w:hAnsi="宋体" w:eastAsia="宋体" w:cs="宋体"/>
          <w:color w:val="auto"/>
          <w:sz w:val="24"/>
          <w:szCs w:val="24"/>
          <w:highlight w:val="none"/>
        </w:rPr>
        <w:t>2022年</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31</w:t>
      </w:r>
      <w:r>
        <w:rPr>
          <w:rFonts w:hint="eastAsia" w:ascii="宋体" w:hAnsi="宋体" w:eastAsia="宋体" w:cs="宋体"/>
          <w:color w:val="auto"/>
          <w:sz w:val="24"/>
          <w:szCs w:val="24"/>
          <w:highlight w:val="none"/>
        </w:rPr>
        <w:t>日9点00分</w:t>
      </w:r>
    </w:p>
    <w:p>
      <w:pPr>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开标地点（网址）：</w:t>
      </w:r>
      <w:r>
        <w:rPr>
          <w:rFonts w:hint="eastAsia" w:ascii="宋体" w:hAnsi="宋体" w:eastAsia="宋体" w:cs="宋体"/>
          <w:bCs/>
          <w:color w:val="auto"/>
          <w:sz w:val="24"/>
          <w:szCs w:val="24"/>
          <w:highlight w:val="none"/>
        </w:rPr>
        <w:t>嘉兴市公共资源交易中心开标室通过政府采购云平台（https://www.zcygov.cn）在线开标</w:t>
      </w:r>
    </w:p>
    <w:p>
      <w:pPr>
        <w:pStyle w:val="7"/>
        <w:keepNext w:val="0"/>
        <w:keepLines w:val="0"/>
        <w:pageBreakBefore w:val="0"/>
        <w:kinsoku/>
        <w:wordWrap/>
        <w:overflowPunct/>
        <w:topLinePunct w:val="0"/>
        <w:bidi w:val="0"/>
        <w:spacing w:line="312"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供应商无需到开标现场，但须准时在线参加，直至评审结束。</w:t>
      </w:r>
    </w:p>
    <w:p>
      <w:pPr>
        <w:keepNext w:val="0"/>
        <w:keepLines w:val="0"/>
        <w:pageBreakBefore w:val="0"/>
        <w:kinsoku/>
        <w:wordWrap/>
        <w:overflowPunct/>
        <w:topLinePunct w:val="0"/>
        <w:bidi w:val="0"/>
        <w:spacing w:line="312" w:lineRule="auto"/>
        <w:textAlignment w:val="auto"/>
        <w:outlineLvl w:val="9"/>
        <w:rPr>
          <w:rFonts w:hint="eastAsia" w:ascii="宋体" w:hAnsi="宋体" w:eastAsia="宋体" w:cs="宋体"/>
          <w:b/>
          <w:color w:val="auto"/>
          <w:sz w:val="24"/>
          <w:szCs w:val="24"/>
          <w:highlight w:val="none"/>
        </w:rPr>
      </w:pPr>
      <w:bookmarkStart w:id="29" w:name="_Toc5348"/>
    </w:p>
    <w:p>
      <w:pPr>
        <w:keepNext w:val="0"/>
        <w:keepLines w:val="0"/>
        <w:pageBreakBefore w:val="0"/>
        <w:kinsoku/>
        <w:wordWrap/>
        <w:overflowPunct/>
        <w:topLinePunct w:val="0"/>
        <w:bidi w:val="0"/>
        <w:spacing w:line="312" w:lineRule="auto"/>
        <w:textAlignment w:val="auto"/>
        <w:outlineLvl w:val="1"/>
        <w:rPr>
          <w:rFonts w:hint="eastAsia" w:ascii="宋体" w:hAnsi="宋体" w:eastAsia="宋体" w:cs="宋体"/>
          <w:color w:val="auto"/>
          <w:sz w:val="24"/>
          <w:szCs w:val="24"/>
          <w:highlight w:val="none"/>
        </w:rPr>
      </w:pPr>
      <w:bookmarkStart w:id="30" w:name="_Toc29155"/>
      <w:bookmarkStart w:id="31" w:name="_Toc27989"/>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、公告期限</w:t>
      </w:r>
      <w:bookmarkEnd w:id="29"/>
      <w:bookmarkEnd w:id="30"/>
      <w:bookmarkEnd w:id="31"/>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自本公告发布之日起5个工作日。</w:t>
      </w:r>
    </w:p>
    <w:p>
      <w:pPr>
        <w:pStyle w:val="24"/>
        <w:keepNext w:val="0"/>
        <w:keepLines w:val="0"/>
        <w:pageBreakBefore w:val="0"/>
        <w:kinsoku/>
        <w:wordWrap/>
        <w:overflowPunct/>
        <w:topLinePunct w:val="0"/>
        <w:bidi w:val="0"/>
        <w:spacing w:line="312" w:lineRule="auto"/>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pacing w:line="312" w:lineRule="auto"/>
        <w:textAlignment w:val="auto"/>
        <w:outlineLvl w:val="1"/>
        <w:rPr>
          <w:rFonts w:hint="eastAsia" w:ascii="宋体" w:hAnsi="宋体" w:eastAsia="宋体" w:cs="宋体"/>
          <w:b/>
          <w:color w:val="auto"/>
          <w:sz w:val="24"/>
          <w:szCs w:val="24"/>
          <w:highlight w:val="none"/>
        </w:rPr>
      </w:pPr>
      <w:bookmarkStart w:id="32" w:name="_Toc24892"/>
      <w:bookmarkStart w:id="33" w:name="_Toc21651"/>
      <w:bookmarkStart w:id="34" w:name="_Toc9412"/>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、其他补充事宜</w:t>
      </w:r>
      <w:bookmarkEnd w:id="32"/>
      <w:bookmarkEnd w:id="33"/>
      <w:bookmarkEnd w:id="34"/>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spacing w:line="312" w:lineRule="auto"/>
        <w:ind w:firstLine="480" w:firstLineChars="200"/>
        <w:textAlignment w:val="auto"/>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4.其他事项：</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需要落实的政府采购政策：包括节约资源、保护环境、支持创新、促进中小企业发展等。详见招标文件的第二部分总则。</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.电子招投标的说明：</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本采购项目，中标人与采购人签订的政府采购合同适用于嘉兴市政府采购贷款政策，简称“政采贷”，具体内容可参阅政府采购贷款流程：http://jxszwsjb.jiaxing.gov.cn/zxfw/005001/005001004/20190315/76d484f7-8fac-497f-9359-4df81cc086da.html或者供应商中标后也可在“政采云”平台申请政采贷：操作路径：登</w:t>
      </w:r>
      <w:r>
        <w:rPr>
          <w:rFonts w:hint="eastAsia" w:ascii="宋体" w:hAnsi="宋体" w:eastAsia="宋体" w:cs="宋体"/>
          <w:color w:val="auto"/>
          <w:sz w:val="24"/>
          <w:szCs w:val="24"/>
          <w:highlight w:val="none"/>
        </w:rPr>
        <w:t>录政采云平台 - 金融服务中心 -融资服务，可在热门申请中选择产品直接申请，也可点击云智贷匹配适合产品进行申请，或者在可申请项目中根据该项目进行申请。</w:t>
      </w:r>
    </w:p>
    <w:p>
      <w:pPr>
        <w:keepNext w:val="0"/>
        <w:keepLines w:val="0"/>
        <w:pageBreakBefore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p>
    <w:p>
      <w:pPr>
        <w:keepNext w:val="0"/>
        <w:keepLines w:val="0"/>
        <w:pageBreakBefore w:val="0"/>
        <w:kinsoku/>
        <w:wordWrap/>
        <w:overflowPunct/>
        <w:topLinePunct w:val="0"/>
        <w:bidi w:val="0"/>
        <w:spacing w:line="312" w:lineRule="auto"/>
        <w:textAlignment w:val="auto"/>
        <w:outlineLvl w:val="1"/>
        <w:rPr>
          <w:rFonts w:hint="eastAsia" w:ascii="宋体" w:hAnsi="宋体" w:eastAsia="宋体" w:cs="宋体"/>
          <w:b/>
          <w:color w:val="auto"/>
          <w:sz w:val="24"/>
          <w:szCs w:val="24"/>
          <w:highlight w:val="none"/>
        </w:rPr>
      </w:pPr>
      <w:bookmarkStart w:id="35" w:name="_Toc7818"/>
      <w:bookmarkStart w:id="36" w:name="_Toc22059"/>
      <w:bookmarkStart w:id="37" w:name="_Toc8498"/>
      <w:r>
        <w:rPr>
          <w:rFonts w:hint="eastAsia" w:ascii="宋体" w:hAnsi="宋体" w:eastAsia="宋体" w:cs="宋体"/>
          <w:b/>
          <w:color w:val="auto"/>
          <w:sz w:val="24"/>
          <w:szCs w:val="24"/>
          <w:highlight w:val="none"/>
          <w:lang w:val="en-US" w:eastAsia="zh-CN"/>
        </w:rPr>
        <w:t>七</w:t>
      </w:r>
      <w:r>
        <w:rPr>
          <w:rFonts w:hint="eastAsia" w:ascii="宋体" w:hAnsi="宋体" w:eastAsia="宋体" w:cs="宋体"/>
          <w:b/>
          <w:color w:val="auto"/>
          <w:sz w:val="24"/>
          <w:szCs w:val="24"/>
          <w:highlight w:val="none"/>
        </w:rPr>
        <w:t>、对本次采购提出询问、质疑、投诉，请按以下方式联系</w:t>
      </w:r>
      <w:bookmarkEnd w:id="35"/>
      <w:bookmarkEnd w:id="36"/>
      <w:bookmarkEnd w:id="37"/>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lang w:eastAsia="zh-CN"/>
        </w:rPr>
        <w:t>嘉兴市第一医院</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址：嘉兴市中环南路1882号</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项目联系人（询问）：</w:t>
      </w:r>
      <w:r>
        <w:rPr>
          <w:rFonts w:hint="eastAsia" w:ascii="宋体" w:hAnsi="宋体" w:eastAsia="宋体" w:cs="宋体"/>
          <w:color w:val="auto"/>
          <w:sz w:val="24"/>
          <w:szCs w:val="24"/>
          <w:highlight w:val="none"/>
          <w:lang w:val="en-US" w:eastAsia="zh-CN"/>
        </w:rPr>
        <w:t>陈奇哲</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项目联系电话（询问）：</w:t>
      </w:r>
      <w:r>
        <w:rPr>
          <w:rFonts w:hint="eastAsia" w:ascii="宋体" w:hAnsi="宋体" w:eastAsia="宋体" w:cs="宋体"/>
          <w:color w:val="auto"/>
          <w:sz w:val="24"/>
          <w:szCs w:val="24"/>
          <w:highlight w:val="none"/>
          <w:lang w:val="en-US" w:eastAsia="zh-CN"/>
        </w:rPr>
        <w:t>0573-89990791</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lang w:val="en-US" w:eastAsia="zh-CN"/>
        </w:rPr>
        <w:t>吴中杰</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质疑联系方式：</w:t>
      </w:r>
      <w:r>
        <w:rPr>
          <w:rFonts w:hint="eastAsia" w:ascii="宋体" w:hAnsi="宋体" w:eastAsia="宋体" w:cs="宋体"/>
          <w:color w:val="auto"/>
          <w:sz w:val="24"/>
          <w:szCs w:val="24"/>
          <w:highlight w:val="none"/>
          <w:lang w:val="en-US" w:eastAsia="zh-CN"/>
        </w:rPr>
        <w:t>0573-82519888</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称：杭州中浙招标有限公司</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址：杭州市湖州街168号美好国际大厦1008室</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真：0571-87553198</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项目联系人（询问）：蒋菊、吴战军</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项目联系方式（询问）：0571-87850058、15957136152、18957110019</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质疑联系人：黄煊栋</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质疑联系方式：0571-87850078</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3.同级政府采购监督管理部门名称：</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名    称：嘉兴市财政局  </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 系 人：姚老师</w:t>
      </w:r>
    </w:p>
    <w:p>
      <w:pPr>
        <w:keepNext w:val="0"/>
        <w:keepLines w:val="0"/>
        <w:pageBreakBefore w:val="0"/>
        <w:kinsoku/>
        <w:wordWrap/>
        <w:overflowPunct/>
        <w:topLinePunct w:val="0"/>
        <w:bidi w:val="0"/>
        <w:spacing w:line="312" w:lineRule="auto"/>
        <w:ind w:firstLine="480" w:firstLineChars="200"/>
        <w:textAlignment w:val="auto"/>
        <w:outlineLvl w:val="0"/>
        <w:rPr>
          <w:rFonts w:hint="eastAsia" w:ascii="宋体" w:hAnsi="宋体" w:eastAsia="宋体" w:cs="宋体"/>
          <w:color w:val="auto"/>
          <w:sz w:val="24"/>
          <w:szCs w:val="24"/>
          <w:highlight w:val="none"/>
        </w:rPr>
      </w:pPr>
      <w:bookmarkStart w:id="38" w:name="_Toc12384"/>
      <w:bookmarkStart w:id="39" w:name="_Toc21224"/>
      <w:r>
        <w:rPr>
          <w:rFonts w:hint="eastAsia" w:ascii="宋体" w:hAnsi="宋体" w:eastAsia="宋体" w:cs="宋体"/>
          <w:color w:val="auto"/>
          <w:sz w:val="24"/>
          <w:szCs w:val="24"/>
          <w:highlight w:val="none"/>
        </w:rPr>
        <w:t>监督投诉电话：0573-82031217</w:t>
      </w:r>
      <w:bookmarkEnd w:id="38"/>
      <w:bookmarkEnd w:id="39"/>
      <w:r>
        <w:rPr>
          <w:rFonts w:hint="eastAsia" w:ascii="宋体" w:hAnsi="宋体" w:eastAsia="宋体" w:cs="宋体"/>
          <w:color w:val="auto"/>
          <w:sz w:val="24"/>
          <w:szCs w:val="24"/>
          <w:highlight w:val="none"/>
        </w:rPr>
        <w:t xml:space="preserve">  </w:t>
      </w: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若对项目采购电子交易系统操作有疑问，可登录政采云（https://www.zcygov.cn/），点击右侧咨询小采，获取采小蜜智能服务管家帮助，或拨打政采云服务热线400-881-7190获取热线服务帮助。</w:t>
      </w:r>
    </w:p>
    <w:p>
      <w:pPr>
        <w:pStyle w:val="10"/>
        <w:keepNext w:val="0"/>
        <w:keepLines w:val="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CA问题联系电话（人工）：汇信CA 400-888-4636；天谷CA 400-087-8198。</w:t>
      </w:r>
    </w:p>
    <w:p>
      <w:pPr>
        <w:adjustRightInd/>
        <w:spacing w:line="360" w:lineRule="auto"/>
        <w:jc w:val="center"/>
        <w:outlineLvl w:val="9"/>
        <w:rPr>
          <w:rFonts w:hint="eastAsia" w:ascii="宋体" w:hAnsi="宋体" w:eastAsia="宋体" w:cs="宋体"/>
          <w:b/>
          <w:color w:val="auto"/>
          <w:sz w:val="24"/>
          <w:highlight w:val="none"/>
        </w:rPr>
      </w:pPr>
      <w:bookmarkStart w:id="40" w:name="_Toc7696"/>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adjustRightInd/>
        <w:spacing w:line="360" w:lineRule="auto"/>
        <w:jc w:val="center"/>
        <w:outlineLvl w:val="0"/>
        <w:rPr>
          <w:rFonts w:hint="eastAsia" w:ascii="宋体" w:hAnsi="宋体" w:eastAsia="宋体" w:cs="宋体"/>
          <w:b/>
          <w:color w:val="auto"/>
          <w:sz w:val="36"/>
          <w:szCs w:val="36"/>
          <w:highlight w:val="none"/>
        </w:rPr>
      </w:pPr>
      <w:bookmarkStart w:id="41" w:name="_Toc12537"/>
      <w:bookmarkStart w:id="42" w:name="_Toc23346"/>
      <w:r>
        <w:rPr>
          <w:rFonts w:hint="eastAsia" w:ascii="宋体" w:hAnsi="宋体" w:eastAsia="宋体" w:cs="宋体"/>
          <w:b/>
          <w:color w:val="auto"/>
          <w:sz w:val="36"/>
          <w:szCs w:val="36"/>
          <w:highlight w:val="none"/>
        </w:rPr>
        <w:t>第二部分</w:t>
      </w:r>
      <w:bookmarkEnd w:id="14"/>
      <w:r>
        <w:rPr>
          <w:rFonts w:hint="eastAsia" w:ascii="宋体" w:hAnsi="宋体" w:eastAsia="宋体" w:cs="宋体"/>
          <w:b/>
          <w:color w:val="auto"/>
          <w:sz w:val="36"/>
          <w:szCs w:val="36"/>
          <w:highlight w:val="none"/>
        </w:rPr>
        <w:t xml:space="preserve"> 投标人须知</w:t>
      </w:r>
      <w:bookmarkEnd w:id="15"/>
      <w:bookmarkEnd w:id="40"/>
      <w:bookmarkEnd w:id="41"/>
      <w:bookmarkEnd w:id="42"/>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前附表</w:t>
      </w:r>
    </w:p>
    <w:tbl>
      <w:tblPr>
        <w:tblStyle w:val="19"/>
        <w:tblW w:w="861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351"/>
        <w:gridCol w:w="66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5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32"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5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2</w:t>
            </w:r>
            <w:r>
              <w:rPr>
                <w:rFonts w:hint="eastAsia" w:ascii="宋体" w:hAnsi="宋体" w:eastAsia="宋体" w:cs="宋体"/>
                <w:b/>
                <w:color w:val="auto"/>
                <w:kern w:val="0"/>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1）投标文件未按照招标文件要求签署、盖章的；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3）投标文件报价清单与招标文件（包括答疑等补充文件）提供的清单不一致的；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5）报价明显低于其他通过符合性审查供应商的报价，有可能影响产品质量或者不能诚信履约的，未能按要求提供书面说明或者提交相关证明材料，不能证明其报价合理性的;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6)投标人对根据修正原则修正后的报价不确认的；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7)投标人提供虚假材料投标的；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8)投标人有恶意串通、妨碍其他供应商的竞争行为、损害采购人或者其他供应商的合法权益情形的；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9)投标人仅提交备份投标文件，没有在电子交易平台传输递交投标文件的，投标无效；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10)投标文件不满足招标文件的其它实质性要求的；</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11)法律、法规、规章（适用本市的）及省级以上规范性文件（适用本市的）规定的其他无效情形。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5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firstLine="241" w:firstLineChars="1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A同意将非主体、非关键性的_________工作分包。</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 xml:space="preserve"> 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17" w:hRule="atLeast"/>
          <w:tblHeader/>
        </w:trPr>
        <w:tc>
          <w:tcPr>
            <w:tcW w:w="629" w:type="dxa"/>
            <w:vMerge w:val="restart"/>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351"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637"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snapToGrid w:val="0"/>
                <w:color w:val="auto"/>
                <w:kern w:val="0"/>
                <w:sz w:val="24"/>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9" w:hRule="atLeast"/>
          <w:tblHeader/>
        </w:trPr>
        <w:tc>
          <w:tcPr>
            <w:tcW w:w="629"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tc>
        <w:tc>
          <w:tcPr>
            <w:tcW w:w="1351"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p>
        </w:tc>
        <w:tc>
          <w:tcPr>
            <w:tcW w:w="6637"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35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sz w:val="24"/>
                <w:highlight w:val="none"/>
                <w:lang w:val="zh-CN"/>
              </w:rPr>
              <w:t>A不组织。</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lang w:val="zh-CN"/>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sz w:val="24"/>
                <w:highlight w:val="none"/>
                <w:lang w:val="zh-CN"/>
              </w:rPr>
              <w:t>B组织，</w:t>
            </w:r>
            <w:r>
              <w:rPr>
                <w:rFonts w:hint="eastAsia" w:ascii="宋体" w:hAnsi="宋体" w:eastAsia="宋体" w:cs="宋体"/>
                <w:color w:val="auto"/>
                <w:sz w:val="24"/>
                <w:highlight w:val="none"/>
              </w:rPr>
              <w:t>投标人在投标截止时间前自行前往</w:t>
            </w:r>
            <w:r>
              <w:rPr>
                <w:rFonts w:hint="eastAsia" w:ascii="宋体" w:hAnsi="宋体" w:eastAsia="宋体" w:cs="宋体"/>
                <w:color w:val="auto"/>
                <w:sz w:val="24"/>
                <w:highlight w:val="none"/>
                <w:lang w:eastAsia="zh-CN"/>
              </w:rPr>
              <w:t>嘉兴市第一医院</w:t>
            </w:r>
            <w:r>
              <w:rPr>
                <w:rFonts w:hint="eastAsia" w:ascii="宋体" w:hAnsi="宋体" w:eastAsia="宋体" w:cs="宋体"/>
                <w:color w:val="auto"/>
                <w:sz w:val="24"/>
                <w:highlight w:val="none"/>
              </w:rPr>
              <w:t>进行踏勘考察。</w:t>
            </w:r>
            <w:r>
              <w:rPr>
                <w:rFonts w:hint="eastAsia" w:ascii="宋体" w:hAnsi="宋体" w:eastAsia="宋体" w:cs="宋体"/>
                <w:color w:val="auto"/>
                <w:sz w:val="24"/>
                <w:highlight w:val="none"/>
                <w:lang w:val="zh-CN"/>
              </w:rPr>
              <w:t>联系人：</w:t>
            </w:r>
            <w:r>
              <w:rPr>
                <w:rFonts w:hint="eastAsia" w:ascii="宋体" w:hAnsi="宋体" w:eastAsia="宋体" w:cs="宋体"/>
                <w:color w:val="auto"/>
                <w:sz w:val="24"/>
                <w:highlight w:val="none"/>
                <w:lang w:val="en-US" w:eastAsia="zh-CN"/>
              </w:rPr>
              <w:t>张瀚</w:t>
            </w:r>
            <w:r>
              <w:rPr>
                <w:rFonts w:hint="eastAsia" w:ascii="宋体" w:hAnsi="宋体" w:eastAsia="宋体" w:cs="宋体"/>
                <w:color w:val="auto"/>
                <w:sz w:val="24"/>
                <w:highlight w:val="none"/>
                <w:lang w:val="zh-CN"/>
              </w:rPr>
              <w:t>，联系方式：0573-830599042。</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u w:val="single"/>
                <w:lang w:val="zh-CN"/>
              </w:rPr>
            </w:pPr>
            <w:r>
              <w:rPr>
                <w:rFonts w:hint="eastAsia" w:ascii="宋体" w:hAnsi="宋体" w:eastAsia="宋体" w:cs="宋体"/>
                <w:color w:val="auto"/>
                <w:sz w:val="24"/>
                <w:highlight w:val="none"/>
              </w:rPr>
              <w:t>本项目需对现场进行踏勘（招标文件中不能详细表述的不可预见费用、招标需求等，投标人需通过现场踏勘后考虑在最终报价内，否则后果由投标人自负）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35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lang w:val="zh-CN"/>
              </w:rPr>
              <w:t>A</w:t>
            </w:r>
            <w:r>
              <w:rPr>
                <w:rFonts w:hint="eastAsia" w:ascii="宋体" w:hAnsi="宋体" w:eastAsia="宋体" w:cs="宋体"/>
                <w:color w:val="auto"/>
                <w:sz w:val="24"/>
                <w:highlight w:val="none"/>
              </w:rPr>
              <w:t>不要求提供。</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
                <w:color w:val="auto"/>
                <w:sz w:val="24"/>
                <w:highlight w:val="none"/>
              </w:rPr>
            </w:pPr>
            <w:sdt>
              <w:sdtPr>
                <w:rPr>
                  <w:rFonts w:hint="eastAsia" w:ascii="宋体" w:hAnsi="宋体" w:eastAsia="宋体" w:cs="宋体"/>
                  <w:color w:val="auto"/>
                  <w:kern w:val="0"/>
                  <w:sz w:val="24"/>
                  <w:highlight w:val="none"/>
                </w:rPr>
                <w:id w:val="1026831988"/>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lang w:val="zh-CN"/>
              </w:rPr>
              <w:t>A</w:t>
            </w:r>
            <w:r>
              <w:rPr>
                <w:rFonts w:hint="eastAsia" w:ascii="宋体" w:hAnsi="宋体" w:eastAsia="宋体" w:cs="宋体"/>
                <w:color w:val="auto"/>
                <w:sz w:val="24"/>
                <w:highlight w:val="none"/>
              </w:rPr>
              <w:t>不组织。</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
                <w:color w:val="auto"/>
                <w:kern w:val="0"/>
                <w:sz w:val="24"/>
                <w:highlight w:val="none"/>
                <w:lang w:val="zh-CN"/>
              </w:rPr>
            </w:pPr>
            <w:sdt>
              <w:sdtPr>
                <w:rPr>
                  <w:rFonts w:hint="eastAsia" w:ascii="宋体" w:hAnsi="宋体" w:eastAsia="宋体" w:cs="宋体"/>
                  <w:color w:val="auto"/>
                  <w:kern w:val="0"/>
                  <w:sz w:val="24"/>
                  <w:highlight w:val="none"/>
                </w:rPr>
                <w:id w:val="1174071719"/>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7</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lang w:val="zh-CN"/>
              </w:rPr>
              <w:t>A</w:t>
            </w:r>
            <w:r>
              <w:rPr>
                <w:rFonts w:hint="eastAsia" w:ascii="宋体" w:hAnsi="宋体" w:eastAsia="宋体" w:cs="宋体"/>
                <w:color w:val="auto"/>
                <w:kern w:val="0"/>
                <w:sz w:val="24"/>
                <w:highlight w:val="none"/>
              </w:rPr>
              <w:t>本项目不允许采购进口产品。</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52852824"/>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可以采购进口产品。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8727868"/>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28425707"/>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（1）标的：</w:t>
            </w:r>
            <w:r>
              <w:rPr>
                <w:rFonts w:hint="eastAsia" w:ascii="宋体" w:hAnsi="宋体" w:eastAsia="宋体" w:cs="宋体"/>
                <w:color w:val="auto"/>
                <w:kern w:val="0"/>
                <w:sz w:val="24"/>
                <w:highlight w:val="none"/>
                <w:u w:val="single"/>
                <w:lang w:eastAsia="zh-CN"/>
              </w:rPr>
              <w:t>嘉兴市第一医院2022至2023年安保服务项目</w:t>
            </w:r>
            <w:r>
              <w:rPr>
                <w:rFonts w:hint="eastAsia" w:ascii="宋体" w:hAnsi="宋体" w:eastAsia="宋体" w:cs="宋体"/>
                <w:color w:val="auto"/>
                <w:kern w:val="0"/>
                <w:sz w:val="24"/>
                <w:highlight w:val="none"/>
              </w:rPr>
              <w:t>，属于</w:t>
            </w:r>
            <w:r>
              <w:rPr>
                <w:rFonts w:hint="eastAsia" w:ascii="宋体" w:hAnsi="宋体" w:eastAsia="宋体" w:cs="宋体"/>
                <w:color w:val="auto"/>
                <w:kern w:val="0"/>
                <w:sz w:val="24"/>
                <w:highlight w:val="none"/>
                <w:u w:val="single"/>
              </w:rPr>
              <w:t>服务行业</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eastAsia="宋体" w:cs="宋体"/>
                <w:b/>
                <w:bCs/>
                <w:color w:val="auto"/>
                <w:kern w:val="0"/>
                <w:sz w:val="24"/>
                <w:highlight w:val="none"/>
              </w:rPr>
              <w:t>（本项目不适用）</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top w:val="single" w:color="auto" w:sz="4" w:space="0"/>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351"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本采购项目，中标人与采购人签订的政府采购合同适用于嘉兴市政府采购贷款政策，简称“政采贷”，具体内容可参阅政府采购贷款流程：http://jxszwsjb.jiaxing.gov.cn/zxfw/005001/005001004/20190315/76d484f7-8fac-497f-9359-4df81cc086da.html或者投标人中标后也可在“政采云”平台申请政采贷：操作路径：登录政采云平台 - 金融服务中心 -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637" w:type="dxa"/>
            <w:tcBorders>
              <w:top w:val="single" w:color="000000" w:sz="8" w:space="0"/>
              <w:left w:val="single" w:color="000000" w:sz="2" w:space="0"/>
              <w:bottom w:val="single" w:color="000000" w:sz="8" w:space="0"/>
              <w:right w:val="single" w:color="000000" w:sz="8" w:space="0"/>
            </w:tcBorders>
            <w:vAlign w:val="center"/>
          </w:tcPr>
          <w:p>
            <w:pPr>
              <w:pStyle w:val="10"/>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"mailto:投标人在投标截止时间前将加密的投标文件上传至政府采购云平台，还可以在投标截止时间前通过邮箱chinazhongzhe@163.com递交备份投标文件1份。" </w:instrText>
            </w:r>
            <w:r>
              <w:rPr>
                <w:rFonts w:hint="eastAsia" w:ascii="宋体" w:hAnsi="宋体" w:eastAsia="宋体" w:cs="宋体"/>
                <w:color w:val="auto"/>
                <w:highlight w:val="none"/>
              </w:rPr>
              <w:fldChar w:fldCharType="separate"/>
            </w:r>
            <w:r>
              <w:rPr>
                <w:rStyle w:val="23"/>
                <w:rFonts w:hint="eastAsia" w:ascii="宋体" w:hAnsi="宋体" w:eastAsia="宋体" w:cs="宋体"/>
                <w:color w:val="auto"/>
                <w:sz w:val="24"/>
                <w:szCs w:val="24"/>
                <w:highlight w:val="none"/>
              </w:rPr>
              <w:t>投标人在投标截止时间前将加密的投标文件上传至政府采购云平台，还可以在投标截止时间前通过邮箱chinazhongzhe@163.com递交备份投标文件1份。</w:t>
            </w:r>
            <w:r>
              <w:rPr>
                <w:rStyle w:val="23"/>
                <w:rFonts w:hint="eastAsia" w:ascii="宋体" w:hAnsi="宋体" w:eastAsia="宋体" w:cs="宋体"/>
                <w:color w:val="auto"/>
                <w:sz w:val="24"/>
                <w:szCs w:val="24"/>
                <w:highlight w:val="none"/>
              </w:rPr>
              <w:fldChar w:fldCharType="end"/>
            </w:r>
          </w:p>
          <w:p>
            <w:pPr>
              <w:pStyle w:val="10"/>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kern w:val="28"/>
                <w:sz w:val="24"/>
                <w:szCs w:val="24"/>
                <w:highlight w:val="none"/>
              </w:rPr>
            </w:pP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rPr>
              <w:t>1、供应商如中标需提供纸质投标文件一正一副，送至杭州中浙招标有限公司。</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2、投标文件、流程文件签章：</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color w:val="auto"/>
                <w:sz w:val="24"/>
                <w:highlight w:val="none"/>
              </w:rPr>
              <w:t>（</w:t>
            </w:r>
            <w:r>
              <w:rPr>
                <w:rFonts w:hint="eastAsia" w:ascii="宋体" w:hAnsi="宋体" w:eastAsia="宋体" w:cs="宋体"/>
                <w:bCs/>
                <w:color w:val="auto"/>
                <w:kern w:val="0"/>
                <w:sz w:val="24"/>
                <w:highlight w:val="none"/>
              </w:rPr>
              <w:t>1）电子投标文件必须有电子签章；</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（2）开标后，相关信息记录确认、澄清说明、回复等内容，电子签章、或者签章后上传相关文件，均认可；</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（3）政采云系统平台有新的操作流程的，按其规定。</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3、采购过程中出现以下情形，导致电子交易平台无法正常运行，或者无法保证电子交易的公平、公正和安全时，采购组织机构可中止电子交易活动：</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 xml:space="preserve">（1）电子交易平台发生故障而无法登录访问的； </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（2）电子交易平台应用或数据库出现错误，不能进行正常操作的；</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（3）电子交易平台发现严重安全漏洞，有潜在泄密危险的；</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 xml:space="preserve">（4）病毒发作导致不能进行正常操作的； </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bCs/>
                <w:color w:val="auto"/>
                <w:kern w:val="0"/>
                <w:sz w:val="24"/>
                <w:highlight w:val="none"/>
              </w:rPr>
              <w:t>（5）其他无法保证电子交易的公平、公正和安全的情况。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35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采购代理服务费</w:t>
            </w:r>
          </w:p>
        </w:tc>
        <w:tc>
          <w:tcPr>
            <w:tcW w:w="663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（1）中标人在收到中标通知书后，支付采购代理机构成交代理服务费。</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（2）招标代理服务费参考国家计委计价格[2002]1980号文件中规定的服务标准采用差额定率累进计费方式下浮30%计算，如经计算不足5000元，按5000元收取，计入投标总价。</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中标金额（万元人民币）             下浮30%后费率</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100万元以下                        1.05%</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100万元以上，500万元以下           0.56%</w:t>
            </w:r>
          </w:p>
          <w:p>
            <w:pPr>
              <w:keepNext w:val="0"/>
              <w:keepLines w:val="0"/>
              <w:pageBreakBefore w:val="0"/>
              <w:widowControl w:val="0"/>
              <w:kinsoku/>
              <w:wordWrap/>
              <w:overflowPunct/>
              <w:topLinePunct w:val="0"/>
              <w:autoSpaceDE/>
              <w:autoSpaceDN/>
              <w:bidi w:val="0"/>
              <w:adjustRightInd w:val="0"/>
              <w:spacing w:line="312" w:lineRule="auto"/>
              <w:textAlignment w:val="auto"/>
              <w:rPr>
                <w:rFonts w:hint="eastAsia" w:ascii="宋体" w:hAnsi="宋体" w:eastAsia="宋体" w:cs="宋体"/>
                <w:color w:val="auto"/>
                <w:highlight w:val="none"/>
                <w:lang w:val="en-US" w:eastAsia="zh-CN"/>
              </w:rPr>
            </w:pPr>
            <w:r>
              <w:rPr>
                <w:rFonts w:hint="eastAsia" w:ascii="宋体" w:hAnsi="宋体" w:eastAsia="宋体" w:cs="宋体"/>
                <w:bCs/>
                <w:color w:val="auto"/>
                <w:kern w:val="0"/>
                <w:sz w:val="24"/>
                <w:highlight w:val="none"/>
              </w:rPr>
              <w:t>500万元以上，1000万元以下</w:t>
            </w:r>
            <w:r>
              <w:rPr>
                <w:rFonts w:hint="eastAsia" w:ascii="宋体" w:hAnsi="宋体" w:eastAsia="宋体" w:cs="宋体"/>
                <w:bCs/>
                <w:color w:val="auto"/>
                <w:kern w:val="0"/>
                <w:sz w:val="24"/>
                <w:highlight w:val="none"/>
                <w:lang w:val="en-US" w:eastAsia="zh-CN"/>
              </w:rPr>
              <w:t xml:space="preserve">    </w:t>
            </w:r>
            <w:r>
              <w:rPr>
                <w:rFonts w:hint="eastAsia" w:ascii="宋体" w:hAnsi="宋体" w:eastAsia="宋体" w:cs="宋体"/>
                <w:bCs/>
                <w:color w:val="auto"/>
                <w:kern w:val="0"/>
                <w:sz w:val="24"/>
                <w:highlight w:val="none"/>
              </w:rPr>
              <w:t xml:space="preserve"> </w:t>
            </w:r>
            <w:r>
              <w:rPr>
                <w:rFonts w:hint="eastAsia" w:ascii="宋体" w:hAnsi="宋体" w:eastAsia="宋体" w:cs="宋体"/>
                <w:bCs/>
                <w:color w:val="auto"/>
                <w:kern w:val="0"/>
                <w:sz w:val="24"/>
                <w:highlight w:val="none"/>
                <w:lang w:val="en-US" w:eastAsia="zh-CN"/>
              </w:rPr>
              <w:t xml:space="preserve">     </w:t>
            </w:r>
            <w:r>
              <w:rPr>
                <w:rFonts w:hint="eastAsia" w:ascii="宋体" w:hAnsi="宋体" w:eastAsia="宋体" w:cs="宋体"/>
                <w:bCs/>
                <w:color w:val="auto"/>
                <w:kern w:val="0"/>
                <w:sz w:val="24"/>
                <w:highlight w:val="none"/>
              </w:rPr>
              <w:t>0.315%</w:t>
            </w:r>
          </w:p>
        </w:tc>
      </w:tr>
      <w:bookmarkEnd w:id="16"/>
    </w:tbl>
    <w:p>
      <w:pPr>
        <w:rPr>
          <w:rFonts w:hint="eastAsia" w:ascii="宋体" w:hAnsi="宋体" w:eastAsia="宋体" w:cs="宋体"/>
          <w:color w:val="auto"/>
          <w:sz w:val="24"/>
          <w:szCs w:val="24"/>
          <w:highlight w:val="none"/>
        </w:rPr>
      </w:pPr>
      <w:bookmarkStart w:id="43" w:name="_Toc15604"/>
      <w:bookmarkStart w:id="44" w:name="_Toc29382"/>
      <w:bookmarkStart w:id="45" w:name="_Toc24026"/>
      <w:bookmarkStart w:id="46" w:name="_Toc164416483"/>
      <w:bookmarkStart w:id="47" w:name="第三部分"/>
      <w:r>
        <w:rPr>
          <w:rFonts w:hint="eastAsia" w:ascii="宋体" w:hAnsi="宋体" w:eastAsia="宋体" w:cs="宋体"/>
          <w:color w:val="auto"/>
          <w:sz w:val="24"/>
          <w:szCs w:val="24"/>
          <w:highlight w:val="none"/>
        </w:rPr>
        <w:br w:type="page"/>
      </w:r>
    </w:p>
    <w:p>
      <w:pPr>
        <w:pStyle w:val="3"/>
        <w:pageBreakBefore w:val="0"/>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一、总则</w:t>
      </w:r>
      <w:bookmarkEnd w:id="43"/>
      <w:bookmarkEnd w:id="44"/>
      <w:bookmarkEnd w:id="45"/>
    </w:p>
    <w:p>
      <w:pPr>
        <w:pageBreakBefore w:val="0"/>
        <w:kinsoku/>
        <w:wordWrap/>
        <w:overflowPunct/>
        <w:topLinePunct w:val="0"/>
        <w:bidi w:val="0"/>
        <w:snapToGrid w:val="0"/>
        <w:spacing w:line="312" w:lineRule="auto"/>
        <w:ind w:firstLine="361" w:firstLineChars="150"/>
        <w:jc w:val="left"/>
        <w:textAlignment w:val="auto"/>
        <w:outlineLvl w:val="1"/>
        <w:rPr>
          <w:rFonts w:hint="eastAsia" w:ascii="宋体" w:hAnsi="宋体" w:eastAsia="宋体" w:cs="宋体"/>
          <w:b/>
          <w:color w:val="auto"/>
          <w:sz w:val="24"/>
          <w:highlight w:val="none"/>
        </w:rPr>
      </w:pPr>
      <w:bookmarkStart w:id="48" w:name="_Toc16551"/>
      <w:bookmarkStart w:id="49" w:name="_Toc30042"/>
      <w:bookmarkStart w:id="50" w:name="_Toc32092"/>
      <w:r>
        <w:rPr>
          <w:rFonts w:hint="eastAsia" w:ascii="宋体" w:hAnsi="宋体" w:eastAsia="宋体" w:cs="宋体"/>
          <w:b/>
          <w:color w:val="auto"/>
          <w:sz w:val="24"/>
          <w:highlight w:val="none"/>
        </w:rPr>
        <w:t>1. 适用范围</w:t>
      </w:r>
      <w:bookmarkEnd w:id="48"/>
      <w:bookmarkEnd w:id="49"/>
      <w:bookmarkEnd w:id="50"/>
    </w:p>
    <w:p>
      <w:pPr>
        <w:pageBreakBefore w:val="0"/>
        <w:kinsoku/>
        <w:wordWrap/>
        <w:overflowPunct/>
        <w:topLinePunct w:val="0"/>
        <w:bidi w:val="0"/>
        <w:snapToGrid w:val="0"/>
        <w:spacing w:line="312"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pageBreakBefore w:val="0"/>
        <w:kinsoku/>
        <w:wordWrap/>
        <w:overflowPunct/>
        <w:topLinePunct w:val="0"/>
        <w:bidi w:val="0"/>
        <w:adjustRightInd/>
        <w:spacing w:line="312" w:lineRule="auto"/>
        <w:textAlignment w:val="auto"/>
        <w:outlineLvl w:val="0"/>
        <w:rPr>
          <w:rFonts w:hint="eastAsia" w:ascii="宋体" w:hAnsi="宋体" w:eastAsia="宋体" w:cs="宋体"/>
          <w:b/>
          <w:color w:val="auto"/>
          <w:sz w:val="24"/>
          <w:highlight w:val="none"/>
        </w:rPr>
      </w:pPr>
      <w:bookmarkStart w:id="51" w:name="_Toc13427"/>
      <w:bookmarkStart w:id="52" w:name="_Toc9737"/>
      <w:bookmarkStart w:id="53" w:name="_Toc26457"/>
      <w:r>
        <w:rPr>
          <w:rFonts w:hint="eastAsia" w:ascii="宋体" w:hAnsi="宋体" w:eastAsia="宋体" w:cs="宋体"/>
          <w:b/>
          <w:color w:val="auto"/>
          <w:sz w:val="24"/>
          <w:highlight w:val="none"/>
        </w:rPr>
        <w:t>2.定义</w:t>
      </w:r>
      <w:bookmarkEnd w:id="51"/>
      <w:bookmarkEnd w:id="52"/>
      <w:bookmarkEnd w:id="53"/>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系指实质性要求条款，“★”系产品采购项目中单一产品或核心产品，“</w:t>
      </w:r>
      <w:sdt>
        <w:sdtPr>
          <w:rPr>
            <w:rFonts w:hint="eastAsia" w:ascii="宋体" w:hAnsi="宋体" w:eastAsia="宋体" w:cs="宋体"/>
            <w:color w:val="auto"/>
            <w:kern w:val="0"/>
            <w:sz w:val="24"/>
            <w:highlight w:val="none"/>
          </w:rPr>
          <w:id w:val="-212966419"/>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sdt>
        <w:sdtPr>
          <w:rPr>
            <w:rFonts w:hint="eastAsia" w:ascii="宋体" w:hAnsi="宋体" w:eastAsia="宋体" w:cs="宋体"/>
            <w:color w:val="auto"/>
            <w:kern w:val="0"/>
            <w:sz w:val="24"/>
            <w:highlight w:val="none"/>
          </w:rPr>
          <w:id w:val="512970236"/>
        </w:sdtPr>
        <w:sdtEndPr>
          <w:rPr>
            <w:rFonts w:hint="eastAsia" w:ascii="宋体" w:hAnsi="宋体" w:eastAsia="宋体" w:cs="宋体"/>
            <w:color w:val="auto"/>
            <w:kern w:val="0"/>
            <w:sz w:val="24"/>
            <w:highlight w:val="none"/>
          </w:rPr>
        </w:sdtEndP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pageBreakBefore w:val="0"/>
        <w:kinsoku/>
        <w:wordWrap/>
        <w:overflowPunct/>
        <w:topLinePunct w:val="0"/>
        <w:bidi w:val="0"/>
        <w:spacing w:line="312" w:lineRule="auto"/>
        <w:ind w:firstLine="241" w:firstLineChars="1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3.采购项目需要落实的政府采购政策</w:t>
      </w:r>
    </w:p>
    <w:p>
      <w:pPr>
        <w:pageBreakBefore w:val="0"/>
        <w:kinsoku/>
        <w:wordWrap/>
        <w:overflowPunct/>
        <w:topLinePunct w:val="0"/>
        <w:bidi w:val="0"/>
        <w:spacing w:line="312" w:lineRule="auto"/>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pageBreakBefore w:val="0"/>
        <w:kinsoku/>
        <w:wordWrap/>
        <w:overflowPunct/>
        <w:topLinePunct w:val="0"/>
        <w:bidi w:val="0"/>
        <w:spacing w:line="312" w:lineRule="auto"/>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投标人提供产品及相关快递服务的具体包装要求要参考《商品包装政府采购需求标准（试行）》、《快递包装政府采购需求标准（试行）》。</w:t>
      </w:r>
    </w:p>
    <w:p>
      <w:pPr>
        <w:pageBreakBefore w:val="0"/>
        <w:kinsoku/>
        <w:wordWrap/>
        <w:overflowPunct/>
        <w:topLinePunct w:val="0"/>
        <w:bidi w:val="0"/>
        <w:spacing w:line="312" w:lineRule="auto"/>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3.3.2.3在服务采购项目中，服务由中小企业承接，即提供服务的人员为中小企业依照《中华人民共和国劳动合同法》订立劳动合同的从业人员。</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pageBreakBefore w:val="0"/>
        <w:kinsoku/>
        <w:wordWrap/>
        <w:overflowPunct/>
        <w:topLinePunct w:val="0"/>
        <w:bidi w:val="0"/>
        <w:spacing w:line="312" w:lineRule="auto"/>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pageBreakBefore w:val="0"/>
        <w:kinsoku/>
        <w:wordWrap/>
        <w:overflowPunct/>
        <w:topLinePunct w:val="0"/>
        <w:bidi w:val="0"/>
        <w:spacing w:line="312" w:lineRule="auto"/>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3.5中小企业信用融资：</w:t>
      </w:r>
      <w:r>
        <w:rPr>
          <w:rFonts w:hint="eastAsia" w:ascii="宋体" w:hAnsi="宋体" w:eastAsia="宋体" w:cs="宋体"/>
          <w:color w:val="auto"/>
          <w:kern w:val="0"/>
          <w:sz w:val="24"/>
          <w:highlight w:val="none"/>
        </w:rPr>
        <w:t>本采购项目，中标人与采购人签订的政府采购合同适用于嘉兴市政府采购贷款政策，简称“政采贷”，具体内容可参阅政府采购贷款流程：http://jxszwsjb.jiaxing.gov.cn/zxfw/005001/005001004/20190315/76d484f7-8fac-497f-9359-4df81cc086da.html或者投标人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pageBreakBefore w:val="0"/>
        <w:kinsoku/>
        <w:wordWrap/>
        <w:overflowPunct/>
        <w:topLinePunct w:val="0"/>
        <w:autoSpaceDE w:val="0"/>
        <w:autoSpaceDN w:val="0"/>
        <w:bidi w:val="0"/>
        <w:spacing w:line="312" w:lineRule="auto"/>
        <w:ind w:firstLine="240" w:firstLineChars="100"/>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4.1供应商询问</w:t>
      </w:r>
    </w:p>
    <w:p>
      <w:pPr>
        <w:pageBreakBefore w:val="0"/>
        <w:kinsoku/>
        <w:wordWrap/>
        <w:overflowPunct/>
        <w:topLinePunct w:val="0"/>
        <w:autoSpaceDE w:val="0"/>
        <w:autoSpaceDN w:val="0"/>
        <w:bidi w:val="0"/>
        <w:spacing w:line="312" w:lineRule="auto"/>
        <w:ind w:firstLine="480" w:firstLineChars="200"/>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ageBreakBefore w:val="0"/>
        <w:kinsoku/>
        <w:wordWrap/>
        <w:overflowPunct/>
        <w:topLinePunct w:val="0"/>
        <w:autoSpaceDE w:val="0"/>
        <w:autoSpaceDN w:val="0"/>
        <w:bidi w:val="0"/>
        <w:spacing w:line="312" w:lineRule="auto"/>
        <w:ind w:firstLine="240" w:firstLineChars="100"/>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4.2供应商质疑</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.1提出质疑的供应商应当是参与所质疑项目采购活动的供应商。潜在供应商已依法获取其可质疑的招标文件的，可以对该文件提出质疑。</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pageBreakBefore w:val="0"/>
        <w:kinsoku/>
        <w:wordWrap/>
        <w:overflowPunct/>
        <w:topLinePunct w:val="0"/>
        <w:bidi w:val="0"/>
        <w:spacing w:line="312" w:lineRule="auto"/>
        <w:ind w:firstLine="480" w:firstLineChars="200"/>
        <w:textAlignment w:val="auto"/>
        <w:rPr>
          <w:rFonts w:hint="eastAsia" w:ascii="宋体" w:hAnsi="宋体" w:eastAsia="宋体" w:cs="宋体"/>
          <w:snapToGrid/>
          <w:color w:val="auto"/>
          <w:kern w:val="2"/>
          <w:sz w:val="24"/>
          <w:szCs w:val="24"/>
          <w:highlight w:val="none"/>
        </w:rPr>
      </w:pPr>
      <w:r>
        <w:rPr>
          <w:rFonts w:hint="eastAsia" w:ascii="宋体" w:hAnsi="宋体" w:eastAsia="宋体" w:cs="宋体"/>
          <w:snapToGrid/>
          <w:color w:val="auto"/>
          <w:kern w:val="2"/>
          <w:sz w:val="24"/>
          <w:szCs w:val="24"/>
          <w:highlight w:val="none"/>
        </w:rPr>
        <w:t>4.2.2.1对招标文件提出质疑的，质疑期限为供应商获得招标文件之日或者招标文件公告期限届满之日起计算。</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4.2.2.2对采购过程提出质疑的，质疑期限为各采购程序环节结束之日起计算。对同一采购程序环节的质疑，供应商须一次性提出。</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4.2.2.3对采购结果提出质疑的，质疑期限自采购结果公告期限届满之日起计算。</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w:t>
      </w:r>
      <w:r>
        <w:rPr>
          <w:rFonts w:hint="eastAsia" w:ascii="宋体" w:hAnsi="宋体" w:eastAsia="宋体" w:cs="宋体"/>
          <w:color w:val="auto"/>
          <w:sz w:val="24"/>
          <w:szCs w:val="24"/>
          <w:highlight w:val="none"/>
        </w:rPr>
        <w:t>供应商提出质疑应当提交质疑函和必要的证明材料。质疑函应当包括下列内容：</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4.2.3.1供应商的姓名或者名称、地址、邮编、联系人及联系电话；</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4.2.3.2质疑项目的名称、编号；</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4.2.3.3具体、明确的质疑事项和与质疑事项相关的请求；</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4.2.3.4事实依据；</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4.2.3.5必要的法律依据；</w:t>
      </w:r>
    </w:p>
    <w:p>
      <w:pPr>
        <w:pStyle w:val="10"/>
        <w:pageBreakBefore w:val="0"/>
        <w:kinsoku/>
        <w:wordWrap/>
        <w:overflowPunct/>
        <w:topLinePunct w:val="0"/>
        <w:bidi w:val="0"/>
        <w:spacing w:line="312" w:lineRule="auto"/>
        <w:ind w:firstLine="960" w:firstLineChars="400"/>
        <w:textAlignment w:val="auto"/>
        <w:rPr>
          <w:rFonts w:hint="eastAsia" w:ascii="宋体" w:hAnsi="宋体" w:eastAsia="宋体" w:cs="宋体"/>
          <w:snapToGrid/>
          <w:color w:val="auto"/>
          <w:kern w:val="0"/>
          <w:sz w:val="24"/>
          <w:szCs w:val="24"/>
          <w:highlight w:val="none"/>
          <w:lang w:val="zh-CN"/>
        </w:rPr>
      </w:pPr>
      <w:r>
        <w:rPr>
          <w:rFonts w:hint="eastAsia" w:ascii="宋体" w:hAnsi="宋体" w:eastAsia="宋体" w:cs="宋体"/>
          <w:color w:val="auto"/>
          <w:kern w:val="0"/>
          <w:sz w:val="24"/>
          <w:szCs w:val="24"/>
          <w:highlight w:val="none"/>
          <w:lang w:val="zh-CN"/>
        </w:rPr>
        <w:t>4</w:t>
      </w:r>
      <w:r>
        <w:rPr>
          <w:rFonts w:hint="eastAsia" w:ascii="宋体" w:hAnsi="宋体" w:eastAsia="宋体" w:cs="宋体"/>
          <w:snapToGrid/>
          <w:color w:val="auto"/>
          <w:kern w:val="0"/>
          <w:sz w:val="24"/>
          <w:szCs w:val="24"/>
          <w:highlight w:val="none"/>
          <w:lang w:val="zh-CN"/>
        </w:rPr>
        <w:t>.2.3.6提出质疑的日期。</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质疑函范本及制作说明详见附件2。</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kern w:val="0"/>
          <w:sz w:val="24"/>
          <w:szCs w:val="24"/>
          <w:highlight w:val="none"/>
        </w:rPr>
        <w:t>.4采购人或者采购机</w:t>
      </w:r>
      <w:r>
        <w:rPr>
          <w:rFonts w:hint="eastAsia" w:ascii="宋体" w:hAnsi="宋体" w:eastAsia="宋体" w:cs="宋体"/>
          <w:snapToGrid/>
          <w:color w:val="auto"/>
          <w:kern w:val="0"/>
          <w:sz w:val="24"/>
          <w:szCs w:val="24"/>
          <w:highlight w:val="none"/>
        </w:rPr>
        <w:t>构应当在收到供应商的书面质疑后七个工作日内作出答复，并以书面形式通知质疑供应商和其他与质疑处理结果有利害关系的政府采购当事人，但答</w:t>
      </w:r>
      <w:r>
        <w:rPr>
          <w:rFonts w:hint="eastAsia" w:ascii="宋体" w:hAnsi="宋体" w:eastAsia="宋体" w:cs="宋体"/>
          <w:color w:val="auto"/>
          <w:kern w:val="0"/>
          <w:sz w:val="24"/>
          <w:szCs w:val="24"/>
          <w:highlight w:val="none"/>
        </w:rPr>
        <w:t>复的内容不得涉及商业秘密。采购人或者采购机构在质疑回复后5个工作日内，在浙江政府采购网的“其他公告”栏</w:t>
      </w:r>
      <w:r>
        <w:rPr>
          <w:rFonts w:hint="eastAsia" w:ascii="宋体" w:hAnsi="宋体" w:eastAsia="宋体" w:cs="宋体"/>
          <w:color w:val="auto"/>
          <w:kern w:val="0"/>
          <w:sz w:val="24"/>
          <w:szCs w:val="24"/>
          <w:highlight w:val="none"/>
          <w:lang w:val="zh-CN"/>
        </w:rPr>
        <w:t>目公开质疑答复，答复内容应当完整。质疑函作为附件上传。</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4.2.5询问或者质疑事项可能影响采购结果的，采购人应当暂停签订合同，已经签订合同的，应当中止履行合同。</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4.3供应商投诉</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4.3.1质疑供应商对采购</w:t>
      </w:r>
      <w:r>
        <w:rPr>
          <w:rFonts w:hint="eastAsia" w:ascii="宋体" w:hAnsi="宋体" w:eastAsia="宋体" w:cs="宋体"/>
          <w:color w:val="auto"/>
          <w:kern w:val="0"/>
          <w:sz w:val="24"/>
          <w:szCs w:val="24"/>
          <w:highlight w:val="none"/>
        </w:rPr>
        <w:t>人、采购机构的答复不满意或者采购人、采购机构未在规定的时间内作出答复的，可以在答复期满后十五个工作日内向同级政府采购监督管理部门提出投诉。</w:t>
      </w:r>
    </w:p>
    <w:p>
      <w:pPr>
        <w:pStyle w:val="27"/>
        <w:pageBreakBefore w:val="0"/>
        <w:shd w:val="clear" w:color="auto" w:fill="FFFFFF"/>
        <w:kinsoku/>
        <w:wordWrap/>
        <w:overflowPunct/>
        <w:topLinePunct w:val="0"/>
        <w:bidi w:val="0"/>
        <w:snapToGrid w:val="0"/>
        <w:spacing w:before="0" w:beforeAutospacing="0" w:after="0" w:afterAutospacing="0" w:line="312" w:lineRule="auto"/>
        <w:ind w:firstLine="400"/>
        <w:contextualSpacing/>
        <w:textAlignment w:val="auto"/>
        <w:rPr>
          <w:rFonts w:hint="eastAsia" w:ascii="宋体" w:hAnsi="宋体" w:eastAsia="宋体" w:cs="宋体"/>
          <w:color w:val="auto"/>
          <w:highlight w:val="none"/>
        </w:rPr>
      </w:pPr>
      <w:r>
        <w:rPr>
          <w:rFonts w:hint="eastAsia" w:ascii="宋体" w:hAnsi="宋体" w:eastAsia="宋体" w:cs="宋体"/>
          <w:color w:val="auto"/>
          <w:highlight w:val="none"/>
        </w:rPr>
        <w:t>4.3.</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27"/>
        <w:pageBreakBefore w:val="0"/>
        <w:shd w:val="clear" w:color="auto" w:fill="FFFFFF"/>
        <w:kinsoku/>
        <w:wordWrap/>
        <w:overflowPunct/>
        <w:topLinePunct w:val="0"/>
        <w:bidi w:val="0"/>
        <w:snapToGrid w:val="0"/>
        <w:spacing w:before="0" w:beforeAutospacing="0" w:after="0" w:afterAutospacing="0" w:line="312" w:lineRule="auto"/>
        <w:ind w:firstLine="400"/>
        <w:contextualSpacing/>
        <w:textAlignment w:val="auto"/>
        <w:rPr>
          <w:rFonts w:hint="eastAsia" w:ascii="宋体" w:hAnsi="宋体" w:eastAsia="宋体" w:cs="宋体"/>
          <w:color w:val="auto"/>
          <w:highlight w:val="none"/>
        </w:rPr>
      </w:pPr>
      <w:r>
        <w:rPr>
          <w:rFonts w:hint="eastAsia" w:ascii="宋体" w:hAnsi="宋体" w:eastAsia="宋体" w:cs="宋体"/>
          <w:color w:val="auto"/>
          <w:highlight w:val="none"/>
        </w:rPr>
        <w:t>4.3.3供应商投诉应当有明确的请求和必要的证明材料。</w:t>
      </w:r>
    </w:p>
    <w:p>
      <w:pPr>
        <w:pStyle w:val="27"/>
        <w:pageBreakBefore w:val="0"/>
        <w:shd w:val="clear" w:color="auto" w:fill="FFFFFF"/>
        <w:kinsoku/>
        <w:wordWrap/>
        <w:overflowPunct/>
        <w:topLinePunct w:val="0"/>
        <w:bidi w:val="0"/>
        <w:snapToGrid w:val="0"/>
        <w:spacing w:before="0" w:beforeAutospacing="0" w:after="0" w:afterAutospacing="0" w:line="312" w:lineRule="auto"/>
        <w:ind w:firstLine="400"/>
        <w:contextualSpacing/>
        <w:textAlignment w:val="auto"/>
        <w:rPr>
          <w:rFonts w:hint="eastAsia" w:ascii="宋体" w:hAnsi="宋体" w:eastAsia="宋体" w:cs="宋体"/>
          <w:color w:val="auto"/>
          <w:highlight w:val="none"/>
        </w:rPr>
      </w:pPr>
      <w:r>
        <w:rPr>
          <w:rFonts w:hint="eastAsia" w:ascii="宋体" w:hAnsi="宋体" w:eastAsia="宋体" w:cs="宋体"/>
          <w:color w:val="auto"/>
          <w:highlight w:val="none"/>
        </w:rPr>
        <w:t>4.3.5 以联合体形式参加政府采购活动的，其投诉应当由组成联合体的所有供应商共同提出。</w:t>
      </w:r>
    </w:p>
    <w:p>
      <w:pPr>
        <w:pStyle w:val="27"/>
        <w:pageBreakBefore w:val="0"/>
        <w:shd w:val="clear" w:color="auto" w:fill="FFFFFF"/>
        <w:kinsoku/>
        <w:wordWrap/>
        <w:overflowPunct/>
        <w:topLinePunct w:val="0"/>
        <w:bidi w:val="0"/>
        <w:snapToGrid w:val="0"/>
        <w:spacing w:before="0" w:beforeAutospacing="0" w:after="0" w:afterAutospacing="0" w:line="312" w:lineRule="auto"/>
        <w:ind w:firstLine="400"/>
        <w:contextualSpacing/>
        <w:textAlignment w:val="auto"/>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26"/>
        <w:pageBreakBefore w:val="0"/>
        <w:kinsoku/>
        <w:wordWrap/>
        <w:overflowPunct/>
        <w:topLinePunct w:val="0"/>
        <w:bidi w:val="0"/>
        <w:snapToGrid w:val="0"/>
        <w:spacing w:before="0" w:line="312" w:lineRule="auto"/>
        <w:ind w:firstLine="482"/>
        <w:textAlignment w:val="auto"/>
        <w:rPr>
          <w:rFonts w:hint="eastAsia" w:ascii="宋体" w:hAnsi="宋体" w:eastAsia="宋体" w:cs="宋体"/>
          <w:b/>
          <w:bCs/>
          <w:color w:val="auto"/>
          <w:szCs w:val="24"/>
          <w:highlight w:val="none"/>
          <w:lang w:val="zh-CN"/>
        </w:rPr>
      </w:pPr>
    </w:p>
    <w:p>
      <w:pPr>
        <w:pStyle w:val="3"/>
        <w:pageBreakBefore w:val="0"/>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bookmarkStart w:id="54" w:name="_Toc27013"/>
      <w:bookmarkStart w:id="55" w:name="_Toc6063"/>
      <w:bookmarkStart w:id="56" w:name="_Toc1994"/>
      <w:r>
        <w:rPr>
          <w:rFonts w:hint="eastAsia" w:ascii="宋体" w:hAnsi="宋体" w:eastAsia="宋体" w:cs="宋体"/>
          <w:color w:val="auto"/>
          <w:sz w:val="24"/>
          <w:szCs w:val="24"/>
          <w:highlight w:val="none"/>
        </w:rPr>
        <w:t>二、招标文件的构成、澄清、修改</w:t>
      </w:r>
      <w:bookmarkEnd w:id="54"/>
      <w:bookmarkEnd w:id="55"/>
      <w:bookmarkEnd w:id="56"/>
    </w:p>
    <w:p>
      <w:pPr>
        <w:pStyle w:val="10"/>
        <w:pageBreakBefore w:val="0"/>
        <w:kinsoku/>
        <w:wordWrap/>
        <w:overflowPunct/>
        <w:topLinePunct w:val="0"/>
        <w:bidi w:val="0"/>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10"/>
        <w:pageBreakBefore w:val="0"/>
        <w:tabs>
          <w:tab w:val="left" w:pos="840"/>
        </w:tabs>
        <w:kinsoku/>
        <w:wordWrap/>
        <w:overflowPunct/>
        <w:topLinePunct w:val="0"/>
        <w:bidi w:val="0"/>
        <w:spacing w:line="312"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10"/>
        <w:pageBreakBefore w:val="0"/>
        <w:tabs>
          <w:tab w:val="left" w:pos="840"/>
        </w:tabs>
        <w:kinsoku/>
        <w:wordWrap/>
        <w:overflowPunct/>
        <w:topLinePunct w:val="0"/>
        <w:bidi w:val="0"/>
        <w:spacing w:line="312"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10"/>
        <w:pageBreakBefore w:val="0"/>
        <w:tabs>
          <w:tab w:val="left" w:pos="840"/>
        </w:tabs>
        <w:kinsoku/>
        <w:wordWrap/>
        <w:overflowPunct/>
        <w:topLinePunct w:val="0"/>
        <w:bidi w:val="0"/>
        <w:spacing w:line="312"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10"/>
        <w:pageBreakBefore w:val="0"/>
        <w:tabs>
          <w:tab w:val="left" w:pos="840"/>
        </w:tabs>
        <w:kinsoku/>
        <w:wordWrap/>
        <w:overflowPunct/>
        <w:topLinePunct w:val="0"/>
        <w:bidi w:val="0"/>
        <w:spacing w:line="312"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10"/>
        <w:pageBreakBefore w:val="0"/>
        <w:tabs>
          <w:tab w:val="left" w:pos="840"/>
        </w:tabs>
        <w:kinsoku/>
        <w:wordWrap/>
        <w:overflowPunct/>
        <w:topLinePunct w:val="0"/>
        <w:bidi w:val="0"/>
        <w:spacing w:line="312"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10"/>
        <w:pageBreakBefore w:val="0"/>
        <w:tabs>
          <w:tab w:val="left" w:pos="840"/>
        </w:tabs>
        <w:kinsoku/>
        <w:wordWrap/>
        <w:overflowPunct/>
        <w:topLinePunct w:val="0"/>
        <w:bidi w:val="0"/>
        <w:spacing w:line="312"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5.1.6应提交的有关格式范例。</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10"/>
        <w:pageBreakBefore w:val="0"/>
        <w:kinsoku/>
        <w:wordWrap/>
        <w:overflowPunct/>
        <w:topLinePunct w:val="0"/>
        <w:bidi w:val="0"/>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6.1已获取招标文件的潜在投标人，若有问题需要澄清，应于投标截止时间前，以书面形式向采购机构提出。</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7"/>
        <w:pageBreakBefore w:val="0"/>
        <w:kinsoku/>
        <w:wordWrap/>
        <w:overflowPunct/>
        <w:topLinePunct w:val="0"/>
        <w:bidi w:val="0"/>
        <w:spacing w:line="312" w:lineRule="auto"/>
        <w:textAlignment w:val="auto"/>
        <w:rPr>
          <w:rFonts w:hint="eastAsia" w:ascii="宋体" w:hAnsi="宋体" w:eastAsia="宋体" w:cs="宋体"/>
          <w:color w:val="auto"/>
          <w:szCs w:val="24"/>
          <w:highlight w:val="none"/>
          <w:lang w:val="en-US"/>
        </w:rPr>
      </w:pPr>
    </w:p>
    <w:p>
      <w:pPr>
        <w:pStyle w:val="3"/>
        <w:pageBreakBefore w:val="0"/>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bookmarkStart w:id="57" w:name="_Toc22808"/>
      <w:bookmarkStart w:id="58" w:name="_Toc13566"/>
      <w:bookmarkStart w:id="59" w:name="_Toc14221"/>
      <w:r>
        <w:rPr>
          <w:rFonts w:hint="eastAsia" w:ascii="宋体" w:hAnsi="宋体" w:eastAsia="宋体" w:cs="宋体"/>
          <w:color w:val="auto"/>
          <w:sz w:val="24"/>
          <w:szCs w:val="24"/>
          <w:highlight w:val="none"/>
        </w:rPr>
        <w:t>三、投标</w:t>
      </w:r>
      <w:bookmarkEnd w:id="57"/>
      <w:bookmarkEnd w:id="58"/>
      <w:bookmarkEnd w:id="59"/>
    </w:p>
    <w:p>
      <w:pPr>
        <w:pStyle w:val="10"/>
        <w:pageBreakBefore w:val="0"/>
        <w:kinsoku/>
        <w:wordWrap/>
        <w:overflowPunct/>
        <w:topLinePunct w:val="0"/>
        <w:bidi w:val="0"/>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10"/>
        <w:pageBreakBefore w:val="0"/>
        <w:kinsoku/>
        <w:wordWrap/>
        <w:overflowPunct/>
        <w:topLinePunct w:val="0"/>
        <w:bidi w:val="0"/>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10"/>
        <w:pageBreakBefore w:val="0"/>
        <w:kinsoku/>
        <w:wordWrap/>
        <w:overflowPunct/>
        <w:topLinePunct w:val="0"/>
        <w:bidi w:val="0"/>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28"/>
          <w:sz w:val="24"/>
          <w:szCs w:val="24"/>
          <w:highlight w:val="none"/>
        </w:rPr>
        <w:t>9.投标保证金</w:t>
      </w:r>
    </w:p>
    <w:p>
      <w:pPr>
        <w:pStyle w:val="5"/>
        <w:pageBreakBefore w:val="0"/>
        <w:kinsoku/>
        <w:wordWrap/>
        <w:overflowPunct/>
        <w:topLinePunct w:val="0"/>
        <w:bidi w:val="0"/>
        <w:spacing w:line="312"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10"/>
        <w:pageBreakBefore w:val="0"/>
        <w:kinsoku/>
        <w:wordWrap/>
        <w:overflowPunct/>
        <w:topLinePunct w:val="0"/>
        <w:bidi w:val="0"/>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pageBreakBefore w:val="0"/>
        <w:kinsoku/>
        <w:wordWrap/>
        <w:overflowPunct/>
        <w:topLinePunct w:val="0"/>
        <w:autoSpaceDE w:val="0"/>
        <w:autoSpaceDN w:val="0"/>
        <w:bidi w:val="0"/>
        <w:spacing w:line="312" w:lineRule="auto"/>
        <w:ind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10"/>
        <w:pageBreakBefore w:val="0"/>
        <w:kinsoku/>
        <w:wordWrap/>
        <w:overflowPunct/>
        <w:topLinePunct w:val="0"/>
        <w:bidi w:val="0"/>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pageBreakBefore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pageBreakBefore w:val="0"/>
        <w:kinsoku/>
        <w:wordWrap/>
        <w:overflowPunct/>
        <w:topLinePunct w:val="0"/>
        <w:bidi w:val="0"/>
        <w:snapToGrid w:val="0"/>
        <w:spacing w:line="312" w:lineRule="auto"/>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pageBreakBefore w:val="0"/>
        <w:kinsoku/>
        <w:wordWrap/>
        <w:overflowPunct/>
        <w:topLinePunct w:val="0"/>
        <w:bidi w:val="0"/>
        <w:snapToGrid w:val="0"/>
        <w:spacing w:line="312" w:lineRule="auto"/>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w:t>
      </w:r>
    </w:p>
    <w:p>
      <w:pPr>
        <w:pageBreakBefore w:val="0"/>
        <w:kinsoku/>
        <w:wordWrap/>
        <w:overflowPunct/>
        <w:topLinePunct w:val="0"/>
        <w:bidi w:val="0"/>
        <w:snapToGrid w:val="0"/>
        <w:spacing w:line="312" w:lineRule="auto"/>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11.1.3本项目的特定资格要求。</w:t>
      </w:r>
    </w:p>
    <w:p>
      <w:pPr>
        <w:pageBreakBefore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2商务技术</w:t>
      </w:r>
      <w:r>
        <w:rPr>
          <w:rFonts w:hint="eastAsia" w:ascii="宋体" w:hAnsi="宋体" w:eastAsia="宋体" w:cs="宋体"/>
          <w:color w:val="auto"/>
          <w:sz w:val="24"/>
          <w:highlight w:val="none"/>
          <w:lang w:val="zh-CN"/>
        </w:rPr>
        <w:t>文件：</w:t>
      </w:r>
    </w:p>
    <w:p>
      <w:pPr>
        <w:pageBreakBefore w:val="0"/>
        <w:kinsoku/>
        <w:wordWrap/>
        <w:overflowPunct/>
        <w:topLinePunct w:val="0"/>
        <w:bidi w:val="0"/>
        <w:snapToGrid w:val="0"/>
        <w:spacing w:line="312" w:lineRule="auto"/>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11.2.1投标响应函；</w:t>
      </w:r>
    </w:p>
    <w:p>
      <w:pPr>
        <w:pageBreakBefore w:val="0"/>
        <w:kinsoku/>
        <w:wordWrap/>
        <w:overflowPunct/>
        <w:topLinePunct w:val="0"/>
        <w:bidi w:val="0"/>
        <w:snapToGrid w:val="0"/>
        <w:spacing w:line="312" w:lineRule="auto"/>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pageBreakBefore w:val="0"/>
        <w:kinsoku/>
        <w:wordWrap/>
        <w:overflowPunct/>
        <w:topLinePunct w:val="0"/>
        <w:bidi w:val="0"/>
        <w:snapToGrid w:val="0"/>
        <w:spacing w:line="312" w:lineRule="auto"/>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11.2.3符合性审查资料；</w:t>
      </w:r>
    </w:p>
    <w:p>
      <w:pPr>
        <w:pageBreakBefore w:val="0"/>
        <w:kinsoku/>
        <w:wordWrap/>
        <w:overflowPunct/>
        <w:topLinePunct w:val="0"/>
        <w:bidi w:val="0"/>
        <w:snapToGrid w:val="0"/>
        <w:spacing w:line="312" w:lineRule="auto"/>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11.2.4评审标准相应的商务技术资料；</w:t>
      </w:r>
    </w:p>
    <w:p>
      <w:pPr>
        <w:pageBreakBefore w:val="0"/>
        <w:kinsoku/>
        <w:wordWrap/>
        <w:overflowPunct/>
        <w:topLinePunct w:val="0"/>
        <w:bidi w:val="0"/>
        <w:snapToGrid w:val="0"/>
        <w:spacing w:line="312" w:lineRule="auto"/>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11.2.5商务技术偏离表；</w:t>
      </w:r>
    </w:p>
    <w:p>
      <w:pPr>
        <w:pageBreakBefore w:val="0"/>
        <w:kinsoku/>
        <w:wordWrap/>
        <w:overflowPunct/>
        <w:topLinePunct w:val="0"/>
        <w:bidi w:val="0"/>
        <w:snapToGrid w:val="0"/>
        <w:spacing w:line="312" w:lineRule="auto"/>
        <w:ind w:firstLine="960" w:firstLineChars="4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val="zh-CN"/>
        </w:rPr>
        <w:t>政府采购供应商廉洁自律承诺书；</w:t>
      </w:r>
    </w:p>
    <w:p>
      <w:pPr>
        <w:pageBreakBefore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p>
    <w:p>
      <w:pPr>
        <w:pageBreakBefore w:val="0"/>
        <w:kinsoku/>
        <w:wordWrap/>
        <w:overflowPunct/>
        <w:topLinePunct w:val="0"/>
        <w:bidi w:val="0"/>
        <w:snapToGrid w:val="0"/>
        <w:spacing w:line="312" w:lineRule="auto"/>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pageBreakBefore w:val="0"/>
        <w:kinsoku/>
        <w:wordWrap/>
        <w:overflowPunct/>
        <w:topLinePunct w:val="0"/>
        <w:bidi w:val="0"/>
        <w:snapToGrid w:val="0"/>
        <w:spacing w:line="312" w:lineRule="auto"/>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pageBreakBefore w:val="0"/>
        <w:kinsoku/>
        <w:wordWrap/>
        <w:overflowPunct/>
        <w:topLinePunct w:val="0"/>
        <w:bidi w:val="0"/>
        <w:snapToGrid w:val="0"/>
        <w:spacing w:line="312" w:lineRule="auto"/>
        <w:ind w:firstLine="964" w:firstLineChars="400"/>
        <w:textAlignment w:val="auto"/>
        <w:rPr>
          <w:rFonts w:hint="eastAsia" w:ascii="宋体" w:hAnsi="宋体" w:eastAsia="宋体" w:cs="宋体"/>
          <w:b/>
          <w:bCs/>
          <w:color w:val="auto"/>
          <w:sz w:val="24"/>
          <w:highlight w:val="none"/>
        </w:rPr>
      </w:pPr>
      <w:bookmarkStart w:id="60" w:name="_Toc22496"/>
      <w:r>
        <w:rPr>
          <w:rFonts w:hint="eastAsia" w:ascii="宋体" w:hAnsi="宋体" w:eastAsia="宋体" w:cs="宋体"/>
          <w:b/>
          <w:bCs/>
          <w:color w:val="auto"/>
          <w:sz w:val="24"/>
          <w:highlight w:val="none"/>
        </w:rPr>
        <w:t>投标文件含有采购人不能接受的附加条件的，投标无效；</w:t>
      </w:r>
    </w:p>
    <w:p>
      <w:pPr>
        <w:pageBreakBefore w:val="0"/>
        <w:kinsoku/>
        <w:wordWrap/>
        <w:overflowPunct/>
        <w:topLinePunct w:val="0"/>
        <w:bidi w:val="0"/>
        <w:snapToGrid w:val="0"/>
        <w:spacing w:line="312" w:lineRule="auto"/>
        <w:ind w:firstLine="964" w:firstLineChars="4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投标人提供虚假材料投标的，投标无效。</w:t>
      </w:r>
    </w:p>
    <w:p>
      <w:pPr>
        <w:pStyle w:val="26"/>
        <w:pageBreakBefore w:val="0"/>
        <w:kinsoku/>
        <w:wordWrap/>
        <w:overflowPunct/>
        <w:topLinePunct w:val="0"/>
        <w:bidi w:val="0"/>
        <w:snapToGrid w:val="0"/>
        <w:spacing w:before="0" w:line="312" w:lineRule="auto"/>
        <w:ind w:firstLine="0" w:firstLineChars="0"/>
        <w:textAlignment w:val="auto"/>
        <w:outlineLvl w:val="0"/>
        <w:rPr>
          <w:rFonts w:hint="eastAsia" w:ascii="宋体" w:hAnsi="宋体" w:eastAsia="宋体" w:cs="宋体"/>
          <w:b/>
          <w:color w:val="auto"/>
          <w:szCs w:val="24"/>
          <w:highlight w:val="none"/>
        </w:rPr>
      </w:pPr>
      <w:bookmarkStart w:id="61" w:name="_Toc25977"/>
      <w:bookmarkStart w:id="62" w:name="_Toc7820"/>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bookmarkEnd w:id="60"/>
      <w:bookmarkEnd w:id="61"/>
      <w:bookmarkEnd w:id="62"/>
    </w:p>
    <w:p>
      <w:pPr>
        <w:pageBreakBefore w:val="0"/>
        <w:kinsoku/>
        <w:wordWrap/>
        <w:overflowPunct/>
        <w:topLinePunct w:val="0"/>
        <w:bidi w:val="0"/>
        <w:spacing w:line="312" w:lineRule="auto"/>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pageBreakBefore w:val="0"/>
        <w:kinsoku/>
        <w:wordWrap/>
        <w:overflowPunct/>
        <w:topLinePunct w:val="0"/>
        <w:bidi w:val="0"/>
        <w:snapToGrid w:val="0"/>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13.1投标文件按照招标文件第六部分格式要求进行签署、盖章。</w:t>
      </w:r>
      <w:r>
        <w:rPr>
          <w:rFonts w:hint="eastAsia" w:ascii="宋体" w:hAnsi="宋体" w:eastAsia="宋体" w:cs="宋体"/>
          <w:b/>
          <w:color w:val="auto"/>
          <w:szCs w:val="24"/>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13.3招标文件对投标文件签署、盖章的要求适用于电子签名。</w:t>
      </w:r>
    </w:p>
    <w:p>
      <w:pPr>
        <w:pStyle w:val="26"/>
        <w:pageBreakBefore w:val="0"/>
        <w:kinsoku/>
        <w:wordWrap/>
        <w:overflowPunct/>
        <w:topLinePunct w:val="0"/>
        <w:bidi w:val="0"/>
        <w:spacing w:before="0" w:line="312"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26"/>
        <w:pageBreakBefore w:val="0"/>
        <w:kinsoku/>
        <w:wordWrap/>
        <w:overflowPunct/>
        <w:topLinePunct w:val="0"/>
        <w:bidi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6"/>
        <w:pageBreakBefore w:val="0"/>
        <w:kinsoku/>
        <w:wordWrap/>
        <w:overflowPunct/>
        <w:topLinePunct w:val="0"/>
        <w:bidi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26"/>
        <w:pageBreakBefore w:val="0"/>
        <w:kinsoku/>
        <w:wordWrap/>
        <w:overflowPunct/>
        <w:topLinePunct w:val="0"/>
        <w:bidi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10"/>
        <w:pageBreakBefore w:val="0"/>
        <w:kinsoku/>
        <w:wordWrap/>
        <w:overflowPunct/>
        <w:topLinePunct w:val="0"/>
        <w:bidi w:val="0"/>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10"/>
        <w:pageBreakBefore w:val="0"/>
        <w:kinsoku/>
        <w:wordWrap/>
        <w:overflowPunct/>
        <w:topLinePunct w:val="0"/>
        <w:bidi w:val="0"/>
        <w:spacing w:line="312" w:lineRule="auto"/>
        <w:ind w:firstLine="360" w:firstLineChars="15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15.1投标人在电子交易平台传输递交投标文件后，还可以在投标截止时间前通过邮箱chinazhongzhe@163.com递交备份投标文件1份。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10"/>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15.2直接提交备份投标文件的，投标人应于投标截止时间前在招标公告中载明的开标地点将备份投标文件提交给采购机构，采购机构将拒绝接受逾期送达的备份投标文件。</w:t>
      </w:r>
    </w:p>
    <w:p>
      <w:pPr>
        <w:pStyle w:val="10"/>
        <w:pageBreakBefore w:val="0"/>
        <w:kinsoku/>
        <w:wordWrap/>
        <w:overflowPunct/>
        <w:topLinePunct w:val="0"/>
        <w:bidi w:val="0"/>
        <w:spacing w:line="312" w:lineRule="auto"/>
        <w:ind w:firstLine="479" w:firstLine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15.3投标人仅提交备份投标文件，没有在电子交易平台传输递交投标文件的，投标无效。</w:t>
      </w:r>
    </w:p>
    <w:p>
      <w:pPr>
        <w:pStyle w:val="26"/>
        <w:pageBreakBefore w:val="0"/>
        <w:kinsoku/>
        <w:wordWrap/>
        <w:overflowPunct/>
        <w:topLinePunct w:val="0"/>
        <w:bidi w:val="0"/>
        <w:spacing w:before="0" w:line="312"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9"/>
        <w:pageBreakBefore w:val="0"/>
        <w:kinsoku/>
        <w:wordWrap/>
        <w:overflowPunct/>
        <w:topLinePunct w:val="0"/>
        <w:bidi w:val="0"/>
        <w:spacing w:line="312" w:lineRule="auto"/>
        <w:ind w:firstLine="360" w:firstLineChars="150"/>
        <w:textAlignment w:val="auto"/>
        <w:rPr>
          <w:rFonts w:hint="eastAsia" w:ascii="宋体" w:hAnsi="宋体" w:eastAsia="宋体" w:cs="宋体"/>
          <w:color w:val="auto"/>
          <w:highlight w:val="none"/>
        </w:rPr>
      </w:pPr>
      <w:r>
        <w:rPr>
          <w:rFonts w:hint="eastAsia" w:ascii="宋体" w:hAnsi="宋体" w:eastAsia="宋体" w:cs="宋体"/>
          <w:color w:val="auto"/>
          <w:highlight w:val="none"/>
        </w:rPr>
        <w:t>有招标文件</w:t>
      </w:r>
      <w:r>
        <w:rPr>
          <w:rFonts w:hint="eastAsia" w:ascii="宋体" w:hAnsi="宋体" w:eastAsia="宋体" w:cs="宋体"/>
          <w:b/>
          <w:color w:val="auto"/>
          <w:kern w:val="0"/>
          <w:highlight w:val="none"/>
        </w:rPr>
        <w:t>4.2投标响应无效</w:t>
      </w:r>
      <w:r>
        <w:rPr>
          <w:rFonts w:hint="eastAsia" w:ascii="宋体" w:hAnsi="宋体" w:eastAsia="宋体" w:cs="宋体"/>
          <w:color w:val="auto"/>
          <w:highlight w:val="none"/>
        </w:rPr>
        <w:t>规定的情形之一的，投标无效：</w:t>
      </w:r>
    </w:p>
    <w:p>
      <w:pPr>
        <w:pStyle w:val="26"/>
        <w:pageBreakBefore w:val="0"/>
        <w:kinsoku/>
        <w:wordWrap/>
        <w:overflowPunct/>
        <w:topLinePunct w:val="0"/>
        <w:bidi w:val="0"/>
        <w:spacing w:before="0" w:line="312"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17.1</w:t>
      </w:r>
      <w:r>
        <w:rPr>
          <w:rFonts w:hint="eastAsia" w:ascii="宋体" w:hAnsi="宋体" w:eastAsia="宋体" w:cs="宋体"/>
          <w:b/>
          <w:bCs/>
          <w:color w:val="auto"/>
          <w:sz w:val="24"/>
          <w:highlight w:val="none"/>
        </w:rPr>
        <w:t>投标有效期为从提交投标文件的截止之日起90天</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投标人的投标文件中承诺的投标有效期少于招标文件中载明的投标有效期的，投标无效。</w:t>
      </w:r>
    </w:p>
    <w:p>
      <w:pPr>
        <w:pStyle w:val="26"/>
        <w:pageBreakBefore w:val="0"/>
        <w:kinsoku/>
        <w:wordWrap/>
        <w:overflowPunct/>
        <w:topLinePunct w:val="0"/>
        <w:bidi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17.2投标文件合格投递后，自投标截止日期起，在投标有效期内有效。</w:t>
      </w:r>
    </w:p>
    <w:p>
      <w:pPr>
        <w:pStyle w:val="26"/>
        <w:pageBreakBefore w:val="0"/>
        <w:kinsoku/>
        <w:wordWrap/>
        <w:overflowPunct/>
        <w:topLinePunct w:val="0"/>
        <w:bidi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26"/>
        <w:pageBreakBefore w:val="0"/>
        <w:kinsoku/>
        <w:wordWrap/>
        <w:overflowPunct/>
        <w:topLinePunct w:val="0"/>
        <w:bidi w:val="0"/>
        <w:spacing w:before="0" w:line="312" w:lineRule="auto"/>
        <w:ind w:firstLine="482"/>
        <w:textAlignment w:val="auto"/>
        <w:rPr>
          <w:rFonts w:hint="eastAsia" w:ascii="宋体" w:hAnsi="宋体" w:eastAsia="宋体" w:cs="宋体"/>
          <w:b/>
          <w:color w:val="auto"/>
          <w:szCs w:val="24"/>
          <w:highlight w:val="none"/>
        </w:rPr>
      </w:pPr>
    </w:p>
    <w:p>
      <w:pPr>
        <w:pStyle w:val="3"/>
        <w:pageBreakBefore w:val="0"/>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bookmarkStart w:id="63" w:name="_Toc23874"/>
      <w:bookmarkStart w:id="64" w:name="_Toc8514"/>
      <w:bookmarkStart w:id="65" w:name="_Toc28248"/>
      <w:r>
        <w:rPr>
          <w:rFonts w:hint="eastAsia" w:ascii="宋体" w:hAnsi="宋体" w:eastAsia="宋体" w:cs="宋体"/>
          <w:color w:val="auto"/>
          <w:sz w:val="24"/>
          <w:szCs w:val="24"/>
          <w:highlight w:val="none"/>
        </w:rPr>
        <w:t>四、开标、资格审查与信用信息查询</w:t>
      </w:r>
      <w:bookmarkEnd w:id="63"/>
      <w:bookmarkEnd w:id="64"/>
      <w:bookmarkEnd w:id="65"/>
    </w:p>
    <w:p>
      <w:pPr>
        <w:pStyle w:val="28"/>
        <w:pageBreakBefore w:val="0"/>
        <w:kinsoku/>
        <w:wordWrap/>
        <w:overflowPunct/>
        <w:topLinePunct w:val="0"/>
        <w:bidi w:val="0"/>
        <w:spacing w:before="0" w:line="312" w:lineRule="auto"/>
        <w:ind w:left="0" w:firstLine="241" w:firstLineChars="100"/>
        <w:contextualSpacing/>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18.开标</w:t>
      </w:r>
    </w:p>
    <w:p>
      <w:pPr>
        <w:pStyle w:val="28"/>
        <w:pageBreakBefore w:val="0"/>
        <w:kinsoku/>
        <w:wordWrap/>
        <w:overflowPunct/>
        <w:topLinePunct w:val="0"/>
        <w:bidi w:val="0"/>
        <w:spacing w:before="0" w:line="312" w:lineRule="auto"/>
        <w:ind w:left="0" w:firstLine="480" w:firstLineChars="2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18.1采购机构按照招标文件规定的时间通过电子交易平台组织开标，所有投标人均应当准时在线参加。投标人不足3家的，不得开标。</w:t>
      </w:r>
    </w:p>
    <w:p>
      <w:pPr>
        <w:pStyle w:val="28"/>
        <w:pageBreakBefore w:val="0"/>
        <w:kinsoku/>
        <w:wordWrap/>
        <w:overflowPunct/>
        <w:topLinePunct w:val="0"/>
        <w:bidi w:val="0"/>
        <w:spacing w:before="0" w:line="312" w:lineRule="auto"/>
        <w:ind w:left="0" w:firstLine="240" w:firstLineChars="1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8"/>
        <w:pageBreakBefore w:val="0"/>
        <w:kinsoku/>
        <w:wordWrap/>
        <w:overflowPunct/>
        <w:topLinePunct w:val="0"/>
        <w:bidi w:val="0"/>
        <w:spacing w:before="0" w:line="312" w:lineRule="auto"/>
        <w:ind w:left="0" w:firstLine="240" w:firstLineChars="100"/>
        <w:contextualSpacing/>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18.3</w:t>
      </w:r>
      <w:r>
        <w:rPr>
          <w:rFonts w:hint="eastAsia" w:ascii="宋体" w:hAnsi="宋体" w:eastAsia="宋体" w:cs="宋体"/>
          <w:b/>
          <w:color w:val="auto"/>
          <w:sz w:val="24"/>
          <w:szCs w:val="24"/>
          <w:highlight w:val="none"/>
        </w:rPr>
        <w:t>投标文件未按时解密，投标人提供了备份投标文件的，以备份投标文件作为依据，否则视为投标文件撤回。投标文件已按时解密的，备份投标文件自动失效。</w:t>
      </w:r>
    </w:p>
    <w:p>
      <w:pPr>
        <w:pageBreakBefore w:val="0"/>
        <w:widowControl/>
        <w:kinsoku/>
        <w:wordWrap/>
        <w:overflowPunct/>
        <w:topLinePunct w:val="0"/>
        <w:bidi w:val="0"/>
        <w:spacing w:line="312" w:lineRule="auto"/>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19、资格审查</w:t>
      </w:r>
    </w:p>
    <w:p>
      <w:pPr>
        <w:pStyle w:val="26"/>
        <w:pageBreakBefore w:val="0"/>
        <w:kinsoku/>
        <w:wordWrap/>
        <w:overflowPunct/>
        <w:topLinePunct w:val="0"/>
        <w:bidi w:val="0"/>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19.1开标后，采购人或采购机构将依法对投标人的资格进行审查。</w:t>
      </w:r>
    </w:p>
    <w:p>
      <w:pPr>
        <w:pageBreakBefore w:val="0"/>
        <w:kinsoku/>
        <w:wordWrap/>
        <w:overflowPunct/>
        <w:topLinePunct w:val="0"/>
        <w:bidi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采购人或采购机构依据法律法规和招标文件的规定，对投标人的基本资格条件、特定资格条件进行审查。</w:t>
      </w:r>
    </w:p>
    <w:p>
      <w:pPr>
        <w:pStyle w:val="26"/>
        <w:pageBreakBefore w:val="0"/>
        <w:kinsoku/>
        <w:wordWrap/>
        <w:overflowPunct/>
        <w:topLinePunct w:val="0"/>
        <w:bidi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szCs w:val="24"/>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szCs w:val="24"/>
          <w:highlight w:val="none"/>
        </w:rPr>
        <w:t>投标人不具备招标文件中规定的资格要求，其投标无效。</w:t>
      </w:r>
    </w:p>
    <w:p>
      <w:pPr>
        <w:pStyle w:val="26"/>
        <w:pageBreakBefore w:val="0"/>
        <w:kinsoku/>
        <w:wordWrap/>
        <w:overflowPunct/>
        <w:topLinePunct w:val="0"/>
        <w:bidi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szCs w:val="24"/>
          <w:highlight w:val="none"/>
        </w:rPr>
        <w:t>4对未通过资格审查的投标人，采购人或采购机构告知其未通过的原因。</w:t>
      </w:r>
    </w:p>
    <w:p>
      <w:pPr>
        <w:pStyle w:val="26"/>
        <w:pageBreakBefore w:val="0"/>
        <w:kinsoku/>
        <w:wordWrap/>
        <w:overflowPunct/>
        <w:topLinePunct w:val="0"/>
        <w:bidi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szCs w:val="24"/>
          <w:highlight w:val="none"/>
        </w:rPr>
        <w:t>5合格投标人不足3家的，不再评标。</w:t>
      </w:r>
    </w:p>
    <w:p>
      <w:pPr>
        <w:pStyle w:val="26"/>
        <w:pageBreakBefore w:val="0"/>
        <w:kinsoku/>
        <w:wordWrap/>
        <w:overflowPunct/>
        <w:topLinePunct w:val="0"/>
        <w:bidi w:val="0"/>
        <w:spacing w:before="0" w:line="312"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26"/>
        <w:pageBreakBefore w:val="0"/>
        <w:kinsoku/>
        <w:wordWrap/>
        <w:overflowPunct/>
        <w:topLinePunct w:val="0"/>
        <w:bidi w:val="0"/>
        <w:spacing w:before="0" w:line="312"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26"/>
        <w:pageBreakBefore w:val="0"/>
        <w:kinsoku/>
        <w:wordWrap/>
        <w:overflowPunct/>
        <w:topLinePunct w:val="0"/>
        <w:bidi w:val="0"/>
        <w:spacing w:before="0" w:line="312"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26"/>
        <w:pageBreakBefore w:val="0"/>
        <w:kinsoku/>
        <w:wordWrap/>
        <w:overflowPunct/>
        <w:topLinePunct w:val="0"/>
        <w:bidi w:val="0"/>
        <w:spacing w:before="0" w:line="312"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26"/>
        <w:pageBreakBefore w:val="0"/>
        <w:kinsoku/>
        <w:wordWrap/>
        <w:overflowPunct/>
        <w:topLinePunct w:val="0"/>
        <w:bidi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szCs w:val="24"/>
          <w:highlight w:val="none"/>
        </w:rPr>
        <w:t>。</w:t>
      </w:r>
    </w:p>
    <w:p>
      <w:pPr>
        <w:pStyle w:val="26"/>
        <w:pageBreakBefore w:val="0"/>
        <w:kinsoku/>
        <w:wordWrap/>
        <w:overflowPunct/>
        <w:topLinePunct w:val="0"/>
        <w:bidi w:val="0"/>
        <w:spacing w:before="0" w:line="312" w:lineRule="auto"/>
        <w:ind w:firstLine="0" w:firstLineChars="0"/>
        <w:textAlignment w:val="auto"/>
        <w:rPr>
          <w:rFonts w:hint="eastAsia" w:ascii="宋体" w:hAnsi="宋体" w:eastAsia="宋体" w:cs="宋体"/>
          <w:color w:val="auto"/>
          <w:kern w:val="0"/>
          <w:szCs w:val="24"/>
          <w:highlight w:val="none"/>
        </w:rPr>
      </w:pPr>
    </w:p>
    <w:p>
      <w:pPr>
        <w:pStyle w:val="3"/>
        <w:pageBreakBefore w:val="0"/>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bookmarkStart w:id="66" w:name="_Toc9966"/>
      <w:bookmarkStart w:id="67" w:name="_Toc21612"/>
      <w:bookmarkStart w:id="68" w:name="_Toc23164"/>
      <w:r>
        <w:rPr>
          <w:rFonts w:hint="eastAsia" w:ascii="宋体" w:hAnsi="宋体" w:eastAsia="宋体" w:cs="宋体"/>
          <w:color w:val="auto"/>
          <w:sz w:val="24"/>
          <w:szCs w:val="24"/>
          <w:highlight w:val="none"/>
        </w:rPr>
        <w:t>五、评标</w:t>
      </w:r>
      <w:bookmarkEnd w:id="66"/>
      <w:bookmarkEnd w:id="67"/>
      <w:bookmarkEnd w:id="68"/>
    </w:p>
    <w:p>
      <w:pPr>
        <w:pageBreakBefore w:val="0"/>
        <w:kinsoku/>
        <w:wordWrap/>
        <w:overflowPunct/>
        <w:topLinePunct w:val="0"/>
        <w:bidi w:val="0"/>
        <w:spacing w:line="312" w:lineRule="auto"/>
        <w:textAlignment w:val="auto"/>
        <w:rPr>
          <w:rFonts w:hint="eastAsia" w:ascii="宋体" w:hAnsi="宋体" w:eastAsia="宋体" w:cs="宋体"/>
          <w:b/>
          <w:color w:val="auto"/>
          <w:sz w:val="24"/>
          <w:highlight w:val="none"/>
        </w:rPr>
      </w:pPr>
      <w:bookmarkStart w:id="69" w:name="_Toc91899903"/>
      <w:r>
        <w:rPr>
          <w:rFonts w:hint="eastAsia" w:ascii="宋体" w:hAnsi="宋体" w:eastAsia="宋体" w:cs="宋体"/>
          <w:b/>
          <w:color w:val="auto"/>
          <w:sz w:val="24"/>
          <w:highlight w:val="none"/>
        </w:rPr>
        <w:t>21.</w:t>
      </w:r>
      <w:r>
        <w:rPr>
          <w:rFonts w:hint="eastAsia" w:ascii="宋体" w:hAnsi="宋体" w:eastAsia="宋体" w:cs="宋体"/>
          <w:color w:val="auto"/>
          <w:sz w:val="24"/>
          <w:highlight w:val="none"/>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pageBreakBefore w:val="0"/>
        <w:kinsoku/>
        <w:wordWrap/>
        <w:overflowPunct/>
        <w:topLinePunct w:val="0"/>
        <w:bidi w:val="0"/>
        <w:spacing w:line="312" w:lineRule="auto"/>
        <w:textAlignment w:val="auto"/>
        <w:rPr>
          <w:rFonts w:hint="eastAsia" w:ascii="宋体" w:hAnsi="宋体" w:eastAsia="宋体" w:cs="宋体"/>
          <w:b/>
          <w:color w:val="auto"/>
          <w:sz w:val="24"/>
          <w:highlight w:val="none"/>
        </w:rPr>
      </w:pPr>
    </w:p>
    <w:p>
      <w:pPr>
        <w:pStyle w:val="3"/>
        <w:pageBreakBefore w:val="0"/>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bookmarkStart w:id="70" w:name="_Toc9422"/>
      <w:bookmarkStart w:id="71" w:name="_Toc11246"/>
      <w:bookmarkStart w:id="72" w:name="_Toc29018"/>
      <w:r>
        <w:rPr>
          <w:rFonts w:hint="eastAsia" w:ascii="宋体" w:hAnsi="宋体" w:eastAsia="宋体" w:cs="宋体"/>
          <w:color w:val="auto"/>
          <w:sz w:val="24"/>
          <w:szCs w:val="24"/>
          <w:highlight w:val="none"/>
        </w:rPr>
        <w:t>六、定 标</w:t>
      </w:r>
      <w:bookmarkEnd w:id="70"/>
      <w:bookmarkEnd w:id="71"/>
      <w:bookmarkEnd w:id="72"/>
    </w:p>
    <w:p>
      <w:pPr>
        <w:pStyle w:val="9"/>
        <w:pageBreakBefore w:val="0"/>
        <w:kinsoku/>
        <w:wordWrap/>
        <w:overflowPunct/>
        <w:topLinePunct w:val="0"/>
        <w:bidi w:val="0"/>
        <w:spacing w:line="312" w:lineRule="auto"/>
        <w:ind w:left="479" w:hanging="479" w:hangingChars="199"/>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采购人将自收到评审报告之日起5个工作日内通过电子交易平台在评审报告推荐的中标候选人中按顺序确定中标供应商。</w:t>
      </w:r>
    </w:p>
    <w:p>
      <w:pPr>
        <w:pStyle w:val="26"/>
        <w:pageBreakBefore w:val="0"/>
        <w:kinsoku/>
        <w:wordWrap/>
        <w:overflowPunct/>
        <w:topLinePunct w:val="0"/>
        <w:bidi w:val="0"/>
        <w:snapToGrid w:val="0"/>
        <w:spacing w:before="0" w:line="312"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pageBreakBefore w:val="0"/>
        <w:widowControl/>
        <w:shd w:val="clear" w:color="auto" w:fill="FFFFFF"/>
        <w:kinsoku/>
        <w:wordWrap/>
        <w:overflowPunct/>
        <w:topLinePunct w:val="0"/>
        <w:bidi w:val="0"/>
        <w:spacing w:line="312" w:lineRule="auto"/>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pageBreakBefore w:val="0"/>
        <w:widowControl/>
        <w:shd w:val="clear" w:color="auto" w:fill="FFFFFF"/>
        <w:kinsoku/>
        <w:wordWrap/>
        <w:overflowPunct/>
        <w:topLinePunct w:val="0"/>
        <w:bidi w:val="0"/>
        <w:spacing w:line="312" w:lineRule="auto"/>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pageBreakBefore w:val="0"/>
        <w:widowControl/>
        <w:shd w:val="clear" w:color="auto" w:fill="FFFFFF"/>
        <w:kinsoku/>
        <w:wordWrap/>
        <w:overflowPunct/>
        <w:topLinePunct w:val="0"/>
        <w:bidi w:val="0"/>
        <w:spacing w:line="312" w:lineRule="auto"/>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pageBreakBefore w:val="0"/>
        <w:widowControl/>
        <w:shd w:val="clear" w:color="auto" w:fill="FFFFFF"/>
        <w:kinsoku/>
        <w:wordWrap/>
        <w:overflowPunct/>
        <w:topLinePunct w:val="0"/>
        <w:bidi w:val="0"/>
        <w:spacing w:line="312" w:lineRule="auto"/>
        <w:ind w:firstLine="480"/>
        <w:jc w:val="left"/>
        <w:textAlignment w:val="auto"/>
        <w:rPr>
          <w:rFonts w:hint="eastAsia" w:ascii="宋体" w:hAnsi="宋体" w:eastAsia="宋体" w:cs="宋体"/>
          <w:color w:val="auto"/>
          <w:sz w:val="24"/>
          <w:highlight w:val="none"/>
          <w:lang w:val="zh-CN"/>
        </w:rPr>
      </w:pPr>
    </w:p>
    <w:p>
      <w:pPr>
        <w:pStyle w:val="3"/>
        <w:pageBreakBefore w:val="0"/>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bookmarkStart w:id="73" w:name="_Toc23702"/>
      <w:bookmarkStart w:id="74" w:name="_Toc23994"/>
      <w:bookmarkStart w:id="75" w:name="_Toc7433"/>
      <w:r>
        <w:rPr>
          <w:rFonts w:hint="eastAsia" w:ascii="宋体" w:hAnsi="宋体" w:eastAsia="宋体" w:cs="宋体"/>
          <w:color w:val="auto"/>
          <w:sz w:val="24"/>
          <w:szCs w:val="24"/>
          <w:highlight w:val="none"/>
        </w:rPr>
        <w:t>七、合同授予</w:t>
      </w:r>
      <w:bookmarkEnd w:id="73"/>
      <w:bookmarkEnd w:id="74"/>
      <w:bookmarkEnd w:id="75"/>
    </w:p>
    <w:p>
      <w:pPr>
        <w:pStyle w:val="9"/>
        <w:pageBreakBefore w:val="0"/>
        <w:kinsoku/>
        <w:wordWrap/>
        <w:overflowPunct/>
        <w:topLinePunct w:val="0"/>
        <w:bidi w:val="0"/>
        <w:spacing w:line="312" w:lineRule="auto"/>
        <w:ind w:left="479" w:hanging="479" w:hangingChars="199"/>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9"/>
        <w:pageBreakBefore w:val="0"/>
        <w:kinsoku/>
        <w:wordWrap/>
        <w:overflowPunct/>
        <w:topLinePunct w:val="0"/>
        <w:bidi w:val="0"/>
        <w:spacing w:line="312" w:lineRule="auto"/>
        <w:ind w:left="479" w:hanging="479" w:hangingChars="199"/>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pageBreakBefore w:val="0"/>
        <w:widowControl/>
        <w:shd w:val="clear" w:color="auto" w:fill="FFFFFF"/>
        <w:kinsoku/>
        <w:wordWrap/>
        <w:overflowPunct/>
        <w:topLinePunct w:val="0"/>
        <w:bidi w:val="0"/>
        <w:spacing w:line="312" w:lineRule="auto"/>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25.3如签订合同并生效后，供应商无故拒绝或延期，除按照合同条款处理外，列入不良行为记录一次，并给予通报。</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25.4中标供应商拒绝与采购人签订合同的，采购人可以按照评审报告推荐的中标或者成交候选人名单排序，确定下一候选人为中标供应商，也可以重新开展政府采购活动。</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25.5采购合同由采购人与中标供应商根据招标文件、投标文件等内容通过政府采购电子交易平台在线签订，自动备案。</w:t>
      </w:r>
    </w:p>
    <w:p>
      <w:pPr>
        <w:pStyle w:val="9"/>
        <w:pageBreakBefore w:val="0"/>
        <w:kinsoku/>
        <w:wordWrap/>
        <w:overflowPunct/>
        <w:topLinePunct w:val="0"/>
        <w:bidi w:val="0"/>
        <w:spacing w:line="312" w:lineRule="auto"/>
        <w:ind w:left="479" w:hanging="479" w:hangingChars="199"/>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pageBreakBefore w:val="0"/>
        <w:tabs>
          <w:tab w:val="left" w:pos="0"/>
        </w:tabs>
        <w:kinsoku/>
        <w:wordWrap/>
        <w:overflowPunct/>
        <w:topLinePunct w:val="0"/>
        <w:bidi w:val="0"/>
        <w:spacing w:line="312" w:lineRule="auto"/>
        <w:ind w:firstLine="482"/>
        <w:textAlignment w:val="auto"/>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。履约保证金的数额不得超过政府采购合同金额的1%。鼓励和支持供应商以银行、保险公司出具的保函形式提供履约保证金。</w:t>
      </w:r>
      <w:r>
        <w:rPr>
          <w:rFonts w:hint="eastAsia" w:ascii="宋体" w:hAnsi="宋体" w:eastAsia="宋体" w:cs="宋体"/>
          <w:b/>
          <w:color w:val="auto"/>
          <w:sz w:val="24"/>
          <w:highlight w:val="none"/>
        </w:rPr>
        <w:t>采购人不得拒收履约保函。</w:t>
      </w:r>
    </w:p>
    <w:p>
      <w:pPr>
        <w:pageBreakBefore w:val="0"/>
        <w:tabs>
          <w:tab w:val="left" w:pos="0"/>
        </w:tabs>
        <w:kinsoku/>
        <w:wordWrap/>
        <w:overflowPunct/>
        <w:topLinePunct w:val="0"/>
        <w:bidi w:val="0"/>
        <w:spacing w:line="312"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ageBreakBefore w:val="0"/>
        <w:kinsoku/>
        <w:wordWrap/>
        <w:overflowPunct/>
        <w:topLinePunct w:val="0"/>
        <w:bidi w:val="0"/>
        <w:snapToGrid w:val="0"/>
        <w:spacing w:line="312" w:lineRule="auto"/>
        <w:ind w:firstLine="2518" w:firstLineChars="1045"/>
        <w:textAlignment w:val="auto"/>
        <w:rPr>
          <w:rFonts w:hint="eastAsia" w:ascii="宋体" w:hAnsi="宋体" w:eastAsia="宋体" w:cs="宋体"/>
          <w:b/>
          <w:color w:val="auto"/>
          <w:sz w:val="24"/>
          <w:highlight w:val="none"/>
        </w:rPr>
      </w:pPr>
    </w:p>
    <w:p>
      <w:pPr>
        <w:pStyle w:val="3"/>
        <w:pageBreakBefore w:val="0"/>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bookmarkStart w:id="76" w:name="_Toc26578"/>
      <w:bookmarkStart w:id="77" w:name="_Toc4526"/>
      <w:bookmarkStart w:id="78" w:name="_Toc24917"/>
      <w:r>
        <w:rPr>
          <w:rFonts w:hint="eastAsia" w:ascii="宋体" w:hAnsi="宋体" w:eastAsia="宋体" w:cs="宋体"/>
          <w:color w:val="auto"/>
          <w:sz w:val="24"/>
          <w:szCs w:val="24"/>
          <w:highlight w:val="none"/>
        </w:rPr>
        <w:t>八、电子交易活动的中止</w:t>
      </w:r>
      <w:bookmarkEnd w:id="76"/>
      <w:bookmarkEnd w:id="77"/>
      <w:bookmarkEnd w:id="78"/>
    </w:p>
    <w:p>
      <w:pPr>
        <w:pStyle w:val="26"/>
        <w:pageBreakBefore w:val="0"/>
        <w:kinsoku/>
        <w:wordWrap/>
        <w:overflowPunct/>
        <w:topLinePunct w:val="0"/>
        <w:bidi w:val="0"/>
        <w:snapToGrid w:val="0"/>
        <w:spacing w:before="0" w:line="312" w:lineRule="auto"/>
        <w:ind w:firstLine="0" w:firstLineChars="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w:t>
      </w:r>
      <w:r>
        <w:rPr>
          <w:rFonts w:hint="eastAsia" w:ascii="宋体" w:hAnsi="宋体" w:eastAsia="宋体" w:cs="宋体"/>
          <w:b/>
          <w:color w:val="auto"/>
          <w:szCs w:val="24"/>
          <w:highlight w:val="none"/>
        </w:rPr>
        <w:t>7. 电子交易活动的中止。</w:t>
      </w:r>
      <w:r>
        <w:rPr>
          <w:rFonts w:hint="eastAsia" w:ascii="宋体" w:hAnsi="宋体" w:eastAsia="宋体" w:cs="宋体"/>
          <w:color w:val="auto"/>
          <w:szCs w:val="24"/>
          <w:highlight w:val="none"/>
        </w:rPr>
        <w:t>采购过程中出现以下情形，导致电子交易平台无法正常运行，或者无法保证电子交易的公平、公正和安全时，采购机构可中止电子交易活动：</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27.1电子交易平台发生故障而无法登录访问的； </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27.2电子交易平台应用或数据库出现错误，不能进行正常操作的；</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27.3电子交易平台发现严重安全漏洞，有潜在泄密危险的；</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27.4病毒发作导致不能进行正常操作的； </w:t>
      </w:r>
    </w:p>
    <w:p>
      <w:pPr>
        <w:pStyle w:val="26"/>
        <w:pageBreakBefore w:val="0"/>
        <w:kinsoku/>
        <w:wordWrap/>
        <w:overflowPunct/>
        <w:topLinePunct w:val="0"/>
        <w:bidi w:val="0"/>
        <w:snapToGrid w:val="0"/>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27.5其他无法保证电子交易的公平、公正和安全的情况。</w:t>
      </w:r>
    </w:p>
    <w:p>
      <w:pPr>
        <w:pStyle w:val="26"/>
        <w:pageBreakBefore w:val="0"/>
        <w:kinsoku/>
        <w:wordWrap/>
        <w:overflowPunct/>
        <w:topLinePunct w:val="0"/>
        <w:bidi w:val="0"/>
        <w:snapToGrid w:val="0"/>
        <w:spacing w:before="0" w:line="312" w:lineRule="auto"/>
        <w:ind w:firstLine="0" w:firstLineChars="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pageBreakBefore w:val="0"/>
        <w:tabs>
          <w:tab w:val="left" w:pos="0"/>
        </w:tabs>
        <w:kinsoku/>
        <w:wordWrap/>
        <w:overflowPunct/>
        <w:topLinePunct w:val="0"/>
        <w:bidi w:val="0"/>
        <w:spacing w:line="312" w:lineRule="auto"/>
        <w:ind w:firstLine="480"/>
        <w:textAlignment w:val="auto"/>
        <w:rPr>
          <w:rFonts w:hint="eastAsia" w:ascii="宋体" w:hAnsi="宋体" w:eastAsia="宋体" w:cs="宋体"/>
          <w:color w:val="auto"/>
          <w:sz w:val="24"/>
          <w:highlight w:val="none"/>
        </w:rPr>
      </w:pPr>
    </w:p>
    <w:p>
      <w:pPr>
        <w:pStyle w:val="3"/>
        <w:pageBreakBefore w:val="0"/>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bookmarkStart w:id="79" w:name="_Toc6643"/>
      <w:bookmarkStart w:id="80" w:name="_Toc13787"/>
      <w:bookmarkStart w:id="81" w:name="_Toc730"/>
      <w:r>
        <w:rPr>
          <w:rFonts w:hint="eastAsia" w:ascii="宋体" w:hAnsi="宋体" w:eastAsia="宋体" w:cs="宋体"/>
          <w:color w:val="auto"/>
          <w:sz w:val="24"/>
          <w:szCs w:val="24"/>
          <w:highlight w:val="none"/>
        </w:rPr>
        <w:t>九、验收</w:t>
      </w:r>
      <w:bookmarkEnd w:id="79"/>
      <w:bookmarkEnd w:id="80"/>
      <w:bookmarkEnd w:id="81"/>
    </w:p>
    <w:p>
      <w:pPr>
        <w:pStyle w:val="9"/>
        <w:pageBreakBefore w:val="0"/>
        <w:kinsoku/>
        <w:wordWrap/>
        <w:overflowPunct/>
        <w:topLinePunct w:val="0"/>
        <w:bidi w:val="0"/>
        <w:spacing w:line="312" w:lineRule="auto"/>
        <w:ind w:firstLine="0" w:firstLineChars="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29.验收</w:t>
      </w:r>
    </w:p>
    <w:p>
      <w:pPr>
        <w:pageBreakBefore w:val="0"/>
        <w:tabs>
          <w:tab w:val="left" w:pos="0"/>
        </w:tabs>
        <w:kinsoku/>
        <w:wordWrap/>
        <w:overflowPunct/>
        <w:topLinePunct w:val="0"/>
        <w:bidi w:val="0"/>
        <w:spacing w:line="312"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tabs>
          <w:tab w:val="left" w:pos="0"/>
        </w:tabs>
        <w:kinsoku/>
        <w:wordWrap/>
        <w:overflowPunct/>
        <w:topLinePunct w:val="0"/>
        <w:bidi w:val="0"/>
        <w:spacing w:line="312"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pageBreakBefore w:val="0"/>
        <w:tabs>
          <w:tab w:val="left" w:pos="0"/>
        </w:tabs>
        <w:kinsoku/>
        <w:wordWrap/>
        <w:overflowPunct/>
        <w:topLinePunct w:val="0"/>
        <w:bidi w:val="0"/>
        <w:spacing w:line="312"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ageBreakBefore w:val="0"/>
        <w:tabs>
          <w:tab w:val="left" w:pos="0"/>
        </w:tabs>
        <w:kinsoku/>
        <w:wordWrap/>
        <w:overflowPunct/>
        <w:topLinePunct w:val="0"/>
        <w:bidi w:val="0"/>
        <w:spacing w:line="312"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69"/>
    <w:p>
      <w:pPr>
        <w:tabs>
          <w:tab w:val="left" w:pos="0"/>
        </w:tabs>
        <w:spacing w:line="360" w:lineRule="auto"/>
        <w:ind w:firstLine="480"/>
        <w:rPr>
          <w:rFonts w:hint="eastAsia" w:ascii="宋体" w:hAnsi="宋体" w:eastAsia="宋体" w:cs="宋体"/>
          <w:color w:val="auto"/>
          <w:kern w:val="0"/>
          <w:sz w:val="24"/>
          <w:highlight w:val="none"/>
        </w:rPr>
        <w:sectPr>
          <w:pgSz w:w="11906" w:h="16838"/>
          <w:pgMar w:top="1474" w:right="1587" w:bottom="1474" w:left="1587" w:header="851" w:footer="992" w:gutter="0"/>
          <w:pgNumType w:fmt="decimal"/>
          <w:cols w:space="0" w:num="1"/>
          <w:docGrid w:linePitch="312" w:charSpace="0"/>
        </w:sectPr>
      </w:pPr>
      <w:bookmarkStart w:id="82" w:name="_Hlt74730295"/>
      <w:bookmarkEnd w:id="82"/>
      <w:bookmarkStart w:id="83" w:name="_Hlt74714665"/>
      <w:bookmarkEnd w:id="83"/>
      <w:bookmarkStart w:id="84" w:name="_Hlt68072990"/>
      <w:bookmarkEnd w:id="84"/>
      <w:bookmarkStart w:id="85" w:name="_Hlt68403820"/>
      <w:bookmarkEnd w:id="85"/>
      <w:bookmarkStart w:id="86" w:name="_Hlt68072998"/>
      <w:bookmarkEnd w:id="86"/>
      <w:bookmarkStart w:id="87" w:name="_Hlt68073093"/>
      <w:bookmarkEnd w:id="87"/>
      <w:bookmarkStart w:id="88" w:name="_Hlt68057669"/>
      <w:bookmarkEnd w:id="88"/>
      <w:bookmarkStart w:id="89" w:name="_Hlt75236101"/>
      <w:bookmarkEnd w:id="89"/>
      <w:bookmarkStart w:id="90" w:name="_Hlt75236011"/>
      <w:bookmarkEnd w:id="90"/>
      <w:bookmarkStart w:id="91" w:name="_Hlt74729768"/>
      <w:bookmarkEnd w:id="91"/>
      <w:bookmarkStart w:id="92" w:name="_Hlt74707468"/>
      <w:bookmarkEnd w:id="92"/>
      <w:bookmarkStart w:id="93" w:name="_Hlt75236290"/>
      <w:bookmarkEnd w:id="93"/>
    </w:p>
    <w:bookmarkEnd w:id="46"/>
    <w:bookmarkEnd w:id="47"/>
    <w:p>
      <w:pPr>
        <w:spacing w:line="360" w:lineRule="auto"/>
        <w:jc w:val="center"/>
        <w:outlineLvl w:val="0"/>
        <w:rPr>
          <w:rFonts w:hint="eastAsia" w:ascii="宋体" w:hAnsi="宋体" w:eastAsia="宋体" w:cs="宋体"/>
          <w:b/>
          <w:color w:val="auto"/>
          <w:sz w:val="36"/>
          <w:szCs w:val="36"/>
          <w:highlight w:val="none"/>
        </w:rPr>
      </w:pPr>
      <w:bookmarkStart w:id="94" w:name="_Toc17862"/>
      <w:bookmarkStart w:id="95" w:name="_Toc19635"/>
      <w:bookmarkStart w:id="96" w:name="_Toc11704"/>
      <w:bookmarkStart w:id="97" w:name="第四部分"/>
      <w:r>
        <w:rPr>
          <w:rFonts w:hint="eastAsia" w:ascii="宋体" w:hAnsi="宋体" w:eastAsia="宋体" w:cs="宋体"/>
          <w:b/>
          <w:color w:val="auto"/>
          <w:sz w:val="36"/>
          <w:szCs w:val="36"/>
          <w:highlight w:val="none"/>
        </w:rPr>
        <w:t>第三部分   采购需求</w:t>
      </w:r>
      <w:bookmarkEnd w:id="94"/>
      <w:bookmarkEnd w:id="95"/>
      <w:bookmarkEnd w:id="96"/>
    </w:p>
    <w:p>
      <w:pPr>
        <w:pStyle w:val="3"/>
        <w:pageBreakBefore w:val="0"/>
        <w:kinsoku/>
        <w:wordWrap/>
        <w:overflowPunct/>
        <w:topLinePunct w:val="0"/>
        <w:bidi w:val="0"/>
        <w:snapToGrid w:val="0"/>
        <w:spacing w:line="312" w:lineRule="auto"/>
        <w:ind w:left="0" w:firstLine="0"/>
        <w:textAlignment w:val="auto"/>
        <w:rPr>
          <w:rFonts w:hint="eastAsia" w:ascii="宋体" w:hAnsi="宋体" w:eastAsia="宋体" w:cs="宋体"/>
          <w:color w:val="auto"/>
          <w:sz w:val="24"/>
          <w:szCs w:val="24"/>
          <w:highlight w:val="none"/>
          <w:lang w:val="en-US"/>
        </w:rPr>
      </w:pPr>
      <w:bookmarkStart w:id="98" w:name="_Toc15190"/>
      <w:bookmarkStart w:id="99" w:name="_Toc11269"/>
      <w:bookmarkStart w:id="100" w:name="_Toc488941194"/>
      <w:bookmarkStart w:id="101" w:name="_Toc12453"/>
      <w:bookmarkStart w:id="102" w:name="_Toc10772"/>
      <w:bookmarkStart w:id="103" w:name="_Toc2497"/>
      <w:bookmarkStart w:id="104" w:name="_Toc6337"/>
      <w:bookmarkStart w:id="105" w:name="_Toc670"/>
      <w:bookmarkStart w:id="106" w:name="_Toc465800109"/>
      <w:bookmarkStart w:id="107" w:name="_Toc332471280"/>
      <w:r>
        <w:rPr>
          <w:rFonts w:hint="eastAsia" w:ascii="宋体" w:hAnsi="宋体" w:eastAsia="宋体" w:cs="宋体"/>
          <w:color w:val="auto"/>
          <w:sz w:val="24"/>
          <w:szCs w:val="24"/>
          <w:highlight w:val="none"/>
          <w:lang w:val="en-US"/>
        </w:rPr>
        <w:t>一、</w:t>
      </w:r>
      <w:bookmarkEnd w:id="98"/>
      <w:bookmarkEnd w:id="99"/>
      <w:bookmarkEnd w:id="100"/>
      <w:bookmarkEnd w:id="101"/>
      <w:bookmarkEnd w:id="102"/>
      <w:r>
        <w:rPr>
          <w:rFonts w:hint="eastAsia" w:ascii="宋体" w:hAnsi="宋体" w:eastAsia="宋体" w:cs="宋体"/>
          <w:color w:val="auto"/>
          <w:sz w:val="24"/>
          <w:szCs w:val="24"/>
          <w:highlight w:val="none"/>
          <w:lang w:val="en-US"/>
        </w:rPr>
        <w:t>项目背景</w:t>
      </w:r>
      <w:bookmarkEnd w:id="103"/>
      <w:bookmarkEnd w:id="104"/>
      <w:bookmarkEnd w:id="105"/>
    </w:p>
    <w:p>
      <w:pPr>
        <w:pageBreakBefore w:val="0"/>
        <w:kinsoku/>
        <w:wordWrap/>
        <w:overflowPunct/>
        <w:topLinePunct w:val="0"/>
        <w:bidi w:val="0"/>
        <w:adjustRightInd w:val="0"/>
        <w:snapToGrid w:val="0"/>
        <w:spacing w:line="312" w:lineRule="auto"/>
        <w:ind w:firstLine="472" w:firstLineChars="197"/>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嘉兴市第一医院（嘉兴学院附属第一医院）坐落在党的诞生地、风景秀丽的南湖之滨，于2011年10月整体搬迁至市中环南路1882号（嘉兴大桥西南侧），占地面积242亩，总建筑面积约18.5万平方米，核定住院床位1500张。医院创建于1920年，其前身为由法国天主教巴黎仁爱会嘉兴仁爱堂开办的圣心医院。经过几代一院人的艰苦创业，医院目前已成为嘉兴市规模最大、设施齐全、技术力量雄厚的集医疗、科研、教学、预防、康复于一体的三级甲等综合医院。</w:t>
      </w:r>
    </w:p>
    <w:p>
      <w:pPr>
        <w:pageBreakBefore w:val="0"/>
        <w:kinsoku/>
        <w:wordWrap/>
        <w:overflowPunct/>
        <w:topLinePunct w:val="0"/>
        <w:bidi w:val="0"/>
        <w:adjustRightInd w:val="0"/>
        <w:snapToGrid w:val="0"/>
        <w:spacing w:line="312" w:lineRule="auto"/>
        <w:ind w:firstLine="472" w:firstLineChars="197"/>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2.为了进一步加强医院安保工作，保障医院各项工作的正常运行，医院需要有一支具有高素质、高水平的保安队伍承担医院安全保卫、消防、应急处置及车辆管理等工作。</w:t>
      </w:r>
    </w:p>
    <w:p>
      <w:pPr>
        <w:pStyle w:val="8"/>
        <w:pageBreakBefore w:val="0"/>
        <w:kinsoku/>
        <w:wordWrap/>
        <w:overflowPunct/>
        <w:topLinePunct w:val="0"/>
        <w:bidi w:val="0"/>
        <w:spacing w:after="0" w:line="312" w:lineRule="auto"/>
        <w:ind w:firstLine="0" w:firstLineChars="0"/>
        <w:textAlignment w:val="auto"/>
        <w:rPr>
          <w:rFonts w:hint="eastAsia" w:ascii="宋体" w:hAnsi="宋体" w:eastAsia="宋体" w:cs="宋体"/>
          <w:color w:val="auto"/>
          <w:sz w:val="24"/>
          <w:szCs w:val="24"/>
          <w:highlight w:val="none"/>
        </w:rPr>
      </w:pPr>
    </w:p>
    <w:p>
      <w:pPr>
        <w:pStyle w:val="3"/>
        <w:pageBreakBefore w:val="0"/>
        <w:kinsoku/>
        <w:wordWrap/>
        <w:overflowPunct/>
        <w:topLinePunct w:val="0"/>
        <w:bidi w:val="0"/>
        <w:snapToGrid w:val="0"/>
        <w:spacing w:line="312" w:lineRule="auto"/>
        <w:ind w:left="0" w:firstLine="0"/>
        <w:textAlignment w:val="auto"/>
        <w:rPr>
          <w:rFonts w:hint="eastAsia" w:ascii="宋体" w:hAnsi="宋体" w:eastAsia="宋体" w:cs="宋体"/>
          <w:color w:val="auto"/>
          <w:sz w:val="24"/>
          <w:szCs w:val="24"/>
          <w:highlight w:val="none"/>
          <w:lang w:val="en-US"/>
        </w:rPr>
      </w:pPr>
      <w:bookmarkStart w:id="108" w:name="_Toc13906"/>
      <w:bookmarkStart w:id="109" w:name="_Toc27322"/>
      <w:bookmarkStart w:id="110" w:name="_Toc1783"/>
      <w:r>
        <w:rPr>
          <w:rFonts w:hint="eastAsia" w:ascii="宋体" w:hAnsi="宋体" w:eastAsia="宋体" w:cs="宋体"/>
          <w:color w:val="auto"/>
          <w:sz w:val="24"/>
          <w:szCs w:val="24"/>
          <w:highlight w:val="none"/>
          <w:lang w:val="en-US"/>
        </w:rPr>
        <w:t>▲二、招标内容</w:t>
      </w:r>
      <w:bookmarkEnd w:id="108"/>
      <w:bookmarkEnd w:id="109"/>
      <w:bookmarkEnd w:id="110"/>
    </w:p>
    <w:p>
      <w:pPr>
        <w:pageBreakBefore w:val="0"/>
        <w:kinsoku/>
        <w:wordWrap/>
        <w:overflowPunct/>
        <w:topLinePunct w:val="0"/>
        <w:bidi w:val="0"/>
        <w:adjustRightInd w:val="0"/>
        <w:snapToGrid w:val="0"/>
        <w:spacing w:line="312" w:lineRule="auto"/>
        <w:ind w:firstLine="472" w:firstLineChars="197"/>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嘉兴市第一医院2022年至2023年的全院保安服务，承担医院安全保卫、消防、应急处置及车辆管理、解款押运等工作。</w:t>
      </w:r>
    </w:p>
    <w:p>
      <w:pPr>
        <w:pStyle w:val="18"/>
        <w:pageBreakBefore w:val="0"/>
        <w:kinsoku/>
        <w:wordWrap/>
        <w:overflowPunct/>
        <w:topLinePunct w:val="0"/>
        <w:bidi w:val="0"/>
        <w:spacing w:line="312" w:lineRule="auto"/>
        <w:ind w:firstLine="480"/>
        <w:textAlignment w:val="auto"/>
        <w:rPr>
          <w:rFonts w:hint="eastAsia" w:ascii="宋体" w:hAnsi="宋体" w:eastAsia="宋体" w:cs="宋体"/>
          <w:color w:val="auto"/>
          <w:sz w:val="24"/>
          <w:szCs w:val="24"/>
          <w:highlight w:val="none"/>
        </w:rPr>
      </w:pPr>
    </w:p>
    <w:p>
      <w:pPr>
        <w:pStyle w:val="3"/>
        <w:pageBreakBefore w:val="0"/>
        <w:kinsoku/>
        <w:wordWrap/>
        <w:overflowPunct/>
        <w:topLinePunct w:val="0"/>
        <w:bidi w:val="0"/>
        <w:snapToGrid w:val="0"/>
        <w:spacing w:line="312" w:lineRule="auto"/>
        <w:ind w:left="0" w:firstLine="241" w:firstLineChars="100"/>
        <w:textAlignment w:val="auto"/>
        <w:rPr>
          <w:rFonts w:hint="eastAsia" w:ascii="宋体" w:hAnsi="宋体" w:eastAsia="宋体" w:cs="宋体"/>
          <w:color w:val="auto"/>
          <w:sz w:val="24"/>
          <w:szCs w:val="24"/>
          <w:highlight w:val="none"/>
          <w:lang w:val="en-US"/>
        </w:rPr>
      </w:pPr>
      <w:bookmarkStart w:id="111" w:name="_Toc19913"/>
      <w:bookmarkStart w:id="112" w:name="_Toc3983"/>
      <w:bookmarkStart w:id="113" w:name="_Toc6896"/>
      <w:bookmarkStart w:id="114" w:name="_Toc29075"/>
      <w:bookmarkStart w:id="115" w:name="_Toc19818"/>
      <w:bookmarkStart w:id="116" w:name="_Toc5520"/>
      <w:bookmarkStart w:id="117" w:name="_Toc1937"/>
      <w:bookmarkStart w:id="118" w:name="_Toc20076"/>
      <w:bookmarkStart w:id="119" w:name="_Toc21325"/>
      <w:bookmarkStart w:id="120" w:name="_Toc488941195"/>
      <w:r>
        <w:rPr>
          <w:rFonts w:hint="eastAsia" w:ascii="宋体" w:hAnsi="宋体" w:eastAsia="宋体" w:cs="宋体"/>
          <w:color w:val="auto"/>
          <w:sz w:val="24"/>
          <w:szCs w:val="24"/>
          <w:highlight w:val="none"/>
          <w:lang w:val="en-US"/>
        </w:rPr>
        <w:t>▲三、报价要求</w:t>
      </w:r>
      <w:bookmarkEnd w:id="106"/>
      <w:bookmarkEnd w:id="107"/>
      <w:bookmarkEnd w:id="111"/>
      <w:bookmarkEnd w:id="112"/>
      <w:bookmarkEnd w:id="113"/>
      <w:bookmarkEnd w:id="114"/>
      <w:bookmarkEnd w:id="115"/>
      <w:bookmarkEnd w:id="116"/>
      <w:bookmarkEnd w:id="117"/>
      <w:bookmarkEnd w:id="118"/>
      <w:bookmarkEnd w:id="119"/>
      <w:bookmarkEnd w:id="120"/>
    </w:p>
    <w:p>
      <w:pPr>
        <w:pageBreakBefore w:val="0"/>
        <w:kinsoku/>
        <w:wordWrap/>
        <w:overflowPunct/>
        <w:topLinePunct w:val="0"/>
        <w:autoSpaceDE w:val="0"/>
        <w:autoSpaceDN w:val="0"/>
        <w:bidi w:val="0"/>
        <w:adjustRightInd w:val="0"/>
        <w:snapToGrid w:val="0"/>
        <w:spacing w:line="312" w:lineRule="auto"/>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1.本项目投标报价为一年（自合同签订之日起）的承包费用报价（本次合同服务期限为一年，下一年度经采购人考核合格后可续签一年。续签年度承包费原则上不得增加，如需增加需要双方协商后再定。</w:t>
      </w:r>
    </w:p>
    <w:p>
      <w:pPr>
        <w:pageBreakBefore w:val="0"/>
        <w:kinsoku/>
        <w:wordWrap/>
        <w:overflowPunct/>
        <w:topLinePunct w:val="0"/>
        <w:autoSpaceDE w:val="0"/>
        <w:autoSpaceDN w:val="0"/>
        <w:bidi w:val="0"/>
        <w:snapToGrid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kern w:val="0"/>
          <w:sz w:val="24"/>
          <w:szCs w:val="24"/>
          <w:highlight w:val="none"/>
        </w:rPr>
        <w:t>投标总价应包括承包区域内提供保安服务所需的一切人员人工费用[含工资、奖金、补贴、加班费、高温补偿费、社会保险（基本养老保险、基本医疗保险、工伤保险、失业保险、生育保险）]、钱款押运（含车辆、司乘人员、保安人员费用）、办公费、食宿与交通费、设备器材及工具、耗材费用、服装费、安全费、管理费用、规费、税费、利润以及完成合同所需的一切本身和不可或缺的所有费用并承担一切风险责任。在保安合同服务期间内不得违反国家相关政策规定</w:t>
      </w:r>
      <w:r>
        <w:rPr>
          <w:rFonts w:hint="eastAsia" w:ascii="宋体" w:hAnsi="宋体" w:eastAsia="宋体" w:cs="宋体"/>
          <w:color w:val="auto"/>
          <w:sz w:val="24"/>
          <w:szCs w:val="24"/>
          <w:highlight w:val="none"/>
        </w:rPr>
        <w:t>。</w:t>
      </w:r>
    </w:p>
    <w:p>
      <w:pPr>
        <w:pageBreakBefore w:val="0"/>
        <w:kinsoku/>
        <w:wordWrap/>
        <w:overflowPunct/>
        <w:topLinePunct w:val="0"/>
        <w:autoSpaceDE w:val="0"/>
        <w:autoSpaceDN w:val="0"/>
        <w:bidi w:val="0"/>
        <w:adjustRightInd w:val="0"/>
        <w:snapToGrid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支付给在采购人场所服务的保安员应发收入不少于每月人均服务费（中标总价÷保安人数÷12）的70%，每月向采购人提供前一个月的保安人员工资发放表用于备案。在合同期内，如遇政府最低工资上调，采购人不承担工资上调费用。</w:t>
      </w:r>
    </w:p>
    <w:p>
      <w:pPr>
        <w:pageBreakBefore w:val="0"/>
        <w:kinsoku/>
        <w:wordWrap/>
        <w:overflowPunct/>
        <w:topLinePunct w:val="0"/>
        <w:autoSpaceDE w:val="0"/>
        <w:autoSpaceDN w:val="0"/>
        <w:bidi w:val="0"/>
        <w:adjustRightInd w:val="0"/>
        <w:snapToGrid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需对各个岗位每小时加班费用进行单独报价，不计入投标总价。医院根据运行情况进行调整，人员增减提前两天通知。根据突发事件状况，决定临时加班，负责医院突发事件处置、灾害预防、火灾扑救，发现和制止医院暴力事件，随时准备提供紧急救助。临时加班没有岗位参考计费的,根据</w:t>
      </w:r>
      <w:r>
        <w:rPr>
          <w:rFonts w:hint="eastAsia" w:ascii="宋体" w:hAnsi="宋体" w:eastAsia="宋体" w:cs="宋体"/>
          <w:bCs/>
          <w:color w:val="auto"/>
          <w:sz w:val="24"/>
          <w:szCs w:val="24"/>
          <w:highlight w:val="none"/>
        </w:rPr>
        <w:t>嘉政发〔2021〕22号《嘉兴市人民政府关于调整全市最低工资标准的通知》</w:t>
      </w:r>
      <w:r>
        <w:rPr>
          <w:rFonts w:hint="eastAsia" w:ascii="宋体" w:hAnsi="宋体" w:eastAsia="宋体" w:cs="宋体"/>
          <w:color w:val="auto"/>
          <w:sz w:val="24"/>
          <w:szCs w:val="24"/>
          <w:highlight w:val="none"/>
        </w:rPr>
        <w:t>，其中非全日制工作的最低小时工资标准调整为</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元，有岗位参考的，按照投标报价执行。</w:t>
      </w:r>
    </w:p>
    <w:p>
      <w:pPr>
        <w:pStyle w:val="3"/>
        <w:pageBreakBefore w:val="0"/>
        <w:kinsoku/>
        <w:wordWrap/>
        <w:overflowPunct/>
        <w:topLinePunct w:val="0"/>
        <w:bidi w:val="0"/>
        <w:adjustRightInd w:val="0"/>
        <w:snapToGrid w:val="0"/>
        <w:spacing w:line="312" w:lineRule="auto"/>
        <w:ind w:left="0" w:leftChars="0" w:firstLine="0" w:firstLineChars="0"/>
        <w:textAlignment w:val="auto"/>
        <w:outlineLvl w:val="9"/>
        <w:rPr>
          <w:rFonts w:hint="eastAsia" w:ascii="宋体" w:hAnsi="宋体" w:eastAsia="宋体" w:cs="宋体"/>
          <w:color w:val="auto"/>
          <w:kern w:val="0"/>
          <w:sz w:val="24"/>
          <w:szCs w:val="24"/>
          <w:highlight w:val="none"/>
          <w:lang w:val="en-US"/>
        </w:rPr>
      </w:pPr>
    </w:p>
    <w:p>
      <w:pPr>
        <w:pStyle w:val="3"/>
        <w:pageBreakBefore w:val="0"/>
        <w:kinsoku/>
        <w:wordWrap/>
        <w:overflowPunct/>
        <w:topLinePunct w:val="0"/>
        <w:bidi w:val="0"/>
        <w:snapToGrid w:val="0"/>
        <w:spacing w:line="312" w:lineRule="auto"/>
        <w:ind w:left="0" w:firstLine="0"/>
        <w:textAlignment w:val="auto"/>
        <w:rPr>
          <w:rFonts w:hint="eastAsia" w:ascii="宋体" w:hAnsi="宋体" w:eastAsia="宋体" w:cs="宋体"/>
          <w:color w:val="auto"/>
          <w:sz w:val="24"/>
          <w:szCs w:val="24"/>
          <w:highlight w:val="none"/>
          <w:lang w:val="en-US"/>
        </w:rPr>
      </w:pPr>
      <w:bookmarkStart w:id="121" w:name="_Toc10293"/>
      <w:bookmarkStart w:id="122" w:name="_Toc6452"/>
      <w:bookmarkStart w:id="123" w:name="_Toc29338"/>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lang w:val="en-US"/>
        </w:rPr>
        <w:t>、</w:t>
      </w:r>
      <w:bookmarkEnd w:id="121"/>
      <w:r>
        <w:rPr>
          <w:rFonts w:hint="eastAsia" w:ascii="宋体" w:hAnsi="宋体" w:eastAsia="宋体" w:cs="宋体"/>
          <w:color w:val="auto"/>
          <w:sz w:val="24"/>
          <w:szCs w:val="24"/>
          <w:highlight w:val="none"/>
        </w:rPr>
        <w:t>服务内容及要求</w:t>
      </w:r>
      <w:bookmarkEnd w:id="122"/>
      <w:bookmarkEnd w:id="123"/>
    </w:p>
    <w:p>
      <w:pPr>
        <w:pageBreakBefore w:val="0"/>
        <w:kinsoku/>
        <w:wordWrap/>
        <w:overflowPunct/>
        <w:topLinePunct w:val="0"/>
        <w:bidi w:val="0"/>
        <w:spacing w:line="312" w:lineRule="auto"/>
        <w:textAlignment w:val="auto"/>
        <w:rPr>
          <w:rFonts w:hint="eastAsia" w:ascii="宋体" w:hAnsi="宋体" w:eastAsia="宋体" w:cs="宋体"/>
          <w:b/>
          <w:color w:val="auto"/>
          <w:sz w:val="24"/>
          <w:szCs w:val="24"/>
          <w:highlight w:val="none"/>
        </w:rPr>
      </w:pPr>
      <w:bookmarkStart w:id="124" w:name="_Toc24301"/>
      <w:r>
        <w:rPr>
          <w:rFonts w:hint="eastAsia" w:ascii="宋体" w:hAnsi="宋体" w:eastAsia="宋体" w:cs="宋体"/>
          <w:b/>
          <w:color w:val="auto"/>
          <w:sz w:val="24"/>
          <w:szCs w:val="24"/>
          <w:highlight w:val="none"/>
        </w:rPr>
        <w:t>（一）总体要求</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应根据医院各科室的特点，对院内所有大楼及周围环境提供12-24小时的室内外保安服务，使其拥有安全的治疗环境。投标人应根据医院安全保卫工作实际情况和三甲医院安保工作标准，制订切实可行的医院安全保卫工作整体方案，为医院提供24小时专业化的室内外保安服务，认真做好医院火灾预防，及时处置各类治安、医患纠纷，确保医院职工的人身安全和公共财产安全，确保各项医疗工作安全、有序开展。全年无责任事故和责任案件发生，医院每月满意度测评中对保安服务满意率在90%以上，满意度在80-89%的扣服务费10万/次，6个月满意度平均低于80%的，次年不再续签合同。</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医院要求做好院内道路交通临时管制；加强医院各进出口（大门）的管理，及时疏导交通拥堵，控制好车辆进出，有序分流，指挥车辆按规定区域有序停放；确保120车辆车位、残疾人车位不得占用，确保120、119通道和院内道路畅通；根据需要及时增设、调整医院内部交通引导标识、车辆通行导向牌等指示标识。</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3.中标单位具有良好的人员保障机制，因队员辞职或辞退，须在5个工作日内补充。连续10天缺编超过人数总数的10%或一个月内平均缺编超过8%的，采购人有权终止合同，并双倍扣除缺编人员服务费。</w:t>
      </w:r>
    </w:p>
    <w:p>
      <w:pPr>
        <w:pStyle w:val="18"/>
        <w:pageBreakBefore w:val="0"/>
        <w:kinsoku/>
        <w:wordWrap/>
        <w:overflowPunct/>
        <w:topLinePunct w:val="0"/>
        <w:bidi w:val="0"/>
        <w:spacing w:line="312" w:lineRule="auto"/>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4.医院不定期对保安实际在岗人数进行核查，若实际在岗人数少于排班人数，则当月以核查时实际在岗人数结算。</w:t>
      </w:r>
    </w:p>
    <w:p>
      <w:pPr>
        <w:pStyle w:val="18"/>
        <w:pageBreakBefore w:val="0"/>
        <w:kinsoku/>
        <w:wordWrap/>
        <w:overflowPunct/>
        <w:topLinePunct w:val="0"/>
        <w:bidi w:val="0"/>
        <w:spacing w:line="312" w:lineRule="auto"/>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5.乙方安排安保人员，应严格按照《中华人民共和国劳动法》执行。</w:t>
      </w:r>
    </w:p>
    <w:p>
      <w:pPr>
        <w:pStyle w:val="18"/>
        <w:pageBreakBefore w:val="0"/>
        <w:kinsoku/>
        <w:wordWrap/>
        <w:overflowPunct/>
        <w:topLinePunct w:val="0"/>
        <w:bidi w:val="0"/>
        <w:spacing w:line="312"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▲6.投标人必须采取切实有效措施保持保安队伍的稳定，严格控制非违纪人员轮换岗比例，合同期限内轮换岗保安人数不得超过合同编制的40%。</w:t>
      </w:r>
    </w:p>
    <w:p>
      <w:pPr>
        <w:pageBreakBefore w:val="0"/>
        <w:widowControl/>
        <w:numPr>
          <w:ilvl w:val="0"/>
          <w:numId w:val="1"/>
        </w:numPr>
        <w:kinsoku/>
        <w:wordWrap/>
        <w:overflowPunct/>
        <w:topLinePunct w:val="0"/>
        <w:bidi w:val="0"/>
        <w:spacing w:line="312" w:lineRule="auto"/>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保安服务的主要职责</w:t>
      </w:r>
    </w:p>
    <w:p>
      <w:pPr>
        <w:pageBreakBefore w:val="0"/>
        <w:widowControl/>
        <w:kinsoku/>
        <w:wordWrap/>
        <w:overflowPunct/>
        <w:topLinePunct w:val="0"/>
        <w:bidi w:val="0"/>
        <w:spacing w:line="312" w:lineRule="auto"/>
        <w:ind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1.全面负责院区门卫管理和院内防火、防盗、治安巡逻，钱款押运，维持秩序，维护稳定，及时发现和消除安全隐患。</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2.在医院安全保卫部组织和领导下，做好医院内部治安综合治理、消防、**等安全工作，及时清理院内医托、号贩子及各类推销人员。</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3.配合医院安全保卫部及时受理医院内部的各类纠纷和治安案件，及时、正确处理院内的各类突发事件，提供安全力量支援。</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4.严格执行监控发出指令，及时查看火警、红外报警、紧急按钮等指令并回复查看结果。</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5.做好医院停车管理工作，及时处理相关纠纷。</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6.做好内部安全防范，严查四证：出院证、出门证、动火施工证、临时操作证，人员、物品无证不得出院（特殊情况经医院安全保卫部同意除外）；无证不得动火施工；外来人员无证不得作业。</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7.协助医院做好包干区环境卫生、垃圾分类、控烟等相关指令性工作。</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8.积极配合医院做好各时期重点、中心工作。</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9.抽调临时保安力量，做好医院重大活动安全保卫工作。</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10.配合公安机关，打击医院内部与周边的违法犯罪活动。</w:t>
      </w:r>
    </w:p>
    <w:p>
      <w:pPr>
        <w:pageBreakBefore w:val="0"/>
        <w:widowControl/>
        <w:kinsoku/>
        <w:wordWrap/>
        <w:overflowPunct/>
        <w:topLinePunct w:val="0"/>
        <w:bidi w:val="0"/>
        <w:spacing w:line="312" w:lineRule="auto"/>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（三）委托管理事项</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依照院方规定与管理要求，结合医院安全保卫工作实际情况，制订切实可行的医院安全保卫工作整体方案，开展专业化安全防范业务，具体管理事项如下：</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1.医院南大门门卫管理，急诊区域管理，传染病区管理，门诊区域管理，住院部区域管理，主楼病员电梯陪客管理，行政楼管理。医院停车道闸、门诊停车场、急诊停车场、南门停车场等管理。</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2.医院秩序的维护：包括负责门卫周边与广场的车辆指挥与停放；悬挂横幅、张贴物的管理；临时经营摊位置的管理等；</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3.医院内24小时定时定点治安巡逻检查，重点部位的定点守护； </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4.医院重大活动的安全警戒与秩序保障；配合做好重大事件的治安保卫工作；</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5.配合医院安全保卫部和相关科室处理各类纠纷和治安案件，配合医院对违规事件的调查，协助公安机关对案件的排查； </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6.医院突发事件处置、灾害预防、火灾扑救，发现和制止医院暴力事件，随时准备提供紧急救助； </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7.医院内部安全隐患检查、排除及上报；违规纠正；有针对性地开展安全教育和提示。</w:t>
      </w:r>
    </w:p>
    <w:p>
      <w:pPr>
        <w:pageBreakBefore w:val="0"/>
        <w:kinsoku/>
        <w:wordWrap/>
        <w:overflowPunct/>
        <w:topLinePunct w:val="0"/>
        <w:bidi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根据医院规定做好对机动车停车区域治安、防火巡查，严禁停车区域内吸烟或携带易燃易爆危险品进入；每月2次检查院内公共区域的消防设施，确保完好，检查有记录，有签名，有汇报；协助医院做好室外道路交通设施的日常维护管理，定期检查道路交通设施完好程度；定期参加医院、公司组织的治安、消防业务培训；发现有人擅自动用消防设施的，应及时制止并报告；发现火灾隐患，立即报告医院安全保卫部并设法消除；发生火情，能冷静处置，熟知火灾报警、人员疏散、组织扑救、抢救物资等应急处置要领；发现可疑人、可疑车辆及时报告上级或监控中心，记录人员、车辆特征，必要时协助公安机关调查。</w:t>
      </w:r>
    </w:p>
    <w:p>
      <w:pPr>
        <w:pageBreakBefore w:val="0"/>
        <w:widowControl/>
        <w:kinsoku/>
        <w:wordWrap/>
        <w:overflowPunct/>
        <w:topLinePunct w:val="0"/>
        <w:bidi w:val="0"/>
        <w:spacing w:line="312" w:lineRule="auto"/>
        <w:ind w:firstLine="480" w:firstLineChars="200"/>
        <w:jc w:val="left"/>
        <w:textAlignment w:val="auto"/>
        <w:rPr>
          <w:rFonts w:hint="eastAsia" w:ascii="宋体" w:hAnsi="宋体" w:eastAsia="宋体" w:cs="宋体"/>
          <w:color w:val="auto"/>
          <w:sz w:val="24"/>
          <w:szCs w:val="24"/>
          <w:highlight w:val="none"/>
        </w:rPr>
      </w:pPr>
    </w:p>
    <w:p>
      <w:pPr>
        <w:pageBreakBefore w:val="0"/>
        <w:widowControl/>
        <w:kinsoku/>
        <w:wordWrap/>
        <w:overflowPunct/>
        <w:topLinePunct w:val="0"/>
        <w:bidi w:val="0"/>
        <w:spacing w:line="312"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（四）项目管理要求</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1.质量目标要求</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（1）服务标准：</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《中华人民共和国**怖法》</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《企业、事业单位内部治安保卫工作条例》</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《浙江省平安医院考核标准》</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《嘉兴市第一医院保安人员考核处罚细则》</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浙江省和嘉兴市政府有关保安文明服务要求的规定</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三级甲等医院的保安服务标准</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（2）依托行业标准，根据院方管理规定与服务要求，制订切实可行的医院保安服务整体方案和应急预案，突发事件反应迅速，预案处置有力；</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（3）依法办事，文明值勤，严格管理，保障医院财产和工作人员人身不受侵害，维护正常的医疗秩序；</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（4）全年无责任事故和责任案件发生，对保安服务满意率在90%以上。</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2.服务要求</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（1）树立“服务第一，安全为先”的思想，切实维护医院的人身和财产安全。</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（2）管理坚持原则、慎密严谨；服务以人为本、主动热情；处理问题高度警惕、有理有节。</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（3）上岗人员仪表整洁，业务操作规范，礼貌待人，保持岗位卫生整洁。</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（4）严禁酒后上岗，嗜酒、赌博人员及坚守自盗人员一律退回公司，造成严重后果的承担相应赔偿与法律责任。</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（5）依法办事，文明执勤，不发生争吵，杜绝保安与医院工作人员发生冲突，不与服务对象发生冲突，做到打不还手、骂不还口。</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3.队伍建设与管理要求</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（1）投标人负责提供进驻保安人员值勤所需的装备、器材、通讯设备、常用办公耗材等（包括但不限于），具体要求见下表：</w:t>
      </w:r>
    </w:p>
    <w:tbl>
      <w:tblPr>
        <w:tblStyle w:val="19"/>
        <w:tblpPr w:leftFromText="180" w:rightFromText="180" w:vertAnchor="text" w:horzAnchor="page" w:tblpX="2030" w:tblpY="988"/>
        <w:tblOverlap w:val="never"/>
        <w:tblW w:w="0" w:type="auto"/>
        <w:tblInd w:w="0" w:type="dxa"/>
        <w:tblLayout w:type="fixed"/>
        <w:tblCellMar>
          <w:top w:w="0" w:type="dxa"/>
          <w:left w:w="108" w:type="dxa"/>
          <w:bottom w:w="0" w:type="dxa"/>
          <w:right w:w="108" w:type="dxa"/>
        </w:tblCellMar>
      </w:tblPr>
      <w:tblGrid>
        <w:gridCol w:w="1080"/>
        <w:gridCol w:w="2895"/>
        <w:gridCol w:w="1260"/>
        <w:gridCol w:w="2700"/>
      </w:tblGrid>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2895"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设备/器材名称</w:t>
            </w:r>
          </w:p>
        </w:tc>
        <w:tc>
          <w:tcPr>
            <w:tcW w:w="1260"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数量</w:t>
            </w:r>
          </w:p>
        </w:tc>
        <w:tc>
          <w:tcPr>
            <w:tcW w:w="2700"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钢盔</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　</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顶</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警绳</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　</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伸缩警棍</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套</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多功能分体式雨衣</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室外岗位</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套</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雨鞋</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室外岗位　</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小雨伞</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　</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把</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武装带</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条</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防刺服</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4</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套</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辣椒水喷射器</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防割手套</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100</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套</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移动对讲机</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各个岗位 </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强光电筒</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钝角钢叉</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副</w:t>
            </w:r>
          </w:p>
        </w:tc>
      </w:tr>
      <w:tr>
        <w:tblPrEx>
          <w:tblCellMar>
            <w:top w:w="0" w:type="dxa"/>
            <w:left w:w="108" w:type="dxa"/>
            <w:bottom w:w="0" w:type="dxa"/>
            <w:right w:w="108" w:type="dxa"/>
          </w:tblCellMar>
        </w:tblPrEx>
        <w:trPr>
          <w:trHeight w:val="454" w:hRule="atLeast"/>
        </w:trPr>
        <w:tc>
          <w:tcPr>
            <w:tcW w:w="108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2895"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w:t>
            </w:r>
          </w:p>
        </w:tc>
        <w:tc>
          <w:tcPr>
            <w:tcW w:w="12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待定　</w:t>
            </w:r>
          </w:p>
        </w:tc>
        <w:tc>
          <w:tcPr>
            <w:tcW w:w="270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12"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投标人根据工作来提出</w:t>
            </w:r>
          </w:p>
        </w:tc>
      </w:tr>
    </w:tbl>
    <w:p>
      <w:pPr>
        <w:pageBreakBefore w:val="0"/>
        <w:widowControl/>
        <w:kinsoku/>
        <w:wordWrap/>
        <w:overflowPunct/>
        <w:topLinePunct w:val="0"/>
        <w:bidi w:val="0"/>
        <w:spacing w:line="312" w:lineRule="auto"/>
        <w:jc w:val="left"/>
        <w:textAlignment w:val="auto"/>
        <w:rPr>
          <w:rFonts w:hint="eastAsia" w:ascii="宋体" w:hAnsi="宋体" w:eastAsia="宋体" w:cs="宋体"/>
          <w:color w:val="auto"/>
          <w:sz w:val="24"/>
          <w:szCs w:val="24"/>
          <w:highlight w:val="none"/>
          <w:lang w:val="zh-CN"/>
        </w:rPr>
      </w:pPr>
      <w:bookmarkStart w:id="125" w:name="_Toc467702154"/>
      <w:r>
        <w:rPr>
          <w:rFonts w:hint="eastAsia" w:ascii="宋体" w:hAnsi="宋体" w:eastAsia="宋体" w:cs="宋体"/>
          <w:color w:val="auto"/>
          <w:sz w:val="24"/>
          <w:szCs w:val="24"/>
          <w:highlight w:val="none"/>
          <w:lang w:val="zh-CN"/>
        </w:rPr>
        <w:t>注：上述装备费用包含在投标总价中。</w:t>
      </w:r>
      <w:bookmarkEnd w:id="125"/>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（2）从医院安全实际出发，每月开展一次在岗人员业务培训和应急预案演练。</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（3）内部管理体制健全，设立保安服务队长一名、副队长二名，全面负责日常保安队伍的规范化管理。</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必须采取切实有效措施保持保安队伍的稳定，严格控制非违纪人员轮换岗比例，合同期限内轮换岗保安人数不得超过合同编制的50%，并在投标书中作出承诺；保安队伍主要管理员更换，应提前一个月以书面形式通知采购人,其他队员更换要提前三天告知采购人；确保服务质量不因人员变动而受影响。</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（5）保安应聘、录用、离职等管理档案规范，手续齐全，队员花名册、身份证、上岗证等相应资料必须报医院安全保卫部备案。</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（6）投标人必须信守承包承诺，认真落实具有相应的固定服务人员，服务人员必须统一穿着工作服，挂牌上岗并建立健全的管理制度。</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（7）在服务期内承包人遇到医院各类检查（如上级部门来院检查等）及突发事件时，中标人应无条件加班，服从采购人安排。</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（8）中标人必须对员工发生的事故责任以及员工计生、身份、健康等承担责任；同时对员工在院内做出不良行为给医院造成影响承担责任。</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（9）公司的办公各类设施及费用、人员食宿、安全等均由中标人自行负责解决。</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（10）公司使用的对讲机必须与医院的（天翼）对讲机保持一致。</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4.人员要求</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（1）保安从业人员应知法，懂法，守法，依法办事，必须严格遵守保安从业规范，模范遵守医院安全管理规定，持证上岗。</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安队长及副队长应具备高中及以上文化程度，有较高的政治思想素养和业务水平，有较强的组织协调能力，受过专门的保安业务培训。能够积极配合医院完成相关突发事件的应急处置，采取有效措施预防在医院内的保安人员发生违法违规行为。</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保安人员个人素质条件：以高中文化程度（含职高）为主体，退伍军人为佳，除特别要求以外，年龄要求57周岁以下，身体健康，没有传染病及精神病等不能控制自己行为能力的疾病病史，体貌端正，没有犯罪记录。</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所聘用的保安人员有吃苦耐劳的精神和高度的责任感，受过专门岗前培训，熟知院方的管理规定，严格履行岗位职责，善于发现各类问题，具备一定的管理经验和处理突发所聘用的保安人员有吃苦耐劳的精神和高度的责任感，受过专门岗前培训，熟知院方的管理规定，严格履行岗位职责，善于发现各类问题，具备一定的管理经验和处理突发事件能力。 </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5.工作衔接要求</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（1）根据行业服务标准与医院规定要求，独立运作，落实医院安全保卫整体方案，并结合医院实际在实践中不断完善；</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（2）保安队长、副队长须与医院安全保卫部保持必要的工作交流，每周必须向医院安全保卫部口头汇报工作，每月向医院安全保卫部书面汇报所承担的保安工作开展情况及信息反馈，重大情况须及时报告；</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（3）做好详细的执勤记录，原始台帐保存完好，以备核查；</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（4）协同医院治安协防组织，形成群防群治体系；</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（5）与当地***、综治办加强合作与交流。</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（6）配合医院做好禁烟、垃圾分类及相关指令性工作。</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6.岗位工作职责要求：</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（1）保安服务队长</w:t>
      </w:r>
      <w:r>
        <w:rPr>
          <w:rFonts w:hint="eastAsia" w:ascii="宋体" w:hAnsi="宋体" w:eastAsia="宋体" w:cs="宋体"/>
          <w:color w:val="auto"/>
          <w:sz w:val="24"/>
          <w:szCs w:val="24"/>
          <w:highlight w:val="none"/>
        </w:rPr>
        <w:t>及副队长</w:t>
      </w:r>
      <w:r>
        <w:rPr>
          <w:rFonts w:hint="eastAsia" w:ascii="宋体" w:hAnsi="宋体" w:eastAsia="宋体" w:cs="宋体"/>
          <w:b/>
          <w:bCs/>
          <w:color w:val="auto"/>
          <w:sz w:val="24"/>
          <w:szCs w:val="24"/>
          <w:highlight w:val="none"/>
        </w:rPr>
        <w:t>：要求男性，年龄不大于50岁，</w:t>
      </w:r>
      <w:r>
        <w:rPr>
          <w:rFonts w:hint="eastAsia" w:ascii="宋体" w:hAnsi="宋体" w:eastAsia="宋体" w:cs="宋体"/>
          <w:color w:val="auto"/>
          <w:sz w:val="24"/>
          <w:szCs w:val="24"/>
          <w:highlight w:val="none"/>
        </w:rPr>
        <w:t>代表公司全面负责保安队伍的日常管理事务，严格保安队伍纪律管理，奖优罚劣；承担保安违规违纪的连带责任；实行人性化管理，关心队员疾苦，掌握队员的思想动态，充分调动队员积极性，努力保证队伍稳定；传达落实医院的服务要求与管理规定，组织实施并不断完善医院安全保卫整体方案；结合医院的发展实际情况，适时作出岗位调整，完善各岗位职责；有针对性地开展安全教育和提示；定期向医院安全保卫部汇报工作开展情况及治安信息，重大情况及时报告；配合院方对院内违规事件的处理；组织开展保安业务培训和预案演练，制订院内重大活动的安全保卫方案；建立健全录用保安人员档案资料。</w:t>
      </w:r>
    </w:p>
    <w:p>
      <w:pPr>
        <w:pageBreakBefore w:val="0"/>
        <w:kinsoku/>
        <w:wordWrap/>
        <w:overflowPunct/>
        <w:topLinePunct w:val="0"/>
        <w:bidi w:val="0"/>
        <w:spacing w:line="312" w:lineRule="auto"/>
        <w:ind w:firstLine="482" w:firstLineChars="200"/>
        <w:textAlignment w:val="auto"/>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u w:val="single"/>
        </w:rPr>
        <w:t>队长应具有类似项目经验，有协调能力，能适应医院要求，能进行良好沟通及密切配合。</w:t>
      </w:r>
    </w:p>
    <w:p>
      <w:pPr>
        <w:pageBreakBefore w:val="0"/>
        <w:kinsoku/>
        <w:wordWrap/>
        <w:overflowPunct/>
        <w:topLinePunct w:val="0"/>
        <w:bidi w:val="0"/>
        <w:spacing w:line="312" w:lineRule="auto"/>
        <w:ind w:firstLine="482" w:firstLineChars="200"/>
        <w:textAlignment w:val="auto"/>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u w:val="single"/>
        </w:rPr>
        <w:t>中标后，队长、副队长未经采购人同意不得随意更换，否则采购人有权在履约保证金和服务费用扣除相应的费用。</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（2）巡逻班、专职消防员、急诊抢救室、急诊门口岗位：发热门诊（一）、（二），8号楼东入口、8号楼一楼、门诊2楼岗位：人员要求男性，年龄不大于45岁，</w:t>
      </w:r>
      <w:r>
        <w:rPr>
          <w:rFonts w:hint="eastAsia" w:ascii="宋体" w:hAnsi="宋体" w:eastAsia="宋体" w:cs="宋体"/>
          <w:color w:val="auto"/>
          <w:sz w:val="24"/>
          <w:szCs w:val="24"/>
          <w:highlight w:val="none"/>
        </w:rPr>
        <w:t>以身作则、吃苦在先、讲求奉献；贯彻落实医院任务要求与保安队长的工作安排，组织实施医院安全保卫整体方案；负责保安的日常工作，参与保安值勤，增援重点岗位；处理各岗位的突发事件，重大情况及时报告；妥善保管好医院提供的设备器材，严格设备交接班制度；做好医院重大活动的安全保卫与秩序保障工作；将各岗位的执勤情况汇总记录。</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（3）门卫管理</w:t>
      </w:r>
      <w:r>
        <w:rPr>
          <w:rFonts w:hint="eastAsia" w:ascii="宋体" w:hAnsi="宋体" w:eastAsia="宋体" w:cs="宋体"/>
          <w:color w:val="auto"/>
          <w:sz w:val="24"/>
          <w:szCs w:val="24"/>
          <w:highlight w:val="none"/>
        </w:rPr>
        <w:t>：严格人员、车辆、物资进出管理；协助做好停车收费的相关工作；按时立岗，礼貌待人，树立良好的窗口形象；对携物出门实行出门证验审制度，防止财物流失；与各岗卫互通信息；值班室无闲杂人员滞留，保持室内外环境整洁卫生，门前卫生三包；完成医院交办的其他事项。</w:t>
      </w:r>
    </w:p>
    <w:p>
      <w:pPr>
        <w:pageBreakBefore w:val="0"/>
        <w:widowControl/>
        <w:kinsoku/>
        <w:wordWrap/>
        <w:overflowPunct/>
        <w:topLinePunct w:val="0"/>
        <w:bidi w:val="0"/>
        <w:spacing w:line="312" w:lineRule="auto"/>
        <w:ind w:firstLine="472" w:firstLineChars="196"/>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（4）车辆管理</w:t>
      </w:r>
      <w:r>
        <w:rPr>
          <w:rFonts w:hint="eastAsia" w:ascii="宋体" w:hAnsi="宋体" w:eastAsia="宋体" w:cs="宋体"/>
          <w:color w:val="auto"/>
          <w:sz w:val="24"/>
          <w:szCs w:val="24"/>
          <w:highlight w:val="none"/>
        </w:rPr>
        <w:t>：加强医院大门的管理，及时与门卫联系，控制好车辆进出，安全有序的指挥车辆的停放，严禁非120车辆停在120车泊位，确保120、119通道和院内道路畅通。根据医院要求控制车辆进出，认真履行停车收费工作。</w:t>
      </w:r>
    </w:p>
    <w:p>
      <w:pPr>
        <w:pageBreakBefore w:val="0"/>
        <w:widowControl/>
        <w:kinsoku/>
        <w:wordWrap/>
        <w:overflowPunct/>
        <w:topLinePunct w:val="0"/>
        <w:bidi w:val="0"/>
        <w:spacing w:line="312" w:lineRule="auto"/>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（5）区域守护</w:t>
      </w:r>
      <w:r>
        <w:rPr>
          <w:rFonts w:hint="eastAsia" w:ascii="宋体" w:hAnsi="宋体" w:eastAsia="宋体" w:cs="宋体"/>
          <w:color w:val="auto"/>
          <w:sz w:val="24"/>
          <w:szCs w:val="24"/>
          <w:highlight w:val="none"/>
        </w:rPr>
        <w:t>：熟悉守护区域的情况特点，定点守卫与区域巡查相结合；掌握消防栓、灭火器等安全设施的位置、性能和使用方法；听从班长工作安排与指挥调度，及时处置突发事件；维护责任区域公共秩序，发现可疑人员主动盘问，发现违规行为，大胆管理，主动干预，发现异常及安全隐患，立即采取措施并报告，制止暴力事件，有效处置各种违法犯罪行为；保持岗亭卫生整洁，无闲杂人员滞留。</w:t>
      </w:r>
    </w:p>
    <w:p>
      <w:pPr>
        <w:pageBreakBefore w:val="0"/>
        <w:widowControl/>
        <w:kinsoku/>
        <w:wordWrap/>
        <w:overflowPunct/>
        <w:topLinePunct w:val="0"/>
        <w:bidi w:val="0"/>
        <w:spacing w:line="312" w:lineRule="auto"/>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（6）机动巡逻</w:t>
      </w:r>
      <w:r>
        <w:rPr>
          <w:rFonts w:hint="eastAsia" w:ascii="宋体" w:hAnsi="宋体" w:eastAsia="宋体" w:cs="宋体"/>
          <w:color w:val="auto"/>
          <w:sz w:val="24"/>
          <w:szCs w:val="24"/>
          <w:highlight w:val="none"/>
        </w:rPr>
        <w:t>：发现和排除各种不安全因素，及时处置各种违法犯罪行为；听从班长工作安排与指挥调度，善于发现、分析处理各种事故隐患和突发事件；根据不同情况，灵活执行相应的巡逻方案；加强对重点区域、要害部位的安全巡查，巡更采点不流于形式，并与监控室保持联动；协助各岗位开展医院秩序维护和交通秩序管理工作；开展安全防范；如实记录汇报巡逻记录。</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（7）消防管理</w:t>
      </w:r>
      <w:r>
        <w:rPr>
          <w:rFonts w:hint="eastAsia" w:ascii="宋体" w:hAnsi="宋体" w:eastAsia="宋体" w:cs="宋体"/>
          <w:color w:val="auto"/>
          <w:sz w:val="24"/>
          <w:szCs w:val="24"/>
          <w:highlight w:val="none"/>
        </w:rPr>
        <w:t>：每2周检查记录院内公共部位的消防设施，确保完好。协助医院做好室外设施的日常维护；建立托管消防器材的台帐记录，定期检查器材完好程度和有效期限；经常性开展消防业务培训，制定完善的预案并演练，使每一个保安人员能胜任医院义务消防员的角色；发现有人擅自动用消防设施的，应及时制止并报告；发现火灾隐患，立即报告医院安全保卫部并设法消除；发生火警，能冷静处置，按预案进行火灾报警、人员疏散、组织扑救、抢救物资等工作。消控岗位人员必须具备《消防控制室人员培训合格证》。</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w:t>
      </w:r>
      <w:r>
        <w:rPr>
          <w:rFonts w:hint="eastAsia" w:ascii="宋体" w:hAnsi="宋体" w:eastAsia="宋体" w:cs="宋体"/>
          <w:b/>
          <w:color w:val="auto"/>
          <w:sz w:val="24"/>
          <w:szCs w:val="24"/>
          <w:highlight w:val="none"/>
          <w:u w:val="single"/>
        </w:rPr>
        <w:t xml:space="preserve"> 中标单位具有良好的人员保障机制，因队员辞职或辞退，须在5个工作日内补充。一旦有缺岗情况，甲方有权终止合同，并双倍扣除缺编人员服务费。</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（9）解款押运：</w:t>
      </w:r>
      <w:r>
        <w:rPr>
          <w:rFonts w:hint="eastAsia" w:ascii="宋体" w:hAnsi="宋体" w:eastAsia="宋体" w:cs="宋体"/>
          <w:color w:val="auto"/>
          <w:sz w:val="24"/>
          <w:szCs w:val="24"/>
          <w:highlight w:val="none"/>
        </w:rPr>
        <w:t>负责每天押运解款到银行的任务。</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（10）临时用工：</w:t>
      </w:r>
      <w:r>
        <w:rPr>
          <w:rFonts w:hint="eastAsia" w:ascii="宋体" w:hAnsi="宋体" w:eastAsia="宋体" w:cs="宋体"/>
          <w:color w:val="auto"/>
          <w:sz w:val="24"/>
          <w:szCs w:val="24"/>
          <w:highlight w:val="none"/>
        </w:rPr>
        <w:t>根据突发事件状况，决定临时用工，负责医院突发事件处置、灾害预防、火灾扑救，发现和制止医院暴力事件，随时准备提供紧急救助。</w:t>
      </w:r>
    </w:p>
    <w:p>
      <w:pPr>
        <w:pageBreakBefore w:val="0"/>
        <w:widowControl/>
        <w:kinsoku/>
        <w:wordWrap/>
        <w:overflowPunct/>
        <w:topLinePunct w:val="0"/>
        <w:bidi w:val="0"/>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7.院区保安人员岗位配置</w:t>
      </w:r>
    </w:p>
    <w:tbl>
      <w:tblPr>
        <w:tblStyle w:val="19"/>
        <w:tblW w:w="9204" w:type="dxa"/>
        <w:tblInd w:w="0" w:type="dxa"/>
        <w:tblLayout w:type="fixed"/>
        <w:tblCellMar>
          <w:top w:w="0" w:type="dxa"/>
          <w:left w:w="108" w:type="dxa"/>
          <w:bottom w:w="0" w:type="dxa"/>
          <w:right w:w="108" w:type="dxa"/>
        </w:tblCellMar>
      </w:tblPr>
      <w:tblGrid>
        <w:gridCol w:w="679"/>
        <w:gridCol w:w="1675"/>
        <w:gridCol w:w="1667"/>
        <w:gridCol w:w="1198"/>
        <w:gridCol w:w="1329"/>
        <w:gridCol w:w="1920"/>
        <w:gridCol w:w="736"/>
      </w:tblGrid>
      <w:tr>
        <w:tblPrEx>
          <w:tblCellMar>
            <w:top w:w="0" w:type="dxa"/>
            <w:left w:w="108" w:type="dxa"/>
            <w:bottom w:w="0" w:type="dxa"/>
            <w:right w:w="108" w:type="dxa"/>
          </w:tblCellMar>
        </w:tblPrEx>
        <w:trPr>
          <w:trHeight w:val="300" w:hRule="atLeast"/>
        </w:trPr>
        <w:tc>
          <w:tcPr>
            <w:tcW w:w="679"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1675"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岗位地点</w:t>
            </w:r>
          </w:p>
        </w:tc>
        <w:tc>
          <w:tcPr>
            <w:tcW w:w="166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工作时间</w:t>
            </w:r>
          </w:p>
        </w:tc>
        <w:tc>
          <w:tcPr>
            <w:tcW w:w="1198"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工作时长(小时）</w:t>
            </w:r>
          </w:p>
        </w:tc>
        <w:tc>
          <w:tcPr>
            <w:tcW w:w="1329"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总工作时长(小时/天)</w:t>
            </w:r>
          </w:p>
        </w:tc>
        <w:tc>
          <w:tcPr>
            <w:tcW w:w="192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工作内容</w:t>
            </w:r>
          </w:p>
        </w:tc>
        <w:tc>
          <w:tcPr>
            <w:tcW w:w="736"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价格</w:t>
            </w: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住院部区域1</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6：30-11：30</w:t>
            </w:r>
          </w:p>
          <w:p>
            <w:pPr>
              <w:pStyle w:val="18"/>
              <w:ind w:left="0" w:leftChars="0" w:firstLine="0" w:firstLineChars="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12:00-17：00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住院部门口区域停车管理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住院部区域2</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7：00-12：00</w:t>
            </w:r>
          </w:p>
          <w:p>
            <w:pPr>
              <w:pStyle w:val="18"/>
              <w:ind w:left="0" w:leftChars="0" w:firstLine="0" w:firstLineChars="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12:30-18:30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住院部门口区域停车管理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住院部区域3</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6：30-11：30</w:t>
            </w:r>
          </w:p>
          <w:p>
            <w:pPr>
              <w:pStyle w:val="18"/>
              <w:ind w:left="0" w:leftChars="0" w:firstLine="0" w:firstLineChars="0"/>
              <w:rPr>
                <w:rFonts w:hint="eastAsia" w:ascii="宋体" w:hAnsi="宋体" w:eastAsia="宋体" w:cs="宋体"/>
                <w:color w:val="auto"/>
                <w:highlight w:val="none"/>
                <w:lang w:bidi="ar"/>
              </w:rPr>
            </w:pP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住院部门口区域停车管理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523"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lang w:bidi="ar"/>
              </w:rPr>
              <w:t>南门停车场1</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highlight w:val="none"/>
                <w:lang w:bidi="ar"/>
              </w:rPr>
            </w:pPr>
            <w:r>
              <w:rPr>
                <w:rFonts w:hint="eastAsia" w:ascii="宋体" w:hAnsi="宋体" w:eastAsia="宋体" w:cs="宋体"/>
                <w:bCs/>
                <w:color w:val="auto"/>
                <w:kern w:val="0"/>
                <w:sz w:val="24"/>
                <w:highlight w:val="none"/>
                <w:lang w:bidi="ar"/>
              </w:rPr>
              <w:t>7：30-12：30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lang w:bidi="ar"/>
              </w:rPr>
              <w:t>南门停车场2</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bCs/>
                <w:color w:val="auto"/>
                <w:kern w:val="0"/>
                <w:sz w:val="24"/>
                <w:highlight w:val="none"/>
                <w:lang w:bidi="ar"/>
              </w:rPr>
            </w:pPr>
            <w:r>
              <w:rPr>
                <w:rFonts w:hint="eastAsia" w:ascii="宋体" w:hAnsi="宋体" w:eastAsia="宋体" w:cs="宋体"/>
                <w:bCs/>
                <w:color w:val="auto"/>
                <w:kern w:val="0"/>
                <w:sz w:val="24"/>
                <w:highlight w:val="none"/>
                <w:lang w:bidi="ar"/>
              </w:rPr>
              <w:t>7:30-11：30</w:t>
            </w:r>
          </w:p>
          <w:p>
            <w:pPr>
              <w:pStyle w:val="18"/>
              <w:ind w:left="0" w:leftChars="0" w:firstLine="0" w:firstLineChars="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12:00-17:00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lang w:bidi="ar"/>
              </w:rPr>
              <w:t>门诊前停车场1</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bCs/>
                <w:color w:val="auto"/>
                <w:kern w:val="0"/>
                <w:sz w:val="24"/>
                <w:highlight w:val="none"/>
                <w:lang w:bidi="ar"/>
              </w:rPr>
            </w:pPr>
            <w:r>
              <w:rPr>
                <w:rFonts w:hint="eastAsia" w:ascii="宋体" w:hAnsi="宋体" w:eastAsia="宋体" w:cs="宋体"/>
                <w:bCs/>
                <w:color w:val="auto"/>
                <w:kern w:val="0"/>
                <w:sz w:val="24"/>
                <w:highlight w:val="none"/>
                <w:lang w:bidi="ar"/>
              </w:rPr>
              <w:t>7：30-12：30</w:t>
            </w:r>
          </w:p>
          <w:p>
            <w:pPr>
              <w:pStyle w:val="18"/>
              <w:ind w:left="0" w:leftChars="0" w:firstLine="0" w:firstLineChars="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13:00-16:00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lang w:bidi="ar"/>
              </w:rPr>
              <w:t>门诊前停车场2</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bCs/>
                <w:color w:val="auto"/>
                <w:kern w:val="0"/>
                <w:sz w:val="24"/>
                <w:highlight w:val="none"/>
                <w:lang w:bidi="ar"/>
              </w:rPr>
            </w:pPr>
            <w:r>
              <w:rPr>
                <w:rFonts w:hint="eastAsia" w:ascii="宋体" w:hAnsi="宋体" w:eastAsia="宋体" w:cs="宋体"/>
                <w:bCs/>
                <w:color w:val="auto"/>
                <w:kern w:val="0"/>
                <w:sz w:val="24"/>
                <w:highlight w:val="none"/>
                <w:lang w:bidi="ar"/>
              </w:rPr>
              <w:t>7：30-11：30</w:t>
            </w:r>
          </w:p>
          <w:p>
            <w:pPr>
              <w:pStyle w:val="18"/>
              <w:ind w:left="0" w:leftChars="0" w:firstLine="0" w:firstLineChars="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12:30-16:00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门诊停车场1</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bCs/>
                <w:color w:val="auto"/>
                <w:kern w:val="0"/>
                <w:sz w:val="24"/>
                <w:highlight w:val="none"/>
                <w:lang w:bidi="ar"/>
              </w:rPr>
            </w:pPr>
            <w:r>
              <w:rPr>
                <w:rFonts w:hint="eastAsia" w:ascii="宋体" w:hAnsi="宋体" w:eastAsia="宋体" w:cs="宋体"/>
                <w:bCs/>
                <w:color w:val="auto"/>
                <w:kern w:val="0"/>
                <w:sz w:val="24"/>
                <w:highlight w:val="none"/>
                <w:lang w:bidi="ar"/>
              </w:rPr>
              <w:t>7：30-12：30</w:t>
            </w:r>
          </w:p>
          <w:p>
            <w:pPr>
              <w:widowControl/>
              <w:jc w:val="center"/>
              <w:textAlignment w:val="center"/>
              <w:rPr>
                <w:rFonts w:hint="eastAsia" w:ascii="宋体" w:hAnsi="宋体" w:eastAsia="宋体" w:cs="宋体"/>
                <w:bCs/>
                <w:color w:val="auto"/>
                <w:sz w:val="24"/>
                <w:highlight w:val="none"/>
              </w:rPr>
            </w:pPr>
            <w:r>
              <w:rPr>
                <w:rFonts w:hint="eastAsia" w:ascii="宋体" w:hAnsi="宋体" w:eastAsia="宋体" w:cs="宋体"/>
                <w:color w:val="auto"/>
                <w:sz w:val="24"/>
                <w:highlight w:val="none"/>
                <w:lang w:bidi="ar"/>
              </w:rPr>
              <w:t>13:00-16:00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门诊停车场2</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bCs/>
                <w:color w:val="auto"/>
                <w:kern w:val="0"/>
                <w:sz w:val="24"/>
                <w:highlight w:val="none"/>
                <w:lang w:bidi="ar"/>
              </w:rPr>
            </w:pPr>
            <w:r>
              <w:rPr>
                <w:rFonts w:hint="eastAsia" w:ascii="宋体" w:hAnsi="宋体" w:eastAsia="宋体" w:cs="宋体"/>
                <w:bCs/>
                <w:color w:val="auto"/>
                <w:kern w:val="0"/>
                <w:sz w:val="24"/>
                <w:highlight w:val="none"/>
                <w:lang w:bidi="ar"/>
              </w:rPr>
              <w:t>7：30-12：30</w:t>
            </w:r>
          </w:p>
          <w:p>
            <w:pPr>
              <w:widowControl/>
              <w:jc w:val="center"/>
              <w:textAlignment w:val="center"/>
              <w:rPr>
                <w:rFonts w:hint="eastAsia" w:ascii="宋体" w:hAnsi="宋体" w:eastAsia="宋体" w:cs="宋体"/>
                <w:bCs/>
                <w:color w:val="auto"/>
                <w:sz w:val="24"/>
                <w:highlight w:val="none"/>
              </w:rPr>
            </w:pPr>
            <w:r>
              <w:rPr>
                <w:rFonts w:hint="eastAsia" w:ascii="宋体" w:hAnsi="宋体" w:eastAsia="宋体" w:cs="宋体"/>
                <w:color w:val="auto"/>
                <w:sz w:val="24"/>
                <w:highlight w:val="none"/>
                <w:lang w:bidi="ar"/>
              </w:rPr>
              <w:t>13:00-16:00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门诊东掉头处</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bCs/>
                <w:color w:val="auto"/>
                <w:kern w:val="0"/>
                <w:sz w:val="24"/>
                <w:highlight w:val="none"/>
                <w:lang w:bidi="ar"/>
              </w:rPr>
            </w:pPr>
            <w:r>
              <w:rPr>
                <w:rFonts w:hint="eastAsia" w:ascii="宋体" w:hAnsi="宋体" w:eastAsia="宋体" w:cs="宋体"/>
                <w:bCs/>
                <w:color w:val="auto"/>
                <w:kern w:val="0"/>
                <w:sz w:val="24"/>
                <w:highlight w:val="none"/>
                <w:lang w:bidi="ar"/>
              </w:rPr>
              <w:t>7：30-12：30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bidi="ar"/>
              </w:rPr>
              <w:t>13:00-16:00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路面交通管理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急诊前停车场</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7:00-12:00</w:t>
            </w:r>
          </w:p>
          <w:p>
            <w:pPr>
              <w:widowControl/>
              <w:jc w:val="center"/>
              <w:textAlignment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lang w:bidi="ar"/>
              </w:rPr>
              <w:t>12:30-17:30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急诊停车场1</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7:00-12:00</w:t>
            </w:r>
          </w:p>
          <w:p>
            <w:pPr>
              <w:pStyle w:val="18"/>
              <w:ind w:left="0" w:leftChars="0" w:firstLine="0" w:firstLineChars="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12:30-17:30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14</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急诊停车场2</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7:00-12:00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bidi="ar"/>
              </w:rPr>
              <w:t>12:30-16:30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5号楼北停车场</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7:30-12:30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16</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地下车库2号通道前</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7：00-16：00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17</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6号楼西</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7:00-16:00</w:t>
            </w:r>
          </w:p>
        </w:tc>
        <w:tc>
          <w:tcPr>
            <w:tcW w:w="1198" w:type="dxa"/>
            <w:tcBorders>
              <w:top w:val="nil"/>
              <w:left w:val="nil"/>
              <w:bottom w:val="single" w:color="000000" w:sz="8" w:space="0"/>
              <w:right w:val="single" w:color="000000" w:sz="8" w:space="0"/>
            </w:tcBorders>
            <w:noWrap/>
            <w:vAlign w:val="center"/>
          </w:tcPr>
          <w:p>
            <w:pPr>
              <w:widowControl/>
              <w:ind w:firstLine="480" w:firstLineChars="200"/>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18</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6号楼东</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7:00-16:00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19</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北大门</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7:30-16:30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路面交通管理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20</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门诊前道路</w:t>
            </w:r>
          </w:p>
        </w:tc>
        <w:tc>
          <w:tcPr>
            <w:tcW w:w="1667" w:type="dxa"/>
            <w:tcBorders>
              <w:top w:val="nil"/>
              <w:left w:val="nil"/>
              <w:bottom w:val="single" w:color="000000" w:sz="8" w:space="0"/>
              <w:right w:val="single" w:color="000000" w:sz="8" w:space="0"/>
            </w:tcBorders>
            <w:noWrap/>
            <w:vAlign w:val="center"/>
          </w:tcPr>
          <w:p>
            <w:pPr>
              <w:pStyle w:val="18"/>
              <w:ind w:left="0" w:leftChars="0" w:firstLine="120" w:firstLineChars="5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7:30-15:30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路面交通管理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21</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急诊掉头处</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7:30-15:30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路面交通管理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22</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发热一区域 </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7:30-11:30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highlight w:val="none"/>
                <w:lang w:bidi="ar"/>
              </w:rPr>
              <w:t>12:00-16:00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路面交通管理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23</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住院部交叉口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7:00-17:00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路面交通管理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7号楼交叉口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7:00-16:00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路面交通管理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南门卫室</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停车管理及交通管理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26</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行政楼一楼(外面岗亭）</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7:00-11:30</w:t>
            </w:r>
          </w:p>
          <w:p>
            <w:pPr>
              <w:pStyle w:val="18"/>
              <w:ind w:left="0" w:leftChars="0" w:firstLine="0" w:firstLineChars="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12:00-16:30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停车管理及路面交通管理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27</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7:00-10:00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提醒打开行程码</w:t>
            </w:r>
          </w:p>
        </w:tc>
        <w:tc>
          <w:tcPr>
            <w:tcW w:w="736" w:type="dxa"/>
            <w:vMerge w:val="restart"/>
            <w:tcBorders>
              <w:top w:val="nil"/>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1/2岗位可为女性</w:t>
            </w: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28</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7:00-10:00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提醒打开行程码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29</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7:00-11:30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筛查</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55"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30</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7:00-10:30;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11:30-16:30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筛查</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31</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7:00-10:30;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11:30-15:30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查验行程码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32</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7:00-10:30;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11:30-15:30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查验行程码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33</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7:00-11:30;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13:00-17:30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查验行程码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7:00-11:30;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13:00-16:30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查验行程码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35</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门诊安检员</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7:00-10:30;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11:30-15:30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安检员</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36</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门诊安检员</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7:00-11:30;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13:00-17:30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安检员</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37</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7:00-10:30;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11:30-15:30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测体温</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7:00-11:30;</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13:00-17:30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测体温</w:t>
            </w:r>
          </w:p>
        </w:tc>
        <w:tc>
          <w:tcPr>
            <w:tcW w:w="736" w:type="dxa"/>
            <w:vMerge w:val="continue"/>
            <w:tcBorders>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39</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7:00-17:30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出口通道</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40</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门诊3楼</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7:00-18:00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维持就诊秩序（门诊4-5楼开关门</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41</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门诊2楼</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7:00-18:00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11</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11</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维持就诊秩序（门诊2-3楼开关门）</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42</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内镜室大厅</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7:30-11:30；</w:t>
            </w:r>
          </w:p>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13：30-16：30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43</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超声科大厅</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7:30-10：30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44</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社会核酸采样点</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b/>
                <w:bCs/>
                <w:color w:val="auto"/>
                <w:kern w:val="0"/>
                <w:sz w:val="24"/>
                <w:highlight w:val="none"/>
                <w:lang w:bidi="ar"/>
              </w:rPr>
            </w:pPr>
            <w:r>
              <w:rPr>
                <w:rFonts w:hint="eastAsia" w:ascii="宋体" w:hAnsi="宋体" w:eastAsia="宋体" w:cs="宋体"/>
                <w:color w:val="auto"/>
                <w:kern w:val="0"/>
                <w:sz w:val="24"/>
                <w:highlight w:val="none"/>
                <w:lang w:bidi="ar"/>
              </w:rPr>
              <w:t>7：30-20：00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12.5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12.5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45</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急诊CT</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8：00-11：30；12：30-20：00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46</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ICU及手术病人家属等候区</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6：30-18：30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47</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嘉兴市卫生健康委</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8:00-12:00  14:00-18；00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行政班</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48</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门诊急诊通道</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6:30-18:30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进出人员管理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49</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急诊安检员</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急诊出口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51</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急诊门口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看行程码</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52</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急诊门口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筛查</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53</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急诊抢救室</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54</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南大门</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8:00-21:00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restart"/>
            <w:tcBorders>
              <w:top w:val="nil"/>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1/2岗位可为女性</w:t>
            </w: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55</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南大门</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8:00-21:00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56</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南大门</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8:00-21:00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57</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北大门</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8:00-21:00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58</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北大门</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8:00-21:00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59</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北大门</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8:00-21:00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60</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北大门</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8:00-21:00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continue"/>
            <w:tcBorders>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61</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住院部一楼</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7:00-20:00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筛查</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62</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住院部一楼</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7:00-20:00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看行程码</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63</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住院部安检员</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7:00-20:00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安检</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64</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住院部一楼8部电梯</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6:30-21:30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代送物品</w:t>
            </w:r>
          </w:p>
        </w:tc>
        <w:tc>
          <w:tcPr>
            <w:tcW w:w="736" w:type="dxa"/>
            <w:vMerge w:val="restart"/>
            <w:tcBorders>
              <w:top w:val="nil"/>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1/2岗位可以为女性</w:t>
            </w: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65</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住院部一楼8部电梯</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6:30-21:30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66</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住院部一楼8部电梯</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6:30-21:30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67</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住院部一楼8部电梯</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6:30-21:30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68</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住院部二楼8部电梯</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7:00-20:00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continue"/>
            <w:tcBorders>
              <w:left w:val="nil"/>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69</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住院部二楼8部电梯</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7:00-20:00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测温看码</w:t>
            </w:r>
          </w:p>
        </w:tc>
        <w:tc>
          <w:tcPr>
            <w:tcW w:w="736" w:type="dxa"/>
            <w:vMerge w:val="continue"/>
            <w:tcBorders>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70</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行政楼一楼</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7:30-11:30</w:t>
            </w:r>
          </w:p>
          <w:p>
            <w:pPr>
              <w:pStyle w:val="18"/>
              <w:ind w:left="0" w:leftChars="0" w:firstLine="0" w:firstLineChars="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13:30-17:30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8</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8</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测温看码</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周一至周五上班</w:t>
            </w: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71</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发热门诊（一）</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72</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发热门诊（</w:t>
            </w:r>
            <w:r>
              <w:rPr>
                <w:rStyle w:val="38"/>
                <w:rFonts w:hint="eastAsia" w:ascii="宋体" w:hAnsi="宋体" w:eastAsia="宋体" w:cs="宋体"/>
                <w:color w:val="auto"/>
                <w:highlight w:val="none"/>
              </w:rPr>
              <w:t>二</w:t>
            </w:r>
            <w:r>
              <w:rPr>
                <w:rStyle w:val="38"/>
                <w:rFonts w:hint="eastAsia" w:ascii="宋体" w:hAnsi="宋体" w:eastAsia="宋体" w:cs="宋体"/>
                <w:color w:val="auto"/>
                <w:sz w:val="24"/>
                <w:szCs w:val="24"/>
                <w:highlight w:val="none"/>
                <w:lang w:bidi="ar"/>
              </w:rPr>
              <w:t>）</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73</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八号楼东入口</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74</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八号楼一楼东</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维持就诊秩序</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75</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地下车库</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停车管理及交通管理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76</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院内巡逻班，8小时一班，每班4人</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全天</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96</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维持就诊秩序及处理突发事件</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77</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安保队长</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7:00-17:00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负责全面管理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78</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安保副队长</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7:00-17:00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负责交通管理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79</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安保副队长</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7:00-17:00</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负责治安管理</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00" w:hRule="atLeast"/>
        </w:trPr>
        <w:tc>
          <w:tcPr>
            <w:tcW w:w="67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80</w:t>
            </w: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专职消防员，每班2人</w:t>
            </w: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17:00-8:00</w:t>
            </w:r>
          </w:p>
        </w:tc>
        <w:tc>
          <w:tcPr>
            <w:tcW w:w="1198" w:type="dxa"/>
            <w:tcBorders>
              <w:top w:val="nil"/>
              <w:left w:val="nil"/>
              <w:bottom w:val="single" w:color="000000" w:sz="8" w:space="0"/>
              <w:right w:val="single" w:color="000000" w:sz="8" w:space="0"/>
            </w:tcBorders>
            <w:noWrap/>
            <w:vAlign w:val="center"/>
          </w:tcPr>
          <w:p>
            <w:pPr>
              <w:widowControl/>
              <w:ind w:firstLine="360" w:firstLineChars="150"/>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30</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处理消防事件</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93" w:hRule="atLeast"/>
        </w:trPr>
        <w:tc>
          <w:tcPr>
            <w:tcW w:w="679" w:type="dxa"/>
            <w:tcBorders>
              <w:top w:val="nil"/>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color w:val="auto"/>
                <w:sz w:val="24"/>
                <w:highlight w:val="none"/>
              </w:rPr>
            </w:pPr>
          </w:p>
        </w:tc>
        <w:tc>
          <w:tcPr>
            <w:tcW w:w="167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p>
        </w:tc>
        <w:tc>
          <w:tcPr>
            <w:tcW w:w="1667"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合计</w:t>
            </w:r>
          </w:p>
        </w:tc>
        <w:tc>
          <w:tcPr>
            <w:tcW w:w="1198"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929</w:t>
            </w:r>
          </w:p>
        </w:tc>
        <w:tc>
          <w:tcPr>
            <w:tcW w:w="1329"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1032</w:t>
            </w:r>
          </w:p>
        </w:tc>
        <w:tc>
          <w:tcPr>
            <w:tcW w:w="1920"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总价</w:t>
            </w:r>
          </w:p>
        </w:tc>
        <w:tc>
          <w:tcPr>
            <w:tcW w:w="736"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16"/>
                <w:szCs w:val="16"/>
                <w:highlight w:val="none"/>
              </w:rPr>
            </w:pPr>
          </w:p>
        </w:tc>
      </w:tr>
    </w:tbl>
    <w:p>
      <w:pPr>
        <w:pageBreakBefore w:val="0"/>
        <w:kinsoku/>
        <w:wordWrap/>
        <w:overflowPunct/>
        <w:topLinePunct w:val="0"/>
        <w:autoSpaceDE/>
        <w:autoSpaceDN/>
        <w:bidi w:val="0"/>
        <w:snapToGrid/>
        <w:spacing w:line="312" w:lineRule="auto"/>
        <w:ind w:firstLine="482"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8.上表岗位均除了已经有性别备注比例说明和已有年龄要求外，其余均为男性、年龄不能大于57周岁，女性年龄不能大于55岁，每个岗位保安人员周工作时间不能超过国家法定要求。</w:t>
      </w:r>
    </w:p>
    <w:p>
      <w:pPr>
        <w:pageBreakBefore w:val="0"/>
        <w:kinsoku/>
        <w:wordWrap/>
        <w:overflowPunct/>
        <w:topLinePunct w:val="0"/>
        <w:autoSpaceDE/>
        <w:autoSpaceDN/>
        <w:bidi w:val="0"/>
        <w:snapToGrid/>
        <w:spacing w:line="312" w:lineRule="auto"/>
        <w:ind w:firstLine="482"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9.代理甲方内保服务费管理和代发内保工资。</w:t>
      </w:r>
    </w:p>
    <w:p>
      <w:pPr>
        <w:pStyle w:val="18"/>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sz w:val="24"/>
          <w:szCs w:val="24"/>
          <w:highlight w:val="none"/>
        </w:rPr>
      </w:pPr>
    </w:p>
    <w:p>
      <w:pPr>
        <w:pStyle w:val="3"/>
        <w:pageBreakBefore w:val="0"/>
        <w:kinsoku/>
        <w:wordWrap/>
        <w:overflowPunct/>
        <w:topLinePunct w:val="0"/>
        <w:autoSpaceDE/>
        <w:autoSpaceDN/>
        <w:bidi w:val="0"/>
        <w:snapToGrid/>
        <w:spacing w:before="0" w:after="0" w:line="312" w:lineRule="auto"/>
        <w:textAlignment w:val="auto"/>
        <w:rPr>
          <w:rFonts w:hint="eastAsia" w:ascii="宋体" w:hAnsi="宋体" w:eastAsia="宋体" w:cs="宋体"/>
          <w:color w:val="auto"/>
          <w:sz w:val="24"/>
          <w:szCs w:val="24"/>
          <w:highlight w:val="none"/>
        </w:rPr>
      </w:pPr>
      <w:bookmarkStart w:id="126" w:name="_Toc3327"/>
      <w:bookmarkStart w:id="127" w:name="_Toc467702155"/>
      <w:bookmarkStart w:id="128" w:name="_Toc14891"/>
      <w:bookmarkStart w:id="129" w:name="_Toc30087"/>
      <w:bookmarkStart w:id="130" w:name="_Toc18108"/>
      <w:r>
        <w:rPr>
          <w:rFonts w:hint="eastAsia" w:ascii="宋体" w:hAnsi="宋体" w:eastAsia="宋体" w:cs="宋体"/>
          <w:color w:val="auto"/>
          <w:sz w:val="24"/>
          <w:szCs w:val="24"/>
          <w:highlight w:val="none"/>
        </w:rPr>
        <w:t>五、合同服务年限</w:t>
      </w:r>
      <w:bookmarkEnd w:id="126"/>
      <w:bookmarkEnd w:id="127"/>
      <w:bookmarkEnd w:id="128"/>
      <w:bookmarkEnd w:id="129"/>
      <w:bookmarkEnd w:id="130"/>
    </w:p>
    <w:p>
      <w:pPr>
        <w:pageBreakBefore w:val="0"/>
        <w:kinsoku/>
        <w:wordWrap/>
        <w:overflowPunct/>
        <w:topLinePunct w:val="0"/>
        <w:autoSpaceDE/>
        <w:autoSpaceDN/>
        <w:bidi w:val="0"/>
        <w:snapToGrid/>
        <w:spacing w:line="312" w:lineRule="auto"/>
        <w:ind w:firstLine="482" w:firstLineChars="200"/>
        <w:textAlignment w:val="auto"/>
        <w:rPr>
          <w:rFonts w:hint="eastAsia" w:ascii="宋体" w:hAnsi="宋体" w:eastAsia="宋体" w:cs="宋体"/>
          <w:color w:val="auto"/>
          <w:sz w:val="24"/>
          <w:szCs w:val="24"/>
          <w:highlight w:val="none"/>
        </w:rPr>
      </w:pPr>
      <w:bookmarkStart w:id="131" w:name="_Toc467702156"/>
      <w:r>
        <w:rPr>
          <w:rFonts w:hint="eastAsia" w:ascii="宋体" w:hAnsi="宋体" w:eastAsia="宋体" w:cs="宋体"/>
          <w:b/>
          <w:color w:val="auto"/>
          <w:sz w:val="24"/>
          <w:szCs w:val="24"/>
          <w:highlight w:val="none"/>
        </w:rPr>
        <w:t>合同签订后一年，其中前三个月（包括在一年中）为试用期，试用期满经采购人考核合格后，合同方为有效。下一年度经采购人考核合格后可续签一年。</w:t>
      </w:r>
    </w:p>
    <w:p>
      <w:pPr>
        <w:pStyle w:val="18"/>
        <w:pageBreakBefore w:val="0"/>
        <w:kinsoku/>
        <w:wordWrap/>
        <w:overflowPunct/>
        <w:topLinePunct w:val="0"/>
        <w:autoSpaceDE/>
        <w:autoSpaceDN/>
        <w:bidi w:val="0"/>
        <w:snapToGrid/>
        <w:spacing w:line="312" w:lineRule="auto"/>
        <w:ind w:firstLine="480"/>
        <w:textAlignment w:val="auto"/>
        <w:rPr>
          <w:rFonts w:hint="eastAsia" w:ascii="宋体" w:hAnsi="宋体" w:eastAsia="宋体" w:cs="宋体"/>
          <w:color w:val="auto"/>
          <w:sz w:val="24"/>
          <w:szCs w:val="24"/>
          <w:highlight w:val="none"/>
        </w:rPr>
      </w:pPr>
    </w:p>
    <w:p>
      <w:pPr>
        <w:pStyle w:val="3"/>
        <w:pageBreakBefore w:val="0"/>
        <w:kinsoku/>
        <w:wordWrap/>
        <w:overflowPunct/>
        <w:topLinePunct w:val="0"/>
        <w:autoSpaceDE/>
        <w:autoSpaceDN/>
        <w:bidi w:val="0"/>
        <w:snapToGrid/>
        <w:spacing w:before="0" w:after="0" w:line="312" w:lineRule="auto"/>
        <w:textAlignment w:val="auto"/>
        <w:rPr>
          <w:rFonts w:hint="eastAsia" w:ascii="宋体" w:hAnsi="宋体" w:eastAsia="宋体" w:cs="宋体"/>
          <w:color w:val="auto"/>
          <w:sz w:val="24"/>
          <w:szCs w:val="24"/>
          <w:highlight w:val="none"/>
        </w:rPr>
      </w:pPr>
      <w:bookmarkStart w:id="132" w:name="_Toc978"/>
      <w:bookmarkStart w:id="133" w:name="_Toc4041"/>
      <w:bookmarkStart w:id="134" w:name="_Toc11081"/>
      <w:bookmarkStart w:id="135" w:name="_Toc22578"/>
      <w:r>
        <w:rPr>
          <w:rFonts w:hint="eastAsia" w:ascii="宋体" w:hAnsi="宋体" w:eastAsia="宋体" w:cs="宋体"/>
          <w:color w:val="auto"/>
          <w:sz w:val="24"/>
          <w:szCs w:val="24"/>
          <w:highlight w:val="none"/>
        </w:rPr>
        <w:t>六、采购人对保安服务的考核</w:t>
      </w:r>
      <w:bookmarkEnd w:id="131"/>
      <w:bookmarkEnd w:id="132"/>
      <w:bookmarkEnd w:id="133"/>
      <w:bookmarkEnd w:id="134"/>
      <w:bookmarkEnd w:id="135"/>
    </w:p>
    <w:p>
      <w:pPr>
        <w:pageBreakBefore w:val="0"/>
        <w:widowControl/>
        <w:kinsoku/>
        <w:wordWrap/>
        <w:overflowPunct/>
        <w:topLinePunct w:val="0"/>
        <w:autoSpaceDE/>
        <w:autoSpaceDN/>
        <w:bidi w:val="0"/>
        <w:snapToGrid/>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1.医院将对保安服务质量进行全过程监控，中标人日常工作不到位、不达标、或有违约现象，将依据合同约定，作出相应的违约处理与处罚。</w:t>
      </w:r>
    </w:p>
    <w:p>
      <w:pPr>
        <w:pageBreakBefore w:val="0"/>
        <w:widowControl/>
        <w:kinsoku/>
        <w:wordWrap/>
        <w:overflowPunct/>
        <w:topLinePunct w:val="0"/>
        <w:autoSpaceDE/>
        <w:autoSpaceDN/>
        <w:bidi w:val="0"/>
        <w:snapToGrid/>
        <w:spacing w:line="31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全年无责任事故和责任案件发生，医院每月满意度测评中对保安服务满意率在90%以上，满意度在80-89%的扣服务费10万/次，6个月满意度平均低于80%的，次年不再续签合同。</w:t>
      </w:r>
    </w:p>
    <w:p>
      <w:pPr>
        <w:pageBreakBefore w:val="0"/>
        <w:widowControl/>
        <w:kinsoku/>
        <w:wordWrap/>
        <w:overflowPunct/>
        <w:topLinePunct w:val="0"/>
        <w:autoSpaceDE/>
        <w:autoSpaceDN/>
        <w:bidi w:val="0"/>
        <w:snapToGrid/>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3.保安人员在岗履行工作职责期间，发生自身的人身伤害、伤亡，均由中标人负责处理并承担经济和道义上的责任，采购人不承担任何责任。</w:t>
      </w:r>
    </w:p>
    <w:p>
      <w:pPr>
        <w:pageBreakBefore w:val="0"/>
        <w:widowControl/>
        <w:kinsoku/>
        <w:wordWrap/>
        <w:overflowPunct/>
        <w:topLinePunct w:val="0"/>
        <w:autoSpaceDE/>
        <w:autoSpaceDN/>
        <w:bidi w:val="0"/>
        <w:snapToGrid/>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4.中标人违返国家相关法规，与聘用人员发生纠纷，均由中标人负责调解与处理，采购人不承担责任。 </w:t>
      </w:r>
    </w:p>
    <w:p>
      <w:pPr>
        <w:pageBreakBefore w:val="0"/>
        <w:widowControl/>
        <w:kinsoku/>
        <w:wordWrap/>
        <w:overflowPunct/>
        <w:topLinePunct w:val="0"/>
        <w:autoSpaceDE/>
        <w:autoSpaceDN/>
        <w:bidi w:val="0"/>
        <w:snapToGrid/>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5.中标人在保安服务中违反国家相关法规或保安行业规范，因过失造成他人人身伤亡的，均由中标人负责处理并承担经济和道义上的责任，采购人不承担任何责任。</w:t>
      </w:r>
    </w:p>
    <w:p>
      <w:pPr>
        <w:pageBreakBefore w:val="0"/>
        <w:widowControl/>
        <w:kinsoku/>
        <w:wordWrap/>
        <w:overflowPunct/>
        <w:topLinePunct w:val="0"/>
        <w:autoSpaceDE/>
        <w:autoSpaceDN/>
        <w:bidi w:val="0"/>
        <w:snapToGrid/>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6.通过上级部门的有关保安考核或上级部门有关保安方面的嘉奖，在值班期间抓获违法犯罪人员、发生突发事件保安人员处理得当，次月由院方给保安方奖励。</w:t>
      </w:r>
    </w:p>
    <w:p>
      <w:pPr>
        <w:pageBreakBefore w:val="0"/>
        <w:widowControl/>
        <w:kinsoku/>
        <w:wordWrap/>
        <w:overflowPunct/>
        <w:topLinePunct w:val="0"/>
        <w:autoSpaceDE/>
        <w:autoSpaceDN/>
        <w:bidi w:val="0"/>
        <w:snapToGrid/>
        <w:spacing w:line="312"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7.具体考核标准详见附件一。</w:t>
      </w:r>
    </w:p>
    <w:p>
      <w:pPr>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widowControl/>
        <w:spacing w:line="360" w:lineRule="auto"/>
        <w:outlineLvl w:val="0"/>
        <w:rPr>
          <w:rFonts w:hint="eastAsia" w:ascii="宋体" w:hAnsi="宋体" w:eastAsia="宋体" w:cs="宋体"/>
          <w:color w:val="auto"/>
          <w:sz w:val="24"/>
          <w:highlight w:val="none"/>
        </w:rPr>
      </w:pPr>
      <w:bookmarkStart w:id="136" w:name="_Toc3781"/>
      <w:bookmarkStart w:id="137" w:name="_Toc19073"/>
      <w:r>
        <w:rPr>
          <w:rFonts w:hint="eastAsia" w:ascii="宋体" w:hAnsi="宋体" w:eastAsia="宋体" w:cs="宋体"/>
          <w:color w:val="auto"/>
          <w:sz w:val="24"/>
          <w:highlight w:val="none"/>
        </w:rPr>
        <w:t>附件一、嘉兴市第一医院保安人员考核处罚细则</w:t>
      </w:r>
      <w:bookmarkEnd w:id="136"/>
      <w:bookmarkEnd w:id="137"/>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4"/>
        <w:gridCol w:w="552"/>
        <w:gridCol w:w="627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noWrap w:val="0"/>
            <w:vAlign w:val="center"/>
          </w:tcPr>
          <w:p>
            <w:pPr>
              <w:ind w:left="-139" w:leftChars="-66" w:right="-139" w:rightChars="-66"/>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类别</w:t>
            </w:r>
          </w:p>
        </w:tc>
        <w:tc>
          <w:tcPr>
            <w:tcW w:w="552" w:type="dxa"/>
            <w:noWrap w:val="0"/>
            <w:vAlign w:val="center"/>
          </w:tcPr>
          <w:p>
            <w:pPr>
              <w:ind w:left="-139" w:leftChars="-66" w:right="-139" w:rightChars="-66"/>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6278" w:type="dxa"/>
            <w:noWrap w:val="0"/>
            <w:vAlign w:val="center"/>
          </w:tcPr>
          <w:p>
            <w:pPr>
              <w:ind w:left="-139" w:leftChars="-66" w:right="-139" w:rightChars="-66"/>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扣 款 项 目</w:t>
            </w:r>
          </w:p>
        </w:tc>
        <w:tc>
          <w:tcPr>
            <w:tcW w:w="1318" w:type="dxa"/>
            <w:noWrap w:val="0"/>
            <w:vAlign w:val="center"/>
          </w:tcPr>
          <w:p>
            <w:pPr>
              <w:ind w:left="-139" w:leftChars="-66" w:right="-139" w:rightChars="-66"/>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restart"/>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仪</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表</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卫</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生</w:t>
            </w: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仪表不端庄</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不按规定着装</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留长发</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不戴证上岗</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当班值班室、休息室内务杂乱、不整洁，未搞卫生</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restart"/>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纪</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律</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要</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求</w:t>
            </w:r>
          </w:p>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当班未请假擅自离开岗位</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当班睡觉</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不按时接班</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当班喝酒或酒后失态，造成不良影响</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容留闲杂人员在值班室或保安休息室内抽烟、睡觉或聊天</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破坏同事团结，制造内部纷争</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不按医院要求管理好职工及外来探视人员的车辆停放</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当班不维护医院秩序，致使医疗工作受到干扰</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不服从领导安排，不执行指令，组织纪律性差</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利用工作之便，索要他人及下属财物，侵占公私小便宜</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restart"/>
            <w:noWrap w:val="0"/>
            <w:vAlign w:val="center"/>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工</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作</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质</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量</w:t>
            </w: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当班不维护院门秩序，造成混乱</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在上班期间不按规定站岗</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18</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上下班高峰期不站岗，不维护院门交通秩序</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19</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不按规定对外来人员进行来访登记</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20</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不按规定控制和查验出入的各类车辆</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当班不定时巡逻，巡逻不到位</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当班不按医院要求，造成水电浪费</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23</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院内发生治安刑事案件、纠纷或打架不及时处理</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24</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不按规定填写值班日志</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违反对讲机使用规定</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26</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对来访者态度粗暴，未能使用礼貌语言</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27</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职工人身安全受到威胁或发生意外事故，坐视不理</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28</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遇突发性事件、安全隐患不及时处理和报告，推御责任</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29</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当班玩忽职守，疏于防范，致使发生安全事故</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30</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在突发性事件或紧急情况下，临阵脱逃或坐视不管</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31</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值班时听收音机，收看电视或进行其他与值班无关的事情</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32</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擅离职守，经常迟到、早退</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33</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未按时交接班，或不按有关规定进行交接班</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交接班不清楚，检查时相互推卸责任</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35</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未经保安公司批准，私自顶班</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36</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扣留物品不登记，不上交；捡拾物品不报告，不上交</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直接解聘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37</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对医院和安全保卫部领导下达的工作任务，未能如期完成，而又没有正当理由</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38</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违反保安器材使用规定，私自随便转借和使用</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39</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故意损坏配发值班使用的器械或其它物品</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照价赔偿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40</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法制观念淡薄，参与聚众闹事、嫖娼、赌博等，与治安工作人员的应有素质极不相称</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直接解聘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41</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思想不纯，见利忘义，监守自盗或以权谋私，严重损坏医院形象</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直接解聘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42</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工作责任心不强，不服从分配，不执行规章制度，并随意顶撞领导且屡教不改</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直接解聘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04" w:type="dxa"/>
            <w:vMerge w:val="continue"/>
            <w:noWrap w:val="0"/>
            <w:vAlign w:val="center"/>
          </w:tcPr>
          <w:p>
            <w:pPr>
              <w:rPr>
                <w:rFonts w:hint="eastAsia" w:ascii="宋体" w:hAnsi="宋体" w:eastAsia="宋体" w:cs="宋体"/>
                <w:color w:val="auto"/>
                <w:sz w:val="24"/>
                <w:highlight w:val="none"/>
              </w:rPr>
            </w:pPr>
          </w:p>
        </w:tc>
        <w:tc>
          <w:tcPr>
            <w:tcW w:w="552"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43</w:t>
            </w:r>
          </w:p>
        </w:tc>
        <w:tc>
          <w:tcPr>
            <w:tcW w:w="6278"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其它未列入的违纪行为视情节轻重扣分，重者辞退</w:t>
            </w:r>
          </w:p>
        </w:tc>
        <w:tc>
          <w:tcPr>
            <w:tcW w:w="131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视情况处理</w:t>
            </w:r>
          </w:p>
        </w:tc>
      </w:tr>
    </w:tbl>
    <w:p>
      <w:pPr>
        <w:pStyle w:val="18"/>
        <w:ind w:left="0" w:leftChars="0" w:firstLine="0" w:firstLineChars="0"/>
        <w:rPr>
          <w:rFonts w:hint="eastAsia" w:ascii="宋体" w:hAnsi="宋体" w:eastAsia="宋体" w:cs="宋体"/>
          <w:color w:val="auto"/>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napToGrid w:val="0"/>
        <w:spacing w:line="360" w:lineRule="auto"/>
        <w:jc w:val="center"/>
        <w:outlineLvl w:val="0"/>
        <w:rPr>
          <w:rFonts w:hint="eastAsia" w:ascii="宋体" w:hAnsi="宋体" w:eastAsia="宋体" w:cs="宋体"/>
          <w:b/>
          <w:color w:val="auto"/>
          <w:sz w:val="36"/>
          <w:szCs w:val="36"/>
          <w:highlight w:val="none"/>
        </w:rPr>
      </w:pPr>
      <w:bookmarkStart w:id="138" w:name="_Toc7002"/>
      <w:bookmarkStart w:id="139" w:name="_Toc30804"/>
      <w:r>
        <w:rPr>
          <w:rFonts w:hint="eastAsia" w:ascii="宋体" w:hAnsi="宋体" w:eastAsia="宋体" w:cs="宋体"/>
          <w:b/>
          <w:color w:val="auto"/>
          <w:sz w:val="36"/>
          <w:szCs w:val="36"/>
          <w:highlight w:val="none"/>
        </w:rPr>
        <w:t xml:space="preserve">第四部分   </w:t>
      </w:r>
      <w:bookmarkStart w:id="140" w:name="_Toc184310332"/>
      <w:bookmarkEnd w:id="140"/>
      <w:bookmarkStart w:id="141" w:name="_Toc184314458"/>
      <w:bookmarkEnd w:id="141"/>
      <w:bookmarkStart w:id="142" w:name="_Toc184314479"/>
      <w:bookmarkEnd w:id="142"/>
      <w:bookmarkStart w:id="143" w:name="_Toc184310339"/>
      <w:bookmarkEnd w:id="143"/>
      <w:bookmarkStart w:id="144" w:name="_Toc184308073"/>
      <w:bookmarkEnd w:id="144"/>
      <w:bookmarkStart w:id="145" w:name="_Toc184312119"/>
      <w:bookmarkEnd w:id="145"/>
      <w:bookmarkStart w:id="146" w:name="_Toc184310318"/>
      <w:bookmarkEnd w:id="146"/>
      <w:bookmarkStart w:id="147" w:name="_Toc184314472"/>
      <w:bookmarkEnd w:id="147"/>
      <w:bookmarkStart w:id="148" w:name="_Toc184314442"/>
      <w:bookmarkEnd w:id="148"/>
      <w:bookmarkStart w:id="149" w:name="_Toc184312101"/>
      <w:bookmarkEnd w:id="149"/>
      <w:bookmarkStart w:id="150" w:name="_Toc184312069"/>
      <w:bookmarkEnd w:id="150"/>
      <w:bookmarkStart w:id="151" w:name="_Toc184314431"/>
      <w:bookmarkEnd w:id="151"/>
      <w:bookmarkStart w:id="152" w:name="_Toc184308075"/>
      <w:bookmarkEnd w:id="152"/>
      <w:bookmarkStart w:id="153" w:name="_Toc184308095"/>
      <w:bookmarkEnd w:id="153"/>
      <w:bookmarkStart w:id="154" w:name="_Toc184313280"/>
      <w:bookmarkEnd w:id="154"/>
      <w:bookmarkStart w:id="155" w:name="_Toc184312086"/>
      <w:bookmarkEnd w:id="155"/>
      <w:bookmarkStart w:id="156" w:name="_Toc184310316"/>
      <w:bookmarkEnd w:id="156"/>
      <w:bookmarkStart w:id="157" w:name="_Toc184313277"/>
      <w:bookmarkEnd w:id="157"/>
      <w:bookmarkStart w:id="158" w:name="_Toc184310317"/>
      <w:bookmarkEnd w:id="158"/>
      <w:bookmarkStart w:id="159" w:name="_Toc184310279"/>
      <w:bookmarkEnd w:id="159"/>
      <w:bookmarkStart w:id="160" w:name="_Toc184310335"/>
      <w:bookmarkEnd w:id="160"/>
      <w:bookmarkStart w:id="161" w:name="_Toc184308082"/>
      <w:bookmarkEnd w:id="161"/>
      <w:bookmarkStart w:id="162" w:name="_Toc184313272"/>
      <w:bookmarkEnd w:id="162"/>
      <w:bookmarkStart w:id="163" w:name="_Toc184313273"/>
      <w:bookmarkEnd w:id="163"/>
      <w:bookmarkStart w:id="164" w:name="_Toc184308052"/>
      <w:bookmarkEnd w:id="164"/>
      <w:bookmarkStart w:id="165" w:name="_Toc184314454"/>
      <w:bookmarkEnd w:id="165"/>
      <w:bookmarkStart w:id="166" w:name="_Toc184310336"/>
      <w:bookmarkEnd w:id="166"/>
      <w:bookmarkStart w:id="167" w:name="_Toc184308061"/>
      <w:bookmarkEnd w:id="167"/>
      <w:bookmarkStart w:id="168" w:name="_Toc184313279"/>
      <w:bookmarkEnd w:id="168"/>
      <w:bookmarkStart w:id="169" w:name="_Toc184308105"/>
      <w:bookmarkEnd w:id="169"/>
      <w:bookmarkStart w:id="170" w:name="_Toc184312100"/>
      <w:bookmarkEnd w:id="170"/>
      <w:bookmarkStart w:id="171" w:name="_Toc184310300"/>
      <w:bookmarkEnd w:id="171"/>
      <w:bookmarkStart w:id="172" w:name="_Toc184308083"/>
      <w:bookmarkEnd w:id="172"/>
      <w:bookmarkStart w:id="173" w:name="_Toc184314413"/>
      <w:bookmarkEnd w:id="173"/>
      <w:bookmarkStart w:id="174" w:name="_Toc184313299"/>
      <w:bookmarkEnd w:id="174"/>
      <w:bookmarkStart w:id="175" w:name="_Toc184314449"/>
      <w:bookmarkEnd w:id="175"/>
      <w:bookmarkStart w:id="176" w:name="_Toc184308056"/>
      <w:bookmarkEnd w:id="176"/>
      <w:bookmarkStart w:id="177" w:name="_Toc184313267"/>
      <w:bookmarkEnd w:id="177"/>
      <w:bookmarkStart w:id="178" w:name="_Toc184313264"/>
      <w:bookmarkEnd w:id="178"/>
      <w:bookmarkStart w:id="179" w:name="_Toc184312081"/>
      <w:bookmarkEnd w:id="179"/>
      <w:bookmarkStart w:id="180" w:name="_Toc184310315"/>
      <w:bookmarkEnd w:id="180"/>
      <w:bookmarkStart w:id="181" w:name="_Toc184314478"/>
      <w:bookmarkEnd w:id="181"/>
      <w:bookmarkStart w:id="182" w:name="_Toc184313263"/>
      <w:bookmarkEnd w:id="182"/>
      <w:bookmarkStart w:id="183" w:name="_Toc184310297"/>
      <w:bookmarkEnd w:id="183"/>
      <w:bookmarkStart w:id="184" w:name="_Toc184313256"/>
      <w:bookmarkEnd w:id="184"/>
      <w:bookmarkStart w:id="185" w:name="_Toc184314436"/>
      <w:bookmarkEnd w:id="185"/>
      <w:bookmarkStart w:id="186" w:name="_Toc184310324"/>
      <w:bookmarkEnd w:id="186"/>
      <w:bookmarkStart w:id="187" w:name="_Toc184308108"/>
      <w:bookmarkEnd w:id="187"/>
      <w:bookmarkStart w:id="188" w:name="_Toc184312097"/>
      <w:bookmarkEnd w:id="188"/>
      <w:bookmarkStart w:id="189" w:name="_Toc184314410"/>
      <w:bookmarkEnd w:id="189"/>
      <w:bookmarkStart w:id="190" w:name="_Toc184312089"/>
      <w:bookmarkEnd w:id="190"/>
      <w:bookmarkStart w:id="191" w:name="_Toc184313262"/>
      <w:bookmarkEnd w:id="191"/>
      <w:bookmarkStart w:id="192" w:name="_Toc184310310"/>
      <w:bookmarkEnd w:id="192"/>
      <w:bookmarkStart w:id="193" w:name="_Toc184310274"/>
      <w:bookmarkEnd w:id="193"/>
      <w:bookmarkStart w:id="194" w:name="_Toc184308058"/>
      <w:bookmarkEnd w:id="194"/>
      <w:bookmarkStart w:id="195" w:name="_Toc184312077"/>
      <w:bookmarkEnd w:id="195"/>
      <w:bookmarkStart w:id="196" w:name="_Toc184312084"/>
      <w:bookmarkEnd w:id="196"/>
      <w:bookmarkStart w:id="197" w:name="_Toc184314434"/>
      <w:bookmarkEnd w:id="197"/>
      <w:bookmarkStart w:id="198" w:name="_Toc184314411"/>
      <w:bookmarkEnd w:id="198"/>
      <w:bookmarkStart w:id="199" w:name="_Toc184313293"/>
      <w:bookmarkEnd w:id="199"/>
      <w:bookmarkStart w:id="200" w:name="_Toc184314450"/>
      <w:bookmarkEnd w:id="200"/>
      <w:bookmarkStart w:id="201" w:name="_Toc184312090"/>
      <w:bookmarkEnd w:id="201"/>
      <w:bookmarkStart w:id="202" w:name="_Toc184310288"/>
      <w:bookmarkEnd w:id="202"/>
      <w:bookmarkStart w:id="203" w:name="_Toc184313310"/>
      <w:bookmarkEnd w:id="203"/>
      <w:bookmarkStart w:id="204" w:name="_Toc184314418"/>
      <w:bookmarkEnd w:id="204"/>
      <w:bookmarkStart w:id="205" w:name="_Toc184310284"/>
      <w:bookmarkEnd w:id="205"/>
      <w:bookmarkStart w:id="206" w:name="_Toc184310290"/>
      <w:bookmarkEnd w:id="206"/>
      <w:bookmarkStart w:id="207" w:name="_Toc184308104"/>
      <w:bookmarkEnd w:id="207"/>
      <w:bookmarkStart w:id="208" w:name="_Toc184308080"/>
      <w:bookmarkEnd w:id="208"/>
      <w:bookmarkStart w:id="209" w:name="_Toc184310342"/>
      <w:bookmarkEnd w:id="209"/>
      <w:bookmarkStart w:id="210" w:name="_Toc184308038"/>
      <w:bookmarkEnd w:id="210"/>
      <w:bookmarkStart w:id="211" w:name="_Toc184313298"/>
      <w:bookmarkEnd w:id="211"/>
      <w:bookmarkStart w:id="212" w:name="_Toc184310282"/>
      <w:bookmarkEnd w:id="212"/>
      <w:bookmarkStart w:id="213" w:name="_Toc184312116"/>
      <w:bookmarkEnd w:id="213"/>
      <w:bookmarkStart w:id="214" w:name="_Toc184308078"/>
      <w:bookmarkEnd w:id="214"/>
      <w:bookmarkStart w:id="215" w:name="_Toc184313260"/>
      <w:bookmarkEnd w:id="215"/>
      <w:bookmarkStart w:id="216" w:name="_Toc184308071"/>
      <w:bookmarkEnd w:id="216"/>
      <w:bookmarkStart w:id="217" w:name="_Toc184314474"/>
      <w:bookmarkEnd w:id="217"/>
      <w:bookmarkStart w:id="218" w:name="_Toc184314455"/>
      <w:bookmarkEnd w:id="218"/>
      <w:bookmarkStart w:id="219" w:name="_Toc184308045"/>
      <w:bookmarkEnd w:id="219"/>
      <w:bookmarkStart w:id="220" w:name="_Toc184308064"/>
      <w:bookmarkEnd w:id="220"/>
      <w:bookmarkStart w:id="221" w:name="_Toc184308039"/>
      <w:bookmarkEnd w:id="221"/>
      <w:bookmarkStart w:id="222" w:name="_Toc184308081"/>
      <w:bookmarkEnd w:id="222"/>
      <w:bookmarkStart w:id="223" w:name="_Toc184310286"/>
      <w:bookmarkEnd w:id="223"/>
      <w:bookmarkStart w:id="224" w:name="_Toc184308055"/>
      <w:bookmarkEnd w:id="224"/>
      <w:bookmarkStart w:id="225" w:name="_Toc184312129"/>
      <w:bookmarkEnd w:id="225"/>
      <w:bookmarkStart w:id="226" w:name="_Toc184314482"/>
      <w:bookmarkEnd w:id="226"/>
      <w:bookmarkStart w:id="227" w:name="_Toc184313252"/>
      <w:bookmarkEnd w:id="227"/>
      <w:bookmarkStart w:id="228" w:name="_Toc184313291"/>
      <w:bookmarkEnd w:id="228"/>
      <w:bookmarkStart w:id="229" w:name="_Toc184313246"/>
      <w:bookmarkEnd w:id="229"/>
      <w:bookmarkStart w:id="230" w:name="_Toc184314452"/>
      <w:bookmarkEnd w:id="230"/>
      <w:bookmarkStart w:id="231" w:name="_Toc184310296"/>
      <w:bookmarkEnd w:id="231"/>
      <w:bookmarkStart w:id="232" w:name="_Toc184312115"/>
      <w:bookmarkEnd w:id="232"/>
      <w:bookmarkStart w:id="233" w:name="_Toc184308076"/>
      <w:bookmarkEnd w:id="233"/>
      <w:bookmarkStart w:id="234" w:name="_Toc184310334"/>
      <w:bookmarkEnd w:id="234"/>
      <w:bookmarkStart w:id="235" w:name="_Toc184313242"/>
      <w:bookmarkEnd w:id="235"/>
      <w:bookmarkStart w:id="236" w:name="_Toc184312138"/>
      <w:bookmarkEnd w:id="236"/>
      <w:bookmarkStart w:id="237" w:name="_Toc184314417"/>
      <w:bookmarkEnd w:id="237"/>
      <w:bookmarkStart w:id="238" w:name="_Toc184313292"/>
      <w:bookmarkEnd w:id="238"/>
      <w:bookmarkStart w:id="239" w:name="_Toc184308084"/>
      <w:bookmarkEnd w:id="239"/>
      <w:bookmarkStart w:id="240" w:name="_Toc184310328"/>
      <w:bookmarkEnd w:id="240"/>
      <w:bookmarkStart w:id="241" w:name="_Toc184308092"/>
      <w:bookmarkEnd w:id="241"/>
      <w:bookmarkStart w:id="242" w:name="_Toc184314459"/>
      <w:bookmarkEnd w:id="242"/>
      <w:bookmarkStart w:id="243" w:name="_Toc184310325"/>
      <w:bookmarkEnd w:id="243"/>
      <w:bookmarkStart w:id="244" w:name="_Toc184308090"/>
      <w:bookmarkEnd w:id="244"/>
      <w:bookmarkStart w:id="245" w:name="_Toc184314446"/>
      <w:bookmarkEnd w:id="245"/>
      <w:bookmarkStart w:id="246" w:name="_Toc184310307"/>
      <w:bookmarkEnd w:id="246"/>
      <w:bookmarkStart w:id="247" w:name="_Toc184312088"/>
      <w:bookmarkEnd w:id="247"/>
      <w:bookmarkStart w:id="248" w:name="_Toc184310308"/>
      <w:bookmarkEnd w:id="248"/>
      <w:bookmarkStart w:id="249" w:name="_Toc184308066"/>
      <w:bookmarkEnd w:id="249"/>
      <w:bookmarkStart w:id="250" w:name="_Toc184310276"/>
      <w:bookmarkEnd w:id="250"/>
      <w:bookmarkStart w:id="251" w:name="_Toc184310291"/>
      <w:bookmarkEnd w:id="251"/>
      <w:bookmarkStart w:id="252" w:name="_Toc184313270"/>
      <w:bookmarkEnd w:id="252"/>
      <w:bookmarkStart w:id="253" w:name="_Toc184313265"/>
      <w:bookmarkEnd w:id="253"/>
      <w:bookmarkStart w:id="254" w:name="_Toc184314428"/>
      <w:bookmarkEnd w:id="254"/>
      <w:bookmarkStart w:id="255" w:name="_Toc184310278"/>
      <w:bookmarkEnd w:id="255"/>
      <w:bookmarkStart w:id="256" w:name="_Toc184308054"/>
      <w:bookmarkEnd w:id="256"/>
      <w:bookmarkStart w:id="257" w:name="_Toc184314419"/>
      <w:bookmarkEnd w:id="257"/>
      <w:bookmarkStart w:id="258" w:name="_Toc184313253"/>
      <w:bookmarkEnd w:id="258"/>
      <w:bookmarkStart w:id="259" w:name="_Toc184314462"/>
      <w:bookmarkEnd w:id="259"/>
      <w:bookmarkStart w:id="260" w:name="_Toc184314445"/>
      <w:bookmarkEnd w:id="260"/>
      <w:bookmarkStart w:id="261" w:name="_Toc184314457"/>
      <w:bookmarkEnd w:id="261"/>
      <w:bookmarkStart w:id="262" w:name="_Toc184310344"/>
      <w:bookmarkEnd w:id="262"/>
      <w:bookmarkStart w:id="263" w:name="_Toc184310281"/>
      <w:bookmarkEnd w:id="263"/>
      <w:bookmarkStart w:id="264" w:name="_Toc184314475"/>
      <w:bookmarkEnd w:id="264"/>
      <w:bookmarkStart w:id="265" w:name="_Toc184312133"/>
      <w:bookmarkEnd w:id="265"/>
      <w:bookmarkStart w:id="266" w:name="_Toc184314429"/>
      <w:bookmarkEnd w:id="266"/>
      <w:bookmarkStart w:id="267" w:name="_Toc184308094"/>
      <w:bookmarkEnd w:id="267"/>
      <w:bookmarkStart w:id="268" w:name="_Toc184314451"/>
      <w:bookmarkEnd w:id="268"/>
      <w:bookmarkStart w:id="269" w:name="_Toc184314433"/>
      <w:bookmarkEnd w:id="269"/>
      <w:bookmarkStart w:id="270" w:name="_Toc184313300"/>
      <w:bookmarkEnd w:id="270"/>
      <w:bookmarkStart w:id="271" w:name="_Toc184314412"/>
      <w:bookmarkEnd w:id="271"/>
      <w:bookmarkStart w:id="272" w:name="_Toc184312134"/>
      <w:bookmarkEnd w:id="272"/>
      <w:bookmarkStart w:id="273" w:name="_Toc184310294"/>
      <w:bookmarkEnd w:id="273"/>
      <w:bookmarkStart w:id="274" w:name="_Toc184312102"/>
      <w:bookmarkEnd w:id="274"/>
      <w:bookmarkStart w:id="275" w:name="_Toc184312110"/>
      <w:bookmarkEnd w:id="275"/>
      <w:bookmarkStart w:id="276" w:name="_Toc184313296"/>
      <w:bookmarkEnd w:id="276"/>
      <w:bookmarkStart w:id="277" w:name="_Toc184310305"/>
      <w:bookmarkEnd w:id="277"/>
      <w:bookmarkStart w:id="278" w:name="_Toc184312083"/>
      <w:bookmarkEnd w:id="278"/>
      <w:bookmarkStart w:id="279" w:name="_Toc184312105"/>
      <w:bookmarkEnd w:id="279"/>
      <w:bookmarkStart w:id="280" w:name="_Toc184314439"/>
      <w:bookmarkEnd w:id="280"/>
      <w:bookmarkStart w:id="281" w:name="_Toc184312104"/>
      <w:bookmarkEnd w:id="281"/>
      <w:bookmarkStart w:id="282" w:name="_Toc184310298"/>
      <w:bookmarkEnd w:id="282"/>
      <w:bookmarkStart w:id="283" w:name="_Toc184308077"/>
      <w:bookmarkEnd w:id="283"/>
      <w:bookmarkStart w:id="284" w:name="_Toc184313303"/>
      <w:bookmarkEnd w:id="284"/>
      <w:bookmarkStart w:id="285" w:name="_Toc184313283"/>
      <w:bookmarkEnd w:id="285"/>
      <w:bookmarkStart w:id="286" w:name="_Toc184312067"/>
      <w:bookmarkEnd w:id="286"/>
      <w:bookmarkStart w:id="287" w:name="_Toc184310313"/>
      <w:bookmarkEnd w:id="287"/>
      <w:bookmarkStart w:id="288" w:name="_Toc184312073"/>
      <w:bookmarkEnd w:id="288"/>
      <w:bookmarkStart w:id="289" w:name="_Toc184313285"/>
      <w:bookmarkEnd w:id="289"/>
      <w:bookmarkStart w:id="290" w:name="_Toc184314438"/>
      <w:bookmarkEnd w:id="290"/>
      <w:bookmarkStart w:id="291" w:name="_Toc184314466"/>
      <w:bookmarkEnd w:id="291"/>
      <w:bookmarkStart w:id="292" w:name="_Toc184314465"/>
      <w:bookmarkEnd w:id="292"/>
      <w:bookmarkStart w:id="293" w:name="_Toc184308053"/>
      <w:bookmarkEnd w:id="293"/>
      <w:bookmarkStart w:id="294" w:name="_Toc184314443"/>
      <w:bookmarkEnd w:id="294"/>
      <w:bookmarkStart w:id="295" w:name="_Toc184308100"/>
      <w:bookmarkEnd w:id="295"/>
      <w:bookmarkStart w:id="296" w:name="_Toc184313290"/>
      <w:bookmarkEnd w:id="296"/>
      <w:bookmarkStart w:id="297" w:name="_Toc184308063"/>
      <w:bookmarkEnd w:id="297"/>
      <w:bookmarkStart w:id="298" w:name="_Toc184310280"/>
      <w:bookmarkEnd w:id="298"/>
      <w:bookmarkStart w:id="299" w:name="_Toc184312132"/>
      <w:bookmarkEnd w:id="299"/>
      <w:bookmarkStart w:id="300" w:name="_Toc184312087"/>
      <w:bookmarkEnd w:id="300"/>
      <w:bookmarkStart w:id="301" w:name="_Toc184310323"/>
      <w:bookmarkEnd w:id="301"/>
      <w:bookmarkStart w:id="302" w:name="_Toc184310327"/>
      <w:bookmarkEnd w:id="302"/>
      <w:bookmarkStart w:id="303" w:name="_Toc184308040"/>
      <w:bookmarkEnd w:id="303"/>
      <w:bookmarkStart w:id="304" w:name="_Toc184310312"/>
      <w:bookmarkEnd w:id="304"/>
      <w:bookmarkStart w:id="305" w:name="_Toc184313302"/>
      <w:bookmarkEnd w:id="305"/>
      <w:bookmarkStart w:id="306" w:name="_Toc184308036"/>
      <w:bookmarkEnd w:id="306"/>
      <w:bookmarkStart w:id="307" w:name="_Toc184313261"/>
      <w:bookmarkEnd w:id="307"/>
      <w:bookmarkStart w:id="308" w:name="_Toc184313276"/>
      <w:bookmarkEnd w:id="308"/>
      <w:bookmarkStart w:id="309" w:name="_Toc184310333"/>
      <w:bookmarkEnd w:id="309"/>
      <w:bookmarkStart w:id="310" w:name="_Toc184313297"/>
      <w:bookmarkEnd w:id="310"/>
      <w:bookmarkStart w:id="311" w:name="_Toc184308067"/>
      <w:bookmarkEnd w:id="311"/>
      <w:bookmarkStart w:id="312" w:name="_Toc184310273"/>
      <w:bookmarkEnd w:id="312"/>
      <w:bookmarkStart w:id="313" w:name="_Toc184312075"/>
      <w:bookmarkEnd w:id="313"/>
      <w:bookmarkStart w:id="314" w:name="_Toc184312121"/>
      <w:bookmarkEnd w:id="314"/>
      <w:bookmarkStart w:id="315" w:name="_Toc184312137"/>
      <w:bookmarkEnd w:id="315"/>
      <w:bookmarkStart w:id="316" w:name="_Toc184312082"/>
      <w:bookmarkEnd w:id="316"/>
      <w:bookmarkStart w:id="317" w:name="_Toc184313287"/>
      <w:bookmarkEnd w:id="317"/>
      <w:bookmarkStart w:id="318" w:name="_Toc184308046"/>
      <w:bookmarkEnd w:id="318"/>
      <w:bookmarkStart w:id="319" w:name="_Toc184310331"/>
      <w:bookmarkEnd w:id="319"/>
      <w:bookmarkStart w:id="320" w:name="_Toc184314421"/>
      <w:bookmarkEnd w:id="320"/>
      <w:bookmarkStart w:id="321" w:name="_Toc184313286"/>
      <w:bookmarkEnd w:id="321"/>
      <w:bookmarkStart w:id="322" w:name="_Toc184308088"/>
      <w:bookmarkEnd w:id="322"/>
      <w:bookmarkStart w:id="323" w:name="_Toc184314425"/>
      <w:bookmarkEnd w:id="323"/>
      <w:bookmarkStart w:id="324" w:name="_Toc184313258"/>
      <w:bookmarkEnd w:id="324"/>
      <w:bookmarkStart w:id="325" w:name="_Toc184310272"/>
      <w:bookmarkEnd w:id="325"/>
      <w:bookmarkStart w:id="326" w:name="_Toc184312117"/>
      <w:bookmarkEnd w:id="326"/>
      <w:bookmarkStart w:id="327" w:name="_Toc184312118"/>
      <w:bookmarkEnd w:id="327"/>
      <w:bookmarkStart w:id="328" w:name="_Toc184310322"/>
      <w:bookmarkEnd w:id="328"/>
      <w:bookmarkStart w:id="329" w:name="_Toc184314477"/>
      <w:bookmarkEnd w:id="329"/>
      <w:bookmarkStart w:id="330" w:name="_Toc184308050"/>
      <w:bookmarkEnd w:id="330"/>
      <w:bookmarkStart w:id="331" w:name="_Toc184312131"/>
      <w:bookmarkEnd w:id="331"/>
      <w:bookmarkStart w:id="332" w:name="_Toc184312120"/>
      <w:bookmarkEnd w:id="332"/>
      <w:bookmarkStart w:id="333" w:name="_Toc184313257"/>
      <w:bookmarkEnd w:id="333"/>
      <w:bookmarkStart w:id="334" w:name="_Toc184310295"/>
      <w:bookmarkEnd w:id="334"/>
      <w:bookmarkStart w:id="335" w:name="_Toc184308060"/>
      <w:bookmarkEnd w:id="335"/>
      <w:bookmarkStart w:id="336" w:name="_Toc184314420"/>
      <w:bookmarkEnd w:id="336"/>
      <w:bookmarkStart w:id="337" w:name="_Toc184312111"/>
      <w:bookmarkEnd w:id="337"/>
      <w:bookmarkStart w:id="338" w:name="_Toc184308098"/>
      <w:bookmarkEnd w:id="338"/>
      <w:bookmarkStart w:id="339" w:name="_Toc184308097"/>
      <w:bookmarkEnd w:id="339"/>
      <w:bookmarkStart w:id="340" w:name="_Toc184314430"/>
      <w:bookmarkEnd w:id="340"/>
      <w:bookmarkStart w:id="341" w:name="_Toc184313248"/>
      <w:bookmarkEnd w:id="341"/>
      <w:bookmarkStart w:id="342" w:name="_Toc184308085"/>
      <w:bookmarkEnd w:id="342"/>
      <w:bookmarkStart w:id="343" w:name="_Toc184308074"/>
      <w:bookmarkEnd w:id="343"/>
      <w:bookmarkStart w:id="344" w:name="_Toc184310319"/>
      <w:bookmarkEnd w:id="344"/>
      <w:bookmarkStart w:id="345" w:name="_Toc184314424"/>
      <w:bookmarkEnd w:id="345"/>
      <w:bookmarkStart w:id="346" w:name="_Toc184312099"/>
      <w:bookmarkEnd w:id="346"/>
      <w:bookmarkStart w:id="347" w:name="_Toc184313295"/>
      <w:bookmarkEnd w:id="347"/>
      <w:bookmarkStart w:id="348" w:name="_Toc184310304"/>
      <w:bookmarkEnd w:id="348"/>
      <w:bookmarkStart w:id="349" w:name="_Toc184313250"/>
      <w:bookmarkEnd w:id="349"/>
      <w:bookmarkStart w:id="350" w:name="_Toc184313245"/>
      <w:bookmarkEnd w:id="350"/>
      <w:bookmarkStart w:id="351" w:name="_Toc184310314"/>
      <w:bookmarkEnd w:id="351"/>
      <w:bookmarkStart w:id="352" w:name="_Toc184312070"/>
      <w:bookmarkEnd w:id="352"/>
      <w:bookmarkStart w:id="353" w:name="_Toc184312096"/>
      <w:bookmarkEnd w:id="353"/>
      <w:bookmarkStart w:id="354" w:name="_Toc184308091"/>
      <w:bookmarkEnd w:id="354"/>
      <w:bookmarkStart w:id="355" w:name="_Toc184312085"/>
      <w:bookmarkEnd w:id="355"/>
      <w:bookmarkStart w:id="356" w:name="_Toc184314480"/>
      <w:bookmarkEnd w:id="356"/>
      <w:bookmarkStart w:id="357" w:name="_Toc184310343"/>
      <w:bookmarkEnd w:id="357"/>
      <w:bookmarkStart w:id="358" w:name="_Toc184308043"/>
      <w:bookmarkEnd w:id="358"/>
      <w:bookmarkStart w:id="359" w:name="_Toc184313241"/>
      <w:bookmarkEnd w:id="359"/>
      <w:bookmarkStart w:id="360" w:name="_Toc184308069"/>
      <w:bookmarkEnd w:id="360"/>
      <w:bookmarkStart w:id="361" w:name="_Toc184308106"/>
      <w:bookmarkEnd w:id="361"/>
      <w:bookmarkStart w:id="362" w:name="_Toc184308093"/>
      <w:bookmarkEnd w:id="362"/>
      <w:bookmarkStart w:id="363" w:name="_Toc184312092"/>
      <w:bookmarkEnd w:id="363"/>
      <w:bookmarkStart w:id="364" w:name="_Toc184308103"/>
      <w:bookmarkEnd w:id="364"/>
      <w:bookmarkStart w:id="365" w:name="_Toc184313269"/>
      <w:bookmarkEnd w:id="365"/>
      <w:bookmarkStart w:id="366" w:name="_Toc184313294"/>
      <w:bookmarkEnd w:id="366"/>
      <w:bookmarkStart w:id="367" w:name="_Toc184314437"/>
      <w:bookmarkEnd w:id="367"/>
      <w:bookmarkStart w:id="368" w:name="_Toc184310289"/>
      <w:bookmarkEnd w:id="368"/>
      <w:bookmarkStart w:id="369" w:name="_Toc184312127"/>
      <w:bookmarkEnd w:id="369"/>
      <w:bookmarkStart w:id="370" w:name="_Toc184313271"/>
      <w:bookmarkEnd w:id="370"/>
      <w:bookmarkStart w:id="371" w:name="_Toc184312072"/>
      <w:bookmarkEnd w:id="371"/>
      <w:bookmarkStart w:id="372" w:name="_Toc184314464"/>
      <w:bookmarkEnd w:id="372"/>
      <w:bookmarkStart w:id="373" w:name="_Toc184313274"/>
      <w:bookmarkEnd w:id="373"/>
      <w:bookmarkStart w:id="374" w:name="_Toc184312103"/>
      <w:bookmarkEnd w:id="374"/>
      <w:bookmarkStart w:id="375" w:name="_Toc184314416"/>
      <w:bookmarkEnd w:id="375"/>
      <w:bookmarkStart w:id="376" w:name="_Toc184312135"/>
      <w:bookmarkEnd w:id="376"/>
      <w:bookmarkStart w:id="377" w:name="_Toc184313288"/>
      <w:bookmarkEnd w:id="377"/>
      <w:bookmarkStart w:id="378" w:name="_Toc184310285"/>
      <w:bookmarkEnd w:id="378"/>
      <w:bookmarkStart w:id="379" w:name="_Toc184310301"/>
      <w:bookmarkEnd w:id="379"/>
      <w:bookmarkStart w:id="380" w:name="_Toc184312113"/>
      <w:bookmarkEnd w:id="380"/>
      <w:bookmarkStart w:id="381" w:name="_Toc184310275"/>
      <w:bookmarkEnd w:id="381"/>
      <w:bookmarkStart w:id="382" w:name="_Toc184308102"/>
      <w:bookmarkEnd w:id="382"/>
      <w:bookmarkStart w:id="383" w:name="_Toc184312078"/>
      <w:bookmarkEnd w:id="383"/>
      <w:bookmarkStart w:id="384" w:name="_Toc184313308"/>
      <w:bookmarkEnd w:id="384"/>
      <w:bookmarkStart w:id="385" w:name="_Toc184308042"/>
      <w:bookmarkEnd w:id="385"/>
      <w:bookmarkStart w:id="386" w:name="_Toc184314415"/>
      <w:bookmarkEnd w:id="386"/>
      <w:bookmarkStart w:id="387" w:name="_Toc184313275"/>
      <w:bookmarkEnd w:id="387"/>
      <w:bookmarkStart w:id="388" w:name="_Toc184314448"/>
      <w:bookmarkEnd w:id="388"/>
      <w:bookmarkStart w:id="389" w:name="_Toc184313240"/>
      <w:bookmarkEnd w:id="389"/>
      <w:bookmarkStart w:id="390" w:name="_Toc184314441"/>
      <w:bookmarkEnd w:id="390"/>
      <w:bookmarkStart w:id="391" w:name="_Toc184312109"/>
      <w:bookmarkEnd w:id="391"/>
      <w:bookmarkStart w:id="392" w:name="_Toc184312106"/>
      <w:bookmarkEnd w:id="392"/>
      <w:bookmarkStart w:id="393" w:name="_Toc184313307"/>
      <w:bookmarkEnd w:id="393"/>
      <w:bookmarkStart w:id="394" w:name="_Toc184312123"/>
      <w:bookmarkEnd w:id="394"/>
      <w:bookmarkStart w:id="395" w:name="_Toc184313251"/>
      <w:bookmarkEnd w:id="395"/>
      <w:bookmarkStart w:id="396" w:name="_Toc184310302"/>
      <w:bookmarkEnd w:id="396"/>
      <w:bookmarkStart w:id="397" w:name="_Toc184313305"/>
      <w:bookmarkEnd w:id="397"/>
      <w:bookmarkStart w:id="398" w:name="_Toc184314469"/>
      <w:bookmarkEnd w:id="398"/>
      <w:bookmarkStart w:id="399" w:name="_Toc184308086"/>
      <w:bookmarkEnd w:id="399"/>
      <w:bookmarkStart w:id="400" w:name="_Toc184312107"/>
      <w:bookmarkEnd w:id="400"/>
      <w:bookmarkStart w:id="401" w:name="_Toc184314453"/>
      <w:bookmarkEnd w:id="401"/>
      <w:bookmarkStart w:id="402" w:name="_Toc184308049"/>
      <w:bookmarkEnd w:id="402"/>
      <w:bookmarkStart w:id="403" w:name="_Toc184312080"/>
      <w:bookmarkEnd w:id="403"/>
      <w:bookmarkStart w:id="404" w:name="_Toc184310299"/>
      <w:bookmarkEnd w:id="404"/>
      <w:bookmarkStart w:id="405" w:name="_Toc184308087"/>
      <w:bookmarkEnd w:id="405"/>
      <w:bookmarkStart w:id="406" w:name="_Toc184310309"/>
      <w:bookmarkEnd w:id="406"/>
      <w:bookmarkStart w:id="407" w:name="_Toc184314422"/>
      <w:bookmarkEnd w:id="407"/>
      <w:bookmarkStart w:id="408" w:name="_Toc184312114"/>
      <w:bookmarkEnd w:id="408"/>
      <w:bookmarkStart w:id="409" w:name="_Toc184310340"/>
      <w:bookmarkEnd w:id="409"/>
      <w:bookmarkStart w:id="410" w:name="_Toc184314456"/>
      <w:bookmarkEnd w:id="410"/>
      <w:bookmarkStart w:id="411" w:name="_Toc184312136"/>
      <w:bookmarkEnd w:id="411"/>
      <w:bookmarkStart w:id="412" w:name="_Toc184314426"/>
      <w:bookmarkEnd w:id="412"/>
      <w:bookmarkStart w:id="413" w:name="_Toc184308037"/>
      <w:bookmarkEnd w:id="413"/>
      <w:bookmarkStart w:id="414" w:name="_Toc184313268"/>
      <w:bookmarkEnd w:id="414"/>
      <w:bookmarkStart w:id="415" w:name="_Toc184314481"/>
      <w:bookmarkEnd w:id="415"/>
      <w:bookmarkStart w:id="416" w:name="_Toc184308062"/>
      <w:bookmarkEnd w:id="416"/>
      <w:bookmarkStart w:id="417" w:name="_Toc184308107"/>
      <w:bookmarkEnd w:id="417"/>
      <w:bookmarkStart w:id="418" w:name="_Toc184308089"/>
      <w:bookmarkEnd w:id="418"/>
      <w:bookmarkStart w:id="419" w:name="_Toc184310330"/>
      <w:bookmarkEnd w:id="419"/>
      <w:bookmarkStart w:id="420" w:name="_Toc184313301"/>
      <w:bookmarkEnd w:id="420"/>
      <w:bookmarkStart w:id="421" w:name="_Toc184310338"/>
      <w:bookmarkEnd w:id="421"/>
      <w:bookmarkStart w:id="422" w:name="_Toc184314440"/>
      <w:bookmarkEnd w:id="422"/>
      <w:bookmarkStart w:id="423" w:name="_Toc184314414"/>
      <w:bookmarkEnd w:id="423"/>
      <w:bookmarkStart w:id="424" w:name="_Toc184313239"/>
      <w:bookmarkEnd w:id="424"/>
      <w:bookmarkStart w:id="425" w:name="_Toc184308047"/>
      <w:bookmarkEnd w:id="425"/>
      <w:bookmarkStart w:id="426" w:name="_Toc184312093"/>
      <w:bookmarkEnd w:id="426"/>
      <w:bookmarkStart w:id="427" w:name="_Toc184312095"/>
      <w:bookmarkEnd w:id="427"/>
      <w:bookmarkStart w:id="428" w:name="_Toc184314468"/>
      <w:bookmarkEnd w:id="428"/>
      <w:bookmarkStart w:id="429" w:name="_Toc184312068"/>
      <w:bookmarkEnd w:id="429"/>
      <w:bookmarkStart w:id="430" w:name="_Toc184308099"/>
      <w:bookmarkEnd w:id="430"/>
      <w:bookmarkStart w:id="431" w:name="_Toc184313309"/>
      <w:bookmarkEnd w:id="431"/>
      <w:bookmarkStart w:id="432" w:name="_Toc184310337"/>
      <w:bookmarkEnd w:id="432"/>
      <w:bookmarkStart w:id="433" w:name="_Toc184310293"/>
      <w:bookmarkEnd w:id="433"/>
      <w:bookmarkStart w:id="434" w:name="_Toc184312125"/>
      <w:bookmarkEnd w:id="434"/>
      <w:bookmarkStart w:id="435" w:name="_Toc184312094"/>
      <w:bookmarkEnd w:id="435"/>
      <w:bookmarkStart w:id="436" w:name="_Toc184308044"/>
      <w:bookmarkEnd w:id="436"/>
      <w:bookmarkStart w:id="437" w:name="_Toc184313266"/>
      <w:bookmarkEnd w:id="437"/>
      <w:bookmarkStart w:id="438" w:name="_Toc184308051"/>
      <w:bookmarkEnd w:id="438"/>
      <w:bookmarkStart w:id="439" w:name="_Toc184312079"/>
      <w:bookmarkEnd w:id="439"/>
      <w:bookmarkStart w:id="440" w:name="_Toc184314427"/>
      <w:bookmarkEnd w:id="440"/>
      <w:bookmarkStart w:id="441" w:name="_Toc184313238"/>
      <w:bookmarkEnd w:id="441"/>
      <w:bookmarkStart w:id="442" w:name="_Toc184313247"/>
      <w:bookmarkEnd w:id="442"/>
      <w:bookmarkStart w:id="443" w:name="_Toc184312108"/>
      <w:bookmarkEnd w:id="443"/>
      <w:bookmarkStart w:id="444" w:name="_Toc184310306"/>
      <w:bookmarkEnd w:id="444"/>
      <w:bookmarkStart w:id="445" w:name="_Toc184314463"/>
      <w:bookmarkEnd w:id="445"/>
      <w:bookmarkStart w:id="446" w:name="_Toc184308059"/>
      <w:bookmarkEnd w:id="446"/>
      <w:bookmarkStart w:id="447" w:name="_Toc184314470"/>
      <w:bookmarkEnd w:id="447"/>
      <w:bookmarkStart w:id="448" w:name="_Toc184312130"/>
      <w:bookmarkEnd w:id="448"/>
      <w:bookmarkStart w:id="449" w:name="_Toc184314461"/>
      <w:bookmarkEnd w:id="449"/>
      <w:bookmarkStart w:id="450" w:name="_Toc184310326"/>
      <w:bookmarkEnd w:id="450"/>
      <w:bookmarkStart w:id="451" w:name="_Toc184308096"/>
      <w:bookmarkEnd w:id="451"/>
      <w:bookmarkStart w:id="452" w:name="_Toc184312074"/>
      <w:bookmarkEnd w:id="452"/>
      <w:bookmarkStart w:id="453" w:name="_Toc184313249"/>
      <w:bookmarkEnd w:id="453"/>
      <w:bookmarkStart w:id="454" w:name="_Toc184312122"/>
      <w:bookmarkEnd w:id="454"/>
      <w:bookmarkStart w:id="455" w:name="_Toc184313282"/>
      <w:bookmarkEnd w:id="455"/>
      <w:bookmarkStart w:id="456" w:name="_Toc184312076"/>
      <w:bookmarkEnd w:id="456"/>
      <w:bookmarkStart w:id="457" w:name="_Toc184308068"/>
      <w:bookmarkEnd w:id="457"/>
      <w:bookmarkStart w:id="458" w:name="_Toc184310321"/>
      <w:bookmarkEnd w:id="458"/>
      <w:bookmarkStart w:id="459" w:name="_Toc184314467"/>
      <w:bookmarkEnd w:id="459"/>
      <w:bookmarkStart w:id="460" w:name="_Toc184308065"/>
      <w:bookmarkEnd w:id="460"/>
      <w:bookmarkStart w:id="461" w:name="_Toc184313289"/>
      <w:bookmarkEnd w:id="461"/>
      <w:bookmarkStart w:id="462" w:name="_Toc184308041"/>
      <w:bookmarkEnd w:id="462"/>
      <w:bookmarkStart w:id="463" w:name="_Toc184314435"/>
      <w:bookmarkEnd w:id="463"/>
      <w:bookmarkStart w:id="464" w:name="_Toc184308070"/>
      <w:bookmarkEnd w:id="464"/>
      <w:bookmarkStart w:id="465" w:name="_Toc184308101"/>
      <w:bookmarkEnd w:id="465"/>
      <w:bookmarkStart w:id="466" w:name="_Toc184313259"/>
      <w:bookmarkEnd w:id="466"/>
      <w:bookmarkStart w:id="467" w:name="_Toc184313254"/>
      <w:bookmarkEnd w:id="467"/>
      <w:bookmarkStart w:id="468" w:name="_Toc184314444"/>
      <w:bookmarkEnd w:id="468"/>
      <w:bookmarkStart w:id="469" w:name="_Toc184312128"/>
      <w:bookmarkEnd w:id="469"/>
      <w:bookmarkStart w:id="470" w:name="_Toc184314447"/>
      <w:bookmarkEnd w:id="470"/>
      <w:bookmarkStart w:id="471" w:name="_Toc184310287"/>
      <w:bookmarkEnd w:id="471"/>
      <w:bookmarkStart w:id="472" w:name="_Toc184312098"/>
      <w:bookmarkEnd w:id="472"/>
      <w:bookmarkStart w:id="473" w:name="_Toc184310311"/>
      <w:bookmarkEnd w:id="473"/>
      <w:bookmarkStart w:id="474" w:name="_Toc184314423"/>
      <w:bookmarkEnd w:id="474"/>
      <w:bookmarkStart w:id="475" w:name="_Toc184312124"/>
      <w:bookmarkEnd w:id="475"/>
      <w:bookmarkStart w:id="476" w:name="_Toc184313244"/>
      <w:bookmarkEnd w:id="476"/>
      <w:bookmarkStart w:id="477" w:name="_Toc184308048"/>
      <w:bookmarkEnd w:id="477"/>
      <w:bookmarkStart w:id="478" w:name="_Toc184314473"/>
      <w:bookmarkEnd w:id="478"/>
      <w:bookmarkStart w:id="479" w:name="_Toc184310277"/>
      <w:bookmarkEnd w:id="479"/>
      <w:bookmarkStart w:id="480" w:name="_Toc184312126"/>
      <w:bookmarkEnd w:id="480"/>
      <w:bookmarkStart w:id="481" w:name="_Toc184310341"/>
      <w:bookmarkEnd w:id="481"/>
      <w:bookmarkStart w:id="482" w:name="_Toc184312091"/>
      <w:bookmarkEnd w:id="482"/>
      <w:bookmarkStart w:id="483" w:name="_Toc184308057"/>
      <w:bookmarkEnd w:id="483"/>
      <w:bookmarkStart w:id="484" w:name="_Toc184313278"/>
      <w:bookmarkEnd w:id="484"/>
      <w:bookmarkStart w:id="485" w:name="_Toc184310329"/>
      <w:bookmarkEnd w:id="485"/>
      <w:bookmarkStart w:id="486" w:name="_Toc184310283"/>
      <w:bookmarkEnd w:id="486"/>
      <w:bookmarkStart w:id="487" w:name="_Toc184314476"/>
      <w:bookmarkEnd w:id="487"/>
      <w:bookmarkStart w:id="488" w:name="_Toc184312071"/>
      <w:bookmarkEnd w:id="488"/>
      <w:bookmarkStart w:id="489" w:name="_Toc184312139"/>
      <w:bookmarkEnd w:id="489"/>
      <w:bookmarkStart w:id="490" w:name="_Toc184313255"/>
      <w:bookmarkEnd w:id="490"/>
      <w:bookmarkStart w:id="491" w:name="_Toc184313304"/>
      <w:bookmarkEnd w:id="491"/>
      <w:bookmarkStart w:id="492" w:name="_Toc184310292"/>
      <w:bookmarkEnd w:id="492"/>
      <w:bookmarkStart w:id="493" w:name="_Toc184314460"/>
      <w:bookmarkEnd w:id="493"/>
      <w:bookmarkStart w:id="494" w:name="_Toc184313243"/>
      <w:bookmarkEnd w:id="494"/>
      <w:bookmarkStart w:id="495" w:name="_Toc184308079"/>
      <w:bookmarkEnd w:id="495"/>
      <w:bookmarkStart w:id="496" w:name="_Toc184313306"/>
      <w:bookmarkEnd w:id="496"/>
      <w:bookmarkStart w:id="497" w:name="_Toc184313281"/>
      <w:bookmarkEnd w:id="497"/>
      <w:bookmarkStart w:id="498" w:name="_Toc184310320"/>
      <w:bookmarkEnd w:id="498"/>
      <w:bookmarkStart w:id="499" w:name="_Toc184314432"/>
      <w:bookmarkEnd w:id="499"/>
      <w:bookmarkStart w:id="500" w:name="_Toc184313284"/>
      <w:bookmarkEnd w:id="500"/>
      <w:bookmarkStart w:id="501" w:name="_Toc184310303"/>
      <w:bookmarkEnd w:id="501"/>
      <w:bookmarkStart w:id="502" w:name="_Toc184314471"/>
      <w:bookmarkEnd w:id="502"/>
      <w:bookmarkStart w:id="503" w:name="_Toc184312112"/>
      <w:bookmarkEnd w:id="503"/>
      <w:bookmarkStart w:id="504" w:name="_Toc184308072"/>
      <w:bookmarkEnd w:id="504"/>
      <w:r>
        <w:rPr>
          <w:rFonts w:hint="eastAsia" w:ascii="宋体" w:hAnsi="宋体" w:eastAsia="宋体" w:cs="宋体"/>
          <w:b/>
          <w:color w:val="auto"/>
          <w:sz w:val="36"/>
          <w:szCs w:val="36"/>
          <w:highlight w:val="none"/>
        </w:rPr>
        <w:t>评标办法</w:t>
      </w:r>
      <w:bookmarkEnd w:id="124"/>
      <w:bookmarkEnd w:id="138"/>
      <w:bookmarkEnd w:id="139"/>
    </w:p>
    <w:p>
      <w:pPr>
        <w:pStyle w:val="3"/>
        <w:jc w:val="center"/>
        <w:rPr>
          <w:rFonts w:hint="eastAsia" w:ascii="宋体" w:hAnsi="宋体" w:eastAsia="宋体" w:cs="宋体"/>
          <w:color w:val="auto"/>
          <w:sz w:val="28"/>
          <w:szCs w:val="28"/>
          <w:highlight w:val="none"/>
        </w:rPr>
      </w:pPr>
      <w:bookmarkStart w:id="505" w:name="_Toc9623"/>
      <w:bookmarkStart w:id="506" w:name="_Toc24016"/>
      <w:bookmarkStart w:id="507" w:name="_Toc14912"/>
      <w:r>
        <w:rPr>
          <w:rFonts w:hint="eastAsia" w:ascii="宋体" w:hAnsi="宋体" w:eastAsia="宋体" w:cs="宋体"/>
          <w:color w:val="auto"/>
          <w:sz w:val="28"/>
          <w:szCs w:val="28"/>
          <w:highlight w:val="none"/>
        </w:rPr>
        <w:t>评标办法前附表</w:t>
      </w:r>
      <w:bookmarkEnd w:id="505"/>
      <w:bookmarkEnd w:id="506"/>
      <w:bookmarkEnd w:id="507"/>
    </w:p>
    <w:tbl>
      <w:tblPr>
        <w:tblStyle w:val="19"/>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589"/>
        <w:gridCol w:w="815"/>
        <w:gridCol w:w="4956"/>
        <w:gridCol w:w="722"/>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评审内容</w:t>
            </w: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评分标准</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权值比重(100分)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投标文件中相应的商务技术资料目录（页码）*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商务技术部分（</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0分）</w:t>
            </w:r>
          </w:p>
        </w:tc>
        <w:tc>
          <w:tcPr>
            <w:tcW w:w="589"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p>
        </w:tc>
        <w:tc>
          <w:tcPr>
            <w:tcW w:w="815"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业绩</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投标人自2019年1月1日至今（以合同签订时间为准）具有保安项目的业绩，提供1个得</w:t>
            </w:r>
            <w:r>
              <w:rPr>
                <w:rFonts w:hint="eastAsia" w:ascii="宋体" w:hAnsi="宋体" w:eastAsia="宋体" w:cs="宋体"/>
                <w:color w:val="auto"/>
                <w:sz w:val="24"/>
                <w:highlight w:val="none"/>
                <w:lang w:val="en-US" w:eastAsia="zh-CN"/>
              </w:rPr>
              <w:t>0.5</w:t>
            </w:r>
            <w:r>
              <w:rPr>
                <w:rFonts w:hint="eastAsia" w:ascii="宋体" w:hAnsi="宋体" w:eastAsia="宋体" w:cs="宋体"/>
                <w:color w:val="auto"/>
                <w:sz w:val="24"/>
                <w:highlight w:val="none"/>
              </w:rPr>
              <w:t>分，最高</w:t>
            </w:r>
            <w:r>
              <w:rPr>
                <w:rFonts w:hint="eastAsia" w:ascii="宋体" w:hAnsi="宋体" w:eastAsia="宋体" w:cs="宋体"/>
                <w:color w:val="auto"/>
                <w:sz w:val="24"/>
                <w:highlight w:val="none"/>
                <w:lang w:val="en-US" w:eastAsia="zh-CN"/>
              </w:rPr>
              <w:t>0.5</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投标文件中需提供合同复印件，原件备查。</w:t>
            </w:r>
            <w:r>
              <w:rPr>
                <w:rFonts w:hint="eastAsia" w:ascii="宋体" w:hAnsi="宋体" w:eastAsia="宋体" w:cs="宋体"/>
                <w:color w:val="auto"/>
                <w:sz w:val="24"/>
                <w:highlight w:val="none"/>
                <w:lang w:eastAsia="zh-CN"/>
              </w:rPr>
              <w:t>）</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0.5</w:t>
            </w:r>
            <w:r>
              <w:rPr>
                <w:rFonts w:hint="eastAsia" w:ascii="宋体" w:hAnsi="宋体" w:eastAsia="宋体" w:cs="宋体"/>
                <w:color w:val="auto"/>
                <w:sz w:val="24"/>
                <w:highlight w:val="none"/>
              </w:rPr>
              <w:t>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81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投标人自201</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年1月1日至今（以合同签订时间为准）具有金融护卫业绩，提供1个得</w:t>
            </w:r>
            <w:r>
              <w:rPr>
                <w:rFonts w:hint="eastAsia" w:ascii="宋体" w:hAnsi="宋体" w:eastAsia="宋体" w:cs="宋体"/>
                <w:color w:val="auto"/>
                <w:sz w:val="24"/>
                <w:highlight w:val="none"/>
                <w:lang w:val="en-US" w:eastAsia="zh-CN"/>
              </w:rPr>
              <w:t>0.5</w:t>
            </w:r>
            <w:r>
              <w:rPr>
                <w:rFonts w:hint="eastAsia" w:ascii="宋体" w:hAnsi="宋体" w:eastAsia="宋体" w:cs="宋体"/>
                <w:color w:val="auto"/>
                <w:sz w:val="24"/>
                <w:highlight w:val="none"/>
              </w:rPr>
              <w:t>分，最高</w:t>
            </w:r>
            <w:r>
              <w:rPr>
                <w:rFonts w:hint="eastAsia" w:ascii="宋体" w:hAnsi="宋体" w:eastAsia="宋体" w:cs="宋体"/>
                <w:color w:val="auto"/>
                <w:sz w:val="24"/>
                <w:highlight w:val="none"/>
                <w:lang w:val="en-US" w:eastAsia="zh-CN"/>
              </w:rPr>
              <w:t>0.5</w:t>
            </w:r>
            <w:r>
              <w:rPr>
                <w:rFonts w:hint="eastAsia" w:ascii="宋体" w:hAnsi="宋体" w:eastAsia="宋体" w:cs="宋体"/>
                <w:color w:val="auto"/>
                <w:sz w:val="24"/>
                <w:highlight w:val="none"/>
              </w:rPr>
              <w:t>分。（投标文件中需提供合同复印件，原件备查。）</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0.5分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反馈表</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具有业主</w:t>
            </w:r>
            <w:r>
              <w:rPr>
                <w:rFonts w:hint="eastAsia" w:ascii="宋体" w:hAnsi="宋体" w:eastAsia="宋体" w:cs="宋体"/>
                <w:color w:val="auto"/>
                <w:sz w:val="24"/>
                <w:highlight w:val="none"/>
                <w:lang w:val="en-US" w:eastAsia="zh-CN"/>
              </w:rPr>
              <w:t>针对投标人保安服务或金融护卫服务</w:t>
            </w:r>
            <w:r>
              <w:rPr>
                <w:rFonts w:hint="eastAsia" w:ascii="宋体" w:hAnsi="宋体" w:eastAsia="宋体" w:cs="宋体"/>
                <w:color w:val="auto"/>
                <w:sz w:val="24"/>
                <w:highlight w:val="none"/>
              </w:rPr>
              <w:t>反馈</w:t>
            </w:r>
            <w:r>
              <w:rPr>
                <w:rFonts w:hint="eastAsia" w:ascii="宋体" w:hAnsi="宋体" w:eastAsia="宋体" w:cs="宋体"/>
                <w:color w:val="auto"/>
                <w:sz w:val="24"/>
                <w:highlight w:val="none"/>
                <w:lang w:val="en-US" w:eastAsia="zh-CN"/>
              </w:rPr>
              <w:t>的</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每个良好反馈证明材料得1分，</w:t>
            </w:r>
            <w:r>
              <w:rPr>
                <w:rFonts w:hint="eastAsia" w:ascii="宋体" w:hAnsi="宋体" w:eastAsia="宋体" w:cs="宋体"/>
                <w:color w:val="auto"/>
                <w:sz w:val="24"/>
                <w:highlight w:val="none"/>
              </w:rPr>
              <w:t>最高得</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lang w:val="en-US" w:eastAsia="zh-CN"/>
              </w:rPr>
              <w:t>同一业主只计算一项，未提供不得分。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投标文件中需提供</w:t>
            </w:r>
            <w:r>
              <w:rPr>
                <w:rFonts w:hint="eastAsia" w:ascii="宋体" w:hAnsi="宋体" w:eastAsia="宋体" w:cs="宋体"/>
                <w:color w:val="auto"/>
                <w:sz w:val="24"/>
                <w:highlight w:val="none"/>
                <w:lang w:val="en-US" w:eastAsia="zh-CN"/>
              </w:rPr>
              <w:t>业主反馈证明文件</w:t>
            </w:r>
            <w:r>
              <w:rPr>
                <w:rFonts w:hint="eastAsia" w:ascii="宋体" w:hAnsi="宋体" w:eastAsia="宋体" w:cs="宋体"/>
                <w:color w:val="auto"/>
                <w:sz w:val="24"/>
                <w:highlight w:val="none"/>
              </w:rPr>
              <w:t>复印件，原件备查。</w:t>
            </w:r>
            <w:r>
              <w:rPr>
                <w:rFonts w:hint="eastAsia" w:ascii="宋体" w:hAnsi="宋体" w:eastAsia="宋体" w:cs="宋体"/>
                <w:color w:val="auto"/>
                <w:sz w:val="24"/>
                <w:highlight w:val="none"/>
                <w:lang w:eastAsia="zh-CN"/>
              </w:rPr>
              <w:t>）</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证书</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投标人获得质量管理体系认证、环境管理体系认证、职业健康与安全管理体系认证三体系认证，每个证书得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最高3分</w:t>
            </w:r>
            <w:r>
              <w:rPr>
                <w:rFonts w:hint="eastAsia" w:ascii="宋体" w:hAnsi="宋体" w:eastAsia="宋体" w:cs="宋体"/>
                <w:color w:val="auto"/>
                <w:sz w:val="24"/>
                <w:highlight w:val="none"/>
              </w:rPr>
              <w:t>（认证范围需包含保安服务内容，投标文件中提供</w:t>
            </w:r>
            <w:r>
              <w:rPr>
                <w:rFonts w:hint="eastAsia" w:ascii="宋体" w:hAnsi="宋体" w:eastAsia="宋体" w:cs="宋体"/>
                <w:color w:val="auto"/>
                <w:sz w:val="24"/>
                <w:highlight w:val="none"/>
                <w:lang w:val="en-US" w:eastAsia="zh-CN"/>
              </w:rPr>
              <w:t>认证</w:t>
            </w:r>
            <w:r>
              <w:rPr>
                <w:rFonts w:hint="eastAsia" w:ascii="宋体" w:hAnsi="宋体" w:eastAsia="宋体" w:cs="宋体"/>
                <w:color w:val="auto"/>
                <w:sz w:val="24"/>
                <w:highlight w:val="none"/>
              </w:rPr>
              <w:t>证书复印件</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原件备查。</w:t>
            </w:r>
            <w:r>
              <w:rPr>
                <w:rFonts w:hint="eastAsia" w:ascii="宋体" w:hAnsi="宋体" w:eastAsia="宋体" w:cs="宋体"/>
                <w:color w:val="auto"/>
                <w:sz w:val="24"/>
                <w:highlight w:val="none"/>
              </w:rPr>
              <w:t>）</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偏离情况</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投标文件对招标文件的响应情况：与招标文件无负偏离得</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分；非实质性负偏离,每项扣1分，扣完为止。标注“▲”条款为实质性条款。</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815"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人员素质情况</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投标人</w:t>
            </w:r>
            <w:r>
              <w:rPr>
                <w:rFonts w:hint="eastAsia" w:ascii="宋体" w:hAnsi="宋体" w:eastAsia="宋体" w:cs="宋体"/>
                <w:color w:val="auto"/>
                <w:sz w:val="24"/>
                <w:highlight w:val="none"/>
                <w:lang w:val="en-US" w:eastAsia="zh-CN"/>
              </w:rPr>
              <w:t>拟派项目负责人：具有高级保安管理师（一级）的得3分，具有保安管理师（二级）职业等级证书的得2分、高级保安员（三级）职业等级证书的得1分、中级保安员（四级）职业等级证书的得0.5分；没提供不得分。</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81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项目人员（除项目负责人）具有保安管理师（二级）及以上职业等级证书，每提供1个得0.5分；高级保安员（三级）职业等级证书,每提供1个得0.2分；中级保安员（四级）职业等级证书，每提供1个得0.1分；本项最高得4分。（同一人具有多个证书的按得分高的计算。）</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81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lang w:val="en-US" w:eastAsia="zh-CN"/>
              </w:rPr>
              <w:t>投标人</w:t>
            </w:r>
            <w:r>
              <w:rPr>
                <w:rFonts w:hint="eastAsia" w:ascii="宋体" w:hAnsi="宋体" w:eastAsia="宋体" w:cs="宋体"/>
                <w:color w:val="auto"/>
                <w:sz w:val="24"/>
                <w:highlight w:val="none"/>
                <w:lang w:val="en-US" w:eastAsia="zh-CN"/>
              </w:rPr>
              <w:t>投入人员（除项目负责人外）每具有一名退伍军人得0.5分，最高得4分。</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安全保卫工作整体方案</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根据投标人提供完整的医院安全保卫工作整体方案、人员调度计划、值班轮休计划具体措施。</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金融护卫方案</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金融护卫方案和措施</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停车管理方案</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停车管理方案和措施</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重点部位保安方案</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重点部位(包含医院门卫、急诊区域、发热门诊区域)的保安方案及保证措施</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5分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日常工作程序</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日常工作程序（维护医院内的医疗秩序、消防安全、</w:t>
            </w:r>
            <w:r>
              <w:rPr>
                <w:rFonts w:hint="eastAsia" w:ascii="宋体" w:hAnsi="宋体" w:eastAsia="宋体" w:cs="宋体"/>
                <w:color w:val="auto"/>
                <w:sz w:val="24"/>
                <w:highlight w:val="none"/>
                <w:lang w:val="en-US" w:eastAsia="zh-CN"/>
              </w:rPr>
              <w:t>常</w:t>
            </w:r>
            <w:r>
              <w:rPr>
                <w:rFonts w:hint="eastAsia" w:ascii="宋体" w:hAnsi="宋体" w:eastAsia="宋体" w:cs="宋体"/>
                <w:color w:val="auto"/>
                <w:sz w:val="24"/>
                <w:highlight w:val="none"/>
              </w:rPr>
              <w:t>态化巡逻等各项活动、公共秩序、调解纠纷、疏导人流等）内容。</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保安服务方案</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保安服务方案包括岗位服务内容、保安标准化方案，</w:t>
            </w:r>
            <w:r>
              <w:rPr>
                <w:rFonts w:hint="eastAsia" w:ascii="宋体" w:hAnsi="宋体" w:eastAsia="宋体" w:cs="宋体"/>
                <w:color w:val="auto"/>
                <w:sz w:val="24"/>
                <w:highlight w:val="none"/>
                <w:lang w:val="en-US" w:eastAsia="zh-CN"/>
              </w:rPr>
              <w:t>以及</w:t>
            </w:r>
            <w:r>
              <w:rPr>
                <w:rFonts w:hint="eastAsia" w:ascii="宋体" w:hAnsi="宋体" w:eastAsia="宋体" w:cs="宋体"/>
                <w:color w:val="auto"/>
                <w:sz w:val="24"/>
                <w:highlight w:val="none"/>
              </w:rPr>
              <w:t>操作规程、演练、演习</w:t>
            </w:r>
            <w:r>
              <w:rPr>
                <w:rFonts w:hint="eastAsia" w:ascii="宋体" w:hAnsi="宋体" w:eastAsia="宋体" w:cs="宋体"/>
                <w:color w:val="auto"/>
                <w:sz w:val="24"/>
                <w:highlight w:val="none"/>
                <w:lang w:val="en-US" w:eastAsia="zh-CN"/>
              </w:rPr>
              <w:t>等内容。</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保安管理制度</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保安工作人员职责制度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交接班制度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保安队伍例会制度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队伍绩效考核管理制度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队伍奖惩制度</w:t>
            </w:r>
            <w:r>
              <w:rPr>
                <w:rFonts w:hint="eastAsia" w:ascii="宋体" w:hAnsi="宋体" w:eastAsia="宋体" w:cs="宋体"/>
                <w:color w:val="auto"/>
                <w:sz w:val="24"/>
                <w:highlight w:val="none"/>
                <w:lang w:eastAsia="zh-CN"/>
              </w:rPr>
              <w:t>。</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13</w:t>
            </w:r>
          </w:p>
        </w:tc>
        <w:tc>
          <w:tcPr>
            <w:tcW w:w="815"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稳定员工队伍的措施</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供应商提供针对保安人员流失控制及时补充的方案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严格控制非违纪人员轮换岗比例</w:t>
            </w:r>
            <w:r>
              <w:rPr>
                <w:rFonts w:hint="eastAsia" w:ascii="宋体" w:hAnsi="宋体" w:eastAsia="宋体" w:cs="宋体"/>
                <w:color w:val="auto"/>
                <w:sz w:val="24"/>
                <w:highlight w:val="none"/>
                <w:lang w:val="en-US" w:eastAsia="zh-CN"/>
              </w:rPr>
              <w:t>的方案及措施</w:t>
            </w:r>
            <w:r>
              <w:rPr>
                <w:rFonts w:hint="eastAsia" w:ascii="宋体" w:hAnsi="宋体" w:eastAsia="宋体" w:cs="宋体"/>
                <w:color w:val="auto"/>
                <w:sz w:val="24"/>
                <w:highlight w:val="none"/>
              </w:rPr>
              <w:t>。</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81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人员保障机制及人员工资福利承诺情况，根据采购人投入项目资金情况，制定员工工资福利计划。（以符合采购人投入资金的使用合理性为原则）</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加班措施</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重大接待任务及重要节假日加班措施。</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p>
        </w:tc>
        <w:tc>
          <w:tcPr>
            <w:tcW w:w="815"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项目人员</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供服务人员详细的岗位及人员配备及任职经历情况。团队配备合理，团队人员受过专门岗前培训、熟知医院的管理规定、严格履行岗位职责、善于发现各类问题、具备较强的处理突发事件能力的得3分；团队配备较合理，团队人员受过相关培训、严格履行岗位职责、具备一定处理突发事件能力的得2分；团队配备较合理，团队人员受过培训、能较好履行岗位职责的得1分；未提供人员任职情况的不得分。</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81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供服务人员年龄组成承诺。服务团队年龄组成分布合理，充分满足岗位工作需要得2分，服务团队年龄组成分布基本合理，能符合岗位工作需要得1分，服务团队年龄组成部分不合理，不能很好胜任岗位工作需求得0.5分。未提供说明的0分。</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16</w:t>
            </w:r>
          </w:p>
        </w:tc>
        <w:tc>
          <w:tcPr>
            <w:tcW w:w="815"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应急方案及措施</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突发事件（包括台风、暴雨、地震等灾害性天气导致的各类突发事件及其他突发事件）时的应急预案及相应的措施</w:t>
            </w:r>
            <w:r>
              <w:rPr>
                <w:rFonts w:hint="eastAsia" w:ascii="宋体" w:hAnsi="宋体" w:eastAsia="宋体" w:cs="宋体"/>
                <w:color w:val="auto"/>
                <w:sz w:val="24"/>
                <w:highlight w:val="none"/>
                <w:lang w:eastAsia="zh-CN"/>
              </w:rPr>
              <w:t>；</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81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针对防盗、防火的安全防范巡查措施</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81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应对危及医护人员安全的突发事件的应急预案</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81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应对社会纠纷、暴恐事件等类型的应急预案</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p>
        </w:tc>
        <w:tc>
          <w:tcPr>
            <w:tcW w:w="81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应对突发性公</w:t>
            </w:r>
            <w:r>
              <w:rPr>
                <w:rFonts w:hint="eastAsia" w:ascii="宋体" w:hAnsi="宋体" w:eastAsia="宋体" w:cs="宋体"/>
                <w:color w:val="auto"/>
                <w:sz w:val="24"/>
                <w:highlight w:val="none"/>
                <w:lang w:val="en-US" w:eastAsia="zh-CN"/>
              </w:rPr>
              <w:t>共</w:t>
            </w:r>
            <w:r>
              <w:rPr>
                <w:rFonts w:hint="eastAsia" w:ascii="宋体" w:hAnsi="宋体" w:eastAsia="宋体" w:cs="宋体"/>
                <w:color w:val="auto"/>
                <w:sz w:val="24"/>
                <w:highlight w:val="none"/>
              </w:rPr>
              <w:t>卫</w:t>
            </w:r>
            <w:r>
              <w:rPr>
                <w:rFonts w:hint="eastAsia" w:ascii="宋体" w:hAnsi="宋体" w:eastAsia="宋体" w:cs="宋体"/>
                <w:color w:val="auto"/>
                <w:sz w:val="24"/>
                <w:highlight w:val="none"/>
                <w:lang w:val="en-US" w:eastAsia="zh-CN"/>
              </w:rPr>
              <w:t>生</w:t>
            </w:r>
            <w:r>
              <w:rPr>
                <w:rFonts w:hint="eastAsia" w:ascii="宋体" w:hAnsi="宋体" w:eastAsia="宋体" w:cs="宋体"/>
                <w:color w:val="auto"/>
                <w:sz w:val="24"/>
                <w:highlight w:val="none"/>
              </w:rPr>
              <w:t>事件（如疫情防控）的应急预案</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7</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维护执勤器材</w:t>
            </w:r>
            <w:r>
              <w:rPr>
                <w:rFonts w:hint="eastAsia" w:ascii="宋体" w:hAnsi="宋体" w:eastAsia="宋体" w:cs="宋体"/>
                <w:color w:val="auto"/>
                <w:sz w:val="24"/>
                <w:highlight w:val="none"/>
                <w:lang w:val="en-US" w:eastAsia="zh-CN"/>
              </w:rPr>
              <w:t>情况</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拟投入本项目的秩序维护执勤器材等符合招标文件的要求及本项目的实际情况。</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服务质量承诺</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服务质量的承诺及保证措施、安全文明礼貌的承诺及保证措施、完善售后服务计划。</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9</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重难点分析</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投标人</w:t>
            </w:r>
            <w:r>
              <w:rPr>
                <w:rFonts w:hint="eastAsia" w:ascii="宋体" w:hAnsi="宋体" w:eastAsia="宋体" w:cs="宋体"/>
                <w:color w:val="auto"/>
                <w:sz w:val="24"/>
                <w:highlight w:val="none"/>
              </w:rPr>
              <w:t>对项目现状、存在的问题和保安服务的难点、要点等问题进行调查剖析，提出克服难点和要点的措施和方案。</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998"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价格部分</w:t>
            </w:r>
          </w:p>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满分</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lang w:val="en-US" w:eastAsia="zh-CN"/>
              </w:rPr>
              <w:t>)</w:t>
            </w:r>
          </w:p>
        </w:tc>
        <w:tc>
          <w:tcPr>
            <w:tcW w:w="58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p>
        </w:tc>
        <w:tc>
          <w:tcPr>
            <w:tcW w:w="815"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价格</w:t>
            </w:r>
          </w:p>
        </w:tc>
        <w:tc>
          <w:tcPr>
            <w:tcW w:w="4956"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满足招标文件要求且投标价格最低的投标报价为评标基准价，其价格分为满分。</w:t>
            </w:r>
          </w:p>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各个投标人的投标价与评标基准价相比，计算出投标报价得分。</w:t>
            </w:r>
          </w:p>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投标报价得分=(评标基准价／投标报价)×</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0。</w:t>
            </w:r>
          </w:p>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注：以上评分保留小数2位。</w:t>
            </w:r>
          </w:p>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tc>
        <w:tc>
          <w:tcPr>
            <w:tcW w:w="722"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分</w:t>
            </w:r>
          </w:p>
        </w:tc>
        <w:tc>
          <w:tcPr>
            <w:tcW w:w="1039" w:type="dxa"/>
            <w:noWrap/>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left="-107" w:leftChars="-51" w:right="-97" w:rightChars="-46"/>
              <w:jc w:val="center"/>
              <w:textAlignment w:val="auto"/>
              <w:rPr>
                <w:rFonts w:hint="eastAsia" w:ascii="宋体" w:hAnsi="宋体" w:eastAsia="宋体" w:cs="宋体"/>
                <w:color w:val="auto"/>
                <w:sz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w:t>
      </w:r>
      <w:r>
        <w:rPr>
          <w:rFonts w:hint="eastAsia" w:ascii="宋体" w:hAnsi="宋体" w:eastAsia="宋体" w:cs="宋体"/>
          <w:b/>
          <w:color w:val="auto"/>
          <w:sz w:val="24"/>
          <w:szCs w:val="24"/>
          <w:highlight w:val="none"/>
        </w:rPr>
        <w:t>备注：</w:t>
      </w:r>
      <w:r>
        <w:rPr>
          <w:rFonts w:hint="eastAsia" w:ascii="宋体" w:hAnsi="宋体" w:eastAsia="宋体" w:cs="宋体"/>
          <w:color w:val="auto"/>
          <w:sz w:val="24"/>
          <w:szCs w:val="24"/>
          <w:highlight w:val="none"/>
        </w:rPr>
        <w:t>供应商编制投标文件（商务技术文件部分）时，建议按此目录（序号和内容）</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提供评审标准相应的商务技术资料。</w:t>
      </w:r>
    </w:p>
    <w:p>
      <w:pPr>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rPr>
      </w:pPr>
    </w:p>
    <w:p>
      <w:pPr>
        <w:pStyle w:val="3"/>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rPr>
      </w:pPr>
      <w:bookmarkStart w:id="508" w:name="_Toc26833"/>
      <w:bookmarkStart w:id="509" w:name="_Toc3941"/>
      <w:bookmarkStart w:id="510" w:name="_Toc18318"/>
    </w:p>
    <w:p>
      <w:pPr>
        <w:pStyle w:val="3"/>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一、评标方法</w:t>
      </w:r>
      <w:bookmarkEnd w:id="508"/>
      <w:bookmarkEnd w:id="509"/>
      <w:bookmarkEnd w:id="510"/>
    </w:p>
    <w:p>
      <w:pPr>
        <w:pageBreakBefore w:val="0"/>
        <w:kinsoku/>
        <w:wordWrap/>
        <w:overflowPunct/>
        <w:topLinePunct w:val="0"/>
        <w:autoSpaceDE/>
        <w:autoSpaceDN/>
        <w:bidi w:val="0"/>
        <w:adjustRightInd/>
        <w:spacing w:line="312"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1.本项目采用综合评分法。</w:t>
      </w:r>
      <w:r>
        <w:rPr>
          <w:rFonts w:hint="eastAsia" w:ascii="宋体" w:hAnsi="宋体" w:eastAsia="宋体" w:cs="宋体"/>
          <w:color w:val="auto"/>
          <w:kern w:val="0"/>
          <w:sz w:val="24"/>
          <w:szCs w:val="24"/>
          <w:highlight w:val="none"/>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312" w:lineRule="auto"/>
        <w:textAlignment w:val="auto"/>
        <w:rPr>
          <w:rFonts w:hint="eastAsia" w:ascii="宋体" w:hAnsi="宋体" w:eastAsia="宋体" w:cs="宋体"/>
          <w:b/>
          <w:color w:val="auto"/>
          <w:sz w:val="24"/>
          <w:szCs w:val="24"/>
          <w:highlight w:val="none"/>
        </w:rPr>
      </w:pPr>
    </w:p>
    <w:p>
      <w:pPr>
        <w:pStyle w:val="3"/>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rPr>
      </w:pPr>
      <w:bookmarkStart w:id="511" w:name="_Toc15001"/>
      <w:bookmarkStart w:id="512" w:name="_Toc13269"/>
      <w:bookmarkStart w:id="513" w:name="_Toc28615"/>
      <w:r>
        <w:rPr>
          <w:rFonts w:hint="eastAsia" w:ascii="宋体" w:hAnsi="宋体" w:eastAsia="宋体" w:cs="宋体"/>
          <w:color w:val="auto"/>
          <w:sz w:val="24"/>
          <w:szCs w:val="24"/>
          <w:highlight w:val="none"/>
        </w:rPr>
        <w:t>二、评标标准</w:t>
      </w:r>
      <w:bookmarkEnd w:id="511"/>
      <w:bookmarkEnd w:id="512"/>
      <w:bookmarkEnd w:id="513"/>
    </w:p>
    <w:p>
      <w:pPr>
        <w:pageBreakBefore w:val="0"/>
        <w:kinsoku/>
        <w:wordWrap/>
        <w:overflowPunct/>
        <w:topLinePunct w:val="0"/>
        <w:autoSpaceDE/>
        <w:autoSpaceDN/>
        <w:bidi w:val="0"/>
        <w:spacing w:line="312" w:lineRule="auto"/>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2.评标标准：</w:t>
      </w:r>
      <w:r>
        <w:rPr>
          <w:rFonts w:hint="eastAsia" w:ascii="宋体" w:hAnsi="宋体" w:eastAsia="宋体" w:cs="宋体"/>
          <w:color w:val="auto"/>
          <w:kern w:val="0"/>
          <w:sz w:val="24"/>
          <w:szCs w:val="24"/>
          <w:highlight w:val="none"/>
        </w:rPr>
        <w:t>见评标办法前附表。</w:t>
      </w:r>
    </w:p>
    <w:p>
      <w:pPr>
        <w:pageBreakBefore w:val="0"/>
        <w:kinsoku/>
        <w:wordWrap/>
        <w:overflowPunct/>
        <w:topLinePunct w:val="0"/>
        <w:autoSpaceDE/>
        <w:autoSpaceDN/>
        <w:bidi w:val="0"/>
        <w:spacing w:line="312" w:lineRule="auto"/>
        <w:textAlignment w:val="auto"/>
        <w:rPr>
          <w:rFonts w:hint="eastAsia" w:ascii="宋体" w:hAnsi="宋体" w:eastAsia="宋体" w:cs="宋体"/>
          <w:b/>
          <w:color w:val="auto"/>
          <w:sz w:val="24"/>
          <w:szCs w:val="24"/>
          <w:highlight w:val="none"/>
        </w:rPr>
      </w:pPr>
    </w:p>
    <w:p>
      <w:pPr>
        <w:pStyle w:val="3"/>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rPr>
      </w:pPr>
      <w:bookmarkStart w:id="514" w:name="_Toc5140"/>
      <w:bookmarkStart w:id="515" w:name="_Toc3879"/>
      <w:bookmarkStart w:id="516" w:name="_Toc17817"/>
      <w:r>
        <w:rPr>
          <w:rFonts w:hint="eastAsia" w:ascii="宋体" w:hAnsi="宋体" w:eastAsia="宋体" w:cs="宋体"/>
          <w:color w:val="auto"/>
          <w:sz w:val="24"/>
          <w:szCs w:val="24"/>
          <w:highlight w:val="none"/>
        </w:rPr>
        <w:t>三、评标程序</w:t>
      </w:r>
      <w:bookmarkEnd w:id="514"/>
      <w:bookmarkEnd w:id="515"/>
      <w:bookmarkEnd w:id="516"/>
    </w:p>
    <w:p>
      <w:pPr>
        <w:pageBreakBefore w:val="0"/>
        <w:kinsoku/>
        <w:wordWrap/>
        <w:overflowPunct/>
        <w:topLinePunct w:val="0"/>
        <w:autoSpaceDE/>
        <w:autoSpaceDN/>
        <w:bidi w:val="0"/>
        <w:spacing w:line="312"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3.1符合性审查。</w:t>
      </w:r>
      <w:r>
        <w:rPr>
          <w:rFonts w:hint="eastAsia" w:ascii="宋体" w:hAnsi="宋体" w:eastAsia="宋体" w:cs="宋体"/>
          <w:color w:val="auto"/>
          <w:kern w:val="0"/>
          <w:sz w:val="24"/>
          <w:szCs w:val="24"/>
          <w:highlight w:val="none"/>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spacing w:line="312"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3.2 比较与评价。</w:t>
      </w:r>
      <w:r>
        <w:rPr>
          <w:rFonts w:hint="eastAsia" w:ascii="宋体" w:hAnsi="宋体" w:eastAsia="宋体" w:cs="宋体"/>
          <w:color w:val="auto"/>
          <w:kern w:val="0"/>
          <w:sz w:val="24"/>
          <w:szCs w:val="24"/>
          <w:highlight w:val="none"/>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spacing w:line="312"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3.3汇总商务技术得分。</w:t>
      </w:r>
      <w:r>
        <w:rPr>
          <w:rFonts w:hint="eastAsia" w:ascii="宋体" w:hAnsi="宋体" w:eastAsia="宋体" w:cs="宋体"/>
          <w:color w:val="auto"/>
          <w:kern w:val="0"/>
          <w:sz w:val="24"/>
          <w:szCs w:val="24"/>
          <w:highlight w:val="none"/>
        </w:rPr>
        <w:t>评标委员会各成员应当独立对每个投标人的商务和技术文件进行评价，并汇总商务技术得分情况。</w:t>
      </w:r>
    </w:p>
    <w:p>
      <w:pPr>
        <w:pageBreakBefore w:val="0"/>
        <w:kinsoku/>
        <w:wordWrap/>
        <w:overflowPunct/>
        <w:topLinePunct w:val="0"/>
        <w:autoSpaceDE/>
        <w:autoSpaceDN/>
        <w:bidi w:val="0"/>
        <w:spacing w:line="312" w:lineRule="auto"/>
        <w:ind w:firstLine="472" w:firstLineChars="196"/>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3.4报价评审。</w:t>
      </w:r>
    </w:p>
    <w:p>
      <w:pPr>
        <w:pStyle w:val="26"/>
        <w:pageBreakBefore w:val="0"/>
        <w:kinsoku/>
        <w:wordWrap/>
        <w:overflowPunct/>
        <w:topLinePunct w:val="0"/>
        <w:autoSpaceDE/>
        <w:autoSpaceDN/>
        <w:bidi w:val="0"/>
        <w:spacing w:before="0" w:line="312" w:lineRule="auto"/>
        <w:ind w:firstLine="508" w:firstLineChars="212"/>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3.4.1投标文件报价出现前后不一致的，按照下列规定修正：</w:t>
      </w:r>
    </w:p>
    <w:p>
      <w:pPr>
        <w:pStyle w:val="26"/>
        <w:pageBreakBefore w:val="0"/>
        <w:kinsoku/>
        <w:wordWrap/>
        <w:overflowPunct/>
        <w:topLinePunct w:val="0"/>
        <w:autoSpaceDE/>
        <w:autoSpaceDN/>
        <w:bidi w:val="0"/>
        <w:spacing w:before="0" w:line="312"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3.4.1.1投标文件中开标一览表(报价表)内容与投标文件中相应内容不一致的，以开标一览表(报价表)为准;</w:t>
      </w:r>
    </w:p>
    <w:p>
      <w:pPr>
        <w:pStyle w:val="26"/>
        <w:pageBreakBefore w:val="0"/>
        <w:kinsoku/>
        <w:wordWrap/>
        <w:overflowPunct/>
        <w:topLinePunct w:val="0"/>
        <w:autoSpaceDE/>
        <w:autoSpaceDN/>
        <w:bidi w:val="0"/>
        <w:spacing w:before="0" w:line="312"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3.4.1.2大写金额和小写金额不一致的，以大写金额为准;</w:t>
      </w:r>
    </w:p>
    <w:p>
      <w:pPr>
        <w:pStyle w:val="26"/>
        <w:pageBreakBefore w:val="0"/>
        <w:kinsoku/>
        <w:wordWrap/>
        <w:overflowPunct/>
        <w:topLinePunct w:val="0"/>
        <w:autoSpaceDE/>
        <w:autoSpaceDN/>
        <w:bidi w:val="0"/>
        <w:spacing w:before="0" w:line="312"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3.4.1.3单价金额小数点或者百分比有明显错位的，以开标一览表的总价为准，并修改单价;</w:t>
      </w:r>
    </w:p>
    <w:p>
      <w:pPr>
        <w:pStyle w:val="26"/>
        <w:pageBreakBefore w:val="0"/>
        <w:kinsoku/>
        <w:wordWrap/>
        <w:overflowPunct/>
        <w:topLinePunct w:val="0"/>
        <w:autoSpaceDE/>
        <w:autoSpaceDN/>
        <w:bidi w:val="0"/>
        <w:spacing w:before="0" w:line="312"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3.4.1.4总价金额与按单价汇总金额不一致的，以单价金额计算结果为准。</w:t>
      </w:r>
    </w:p>
    <w:p>
      <w:pPr>
        <w:pStyle w:val="26"/>
        <w:pageBreakBefore w:val="0"/>
        <w:kinsoku/>
        <w:wordWrap/>
        <w:overflowPunct/>
        <w:topLinePunct w:val="0"/>
        <w:autoSpaceDE/>
        <w:autoSpaceDN/>
        <w:bidi w:val="0"/>
        <w:spacing w:before="0" w:line="312"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snapToGrid w:val="0"/>
        <w:spacing w:line="312"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3.4.2投标文件出现不是唯一的、有选择性投标报价的，投标无效。</w:t>
      </w:r>
    </w:p>
    <w:p>
      <w:pPr>
        <w:pageBreakBefore w:val="0"/>
        <w:kinsoku/>
        <w:wordWrap/>
        <w:overflowPunct/>
        <w:topLinePunct w:val="0"/>
        <w:autoSpaceDE/>
        <w:autoSpaceDN/>
        <w:bidi w:val="0"/>
        <w:snapToGrid w:val="0"/>
        <w:spacing w:line="312"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3.4.3投标报价超过招标文件中规定的预算金额或者最高限价的，投标无效。</w:t>
      </w:r>
    </w:p>
    <w:p>
      <w:pPr>
        <w:pStyle w:val="26"/>
        <w:pageBreakBefore w:val="0"/>
        <w:kinsoku/>
        <w:wordWrap/>
        <w:overflowPunct/>
        <w:topLinePunct w:val="0"/>
        <w:autoSpaceDE/>
        <w:autoSpaceDN/>
        <w:bidi w:val="0"/>
        <w:spacing w:before="0" w:line="312"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ageBreakBefore w:val="0"/>
        <w:widowControl/>
        <w:kinsoku/>
        <w:wordWrap/>
        <w:overflowPunct/>
        <w:topLinePunct w:val="0"/>
        <w:autoSpaceDE/>
        <w:autoSpaceDN/>
        <w:bidi w:val="0"/>
        <w:spacing w:line="312"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spacing w:line="312" w:lineRule="auto"/>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3.5排序与推荐。</w:t>
      </w:r>
      <w:r>
        <w:rPr>
          <w:rFonts w:hint="eastAsia" w:ascii="宋体" w:hAnsi="宋体" w:eastAsia="宋体" w:cs="宋体"/>
          <w:color w:val="auto"/>
          <w:kern w:val="0"/>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wordWrap/>
        <w:overflowPunct/>
        <w:topLinePunct w:val="0"/>
        <w:autoSpaceDE/>
        <w:autoSpaceDN/>
        <w:bidi w:val="0"/>
        <w:spacing w:line="312" w:lineRule="auto"/>
        <w:ind w:firstLine="480"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spacing w:line="312"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3.6编写评标报告。</w:t>
      </w:r>
      <w:r>
        <w:rPr>
          <w:rFonts w:hint="eastAsia" w:ascii="宋体" w:hAnsi="宋体" w:eastAsia="宋体" w:cs="宋体"/>
          <w:color w:val="auto"/>
          <w:kern w:val="0"/>
          <w:sz w:val="24"/>
          <w:szCs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spacing w:line="312" w:lineRule="auto"/>
        <w:jc w:val="left"/>
        <w:textAlignment w:val="auto"/>
        <w:rPr>
          <w:rFonts w:hint="eastAsia" w:ascii="宋体" w:hAnsi="宋体" w:eastAsia="宋体" w:cs="宋体"/>
          <w:b/>
          <w:color w:val="auto"/>
          <w:sz w:val="24"/>
          <w:szCs w:val="24"/>
          <w:highlight w:val="none"/>
        </w:rPr>
      </w:pPr>
    </w:p>
    <w:p>
      <w:pPr>
        <w:pStyle w:val="3"/>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rPr>
      </w:pPr>
      <w:bookmarkStart w:id="517" w:name="_Toc30586"/>
      <w:bookmarkStart w:id="518" w:name="_Toc1724"/>
      <w:bookmarkStart w:id="519" w:name="_Toc23539"/>
      <w:r>
        <w:rPr>
          <w:rFonts w:hint="eastAsia" w:ascii="宋体" w:hAnsi="宋体" w:eastAsia="宋体" w:cs="宋体"/>
          <w:color w:val="auto"/>
          <w:sz w:val="24"/>
          <w:szCs w:val="24"/>
          <w:highlight w:val="none"/>
        </w:rPr>
        <w:t>四、评标中的其他事项</w:t>
      </w:r>
      <w:bookmarkEnd w:id="517"/>
      <w:bookmarkEnd w:id="518"/>
      <w:bookmarkEnd w:id="519"/>
    </w:p>
    <w:p>
      <w:pPr>
        <w:pStyle w:val="26"/>
        <w:pageBreakBefore w:val="0"/>
        <w:kinsoku/>
        <w:wordWrap/>
        <w:overflowPunct/>
        <w:topLinePunct w:val="0"/>
        <w:autoSpaceDE/>
        <w:autoSpaceDN/>
        <w:bidi w:val="0"/>
        <w:spacing w:before="0" w:line="312" w:lineRule="auto"/>
        <w:ind w:firstLine="472" w:firstLineChars="196"/>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4.1投标人澄清、说明或者补正。</w:t>
      </w:r>
      <w:r>
        <w:rPr>
          <w:rFonts w:hint="eastAsia" w:ascii="宋体" w:hAnsi="宋体" w:eastAsia="宋体" w:cs="宋体"/>
          <w:color w:val="auto"/>
          <w:kern w:val="0"/>
          <w:sz w:val="24"/>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ageBreakBefore w:val="0"/>
        <w:kinsoku/>
        <w:wordWrap/>
        <w:overflowPunct/>
        <w:topLinePunct w:val="0"/>
        <w:autoSpaceDE/>
        <w:autoSpaceDN/>
        <w:bidi w:val="0"/>
        <w:snapToGrid w:val="0"/>
        <w:spacing w:line="312"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i w:val="0"/>
          <w:iCs w:val="0"/>
          <w:color w:val="auto"/>
          <w:sz w:val="24"/>
          <w:szCs w:val="24"/>
          <w:highlight w:val="none"/>
        </w:rPr>
        <w:t>4.2投标无效</w:t>
      </w:r>
      <w:r>
        <w:rPr>
          <w:rFonts w:hint="eastAsia" w:ascii="宋体" w:hAnsi="宋体" w:eastAsia="宋体" w:cs="宋体"/>
          <w:color w:val="auto"/>
          <w:sz w:val="24"/>
          <w:szCs w:val="24"/>
          <w:highlight w:val="none"/>
        </w:rPr>
        <w:t>。开标结束后，采购人或采购代理机构将对依法对供应商的资格投标文件进行审查，资格审查结束后进入符合性审查和商务技术服务的评审。有下列情况之一的，投标无效：</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4.2.1在商务和技术服务评审时，如发现下列情形之一的，投标文件将被视为无效：</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2）投标文件未按照招标文件要求签署、盖章的；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4）投标文件含有采购人不能接受的附加条件的；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5）投标文件中承诺的投标有效期少于招标文件中载明的投标有效期的；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6）投标人提供虚假材料的；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7）投标人有恶意串通、妨碍其他供应商的竞争行为、损害采购人或者其他供应商的合法权益情形的；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8）投标人仅提交备份投标文件，没有在电子交易平台传输递交投标文件的，投标无效；</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9）投标文件不满足招标文件的其它实质性要求的；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10）法律、法规、规章（适用本市的）及省级以上规范性文件（适用本市的）规定的其他无效情形。</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4.2.2在报价评审时，如发现下列情形之一的，投标文件将被视为无效</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1）投标文件未按照招标文件要求签署、盖章的；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2）投标文件出现不是唯一的、有选择性投标报价的;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3）投标文件报价清单与招标文件（包括答疑等补充文件）提供的清单不一致的；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4）投标报价超过招标文件中规定的预算金额或者最高限价的;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5）报价明显低于其他通过符合性审查供应商的报价，有可能影响产品质量或者不能诚信履约的，未能按要求提供书面说明或者提交相关证明材料，不能证明其报价合理性的;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6)投标人对根据修正原则修正后的报价不确认的；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7)投标人提供虚假材料投标的；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8)投标人有恶意串通、妨碍其他供应商的竞争行为、损害采购人或者其他供应商的合法权益情形的；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9)投标人仅提交备份投标文件，没有在电子交易平台传输递交投标文件的，投标无效；</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10)投标文件不满足招标文件的其它实质性要求的；</w:t>
      </w:r>
    </w:p>
    <w:p>
      <w:pPr>
        <w:pageBreakBefore w:val="0"/>
        <w:kinsoku/>
        <w:wordWrap/>
        <w:overflowPunct/>
        <w:topLinePunct w:val="0"/>
        <w:autoSpaceDE/>
        <w:autoSpaceDN/>
        <w:bidi w:val="0"/>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11)法律、法规、规章（适用本市的）及省级以上规范性文件（适用本市的）规定的其他无效情形。</w:t>
      </w:r>
    </w:p>
    <w:p>
      <w:pPr>
        <w:pStyle w:val="9"/>
        <w:pageBreakBefore w:val="0"/>
        <w:kinsoku/>
        <w:wordWrap/>
        <w:overflowPunct/>
        <w:topLinePunct w:val="0"/>
        <w:autoSpaceDE/>
        <w:autoSpaceDN/>
        <w:bidi w:val="0"/>
        <w:snapToGrid w:val="0"/>
        <w:spacing w:line="312" w:lineRule="auto"/>
        <w:ind w:firstLine="482"/>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5.废标。</w:t>
      </w:r>
      <w:r>
        <w:rPr>
          <w:rFonts w:hint="eastAsia" w:ascii="宋体" w:hAnsi="宋体" w:eastAsia="宋体" w:cs="宋体"/>
          <w:color w:val="auto"/>
          <w:sz w:val="24"/>
          <w:szCs w:val="24"/>
          <w:highlight w:val="none"/>
        </w:rPr>
        <w:t>根据《中华人民共和国政府采购法》第三十六条之规定，在采购中，出现下列情形之一的，应予废标：</w:t>
      </w:r>
    </w:p>
    <w:p>
      <w:pPr>
        <w:pStyle w:val="9"/>
        <w:pageBreakBefore w:val="0"/>
        <w:kinsoku/>
        <w:wordWrap/>
        <w:overflowPunct/>
        <w:topLinePunct w:val="0"/>
        <w:autoSpaceDE/>
        <w:autoSpaceDN/>
        <w:bidi w:val="0"/>
        <w:snapToGri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5.1符合专业条件的供应商或者对招标文件作实质响应的供应商不足3家的；</w:t>
      </w:r>
    </w:p>
    <w:p>
      <w:pPr>
        <w:pStyle w:val="9"/>
        <w:pageBreakBefore w:val="0"/>
        <w:kinsoku/>
        <w:wordWrap/>
        <w:overflowPunct/>
        <w:topLinePunct w:val="0"/>
        <w:autoSpaceDE/>
        <w:autoSpaceDN/>
        <w:bidi w:val="0"/>
        <w:snapToGri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5.2出现影响采购公正的违法、违规行为的；</w:t>
      </w:r>
    </w:p>
    <w:p>
      <w:pPr>
        <w:pStyle w:val="9"/>
        <w:pageBreakBefore w:val="0"/>
        <w:kinsoku/>
        <w:wordWrap/>
        <w:overflowPunct/>
        <w:topLinePunct w:val="0"/>
        <w:autoSpaceDE/>
        <w:autoSpaceDN/>
        <w:bidi w:val="0"/>
        <w:snapToGri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5.3投标人的报价均超过了采购预算，采购人不能支付的；</w:t>
      </w:r>
    </w:p>
    <w:p>
      <w:pPr>
        <w:pStyle w:val="9"/>
        <w:pageBreakBefore w:val="0"/>
        <w:kinsoku/>
        <w:wordWrap/>
        <w:overflowPunct/>
        <w:topLinePunct w:val="0"/>
        <w:autoSpaceDE/>
        <w:autoSpaceDN/>
        <w:bidi w:val="0"/>
        <w:snapToGri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5.4因重大变故，采购任务取消的。</w:t>
      </w:r>
    </w:p>
    <w:p>
      <w:pPr>
        <w:pStyle w:val="9"/>
        <w:pageBreakBefore w:val="0"/>
        <w:kinsoku/>
        <w:wordWrap/>
        <w:overflowPunct/>
        <w:topLinePunct w:val="0"/>
        <w:autoSpaceDE/>
        <w:autoSpaceDN/>
        <w:bidi w:val="0"/>
        <w:snapToGri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废标后，采购机构应当将废标理由通知所有投标人。</w:t>
      </w:r>
    </w:p>
    <w:p>
      <w:pPr>
        <w:pStyle w:val="9"/>
        <w:pageBreakBefore w:val="0"/>
        <w:kinsoku/>
        <w:wordWrap/>
        <w:overflowPunct/>
        <w:topLinePunct w:val="0"/>
        <w:autoSpaceDE/>
        <w:autoSpaceDN/>
        <w:bidi w:val="0"/>
        <w:snapToGrid w:val="0"/>
        <w:spacing w:line="312" w:lineRule="auto"/>
        <w:ind w:firstLine="590" w:firstLineChars="245"/>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6.修改招标文件，重新组织采购活动。</w:t>
      </w:r>
      <w:r>
        <w:rPr>
          <w:rFonts w:hint="eastAsia" w:ascii="宋体" w:hAnsi="宋体" w:eastAsia="宋体" w:cs="宋体"/>
          <w:color w:val="auto"/>
          <w:sz w:val="24"/>
          <w:szCs w:val="24"/>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9"/>
        <w:pageBreakBefore w:val="0"/>
        <w:kinsoku/>
        <w:wordWrap/>
        <w:overflowPunct/>
        <w:topLinePunct w:val="0"/>
        <w:autoSpaceDE/>
        <w:autoSpaceDN/>
        <w:bidi w:val="0"/>
        <w:snapToGrid w:val="0"/>
        <w:spacing w:line="312" w:lineRule="auto"/>
        <w:ind w:firstLine="590" w:firstLineChars="245"/>
        <w:textAlignment w:val="auto"/>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7.重新开展采购。</w:t>
      </w:r>
      <w:r>
        <w:rPr>
          <w:rFonts w:hint="eastAsia" w:ascii="宋体" w:hAnsi="宋体" w:eastAsia="宋体" w:cs="宋体"/>
          <w:color w:val="auto"/>
          <w:sz w:val="24"/>
          <w:szCs w:val="24"/>
          <w:highlight w:val="none"/>
        </w:rPr>
        <w:t>有政府采购法第七十一条、第七十二条规定的违法行为之一，影响或者可能影响中标、成交结果的，依照下列规定处理：</w:t>
      </w:r>
    </w:p>
    <w:p>
      <w:pPr>
        <w:pStyle w:val="9"/>
        <w:pageBreakBefore w:val="0"/>
        <w:kinsoku/>
        <w:wordWrap/>
        <w:overflowPunct/>
        <w:topLinePunct w:val="0"/>
        <w:autoSpaceDE/>
        <w:autoSpaceDN/>
        <w:bidi w:val="0"/>
        <w:snapToGrid w:val="0"/>
        <w:spacing w:line="312" w:lineRule="auto"/>
        <w:ind w:firstLine="600" w:firstLineChars="2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7.1未确定中标或者中标人的，终止本次政府采购活动，重新开展政府采购活动。</w:t>
      </w:r>
    </w:p>
    <w:p>
      <w:pPr>
        <w:pStyle w:val="9"/>
        <w:pageBreakBefore w:val="0"/>
        <w:kinsoku/>
        <w:wordWrap/>
        <w:overflowPunct/>
        <w:topLinePunct w:val="0"/>
        <w:autoSpaceDE/>
        <w:autoSpaceDN/>
        <w:bidi w:val="0"/>
        <w:snapToGrid w:val="0"/>
        <w:spacing w:line="312" w:lineRule="auto"/>
        <w:ind w:firstLine="600" w:firstLineChars="2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9"/>
        <w:pageBreakBefore w:val="0"/>
        <w:kinsoku/>
        <w:wordWrap/>
        <w:overflowPunct/>
        <w:topLinePunct w:val="0"/>
        <w:autoSpaceDE/>
        <w:autoSpaceDN/>
        <w:bidi w:val="0"/>
        <w:snapToGrid w:val="0"/>
        <w:spacing w:line="312" w:lineRule="auto"/>
        <w:ind w:firstLine="600" w:firstLineChars="2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7.3政府采购合同已签订但尚未履行的，撤销合同，从合格的中标或者成交候选人中另行确定中标或者中标人；没有合格的中标或者成交候选人的，重新开展政府采购活动。</w:t>
      </w:r>
    </w:p>
    <w:p>
      <w:pPr>
        <w:pStyle w:val="9"/>
        <w:pageBreakBefore w:val="0"/>
        <w:kinsoku/>
        <w:wordWrap/>
        <w:overflowPunct/>
        <w:topLinePunct w:val="0"/>
        <w:autoSpaceDE/>
        <w:autoSpaceDN/>
        <w:bidi w:val="0"/>
        <w:snapToGri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7.4政府采购合同已经履行，给采购人、供应商造成损失的，由责任人承担赔偿责任。</w:t>
      </w:r>
    </w:p>
    <w:p>
      <w:pPr>
        <w:pStyle w:val="9"/>
        <w:pageBreakBefore w:val="0"/>
        <w:kinsoku/>
        <w:wordWrap/>
        <w:overflowPunct/>
        <w:topLinePunct w:val="0"/>
        <w:autoSpaceDE/>
        <w:autoSpaceDN/>
        <w:bidi w:val="0"/>
        <w:snapToGri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7.5政府采购当事人有其他违反政府采购法</w:t>
      </w:r>
      <w:r>
        <w:rPr>
          <w:rFonts w:hint="eastAsia" w:ascii="宋体" w:hAnsi="宋体" w:eastAsia="宋体" w:cs="宋体"/>
          <w:color w:val="auto"/>
          <w:kern w:val="0"/>
          <w:sz w:val="24"/>
          <w:szCs w:val="24"/>
          <w:highlight w:val="none"/>
        </w:rPr>
        <w:t>或者政府采购法实施条例等法律法规规定</w:t>
      </w:r>
      <w:r>
        <w:rPr>
          <w:rFonts w:hint="eastAsia" w:ascii="宋体" w:hAnsi="宋体" w:eastAsia="宋体" w:cs="宋体"/>
          <w:color w:val="auto"/>
          <w:sz w:val="24"/>
          <w:szCs w:val="24"/>
          <w:highlight w:val="none"/>
        </w:rPr>
        <w:t>的行为，经改正后仍然影响或者可能影响中标、成交结果或者依法被认定为中标、成交无效的，依照7.1-7.4规定处理。</w:t>
      </w:r>
    </w:p>
    <w:p>
      <w:pPr>
        <w:pStyle w:val="9"/>
        <w:snapToGrid w:val="0"/>
        <w:spacing w:line="360" w:lineRule="auto"/>
        <w:ind w:firstLine="0" w:firstLineChars="0"/>
        <w:rPr>
          <w:rFonts w:hint="eastAsia" w:ascii="宋体" w:hAnsi="宋体" w:eastAsia="宋体" w:cs="宋体"/>
          <w:color w:val="auto"/>
          <w:highlight w:val="none"/>
        </w:rPr>
      </w:pPr>
    </w:p>
    <w:bookmarkEnd w:id="97"/>
    <w:p>
      <w:pPr>
        <w:rPr>
          <w:rFonts w:hint="eastAsia" w:ascii="宋体" w:hAnsi="宋体" w:eastAsia="宋体" w:cs="宋体"/>
          <w:b/>
          <w:color w:val="auto"/>
          <w:sz w:val="24"/>
          <w:highlight w:val="none"/>
        </w:rPr>
      </w:pPr>
      <w:bookmarkStart w:id="520" w:name="第五部分"/>
      <w:bookmarkStart w:id="521" w:name="_Toc86217003"/>
      <w:r>
        <w:rPr>
          <w:rFonts w:hint="eastAsia" w:ascii="宋体" w:hAnsi="宋体" w:eastAsia="宋体" w:cs="宋体"/>
          <w:b/>
          <w:color w:val="auto"/>
          <w:sz w:val="24"/>
          <w:highlight w:val="none"/>
        </w:rPr>
        <w:br w:type="page"/>
      </w:r>
    </w:p>
    <w:p>
      <w:pPr>
        <w:pStyle w:val="2"/>
        <w:spacing w:before="0" w:after="0" w:line="360" w:lineRule="auto"/>
        <w:ind w:left="431" w:hanging="431"/>
        <w:jc w:val="center"/>
        <w:rPr>
          <w:rFonts w:hint="eastAsia" w:ascii="宋体" w:hAnsi="宋体" w:eastAsia="宋体" w:cs="宋体"/>
          <w:color w:val="auto"/>
          <w:sz w:val="36"/>
          <w:szCs w:val="36"/>
          <w:highlight w:val="none"/>
        </w:rPr>
      </w:pPr>
      <w:bookmarkStart w:id="522" w:name="_Toc6416"/>
      <w:bookmarkStart w:id="523" w:name="_Toc9912"/>
      <w:bookmarkStart w:id="524" w:name="_Toc2469"/>
      <w:r>
        <w:rPr>
          <w:rFonts w:hint="eastAsia" w:ascii="宋体" w:hAnsi="宋体" w:eastAsia="宋体" w:cs="宋体"/>
          <w:color w:val="auto"/>
          <w:sz w:val="36"/>
          <w:szCs w:val="36"/>
          <w:highlight w:val="none"/>
        </w:rPr>
        <w:t>第五部分 拟签订的合同文本</w:t>
      </w:r>
      <w:bookmarkEnd w:id="522"/>
      <w:bookmarkEnd w:id="523"/>
      <w:bookmarkEnd w:id="524"/>
    </w:p>
    <w:p>
      <w:pPr>
        <w:autoSpaceDE w:val="0"/>
        <w:autoSpaceDN w:val="0"/>
        <w:adjustRightInd w:val="0"/>
        <w:spacing w:line="360" w:lineRule="auto"/>
        <w:jc w:val="center"/>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w:t>
      </w:r>
      <w:bookmarkStart w:id="525" w:name="_Toc20958"/>
      <w:bookmarkStart w:id="526" w:name="_Toc17856"/>
      <w:r>
        <w:rPr>
          <w:rFonts w:hint="eastAsia" w:ascii="宋体" w:hAnsi="宋体" w:eastAsia="宋体" w:cs="宋体"/>
          <w:b/>
          <w:color w:val="auto"/>
          <w:sz w:val="32"/>
          <w:szCs w:val="32"/>
          <w:highlight w:val="none"/>
        </w:rPr>
        <w:t>嘉兴市政府采购合同</w:t>
      </w:r>
      <w:bookmarkEnd w:id="525"/>
      <w:bookmarkEnd w:id="526"/>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项目编号：</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合同编号：</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政府采购计划（预算）确认书号：</w:t>
      </w:r>
      <w:r>
        <w:rPr>
          <w:rFonts w:hint="eastAsia" w:ascii="宋体" w:hAnsi="宋体" w:eastAsia="宋体" w:cs="宋体"/>
          <w:color w:val="auto"/>
          <w:kern w:val="0"/>
          <w:sz w:val="24"/>
          <w:highlight w:val="none"/>
          <w:lang w:val="en-US" w:eastAsia="zh-CN"/>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采购人（以下称甲方）：嘉兴市第一医院</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供应商（以下称乙方）：</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采购方式：公开招标</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根据《中华人民共和国政府采购法》、《中华人民共和国民法典》等法律法规的规定，甲乙双方按</w:t>
      </w:r>
      <w:r>
        <w:rPr>
          <w:rFonts w:hint="eastAsia" w:ascii="宋体" w:hAnsi="宋体" w:eastAsia="宋体" w:cs="宋体"/>
          <w:color w:val="auto"/>
          <w:kern w:val="0"/>
          <w:sz w:val="24"/>
          <w:highlight w:val="none"/>
          <w:lang w:eastAsia="zh-CN"/>
        </w:rPr>
        <w:t>嘉兴市第一医院2022至2023年安保服务</w:t>
      </w:r>
      <w:r>
        <w:rPr>
          <w:rFonts w:hint="eastAsia" w:ascii="宋体" w:hAnsi="宋体" w:eastAsia="宋体" w:cs="宋体"/>
          <w:color w:val="auto"/>
          <w:kern w:val="0"/>
          <w:sz w:val="24"/>
          <w:highlight w:val="none"/>
        </w:rPr>
        <w:t>项目采购结果签订本合同。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outlineLvl w:val="1"/>
        <w:rPr>
          <w:rFonts w:hint="eastAsia" w:ascii="宋体" w:hAnsi="宋体" w:eastAsia="宋体" w:cs="宋体"/>
          <w:b/>
          <w:color w:val="auto"/>
          <w:kern w:val="0"/>
          <w:sz w:val="24"/>
          <w:highlight w:val="none"/>
        </w:rPr>
      </w:pPr>
      <w:bookmarkStart w:id="527" w:name="_Toc26226"/>
      <w:bookmarkStart w:id="528" w:name="_Toc15239"/>
      <w:r>
        <w:rPr>
          <w:rFonts w:hint="eastAsia" w:ascii="宋体" w:hAnsi="宋体" w:eastAsia="宋体" w:cs="宋体"/>
          <w:b/>
          <w:color w:val="auto"/>
          <w:kern w:val="0"/>
          <w:sz w:val="24"/>
          <w:highlight w:val="none"/>
        </w:rPr>
        <w:t>第一条 合同组成</w:t>
      </w:r>
      <w:bookmarkEnd w:id="527"/>
      <w:bookmarkEnd w:id="528"/>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本次政府采购活动的相关文件为本合同的组成部分，这些文件包括但不限于：</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（1）本合同文本；</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（2）采购文件与采购响应文件；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（3）中标或成交通知书；</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组成本合同的所有文件必须为书面形式。政府采购合同备案时，须提供以上（1）、（3）两项，如由社会中介机构代理，须提供代理协议，合同如有变更的，须提供变更协议。</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outlineLvl w:val="1"/>
        <w:rPr>
          <w:rFonts w:hint="eastAsia" w:ascii="宋体" w:hAnsi="宋体" w:eastAsia="宋体" w:cs="宋体"/>
          <w:b/>
          <w:color w:val="auto"/>
          <w:kern w:val="0"/>
          <w:sz w:val="24"/>
          <w:highlight w:val="none"/>
        </w:rPr>
      </w:pPr>
      <w:bookmarkStart w:id="529" w:name="_Toc4565"/>
      <w:bookmarkStart w:id="530" w:name="_Toc11996"/>
      <w:r>
        <w:rPr>
          <w:rFonts w:hint="eastAsia" w:ascii="宋体" w:hAnsi="宋体" w:eastAsia="宋体" w:cs="宋体"/>
          <w:b/>
          <w:color w:val="auto"/>
          <w:kern w:val="0"/>
          <w:sz w:val="24"/>
          <w:highlight w:val="none"/>
        </w:rPr>
        <w:t>第二条 合同标的</w:t>
      </w:r>
      <w:bookmarkEnd w:id="529"/>
      <w:bookmarkEnd w:id="530"/>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240" w:firstLineChars="100"/>
        <w:jc w:val="left"/>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本次采购的是</w:t>
      </w:r>
      <w:r>
        <w:rPr>
          <w:rFonts w:hint="eastAsia" w:ascii="宋体" w:hAnsi="宋体" w:eastAsia="宋体" w:cs="宋体"/>
          <w:color w:val="auto"/>
          <w:kern w:val="0"/>
          <w:sz w:val="24"/>
          <w:highlight w:val="none"/>
          <w:lang w:eastAsia="zh-CN"/>
        </w:rPr>
        <w:t>嘉兴市第一医院2022至2023年安保服务</w:t>
      </w:r>
      <w:r>
        <w:rPr>
          <w:rFonts w:hint="eastAsia" w:ascii="宋体" w:hAnsi="宋体" w:eastAsia="宋体" w:cs="宋体"/>
          <w:color w:val="auto"/>
          <w:kern w:val="0"/>
          <w:sz w:val="24"/>
          <w:highlight w:val="none"/>
        </w:rPr>
        <w:t>项目</w:t>
      </w:r>
      <w:r>
        <w:rPr>
          <w:rFonts w:hint="eastAsia" w:ascii="宋体" w:hAnsi="宋体" w:eastAsia="宋体" w:cs="宋体"/>
          <w:color w:val="auto"/>
          <w:kern w:val="0"/>
          <w:sz w:val="24"/>
          <w:highlight w:val="none"/>
          <w:lang w:eastAsia="zh-CN"/>
        </w:rPr>
        <w:t>。</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240" w:firstLineChars="100"/>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kern w:val="0"/>
          <w:sz w:val="24"/>
          <w:highlight w:val="none"/>
        </w:rPr>
        <w:t>2.乙方是否属于中小微企业：□是；□否。</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outlineLvl w:val="1"/>
        <w:rPr>
          <w:rFonts w:hint="eastAsia" w:ascii="宋体" w:hAnsi="宋体" w:eastAsia="宋体" w:cs="宋体"/>
          <w:b/>
          <w:color w:val="auto"/>
          <w:kern w:val="0"/>
          <w:sz w:val="24"/>
          <w:highlight w:val="none"/>
        </w:rPr>
      </w:pPr>
      <w:bookmarkStart w:id="531" w:name="_Toc7699"/>
      <w:bookmarkStart w:id="532" w:name="_Toc8122"/>
      <w:r>
        <w:rPr>
          <w:rFonts w:hint="eastAsia" w:ascii="宋体" w:hAnsi="宋体" w:eastAsia="宋体" w:cs="宋体"/>
          <w:b/>
          <w:color w:val="auto"/>
          <w:kern w:val="0"/>
          <w:sz w:val="24"/>
          <w:highlight w:val="none"/>
        </w:rPr>
        <w:t>第三条 合同价款及付款方式</w:t>
      </w:r>
      <w:bookmarkEnd w:id="531"/>
      <w:bookmarkEnd w:id="532"/>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1.本合同项下总价款为（大写）人民币</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，分项价款在“投标报价表”中明确。</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2.本合同付款方式为以下第</w:t>
      </w:r>
      <w:r>
        <w:rPr>
          <w:rFonts w:hint="eastAsia" w:ascii="宋体" w:hAnsi="宋体" w:eastAsia="宋体" w:cs="宋体"/>
          <w:color w:val="auto"/>
          <w:kern w:val="0"/>
          <w:sz w:val="24"/>
          <w:highlight w:val="none"/>
          <w:u w:val="single"/>
        </w:rPr>
        <w:t xml:space="preserve"> （1） </w:t>
      </w:r>
      <w:r>
        <w:rPr>
          <w:rFonts w:hint="eastAsia" w:ascii="宋体" w:hAnsi="宋体" w:eastAsia="宋体" w:cs="宋体"/>
          <w:color w:val="auto"/>
          <w:kern w:val="0"/>
          <w:sz w:val="24"/>
          <w:highlight w:val="none"/>
        </w:rPr>
        <w:t>项：</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（1）本合同项下的采购资金系甲方自行支付，付款程序为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（2）本合同项下的采购资金须财政直接支付，付款程序为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（3）其他方式：</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3.本合同项下的采购资金付款进度按招投标文件规定，未规定时按以下第</w:t>
      </w:r>
      <w:r>
        <w:rPr>
          <w:rFonts w:hint="eastAsia" w:ascii="宋体" w:hAnsi="宋体" w:eastAsia="宋体" w:cs="宋体"/>
          <w:color w:val="auto"/>
          <w:kern w:val="0"/>
          <w:sz w:val="24"/>
          <w:highlight w:val="none"/>
          <w:u w:val="single"/>
        </w:rPr>
        <w:t xml:space="preserve"> （2） </w:t>
      </w:r>
      <w:r>
        <w:rPr>
          <w:rFonts w:hint="eastAsia" w:ascii="宋体" w:hAnsi="宋体" w:eastAsia="宋体" w:cs="宋体"/>
          <w:color w:val="auto"/>
          <w:kern w:val="0"/>
          <w:sz w:val="24"/>
          <w:highlight w:val="none"/>
        </w:rPr>
        <w:t>项支付：</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（1）一次性付款：乙方合同履行达到_________（条件）时，一次性付款；</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（2）分期付款：_________时支付_________；_________时支付_________；_________时支付_________；</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outlineLvl w:val="1"/>
        <w:rPr>
          <w:rFonts w:hint="eastAsia" w:ascii="宋体" w:hAnsi="宋体" w:eastAsia="宋体" w:cs="宋体"/>
          <w:b/>
          <w:color w:val="auto"/>
          <w:kern w:val="0"/>
          <w:sz w:val="24"/>
          <w:highlight w:val="none"/>
        </w:rPr>
      </w:pPr>
      <w:bookmarkStart w:id="533" w:name="_Toc22865"/>
      <w:bookmarkStart w:id="534" w:name="_Toc24376"/>
      <w:r>
        <w:rPr>
          <w:rFonts w:hint="eastAsia" w:ascii="宋体" w:hAnsi="宋体" w:eastAsia="宋体" w:cs="宋体"/>
          <w:b/>
          <w:color w:val="auto"/>
          <w:kern w:val="0"/>
          <w:sz w:val="24"/>
          <w:highlight w:val="none"/>
        </w:rPr>
        <w:t>第四条 履约保证金</w:t>
      </w:r>
      <w:bookmarkEnd w:id="533"/>
      <w:bookmarkEnd w:id="534"/>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按以下第</w:t>
      </w:r>
      <w:r>
        <w:rPr>
          <w:rFonts w:hint="eastAsia" w:ascii="宋体" w:hAnsi="宋体" w:eastAsia="宋体" w:cs="宋体"/>
          <w:color w:val="auto"/>
          <w:kern w:val="0"/>
          <w:sz w:val="24"/>
          <w:highlight w:val="none"/>
          <w:u w:val="single"/>
        </w:rPr>
        <w:t>（1）</w:t>
      </w:r>
      <w:r>
        <w:rPr>
          <w:rFonts w:hint="eastAsia" w:ascii="宋体" w:hAnsi="宋体" w:eastAsia="宋体" w:cs="宋体"/>
          <w:color w:val="auto"/>
          <w:kern w:val="0"/>
          <w:sz w:val="24"/>
          <w:highlight w:val="none"/>
        </w:rPr>
        <w:t>项处理：</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1.本项目设置履约保证金，乙方应于_____</w:t>
      </w:r>
      <w:r>
        <w:rPr>
          <w:rFonts w:hint="eastAsia" w:ascii="宋体" w:hAnsi="宋体" w:eastAsia="宋体" w:cs="宋体"/>
          <w:color w:val="auto"/>
          <w:kern w:val="0"/>
          <w:sz w:val="24"/>
          <w:highlight w:val="none"/>
          <w:u w:val="single"/>
        </w:rPr>
        <w:t>签订合同前</w:t>
      </w:r>
      <w:r>
        <w:rPr>
          <w:rFonts w:hint="eastAsia" w:ascii="宋体" w:hAnsi="宋体" w:eastAsia="宋体" w:cs="宋体"/>
          <w:color w:val="auto"/>
          <w:kern w:val="0"/>
          <w:sz w:val="24"/>
          <w:highlight w:val="none"/>
        </w:rPr>
        <w:t>_（时间）向甲方提交履约保证金_________元</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合同金额的1%</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。履约保证金在</w:t>
      </w:r>
      <w:r>
        <w:rPr>
          <w:rFonts w:hint="eastAsia" w:ascii="宋体" w:hAnsi="宋体" w:eastAsia="宋体" w:cs="宋体"/>
          <w:color w:val="auto"/>
          <w:kern w:val="0"/>
          <w:sz w:val="24"/>
          <w:highlight w:val="none"/>
          <w:u w:val="single"/>
        </w:rPr>
        <w:t>项目服务期限结束后</w:t>
      </w:r>
      <w:r>
        <w:rPr>
          <w:rFonts w:hint="eastAsia" w:ascii="宋体" w:hAnsi="宋体" w:eastAsia="宋体" w:cs="宋体"/>
          <w:color w:val="auto"/>
          <w:kern w:val="0"/>
          <w:sz w:val="24"/>
          <w:highlight w:val="none"/>
        </w:rPr>
        <w:t>（时间）退还乙方。</w:t>
      </w:r>
    </w:p>
    <w:p>
      <w:pPr>
        <w:keepNext w:val="0"/>
        <w:keepLines w:val="0"/>
        <w:pageBreakBefore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形式：支票、汇票、本票或者金融机构、担保机构出具的保函等非现金形式。鼓励和支持乙方以银行、保险公司出具的保函形式提供履约保证。乙方可登录政采云前台大厅选择金融服务 - 【保函保险服务】出具预付款保函，具体步骤：选择产品—填写供应商信息—选择中标项目—确认信息—等待保险/保函受理—确认保单—支付保费—成功出单。政采云金融专线400-903-9583。</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2.本项目不设置履约保证金。</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outlineLvl w:val="1"/>
        <w:rPr>
          <w:rFonts w:hint="eastAsia" w:ascii="宋体" w:hAnsi="宋体" w:eastAsia="宋体" w:cs="宋体"/>
          <w:b/>
          <w:color w:val="auto"/>
          <w:kern w:val="0"/>
          <w:sz w:val="24"/>
          <w:highlight w:val="none"/>
        </w:rPr>
      </w:pPr>
      <w:bookmarkStart w:id="535" w:name="_Toc28703"/>
      <w:bookmarkStart w:id="536" w:name="_Toc2155"/>
      <w:r>
        <w:rPr>
          <w:rFonts w:hint="eastAsia" w:ascii="宋体" w:hAnsi="宋体" w:eastAsia="宋体" w:cs="宋体"/>
          <w:b/>
          <w:color w:val="auto"/>
          <w:kern w:val="0"/>
          <w:sz w:val="24"/>
          <w:highlight w:val="none"/>
        </w:rPr>
        <w:t>第五条 合同的变更和终止</w:t>
      </w:r>
      <w:bookmarkEnd w:id="535"/>
      <w:bookmarkEnd w:id="536"/>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除《政府采购法》第19条、第50条第二款规定的情形外，本合同一经签订，甲乙双方不得擅自终止合同或对合同实质性条款进行变更。确有特殊情况的，须经同级财政部门批准。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outlineLvl w:val="1"/>
        <w:rPr>
          <w:rFonts w:hint="eastAsia" w:ascii="宋体" w:hAnsi="宋体" w:eastAsia="宋体" w:cs="宋体"/>
          <w:b/>
          <w:color w:val="auto"/>
          <w:kern w:val="0"/>
          <w:sz w:val="24"/>
          <w:highlight w:val="none"/>
        </w:rPr>
      </w:pPr>
      <w:bookmarkStart w:id="537" w:name="_Toc5744"/>
      <w:bookmarkStart w:id="538" w:name="_Toc32342"/>
      <w:r>
        <w:rPr>
          <w:rFonts w:hint="eastAsia" w:ascii="宋体" w:hAnsi="宋体" w:eastAsia="宋体" w:cs="宋体"/>
          <w:b/>
          <w:color w:val="auto"/>
          <w:kern w:val="0"/>
          <w:sz w:val="24"/>
          <w:highlight w:val="none"/>
        </w:rPr>
        <w:t>第六条 合同的转让与分包</w:t>
      </w:r>
      <w:bookmarkEnd w:id="537"/>
      <w:bookmarkEnd w:id="538"/>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kern w:val="0"/>
          <w:sz w:val="24"/>
          <w:highlight w:val="none"/>
        </w:rPr>
        <w:t>乙方不得擅自部分或全部转让其应履行的合同义务。乙方分包的，应经过甲方书面同意。</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outlineLvl w:val="1"/>
        <w:rPr>
          <w:rFonts w:hint="eastAsia" w:ascii="宋体" w:hAnsi="宋体" w:eastAsia="宋体" w:cs="宋体"/>
          <w:b/>
          <w:color w:val="auto"/>
          <w:kern w:val="0"/>
          <w:sz w:val="24"/>
          <w:highlight w:val="none"/>
        </w:rPr>
      </w:pPr>
      <w:bookmarkStart w:id="539" w:name="_Toc19862"/>
      <w:bookmarkStart w:id="540" w:name="_Toc5917"/>
      <w:r>
        <w:rPr>
          <w:rFonts w:hint="eastAsia" w:ascii="宋体" w:hAnsi="宋体" w:eastAsia="宋体" w:cs="宋体"/>
          <w:b/>
          <w:color w:val="auto"/>
          <w:kern w:val="0"/>
          <w:sz w:val="24"/>
          <w:highlight w:val="none"/>
        </w:rPr>
        <w:t>第七条 违约责任</w:t>
      </w:r>
      <w:bookmarkEnd w:id="539"/>
      <w:bookmarkEnd w:id="540"/>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1.甲方无正当理由拒收货物的，甲方应向乙方偿付拒收货款总值的百分之五违约金。</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2.甲方无故逾期验收和办理货款支付手续的，甲方应按逾期付款总额每日万分之五向乙方支付违约金。</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10%的违约金，若造成甲方损失超过违约金的，超出部分由乙方继续承担赔偿责任。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4.乙方所交的货物品种、型号、规格、技术参数、质量不符合合同规定及招标（或竞争性谈判、询价）文件规定标准的，甲方有权拒收该货物，乙方愿意更换货物但逾期交货的，按乙方逾期交货处理。乙方拒绝更换货物的，甲方可单方面解除合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outlineLvl w:val="1"/>
        <w:rPr>
          <w:rFonts w:hint="eastAsia" w:ascii="宋体" w:hAnsi="宋体" w:eastAsia="宋体" w:cs="宋体"/>
          <w:b/>
          <w:color w:val="auto"/>
          <w:kern w:val="0"/>
          <w:sz w:val="24"/>
          <w:highlight w:val="none"/>
        </w:rPr>
      </w:pPr>
      <w:bookmarkStart w:id="541" w:name="_Toc10993"/>
      <w:bookmarkStart w:id="542" w:name="_Toc12275"/>
      <w:r>
        <w:rPr>
          <w:rFonts w:hint="eastAsia" w:ascii="宋体" w:hAnsi="宋体" w:eastAsia="宋体" w:cs="宋体"/>
          <w:b/>
          <w:color w:val="auto"/>
          <w:kern w:val="0"/>
          <w:sz w:val="24"/>
          <w:highlight w:val="none"/>
        </w:rPr>
        <w:t>第八条 不可抗力事件处理</w:t>
      </w:r>
      <w:bookmarkEnd w:id="541"/>
      <w:bookmarkEnd w:id="542"/>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1.在合同有效期内，任何一方因不可抗力事件导致不能履行合同的，合同履行期可延长，其延长期与不可抗力影响期相同。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2.不可抗力事件发生后，应立即通知对方，并寄送有关权威机构出具的证明。</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3.不可抗力事件延续120天以上，双方应通过友好协商，确定是否继续履行合同。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outlineLvl w:val="1"/>
        <w:rPr>
          <w:rFonts w:hint="eastAsia" w:ascii="宋体" w:hAnsi="宋体" w:eastAsia="宋体" w:cs="宋体"/>
          <w:b/>
          <w:color w:val="auto"/>
          <w:kern w:val="0"/>
          <w:sz w:val="24"/>
          <w:highlight w:val="none"/>
        </w:rPr>
      </w:pPr>
      <w:bookmarkStart w:id="543" w:name="_Toc29601"/>
      <w:bookmarkStart w:id="544" w:name="_Toc22318"/>
      <w:r>
        <w:rPr>
          <w:rFonts w:hint="eastAsia" w:ascii="宋体" w:hAnsi="宋体" w:eastAsia="宋体" w:cs="宋体"/>
          <w:b/>
          <w:color w:val="auto"/>
          <w:kern w:val="0"/>
          <w:sz w:val="24"/>
          <w:highlight w:val="none"/>
        </w:rPr>
        <w:t>第九条 争议的解决</w:t>
      </w:r>
      <w:bookmarkEnd w:id="543"/>
      <w:bookmarkEnd w:id="544"/>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1.因履行本合同引起的或与本合同有关的争议，甲、乙双方应首先通过友好协商解决，如果协商不能解决争议，则采取以下第</w:t>
      </w:r>
      <w:r>
        <w:rPr>
          <w:rFonts w:hint="eastAsia" w:ascii="宋体" w:hAnsi="宋体" w:eastAsia="宋体" w:cs="宋体"/>
          <w:color w:val="auto"/>
          <w:kern w:val="0"/>
          <w:sz w:val="24"/>
          <w:highlight w:val="none"/>
          <w:u w:val="single"/>
        </w:rPr>
        <w:t xml:space="preserve">（1） </w:t>
      </w:r>
      <w:r>
        <w:rPr>
          <w:rFonts w:hint="eastAsia" w:ascii="宋体" w:hAnsi="宋体" w:eastAsia="宋体" w:cs="宋体"/>
          <w:color w:val="auto"/>
          <w:kern w:val="0"/>
          <w:sz w:val="24"/>
          <w:highlight w:val="none"/>
        </w:rPr>
        <w:t>种方式解决争议：</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（1）向甲方所在地有管辖权的人民法院提起诉讼；</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（2）向</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仲裁委员申请仲裁。</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rPr>
          <w:rFonts w:hint="eastAsia" w:ascii="宋体" w:hAnsi="宋体" w:eastAsia="宋体" w:cs="宋体"/>
          <w:color w:val="auto"/>
          <w:kern w:val="0"/>
          <w:sz w:val="24"/>
          <w:highlight w:val="none"/>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jc w:val="left"/>
        <w:textAlignment w:val="auto"/>
        <w:outlineLvl w:val="1"/>
        <w:rPr>
          <w:rFonts w:hint="eastAsia" w:ascii="宋体" w:hAnsi="宋体" w:eastAsia="宋体" w:cs="宋体"/>
          <w:b/>
          <w:color w:val="auto"/>
          <w:kern w:val="0"/>
          <w:sz w:val="24"/>
          <w:highlight w:val="none"/>
        </w:rPr>
      </w:pPr>
      <w:bookmarkStart w:id="545" w:name="_Toc24445"/>
      <w:bookmarkStart w:id="546" w:name="_Toc5875"/>
      <w:r>
        <w:rPr>
          <w:rFonts w:hint="eastAsia" w:ascii="宋体" w:hAnsi="宋体" w:eastAsia="宋体" w:cs="宋体"/>
          <w:b/>
          <w:color w:val="auto"/>
          <w:kern w:val="0"/>
          <w:sz w:val="24"/>
          <w:highlight w:val="none"/>
        </w:rPr>
        <w:t>第十条 合同生效及备案</w:t>
      </w:r>
      <w:bookmarkEnd w:id="545"/>
      <w:bookmarkEnd w:id="546"/>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1.合同经双方法定代表人或被授权人签字并加盖单位公章后生效。</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2.合同执行中涉及采购资金和采购内容修改或补充的，须经财政部门审批，并签书面补充协议报政府部门备案，方可作为主合同不可分割的一部分。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3.本合同未尽事宜，遵照《中华人民共和国政府民法典》有关条文执行。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4.本合同一式</w:t>
      </w:r>
      <w:r>
        <w:rPr>
          <w:rFonts w:hint="eastAsia" w:ascii="宋体" w:hAnsi="宋体" w:eastAsia="宋体" w:cs="宋体"/>
          <w:color w:val="auto"/>
          <w:kern w:val="0"/>
          <w:sz w:val="24"/>
          <w:highlight w:val="none"/>
          <w:u w:val="single"/>
        </w:rPr>
        <w:t xml:space="preserve"> 五 </w:t>
      </w:r>
      <w:r>
        <w:rPr>
          <w:rFonts w:hint="eastAsia" w:ascii="宋体" w:hAnsi="宋体" w:eastAsia="宋体" w:cs="宋体"/>
          <w:color w:val="auto"/>
          <w:kern w:val="0"/>
          <w:sz w:val="24"/>
          <w:highlight w:val="none"/>
        </w:rPr>
        <w:t>份，甲乙双方各执</w:t>
      </w:r>
      <w:r>
        <w:rPr>
          <w:rFonts w:hint="eastAsia" w:ascii="宋体" w:hAnsi="宋体" w:eastAsia="宋体" w:cs="宋体"/>
          <w:color w:val="auto"/>
          <w:kern w:val="0"/>
          <w:sz w:val="24"/>
          <w:highlight w:val="none"/>
          <w:u w:val="single"/>
        </w:rPr>
        <w:t xml:space="preserve"> 一 </w:t>
      </w:r>
      <w:r>
        <w:rPr>
          <w:rFonts w:hint="eastAsia" w:ascii="宋体" w:hAnsi="宋体" w:eastAsia="宋体" w:cs="宋体"/>
          <w:color w:val="auto"/>
          <w:kern w:val="0"/>
          <w:sz w:val="24"/>
          <w:highlight w:val="none"/>
        </w:rPr>
        <w:t>份，</w:t>
      </w:r>
      <w:r>
        <w:rPr>
          <w:rFonts w:hint="eastAsia" w:ascii="宋体" w:hAnsi="宋体" w:eastAsia="宋体" w:cs="宋体"/>
          <w:color w:val="auto"/>
          <w:kern w:val="0"/>
          <w:sz w:val="24"/>
          <w:highlight w:val="none"/>
          <w:u w:val="single"/>
        </w:rPr>
        <w:t xml:space="preserve"> 一 </w:t>
      </w:r>
      <w:r>
        <w:rPr>
          <w:rFonts w:hint="eastAsia" w:ascii="宋体" w:hAnsi="宋体" w:eastAsia="宋体" w:cs="宋体"/>
          <w:color w:val="auto"/>
          <w:kern w:val="0"/>
          <w:sz w:val="24"/>
          <w:highlight w:val="none"/>
        </w:rPr>
        <w:t>份报送政府采购监督管理部门备案，</w:t>
      </w:r>
      <w:r>
        <w:rPr>
          <w:rFonts w:hint="eastAsia" w:ascii="宋体" w:hAnsi="宋体" w:eastAsia="宋体" w:cs="宋体"/>
          <w:color w:val="auto"/>
          <w:kern w:val="0"/>
          <w:sz w:val="24"/>
          <w:highlight w:val="none"/>
          <w:u w:val="single"/>
        </w:rPr>
        <w:t xml:space="preserve"> 一 </w:t>
      </w:r>
      <w:r>
        <w:rPr>
          <w:rFonts w:hint="eastAsia" w:ascii="宋体" w:hAnsi="宋体" w:eastAsia="宋体" w:cs="宋体"/>
          <w:color w:val="auto"/>
          <w:kern w:val="0"/>
          <w:sz w:val="24"/>
          <w:highlight w:val="none"/>
        </w:rPr>
        <w:t>份留招标代理机构备查，</w:t>
      </w:r>
      <w:r>
        <w:rPr>
          <w:rFonts w:hint="eastAsia" w:ascii="宋体" w:hAnsi="宋体" w:eastAsia="宋体" w:cs="宋体"/>
          <w:color w:val="auto"/>
          <w:kern w:val="0"/>
          <w:sz w:val="24"/>
          <w:highlight w:val="none"/>
          <w:u w:val="single"/>
        </w:rPr>
        <w:t xml:space="preserve"> 一 </w:t>
      </w:r>
      <w:r>
        <w:rPr>
          <w:rFonts w:hint="eastAsia" w:ascii="宋体" w:hAnsi="宋体" w:eastAsia="宋体" w:cs="宋体"/>
          <w:color w:val="auto"/>
          <w:kern w:val="0"/>
          <w:sz w:val="24"/>
          <w:highlight w:val="none"/>
        </w:rPr>
        <w:t>份送</w:t>
      </w:r>
      <w:r>
        <w:rPr>
          <w:rFonts w:hint="eastAsia" w:ascii="宋体" w:hAnsi="宋体" w:eastAsia="宋体" w:cs="宋体"/>
          <w:color w:val="auto"/>
          <w:sz w:val="24"/>
          <w:highlight w:val="none"/>
        </w:rPr>
        <w:t>财政核算支付中心</w:t>
      </w:r>
      <w:r>
        <w:rPr>
          <w:rFonts w:hint="eastAsia" w:ascii="宋体" w:hAnsi="宋体" w:eastAsia="宋体" w:cs="宋体"/>
          <w:color w:val="auto"/>
          <w:kern w:val="0"/>
          <w:sz w:val="24"/>
          <w:highlight w:val="none"/>
        </w:rPr>
        <w:t>。（若执行政采贷，另加二份）</w:t>
      </w:r>
    </w:p>
    <w:p>
      <w:pPr>
        <w:keepNext w:val="0"/>
        <w:keepLines w:val="0"/>
        <w:pageBreakBefore w:val="0"/>
        <w:kinsoku/>
        <w:wordWrap/>
        <w:overflowPunct/>
        <w:topLinePunct w:val="0"/>
        <w:autoSpaceDE/>
        <w:autoSpaceDN/>
        <w:bidi w:val="0"/>
        <w:adjustRightInd w:val="0"/>
        <w:snapToGrid w:val="0"/>
        <w:spacing w:line="312" w:lineRule="auto"/>
        <w:ind w:left="360"/>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二、其他条款</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1.承包内容和承包期限</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1.1根据招标文件第三部分的内容；提供嘉兴市第一医院保安服务。</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1.2本次合同承包期为合同签订后一年，其中前三个月（包括在一年中）为试用期，试用期满经采购人考核合格后，合同方为有效。第二年经采购人考核合格后可续签一年。</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2.合同价格</w:t>
      </w:r>
    </w:p>
    <w:p>
      <w:pPr>
        <w:keepNext w:val="0"/>
        <w:keepLines w:val="0"/>
        <w:pageBreakBefore w:val="0"/>
        <w:kinsoku/>
        <w:wordWrap/>
        <w:overflowPunct/>
        <w:topLinePunct w:val="0"/>
        <w:autoSpaceDE/>
        <w:autoSpaceDN/>
        <w:bidi w:val="0"/>
        <w:adjustRightInd w:val="0"/>
        <w:snapToGrid w:val="0"/>
        <w:spacing w:line="312" w:lineRule="auto"/>
        <w:ind w:left="598" w:leftChars="285" w:firstLine="0" w:firstLineChars="0"/>
        <w:textAlignment w:val="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本合同承包价为人民币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万元/年，突发事件临时加班费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w:t>
      </w:r>
      <w:r>
        <w:rPr>
          <w:rFonts w:hint="eastAsia" w:ascii="宋体" w:hAnsi="宋体" w:eastAsia="宋体" w:cs="宋体"/>
          <w:color w:val="auto"/>
          <w:sz w:val="24"/>
          <w:highlight w:val="none"/>
          <w:lang w:val="en-US" w:eastAsia="zh-CN"/>
        </w:rPr>
        <w:t>小时</w:t>
      </w:r>
      <w:r>
        <w:rPr>
          <w:rFonts w:hint="eastAsia" w:ascii="宋体" w:hAnsi="宋体" w:eastAsia="宋体" w:cs="宋体"/>
          <w:color w:val="auto"/>
          <w:sz w:val="24"/>
          <w:highlight w:val="none"/>
        </w:rPr>
        <w:t>，项目负责人为：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2.1本项目投标报价为一年（自合同签订之日起）的承包费用报价（</w:t>
      </w:r>
      <w:r>
        <w:rPr>
          <w:rFonts w:hint="eastAsia" w:ascii="宋体" w:hAnsi="宋体" w:eastAsia="宋体" w:cs="宋体"/>
          <w:color w:val="auto"/>
          <w:sz w:val="24"/>
          <w:highlight w:val="none"/>
        </w:rPr>
        <w:t>合同签订后一年，其中前三个月（包括在一年中）为试用期，试用期满经采购人考核合格后，合同方为有效。第二年经采购人考核合格后可续签一年</w:t>
      </w:r>
      <w:r>
        <w:rPr>
          <w:rFonts w:hint="eastAsia" w:ascii="宋体" w:hAnsi="宋体" w:eastAsia="宋体" w:cs="宋体"/>
          <w:color w:val="auto"/>
          <w:sz w:val="24"/>
          <w:highlight w:val="none"/>
          <w:lang w:eastAsia="zh-CN"/>
        </w:rPr>
        <w:t>，</w:t>
      </w:r>
      <w:r>
        <w:rPr>
          <w:rFonts w:hint="eastAsia" w:ascii="宋体" w:hAnsi="宋体" w:eastAsia="宋体" w:cs="宋体"/>
          <w:color w:val="auto"/>
          <w:kern w:val="0"/>
          <w:sz w:val="24"/>
          <w:highlight w:val="none"/>
        </w:rPr>
        <w:t>第二年的承包费不得增加）。</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2.2本项目投标报价为一年保安服务的费用，投标总价应包括承包区域内提供保安服务所需的一切人员人工费用[含工资、奖金、补贴、加班费、高温补偿费、社会保险（基本养老保险、基本医疗保险、工伤保险、失业保险、生育保险）]、钱款押运（含车辆、司乘人员、保安人员费用）、办公费、食宿与交通费、设备器材及工具、耗材费用、服装费、安全费、管理费用、规费、税费、利润以及完成合同所需的一切本身和不可或缺的所有费用并承担一切风险责任。在保安合同服务期间内不得违反国家相关政策规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（1）发包方提出的承包区域面积或承包内容变更，根据原中标综合单价计算变更费用。但属承包方投标漏项少算的费用不得追补。</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（2）发生不可抗力的因素造成乙方直接损失的费用，经鉴定核准，甲方酌情予以一定补偿。但属乙方可以预见、预防，而乙方预防不力所造成的损失，不予补偿。其经济损失由乙方承担。</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2.3乙方支付给在甲方场所服务的保安员应发收入不少于每月人均服务费（合同总价÷保安人数÷12）的70%，每月向甲方提供前一个月的保安人员工资发放表用于备案。在合同期内，采购人不承担工资上调费用。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2.4投标人认为为完成本招标文件规定的项目承包内容所需发生的直接成本、间接成本、利润、税金、政策性文件规定的费用、风险等一切费用均应计入投标报价；凡未列入的，将被认为均已包含在投标总报价中，今后不得以任何理由追加或调整。</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3.甲方责任条款</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3.1提供医院保安服务质量标准、作业规范及考核办法。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3.2组织对乙方提供服务的考核。</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3.3按合同约定支付合同款项。</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3.4如遇突发事件，协调乙方在作业过程中与其他部门的关系。</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4.乙方责任条款</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4.1按招标文件、投标文件及医院的有关要求提供医院保安服务。</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4.2遇到突发事件或自然灾害，必须服从甲方指挥与安排。</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4.2协助甲方调查、处理有关投诉，并根据甲方要求及时处理。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4.4完成甲方交办的临时性任务。</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4.5未经甲方同意，乙方无权在承包区域内从事任何经营活动或类似宣传，甲方有权依照法律法规和甲方相关的规定责令乙方限期改正，并接受处罚。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4.6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4.7代理甲方**室协警服务费管理和代发协警工资。**室协警的服务费以当年本地公安系统招聘公安协警为参考。</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4.8配合甲方履行保安管理基金协议所要求的条款。</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5.承包职责</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5.1乙方必须信守承包承诺，认真落实具有相应的固定服务人员，服务人员必须统一穿着工作服，挂牌上岗并建立健全的管理制度。</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5.2乙方必须按甲方制订的服务标准，严格履行承包义务，为甲方提供专业、优质、高效的服务。并根据甲方要求改变不满意的状况，接受甲方的监督和检查。</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5.3因工作需要，甲方临时向乙方提出服务的要求，乙方应全力配合，按照甲方提出标准及要求完成任务，不得无故拖延。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5.4在服务期内承包人遇到医院各类检查（如上级部门来院检查等），承包人要无条件加班，医院不另支付加班费，即此项造成的费用由承包方承担。</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5.5乙方必须对员工发生的事故责任以及员工计生、身份、健康等承担责任；同时对员工在院内做出不良行为给医院造成影响承担责任。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5.6乙方员工发生被媒体曝光或影响甲方公众形象或违反医院规章制度造成不良影响，而由此产生的损失及消除影响产生的费用，由乙方全部承担。</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5.7承包期间，乙方应保证承包区域内的其他有关设施、设备不受损坏，否则由此引起的责任和损失由乙方承担。</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5.8公司的办公各类设施及费用、人员食宿、安全等均由乙方自行负责解决。</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5.9乙方须缴纳员工必要的社会保险，员工福利方面按社保缴纳清单支付。</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5.10乙方须为乙方的每位员工交纳各种社会保险及保证每位员工的必要休息时间，乙方每月支付乙方员工的工资不低于每月人均服务费（中标总价÷保安人数÷12）的70%。</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5.11甲方为乙方提供一定的办公场所。</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6.考核标准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6.1甲方对乙方按考核制度每月进行考核。</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7.付款方式</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7.1乙方在签定合同前7天内，向甲方提供合同总价</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%的履约保证金</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方式为</w:t>
      </w:r>
      <w:r>
        <w:rPr>
          <w:rFonts w:hint="eastAsia" w:ascii="宋体" w:hAnsi="宋体" w:eastAsia="宋体" w:cs="宋体"/>
          <w:color w:val="auto"/>
          <w:kern w:val="0"/>
          <w:sz w:val="24"/>
          <w:highlight w:val="none"/>
        </w:rPr>
        <w:t>支票、汇票、本票或者金融机构、担保机构出具的保函等非现金形式。</w:t>
      </w:r>
      <w:r>
        <w:rPr>
          <w:rFonts w:hint="eastAsia" w:ascii="宋体" w:hAnsi="宋体" w:eastAsia="宋体" w:cs="宋体"/>
          <w:color w:val="auto"/>
          <w:kern w:val="0"/>
          <w:sz w:val="24"/>
          <w:highlight w:val="none"/>
          <w:lang w:eastAsia="zh-CN"/>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w:t>
      </w: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合同签定后内，甲方按考核得分每月15日前支付费用，乙方开始投入营运起计费，每满营运一个月后付款；乙方在服务期内有下列行为，造成的不当损失而产生费用，要从当月支付给乙方的费用中扣除：A、乙方要爱护与保管医院财产，如损坏医院设施等，按实际损失价值赔偿；B、没有达到考核标准的，按考核标准中规定的扣除；C、其它因乙方不作为或管理不严等，造成医院不良影响或损失。D、部分与招标文件不符合的做法，或不履行其投标文件的承诺。</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临时用工的费用按实计算，经甲方签证核实后在下一个月支付。</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8.违约中止合同及赔偿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8.1甲方在乙方存在如下违约情况时，有权单方面终止全部或部分合同，并保留进一步追究乙方责任的权利（包括经济赔偿）。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（1）乙方未能履行合同规定的义务；</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（2）连续四个月或一年累计达6次月度考核不合格；</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（3）有严重影响医院有关科室的正常工作及医院形象。</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8.2乙方如要提前中止合同，需提前3个月，并征得甲方同意，否则按合同执行。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8.3除不可抗力以外，如发生乙方不能履行合同义务，或甲方发生中途终止合同等情况，应及时以书面形式通知对方。甲乙双方应本着友好的态度进行协商，妥善解决。如协商无效，按下列规定计算并支付违约金：</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（1）乙方不能履行合同义务，应按未履行部分合同价格的10%向甲方偿付违约金，同时履约保证金不予退还。</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（2）如乙方未能履行合同规定的任何一项义务，甲方均有权从履约保证金中得到补偿。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（3）乙方在合同签订一个月后在岗人员低于90%的扣除当月总服务费的5%，连续3个月以上在岗人员低于90%，扣除当月总服务费的10%。</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（4）在岗人员年龄55岁以下不到65%，扣除当月总服务费的1%</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（5）甲方发生中途终止合同（8.1条原因除外），应向乙方偿付违约金，违约金按未履行部分合同价格的2%计算。</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（6）经双方协商可终止部分或全部合同的，无须承担违约责任。</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9.破产终止合同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9.1如果乙方破产或无清偿能力时，甲方可在任何时候以书面通知乙方终止合同。该终止合同将不损害或影响甲方已经采取或将要采取的补救措施的权利。</w:t>
      </w:r>
    </w:p>
    <w:p>
      <w:pPr>
        <w:keepNext w:val="0"/>
        <w:keepLines w:val="0"/>
        <w:pageBreakBefore w:val="0"/>
        <w:kinsoku/>
        <w:wordWrap/>
        <w:overflowPunct/>
        <w:topLinePunct w:val="0"/>
        <w:autoSpaceDE/>
        <w:autoSpaceDN/>
        <w:bidi w:val="0"/>
        <w:adjustRightInd w:val="0"/>
        <w:snapToGrid w:val="0"/>
        <w:spacing w:line="312" w:lineRule="auto"/>
        <w:ind w:left="36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10.仲裁</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10.1双方在执行合同中所发生的一切争议，应通过协商解决。如协商不成，应向甲方法定地址所在仲裁机构提交仲裁，也可直接向甲方法定地址所在人民法院起诉。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10.2在仲裁期间，除正在进行仲裁的部份外，本合同其他部份应继续执行。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10.3仲裁费用除仲裁机构另行有裁决外，由败诉方承担。</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11.合同生效及其他</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11.1合同经双方签字并加盖公章后生效。</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11.2合同签定地点：合同执行地。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11.3合同执行中，如需修改或补充合同内容，经协商，双方应签署书面修改或补充协议。该协议将作为合同不可分割的一部分。</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12.其它</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12.1招标文件、补充文件、投标文件及询标答疑纪要、中标通知书等作为本合同的附件，与本合同具有同等法律效力。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12.2本合同一式四份，双方各执二份，双方签字盖章后生效，违约及其处罚按经济合同法及本合同有关条款执行。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12.3以上协议未尽之处，双方协商解决。</w:t>
      </w:r>
    </w:p>
    <w:p>
      <w:pPr>
        <w:keepNext w:val="0"/>
        <w:keepLines w:val="0"/>
        <w:pageBreakBefore w:val="0"/>
        <w:kinsoku/>
        <w:wordWrap/>
        <w:overflowPunct/>
        <w:topLinePunct w:val="0"/>
        <w:autoSpaceDE/>
        <w:autoSpaceDN/>
        <w:bidi w:val="0"/>
        <w:adjustRightInd w:val="0"/>
        <w:snapToGrid w:val="0"/>
        <w:spacing w:line="312" w:lineRule="auto"/>
        <w:ind w:left="360"/>
        <w:textAlignment w:val="auto"/>
        <w:rPr>
          <w:rFonts w:hint="eastAsia" w:ascii="宋体" w:hAnsi="宋体" w:eastAsia="宋体" w:cs="宋体"/>
          <w:color w:val="auto"/>
          <w:sz w:val="24"/>
          <w:highlight w:val="none"/>
        </w:rPr>
      </w:pPr>
    </w:p>
    <w:p>
      <w:pPr>
        <w:keepNext w:val="0"/>
        <w:keepLines w:val="0"/>
        <w:pageBreakBefore w:val="0"/>
        <w:tabs>
          <w:tab w:val="left" w:pos="840"/>
        </w:tabs>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甲方（公章）：             乙方（公章）：</w:t>
      </w:r>
    </w:p>
    <w:p>
      <w:pPr>
        <w:keepNext w:val="0"/>
        <w:keepLines w:val="0"/>
        <w:pageBreakBefore w:val="0"/>
        <w:tabs>
          <w:tab w:val="left" w:pos="840"/>
        </w:tabs>
        <w:kinsoku/>
        <w:wordWrap/>
        <w:overflowPunct/>
        <w:topLinePunct w:val="0"/>
        <w:autoSpaceDE/>
        <w:autoSpaceDN/>
        <w:bidi w:val="0"/>
        <w:adjustRightInd w:val="0"/>
        <w:spacing w:line="312" w:lineRule="auto"/>
        <w:ind w:right="-220" w:rightChars="-10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法定代表人或受委托人（签字或盖章）：  法定代表人或受委托人（签字或盖章）：地址：                                地址：</w:t>
      </w:r>
    </w:p>
    <w:p>
      <w:pPr>
        <w:keepNext w:val="0"/>
        <w:keepLines w:val="0"/>
        <w:pageBreakBefore w:val="0"/>
        <w:tabs>
          <w:tab w:val="left" w:pos="840"/>
        </w:tabs>
        <w:kinsoku/>
        <w:wordWrap/>
        <w:overflowPunct/>
        <w:topLinePunct w:val="0"/>
        <w:autoSpaceDE/>
        <w:autoSpaceDN/>
        <w:bidi w:val="0"/>
        <w:adjustRightInd w:val="0"/>
        <w:spacing w:line="312"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电话：                   电话：  </w:t>
      </w:r>
    </w:p>
    <w:p>
      <w:pPr>
        <w:keepNext w:val="0"/>
        <w:keepLines w:val="0"/>
        <w:pageBreakBefore w:val="0"/>
        <w:tabs>
          <w:tab w:val="left" w:pos="840"/>
        </w:tabs>
        <w:kinsoku/>
        <w:wordWrap/>
        <w:overflowPunct/>
        <w:topLinePunct w:val="0"/>
        <w:autoSpaceDE/>
        <w:autoSpaceDN/>
        <w:bidi w:val="0"/>
        <w:adjustRightInd w:val="0"/>
        <w:spacing w:line="312" w:lineRule="auto"/>
        <w:ind w:right="42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签约地点：                            签约时间：     年   月   日</w:t>
      </w:r>
    </w:p>
    <w:p>
      <w:pPr>
        <w:pStyle w:val="10"/>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b/>
          <w:color w:val="auto"/>
          <w:sz w:val="24"/>
          <w:szCs w:val="24"/>
          <w:highlight w:val="none"/>
        </w:rPr>
      </w:pPr>
    </w:p>
    <w:p>
      <w:pPr>
        <w:pStyle w:val="10"/>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注：本合同作为示范文本，具体以中标人与业主单位所签定正式合同为准。</w:t>
      </w:r>
    </w:p>
    <w:p>
      <w:pPr>
        <w:spacing w:line="480" w:lineRule="auto"/>
        <w:rPr>
          <w:rFonts w:hint="eastAsia" w:ascii="宋体" w:hAnsi="宋体" w:eastAsia="宋体" w:cs="宋体"/>
          <w:b/>
          <w:color w:val="auto"/>
          <w:sz w:val="24"/>
          <w:highlight w:val="none"/>
        </w:rPr>
      </w:pPr>
    </w:p>
    <w:p>
      <w:pPr>
        <w:pStyle w:val="10"/>
        <w:snapToGrid w:val="0"/>
        <w:spacing w:line="360" w:lineRule="auto"/>
        <w:ind w:firstLine="440" w:firstLineChars="200"/>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4"/>
          <w:highlight w:val="none"/>
        </w:rPr>
        <w:sectPr>
          <w:footerReference r:id="rId8" w:type="first"/>
          <w:headerReference r:id="rId6" w:type="default"/>
          <w:footerReference r:id="rId7" w:type="default"/>
          <w:pgSz w:w="11906" w:h="16838"/>
          <w:pgMar w:top="1588" w:right="1588" w:bottom="1588" w:left="1588" w:header="964" w:footer="964" w:gutter="0"/>
          <w:pgNumType w:fmt="decimal"/>
          <w:cols w:space="720" w:num="1"/>
          <w:titlePg/>
          <w:docGrid w:linePitch="312" w:charSpace="0"/>
        </w:sectPr>
      </w:pPr>
    </w:p>
    <w:p>
      <w:pPr>
        <w:rPr>
          <w:rFonts w:hint="eastAsia" w:ascii="宋体" w:hAnsi="宋体" w:eastAsia="宋体" w:cs="宋体"/>
          <w:color w:val="auto"/>
          <w:sz w:val="24"/>
          <w:highlight w:val="none"/>
        </w:rPr>
      </w:pPr>
    </w:p>
    <w:p>
      <w:pPr>
        <w:spacing w:line="360" w:lineRule="auto"/>
        <w:ind w:left="720" w:firstLine="964" w:firstLineChars="400"/>
        <w:rPr>
          <w:rFonts w:hint="eastAsia" w:ascii="宋体" w:hAnsi="宋体" w:eastAsia="宋体" w:cs="宋体"/>
          <w:b/>
          <w:color w:val="auto"/>
          <w:sz w:val="24"/>
          <w:highlight w:val="none"/>
        </w:rPr>
      </w:pPr>
    </w:p>
    <w:p>
      <w:pPr>
        <w:spacing w:line="360" w:lineRule="auto"/>
        <w:ind w:firstLine="1446" w:firstLineChars="400"/>
        <w:outlineLvl w:val="0"/>
        <w:rPr>
          <w:rFonts w:hint="eastAsia" w:ascii="宋体" w:hAnsi="宋体" w:eastAsia="宋体" w:cs="宋体"/>
          <w:b/>
          <w:color w:val="auto"/>
          <w:sz w:val="36"/>
          <w:szCs w:val="36"/>
          <w:highlight w:val="none"/>
        </w:rPr>
      </w:pPr>
      <w:bookmarkStart w:id="547" w:name="_Toc20907"/>
      <w:bookmarkStart w:id="548" w:name="_Toc30154"/>
      <w:bookmarkStart w:id="549" w:name="_Toc22299"/>
      <w:r>
        <w:rPr>
          <w:rFonts w:hint="eastAsia" w:ascii="宋体" w:hAnsi="宋体" w:eastAsia="宋体" w:cs="宋体"/>
          <w:b/>
          <w:color w:val="auto"/>
          <w:sz w:val="36"/>
          <w:szCs w:val="36"/>
          <w:highlight w:val="none"/>
        </w:rPr>
        <w:t>第六部分</w:t>
      </w:r>
      <w:bookmarkEnd w:id="520"/>
      <w:bookmarkEnd w:id="521"/>
      <w:r>
        <w:rPr>
          <w:rFonts w:hint="eastAsia" w:ascii="宋体" w:hAnsi="宋体" w:eastAsia="宋体" w:cs="宋体"/>
          <w:b/>
          <w:color w:val="auto"/>
          <w:sz w:val="36"/>
          <w:szCs w:val="36"/>
          <w:highlight w:val="none"/>
        </w:rPr>
        <w:t>应提交的有关格式范例</w:t>
      </w:r>
      <w:bookmarkEnd w:id="547"/>
      <w:bookmarkEnd w:id="548"/>
      <w:bookmarkEnd w:id="549"/>
    </w:p>
    <w:p>
      <w:pPr>
        <w:spacing w:afterLines="150"/>
        <w:ind w:firstLine="470" w:firstLineChars="196"/>
        <w:rPr>
          <w:rFonts w:hint="eastAsia" w:ascii="宋体" w:hAnsi="宋体" w:eastAsia="宋体" w:cs="宋体"/>
          <w:color w:val="auto"/>
          <w:sz w:val="24"/>
          <w:highlight w:val="none"/>
        </w:rPr>
      </w:pPr>
    </w:p>
    <w:p>
      <w:pPr>
        <w:spacing w:line="360" w:lineRule="auto"/>
        <w:jc w:val="center"/>
        <w:outlineLvl w:val="1"/>
        <w:rPr>
          <w:rFonts w:hint="eastAsia" w:ascii="宋体" w:hAnsi="宋体" w:eastAsia="宋体" w:cs="宋体"/>
          <w:b/>
          <w:color w:val="auto"/>
          <w:kern w:val="0"/>
          <w:sz w:val="28"/>
          <w:szCs w:val="28"/>
          <w:highlight w:val="none"/>
        </w:rPr>
      </w:pPr>
      <w:bookmarkStart w:id="550" w:name="_Toc832"/>
      <w:bookmarkStart w:id="551" w:name="_Toc30907"/>
      <w:bookmarkStart w:id="552" w:name="_Toc26536"/>
      <w:r>
        <w:rPr>
          <w:rFonts w:hint="eastAsia" w:ascii="宋体" w:hAnsi="宋体" w:eastAsia="宋体" w:cs="宋体"/>
          <w:b/>
          <w:color w:val="auto"/>
          <w:kern w:val="0"/>
          <w:sz w:val="28"/>
          <w:szCs w:val="28"/>
          <w:highlight w:val="none"/>
        </w:rPr>
        <w:t>资格文件部分</w:t>
      </w:r>
      <w:bookmarkEnd w:id="550"/>
      <w:bookmarkEnd w:id="551"/>
      <w:bookmarkEnd w:id="552"/>
    </w:p>
    <w:p>
      <w:pPr>
        <w:spacing w:line="360" w:lineRule="auto"/>
        <w:jc w:val="center"/>
        <w:outlineLvl w:val="0"/>
        <w:rPr>
          <w:rFonts w:hint="eastAsia" w:ascii="宋体" w:hAnsi="宋体" w:eastAsia="宋体" w:cs="宋体"/>
          <w:b/>
          <w:color w:val="auto"/>
          <w:kern w:val="0"/>
          <w:sz w:val="24"/>
          <w:highlight w:val="none"/>
        </w:rPr>
      </w:pPr>
      <w:bookmarkStart w:id="553" w:name="_Toc3139"/>
      <w:bookmarkStart w:id="554" w:name="_Toc6616"/>
      <w:bookmarkStart w:id="555" w:name="_Toc28764"/>
      <w:r>
        <w:rPr>
          <w:rFonts w:hint="eastAsia" w:ascii="宋体" w:hAnsi="宋体" w:eastAsia="宋体" w:cs="宋体"/>
          <w:b/>
          <w:color w:val="auto"/>
          <w:kern w:val="0"/>
          <w:sz w:val="24"/>
          <w:highlight w:val="none"/>
        </w:rPr>
        <w:t>目录</w:t>
      </w:r>
      <w:bookmarkEnd w:id="553"/>
      <w:bookmarkEnd w:id="554"/>
      <w:bookmarkEnd w:id="555"/>
    </w:p>
    <w:p>
      <w:pPr>
        <w:spacing w:line="360" w:lineRule="auto"/>
        <w:jc w:val="center"/>
        <w:rPr>
          <w:rFonts w:hint="eastAsia" w:ascii="宋体" w:hAnsi="宋体" w:eastAsia="宋体" w:cs="宋体"/>
          <w:b/>
          <w:color w:val="auto"/>
          <w:kern w:val="0"/>
          <w:sz w:val="24"/>
          <w:highlight w:val="none"/>
        </w:rPr>
      </w:pP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（2）落实政府采购政策需满足的资格要求………………………………（页码）</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（3）本项目的特定资格要求………………………………………………（页码）</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（4）政府采购活动现场确认声明书………………………………………（页码）</w:t>
      </w: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outlineLvl w:val="1"/>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br w:type="page"/>
      </w:r>
      <w:bookmarkStart w:id="556" w:name="_Toc18680"/>
      <w:bookmarkStart w:id="557" w:name="_Toc19555"/>
      <w:r>
        <w:rPr>
          <w:rFonts w:hint="eastAsia" w:ascii="宋体" w:hAnsi="宋体" w:eastAsia="宋体" w:cs="宋体"/>
          <w:b/>
          <w:color w:val="auto"/>
          <w:kern w:val="0"/>
          <w:sz w:val="30"/>
          <w:szCs w:val="30"/>
          <w:highlight w:val="none"/>
        </w:rPr>
        <w:t>一、 符合参加政府采购活动应当具备的一般条件的承诺函</w:t>
      </w:r>
      <w:bookmarkEnd w:id="556"/>
      <w:bookmarkEnd w:id="557"/>
    </w:p>
    <w:p>
      <w:pPr>
        <w:snapToGrid w:val="0"/>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嘉兴市第一医院</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杭州中浙招标有限公司：</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eastAsia="宋体" w:cs="宋体"/>
          <w:color w:val="auto"/>
          <w:sz w:val="24"/>
          <w:highlight w:val="none"/>
          <w:lang w:eastAsia="zh-CN"/>
        </w:rPr>
        <w:t>嘉兴市第一医院2022至2023年安保服务项目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中浙-CZTC22211</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月日</w:t>
      </w:r>
    </w:p>
    <w:p>
      <w:pPr>
        <w:snapToGrid w:val="0"/>
        <w:spacing w:line="360" w:lineRule="auto"/>
        <w:rPr>
          <w:rFonts w:hint="eastAsia" w:ascii="宋体" w:hAnsi="宋体" w:eastAsia="宋体" w:cs="宋体"/>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pStyle w:val="3"/>
        <w:outlineLvl w:val="9"/>
        <w:rPr>
          <w:rFonts w:hint="eastAsia" w:ascii="宋体" w:hAnsi="宋体" w:eastAsia="宋体" w:cs="宋体"/>
          <w:color w:val="auto"/>
          <w:sz w:val="24"/>
          <w:szCs w:val="24"/>
          <w:highlight w:val="none"/>
        </w:rPr>
      </w:pPr>
    </w:p>
    <w:p>
      <w:pPr>
        <w:snapToGrid w:val="0"/>
        <w:spacing w:line="360" w:lineRule="auto"/>
        <w:ind w:right="480"/>
        <w:jc w:val="center"/>
        <w:outlineLvl w:val="1"/>
        <w:rPr>
          <w:rFonts w:hint="eastAsia" w:ascii="宋体" w:hAnsi="宋体" w:eastAsia="宋体" w:cs="宋体"/>
          <w:b/>
          <w:color w:val="auto"/>
          <w:kern w:val="0"/>
          <w:sz w:val="30"/>
          <w:szCs w:val="30"/>
          <w:highlight w:val="none"/>
        </w:rPr>
      </w:pPr>
      <w:bookmarkStart w:id="558" w:name="_Toc17428"/>
      <w:bookmarkStart w:id="559" w:name="_Toc12301"/>
      <w:bookmarkStart w:id="560" w:name="_Toc13909"/>
      <w:r>
        <w:rPr>
          <w:rFonts w:hint="eastAsia" w:ascii="宋体" w:hAnsi="宋体" w:eastAsia="宋体" w:cs="宋体"/>
          <w:b/>
          <w:color w:val="auto"/>
          <w:kern w:val="0"/>
          <w:sz w:val="30"/>
          <w:szCs w:val="30"/>
          <w:highlight w:val="none"/>
        </w:rPr>
        <w:t>二、落实政府采购政策需满足的资格要求</w:t>
      </w:r>
      <w:bookmarkEnd w:id="558"/>
      <w:bookmarkEnd w:id="559"/>
      <w:bookmarkEnd w:id="560"/>
    </w:p>
    <w:p>
      <w:pPr>
        <w:pStyle w:val="25"/>
        <w:ind w:firstLine="1446" w:firstLineChars="600"/>
        <w:rPr>
          <w:rFonts w:hint="eastAsia" w:ascii="宋体" w:hAnsi="宋体" w:eastAsia="宋体" w:cs="宋体"/>
          <w:b/>
          <w:color w:val="auto"/>
          <w:kern w:val="0"/>
          <w:sz w:val="24"/>
          <w:szCs w:val="24"/>
          <w:highlight w:val="none"/>
        </w:rPr>
      </w:pPr>
    </w:p>
    <w:p>
      <w:pPr>
        <w:pStyle w:val="25"/>
        <w:ind w:firstLine="1446" w:firstLineChars="60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专门面向中小</w:t>
      </w:r>
      <w:bookmarkStart w:id="683" w:name="_GoBack"/>
      <w:bookmarkEnd w:id="683"/>
      <w:r>
        <w:rPr>
          <w:rFonts w:hint="eastAsia" w:ascii="宋体" w:hAnsi="宋体" w:eastAsia="宋体" w:cs="宋体"/>
          <w:b/>
          <w:color w:val="auto"/>
          <w:kern w:val="0"/>
          <w:sz w:val="24"/>
          <w:szCs w:val="24"/>
          <w:highlight w:val="none"/>
        </w:rPr>
        <w:t>企业，必须提供《中小企业声明函》</w:t>
      </w:r>
    </w:p>
    <w:p>
      <w:pPr>
        <w:widowControl/>
        <w:spacing w:line="360" w:lineRule="auto"/>
        <w:ind w:firstLine="723" w:firstLineChars="300"/>
        <w:rPr>
          <w:rFonts w:hint="eastAsia" w:ascii="宋体" w:hAnsi="宋体" w:eastAsia="宋体" w:cs="宋体"/>
          <w:b/>
          <w:color w:val="auto"/>
          <w:kern w:val="0"/>
          <w:sz w:val="24"/>
          <w:highlight w:val="none"/>
        </w:rPr>
      </w:pPr>
    </w:p>
    <w:p>
      <w:pPr>
        <w:widowControl/>
        <w:spacing w:line="360" w:lineRule="auto"/>
        <w:jc w:val="center"/>
        <w:outlineLvl w:val="9"/>
        <w:rPr>
          <w:rFonts w:hint="eastAsia" w:ascii="宋体" w:hAnsi="宋体" w:eastAsia="宋体" w:cs="宋体"/>
          <w:b/>
          <w:color w:val="auto"/>
          <w:kern w:val="0"/>
          <w:sz w:val="30"/>
          <w:szCs w:val="30"/>
          <w:highlight w:val="none"/>
        </w:rPr>
      </w:pPr>
      <w:bookmarkStart w:id="561" w:name="_Toc1708"/>
    </w:p>
    <w:p>
      <w:pPr>
        <w:widowControl/>
        <w:spacing w:line="360" w:lineRule="auto"/>
        <w:jc w:val="center"/>
        <w:outlineLvl w:val="1"/>
        <w:rPr>
          <w:rFonts w:hint="eastAsia" w:ascii="宋体" w:hAnsi="宋体" w:eastAsia="宋体" w:cs="宋体"/>
          <w:b/>
          <w:color w:val="auto"/>
          <w:kern w:val="0"/>
          <w:sz w:val="30"/>
          <w:szCs w:val="30"/>
          <w:highlight w:val="none"/>
        </w:rPr>
      </w:pPr>
      <w:bookmarkStart w:id="562" w:name="_Toc7264"/>
      <w:bookmarkStart w:id="563" w:name="_Toc21945"/>
      <w:r>
        <w:rPr>
          <w:rFonts w:hint="eastAsia" w:ascii="宋体" w:hAnsi="宋体" w:eastAsia="宋体" w:cs="宋体"/>
          <w:b/>
          <w:color w:val="auto"/>
          <w:kern w:val="0"/>
          <w:sz w:val="30"/>
          <w:szCs w:val="30"/>
          <w:highlight w:val="none"/>
        </w:rPr>
        <w:t>三、本项目的特定资格要求</w:t>
      </w:r>
      <w:bookmarkEnd w:id="561"/>
      <w:bookmarkEnd w:id="562"/>
      <w:bookmarkEnd w:id="563"/>
    </w:p>
    <w:p>
      <w:pPr>
        <w:snapToGrid w:val="0"/>
        <w:spacing w:line="360" w:lineRule="auto"/>
        <w:ind w:right="480" w:firstLine="1687" w:firstLineChars="700"/>
        <w:rPr>
          <w:rFonts w:hint="eastAsia" w:ascii="宋体" w:hAnsi="宋体" w:eastAsia="宋体" w:cs="宋体"/>
          <w:b/>
          <w:color w:val="auto"/>
          <w:kern w:val="0"/>
          <w:sz w:val="24"/>
          <w:highlight w:val="none"/>
        </w:rPr>
      </w:pPr>
    </w:p>
    <w:p>
      <w:pPr>
        <w:snapToGrid w:val="0"/>
        <w:spacing w:line="360" w:lineRule="auto"/>
        <w:ind w:right="48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具有公安行政主管部门颁发的保安服务许可证（提供有效期内的保安服务许可证）</w:t>
      </w: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pacing w:line="360" w:lineRule="auto"/>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pacing w:line="360" w:lineRule="auto"/>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pacing w:line="360" w:lineRule="auto"/>
        <w:jc w:val="center"/>
        <w:rPr>
          <w:rFonts w:hint="eastAsia" w:ascii="宋体" w:hAnsi="宋体" w:eastAsia="宋体" w:cs="宋体"/>
          <w:b/>
          <w:color w:val="auto"/>
          <w:kern w:val="0"/>
          <w:sz w:val="24"/>
          <w:highlight w:val="none"/>
        </w:rPr>
      </w:pPr>
    </w:p>
    <w:p>
      <w:pPr>
        <w:pStyle w:val="25"/>
        <w:rPr>
          <w:rFonts w:hint="eastAsia" w:ascii="宋体" w:hAnsi="宋体" w:eastAsia="宋体" w:cs="宋体"/>
          <w:b/>
          <w:color w:val="auto"/>
          <w:kern w:val="0"/>
          <w:sz w:val="24"/>
          <w:szCs w:val="24"/>
          <w:highlight w:val="none"/>
        </w:rPr>
      </w:pPr>
    </w:p>
    <w:p>
      <w:pPr>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bookmarkStart w:id="564" w:name="_Toc15734"/>
      <w:r>
        <w:rPr>
          <w:rFonts w:hint="eastAsia" w:ascii="宋体" w:hAnsi="宋体" w:eastAsia="宋体" w:cs="宋体"/>
          <w:b/>
          <w:color w:val="auto"/>
          <w:kern w:val="0"/>
          <w:sz w:val="24"/>
          <w:highlight w:val="none"/>
        </w:rPr>
        <w:br w:type="page"/>
      </w:r>
    </w:p>
    <w:p>
      <w:pPr>
        <w:pStyle w:val="3"/>
        <w:keepNext w:val="0"/>
        <w:keepLines w:val="0"/>
        <w:widowControl/>
        <w:snapToGrid w:val="0"/>
        <w:ind w:left="0" w:firstLine="0"/>
        <w:jc w:val="center"/>
        <w:rPr>
          <w:rFonts w:hint="eastAsia" w:ascii="宋体" w:hAnsi="宋体" w:eastAsia="宋体" w:cs="宋体"/>
          <w:color w:val="auto"/>
          <w:highlight w:val="none"/>
        </w:rPr>
      </w:pPr>
      <w:bookmarkStart w:id="565" w:name="_Toc650"/>
      <w:bookmarkStart w:id="566" w:name="_Toc18211"/>
      <w:r>
        <w:rPr>
          <w:rFonts w:hint="eastAsia" w:ascii="宋体" w:hAnsi="宋体" w:eastAsia="宋体" w:cs="宋体"/>
          <w:color w:val="auto"/>
          <w:highlight w:val="none"/>
          <w:lang w:val="en-US"/>
        </w:rPr>
        <w:t>四、</w:t>
      </w:r>
      <w:r>
        <w:rPr>
          <w:rFonts w:hint="eastAsia" w:ascii="宋体" w:hAnsi="宋体" w:eastAsia="宋体" w:cs="宋体"/>
          <w:color w:val="auto"/>
          <w:highlight w:val="none"/>
        </w:rPr>
        <w:t>政府采购活动现场确认声明书</w:t>
      </w:r>
      <w:bookmarkEnd w:id="565"/>
      <w:bookmarkEnd w:id="566"/>
    </w:p>
    <w:p>
      <w:pPr>
        <w:autoSpaceDE w:val="0"/>
        <w:autoSpaceDN w:val="0"/>
        <w:snapToGrid w:val="0"/>
        <w:spacing w:line="360" w:lineRule="auto"/>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杭州中浙招标有限公司:</w:t>
      </w:r>
    </w:p>
    <w:p>
      <w:pPr>
        <w:autoSpaceDE w:val="0"/>
        <w:autoSpaceDN w:val="0"/>
        <w:snapToGrid w:val="0"/>
        <w:spacing w:line="440" w:lineRule="exact"/>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本人 ____________（授权代表姓名），经由_____________________（单位） ____________ （法定代表人姓名）合法授权参加</w:t>
      </w:r>
      <w:r>
        <w:rPr>
          <w:rFonts w:hint="eastAsia" w:ascii="宋体" w:hAnsi="宋体" w:eastAsia="宋体" w:cs="宋体"/>
          <w:color w:val="auto"/>
          <w:sz w:val="24"/>
          <w:highlight w:val="none"/>
          <w:u w:val="single"/>
          <w:lang w:val="zh-CN"/>
        </w:rPr>
        <w:t>嘉兴市第一医院2022至2023年安保服务项目</w:t>
      </w:r>
      <w:r>
        <w:rPr>
          <w:rFonts w:hint="eastAsia" w:ascii="宋体" w:hAnsi="宋体" w:eastAsia="宋体" w:cs="宋体"/>
          <w:color w:val="auto"/>
          <w:sz w:val="24"/>
          <w:highlight w:val="none"/>
          <w:lang w:val="zh-CN"/>
        </w:rPr>
        <w:t>（编号：</w:t>
      </w:r>
      <w:r>
        <w:rPr>
          <w:rFonts w:hint="eastAsia" w:ascii="宋体" w:hAnsi="宋体" w:eastAsia="宋体" w:cs="宋体"/>
          <w:color w:val="auto"/>
          <w:sz w:val="24"/>
          <w:highlight w:val="none"/>
          <w:lang w:eastAsia="zh-CN"/>
        </w:rPr>
        <w:t>中浙-CZTC22211</w:t>
      </w:r>
      <w:r>
        <w:rPr>
          <w:rFonts w:hint="eastAsia" w:ascii="宋体" w:hAnsi="宋体" w:eastAsia="宋体" w:cs="宋体"/>
          <w:color w:val="auto"/>
          <w:sz w:val="24"/>
          <w:highlight w:val="none"/>
          <w:lang w:val="zh-CN"/>
        </w:rPr>
        <w:t>）政府采购活动．经与本单位法人代表（负责人）联系确认，现就有关公平竞争事项郑重声明如下:</w:t>
      </w:r>
    </w:p>
    <w:p>
      <w:pPr>
        <w:autoSpaceDE w:val="0"/>
        <w:autoSpaceDN w:val="0"/>
        <w:snapToGrid w:val="0"/>
        <w:spacing w:line="440" w:lineRule="exact"/>
        <w:ind w:left="481" w:leftChars="229"/>
        <w:jc w:val="left"/>
        <w:outlineLvl w:val="1"/>
        <w:rPr>
          <w:rFonts w:hint="eastAsia" w:ascii="宋体" w:hAnsi="宋体" w:eastAsia="宋体" w:cs="宋体"/>
          <w:color w:val="auto"/>
          <w:sz w:val="24"/>
          <w:highlight w:val="none"/>
          <w:lang w:val="zh-CN"/>
        </w:rPr>
      </w:pPr>
      <w:bookmarkStart w:id="567" w:name="_Toc22216"/>
      <w:bookmarkStart w:id="568" w:name="_Toc5783"/>
      <w:r>
        <w:rPr>
          <w:rFonts w:hint="eastAsia" w:ascii="宋体" w:hAnsi="宋体" w:eastAsia="宋体" w:cs="宋体"/>
          <w:color w:val="auto"/>
          <w:sz w:val="24"/>
          <w:highlight w:val="none"/>
          <w:lang w:val="zh-CN"/>
        </w:rPr>
        <w:t>一、本单位与采购人之间口不存在利害关系口存在下列利害关系:</w:t>
      </w:r>
      <w:bookmarkEnd w:id="567"/>
      <w:bookmarkEnd w:id="568"/>
    </w:p>
    <w:p>
      <w:pPr>
        <w:autoSpaceDE w:val="0"/>
        <w:autoSpaceDN w:val="0"/>
        <w:snapToGrid w:val="0"/>
        <w:spacing w:line="440" w:lineRule="exact"/>
        <w:ind w:left="481" w:leftChars="229"/>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A．投资关系      B．行政隶属关系      C．业务指导关系</w:t>
      </w:r>
    </w:p>
    <w:p>
      <w:pPr>
        <w:autoSpaceDE w:val="0"/>
        <w:autoSpaceDN w:val="0"/>
        <w:snapToGrid w:val="0"/>
        <w:spacing w:line="440" w:lineRule="exact"/>
        <w:ind w:left="481" w:leftChars="229"/>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D．其他可能影响采购公正的利害关系（如有，请如实说明）。</w:t>
      </w:r>
    </w:p>
    <w:p>
      <w:pPr>
        <w:autoSpaceDE w:val="0"/>
        <w:autoSpaceDN w:val="0"/>
        <w:snapToGrid w:val="0"/>
        <w:spacing w:line="440" w:lineRule="exact"/>
        <w:ind w:left="481" w:leftChars="229"/>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二、现己清楚知道参加本项目采购活动的其他所有供应商名称，本单位 口与其他所有供应商之间均不存在利害关系 口与______________（供应商名称）之间存在下列利害关系:</w:t>
      </w:r>
    </w:p>
    <w:p>
      <w:pPr>
        <w:autoSpaceDE w:val="0"/>
        <w:autoSpaceDN w:val="0"/>
        <w:snapToGrid w:val="0"/>
        <w:spacing w:line="440" w:lineRule="exact"/>
        <w:ind w:left="481" w:leftChars="229"/>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A．法定代表人或负责人或实际控制人是同一人</w:t>
      </w:r>
      <w:r>
        <w:rPr>
          <w:rFonts w:hint="eastAsia" w:ascii="宋体" w:hAnsi="宋体" w:eastAsia="宋体" w:cs="宋体"/>
          <w:color w:val="auto"/>
          <w:sz w:val="24"/>
          <w:highlight w:val="none"/>
          <w:lang w:val="zh-CN"/>
        </w:rPr>
        <w:br w:type="textWrapping"/>
      </w:r>
      <w:r>
        <w:rPr>
          <w:rFonts w:hint="eastAsia" w:ascii="宋体" w:hAnsi="宋体" w:eastAsia="宋体" w:cs="宋体"/>
          <w:color w:val="auto"/>
          <w:sz w:val="24"/>
          <w:highlight w:val="none"/>
          <w:lang w:val="zh-CN"/>
        </w:rPr>
        <w:t>B．法定代表人或负责人或实际控制人是夫妻关系</w:t>
      </w:r>
      <w:r>
        <w:rPr>
          <w:rFonts w:hint="eastAsia" w:ascii="宋体" w:hAnsi="宋体" w:eastAsia="宋体" w:cs="宋体"/>
          <w:color w:val="auto"/>
          <w:sz w:val="24"/>
          <w:highlight w:val="none"/>
          <w:lang w:val="zh-CN"/>
        </w:rPr>
        <w:br w:type="textWrapping"/>
      </w:r>
      <w:r>
        <w:rPr>
          <w:rFonts w:hint="eastAsia" w:ascii="宋体" w:hAnsi="宋体" w:eastAsia="宋体" w:cs="宋体"/>
          <w:color w:val="auto"/>
          <w:sz w:val="24"/>
          <w:highlight w:val="none"/>
          <w:lang w:val="zh-CN"/>
        </w:rPr>
        <w:t>C．法定代表人或负责人或实际控制人是直系血亲关系</w:t>
      </w:r>
      <w:r>
        <w:rPr>
          <w:rFonts w:hint="eastAsia" w:ascii="宋体" w:hAnsi="宋体" w:eastAsia="宋体" w:cs="宋体"/>
          <w:color w:val="auto"/>
          <w:sz w:val="24"/>
          <w:highlight w:val="none"/>
          <w:lang w:val="zh-CN"/>
        </w:rPr>
        <w:br w:type="textWrapping"/>
      </w:r>
      <w:r>
        <w:rPr>
          <w:rFonts w:hint="eastAsia" w:ascii="宋体" w:hAnsi="宋体" w:eastAsia="宋体" w:cs="宋体"/>
          <w:color w:val="auto"/>
          <w:sz w:val="24"/>
          <w:highlight w:val="none"/>
          <w:lang w:val="zh-CN"/>
        </w:rPr>
        <w:t>D．法定代表人或负责人或实际控制人存在三代以内旁系血亲关系</w:t>
      </w:r>
      <w:r>
        <w:rPr>
          <w:rFonts w:hint="eastAsia" w:ascii="宋体" w:hAnsi="宋体" w:eastAsia="宋体" w:cs="宋体"/>
          <w:color w:val="auto"/>
          <w:sz w:val="24"/>
          <w:highlight w:val="none"/>
          <w:lang w:val="zh-CN"/>
        </w:rPr>
        <w:br w:type="textWrapping"/>
      </w:r>
      <w:r>
        <w:rPr>
          <w:rFonts w:hint="eastAsia" w:ascii="宋体" w:hAnsi="宋体" w:eastAsia="宋体" w:cs="宋体"/>
          <w:color w:val="auto"/>
          <w:sz w:val="24"/>
          <w:highlight w:val="none"/>
          <w:lang w:val="zh-CN"/>
        </w:rPr>
        <w:t>E．法定代表人或负责人或实际控制人存在近姻亲关系</w:t>
      </w:r>
      <w:r>
        <w:rPr>
          <w:rFonts w:hint="eastAsia" w:ascii="宋体" w:hAnsi="宋体" w:eastAsia="宋体" w:cs="宋体"/>
          <w:color w:val="auto"/>
          <w:sz w:val="24"/>
          <w:highlight w:val="none"/>
          <w:lang w:val="zh-CN"/>
        </w:rPr>
        <w:br w:type="textWrapping"/>
      </w:r>
      <w:r>
        <w:rPr>
          <w:rFonts w:hint="eastAsia" w:ascii="宋体" w:hAnsi="宋体" w:eastAsia="宋体" w:cs="宋体"/>
          <w:color w:val="auto"/>
          <w:sz w:val="24"/>
          <w:highlight w:val="none"/>
          <w:lang w:val="zh-CN"/>
        </w:rPr>
        <w:t>F．法定代表人或负责人或实际控制人存在股份控制或实际控制关系</w:t>
      </w:r>
      <w:r>
        <w:rPr>
          <w:rFonts w:hint="eastAsia" w:ascii="宋体" w:hAnsi="宋体" w:eastAsia="宋体" w:cs="宋体"/>
          <w:color w:val="auto"/>
          <w:sz w:val="24"/>
          <w:highlight w:val="none"/>
          <w:lang w:val="zh-CN"/>
        </w:rPr>
        <w:br w:type="textWrapping"/>
      </w:r>
      <w:r>
        <w:rPr>
          <w:rFonts w:hint="eastAsia" w:ascii="宋体" w:hAnsi="宋体" w:eastAsia="宋体" w:cs="宋体"/>
          <w:color w:val="auto"/>
          <w:sz w:val="24"/>
          <w:highlight w:val="none"/>
          <w:lang w:val="zh-CN"/>
        </w:rPr>
        <w:t>G．存在共同直接或间接投资设立子公司、联营企业和合营企业情况    </w:t>
      </w:r>
      <w:r>
        <w:rPr>
          <w:rFonts w:hint="eastAsia" w:ascii="宋体" w:hAnsi="宋体" w:eastAsia="宋体" w:cs="宋体"/>
          <w:color w:val="auto"/>
          <w:sz w:val="24"/>
          <w:highlight w:val="none"/>
          <w:lang w:val="zh-CN"/>
        </w:rPr>
        <w:br w:type="textWrapping"/>
      </w:r>
      <w:r>
        <w:rPr>
          <w:rFonts w:hint="eastAsia" w:ascii="宋体" w:hAnsi="宋体" w:eastAsia="宋体" w:cs="宋体"/>
          <w:color w:val="auto"/>
          <w:sz w:val="24"/>
          <w:highlight w:val="none"/>
          <w:lang w:val="zh-CN"/>
        </w:rPr>
        <w:t>H．存在分级代理或代销关系、同一生产制造商关系、管理关系、重要业务（占主营业务收入 50 ％以上）或重要财务往来关系（如融资）等其他实质性控制关系</w:t>
      </w:r>
    </w:p>
    <w:p>
      <w:pPr>
        <w:autoSpaceDE w:val="0"/>
        <w:autoSpaceDN w:val="0"/>
        <w:snapToGrid w:val="0"/>
        <w:spacing w:line="440" w:lineRule="exact"/>
        <w:ind w:left="481" w:leftChars="229"/>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I．其他利害关系情况 ________________________________________。</w:t>
      </w:r>
    </w:p>
    <w:p>
      <w:pPr>
        <w:autoSpaceDE w:val="0"/>
        <w:autoSpaceDN w:val="0"/>
        <w:snapToGrid w:val="0"/>
        <w:spacing w:line="440" w:lineRule="exact"/>
        <w:ind w:left="481" w:leftChars="229"/>
        <w:jc w:val="left"/>
        <w:outlineLvl w:val="1"/>
        <w:rPr>
          <w:rFonts w:hint="eastAsia" w:ascii="宋体" w:hAnsi="宋体" w:eastAsia="宋体" w:cs="宋体"/>
          <w:color w:val="auto"/>
          <w:sz w:val="24"/>
          <w:highlight w:val="none"/>
          <w:lang w:val="zh-CN"/>
        </w:rPr>
      </w:pPr>
      <w:bookmarkStart w:id="569" w:name="_Toc2600"/>
      <w:bookmarkStart w:id="570" w:name="_Toc7216"/>
      <w:r>
        <w:rPr>
          <w:rFonts w:hint="eastAsia" w:ascii="宋体" w:hAnsi="宋体" w:eastAsia="宋体" w:cs="宋体"/>
          <w:color w:val="auto"/>
          <w:sz w:val="24"/>
          <w:highlight w:val="none"/>
          <w:lang w:val="zh-CN"/>
        </w:rPr>
        <w:t>三、现己清楚知道并严格遵守政府采购法律法规和现场纪律。</w:t>
      </w:r>
      <w:bookmarkEnd w:id="569"/>
      <w:bookmarkEnd w:id="570"/>
    </w:p>
    <w:p>
      <w:pPr>
        <w:autoSpaceDE w:val="0"/>
        <w:autoSpaceDN w:val="0"/>
        <w:snapToGrid w:val="0"/>
        <w:spacing w:line="440" w:lineRule="exact"/>
        <w:ind w:left="481" w:leftChars="229"/>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四、我发现 ____________________供应商之间存在或可能存在上述第二条第 ____________项利害关系。</w:t>
      </w:r>
    </w:p>
    <w:p>
      <w:pPr>
        <w:autoSpaceDE w:val="0"/>
        <w:autoSpaceDN w:val="0"/>
        <w:snapToGrid w:val="0"/>
        <w:spacing w:line="440" w:lineRule="exact"/>
        <w:ind w:left="481" w:leftChars="229"/>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五、经检查确认所有投标人投标文件 口 不存在密封包装问题 口 存在密封包装问题（具体指出）__________________________________。</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月日</w:t>
      </w:r>
    </w:p>
    <w:p>
      <w:pPr>
        <w:ind w:firstLine="5301" w:firstLineChars="22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spacing w:line="360" w:lineRule="auto"/>
        <w:ind w:right="420"/>
        <w:jc w:val="center"/>
        <w:outlineLvl w:val="0"/>
        <w:rPr>
          <w:rFonts w:hint="eastAsia" w:ascii="宋体" w:hAnsi="宋体" w:eastAsia="宋体" w:cs="宋体"/>
          <w:b/>
          <w:color w:val="auto"/>
          <w:kern w:val="0"/>
          <w:sz w:val="36"/>
          <w:szCs w:val="36"/>
          <w:highlight w:val="none"/>
        </w:rPr>
      </w:pPr>
      <w:bookmarkStart w:id="571" w:name="_Toc17916"/>
      <w:bookmarkStart w:id="572" w:name="_Toc24364"/>
      <w:r>
        <w:rPr>
          <w:rFonts w:hint="eastAsia" w:ascii="宋体" w:hAnsi="宋体" w:eastAsia="宋体" w:cs="宋体"/>
          <w:b/>
          <w:color w:val="auto"/>
          <w:kern w:val="0"/>
          <w:sz w:val="36"/>
          <w:szCs w:val="36"/>
          <w:highlight w:val="none"/>
        </w:rPr>
        <w:t>商务技术文件部分</w:t>
      </w:r>
      <w:bookmarkEnd w:id="564"/>
      <w:bookmarkEnd w:id="571"/>
      <w:bookmarkEnd w:id="572"/>
    </w:p>
    <w:p>
      <w:pPr>
        <w:spacing w:line="360" w:lineRule="auto"/>
        <w:jc w:val="center"/>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4"/>
          <w:highlight w:val="none"/>
        </w:rPr>
      </w:pPr>
      <w:bookmarkStart w:id="573" w:name="_Toc3608"/>
      <w:bookmarkStart w:id="574" w:name="_Toc21603"/>
      <w:bookmarkStart w:id="575" w:name="_Toc5505"/>
      <w:r>
        <w:rPr>
          <w:rFonts w:hint="eastAsia" w:ascii="宋体" w:hAnsi="宋体" w:eastAsia="宋体" w:cs="宋体"/>
          <w:b/>
          <w:color w:val="auto"/>
          <w:kern w:val="0"/>
          <w:sz w:val="24"/>
          <w:highlight w:val="none"/>
        </w:rPr>
        <w:t>目录</w:t>
      </w:r>
      <w:bookmarkEnd w:id="573"/>
      <w:bookmarkEnd w:id="574"/>
      <w:bookmarkEnd w:id="575"/>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（1）投标响应函…………………………………………………………………（页码）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（2）授权委托书或法定代表人（单位负责人、自然人本人）身份证明……（页码）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（3）符合性审查资料……………………………………………………………（页码）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（4）评审标准相应的商务技术资料……………………………………………（页码）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（5）商务技术偏离表……………………………………………………………（页码）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val="zh-CN"/>
        </w:rPr>
        <w:t>）招标代理费支付承诺书</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sz w:val="24"/>
          <w:highlight w:val="none"/>
        </w:rPr>
        <w:t>…………………………………………（页码）</w:t>
      </w:r>
    </w:p>
    <w:p>
      <w:pPr>
        <w:pStyle w:val="24"/>
        <w:rPr>
          <w:rFonts w:hint="eastAsia" w:ascii="宋体" w:hAnsi="宋体" w:eastAsia="宋体" w:cs="宋体"/>
          <w:color w:val="auto"/>
          <w:sz w:val="24"/>
          <w:szCs w:val="24"/>
          <w:highlight w:val="none"/>
        </w:rPr>
      </w:pPr>
    </w:p>
    <w:p>
      <w:pPr>
        <w:pStyle w:val="24"/>
        <w:rPr>
          <w:rFonts w:hint="eastAsia" w:ascii="宋体" w:hAnsi="宋体" w:eastAsia="宋体" w:cs="宋体"/>
          <w:color w:val="auto"/>
          <w:sz w:val="24"/>
          <w:szCs w:val="24"/>
          <w:highlight w:val="none"/>
        </w:rPr>
      </w:pPr>
    </w:p>
    <w:p>
      <w:pPr>
        <w:pStyle w:val="24"/>
        <w:rPr>
          <w:rFonts w:hint="eastAsia" w:ascii="宋体" w:hAnsi="宋体" w:eastAsia="宋体" w:cs="宋体"/>
          <w:color w:val="auto"/>
          <w:sz w:val="24"/>
          <w:szCs w:val="24"/>
          <w:highlight w:val="none"/>
        </w:rPr>
      </w:pPr>
    </w:p>
    <w:p>
      <w:pPr>
        <w:pStyle w:val="24"/>
        <w:rPr>
          <w:rFonts w:hint="eastAsia" w:ascii="宋体" w:hAnsi="宋体" w:eastAsia="宋体" w:cs="宋体"/>
          <w:color w:val="auto"/>
          <w:sz w:val="24"/>
          <w:szCs w:val="24"/>
          <w:highlight w:val="none"/>
        </w:rPr>
      </w:pPr>
    </w:p>
    <w:p>
      <w:pPr>
        <w:pStyle w:val="24"/>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b/>
          <w:color w:val="auto"/>
          <w:kern w:val="0"/>
          <w:sz w:val="24"/>
          <w:highlight w:val="none"/>
          <w:lang w:val="zh-CN"/>
        </w:rPr>
      </w:pPr>
    </w:p>
    <w:p>
      <w:pPr>
        <w:snapToGrid w:val="0"/>
        <w:spacing w:line="360" w:lineRule="auto"/>
        <w:jc w:val="center"/>
        <w:rPr>
          <w:rFonts w:hint="eastAsia" w:ascii="宋体" w:hAnsi="宋体" w:eastAsia="宋体" w:cs="宋体"/>
          <w:b/>
          <w:color w:val="auto"/>
          <w:kern w:val="0"/>
          <w:sz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pStyle w:val="24"/>
        <w:rPr>
          <w:rFonts w:hint="eastAsia" w:ascii="宋体" w:hAnsi="宋体" w:eastAsia="宋体" w:cs="宋体"/>
          <w:b/>
          <w:color w:val="auto"/>
          <w:kern w:val="0"/>
          <w:sz w:val="24"/>
          <w:szCs w:val="24"/>
          <w:highlight w:val="none"/>
        </w:rPr>
      </w:pPr>
    </w:p>
    <w:p>
      <w:pPr>
        <w:snapToGrid w:val="0"/>
        <w:spacing w:line="360" w:lineRule="auto"/>
        <w:jc w:val="center"/>
        <w:rPr>
          <w:rFonts w:hint="eastAsia" w:ascii="宋体" w:hAnsi="宋体" w:eastAsia="宋体" w:cs="宋体"/>
          <w:b/>
          <w:color w:val="auto"/>
          <w:kern w:val="0"/>
          <w:sz w:val="24"/>
          <w:highlight w:val="none"/>
        </w:rPr>
      </w:pPr>
    </w:p>
    <w:p>
      <w:pPr>
        <w:pStyle w:val="7"/>
        <w:rPr>
          <w:rFonts w:hint="eastAsia" w:ascii="宋体" w:hAnsi="宋体" w:eastAsia="宋体" w:cs="宋体"/>
          <w:b/>
          <w:color w:val="auto"/>
          <w:kern w:val="0"/>
          <w:szCs w:val="24"/>
          <w:highlight w:val="none"/>
        </w:rPr>
      </w:pPr>
    </w:p>
    <w:p>
      <w:pPr>
        <w:pStyle w:val="8"/>
        <w:ind w:firstLine="241"/>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p>
    <w:p>
      <w:pPr>
        <w:snapToGrid w:val="0"/>
        <w:spacing w:line="360" w:lineRule="auto"/>
        <w:jc w:val="center"/>
        <w:outlineLvl w:val="1"/>
        <w:rPr>
          <w:rFonts w:hint="eastAsia" w:ascii="宋体" w:hAnsi="宋体" w:eastAsia="宋体" w:cs="宋体"/>
          <w:b/>
          <w:color w:val="auto"/>
          <w:sz w:val="30"/>
          <w:szCs w:val="30"/>
          <w:highlight w:val="none"/>
        </w:rPr>
      </w:pPr>
      <w:bookmarkStart w:id="576" w:name="_Toc2597"/>
      <w:bookmarkStart w:id="577" w:name="_Toc4841"/>
      <w:r>
        <w:rPr>
          <w:rFonts w:hint="eastAsia" w:ascii="宋体" w:hAnsi="宋体" w:eastAsia="宋体" w:cs="宋体"/>
          <w:b/>
          <w:color w:val="auto"/>
          <w:kern w:val="0"/>
          <w:sz w:val="30"/>
          <w:szCs w:val="30"/>
          <w:highlight w:val="none"/>
        </w:rPr>
        <w:t>一、投标</w:t>
      </w:r>
      <w:r>
        <w:rPr>
          <w:rFonts w:hint="eastAsia" w:ascii="宋体" w:hAnsi="宋体" w:eastAsia="宋体" w:cs="宋体"/>
          <w:b/>
          <w:color w:val="auto"/>
          <w:kern w:val="0"/>
          <w:sz w:val="30"/>
          <w:szCs w:val="30"/>
          <w:highlight w:val="none"/>
          <w:lang w:val="en-US" w:eastAsia="zh-CN"/>
        </w:rPr>
        <w:t>响应</w:t>
      </w:r>
      <w:r>
        <w:rPr>
          <w:rFonts w:hint="eastAsia" w:ascii="宋体" w:hAnsi="宋体" w:eastAsia="宋体" w:cs="宋体"/>
          <w:b/>
          <w:color w:val="auto"/>
          <w:sz w:val="30"/>
          <w:szCs w:val="30"/>
          <w:highlight w:val="none"/>
        </w:rPr>
        <w:t>函</w:t>
      </w:r>
      <w:bookmarkEnd w:id="576"/>
      <w:bookmarkEnd w:id="577"/>
    </w:p>
    <w:p>
      <w:pPr>
        <w:snapToGrid w:val="0"/>
        <w:spacing w:line="312"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嘉兴市第一医院</w:t>
      </w:r>
    </w:p>
    <w:p>
      <w:pPr>
        <w:snapToGrid w:val="0"/>
        <w:spacing w:line="312"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杭州中浙招标有限公司：</w:t>
      </w:r>
    </w:p>
    <w:p>
      <w:pPr>
        <w:snapToGrid w:val="0"/>
        <w:spacing w:line="312"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eastAsia="宋体" w:cs="宋体"/>
          <w:color w:val="auto"/>
          <w:sz w:val="24"/>
          <w:highlight w:val="none"/>
          <w:lang w:eastAsia="zh-CN"/>
        </w:rPr>
        <w:t>嘉兴市第一医院2022至2023年安保服务项目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中浙-CZTC22211</w:t>
      </w:r>
      <w:r>
        <w:rPr>
          <w:rFonts w:hint="eastAsia" w:ascii="宋体" w:hAnsi="宋体" w:eastAsia="宋体" w:cs="宋体"/>
          <w:color w:val="auto"/>
          <w:sz w:val="24"/>
          <w:highlight w:val="none"/>
        </w:rPr>
        <w:t>】招标的有关活动，并对此项目进行投标。为此：</w:t>
      </w:r>
    </w:p>
    <w:p>
      <w:pPr>
        <w:snapToGrid w:val="0"/>
        <w:spacing w:line="312"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90</w:t>
      </w:r>
      <w:r>
        <w:rPr>
          <w:rFonts w:hint="eastAsia" w:ascii="宋体" w:hAnsi="宋体" w:eastAsia="宋体" w:cs="宋体"/>
          <w:color w:val="auto"/>
          <w:sz w:val="24"/>
          <w:highlight w:val="none"/>
        </w:rPr>
        <w:t>天（不少于90天），本投标文件在投标有效期满之前均具有约束力。</w:t>
      </w:r>
    </w:p>
    <w:p>
      <w:pPr>
        <w:snapToGrid w:val="0"/>
        <w:spacing w:line="312"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12"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12"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12"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2.1.2落实政府采购政策需满足的资格要求（如果有）；</w:t>
      </w:r>
    </w:p>
    <w:p>
      <w:pPr>
        <w:snapToGrid w:val="0"/>
        <w:spacing w:line="312"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2.1.3本项目的特定资格要求（如果有）。</w:t>
      </w:r>
    </w:p>
    <w:p>
      <w:pPr>
        <w:pStyle w:val="7"/>
        <w:spacing w:line="312" w:lineRule="auto"/>
        <w:ind w:firstLine="960" w:firstLineChars="400"/>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rPr>
        <w:t>2.1.4</w:t>
      </w:r>
      <w:r>
        <w:rPr>
          <w:rFonts w:hint="eastAsia" w:ascii="宋体" w:hAnsi="宋体" w:eastAsia="宋体" w:cs="宋体"/>
          <w:color w:val="auto"/>
          <w:szCs w:val="24"/>
          <w:highlight w:val="none"/>
        </w:rPr>
        <w:t>政府采购活动现场确认声明书。</w:t>
      </w:r>
    </w:p>
    <w:p>
      <w:pPr>
        <w:snapToGrid w:val="0"/>
        <w:spacing w:line="312"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2商务技术</w:t>
      </w:r>
      <w:r>
        <w:rPr>
          <w:rFonts w:hint="eastAsia" w:ascii="宋体" w:hAnsi="宋体" w:eastAsia="宋体" w:cs="宋体"/>
          <w:color w:val="auto"/>
          <w:sz w:val="24"/>
          <w:highlight w:val="none"/>
          <w:lang w:val="zh-CN"/>
        </w:rPr>
        <w:t>文件：</w:t>
      </w:r>
    </w:p>
    <w:p>
      <w:pPr>
        <w:snapToGrid w:val="0"/>
        <w:spacing w:line="312"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p>
    <w:p>
      <w:pPr>
        <w:snapToGrid w:val="0"/>
        <w:spacing w:line="312"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12"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2.2.3符合性审查资料；</w:t>
      </w:r>
    </w:p>
    <w:p>
      <w:pPr>
        <w:snapToGrid w:val="0"/>
        <w:spacing w:line="312"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2.2.4评标标准相应的商务技术资料；</w:t>
      </w:r>
    </w:p>
    <w:p>
      <w:pPr>
        <w:snapToGrid w:val="0"/>
        <w:spacing w:line="312"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2.2.5商务技术偏离表；</w:t>
      </w:r>
    </w:p>
    <w:p>
      <w:pPr>
        <w:snapToGrid w:val="0"/>
        <w:spacing w:line="312"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val="zh-CN"/>
        </w:rPr>
        <w:t>政府采购供应商廉洁自律承诺书；</w:t>
      </w:r>
    </w:p>
    <w:p>
      <w:pPr>
        <w:snapToGrid w:val="0"/>
        <w:spacing w:line="312"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12"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12"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12"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12"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12"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12"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12"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12"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12"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p>
    <w:p>
      <w:pPr>
        <w:spacing w:line="312"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12"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日期：  年   月   日</w:t>
      </w:r>
    </w:p>
    <w:p>
      <w:pP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br w:type="page"/>
      </w:r>
    </w:p>
    <w:p>
      <w:pPr>
        <w:pStyle w:val="7"/>
        <w:rPr>
          <w:rFonts w:hint="eastAsia" w:ascii="宋体" w:hAnsi="宋体" w:eastAsia="宋体" w:cs="宋体"/>
          <w:color w:val="auto"/>
          <w:highlight w:val="none"/>
        </w:rPr>
      </w:pPr>
    </w:p>
    <w:p>
      <w:pPr>
        <w:jc w:val="center"/>
        <w:outlineLvl w:val="1"/>
        <w:rPr>
          <w:rFonts w:hint="eastAsia" w:ascii="宋体" w:hAnsi="宋体" w:eastAsia="宋体" w:cs="宋体"/>
          <w:b/>
          <w:color w:val="auto"/>
          <w:kern w:val="0"/>
          <w:sz w:val="28"/>
          <w:szCs w:val="28"/>
          <w:highlight w:val="none"/>
          <w:lang w:val="zh-CN"/>
        </w:rPr>
      </w:pPr>
      <w:bookmarkStart w:id="578" w:name="_Toc19464"/>
      <w:bookmarkStart w:id="579" w:name="_Toc15434"/>
      <w:bookmarkStart w:id="580" w:name="_Toc25807"/>
      <w:r>
        <w:rPr>
          <w:rFonts w:hint="eastAsia" w:ascii="宋体" w:hAnsi="宋体" w:eastAsia="宋体" w:cs="宋体"/>
          <w:b/>
          <w:color w:val="auto"/>
          <w:kern w:val="0"/>
          <w:sz w:val="28"/>
          <w:szCs w:val="28"/>
          <w:highlight w:val="none"/>
          <w:lang w:val="zh-CN"/>
        </w:rPr>
        <w:t>二、授权委托书或法定代表人（单位负责人、自然人本人）身份证明</w:t>
      </w:r>
      <w:bookmarkEnd w:id="578"/>
      <w:bookmarkEnd w:id="579"/>
      <w:bookmarkEnd w:id="580"/>
    </w:p>
    <w:p>
      <w:pPr>
        <w:snapToGrid w:val="0"/>
        <w:spacing w:line="360" w:lineRule="auto"/>
        <w:rPr>
          <w:rFonts w:hint="eastAsia" w:ascii="宋体" w:hAnsi="宋体" w:eastAsia="宋体" w:cs="宋体"/>
          <w:color w:val="auto"/>
          <w:sz w:val="24"/>
          <w:highlight w:val="none"/>
        </w:rPr>
      </w:pPr>
    </w:p>
    <w:p>
      <w:pPr>
        <w:snapToGrid w:val="0"/>
        <w:spacing w:line="360" w:lineRule="auto"/>
        <w:ind w:firstLine="3916" w:firstLineChars="1393"/>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val="zh-CN"/>
        </w:rPr>
        <w:t>授权委托书</w:t>
      </w:r>
    </w:p>
    <w:p>
      <w:pPr>
        <w:snapToGrid w:val="0"/>
        <w:spacing w:line="360" w:lineRule="auto"/>
        <w:ind w:firstLine="3343" w:firstLineChars="1393"/>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嘉兴市第一医院</w:t>
      </w:r>
      <w:r>
        <w:rPr>
          <w:rFonts w:hint="eastAsia" w:ascii="宋体" w:hAnsi="宋体" w:eastAsia="宋体" w:cs="宋体"/>
          <w:color w:val="auto"/>
          <w:sz w:val="24"/>
          <w:highlight w:val="none"/>
        </w:rPr>
        <w:t>、杭州中浙招标有限公司：</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委托（姓名）为我方代理人（身份证号码：，手机：），以我方名义处理</w:t>
      </w:r>
      <w:r>
        <w:rPr>
          <w:rFonts w:hint="eastAsia" w:ascii="宋体" w:hAnsi="宋体" w:eastAsia="宋体" w:cs="宋体"/>
          <w:color w:val="auto"/>
          <w:sz w:val="24"/>
          <w:highlight w:val="none"/>
          <w:lang w:eastAsia="zh-CN"/>
        </w:rPr>
        <w:t>嘉兴市第一医院2022至2023年安保服务项目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中浙-CZTC22211</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自年月日起至年月日止。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b/>
          <w:color w:val="auto"/>
          <w:kern w:val="0"/>
          <w:sz w:val="24"/>
          <w:highlight w:val="none"/>
          <w:lang w:val="zh-CN"/>
        </w:rPr>
      </w:pPr>
    </w:p>
    <w:p>
      <w:pPr>
        <w:pStyle w:val="25"/>
        <w:rPr>
          <w:rFonts w:hint="eastAsia" w:ascii="宋体" w:hAnsi="宋体" w:eastAsia="宋体" w:cs="宋体"/>
          <w:b/>
          <w:color w:val="auto"/>
          <w:kern w:val="0"/>
          <w:sz w:val="24"/>
          <w:szCs w:val="24"/>
          <w:highlight w:val="none"/>
          <w:lang w:val="zh-CN"/>
        </w:rPr>
      </w:pPr>
    </w:p>
    <w:p>
      <w:pPr>
        <w:rPr>
          <w:rFonts w:hint="eastAsia" w:ascii="宋体" w:hAnsi="宋体" w:eastAsia="宋体" w:cs="宋体"/>
          <w:b/>
          <w:color w:val="auto"/>
          <w:kern w:val="0"/>
          <w:sz w:val="24"/>
          <w:highlight w:val="none"/>
          <w:lang w:val="zh-CN"/>
        </w:rPr>
      </w:pPr>
    </w:p>
    <w:p>
      <w:pPr>
        <w:pStyle w:val="25"/>
        <w:rPr>
          <w:rFonts w:hint="eastAsia" w:ascii="宋体" w:hAnsi="宋体" w:eastAsia="宋体" w:cs="宋体"/>
          <w:b/>
          <w:color w:val="auto"/>
          <w:kern w:val="0"/>
          <w:sz w:val="24"/>
          <w:szCs w:val="24"/>
          <w:highlight w:val="none"/>
          <w:lang w:val="zh-CN"/>
        </w:rPr>
      </w:pPr>
    </w:p>
    <w:p>
      <w:pPr>
        <w:rPr>
          <w:rFonts w:hint="eastAsia" w:ascii="宋体" w:hAnsi="宋体" w:eastAsia="宋体" w:cs="宋体"/>
          <w:b/>
          <w:color w:val="auto"/>
          <w:kern w:val="0"/>
          <w:sz w:val="24"/>
          <w:highlight w:val="none"/>
          <w:lang w:val="zh-CN"/>
        </w:rPr>
      </w:pPr>
    </w:p>
    <w:p>
      <w:pPr>
        <w:pStyle w:val="25"/>
        <w:rPr>
          <w:rFonts w:hint="eastAsia" w:ascii="宋体" w:hAnsi="宋体" w:eastAsia="宋体" w:cs="宋体"/>
          <w:b/>
          <w:color w:val="auto"/>
          <w:kern w:val="0"/>
          <w:sz w:val="24"/>
          <w:szCs w:val="24"/>
          <w:highlight w:val="none"/>
          <w:lang w:val="zh-CN"/>
        </w:rPr>
      </w:pPr>
    </w:p>
    <w:p>
      <w:pPr>
        <w:rPr>
          <w:rFonts w:hint="eastAsia" w:ascii="宋体" w:hAnsi="宋体" w:eastAsia="宋体" w:cs="宋体"/>
          <w:b/>
          <w:color w:val="auto"/>
          <w:kern w:val="0"/>
          <w:sz w:val="24"/>
          <w:highlight w:val="none"/>
          <w:lang w:val="zh-CN"/>
        </w:rPr>
      </w:pPr>
    </w:p>
    <w:p>
      <w:pPr>
        <w:pStyle w:val="25"/>
        <w:rPr>
          <w:rFonts w:hint="eastAsia" w:ascii="宋体" w:hAnsi="宋体" w:eastAsia="宋体" w:cs="宋体"/>
          <w:b/>
          <w:color w:val="auto"/>
          <w:kern w:val="0"/>
          <w:sz w:val="24"/>
          <w:szCs w:val="24"/>
          <w:highlight w:val="none"/>
          <w:lang w:val="zh-CN"/>
        </w:rPr>
      </w:pPr>
    </w:p>
    <w:p>
      <w:pPr>
        <w:rPr>
          <w:rFonts w:hint="eastAsia" w:ascii="宋体" w:hAnsi="宋体" w:eastAsia="宋体" w:cs="宋体"/>
          <w:color w:val="auto"/>
          <w:highlight w:val="none"/>
          <w:lang w:val="zh-CN"/>
        </w:rPr>
      </w:pPr>
    </w:p>
    <w:p>
      <w:pPr>
        <w:rPr>
          <w:rFonts w:hint="eastAsia" w:ascii="宋体" w:hAnsi="宋体" w:eastAsia="宋体" w:cs="宋体"/>
          <w:b/>
          <w:color w:val="auto"/>
          <w:kern w:val="0"/>
          <w:sz w:val="24"/>
          <w:highlight w:val="none"/>
          <w:lang w:val="zh-CN"/>
        </w:rPr>
      </w:pPr>
    </w:p>
    <w:p>
      <w:pPr>
        <w:pStyle w:val="3"/>
        <w:outlineLvl w:val="9"/>
        <w:rPr>
          <w:rFonts w:hint="eastAsia" w:ascii="宋体" w:hAnsi="宋体" w:eastAsia="宋体" w:cs="宋体"/>
          <w:color w:val="auto"/>
          <w:kern w:val="0"/>
          <w:sz w:val="24"/>
          <w:szCs w:val="24"/>
          <w:highlight w:val="none"/>
        </w:rPr>
      </w:pPr>
    </w:p>
    <w:p>
      <w:pPr>
        <w:rPr>
          <w:rFonts w:hint="eastAsia" w:ascii="宋体" w:hAnsi="宋体" w:eastAsia="宋体" w:cs="宋体"/>
          <w:color w:val="auto"/>
          <w:sz w:val="24"/>
          <w:highlight w:val="none"/>
          <w:lang w:val="zh-CN"/>
        </w:rPr>
      </w:pPr>
    </w:p>
    <w:p>
      <w:pPr>
        <w:rPr>
          <w:rFonts w:hint="eastAsia" w:ascii="宋体" w:hAnsi="宋体" w:eastAsia="宋体" w:cs="宋体"/>
          <w:b/>
          <w:color w:val="auto"/>
          <w:kern w:val="0"/>
          <w:sz w:val="24"/>
          <w:highlight w:val="none"/>
          <w:lang w:val="zh-CN"/>
        </w:rPr>
      </w:pPr>
    </w:p>
    <w:p>
      <w:pPr>
        <w:pStyle w:val="7"/>
        <w:rPr>
          <w:rFonts w:hint="eastAsia" w:ascii="宋体" w:hAnsi="宋体" w:eastAsia="宋体" w:cs="宋体"/>
          <w:color w:val="auto"/>
          <w:highlight w:val="none"/>
        </w:rPr>
      </w:pPr>
    </w:p>
    <w:p>
      <w:pPr>
        <w:pStyle w:val="25"/>
        <w:rPr>
          <w:rFonts w:hint="eastAsia" w:ascii="宋体" w:hAnsi="宋体" w:eastAsia="宋体" w:cs="宋体"/>
          <w:color w:val="auto"/>
          <w:sz w:val="24"/>
          <w:szCs w:val="24"/>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val="zh-CN"/>
        </w:rPr>
        <w:t>法定代表人、单位负责人或自然人本人</w:t>
      </w:r>
      <w:r>
        <w:rPr>
          <w:rFonts w:hint="eastAsia" w:ascii="宋体" w:hAnsi="宋体" w:eastAsia="宋体" w:cs="宋体"/>
          <w:b/>
          <w:color w:val="auto"/>
          <w:sz w:val="24"/>
          <w:highlight w:val="none"/>
        </w:rPr>
        <w:t>的身份证明（适用于法定代表人、单位负责人或者自然人本人代表投标人参加投标）</w:t>
      </w:r>
    </w:p>
    <w:p>
      <w:pPr>
        <w:pStyle w:val="34"/>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身份证件扫描件：</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8306" w:type="dxa"/>
          </w:tcPr>
          <w:p>
            <w:pPr>
              <w:pStyle w:val="34"/>
              <w:adjustRightIn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正面：                                 反面：</w:t>
            </w:r>
          </w:p>
          <w:p>
            <w:pPr>
              <w:pStyle w:val="34"/>
              <w:adjustRightInd w:val="0"/>
              <w:spacing w:line="360" w:lineRule="auto"/>
              <w:rPr>
                <w:rFonts w:hint="eastAsia" w:ascii="宋体" w:hAnsi="宋体" w:eastAsia="宋体" w:cs="宋体"/>
                <w:bCs/>
                <w:color w:val="auto"/>
                <w:sz w:val="24"/>
                <w:szCs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ind w:firstLine="576"/>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pStyle w:val="3"/>
        <w:outlineLvl w:val="9"/>
        <w:rPr>
          <w:rFonts w:hint="eastAsia" w:ascii="宋体" w:hAnsi="宋体" w:eastAsia="宋体" w:cs="宋体"/>
          <w:color w:val="auto"/>
          <w:kern w:val="0"/>
          <w:sz w:val="24"/>
          <w:szCs w:val="24"/>
          <w:highlight w:val="none"/>
        </w:rPr>
      </w:pPr>
    </w:p>
    <w:p>
      <w:pPr>
        <w:rPr>
          <w:rFonts w:hint="eastAsia" w:ascii="宋体" w:hAnsi="宋体" w:eastAsia="宋体" w:cs="宋体"/>
          <w:b/>
          <w:color w:val="auto"/>
          <w:kern w:val="0"/>
          <w:sz w:val="24"/>
          <w:highlight w:val="none"/>
        </w:rPr>
      </w:pPr>
    </w:p>
    <w:p>
      <w:pPr>
        <w:pStyle w:val="3"/>
        <w:outlineLvl w:val="9"/>
        <w:rPr>
          <w:rFonts w:hint="eastAsia" w:ascii="宋体" w:hAnsi="宋体" w:eastAsia="宋体" w:cs="宋体"/>
          <w:color w:val="auto"/>
          <w:kern w:val="0"/>
          <w:sz w:val="24"/>
          <w:szCs w:val="24"/>
          <w:highlight w:val="none"/>
        </w:rPr>
      </w:pPr>
    </w:p>
    <w:p>
      <w:pPr>
        <w:rPr>
          <w:rFonts w:hint="eastAsia" w:ascii="宋体" w:hAnsi="宋体" w:eastAsia="宋体" w:cs="宋体"/>
          <w:color w:val="auto"/>
          <w:sz w:val="24"/>
          <w:highlight w:val="none"/>
        </w:rPr>
      </w:pPr>
    </w:p>
    <w:p>
      <w:pPr>
        <w:pStyle w:val="24"/>
        <w:rPr>
          <w:rFonts w:hint="eastAsia" w:ascii="宋体" w:hAnsi="宋体" w:eastAsia="宋体" w:cs="宋体"/>
          <w:color w:val="auto"/>
          <w:sz w:val="24"/>
          <w:szCs w:val="24"/>
          <w:highlight w:val="none"/>
        </w:rPr>
      </w:pPr>
    </w:p>
    <w:p>
      <w:pPr>
        <w:jc w:val="center"/>
        <w:rPr>
          <w:rFonts w:hint="eastAsia" w:ascii="宋体" w:hAnsi="宋体" w:eastAsia="宋体" w:cs="宋体"/>
          <w:b/>
          <w:color w:val="auto"/>
          <w:kern w:val="0"/>
          <w:sz w:val="24"/>
          <w:highlight w:val="none"/>
        </w:rPr>
      </w:pPr>
    </w:p>
    <w:p>
      <w:pPr>
        <w:pStyle w:val="7"/>
        <w:rPr>
          <w:rFonts w:hint="eastAsia" w:ascii="宋体" w:hAnsi="宋体" w:eastAsia="宋体" w:cs="宋体"/>
          <w:b/>
          <w:color w:val="auto"/>
          <w:kern w:val="0"/>
          <w:szCs w:val="24"/>
          <w:highlight w:val="none"/>
        </w:rPr>
      </w:pPr>
    </w:p>
    <w:p>
      <w:pPr>
        <w:pStyle w:val="8"/>
        <w:ind w:firstLine="241"/>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p>
    <w:p>
      <w:pPr>
        <w:pStyle w:val="7"/>
        <w:rPr>
          <w:rFonts w:hint="eastAsia" w:ascii="宋体" w:hAnsi="宋体" w:eastAsia="宋体" w:cs="宋体"/>
          <w:b/>
          <w:color w:val="auto"/>
          <w:kern w:val="0"/>
          <w:szCs w:val="24"/>
          <w:highlight w:val="none"/>
        </w:rPr>
      </w:pPr>
    </w:p>
    <w:p>
      <w:pPr>
        <w:pStyle w:val="8"/>
        <w:ind w:firstLine="210"/>
        <w:rPr>
          <w:rFonts w:hint="eastAsia" w:ascii="宋体" w:hAnsi="宋体" w:eastAsia="宋体" w:cs="宋体"/>
          <w:color w:val="auto"/>
          <w:highlight w:val="none"/>
        </w:rPr>
      </w:pPr>
    </w:p>
    <w:p>
      <w:pPr>
        <w:jc w:val="center"/>
        <w:outlineLvl w:val="1"/>
        <w:rPr>
          <w:rFonts w:hint="eastAsia" w:ascii="宋体" w:hAnsi="宋体" w:eastAsia="宋体" w:cs="宋体"/>
          <w:b/>
          <w:color w:val="auto"/>
          <w:kern w:val="0"/>
          <w:sz w:val="28"/>
          <w:szCs w:val="28"/>
          <w:highlight w:val="none"/>
        </w:rPr>
      </w:pPr>
      <w:bookmarkStart w:id="581" w:name="_Toc17531"/>
      <w:bookmarkStart w:id="582" w:name="_Toc31808"/>
      <w:bookmarkStart w:id="583" w:name="_Toc5382"/>
      <w:r>
        <w:rPr>
          <w:rFonts w:hint="eastAsia" w:ascii="宋体" w:hAnsi="宋体" w:eastAsia="宋体" w:cs="宋体"/>
          <w:b/>
          <w:color w:val="auto"/>
          <w:kern w:val="0"/>
          <w:sz w:val="28"/>
          <w:szCs w:val="28"/>
          <w:highlight w:val="none"/>
        </w:rPr>
        <w:t>三、符合性审查资料</w:t>
      </w:r>
      <w:bookmarkEnd w:id="581"/>
      <w:bookmarkEnd w:id="582"/>
      <w:bookmarkEnd w:id="583"/>
    </w:p>
    <w:tbl>
      <w:tblPr>
        <w:tblStyle w:val="19"/>
        <w:tblpPr w:leftFromText="180" w:rightFromText="180" w:vertAnchor="text" w:horzAnchor="page" w:tblpXSpec="center" w:tblpY="398"/>
        <w:tblOverlap w:val="never"/>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3"/>
        <w:gridCol w:w="5362"/>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5" w:hRule="atLeast"/>
          <w:jc w:val="center"/>
        </w:trPr>
        <w:tc>
          <w:tcPr>
            <w:tcW w:w="493"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5362"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310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1" w:hRule="atLeast"/>
          <w:jc w:val="center"/>
        </w:trPr>
        <w:tc>
          <w:tcPr>
            <w:tcW w:w="493"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Cs/>
                <w:color w:val="auto"/>
                <w:sz w:val="24"/>
                <w:highlight w:val="none"/>
              </w:rPr>
              <w:t>1</w:t>
            </w:r>
          </w:p>
        </w:tc>
        <w:tc>
          <w:tcPr>
            <w:tcW w:w="5362" w:type="dxa"/>
            <w:vAlign w:val="center"/>
          </w:tcPr>
          <w:p>
            <w:pPr>
              <w:snapToGrid w:val="0"/>
              <w:spacing w:line="240" w:lineRule="atLeast"/>
              <w:jc w:val="left"/>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投标人不具备招标文件中规定的资格要求的（投标人未提供有效的资格文件的，视为投标人不具备招标文件中规定的资格要求）</w:t>
            </w:r>
          </w:p>
        </w:tc>
        <w:tc>
          <w:tcPr>
            <w:tcW w:w="310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提供有效资格文件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1" w:hRule="atLeast"/>
          <w:jc w:val="center"/>
        </w:trPr>
        <w:tc>
          <w:tcPr>
            <w:tcW w:w="493"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5362"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投标文件未按照招标文件要求签署、盖章的</w:t>
            </w:r>
          </w:p>
        </w:tc>
        <w:tc>
          <w:tcPr>
            <w:tcW w:w="3108"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493"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5362"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投标文件含有采购人不能接受的附加条件的</w:t>
            </w:r>
          </w:p>
        </w:tc>
        <w:tc>
          <w:tcPr>
            <w:tcW w:w="3108"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5" w:hRule="atLeast"/>
          <w:jc w:val="center"/>
        </w:trPr>
        <w:tc>
          <w:tcPr>
            <w:tcW w:w="493"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5362" w:type="dxa"/>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投标文件中承诺的投标有效期少于招标文件中载明的投标有效期的</w:t>
            </w:r>
          </w:p>
        </w:tc>
        <w:tc>
          <w:tcPr>
            <w:tcW w:w="3108"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7" w:hRule="atLeast"/>
          <w:jc w:val="center"/>
        </w:trPr>
        <w:tc>
          <w:tcPr>
            <w:tcW w:w="493"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5362" w:type="dxa"/>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投标文件出现不是唯一的、有选择性投标报价的</w:t>
            </w:r>
          </w:p>
        </w:tc>
        <w:tc>
          <w:tcPr>
            <w:tcW w:w="3108"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4" w:hRule="atLeast"/>
          <w:jc w:val="center"/>
        </w:trPr>
        <w:tc>
          <w:tcPr>
            <w:tcW w:w="493"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5362" w:type="dxa"/>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投标报价超过招标文件中规定的预算金额或者最高限价的</w:t>
            </w:r>
          </w:p>
        </w:tc>
        <w:tc>
          <w:tcPr>
            <w:tcW w:w="3108" w:type="dxa"/>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2" w:hRule="atLeast"/>
          <w:jc w:val="center"/>
        </w:trPr>
        <w:tc>
          <w:tcPr>
            <w:tcW w:w="493"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5362" w:type="dxa"/>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p>
        </w:tc>
        <w:tc>
          <w:tcPr>
            <w:tcW w:w="3108" w:type="dxa"/>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7" w:hRule="atLeast"/>
          <w:jc w:val="center"/>
        </w:trPr>
        <w:tc>
          <w:tcPr>
            <w:tcW w:w="493"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5362" w:type="dxa"/>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投标人对根据修正原则修正后的报价不确认的</w:t>
            </w:r>
          </w:p>
        </w:tc>
        <w:tc>
          <w:tcPr>
            <w:tcW w:w="3108" w:type="dxa"/>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493"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5362" w:type="dxa"/>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投标人提供虚假材料投标的</w:t>
            </w:r>
          </w:p>
        </w:tc>
        <w:tc>
          <w:tcPr>
            <w:tcW w:w="3108" w:type="dxa"/>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6" w:hRule="atLeast"/>
          <w:jc w:val="center"/>
        </w:trPr>
        <w:tc>
          <w:tcPr>
            <w:tcW w:w="493"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5362" w:type="dxa"/>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投标人有恶意串通、妨碍其他投标人的竞争行为、损害采购人或者其他投标人的合法权益情形的；</w:t>
            </w:r>
          </w:p>
        </w:tc>
        <w:tc>
          <w:tcPr>
            <w:tcW w:w="3108" w:type="dxa"/>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jc w:val="center"/>
        </w:trPr>
        <w:tc>
          <w:tcPr>
            <w:tcW w:w="493"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5362" w:type="dxa"/>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投标人仅提交备份投标文件，没有在电子交易平台传输递交投标文件的，投标无效；</w:t>
            </w:r>
          </w:p>
        </w:tc>
        <w:tc>
          <w:tcPr>
            <w:tcW w:w="3108" w:type="dxa"/>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493"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5362" w:type="dxa"/>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投标文件不满足招标文件的其它实质性要求的</w:t>
            </w:r>
          </w:p>
        </w:tc>
        <w:tc>
          <w:tcPr>
            <w:tcW w:w="3108" w:type="dxa"/>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jc w:val="center"/>
        </w:trPr>
        <w:tc>
          <w:tcPr>
            <w:tcW w:w="493"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5362" w:type="dxa"/>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法律、法规、规章规定的其他无效情形</w:t>
            </w:r>
          </w:p>
        </w:tc>
        <w:tc>
          <w:tcPr>
            <w:tcW w:w="3108" w:type="dxa"/>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根据投标文件情况，进行评审</w:t>
            </w:r>
          </w:p>
        </w:tc>
      </w:tr>
    </w:tbl>
    <w:p>
      <w:pPr>
        <w:jc w:val="center"/>
        <w:rPr>
          <w:rFonts w:hint="eastAsia" w:ascii="宋体" w:hAnsi="宋体" w:eastAsia="宋体" w:cs="宋体"/>
          <w:b/>
          <w:color w:val="auto"/>
          <w:kern w:val="0"/>
          <w:sz w:val="24"/>
          <w:highlight w:val="none"/>
        </w:rPr>
      </w:pPr>
    </w:p>
    <w:p>
      <w:pPr>
        <w:spacing w:line="360" w:lineRule="auto"/>
        <w:jc w:val="center"/>
        <w:outlineLvl w:val="9"/>
        <w:rPr>
          <w:rFonts w:hint="eastAsia" w:ascii="宋体" w:hAnsi="宋体" w:eastAsia="宋体" w:cs="宋体"/>
          <w:b/>
          <w:color w:val="auto"/>
          <w:kern w:val="0"/>
          <w:sz w:val="28"/>
          <w:szCs w:val="28"/>
          <w:highlight w:val="none"/>
        </w:rPr>
      </w:pPr>
      <w:bookmarkStart w:id="584" w:name="_Toc6371"/>
    </w:p>
    <w:p>
      <w:pPr>
        <w:spacing w:line="360" w:lineRule="auto"/>
        <w:jc w:val="center"/>
        <w:outlineLvl w:val="1"/>
        <w:rPr>
          <w:rFonts w:hint="eastAsia" w:ascii="宋体" w:hAnsi="宋体" w:eastAsia="宋体" w:cs="宋体"/>
          <w:color w:val="auto"/>
          <w:sz w:val="28"/>
          <w:szCs w:val="28"/>
          <w:highlight w:val="none"/>
        </w:rPr>
      </w:pPr>
      <w:bookmarkStart w:id="585" w:name="_Toc9643"/>
      <w:bookmarkStart w:id="586" w:name="_Toc18987"/>
      <w:r>
        <w:rPr>
          <w:rFonts w:hint="eastAsia" w:ascii="宋体" w:hAnsi="宋体" w:eastAsia="宋体" w:cs="宋体"/>
          <w:b/>
          <w:color w:val="auto"/>
          <w:kern w:val="0"/>
          <w:sz w:val="28"/>
          <w:szCs w:val="28"/>
          <w:highlight w:val="none"/>
        </w:rPr>
        <w:t>四、评审标准相应的商务技术资料</w:t>
      </w:r>
      <w:bookmarkEnd w:id="584"/>
      <w:bookmarkEnd w:id="585"/>
      <w:bookmarkEnd w:id="586"/>
    </w:p>
    <w:p>
      <w:pPr>
        <w:keepNext w:val="0"/>
        <w:keepLines w:val="0"/>
        <w:pageBreakBefore w:val="0"/>
        <w:widowControl w:val="0"/>
        <w:kinsoku/>
        <w:wordWrap/>
        <w:overflowPunct/>
        <w:topLinePunct w:val="0"/>
        <w:autoSpaceDE/>
        <w:autoSpaceDN/>
        <w:bidi w:val="0"/>
        <w:snapToGrid w:val="0"/>
        <w:spacing w:line="324" w:lineRule="auto"/>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（按招标文件第四部分评审办法前附表中“投标文件中评审标准相应的商务技术资料目录”提供资料,除以下投标文件格式外相关资料由供应商自拟。）</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1.供应商基本情况表（格式参考</w:t>
      </w:r>
      <w:r>
        <w:rPr>
          <w:rFonts w:hint="eastAsia" w:ascii="宋体" w:hAnsi="宋体" w:eastAsia="宋体" w:cs="宋体"/>
          <w:color w:val="auto"/>
          <w:kern w:val="0"/>
          <w:sz w:val="24"/>
          <w:szCs w:val="24"/>
          <w:highlight w:val="none"/>
          <w:lang w:val="en-US" w:eastAsia="zh-CN"/>
        </w:rPr>
        <w:t>附件</w:t>
      </w:r>
      <w:r>
        <w:rPr>
          <w:rFonts w:hint="eastAsia" w:ascii="宋体" w:hAnsi="宋体" w:eastAsia="宋体" w:cs="宋体"/>
          <w:color w:val="auto"/>
          <w:kern w:val="0"/>
          <w:sz w:val="24"/>
          <w:szCs w:val="24"/>
          <w:highlight w:val="none"/>
        </w:rPr>
        <w:t>1）。</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.具有业主针对投标人保安服务或金融护卫服务反馈证明文件复印件，原件备查（若有）。</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3.投标人的质量管理体系认证、环境管理体系认证、职业健康与安全管理体系认证证书</w:t>
      </w:r>
      <w:r>
        <w:rPr>
          <w:rFonts w:hint="eastAsia" w:ascii="宋体" w:hAnsi="宋体" w:eastAsia="宋体" w:cs="宋体"/>
          <w:color w:val="auto"/>
          <w:kern w:val="0"/>
          <w:sz w:val="24"/>
          <w:szCs w:val="24"/>
          <w:highlight w:val="none"/>
        </w:rPr>
        <w:t>复印件，原件备查（若有）。</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highlight w:val="none"/>
        </w:rPr>
        <w:t>投标人自2019年1月1日至今（以合同签订时间为准）具有成功实施的保安</w:t>
      </w:r>
      <w:r>
        <w:rPr>
          <w:rFonts w:hint="eastAsia" w:ascii="宋体" w:hAnsi="宋体" w:eastAsia="宋体" w:cs="宋体"/>
          <w:color w:val="auto"/>
          <w:kern w:val="0"/>
          <w:sz w:val="24"/>
          <w:highlight w:val="none"/>
          <w:lang w:val="en-US" w:eastAsia="zh-CN"/>
        </w:rPr>
        <w:t>或金融护卫</w:t>
      </w:r>
      <w:r>
        <w:rPr>
          <w:rFonts w:hint="eastAsia" w:ascii="宋体" w:hAnsi="宋体" w:eastAsia="宋体" w:cs="宋体"/>
          <w:color w:val="auto"/>
          <w:kern w:val="0"/>
          <w:sz w:val="24"/>
          <w:highlight w:val="none"/>
        </w:rPr>
        <w:t>业绩</w:t>
      </w:r>
      <w:r>
        <w:rPr>
          <w:rFonts w:hint="eastAsia" w:ascii="宋体" w:hAnsi="宋体" w:eastAsia="宋体" w:cs="宋体"/>
          <w:color w:val="auto"/>
          <w:kern w:val="0"/>
          <w:sz w:val="24"/>
          <w:szCs w:val="24"/>
          <w:highlight w:val="none"/>
        </w:rPr>
        <w:t>（格式参考</w:t>
      </w:r>
      <w:r>
        <w:rPr>
          <w:rFonts w:hint="eastAsia" w:ascii="宋体" w:hAnsi="宋体" w:eastAsia="宋体" w:cs="宋体"/>
          <w:color w:val="auto"/>
          <w:kern w:val="0"/>
          <w:sz w:val="24"/>
          <w:szCs w:val="24"/>
          <w:highlight w:val="none"/>
          <w:lang w:val="en-US" w:eastAsia="zh-CN"/>
        </w:rPr>
        <w:t>附件</w:t>
      </w:r>
      <w:r>
        <w:rPr>
          <w:rFonts w:hint="eastAsia" w:ascii="宋体" w:hAnsi="宋体" w:eastAsia="宋体" w:cs="宋体"/>
          <w:color w:val="auto"/>
          <w:kern w:val="0"/>
          <w:sz w:val="24"/>
          <w:szCs w:val="24"/>
          <w:highlight w:val="none"/>
        </w:rPr>
        <w:t>2）（若有）。</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5.保安大队长简历表（</w:t>
      </w:r>
      <w:r>
        <w:rPr>
          <w:rFonts w:hint="eastAsia" w:ascii="宋体" w:hAnsi="宋体" w:eastAsia="宋体" w:cs="宋体"/>
          <w:color w:val="auto"/>
          <w:kern w:val="0"/>
          <w:sz w:val="24"/>
          <w:szCs w:val="24"/>
          <w:highlight w:val="none"/>
        </w:rPr>
        <w:t>格式参考</w:t>
      </w:r>
      <w:r>
        <w:rPr>
          <w:rFonts w:hint="eastAsia" w:ascii="宋体" w:hAnsi="宋体" w:eastAsia="宋体" w:cs="宋体"/>
          <w:color w:val="auto"/>
          <w:kern w:val="0"/>
          <w:sz w:val="24"/>
          <w:szCs w:val="24"/>
          <w:highlight w:val="none"/>
          <w:lang w:val="en-US" w:eastAsia="zh-CN"/>
        </w:rPr>
        <w:t>附件3）。</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6.拟派本项目组人员配备情况（</w:t>
      </w:r>
      <w:r>
        <w:rPr>
          <w:rFonts w:hint="eastAsia" w:ascii="宋体" w:hAnsi="宋体" w:eastAsia="宋体" w:cs="宋体"/>
          <w:color w:val="auto"/>
          <w:kern w:val="0"/>
          <w:sz w:val="24"/>
          <w:szCs w:val="24"/>
          <w:highlight w:val="none"/>
        </w:rPr>
        <w:t>格式参考</w:t>
      </w:r>
      <w:r>
        <w:rPr>
          <w:rFonts w:hint="eastAsia" w:ascii="宋体" w:hAnsi="宋体" w:eastAsia="宋体" w:cs="宋体"/>
          <w:color w:val="auto"/>
          <w:kern w:val="0"/>
          <w:sz w:val="24"/>
          <w:szCs w:val="24"/>
          <w:highlight w:val="none"/>
          <w:lang w:val="en-US" w:eastAsia="zh-CN"/>
        </w:rPr>
        <w:t>附件4）。</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医院安全保卫工作整体方案、人员调度计划、值班轮休计划、日常管控的具体措施</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snapToGrid w:val="0"/>
        <w:spacing w:line="324" w:lineRule="auto"/>
        <w:ind w:right="-97" w:rightChars="-46" w:firstLine="240" w:firstLineChars="100"/>
        <w:jc w:val="left"/>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8.</w:t>
      </w:r>
      <w:r>
        <w:rPr>
          <w:rFonts w:hint="eastAsia" w:ascii="宋体" w:hAnsi="宋体" w:eastAsia="宋体" w:cs="宋体"/>
          <w:color w:val="auto"/>
          <w:kern w:val="0"/>
          <w:sz w:val="24"/>
          <w:highlight w:val="none"/>
        </w:rPr>
        <w:t>金融护卫方案和措施</w:t>
      </w:r>
      <w:r>
        <w:rPr>
          <w:rFonts w:hint="eastAsia" w:ascii="宋体" w:hAnsi="宋体" w:eastAsia="宋体" w:cs="宋体"/>
          <w:color w:val="auto"/>
          <w:kern w:val="0"/>
          <w:sz w:val="24"/>
          <w:highlight w:val="none"/>
          <w:lang w:val="en-US" w:eastAsia="zh-CN"/>
        </w:rPr>
        <w:t>。</w:t>
      </w:r>
    </w:p>
    <w:p>
      <w:pPr>
        <w:keepNext w:val="0"/>
        <w:keepLines w:val="0"/>
        <w:pageBreakBefore w:val="0"/>
        <w:widowControl w:val="0"/>
        <w:kinsoku/>
        <w:wordWrap/>
        <w:overflowPunct/>
        <w:topLinePunct w:val="0"/>
        <w:autoSpaceDE/>
        <w:autoSpaceDN/>
        <w:bidi w:val="0"/>
        <w:snapToGrid w:val="0"/>
        <w:spacing w:line="324" w:lineRule="auto"/>
        <w:ind w:right="-97" w:rightChars="-46" w:firstLine="240" w:firstLineChars="1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9.停车管理方案和措施。</w:t>
      </w:r>
    </w:p>
    <w:p>
      <w:pPr>
        <w:keepNext w:val="0"/>
        <w:keepLines w:val="0"/>
        <w:pageBreakBefore w:val="0"/>
        <w:widowControl w:val="0"/>
        <w:kinsoku/>
        <w:wordWrap/>
        <w:overflowPunct/>
        <w:topLinePunct w:val="0"/>
        <w:autoSpaceDE/>
        <w:autoSpaceDN/>
        <w:bidi w:val="0"/>
        <w:snapToGrid w:val="0"/>
        <w:spacing w:line="324" w:lineRule="auto"/>
        <w:ind w:right="-97" w:rightChars="-46" w:firstLine="240" w:firstLineChars="1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重点部位(包含医院门卫、急诊区域、发热门诊区域)的保安方案及保证措施</w:t>
      </w:r>
      <w:r>
        <w:rPr>
          <w:rFonts w:hint="eastAsia" w:ascii="宋体" w:hAnsi="宋体" w:eastAsia="宋体" w:cs="宋体"/>
          <w:color w:val="auto"/>
          <w:sz w:val="24"/>
          <w:highlight w:val="none"/>
          <w:lang w:eastAsia="zh-CN"/>
        </w:rPr>
        <w:t>。</w:t>
      </w:r>
    </w:p>
    <w:p>
      <w:pPr>
        <w:keepNext w:val="0"/>
        <w:keepLines w:val="0"/>
        <w:pageBreakBefore w:val="0"/>
        <w:widowControl w:val="0"/>
        <w:kinsoku/>
        <w:wordWrap/>
        <w:overflowPunct/>
        <w:topLinePunct w:val="0"/>
        <w:autoSpaceDE/>
        <w:autoSpaceDN/>
        <w:bidi w:val="0"/>
        <w:snapToGrid w:val="0"/>
        <w:spacing w:line="324" w:lineRule="auto"/>
        <w:ind w:right="-97" w:rightChars="-46" w:firstLine="240" w:firstLineChars="1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11</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日常工作程序（维护医院内的医疗秩序、消防安全、常态化巡逻等各项活动、公共秩序、调解纠纷、疏导人流等）内容</w:t>
      </w:r>
      <w:r>
        <w:rPr>
          <w:rFonts w:hint="eastAsia" w:ascii="宋体" w:hAnsi="宋体" w:eastAsia="宋体" w:cs="宋体"/>
          <w:color w:val="auto"/>
          <w:kern w:val="0"/>
          <w:sz w:val="24"/>
          <w:highlight w:val="none"/>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保安服务方案包括岗位服务内容、保安标准化方案，</w:t>
      </w:r>
      <w:r>
        <w:rPr>
          <w:rFonts w:hint="eastAsia" w:ascii="宋体" w:hAnsi="宋体" w:eastAsia="宋体" w:cs="宋体"/>
          <w:color w:val="auto"/>
          <w:sz w:val="24"/>
          <w:highlight w:val="none"/>
          <w:lang w:val="en-US" w:eastAsia="zh-CN"/>
        </w:rPr>
        <w:t>以及</w:t>
      </w:r>
      <w:r>
        <w:rPr>
          <w:rFonts w:hint="eastAsia" w:ascii="宋体" w:hAnsi="宋体" w:eastAsia="宋体" w:cs="宋体"/>
          <w:color w:val="auto"/>
          <w:sz w:val="24"/>
          <w:highlight w:val="none"/>
        </w:rPr>
        <w:t>操作规程、演练、演习、培训方案等</w:t>
      </w:r>
      <w:r>
        <w:rPr>
          <w:rFonts w:hint="eastAsia" w:ascii="宋体" w:hAnsi="宋体" w:eastAsia="宋体" w:cs="宋体"/>
          <w:color w:val="auto"/>
          <w:sz w:val="24"/>
          <w:highlight w:val="none"/>
          <w:lang w:val="en-US" w:eastAsia="zh-CN"/>
        </w:rPr>
        <w:t>内容</w:t>
      </w:r>
      <w:r>
        <w:rPr>
          <w:rFonts w:hint="eastAsia" w:ascii="宋体" w:hAnsi="宋体" w:eastAsia="宋体" w:cs="宋体"/>
          <w:color w:val="auto"/>
          <w:kern w:val="0"/>
          <w:sz w:val="24"/>
          <w:szCs w:val="24"/>
          <w:highlight w:val="none"/>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13.</w:t>
      </w:r>
      <w:r>
        <w:rPr>
          <w:rFonts w:hint="eastAsia" w:ascii="宋体" w:hAnsi="宋体" w:eastAsia="宋体" w:cs="宋体"/>
          <w:color w:val="auto"/>
          <w:kern w:val="0"/>
          <w:sz w:val="24"/>
          <w:szCs w:val="24"/>
          <w:highlight w:val="none"/>
        </w:rPr>
        <w:t>保安工作人员职责制度、交接班制度、保安队伍例会制度、队伍绩效考核管理制度、队伍奖惩制度</w:t>
      </w:r>
      <w:r>
        <w:rPr>
          <w:rFonts w:hint="eastAsia" w:ascii="宋体" w:hAnsi="宋体" w:eastAsia="宋体" w:cs="宋体"/>
          <w:color w:val="auto"/>
          <w:kern w:val="0"/>
          <w:sz w:val="24"/>
          <w:szCs w:val="24"/>
          <w:highlight w:val="none"/>
          <w:lang w:eastAsia="zh-CN"/>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.针对保安人员流失控制及时补充的方案，严格控制非违纪人员轮换岗比例的方案及措施</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人员保障机制及人员工资福利承诺情况，根据采购人投入项目资金情况，制定员工工资福利计划。（以符合采购人投入资金的使用合理性为原则）。</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rPr>
        <w:t>劳动用工书面承诺（格式参考</w:t>
      </w:r>
      <w:r>
        <w:rPr>
          <w:rFonts w:hint="eastAsia" w:ascii="宋体" w:hAnsi="宋体" w:eastAsia="宋体" w:cs="宋体"/>
          <w:color w:val="auto"/>
          <w:kern w:val="0"/>
          <w:sz w:val="24"/>
          <w:szCs w:val="24"/>
          <w:highlight w:val="none"/>
          <w:lang w:val="en-US" w:eastAsia="zh-CN"/>
        </w:rPr>
        <w:t>附件</w:t>
      </w:r>
      <w:r>
        <w:rPr>
          <w:rFonts w:hint="eastAsia" w:ascii="宋体" w:hAnsi="宋体" w:eastAsia="宋体" w:cs="宋体"/>
          <w:color w:val="auto"/>
          <w:kern w:val="0"/>
          <w:sz w:val="24"/>
          <w:szCs w:val="24"/>
          <w:highlight w:val="none"/>
        </w:rPr>
        <w:t>5）。</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重大接待任务及重要节假日加班措施</w:t>
      </w:r>
      <w:r>
        <w:rPr>
          <w:rFonts w:hint="eastAsia" w:ascii="宋体" w:hAnsi="宋体" w:eastAsia="宋体" w:cs="宋体"/>
          <w:color w:val="auto"/>
          <w:kern w:val="0"/>
          <w:sz w:val="24"/>
          <w:szCs w:val="24"/>
          <w:highlight w:val="none"/>
          <w:lang w:eastAsia="zh-CN"/>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17.</w:t>
      </w:r>
      <w:r>
        <w:rPr>
          <w:rFonts w:hint="eastAsia" w:ascii="宋体" w:hAnsi="宋体" w:eastAsia="宋体" w:cs="宋体"/>
          <w:color w:val="auto"/>
          <w:kern w:val="0"/>
          <w:sz w:val="24"/>
          <w:szCs w:val="24"/>
          <w:highlight w:val="none"/>
        </w:rPr>
        <w:t>服务人员详细的岗位及人员配备及任职经历情况</w:t>
      </w:r>
      <w:r>
        <w:rPr>
          <w:rFonts w:hint="eastAsia" w:ascii="宋体" w:hAnsi="宋体" w:eastAsia="宋体" w:cs="宋体"/>
          <w:color w:val="auto"/>
          <w:kern w:val="0"/>
          <w:sz w:val="24"/>
          <w:szCs w:val="24"/>
          <w:highlight w:val="none"/>
          <w:lang w:eastAsia="zh-CN"/>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highlight w:val="none"/>
          <w:lang w:val="en-US" w:eastAsia="zh-CN"/>
        </w:rPr>
        <w:t>18.</w:t>
      </w:r>
      <w:r>
        <w:rPr>
          <w:rFonts w:hint="eastAsia" w:ascii="宋体" w:hAnsi="宋体" w:eastAsia="宋体" w:cs="宋体"/>
          <w:color w:val="auto"/>
          <w:sz w:val="24"/>
          <w:highlight w:val="none"/>
        </w:rPr>
        <w:t>服务人员年龄组成承诺</w:t>
      </w:r>
      <w:r>
        <w:rPr>
          <w:rFonts w:hint="eastAsia" w:ascii="宋体" w:hAnsi="宋体" w:eastAsia="宋体" w:cs="宋体"/>
          <w:color w:val="auto"/>
          <w:sz w:val="24"/>
          <w:highlight w:val="none"/>
          <w:lang w:eastAsia="zh-CN"/>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19.</w:t>
      </w:r>
      <w:r>
        <w:rPr>
          <w:rFonts w:hint="eastAsia" w:ascii="宋体" w:hAnsi="宋体" w:eastAsia="宋体" w:cs="宋体"/>
          <w:color w:val="auto"/>
          <w:kern w:val="0"/>
          <w:sz w:val="24"/>
          <w:szCs w:val="24"/>
          <w:highlight w:val="none"/>
        </w:rPr>
        <w:t>突发事件（包括台风、暴雨、地震等灾害性天气导致的各类突发事件及其他突发事件）时的应急预案及相应的措施</w:t>
      </w:r>
      <w:r>
        <w:rPr>
          <w:rFonts w:hint="eastAsia" w:ascii="宋体" w:hAnsi="宋体" w:eastAsia="宋体" w:cs="宋体"/>
          <w:color w:val="auto"/>
          <w:kern w:val="0"/>
          <w:sz w:val="24"/>
          <w:szCs w:val="24"/>
          <w:highlight w:val="none"/>
          <w:lang w:eastAsia="zh-CN"/>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针对防盗、防火的安全防范巡查措施</w:t>
      </w:r>
      <w:r>
        <w:rPr>
          <w:rFonts w:hint="eastAsia" w:ascii="宋体" w:hAnsi="宋体" w:eastAsia="宋体" w:cs="宋体"/>
          <w:color w:val="auto"/>
          <w:kern w:val="0"/>
          <w:sz w:val="24"/>
          <w:szCs w:val="24"/>
          <w:highlight w:val="none"/>
          <w:lang w:eastAsia="zh-CN"/>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21.</w:t>
      </w:r>
      <w:r>
        <w:rPr>
          <w:rFonts w:hint="eastAsia" w:ascii="宋体" w:hAnsi="宋体" w:eastAsia="宋体" w:cs="宋体"/>
          <w:color w:val="auto"/>
          <w:kern w:val="0"/>
          <w:sz w:val="24"/>
          <w:szCs w:val="24"/>
          <w:highlight w:val="none"/>
        </w:rPr>
        <w:t>应对危及医护人员安全的突发事件的应急预案</w:t>
      </w:r>
      <w:r>
        <w:rPr>
          <w:rFonts w:hint="eastAsia" w:ascii="宋体" w:hAnsi="宋体" w:eastAsia="宋体" w:cs="宋体"/>
          <w:color w:val="auto"/>
          <w:kern w:val="0"/>
          <w:sz w:val="24"/>
          <w:szCs w:val="24"/>
          <w:highlight w:val="none"/>
          <w:lang w:eastAsia="zh-CN"/>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22.</w:t>
      </w:r>
      <w:r>
        <w:rPr>
          <w:rFonts w:hint="eastAsia" w:ascii="宋体" w:hAnsi="宋体" w:eastAsia="宋体" w:cs="宋体"/>
          <w:color w:val="auto"/>
          <w:kern w:val="0"/>
          <w:sz w:val="24"/>
          <w:szCs w:val="24"/>
          <w:highlight w:val="none"/>
        </w:rPr>
        <w:t>应对社会纠纷、暴恐事件等类型的应急预案</w:t>
      </w:r>
      <w:r>
        <w:rPr>
          <w:rFonts w:hint="eastAsia" w:ascii="宋体" w:hAnsi="宋体" w:eastAsia="宋体" w:cs="宋体"/>
          <w:color w:val="auto"/>
          <w:kern w:val="0"/>
          <w:sz w:val="24"/>
          <w:szCs w:val="24"/>
          <w:highlight w:val="none"/>
          <w:lang w:eastAsia="zh-CN"/>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23.</w:t>
      </w:r>
      <w:r>
        <w:rPr>
          <w:rFonts w:hint="eastAsia" w:ascii="宋体" w:hAnsi="宋体" w:eastAsia="宋体" w:cs="宋体"/>
          <w:color w:val="auto"/>
          <w:kern w:val="0"/>
          <w:sz w:val="24"/>
          <w:szCs w:val="24"/>
          <w:highlight w:val="none"/>
        </w:rPr>
        <w:t>应对突发性公共卫生事件（如疫情防控）的应急预案</w:t>
      </w:r>
      <w:r>
        <w:rPr>
          <w:rFonts w:hint="eastAsia" w:ascii="宋体" w:hAnsi="宋体" w:eastAsia="宋体" w:cs="宋体"/>
          <w:color w:val="auto"/>
          <w:kern w:val="0"/>
          <w:sz w:val="24"/>
          <w:szCs w:val="24"/>
          <w:highlight w:val="none"/>
          <w:lang w:eastAsia="zh-CN"/>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24.</w:t>
      </w:r>
      <w:r>
        <w:rPr>
          <w:rFonts w:hint="eastAsia" w:ascii="宋体" w:hAnsi="宋体" w:eastAsia="宋体" w:cs="宋体"/>
          <w:color w:val="auto"/>
          <w:kern w:val="0"/>
          <w:sz w:val="24"/>
          <w:szCs w:val="24"/>
          <w:highlight w:val="none"/>
        </w:rPr>
        <w:t>拟投入设备及工具一览表（格式参考</w:t>
      </w:r>
      <w:r>
        <w:rPr>
          <w:rFonts w:hint="eastAsia" w:ascii="宋体" w:hAnsi="宋体" w:eastAsia="宋体" w:cs="宋体"/>
          <w:color w:val="auto"/>
          <w:kern w:val="0"/>
          <w:sz w:val="24"/>
          <w:szCs w:val="24"/>
          <w:highlight w:val="none"/>
          <w:lang w:val="en-US" w:eastAsia="zh-CN"/>
        </w:rPr>
        <w:t>附件6</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25.</w:t>
      </w:r>
      <w:r>
        <w:rPr>
          <w:rFonts w:hint="eastAsia" w:ascii="宋体" w:hAnsi="宋体" w:eastAsia="宋体" w:cs="宋体"/>
          <w:color w:val="auto"/>
          <w:kern w:val="0"/>
          <w:sz w:val="24"/>
          <w:szCs w:val="24"/>
          <w:highlight w:val="none"/>
        </w:rPr>
        <w:t>服务质量的承诺及保证措施、安全文明礼貌的承诺及保证措施、完善售后服务计划。</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26.</w:t>
      </w:r>
      <w:r>
        <w:rPr>
          <w:rFonts w:hint="eastAsia" w:ascii="宋体" w:hAnsi="宋体" w:eastAsia="宋体" w:cs="宋体"/>
          <w:color w:val="auto"/>
          <w:kern w:val="0"/>
          <w:sz w:val="24"/>
          <w:szCs w:val="24"/>
          <w:highlight w:val="none"/>
        </w:rPr>
        <w:t>投标人对项目现状、存在的问题和保安服务的难点、要点等问题进行调查剖析，提出克服难点和要点的措施和方案。</w:t>
      </w:r>
    </w:p>
    <w:p>
      <w:pPr>
        <w:pStyle w:val="24"/>
        <w:keepNext w:val="0"/>
        <w:keepLines w:val="0"/>
        <w:pageBreakBefore w:val="0"/>
        <w:widowControl w:val="0"/>
        <w:kinsoku/>
        <w:wordWrap/>
        <w:overflowPunct/>
        <w:topLinePunct w:val="0"/>
        <w:autoSpaceDE/>
        <w:autoSpaceDN/>
        <w:bidi w:val="0"/>
        <w:spacing w:line="324" w:lineRule="auto"/>
        <w:ind w:firstLine="240" w:firstLineChars="1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27</w:t>
      </w:r>
      <w:r>
        <w:rPr>
          <w:rFonts w:hint="eastAsia" w:ascii="宋体" w:hAnsi="宋体" w:eastAsia="宋体" w:cs="宋体"/>
          <w:color w:val="auto"/>
          <w:kern w:val="0"/>
          <w:sz w:val="24"/>
          <w:szCs w:val="24"/>
          <w:highlight w:val="none"/>
        </w:rPr>
        <w:t>.其它投标人认为应该提供的资料。</w:t>
      </w:r>
    </w:p>
    <w:p>
      <w:pPr>
        <w:rPr>
          <w:rFonts w:hint="eastAsia" w:ascii="宋体" w:hAnsi="宋体" w:eastAsia="宋体" w:cs="宋体"/>
          <w:color w:val="auto"/>
          <w:sz w:val="24"/>
          <w:szCs w:val="24"/>
          <w:highlight w:val="none"/>
          <w:lang w:val="en-US"/>
        </w:rPr>
      </w:pPr>
      <w:bookmarkStart w:id="587" w:name="_Toc5834"/>
      <w:bookmarkStart w:id="588" w:name="_Toc20440"/>
      <w:bookmarkStart w:id="589" w:name="_Toc12271"/>
      <w:r>
        <w:rPr>
          <w:rFonts w:hint="eastAsia" w:ascii="宋体" w:hAnsi="宋体" w:eastAsia="宋体" w:cs="宋体"/>
          <w:color w:val="auto"/>
          <w:sz w:val="24"/>
          <w:szCs w:val="24"/>
          <w:highlight w:val="none"/>
          <w:lang w:val="en-US"/>
        </w:rPr>
        <w:br w:type="page"/>
      </w:r>
    </w:p>
    <w:p>
      <w:pPr>
        <w:pStyle w:val="3"/>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附件1</w:t>
      </w:r>
    </w:p>
    <w:p>
      <w:pPr>
        <w:pStyle w:val="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供应商基本情况表</w:t>
      </w:r>
      <w:bookmarkEnd w:id="587"/>
      <w:bookmarkEnd w:id="588"/>
      <w:bookmarkEnd w:id="589"/>
    </w:p>
    <w:p>
      <w:pPr>
        <w:spacing w:line="480" w:lineRule="exact"/>
        <w:jc w:val="center"/>
        <w:outlineLvl w:val="0"/>
        <w:rPr>
          <w:rFonts w:hint="eastAsia" w:ascii="宋体" w:hAnsi="宋体" w:eastAsia="宋体" w:cs="宋体"/>
          <w:color w:val="auto"/>
          <w:sz w:val="24"/>
          <w:highlight w:val="none"/>
        </w:rPr>
      </w:pPr>
      <w:bookmarkStart w:id="590" w:name="_Toc11100"/>
      <w:bookmarkStart w:id="591" w:name="_Toc23820"/>
      <w:bookmarkStart w:id="592" w:name="_Toc26740"/>
      <w:r>
        <w:rPr>
          <w:rFonts w:hint="eastAsia" w:ascii="宋体" w:hAnsi="宋体" w:eastAsia="宋体" w:cs="宋体"/>
          <w:color w:val="auto"/>
          <w:sz w:val="24"/>
          <w:highlight w:val="none"/>
        </w:rPr>
        <w:t>（由投标人自行编制）</w:t>
      </w:r>
      <w:bookmarkEnd w:id="590"/>
      <w:bookmarkEnd w:id="591"/>
      <w:bookmarkEnd w:id="592"/>
    </w:p>
    <w:tbl>
      <w:tblPr>
        <w:tblStyle w:val="19"/>
        <w:tblW w:w="0" w:type="auto"/>
        <w:jc w:val="center"/>
        <w:shd w:val="clear" w:color="auto" w:fill="FFFFFF" w:themeFill="background1"/>
        <w:tblLayout w:type="fixed"/>
        <w:tblCellMar>
          <w:top w:w="0" w:type="dxa"/>
          <w:left w:w="168" w:type="dxa"/>
          <w:bottom w:w="0" w:type="dxa"/>
          <w:right w:w="168" w:type="dxa"/>
        </w:tblCellMar>
      </w:tblPr>
      <w:tblGrid>
        <w:gridCol w:w="5227"/>
        <w:gridCol w:w="3024"/>
      </w:tblGrid>
      <w:tr>
        <w:tblPrEx>
          <w:tblCellMar>
            <w:top w:w="0" w:type="dxa"/>
            <w:left w:w="168" w:type="dxa"/>
            <w:bottom w:w="0" w:type="dxa"/>
            <w:right w:w="168" w:type="dxa"/>
          </w:tblCellMar>
        </w:tblPrEx>
        <w:trPr>
          <w:jc w:val="center"/>
        </w:trPr>
        <w:tc>
          <w:tcPr>
            <w:tcW w:w="5227" w:type="dxa"/>
            <w:tcBorders>
              <w:top w:val="single" w:color="auto" w:sz="6" w:space="0"/>
              <w:left w:val="single" w:color="auto" w:sz="6" w:space="0"/>
              <w:bottom w:val="nil"/>
              <w:right w:val="nil"/>
            </w:tcBorders>
            <w:shd w:val="clear" w:color="auto" w:fill="FFFFFF" w:themeFill="background1"/>
            <w:noWra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tc>
        <w:tc>
          <w:tcPr>
            <w:tcW w:w="3024" w:type="dxa"/>
            <w:tcBorders>
              <w:top w:val="single" w:color="auto" w:sz="6" w:space="0"/>
              <w:left w:val="single" w:color="auto" w:sz="6" w:space="0"/>
              <w:bottom w:val="nil"/>
              <w:right w:val="single" w:color="auto" w:sz="6" w:space="0"/>
            </w:tcBorders>
            <w:shd w:val="clear" w:color="auto" w:fill="FFFFFF" w:themeFill="background1"/>
            <w:noWra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叙述/提供</w:t>
            </w:r>
          </w:p>
        </w:tc>
      </w:tr>
      <w:tr>
        <w:tblPrEx>
          <w:shd w:val="clear" w:color="auto" w:fill="FFFFFF" w:themeFill="background1"/>
          <w:tblCellMar>
            <w:top w:w="0" w:type="dxa"/>
            <w:left w:w="168" w:type="dxa"/>
            <w:bottom w:w="0" w:type="dxa"/>
            <w:right w:w="168" w:type="dxa"/>
          </w:tblCellMar>
        </w:tblPrEx>
        <w:trPr>
          <w:jc w:val="center"/>
        </w:trPr>
        <w:tc>
          <w:tcPr>
            <w:tcW w:w="5227" w:type="dxa"/>
            <w:tcBorders>
              <w:top w:val="single" w:color="auto" w:sz="6" w:space="0"/>
              <w:left w:val="single" w:color="auto" w:sz="6" w:space="0"/>
              <w:bottom w:val="single" w:color="auto" w:sz="6" w:space="0"/>
              <w:right w:val="nil"/>
            </w:tcBorders>
            <w:shd w:val="clear" w:color="auto" w:fill="FFFFFF" w:themeFill="background1"/>
            <w:noWra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b/>
                <w:bCs/>
                <w:color w:val="auto"/>
                <w:sz w:val="24"/>
                <w:highlight w:val="none"/>
              </w:rPr>
              <w:tab/>
            </w:r>
            <w:r>
              <w:rPr>
                <w:rFonts w:hint="eastAsia" w:ascii="宋体" w:hAnsi="宋体" w:eastAsia="宋体" w:cs="宋体"/>
                <w:b/>
                <w:bCs/>
                <w:color w:val="auto"/>
                <w:sz w:val="24"/>
                <w:highlight w:val="none"/>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公司名称（包括：母公司/附属公司/办事处）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1.8</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典型项目实例: 需提供合同复印件，成功案例单位出具的用户报告并加盖公章</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eastAsia="宋体" w:cs="宋体"/>
                <w:b/>
                <w:bCs/>
                <w:color w:val="auto"/>
                <w:sz w:val="24"/>
                <w:highlight w:val="none"/>
              </w:rPr>
              <w:tab/>
            </w:r>
            <w:r>
              <w:rPr>
                <w:rFonts w:hint="eastAsia" w:ascii="宋体" w:hAnsi="宋体" w:eastAsia="宋体" w:cs="宋体"/>
                <w:b/>
                <w:bCs/>
                <w:color w:val="auto"/>
                <w:sz w:val="24"/>
                <w:highlight w:val="none"/>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服务人员的数量、学历、资历，典型项目实例；</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3．公司的组织结构简图</w:t>
            </w:r>
            <w:r>
              <w:rPr>
                <w:rFonts w:hint="eastAsia" w:ascii="宋体" w:hAnsi="宋体" w:eastAsia="宋体" w:cs="宋体"/>
                <w:color w:val="auto"/>
                <w:sz w:val="24"/>
                <w:highlight w:val="none"/>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4．营业执照复印件</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5．相关资质证明</w:t>
            </w:r>
          </w:p>
        </w:tc>
        <w:tc>
          <w:tcPr>
            <w:tcW w:w="3024" w:type="dxa"/>
            <w:tcBorders>
              <w:top w:val="single" w:color="auto" w:sz="6" w:space="0"/>
              <w:left w:val="single" w:color="auto" w:sz="6" w:space="0"/>
              <w:bottom w:val="single" w:color="auto" w:sz="6" w:space="0"/>
              <w:right w:val="single" w:color="auto" w:sz="6" w:space="0"/>
            </w:tcBorders>
            <w:shd w:val="clear" w:color="auto" w:fill="FFFFFF" w:themeFill="background1"/>
            <w:noWra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hint="eastAsia" w:ascii="宋体" w:hAnsi="宋体" w:eastAsia="宋体" w:cs="宋体"/>
                <w:color w:val="auto"/>
                <w:sz w:val="24"/>
                <w:highlight w:val="none"/>
              </w:rPr>
            </w:pPr>
          </w:p>
        </w:tc>
      </w:tr>
    </w:tbl>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3"/>
        <w:jc w:val="both"/>
        <w:rPr>
          <w:rFonts w:hint="eastAsia" w:ascii="宋体" w:hAnsi="宋体" w:eastAsia="宋体" w:cs="宋体"/>
          <w:color w:val="auto"/>
          <w:sz w:val="28"/>
          <w:szCs w:val="28"/>
          <w:highlight w:val="none"/>
          <w:lang w:val="en-US"/>
        </w:rPr>
      </w:pPr>
      <w:bookmarkStart w:id="593" w:name="_Toc21795"/>
      <w:bookmarkStart w:id="594" w:name="_Toc16219"/>
      <w:bookmarkStart w:id="595" w:name="_Toc6611"/>
      <w:r>
        <w:rPr>
          <w:rFonts w:hint="eastAsia" w:ascii="宋体" w:hAnsi="宋体" w:eastAsia="宋体" w:cs="宋体"/>
          <w:color w:val="auto"/>
          <w:sz w:val="28"/>
          <w:szCs w:val="28"/>
          <w:highlight w:val="none"/>
          <w:lang w:val="en-US"/>
        </w:rPr>
        <w:t>附件2</w:t>
      </w:r>
    </w:p>
    <w:p>
      <w:pPr>
        <w:pStyle w:val="3"/>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主要业绩证明</w:t>
      </w:r>
      <w:bookmarkEnd w:id="593"/>
      <w:bookmarkEnd w:id="594"/>
      <w:bookmarkEnd w:id="595"/>
    </w:p>
    <w:tbl>
      <w:tblPr>
        <w:tblStyle w:val="19"/>
        <w:tblW w:w="4998" w:type="pct"/>
        <w:tblInd w:w="0" w:type="dxa"/>
        <w:tblLayout w:type="autofit"/>
        <w:tblCellMar>
          <w:top w:w="0" w:type="dxa"/>
          <w:left w:w="28" w:type="dxa"/>
          <w:bottom w:w="0" w:type="dxa"/>
          <w:right w:w="28" w:type="dxa"/>
        </w:tblCellMar>
      </w:tblPr>
      <w:tblGrid>
        <w:gridCol w:w="1378"/>
        <w:gridCol w:w="1119"/>
        <w:gridCol w:w="1179"/>
        <w:gridCol w:w="1139"/>
        <w:gridCol w:w="2936"/>
        <w:gridCol w:w="1033"/>
      </w:tblGrid>
      <w:tr>
        <w:tblPrEx>
          <w:tblCellMar>
            <w:top w:w="0" w:type="dxa"/>
            <w:left w:w="28" w:type="dxa"/>
            <w:bottom w:w="0" w:type="dxa"/>
            <w:right w:w="28" w:type="dxa"/>
          </w:tblCellMar>
        </w:tblPrEx>
        <w:trPr>
          <w:trHeight w:val="1177" w:hRule="atLeast"/>
        </w:trPr>
        <w:tc>
          <w:tcPr>
            <w:tcW w:w="869"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722"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项目类型</w:t>
            </w:r>
          </w:p>
        </w:tc>
        <w:tc>
          <w:tcPr>
            <w:tcW w:w="756"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简要描述</w:t>
            </w:r>
          </w:p>
        </w:tc>
        <w:tc>
          <w:tcPr>
            <w:tcW w:w="733"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合同金额</w:t>
            </w:r>
          </w:p>
          <w:p>
            <w:pPr>
              <w:autoSpaceDE w:val="0"/>
              <w:autoSpaceDN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（万元）</w:t>
            </w:r>
          </w:p>
        </w:tc>
        <w:tc>
          <w:tcPr>
            <w:tcW w:w="1243"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项目地址与采购人联系电话</w:t>
            </w:r>
          </w:p>
        </w:tc>
        <w:tc>
          <w:tcPr>
            <w:tcW w:w="673"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所在页码</w:t>
            </w:r>
          </w:p>
        </w:tc>
      </w:tr>
      <w:tr>
        <w:tblPrEx>
          <w:tblCellMar>
            <w:top w:w="0" w:type="dxa"/>
            <w:left w:w="28" w:type="dxa"/>
            <w:bottom w:w="0" w:type="dxa"/>
            <w:right w:w="28" w:type="dxa"/>
          </w:tblCellMar>
        </w:tblPrEx>
        <w:trPr>
          <w:trHeight w:val="528"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50"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56"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48"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54"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54"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454"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hint="eastAsia" w:ascii="宋体" w:hAnsi="宋体" w:eastAsia="宋体" w:cs="宋体"/>
                <w:color w:val="auto"/>
                <w:sz w:val="24"/>
                <w:highlight w:val="none"/>
              </w:rPr>
            </w:pPr>
          </w:p>
        </w:tc>
      </w:tr>
    </w:tbl>
    <w:p>
      <w:pPr>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color w:val="auto"/>
          <w:kern w:val="0"/>
          <w:sz w:val="24"/>
          <w:highlight w:val="none"/>
        </w:rPr>
        <w:t>投标人自2019年1月1日至今（以合同签订时间为准）具有成功实施的保安</w:t>
      </w:r>
      <w:r>
        <w:rPr>
          <w:rFonts w:hint="eastAsia" w:ascii="宋体" w:hAnsi="宋体" w:eastAsia="宋体" w:cs="宋体"/>
          <w:color w:val="auto"/>
          <w:kern w:val="0"/>
          <w:sz w:val="24"/>
          <w:highlight w:val="none"/>
          <w:lang w:val="en-US" w:eastAsia="zh-CN"/>
        </w:rPr>
        <w:t>服务或金融护卫服务</w:t>
      </w:r>
      <w:r>
        <w:rPr>
          <w:rFonts w:hint="eastAsia" w:ascii="宋体" w:hAnsi="宋体" w:eastAsia="宋体" w:cs="宋体"/>
          <w:color w:val="auto"/>
          <w:kern w:val="0"/>
          <w:sz w:val="24"/>
          <w:highlight w:val="none"/>
        </w:rPr>
        <w:t>的业绩或案例证明</w:t>
      </w:r>
      <w:r>
        <w:rPr>
          <w:rFonts w:hint="eastAsia" w:ascii="宋体" w:hAnsi="宋体" w:eastAsia="宋体" w:cs="宋体"/>
          <w:color w:val="auto"/>
          <w:sz w:val="24"/>
          <w:highlight w:val="none"/>
        </w:rPr>
        <w:t>。投标文件中需提供合同复印件加盖投标人公章，原件备查。</w:t>
      </w:r>
    </w:p>
    <w:p>
      <w:pPr>
        <w:autoSpaceDE w:val="0"/>
        <w:autoSpaceDN w:val="0"/>
        <w:spacing w:line="420" w:lineRule="exact"/>
        <w:ind w:firstLine="5280" w:firstLineChars="2200"/>
        <w:rPr>
          <w:rFonts w:hint="eastAsia" w:ascii="宋体" w:hAnsi="宋体" w:eastAsia="宋体" w:cs="宋体"/>
          <w:color w:val="auto"/>
          <w:kern w:val="0"/>
          <w:sz w:val="24"/>
          <w:highlight w:val="none"/>
        </w:rPr>
      </w:pPr>
    </w:p>
    <w:p>
      <w:pPr>
        <w:snapToGrid w:val="0"/>
        <w:spacing w:line="360" w:lineRule="auto"/>
        <w:ind w:firstLine="576"/>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rPr>
          <w:rFonts w:hint="eastAsia" w:ascii="宋体" w:hAnsi="宋体" w:eastAsia="宋体" w:cs="宋体"/>
          <w:color w:val="auto"/>
          <w:sz w:val="24"/>
          <w:highlight w:val="none"/>
        </w:rPr>
      </w:pPr>
    </w:p>
    <w:p>
      <w:pP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snapToGrid w:val="0"/>
        <w:spacing w:line="360" w:lineRule="auto"/>
        <w:jc w:val="both"/>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附件3</w:t>
      </w:r>
    </w:p>
    <w:p>
      <w:pPr>
        <w:snapToGrid w:val="0"/>
        <w:spacing w:line="360" w:lineRule="auto"/>
        <w:jc w:val="center"/>
        <w:rPr>
          <w:rFonts w:hint="eastAsia" w:ascii="宋体" w:hAnsi="宋体" w:eastAsia="宋体" w:cs="宋体"/>
          <w:color w:val="auto"/>
          <w:kern w:val="0"/>
          <w:highlight w:val="none"/>
        </w:rPr>
      </w:pPr>
      <w:r>
        <w:rPr>
          <w:rStyle w:val="50"/>
          <w:rFonts w:hint="eastAsia" w:ascii="宋体" w:hAnsi="宋体" w:eastAsia="宋体" w:cs="宋体"/>
          <w:color w:val="auto"/>
          <w:sz w:val="28"/>
          <w:szCs w:val="28"/>
          <w:highlight w:val="none"/>
        </w:rPr>
        <w:t>保安大队长简历表</w:t>
      </w:r>
    </w:p>
    <w:tbl>
      <w:tblPr>
        <w:tblStyle w:val="19"/>
        <w:tblW w:w="7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664"/>
        <w:gridCol w:w="686"/>
        <w:gridCol w:w="696"/>
        <w:gridCol w:w="718"/>
        <w:gridCol w:w="1264"/>
        <w:gridCol w:w="1854"/>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姓 名</w:t>
            </w: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性别</w:t>
            </w:r>
          </w:p>
        </w:tc>
        <w:tc>
          <w:tcPr>
            <w:tcW w:w="686"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年龄</w:t>
            </w:r>
          </w:p>
        </w:tc>
        <w:tc>
          <w:tcPr>
            <w:tcW w:w="69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学历</w:t>
            </w:r>
          </w:p>
        </w:tc>
        <w:tc>
          <w:tcPr>
            <w:tcW w:w="718" w:type="dxa"/>
            <w:tcBorders>
              <w:top w:val="single" w:color="auto" w:sz="4" w:space="0"/>
              <w:left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职称</w:t>
            </w:r>
          </w:p>
        </w:tc>
        <w:tc>
          <w:tcPr>
            <w:tcW w:w="1264" w:type="dxa"/>
            <w:tcBorders>
              <w:top w:val="single" w:color="auto" w:sz="4" w:space="0"/>
              <w:left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资格证书</w:t>
            </w:r>
          </w:p>
        </w:tc>
        <w:tc>
          <w:tcPr>
            <w:tcW w:w="1854" w:type="dxa"/>
            <w:tcBorders>
              <w:top w:val="single" w:color="auto" w:sz="4" w:space="0"/>
              <w:left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身份证号码</w:t>
            </w:r>
          </w:p>
        </w:tc>
        <w:tc>
          <w:tcPr>
            <w:tcW w:w="118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hint="eastAsia" w:ascii="宋体" w:hAnsi="宋体" w:eastAsia="宋体" w:cs="宋体"/>
                <w:color w:val="auto"/>
                <w:kern w:val="0"/>
                <w:sz w:val="24"/>
                <w:highlight w:val="none"/>
              </w:rPr>
            </w:pPr>
          </w:p>
        </w:tc>
        <w:tc>
          <w:tcPr>
            <w:tcW w:w="686"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hint="eastAsia" w:ascii="宋体" w:hAnsi="宋体" w:eastAsia="宋体" w:cs="宋体"/>
                <w:color w:val="auto"/>
                <w:kern w:val="0"/>
                <w:sz w:val="24"/>
                <w:highlight w:val="none"/>
              </w:rPr>
            </w:pPr>
          </w:p>
        </w:tc>
        <w:tc>
          <w:tcPr>
            <w:tcW w:w="69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p>
        </w:tc>
        <w:tc>
          <w:tcPr>
            <w:tcW w:w="718" w:type="dxa"/>
            <w:tcBorders>
              <w:top w:val="single" w:color="auto" w:sz="4" w:space="0"/>
              <w:left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p>
        </w:tc>
        <w:tc>
          <w:tcPr>
            <w:tcW w:w="1264" w:type="dxa"/>
            <w:tcBorders>
              <w:top w:val="single" w:color="auto" w:sz="4" w:space="0"/>
              <w:left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p>
        </w:tc>
        <w:tc>
          <w:tcPr>
            <w:tcW w:w="1854" w:type="dxa"/>
            <w:tcBorders>
              <w:top w:val="single" w:color="auto" w:sz="4" w:space="0"/>
              <w:left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4" w:hRule="atLeast"/>
          <w:jc w:val="center"/>
        </w:trPr>
        <w:tc>
          <w:tcPr>
            <w:tcW w:w="7957" w:type="dxa"/>
            <w:gridSpan w:val="8"/>
            <w:tcBorders>
              <w:top w:val="single" w:color="auto" w:sz="4" w:space="0"/>
              <w:left w:val="single" w:color="auto" w:sz="4" w:space="0"/>
              <w:bottom w:val="single" w:color="auto" w:sz="4" w:space="0"/>
              <w:right w:val="single" w:color="auto" w:sz="4" w:space="0"/>
            </w:tcBorders>
            <w:noWrap/>
          </w:tcPr>
          <w:p>
            <w:pPr>
              <w:spacing w:line="440" w:lineRule="exact"/>
              <w:rPr>
                <w:rFonts w:hint="eastAsia" w:ascii="宋体" w:hAnsi="宋体" w:eastAsia="宋体" w:cs="宋体"/>
                <w:color w:val="auto"/>
                <w:kern w:val="0"/>
                <w:sz w:val="24"/>
                <w:highlight w:val="none"/>
              </w:rPr>
            </w:pPr>
          </w:p>
          <w:p>
            <w:pPr>
              <w:spacing w:line="44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保安大队长简历：</w:t>
            </w:r>
          </w:p>
        </w:tc>
      </w:tr>
    </w:tbl>
    <w:p>
      <w:pP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注：1.须附身份证、职称证书、</w:t>
      </w:r>
      <w:r>
        <w:rPr>
          <w:rFonts w:hint="eastAsia" w:ascii="宋体" w:hAnsi="宋体" w:eastAsia="宋体" w:cs="宋体"/>
          <w:color w:val="auto"/>
          <w:kern w:val="0"/>
          <w:sz w:val="24"/>
          <w:highlight w:val="none"/>
        </w:rPr>
        <w:t>资格证书、学历证书、</w:t>
      </w:r>
      <w:r>
        <w:rPr>
          <w:rFonts w:hint="eastAsia" w:ascii="宋体" w:hAnsi="宋体" w:eastAsia="宋体" w:cs="宋体"/>
          <w:color w:val="auto"/>
          <w:kern w:val="0"/>
          <w:sz w:val="24"/>
          <w:highlight w:val="none"/>
          <w:lang w:val="en-US" w:eastAsia="zh-CN"/>
        </w:rPr>
        <w:t>退伍军人证明、</w:t>
      </w:r>
      <w:r>
        <w:rPr>
          <w:rFonts w:hint="eastAsia" w:ascii="宋体" w:hAnsi="宋体" w:eastAsia="宋体" w:cs="宋体"/>
          <w:bCs/>
          <w:color w:val="auto"/>
          <w:kern w:val="0"/>
          <w:sz w:val="24"/>
          <w:highlight w:val="none"/>
        </w:rPr>
        <w:t>社保证明复印件，原件备查。</w:t>
      </w:r>
    </w:p>
    <w:p>
      <w:pPr>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2.不得随意更换项目负责人，如不经采购人同意擅自更换，则采购人有权解除合同。      </w:t>
      </w:r>
    </w:p>
    <w:p>
      <w:pPr>
        <w:rPr>
          <w:rFonts w:hint="eastAsia" w:ascii="宋体" w:hAnsi="宋体" w:eastAsia="宋体" w:cs="宋体"/>
          <w:color w:val="auto"/>
          <w:kern w:val="0"/>
          <w:sz w:val="24"/>
          <w:highlight w:val="none"/>
        </w:rPr>
      </w:pPr>
    </w:p>
    <w:p>
      <w:pPr>
        <w:spacing w:line="360" w:lineRule="auto"/>
        <w:rPr>
          <w:rFonts w:hint="eastAsia" w:ascii="宋体" w:hAnsi="宋体" w:eastAsia="宋体" w:cs="宋体"/>
          <w:color w:val="auto"/>
          <w:sz w:val="24"/>
          <w:highlight w:val="none"/>
        </w:rPr>
      </w:pPr>
    </w:p>
    <w:p>
      <w:pPr>
        <w:snapToGrid w:val="0"/>
        <w:spacing w:line="360" w:lineRule="auto"/>
        <w:ind w:firstLine="576"/>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日期：  年  月  日</w:t>
      </w:r>
    </w:p>
    <w:p>
      <w:pPr>
        <w:rPr>
          <w:rFonts w:hint="eastAsia" w:ascii="宋体" w:hAnsi="宋体" w:eastAsia="宋体" w:cs="宋体"/>
          <w:color w:val="auto"/>
          <w:sz w:val="24"/>
          <w:highlight w:val="none"/>
        </w:rPr>
      </w:pPr>
    </w:p>
    <w:p>
      <w:pPr>
        <w:rPr>
          <w:rFonts w:hint="eastAsia" w:ascii="宋体" w:hAnsi="宋体" w:eastAsia="宋体" w:cs="宋体"/>
          <w:b/>
          <w:bCs/>
          <w:color w:val="auto"/>
          <w:sz w:val="24"/>
          <w:highlight w:val="none"/>
        </w:rPr>
      </w:pPr>
      <w:bookmarkStart w:id="596" w:name="_Toc13580"/>
      <w:r>
        <w:rPr>
          <w:rFonts w:hint="eastAsia" w:ascii="宋体" w:hAnsi="宋体" w:eastAsia="宋体" w:cs="宋体"/>
          <w:b/>
          <w:bCs/>
          <w:color w:val="auto"/>
          <w:sz w:val="24"/>
          <w:highlight w:val="none"/>
        </w:rPr>
        <w:br w:type="page"/>
      </w:r>
    </w:p>
    <w:p>
      <w:pPr>
        <w:pStyle w:val="3"/>
        <w:jc w:val="both"/>
        <w:rPr>
          <w:rStyle w:val="44"/>
          <w:rFonts w:hint="eastAsia" w:ascii="宋体" w:hAnsi="宋体" w:eastAsia="宋体" w:cs="宋体"/>
          <w:b/>
          <w:bCs/>
          <w:color w:val="auto"/>
          <w:sz w:val="28"/>
          <w:szCs w:val="28"/>
          <w:highlight w:val="none"/>
          <w:lang w:val="en-US"/>
        </w:rPr>
      </w:pPr>
      <w:bookmarkStart w:id="597" w:name="_Toc4689"/>
      <w:bookmarkStart w:id="598" w:name="_Toc2872"/>
      <w:r>
        <w:rPr>
          <w:rFonts w:hint="eastAsia" w:ascii="宋体" w:hAnsi="宋体" w:eastAsia="宋体" w:cs="宋体"/>
          <w:color w:val="auto"/>
          <w:sz w:val="28"/>
          <w:szCs w:val="28"/>
          <w:highlight w:val="none"/>
          <w:lang w:val="en-US"/>
        </w:rPr>
        <w:t>附件</w:t>
      </w:r>
      <w:r>
        <w:rPr>
          <w:rStyle w:val="44"/>
          <w:rFonts w:hint="eastAsia" w:ascii="宋体" w:hAnsi="宋体" w:eastAsia="宋体" w:cs="宋体"/>
          <w:b/>
          <w:bCs/>
          <w:color w:val="auto"/>
          <w:sz w:val="28"/>
          <w:szCs w:val="28"/>
          <w:highlight w:val="none"/>
          <w:lang w:val="en-US"/>
        </w:rPr>
        <w:t>4</w:t>
      </w:r>
      <w:bookmarkEnd w:id="596"/>
    </w:p>
    <w:p>
      <w:pPr>
        <w:pStyle w:val="3"/>
        <w:jc w:val="center"/>
        <w:rPr>
          <w:rFonts w:hint="eastAsia" w:ascii="宋体" w:hAnsi="宋体" w:eastAsia="宋体" w:cs="宋体"/>
          <w:color w:val="auto"/>
          <w:kern w:val="0"/>
          <w:highlight w:val="none"/>
        </w:rPr>
      </w:pPr>
      <w:r>
        <w:rPr>
          <w:rFonts w:hint="eastAsia" w:ascii="宋体" w:hAnsi="宋体" w:eastAsia="宋体" w:cs="宋体"/>
          <w:color w:val="auto"/>
          <w:sz w:val="28"/>
          <w:szCs w:val="28"/>
          <w:highlight w:val="none"/>
        </w:rPr>
        <w:t>拟派本项目组人员配备情况</w:t>
      </w:r>
      <w:bookmarkEnd w:id="597"/>
      <w:bookmarkEnd w:id="598"/>
    </w:p>
    <w:tbl>
      <w:tblPr>
        <w:tblStyle w:val="19"/>
        <w:tblW w:w="46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51"/>
        <w:gridCol w:w="853"/>
        <w:gridCol w:w="799"/>
        <w:gridCol w:w="866"/>
        <w:gridCol w:w="1212"/>
        <w:gridCol w:w="152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627" w:type="pc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姓 名</w:t>
            </w:r>
          </w:p>
        </w:tc>
        <w:tc>
          <w:tcPr>
            <w:tcW w:w="509" w:type="pct"/>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性别</w:t>
            </w: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年龄</w:t>
            </w:r>
          </w:p>
        </w:tc>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leftChars="-36" w:hanging="75" w:hangingChars="36"/>
              <w:jc w:val="center"/>
              <w:rPr>
                <w:rFonts w:hint="eastAsia" w:ascii="宋体" w:hAnsi="宋体" w:eastAsia="宋体" w:cs="宋体"/>
                <w:color w:val="auto"/>
                <w:kern w:val="0"/>
                <w:sz w:val="24"/>
                <w:highlight w:val="none"/>
              </w:rPr>
            </w:pPr>
            <w:r>
              <w:rPr>
                <w:rFonts w:hint="eastAsia" w:ascii="宋体" w:hAnsi="宋体" w:eastAsia="宋体" w:cs="宋体"/>
                <w:color w:val="auto"/>
                <w:szCs w:val="21"/>
                <w:highlight w:val="none"/>
              </w:rPr>
              <w:t>学历</w:t>
            </w:r>
          </w:p>
        </w:tc>
        <w:tc>
          <w:tcPr>
            <w:tcW w:w="723" w:type="pc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拟任岗位</w:t>
            </w:r>
          </w:p>
        </w:tc>
        <w:tc>
          <w:tcPr>
            <w:tcW w:w="911" w:type="pc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身份证号码</w:t>
            </w:r>
          </w:p>
        </w:tc>
        <w:tc>
          <w:tcPr>
            <w:tcW w:w="716" w:type="pc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62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0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p>
            <w:pPr>
              <w:spacing w:line="440" w:lineRule="exact"/>
              <w:ind w:firstLine="592"/>
              <w:jc w:val="center"/>
              <w:rPr>
                <w:rFonts w:hint="eastAsia" w:ascii="宋体" w:hAnsi="宋体" w:eastAsia="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911"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16"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62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0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911"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16"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62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0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911"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16"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62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0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p>
            <w:pPr>
              <w:spacing w:line="440" w:lineRule="exact"/>
              <w:ind w:firstLine="592"/>
              <w:jc w:val="center"/>
              <w:rPr>
                <w:rFonts w:hint="eastAsia" w:ascii="宋体" w:hAnsi="宋体" w:eastAsia="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911"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16"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62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0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p>
            <w:pPr>
              <w:spacing w:line="440" w:lineRule="exact"/>
              <w:ind w:firstLine="592"/>
              <w:jc w:val="center"/>
              <w:rPr>
                <w:rFonts w:hint="eastAsia" w:ascii="宋体" w:hAnsi="宋体" w:eastAsia="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911"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16"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62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0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p>
            <w:pPr>
              <w:spacing w:line="440" w:lineRule="exact"/>
              <w:ind w:firstLine="592"/>
              <w:jc w:val="center"/>
              <w:rPr>
                <w:rFonts w:hint="eastAsia" w:ascii="宋体" w:hAnsi="宋体" w:eastAsia="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51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911"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c>
          <w:tcPr>
            <w:tcW w:w="716"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hint="eastAsia" w:ascii="宋体" w:hAnsi="宋体" w:eastAsia="宋体" w:cs="宋体"/>
                <w:color w:val="auto"/>
                <w:kern w:val="0"/>
                <w:sz w:val="24"/>
                <w:highlight w:val="none"/>
              </w:rPr>
            </w:pPr>
          </w:p>
        </w:tc>
      </w:tr>
    </w:tbl>
    <w:p>
      <w:pPr>
        <w:rPr>
          <w:rFonts w:hint="eastAsia" w:ascii="宋体" w:hAnsi="宋体" w:eastAsia="宋体" w:cs="宋体"/>
          <w:bCs/>
          <w:color w:val="auto"/>
          <w:kern w:val="0"/>
          <w:sz w:val="24"/>
          <w:highlight w:val="none"/>
        </w:rPr>
      </w:pPr>
    </w:p>
    <w:p>
      <w:pP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注：1.此表仅提供了表格形式，报价供应商可按此表格复制。</w:t>
      </w:r>
    </w:p>
    <w:p>
      <w:pPr>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lang w:val="en-US" w:eastAsia="zh-CN"/>
        </w:rPr>
        <w:t>2</w:t>
      </w:r>
      <w:r>
        <w:rPr>
          <w:rFonts w:hint="eastAsia" w:ascii="宋体" w:hAnsi="宋体" w:eastAsia="宋体" w:cs="宋体"/>
          <w:bCs/>
          <w:color w:val="auto"/>
          <w:kern w:val="0"/>
          <w:sz w:val="24"/>
          <w:highlight w:val="none"/>
        </w:rPr>
        <w:t>.须附身份证、职称证书、资格证书、学历证书、退伍军人证明、社保证明复印件，原件备查。</w:t>
      </w:r>
    </w:p>
    <w:p>
      <w:pPr>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lang w:val="en-US" w:eastAsia="zh-CN"/>
        </w:rPr>
        <w:t>3</w:t>
      </w:r>
      <w:r>
        <w:rPr>
          <w:rFonts w:hint="eastAsia" w:ascii="宋体" w:hAnsi="宋体" w:eastAsia="宋体" w:cs="宋体"/>
          <w:bCs/>
          <w:color w:val="auto"/>
          <w:kern w:val="0"/>
          <w:sz w:val="24"/>
          <w:highlight w:val="none"/>
        </w:rPr>
        <w:t xml:space="preserve">.不得随意更换项目实施人员，如不经采购人同意擅自更换，则采购人有权解除合同。 </w:t>
      </w:r>
    </w:p>
    <w:p>
      <w:pPr>
        <w:widowControl/>
        <w:jc w:val="left"/>
        <w:rPr>
          <w:rFonts w:hint="eastAsia" w:ascii="宋体" w:hAnsi="宋体" w:eastAsia="宋体" w:cs="宋体"/>
          <w:bCs/>
          <w:color w:val="auto"/>
          <w:kern w:val="0"/>
          <w:sz w:val="24"/>
          <w:highlight w:val="none"/>
        </w:rPr>
      </w:pPr>
    </w:p>
    <w:p>
      <w:pPr>
        <w:widowControl/>
        <w:jc w:val="left"/>
        <w:rPr>
          <w:rFonts w:hint="eastAsia" w:ascii="宋体" w:hAnsi="宋体" w:eastAsia="宋体" w:cs="宋体"/>
          <w:bCs/>
          <w:color w:val="auto"/>
          <w:kern w:val="0"/>
          <w:sz w:val="24"/>
          <w:highlight w:val="none"/>
        </w:rPr>
      </w:pPr>
    </w:p>
    <w:p>
      <w:pPr>
        <w:widowControl/>
        <w:jc w:val="left"/>
        <w:rPr>
          <w:rFonts w:hint="eastAsia" w:ascii="宋体" w:hAnsi="宋体" w:eastAsia="宋体" w:cs="宋体"/>
          <w:bCs/>
          <w:color w:val="auto"/>
          <w:kern w:val="0"/>
          <w:sz w:val="24"/>
          <w:highlight w:val="none"/>
        </w:rPr>
      </w:pPr>
    </w:p>
    <w:p>
      <w:pPr>
        <w:widowControl/>
        <w:jc w:val="left"/>
        <w:rPr>
          <w:rFonts w:hint="eastAsia" w:ascii="宋体" w:hAnsi="宋体" w:eastAsia="宋体" w:cs="宋体"/>
          <w:bCs/>
          <w:color w:val="auto"/>
          <w:kern w:val="0"/>
          <w:sz w:val="24"/>
          <w:highlight w:val="none"/>
        </w:rPr>
      </w:pPr>
    </w:p>
    <w:p>
      <w:pPr>
        <w:snapToGrid w:val="0"/>
        <w:spacing w:line="360" w:lineRule="auto"/>
        <w:ind w:firstLine="576"/>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napToGrid w:val="0"/>
        <w:spacing w:line="360" w:lineRule="auto"/>
        <w:jc w:val="both"/>
        <w:outlineLvl w:val="1"/>
        <w:rPr>
          <w:rFonts w:hint="eastAsia" w:ascii="宋体" w:hAnsi="宋体" w:eastAsia="宋体" w:cs="宋体"/>
          <w:b/>
          <w:color w:val="auto"/>
          <w:sz w:val="32"/>
          <w:szCs w:val="32"/>
          <w:highlight w:val="none"/>
          <w:lang w:val="en-US" w:eastAsia="zh-CN"/>
        </w:rPr>
      </w:pPr>
      <w:bookmarkStart w:id="599" w:name="_Toc4205"/>
      <w:bookmarkStart w:id="600" w:name="_Toc15335"/>
      <w:r>
        <w:rPr>
          <w:rFonts w:hint="eastAsia" w:ascii="宋体" w:hAnsi="宋体" w:eastAsia="宋体" w:cs="宋体"/>
          <w:b/>
          <w:color w:val="auto"/>
          <w:sz w:val="32"/>
          <w:szCs w:val="32"/>
          <w:highlight w:val="none"/>
        </w:rPr>
        <w:t>附件</w:t>
      </w:r>
      <w:r>
        <w:rPr>
          <w:rFonts w:hint="eastAsia" w:ascii="宋体" w:hAnsi="宋体" w:eastAsia="宋体" w:cs="宋体"/>
          <w:b/>
          <w:color w:val="auto"/>
          <w:sz w:val="32"/>
          <w:szCs w:val="32"/>
          <w:highlight w:val="none"/>
          <w:lang w:val="en-US" w:eastAsia="zh-CN"/>
        </w:rPr>
        <w:t>5</w:t>
      </w:r>
    </w:p>
    <w:p>
      <w:pPr>
        <w:snapToGrid w:val="0"/>
        <w:spacing w:line="360" w:lineRule="auto"/>
        <w:jc w:val="center"/>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劳动用工书面承诺</w:t>
      </w:r>
      <w:bookmarkEnd w:id="599"/>
      <w:bookmarkEnd w:id="600"/>
    </w:p>
    <w:p>
      <w:pPr>
        <w:snapToGrid w:val="0"/>
        <w:spacing w:line="360" w:lineRule="auto"/>
        <w:jc w:val="center"/>
        <w:rPr>
          <w:rFonts w:hint="eastAsia" w:ascii="宋体" w:hAnsi="宋体" w:eastAsia="宋体" w:cs="宋体"/>
          <w:color w:val="auto"/>
          <w:highlight w:val="none"/>
        </w:rPr>
      </w:pPr>
    </w:p>
    <w:p>
      <w:pPr>
        <w:snapToGrid w:val="0"/>
        <w:spacing w:line="360" w:lineRule="auto"/>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嘉兴市第一医院：</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如我公司在本次招投标中标后成为中标供应商，我公司将严格遵守《民法典》及《劳动合同法》的相关规定，按招标文件的要求及我公司投标文件配置服务人员，按国家规定为员工缴纳社会保险，员工的工资标准不低于嘉兴市最低工资标准，并将所有条款写入劳动用工合同。</w:t>
      </w:r>
    </w:p>
    <w:p>
      <w:pPr>
        <w:pStyle w:val="7"/>
        <w:rPr>
          <w:rFonts w:hint="eastAsia" w:ascii="宋体" w:hAnsi="宋体" w:eastAsia="宋体" w:cs="宋体"/>
          <w:color w:val="auto"/>
          <w:highlight w:val="none"/>
        </w:rPr>
      </w:pPr>
    </w:p>
    <w:p>
      <w:pPr>
        <w:snapToGrid w:val="0"/>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特此承诺。</w:t>
      </w:r>
    </w:p>
    <w:p>
      <w:pPr>
        <w:snapToGrid w:val="0"/>
        <w:spacing w:line="360" w:lineRule="auto"/>
        <w:ind w:left="630" w:leftChars="100" w:hanging="420" w:hangingChars="200"/>
        <w:jc w:val="center"/>
        <w:rPr>
          <w:rFonts w:hint="eastAsia" w:ascii="宋体" w:hAnsi="宋体" w:eastAsia="宋体" w:cs="宋体"/>
          <w:color w:val="auto"/>
          <w:highlight w:val="none"/>
        </w:rPr>
      </w:pPr>
    </w:p>
    <w:p>
      <w:pPr>
        <w:snapToGrid w:val="0"/>
        <w:spacing w:line="360" w:lineRule="auto"/>
        <w:ind w:left="630" w:leftChars="100" w:hanging="420" w:hangingChars="200"/>
        <w:jc w:val="center"/>
        <w:rPr>
          <w:rFonts w:hint="eastAsia" w:ascii="宋体" w:hAnsi="宋体" w:eastAsia="宋体" w:cs="宋体"/>
          <w:color w:val="auto"/>
          <w:highlight w:val="none"/>
        </w:rPr>
      </w:pPr>
    </w:p>
    <w:p>
      <w:pPr>
        <w:pStyle w:val="7"/>
        <w:rPr>
          <w:rFonts w:hint="eastAsia" w:ascii="宋体" w:hAnsi="宋体" w:eastAsia="宋体" w:cs="宋体"/>
          <w:color w:val="auto"/>
          <w:highlight w:val="none"/>
        </w:rPr>
      </w:pP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月日</w:t>
      </w:r>
    </w:p>
    <w:p>
      <w:pPr>
        <w:snapToGrid w:val="0"/>
        <w:spacing w:line="360" w:lineRule="auto"/>
        <w:ind w:left="630" w:leftChars="100" w:hanging="420" w:hangingChars="200"/>
        <w:jc w:val="center"/>
        <w:rPr>
          <w:rFonts w:hint="eastAsia" w:ascii="宋体" w:hAnsi="宋体" w:eastAsia="宋体" w:cs="宋体"/>
          <w:color w:val="auto"/>
          <w:highlight w:val="none"/>
        </w:rPr>
      </w:pPr>
    </w:p>
    <w:p>
      <w:pPr>
        <w:pStyle w:val="36"/>
        <w:keepNext w:val="0"/>
        <w:pageBreakBefore w:val="0"/>
        <w:tabs>
          <w:tab w:val="clear" w:pos="720"/>
        </w:tabs>
        <w:snapToGrid w:val="0"/>
        <w:spacing w:before="120" w:after="120"/>
        <w:ind w:firstLine="643"/>
        <w:outlineLvl w:val="9"/>
        <w:rPr>
          <w:rFonts w:hint="eastAsia" w:ascii="宋体" w:hAnsi="宋体" w:eastAsia="宋体" w:cs="宋体"/>
          <w:color w:val="auto"/>
          <w:kern w:val="2"/>
          <w:sz w:val="24"/>
          <w:szCs w:val="24"/>
          <w:highlight w:val="none"/>
        </w:rPr>
      </w:pPr>
    </w:p>
    <w:p>
      <w:pPr>
        <w:pStyle w:val="3"/>
        <w:keepNext/>
        <w:keepLines/>
        <w:pageBreakBefore w:val="0"/>
        <w:widowControl w:val="0"/>
        <w:kinsoku/>
        <w:wordWrap/>
        <w:overflowPunct/>
        <w:topLinePunct w:val="0"/>
        <w:autoSpaceDE/>
        <w:autoSpaceDN/>
        <w:bidi w:val="0"/>
        <w:adjustRightInd/>
        <w:snapToGrid/>
        <w:spacing w:line="240" w:lineRule="auto"/>
        <w:ind w:left="431" w:hanging="431"/>
        <w:jc w:val="both"/>
        <w:textAlignment w:val="auto"/>
        <w:rPr>
          <w:rFonts w:hint="eastAsia" w:ascii="宋体" w:hAnsi="宋体" w:eastAsia="宋体" w:cs="宋体"/>
          <w:color w:val="auto"/>
          <w:sz w:val="28"/>
          <w:szCs w:val="28"/>
          <w:highlight w:val="none"/>
          <w:lang w:eastAsia="zh-CN"/>
        </w:rPr>
      </w:pPr>
      <w:bookmarkStart w:id="601" w:name="_Toc7717"/>
      <w:r>
        <w:rPr>
          <w:rFonts w:hint="eastAsia" w:ascii="宋体" w:hAnsi="宋体" w:eastAsia="宋体" w:cs="宋体"/>
          <w:b/>
          <w:color w:val="auto"/>
          <w:kern w:val="0"/>
          <w:sz w:val="24"/>
          <w:highlight w:val="none"/>
        </w:rPr>
        <w:br w:type="page"/>
      </w:r>
      <w:bookmarkStart w:id="602" w:name="_Toc14062"/>
      <w:bookmarkStart w:id="603" w:name="_Toc18386"/>
      <w:r>
        <w:rPr>
          <w:rFonts w:hint="eastAsia" w:ascii="宋体" w:hAnsi="宋体" w:eastAsia="宋体" w:cs="宋体"/>
          <w:color w:val="auto"/>
          <w:sz w:val="28"/>
          <w:szCs w:val="28"/>
          <w:highlight w:val="none"/>
          <w:lang w:val="en-US"/>
        </w:rPr>
        <w:t>附件</w:t>
      </w:r>
      <w:r>
        <w:rPr>
          <w:rFonts w:hint="eastAsia" w:ascii="宋体" w:hAnsi="宋体" w:eastAsia="宋体" w:cs="宋体"/>
          <w:color w:val="auto"/>
          <w:sz w:val="28"/>
          <w:szCs w:val="28"/>
          <w:highlight w:val="none"/>
          <w:lang w:val="en-US" w:eastAsia="zh-CN"/>
        </w:rPr>
        <w:t>6</w:t>
      </w:r>
    </w:p>
    <w:p>
      <w:pPr>
        <w:pStyle w:val="3"/>
        <w:keepNext/>
        <w:keepLines/>
        <w:pageBreakBefore w:val="0"/>
        <w:widowControl w:val="0"/>
        <w:kinsoku/>
        <w:wordWrap/>
        <w:overflowPunct/>
        <w:topLinePunct w:val="0"/>
        <w:autoSpaceDE/>
        <w:autoSpaceDN/>
        <w:bidi w:val="0"/>
        <w:adjustRightInd/>
        <w:snapToGrid/>
        <w:spacing w:line="240" w:lineRule="auto"/>
        <w:ind w:left="431" w:hanging="431"/>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拟投入设备及工具一览表</w:t>
      </w:r>
      <w:bookmarkEnd w:id="602"/>
      <w:bookmarkEnd w:id="603"/>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186"/>
        <w:gridCol w:w="962"/>
        <w:gridCol w:w="1129"/>
        <w:gridCol w:w="685"/>
        <w:gridCol w:w="815"/>
        <w:gridCol w:w="1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760" w:type="dxa"/>
            <w:tcBorders>
              <w:top w:val="single" w:color="auto" w:sz="12" w:space="0"/>
              <w:left w:val="single" w:color="auto" w:sz="12" w:space="0"/>
              <w:bottom w:val="single" w:color="auto" w:sz="12" w:space="0"/>
              <w:right w:val="single" w:color="auto" w:sz="4" w:space="0"/>
            </w:tcBorders>
            <w:noWrap/>
            <w:vAlign w:val="center"/>
          </w:tcPr>
          <w:p>
            <w:pPr>
              <w:ind w:left="-40" w:leftChars="-19" w:right="-38" w:rightChars="-18"/>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186" w:type="dxa"/>
            <w:tcBorders>
              <w:top w:val="single" w:color="auto" w:sz="12" w:space="0"/>
              <w:left w:val="single" w:color="auto" w:sz="4" w:space="0"/>
              <w:bottom w:val="single" w:color="auto" w:sz="12" w:space="0"/>
              <w:right w:val="single" w:color="auto" w:sz="4" w:space="0"/>
            </w:tcBorders>
            <w:noWrap/>
            <w:vAlign w:val="center"/>
          </w:tcPr>
          <w:p>
            <w:pPr>
              <w:ind w:left="-40" w:leftChars="-19" w:right="-38" w:rightChars="-18"/>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设备/工具名称</w:t>
            </w:r>
          </w:p>
        </w:tc>
        <w:tc>
          <w:tcPr>
            <w:tcW w:w="962" w:type="dxa"/>
            <w:tcBorders>
              <w:top w:val="single" w:color="auto" w:sz="12" w:space="0"/>
              <w:left w:val="single" w:color="auto" w:sz="4" w:space="0"/>
              <w:bottom w:val="single" w:color="auto" w:sz="12" w:space="0"/>
              <w:right w:val="single" w:color="auto" w:sz="4" w:space="0"/>
            </w:tcBorders>
            <w:noWrap/>
            <w:vAlign w:val="center"/>
          </w:tcPr>
          <w:p>
            <w:pPr>
              <w:ind w:left="-40" w:leftChars="-19" w:right="-38" w:rightChars="-18"/>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型号规格</w:t>
            </w:r>
          </w:p>
        </w:tc>
        <w:tc>
          <w:tcPr>
            <w:tcW w:w="1129" w:type="dxa"/>
            <w:tcBorders>
              <w:top w:val="single" w:color="auto" w:sz="12" w:space="0"/>
              <w:left w:val="single" w:color="auto" w:sz="4" w:space="0"/>
              <w:bottom w:val="single" w:color="auto" w:sz="12" w:space="0"/>
              <w:right w:val="single" w:color="auto" w:sz="4" w:space="0"/>
            </w:tcBorders>
            <w:noWrap/>
            <w:vAlign w:val="center"/>
          </w:tcPr>
          <w:p>
            <w:pPr>
              <w:ind w:left="-40" w:leftChars="-19" w:right="-38" w:rightChars="-18"/>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品牌/产地</w:t>
            </w:r>
          </w:p>
        </w:tc>
        <w:tc>
          <w:tcPr>
            <w:tcW w:w="685" w:type="dxa"/>
            <w:tcBorders>
              <w:top w:val="single" w:color="auto" w:sz="12" w:space="0"/>
              <w:left w:val="single" w:color="auto" w:sz="4" w:space="0"/>
              <w:bottom w:val="single" w:color="auto" w:sz="12" w:space="0"/>
              <w:right w:val="single" w:color="auto" w:sz="4" w:space="0"/>
            </w:tcBorders>
            <w:noWrap/>
            <w:vAlign w:val="center"/>
          </w:tcPr>
          <w:p>
            <w:pPr>
              <w:ind w:left="-40" w:leftChars="-19" w:right="-38" w:rightChars="-18"/>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815" w:type="dxa"/>
            <w:tcBorders>
              <w:top w:val="single" w:color="auto" w:sz="12" w:space="0"/>
              <w:left w:val="single" w:color="auto" w:sz="4" w:space="0"/>
              <w:bottom w:val="single" w:color="auto" w:sz="12" w:space="0"/>
              <w:right w:val="single" w:color="auto" w:sz="4" w:space="0"/>
            </w:tcBorders>
            <w:noWrap/>
            <w:vAlign w:val="center"/>
          </w:tcPr>
          <w:p>
            <w:pPr>
              <w:ind w:left="-40" w:leftChars="-19" w:right="-38" w:rightChars="-18"/>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1981" w:type="dxa"/>
            <w:tcBorders>
              <w:top w:val="single" w:color="auto" w:sz="12" w:space="0"/>
              <w:left w:val="single" w:color="auto" w:sz="4" w:space="0"/>
              <w:bottom w:val="single" w:color="auto" w:sz="12" w:space="0"/>
              <w:right w:val="single" w:color="auto" w:sz="12" w:space="0"/>
            </w:tcBorders>
            <w:noWrap/>
            <w:vAlign w:val="center"/>
          </w:tcPr>
          <w:p>
            <w:pPr>
              <w:ind w:left="-40" w:leftChars="-19" w:right="-38" w:rightChars="-18"/>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12"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w:t>
            </w:r>
          </w:p>
        </w:tc>
        <w:tc>
          <w:tcPr>
            <w:tcW w:w="2186" w:type="dxa"/>
            <w:tcBorders>
              <w:top w:val="single" w:color="auto" w:sz="12"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钢盔</w:t>
            </w:r>
          </w:p>
        </w:tc>
        <w:tc>
          <w:tcPr>
            <w:tcW w:w="962" w:type="dxa"/>
            <w:tcBorders>
              <w:top w:val="single" w:color="auto" w:sz="12"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12"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12"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顶</w:t>
            </w:r>
          </w:p>
        </w:tc>
        <w:tc>
          <w:tcPr>
            <w:tcW w:w="815" w:type="dxa"/>
            <w:tcBorders>
              <w:top w:val="single" w:color="auto" w:sz="12"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12"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警绳</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根</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3</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伸缩警棍</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套</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4</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多功能分体式雨衣</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套</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5</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雨鞋</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双</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6</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小雨伞</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把</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7</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武装带</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条</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8</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防刺服</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套</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9</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辣椒水喷射器</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只</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10</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防割手套</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套</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11</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数字对讲机</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台</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12</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强光电筒</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40" w:leftChars="-19" w:right="-38" w:rightChars="-18"/>
              <w:jc w:val="center"/>
              <w:rPr>
                <w:rFonts w:hint="eastAsia" w:ascii="宋体" w:hAnsi="宋体" w:eastAsia="宋体" w:cs="宋体"/>
                <w:color w:val="auto"/>
                <w:kern w:val="0"/>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支</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13</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钝角钢叉</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副</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14</w:t>
            </w:r>
          </w:p>
        </w:tc>
        <w:tc>
          <w:tcPr>
            <w:tcW w:w="21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其他</w:t>
            </w:r>
          </w:p>
        </w:tc>
        <w:tc>
          <w:tcPr>
            <w:tcW w:w="962"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4" w:space="0"/>
              <w:left w:val="single" w:color="auto" w:sz="4" w:space="0"/>
              <w:bottom w:val="single" w:color="auto" w:sz="4" w:space="0"/>
              <w:right w:val="single" w:color="auto" w:sz="12" w:space="0"/>
            </w:tcBorders>
            <w:noWrap/>
            <w:vAlign w:val="center"/>
          </w:tcPr>
          <w:p>
            <w:pPr>
              <w:ind w:right="-38" w:rightChars="-18"/>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投标人根据实际工作需要提出配置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60" w:type="dxa"/>
            <w:tcBorders>
              <w:top w:val="single" w:color="auto" w:sz="4" w:space="0"/>
              <w:left w:val="single" w:color="auto" w:sz="12" w:space="0"/>
              <w:bottom w:val="single" w:color="auto" w:sz="12"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2186" w:type="dxa"/>
            <w:tcBorders>
              <w:top w:val="single" w:color="auto" w:sz="4" w:space="0"/>
              <w:left w:val="single" w:color="auto" w:sz="4" w:space="0"/>
              <w:bottom w:val="single" w:color="auto" w:sz="12"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962" w:type="dxa"/>
            <w:tcBorders>
              <w:top w:val="single" w:color="auto" w:sz="4" w:space="0"/>
              <w:left w:val="single" w:color="auto" w:sz="4" w:space="0"/>
              <w:bottom w:val="single" w:color="auto" w:sz="12"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1129" w:type="dxa"/>
            <w:tcBorders>
              <w:top w:val="single" w:color="auto" w:sz="4" w:space="0"/>
              <w:left w:val="single" w:color="auto" w:sz="4" w:space="0"/>
              <w:bottom w:val="single" w:color="auto" w:sz="12" w:space="0"/>
              <w:right w:val="single" w:color="auto" w:sz="4" w:space="0"/>
            </w:tcBorders>
            <w:noWrap/>
            <w:vAlign w:val="center"/>
          </w:tcPr>
          <w:p>
            <w:pPr>
              <w:ind w:left="-40" w:leftChars="-19" w:right="-38" w:rightChars="-18" w:firstLine="592"/>
              <w:jc w:val="center"/>
              <w:rPr>
                <w:rFonts w:hint="eastAsia" w:ascii="宋体" w:hAnsi="宋体" w:eastAsia="宋体" w:cs="宋体"/>
                <w:color w:val="auto"/>
                <w:sz w:val="24"/>
                <w:highlight w:val="none"/>
              </w:rPr>
            </w:pPr>
          </w:p>
        </w:tc>
        <w:tc>
          <w:tcPr>
            <w:tcW w:w="685" w:type="dxa"/>
            <w:tcBorders>
              <w:top w:val="single" w:color="auto" w:sz="4" w:space="0"/>
              <w:left w:val="single" w:color="auto" w:sz="4" w:space="0"/>
              <w:bottom w:val="single" w:color="auto" w:sz="12"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815" w:type="dxa"/>
            <w:tcBorders>
              <w:top w:val="single" w:color="auto" w:sz="4" w:space="0"/>
              <w:left w:val="single" w:color="auto" w:sz="4" w:space="0"/>
              <w:bottom w:val="single" w:color="auto" w:sz="12"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4"/>
                <w:highlight w:val="none"/>
              </w:rPr>
            </w:pPr>
          </w:p>
        </w:tc>
        <w:tc>
          <w:tcPr>
            <w:tcW w:w="1981" w:type="dxa"/>
            <w:tcBorders>
              <w:top w:val="single" w:color="auto" w:sz="4" w:space="0"/>
              <w:left w:val="single" w:color="auto" w:sz="4" w:space="0"/>
              <w:bottom w:val="single" w:color="auto" w:sz="12" w:space="0"/>
              <w:right w:val="single" w:color="auto" w:sz="12" w:space="0"/>
            </w:tcBorders>
            <w:noWrap/>
            <w:vAlign w:val="center"/>
          </w:tcPr>
          <w:p>
            <w:pPr>
              <w:ind w:right="-38" w:rightChars="-18"/>
              <w:rPr>
                <w:rFonts w:hint="eastAsia" w:ascii="宋体" w:hAnsi="宋体" w:eastAsia="宋体" w:cs="宋体"/>
                <w:color w:val="auto"/>
                <w:kern w:val="0"/>
                <w:sz w:val="24"/>
                <w:highlight w:val="none"/>
              </w:rPr>
            </w:pPr>
          </w:p>
        </w:tc>
      </w:tr>
    </w:tbl>
    <w:p>
      <w:pPr>
        <w:ind w:firstLine="592"/>
        <w:rPr>
          <w:rFonts w:hint="eastAsia" w:ascii="宋体" w:hAnsi="宋体" w:eastAsia="宋体" w:cs="宋体"/>
          <w:color w:val="auto"/>
          <w:highlight w:val="none"/>
        </w:rPr>
      </w:pPr>
    </w:p>
    <w:p>
      <w:pPr>
        <w:pStyle w:val="5"/>
        <w:spacing w:line="360" w:lineRule="auto"/>
        <w:ind w:firstLine="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p>
      <w:pPr>
        <w:pStyle w:val="5"/>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1.本表所列为投标人拟投入本项目的秩序维护执勤器材设备工具、耗材配置和管理情况。</w:t>
      </w:r>
    </w:p>
    <w:p>
      <w:pPr>
        <w:pStyle w:val="5"/>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2.此表仅提供了表格形式，投标人应根据需要准备足够数量的表格来填写。</w:t>
      </w:r>
    </w:p>
    <w:p>
      <w:pPr>
        <w:snapToGrid w:val="0"/>
        <w:spacing w:line="360" w:lineRule="auto"/>
        <w:rPr>
          <w:rFonts w:hint="eastAsia" w:ascii="宋体" w:hAnsi="宋体" w:eastAsia="宋体" w:cs="宋体"/>
          <w:color w:val="auto"/>
          <w:kern w:val="0"/>
          <w:sz w:val="24"/>
          <w:highlight w:val="none"/>
          <w:lang w:val="zh-CN"/>
        </w:rPr>
      </w:pP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月日</w:t>
      </w:r>
    </w:p>
    <w:p>
      <w:pPr>
        <w:rPr>
          <w:rFonts w:hint="eastAsia" w:ascii="宋体" w:hAnsi="宋体" w:eastAsia="宋体" w:cs="宋体"/>
          <w:b/>
          <w:color w:val="auto"/>
          <w:kern w:val="0"/>
          <w:sz w:val="24"/>
          <w:highlight w:val="none"/>
        </w:rPr>
      </w:pPr>
    </w:p>
    <w:p>
      <w:pPr>
        <w:jc w:val="center"/>
        <w:outlineLvl w:val="1"/>
        <w:rPr>
          <w:rFonts w:hint="eastAsia" w:ascii="宋体" w:hAnsi="宋体" w:eastAsia="宋体" w:cs="宋体"/>
          <w:b/>
          <w:color w:val="auto"/>
          <w:kern w:val="0"/>
          <w:sz w:val="28"/>
          <w:szCs w:val="28"/>
          <w:highlight w:val="none"/>
        </w:rPr>
      </w:pPr>
      <w:bookmarkStart w:id="604" w:name="_Toc9005"/>
      <w:bookmarkStart w:id="605" w:name="_Toc27149"/>
      <w:r>
        <w:rPr>
          <w:rFonts w:hint="eastAsia" w:ascii="宋体" w:hAnsi="宋体" w:eastAsia="宋体" w:cs="宋体"/>
          <w:b/>
          <w:color w:val="auto"/>
          <w:kern w:val="0"/>
          <w:sz w:val="28"/>
          <w:szCs w:val="28"/>
          <w:highlight w:val="none"/>
        </w:rPr>
        <w:t>五、商务技术偏离表</w:t>
      </w:r>
      <w:bookmarkEnd w:id="604"/>
      <w:bookmarkEnd w:id="605"/>
    </w:p>
    <w:tbl>
      <w:tblPr>
        <w:tblStyle w:val="20"/>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081"/>
        <w:gridCol w:w="30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081"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085"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081" w:type="dxa"/>
            <w:vAlign w:val="top"/>
          </w:tcPr>
          <w:p>
            <w:pPr>
              <w:jc w:val="center"/>
              <w:rPr>
                <w:rFonts w:hint="eastAsia" w:ascii="宋体" w:hAnsi="宋体" w:eastAsia="宋体" w:cs="宋体"/>
                <w:b/>
                <w:color w:val="auto"/>
                <w:kern w:val="0"/>
                <w:sz w:val="24"/>
                <w:highlight w:val="none"/>
              </w:rPr>
            </w:pPr>
          </w:p>
        </w:tc>
        <w:tc>
          <w:tcPr>
            <w:tcW w:w="3085" w:type="dxa"/>
            <w:vAlign w:val="top"/>
          </w:tcPr>
          <w:p>
            <w:pPr>
              <w:jc w:val="center"/>
              <w:rPr>
                <w:rFonts w:hint="eastAsia" w:ascii="宋体" w:hAnsi="宋体" w:eastAsia="宋体" w:cs="宋体"/>
                <w:b/>
                <w:color w:val="auto"/>
                <w:kern w:val="0"/>
                <w:sz w:val="24"/>
                <w:highlight w:val="none"/>
              </w:rPr>
            </w:pPr>
          </w:p>
        </w:tc>
        <w:tc>
          <w:tcPr>
            <w:tcW w:w="1276" w:type="dxa"/>
            <w:vAlign w:val="top"/>
          </w:tcPr>
          <w:p>
            <w:pPr>
              <w:jc w:val="center"/>
              <w:rPr>
                <w:rFonts w:hint="eastAsia" w:ascii="宋体" w:hAnsi="宋体" w:eastAsia="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081" w:type="dxa"/>
            <w:vAlign w:val="top"/>
          </w:tcPr>
          <w:p>
            <w:pPr>
              <w:jc w:val="center"/>
              <w:rPr>
                <w:rFonts w:hint="eastAsia" w:ascii="宋体" w:hAnsi="宋体" w:eastAsia="宋体" w:cs="宋体"/>
                <w:b/>
                <w:color w:val="auto"/>
                <w:kern w:val="0"/>
                <w:sz w:val="24"/>
                <w:highlight w:val="none"/>
              </w:rPr>
            </w:pPr>
          </w:p>
        </w:tc>
        <w:tc>
          <w:tcPr>
            <w:tcW w:w="3085" w:type="dxa"/>
            <w:vAlign w:val="top"/>
          </w:tcPr>
          <w:p>
            <w:pPr>
              <w:jc w:val="center"/>
              <w:rPr>
                <w:rFonts w:hint="eastAsia" w:ascii="宋体" w:hAnsi="宋体" w:eastAsia="宋体" w:cs="宋体"/>
                <w:b/>
                <w:color w:val="auto"/>
                <w:kern w:val="0"/>
                <w:sz w:val="24"/>
                <w:highlight w:val="none"/>
              </w:rPr>
            </w:pPr>
          </w:p>
        </w:tc>
        <w:tc>
          <w:tcPr>
            <w:tcW w:w="1276" w:type="dxa"/>
            <w:vAlign w:val="top"/>
          </w:tcPr>
          <w:p>
            <w:pPr>
              <w:jc w:val="center"/>
              <w:rPr>
                <w:rFonts w:hint="eastAsia" w:ascii="宋体" w:hAnsi="宋体" w:eastAsia="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3081" w:type="dxa"/>
            <w:vAlign w:val="top"/>
          </w:tcPr>
          <w:p>
            <w:pPr>
              <w:jc w:val="center"/>
              <w:rPr>
                <w:rFonts w:hint="eastAsia" w:ascii="宋体" w:hAnsi="宋体" w:eastAsia="宋体" w:cs="宋体"/>
                <w:b/>
                <w:color w:val="auto"/>
                <w:kern w:val="0"/>
                <w:sz w:val="24"/>
                <w:highlight w:val="none"/>
              </w:rPr>
            </w:pPr>
          </w:p>
        </w:tc>
        <w:tc>
          <w:tcPr>
            <w:tcW w:w="3085" w:type="dxa"/>
            <w:vAlign w:val="top"/>
          </w:tcPr>
          <w:p>
            <w:pPr>
              <w:jc w:val="center"/>
              <w:rPr>
                <w:rFonts w:hint="eastAsia" w:ascii="宋体" w:hAnsi="宋体" w:eastAsia="宋体" w:cs="宋体"/>
                <w:b/>
                <w:color w:val="auto"/>
                <w:kern w:val="0"/>
                <w:sz w:val="24"/>
                <w:highlight w:val="none"/>
              </w:rPr>
            </w:pPr>
          </w:p>
        </w:tc>
        <w:tc>
          <w:tcPr>
            <w:tcW w:w="1276" w:type="dxa"/>
            <w:vAlign w:val="top"/>
          </w:tcPr>
          <w:p>
            <w:pPr>
              <w:jc w:val="center"/>
              <w:rPr>
                <w:rFonts w:hint="eastAsia" w:ascii="宋体" w:hAnsi="宋体" w:eastAsia="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081" w:type="dxa"/>
            <w:vAlign w:val="top"/>
          </w:tcPr>
          <w:p>
            <w:pPr>
              <w:jc w:val="center"/>
              <w:rPr>
                <w:rFonts w:hint="eastAsia" w:ascii="宋体" w:hAnsi="宋体" w:eastAsia="宋体" w:cs="宋体"/>
                <w:b/>
                <w:color w:val="auto"/>
                <w:kern w:val="0"/>
                <w:sz w:val="24"/>
                <w:highlight w:val="none"/>
              </w:rPr>
            </w:pPr>
          </w:p>
        </w:tc>
        <w:tc>
          <w:tcPr>
            <w:tcW w:w="3085" w:type="dxa"/>
            <w:vAlign w:val="top"/>
          </w:tcPr>
          <w:p>
            <w:pPr>
              <w:jc w:val="center"/>
              <w:rPr>
                <w:rFonts w:hint="eastAsia" w:ascii="宋体" w:hAnsi="宋体" w:eastAsia="宋体" w:cs="宋体"/>
                <w:b/>
                <w:color w:val="auto"/>
                <w:kern w:val="0"/>
                <w:sz w:val="24"/>
                <w:highlight w:val="none"/>
              </w:rPr>
            </w:pPr>
          </w:p>
        </w:tc>
        <w:tc>
          <w:tcPr>
            <w:tcW w:w="1276" w:type="dxa"/>
            <w:vAlign w:val="top"/>
          </w:tcPr>
          <w:p>
            <w:pPr>
              <w:jc w:val="center"/>
              <w:rPr>
                <w:rFonts w:hint="eastAsia" w:ascii="宋体" w:hAnsi="宋体" w:eastAsia="宋体" w:cs="宋体"/>
                <w:b/>
                <w:color w:val="auto"/>
                <w:kern w:val="0"/>
                <w:sz w:val="24"/>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570" w:firstLineChars="800"/>
        <w:outlineLvl w:val="1"/>
        <w:rPr>
          <w:rStyle w:val="44"/>
          <w:rFonts w:hint="eastAsia" w:ascii="宋体" w:hAnsi="宋体" w:eastAsia="宋体" w:cs="宋体"/>
          <w:color w:val="auto"/>
          <w:sz w:val="28"/>
          <w:szCs w:val="28"/>
          <w:highlight w:val="none"/>
        </w:rPr>
      </w:pPr>
      <w:bookmarkStart w:id="606" w:name="_Toc0"/>
      <w:bookmarkStart w:id="607" w:name="_Toc17396"/>
      <w:bookmarkStart w:id="608" w:name="_Toc11258"/>
      <w:bookmarkStart w:id="609" w:name="_Toc25382"/>
      <w:bookmarkStart w:id="610" w:name="_Toc1884"/>
      <w:r>
        <w:rPr>
          <w:rFonts w:hint="eastAsia" w:ascii="宋体" w:hAnsi="宋体" w:eastAsia="宋体" w:cs="宋体"/>
          <w:b/>
          <w:color w:val="auto"/>
          <w:kern w:val="0"/>
          <w:sz w:val="32"/>
          <w:szCs w:val="32"/>
          <w:highlight w:val="none"/>
          <w:lang w:val="en-US" w:eastAsia="zh-CN"/>
        </w:rPr>
        <w:t>六、</w:t>
      </w:r>
      <w:r>
        <w:rPr>
          <w:rStyle w:val="44"/>
          <w:rFonts w:hint="eastAsia" w:ascii="宋体" w:hAnsi="宋体" w:eastAsia="宋体" w:cs="宋体"/>
          <w:color w:val="auto"/>
          <w:sz w:val="28"/>
          <w:szCs w:val="28"/>
          <w:highlight w:val="none"/>
        </w:rPr>
        <w:t>招标代理费支付承诺书</w:t>
      </w:r>
      <w:bookmarkEnd w:id="606"/>
      <w:bookmarkEnd w:id="607"/>
      <w:bookmarkEnd w:id="608"/>
    </w:p>
    <w:p>
      <w:pPr>
        <w:spacing w:line="420" w:lineRule="exact"/>
        <w:jc w:val="center"/>
        <w:rPr>
          <w:rFonts w:hint="eastAsia" w:ascii="宋体" w:hAnsi="宋体" w:eastAsia="宋体" w:cs="宋体"/>
          <w:b/>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致：杭州中浙招标有限公司</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如我单位在贵方组织的</w:t>
      </w:r>
      <w:r>
        <w:rPr>
          <w:rFonts w:hint="eastAsia" w:ascii="宋体" w:hAnsi="宋体" w:eastAsia="宋体" w:cs="宋体"/>
          <w:color w:val="auto"/>
          <w:sz w:val="24"/>
          <w:highlight w:val="none"/>
          <w:u w:val="single"/>
        </w:rPr>
        <w:t xml:space="preserve">                   项目</w:t>
      </w:r>
      <w:r>
        <w:rPr>
          <w:rFonts w:hint="eastAsia" w:ascii="宋体" w:hAnsi="宋体" w:eastAsia="宋体" w:cs="宋体"/>
          <w:color w:val="auto"/>
          <w:sz w:val="24"/>
          <w:highlight w:val="none"/>
        </w:rPr>
        <w:t>招标中（</w:t>
      </w:r>
      <w:r>
        <w:rPr>
          <w:rFonts w:hint="eastAsia" w:ascii="宋体" w:hAnsi="宋体" w:eastAsia="宋体" w:cs="宋体"/>
          <w:color w:val="auto"/>
          <w:sz w:val="24"/>
          <w:highlight w:val="none"/>
          <w:u w:val="single"/>
        </w:rPr>
        <w:t xml:space="preserve">编号：      </w:t>
      </w:r>
      <w:r>
        <w:rPr>
          <w:rFonts w:hint="eastAsia" w:ascii="宋体" w:hAnsi="宋体" w:eastAsia="宋体" w:cs="宋体"/>
          <w:color w:val="auto"/>
          <w:sz w:val="24"/>
          <w:highlight w:val="none"/>
        </w:rPr>
        <w:t>）中标。我方承诺按投标文件的规定，在领取中标通知书的同时，以网银或电汇形式向贵方支付招标代理服务费。其金额按投标文件约定计算。</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我方如违约，愿凭贵方开出的违约通知，按上述承诺金额的200％在采购人支付给成交人的合同款中扣缴。</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特此承诺！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承诺方法定名称：＿＿＿＿＿＿＿＿＿＿</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邮编：＿＿＿＿＿＿＿＿＿＿</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电话：＿＿＿＿＿＿＿＿＿＿</w:t>
      </w:r>
    </w:p>
    <w:p>
      <w:pPr>
        <w:pStyle w:val="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传真：＿＿＿＿＿＿＿＿＿＿</w:t>
      </w:r>
    </w:p>
    <w:p>
      <w:pPr>
        <w:pStyle w:val="24"/>
        <w:rPr>
          <w:rFonts w:hint="eastAsia" w:ascii="宋体" w:hAnsi="宋体" w:eastAsia="宋体" w:cs="宋体"/>
          <w:color w:val="auto"/>
          <w:sz w:val="24"/>
          <w:szCs w:val="24"/>
          <w:highlight w:val="none"/>
        </w:rPr>
      </w:pPr>
    </w:p>
    <w:p>
      <w:pPr>
        <w:pStyle w:val="24"/>
        <w:rPr>
          <w:rFonts w:hint="eastAsia" w:ascii="宋体" w:hAnsi="宋体" w:eastAsia="宋体" w:cs="宋体"/>
          <w:color w:val="auto"/>
          <w:sz w:val="24"/>
          <w:szCs w:val="24"/>
          <w:highlight w:val="none"/>
        </w:rPr>
      </w:pPr>
    </w:p>
    <w:p>
      <w:pPr>
        <w:autoSpaceDE w:val="0"/>
        <w:autoSpaceDN w:val="0"/>
        <w:snapToGrid w:val="0"/>
        <w:spacing w:line="312" w:lineRule="auto"/>
        <w:outlineLvl w:val="0"/>
        <w:rPr>
          <w:rFonts w:hint="eastAsia" w:ascii="宋体" w:hAnsi="宋体" w:eastAsia="宋体" w:cs="宋体"/>
          <w:b/>
          <w:bCs/>
          <w:color w:val="auto"/>
          <w:sz w:val="24"/>
          <w:highlight w:val="none"/>
        </w:rPr>
      </w:pPr>
      <w:bookmarkStart w:id="611" w:name="_Toc23267"/>
      <w:bookmarkStart w:id="612" w:name="_Toc20372"/>
      <w:bookmarkStart w:id="613" w:name="_Toc2239"/>
      <w:r>
        <w:rPr>
          <w:rFonts w:hint="eastAsia" w:ascii="宋体" w:hAnsi="宋体" w:eastAsia="宋体" w:cs="宋体"/>
          <w:b/>
          <w:bCs/>
          <w:color w:val="auto"/>
          <w:sz w:val="24"/>
          <w:highlight w:val="none"/>
        </w:rPr>
        <w:t>附：账户信息</w:t>
      </w:r>
      <w:bookmarkEnd w:id="611"/>
      <w:bookmarkEnd w:id="612"/>
      <w:bookmarkEnd w:id="613"/>
    </w:p>
    <w:p>
      <w:pPr>
        <w:autoSpaceDE w:val="0"/>
        <w:autoSpaceDN w:val="0"/>
        <w:snapToGrid w:val="0"/>
        <w:spacing w:line="312" w:lineRule="auto"/>
        <w:outlineLvl w:val="0"/>
        <w:rPr>
          <w:rFonts w:hint="eastAsia" w:ascii="宋体" w:hAnsi="宋体" w:eastAsia="宋体" w:cs="宋体"/>
          <w:b/>
          <w:bCs/>
          <w:color w:val="auto"/>
          <w:sz w:val="24"/>
          <w:highlight w:val="none"/>
        </w:rPr>
      </w:pPr>
      <w:bookmarkStart w:id="614" w:name="_Toc23297"/>
      <w:bookmarkStart w:id="615" w:name="_Toc31765"/>
      <w:bookmarkStart w:id="616" w:name="_Toc10417"/>
      <w:r>
        <w:rPr>
          <w:rFonts w:hint="eastAsia" w:ascii="宋体" w:hAnsi="宋体" w:eastAsia="宋体" w:cs="宋体"/>
          <w:b/>
          <w:bCs/>
          <w:color w:val="auto"/>
          <w:sz w:val="24"/>
          <w:highlight w:val="none"/>
        </w:rPr>
        <w:t>单位名称：杭州中浙招标有限公司</w:t>
      </w:r>
      <w:bookmarkEnd w:id="614"/>
      <w:bookmarkEnd w:id="615"/>
      <w:bookmarkEnd w:id="616"/>
    </w:p>
    <w:p>
      <w:pPr>
        <w:autoSpaceDE w:val="0"/>
        <w:autoSpaceDN w:val="0"/>
        <w:snapToGrid w:val="0"/>
        <w:spacing w:line="312" w:lineRule="auto"/>
        <w:outlineLvl w:val="0"/>
        <w:rPr>
          <w:rFonts w:hint="eastAsia" w:ascii="宋体" w:hAnsi="宋体" w:eastAsia="宋体" w:cs="宋体"/>
          <w:b/>
          <w:bCs/>
          <w:color w:val="auto"/>
          <w:sz w:val="24"/>
          <w:highlight w:val="none"/>
        </w:rPr>
      </w:pPr>
      <w:bookmarkStart w:id="617" w:name="_Toc3065"/>
      <w:bookmarkStart w:id="618" w:name="_Toc29336"/>
      <w:bookmarkStart w:id="619" w:name="_Toc16788"/>
      <w:r>
        <w:rPr>
          <w:rFonts w:hint="eastAsia" w:ascii="宋体" w:hAnsi="宋体" w:eastAsia="宋体" w:cs="宋体"/>
          <w:b/>
          <w:bCs/>
          <w:color w:val="auto"/>
          <w:sz w:val="24"/>
          <w:highlight w:val="none"/>
        </w:rPr>
        <w:t>开户银行：杭州银行拱宸桥支行</w:t>
      </w:r>
      <w:bookmarkEnd w:id="617"/>
      <w:bookmarkEnd w:id="618"/>
      <w:bookmarkEnd w:id="619"/>
    </w:p>
    <w:p>
      <w:pPr>
        <w:outlineLvl w:val="0"/>
        <w:rPr>
          <w:rFonts w:hint="eastAsia" w:ascii="宋体" w:hAnsi="宋体" w:eastAsia="宋体" w:cs="宋体"/>
          <w:color w:val="auto"/>
          <w:sz w:val="24"/>
          <w:highlight w:val="none"/>
        </w:rPr>
      </w:pPr>
      <w:bookmarkStart w:id="620" w:name="_Toc7490"/>
      <w:bookmarkStart w:id="621" w:name="_Toc28653"/>
      <w:bookmarkStart w:id="622" w:name="_Toc950"/>
      <w:r>
        <w:rPr>
          <w:rFonts w:hint="eastAsia" w:ascii="宋体" w:hAnsi="宋体" w:eastAsia="宋体" w:cs="宋体"/>
          <w:b/>
          <w:bCs/>
          <w:color w:val="auto"/>
          <w:sz w:val="24"/>
          <w:highlight w:val="none"/>
        </w:rPr>
        <w:t>帐    号：3301040160001182073</w:t>
      </w:r>
      <w:bookmarkEnd w:id="620"/>
      <w:bookmarkEnd w:id="621"/>
      <w:bookmarkEnd w:id="622"/>
    </w:p>
    <w:p>
      <w:pPr>
        <w:pStyle w:val="24"/>
        <w:rPr>
          <w:rFonts w:hint="eastAsia" w:ascii="宋体" w:hAnsi="宋体" w:eastAsia="宋体" w:cs="宋体"/>
          <w:color w:val="auto"/>
          <w:sz w:val="24"/>
          <w:szCs w:val="24"/>
          <w:highlight w:val="none"/>
        </w:rPr>
      </w:pPr>
    </w:p>
    <w:p>
      <w:pP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br w:type="page"/>
      </w:r>
    </w:p>
    <w:p>
      <w:pPr>
        <w:numPr>
          <w:ilvl w:val="0"/>
          <w:numId w:val="0"/>
        </w:numPr>
        <w:jc w:val="center"/>
        <w:outlineLvl w:val="1"/>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en-US" w:eastAsia="zh-CN"/>
        </w:rPr>
        <w:t>七、</w:t>
      </w:r>
      <w:r>
        <w:rPr>
          <w:rFonts w:hint="eastAsia" w:ascii="宋体" w:hAnsi="宋体" w:eastAsia="宋体" w:cs="宋体"/>
          <w:b/>
          <w:color w:val="auto"/>
          <w:kern w:val="0"/>
          <w:sz w:val="32"/>
          <w:szCs w:val="32"/>
          <w:highlight w:val="none"/>
          <w:lang w:val="zh-CN"/>
        </w:rPr>
        <w:t>政府采购供应商廉洁自律承诺书</w:t>
      </w:r>
      <w:bookmarkEnd w:id="609"/>
      <w:bookmarkEnd w:id="610"/>
    </w:p>
    <w:p>
      <w:pPr>
        <w:pStyle w:val="7"/>
        <w:rPr>
          <w:rFonts w:hint="eastAsia" w:ascii="宋体" w:hAnsi="宋体" w:eastAsia="宋体" w:cs="宋体"/>
          <w:color w:val="auto"/>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嘉兴市第一医院</w:t>
      </w:r>
      <w:r>
        <w:rPr>
          <w:rFonts w:hint="eastAsia" w:ascii="宋体" w:hAnsi="宋体" w:eastAsia="宋体" w:cs="宋体"/>
          <w:color w:val="auto"/>
          <w:sz w:val="24"/>
          <w:highlight w:val="none"/>
        </w:rPr>
        <w:t>、杭州中浙招标有限公司</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outlineLvl w:val="1"/>
        <w:rPr>
          <w:rFonts w:hint="eastAsia" w:ascii="宋体" w:hAnsi="宋体" w:eastAsia="宋体" w:cs="宋体"/>
          <w:color w:val="auto"/>
          <w:kern w:val="0"/>
          <w:sz w:val="24"/>
          <w:highlight w:val="none"/>
          <w:lang w:val="zh-CN"/>
        </w:rPr>
      </w:pPr>
      <w:bookmarkStart w:id="623" w:name="_Toc30910"/>
      <w:bookmarkStart w:id="624" w:name="_Toc9052"/>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bookmarkEnd w:id="623"/>
      <w:bookmarkEnd w:id="624"/>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ind w:firstLine="4560" w:firstLineChars="19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w:t>
      </w:r>
      <w:r>
        <w:rPr>
          <w:rFonts w:hint="eastAsia" w:ascii="宋体" w:hAnsi="宋体" w:eastAsia="宋体" w:cs="宋体"/>
          <w:color w:val="auto"/>
          <w:kern w:val="0"/>
          <w:sz w:val="24"/>
          <w:highlight w:val="none"/>
        </w:rPr>
        <w:t xml:space="preserve">  日</w:t>
      </w:r>
    </w:p>
    <w:p>
      <w:pPr>
        <w:rPr>
          <w:rFonts w:hint="eastAsia" w:ascii="宋体" w:hAnsi="宋体" w:eastAsia="宋体" w:cs="宋体"/>
          <w:b/>
          <w:color w:val="auto"/>
          <w:kern w:val="0"/>
          <w:sz w:val="24"/>
          <w:highlight w:val="none"/>
        </w:rPr>
      </w:pPr>
      <w:r>
        <w:rPr>
          <w:rFonts w:hint="eastAsia" w:ascii="宋体" w:hAnsi="宋体" w:eastAsia="宋体" w:cs="宋体"/>
          <w:color w:val="auto"/>
          <w:sz w:val="24"/>
          <w:highlight w:val="none"/>
        </w:rPr>
        <w:br w:type="page"/>
      </w:r>
    </w:p>
    <w:p>
      <w:pPr>
        <w:spacing w:line="360" w:lineRule="auto"/>
        <w:jc w:val="center"/>
        <w:outlineLvl w:val="0"/>
        <w:rPr>
          <w:rFonts w:hint="eastAsia" w:ascii="宋体" w:hAnsi="宋体" w:eastAsia="宋体" w:cs="宋体"/>
          <w:b/>
          <w:color w:val="auto"/>
          <w:kern w:val="0"/>
          <w:sz w:val="32"/>
          <w:szCs w:val="32"/>
          <w:highlight w:val="none"/>
        </w:rPr>
      </w:pPr>
      <w:bookmarkStart w:id="625" w:name="_Toc29190"/>
      <w:bookmarkStart w:id="626" w:name="_Toc15582"/>
      <w:r>
        <w:rPr>
          <w:rFonts w:hint="eastAsia" w:ascii="宋体" w:hAnsi="宋体" w:eastAsia="宋体" w:cs="宋体"/>
          <w:b/>
          <w:color w:val="auto"/>
          <w:kern w:val="0"/>
          <w:sz w:val="32"/>
          <w:szCs w:val="32"/>
          <w:highlight w:val="none"/>
        </w:rPr>
        <w:t>报价文件部分</w:t>
      </w:r>
      <w:bookmarkEnd w:id="601"/>
      <w:bookmarkEnd w:id="625"/>
      <w:bookmarkEnd w:id="626"/>
    </w:p>
    <w:p>
      <w:pPr>
        <w:spacing w:line="360" w:lineRule="auto"/>
        <w:jc w:val="center"/>
        <w:outlineLvl w:val="0"/>
        <w:rPr>
          <w:rFonts w:hint="eastAsia" w:ascii="宋体" w:hAnsi="宋体" w:eastAsia="宋体" w:cs="宋体"/>
          <w:b/>
          <w:color w:val="auto"/>
          <w:kern w:val="0"/>
          <w:sz w:val="24"/>
          <w:highlight w:val="none"/>
        </w:rPr>
      </w:pPr>
      <w:bookmarkStart w:id="627" w:name="_Toc4468"/>
      <w:bookmarkStart w:id="628" w:name="_Toc25276"/>
      <w:bookmarkStart w:id="629" w:name="_Toc22115"/>
      <w:r>
        <w:rPr>
          <w:rFonts w:hint="eastAsia" w:ascii="宋体" w:hAnsi="宋体" w:eastAsia="宋体" w:cs="宋体"/>
          <w:b/>
          <w:color w:val="auto"/>
          <w:kern w:val="0"/>
          <w:sz w:val="24"/>
          <w:highlight w:val="none"/>
        </w:rPr>
        <w:t>目录</w:t>
      </w:r>
      <w:bookmarkEnd w:id="627"/>
      <w:bookmarkEnd w:id="628"/>
      <w:bookmarkEnd w:id="629"/>
    </w:p>
    <w:p>
      <w:pPr>
        <w:spacing w:line="360" w:lineRule="auto"/>
        <w:jc w:val="center"/>
        <w:rPr>
          <w:rFonts w:hint="eastAsia" w:ascii="宋体" w:hAnsi="宋体" w:eastAsia="宋体" w:cs="宋体"/>
          <w:b/>
          <w:color w:val="auto"/>
          <w:kern w:val="0"/>
          <w:sz w:val="24"/>
          <w:highlight w:val="none"/>
        </w:rPr>
      </w:pPr>
    </w:p>
    <w:p>
      <w:pPr>
        <w:numPr>
          <w:ilvl w:val="0"/>
          <w:numId w:val="2"/>
        </w:numPr>
        <w:snapToGrid w:val="0"/>
        <w:spacing w:line="360" w:lineRule="auto"/>
        <w:outlineLvl w:val="0"/>
        <w:rPr>
          <w:rFonts w:hint="eastAsia" w:ascii="宋体" w:hAnsi="宋体" w:eastAsia="宋体" w:cs="宋体"/>
          <w:color w:val="auto"/>
          <w:sz w:val="24"/>
          <w:highlight w:val="none"/>
        </w:rPr>
      </w:pPr>
      <w:bookmarkStart w:id="630" w:name="_Toc27757"/>
      <w:bookmarkStart w:id="631" w:name="_Toc25020"/>
      <w:bookmarkStart w:id="632" w:name="_Toc22758"/>
      <w:r>
        <w:rPr>
          <w:rFonts w:hint="eastAsia" w:ascii="宋体" w:hAnsi="宋体" w:eastAsia="宋体" w:cs="宋体"/>
          <w:color w:val="auto"/>
          <w:sz w:val="24"/>
          <w:highlight w:val="none"/>
        </w:rPr>
        <w:t>开标一览表（报价表）………………………………………………………（页码）</w:t>
      </w:r>
      <w:bookmarkEnd w:id="630"/>
      <w:bookmarkEnd w:id="631"/>
      <w:bookmarkEnd w:id="632"/>
    </w:p>
    <w:p>
      <w:pPr>
        <w:pStyle w:val="7"/>
        <w:numPr>
          <w:ilvl w:val="0"/>
          <w:numId w:val="2"/>
        </w:numPr>
        <w:rPr>
          <w:rFonts w:hint="eastAsia" w:ascii="宋体" w:hAnsi="宋体" w:eastAsia="宋体" w:cs="宋体"/>
          <w:color w:val="auto"/>
          <w:highlight w:val="none"/>
        </w:rPr>
      </w:pPr>
      <w:r>
        <w:rPr>
          <w:rFonts w:hint="eastAsia" w:ascii="宋体" w:hAnsi="宋体" w:eastAsia="宋体" w:cs="宋体"/>
          <w:color w:val="auto"/>
          <w:highlight w:val="none"/>
          <w:lang w:val="en-US"/>
        </w:rPr>
        <w:t>报价明细清单</w:t>
      </w:r>
      <w:r>
        <w:rPr>
          <w:rFonts w:hint="eastAsia" w:ascii="宋体" w:hAnsi="宋体" w:eastAsia="宋体" w:cs="宋体"/>
          <w:color w:val="auto"/>
          <w:szCs w:val="24"/>
          <w:highlight w:val="none"/>
        </w:rPr>
        <w:t>………………………………………………………………（页码）</w:t>
      </w:r>
    </w:p>
    <w:p>
      <w:pPr>
        <w:snapToGrid w:val="0"/>
        <w:spacing w:line="360" w:lineRule="auto"/>
        <w:outlineLvl w:val="0"/>
        <w:rPr>
          <w:rFonts w:hint="eastAsia" w:ascii="宋体" w:hAnsi="宋体" w:eastAsia="宋体" w:cs="宋体"/>
          <w:color w:val="auto"/>
          <w:sz w:val="24"/>
          <w:highlight w:val="none"/>
        </w:rPr>
      </w:pPr>
      <w:bookmarkStart w:id="633" w:name="_Toc13305"/>
      <w:bookmarkStart w:id="634" w:name="_Toc31702"/>
      <w:bookmarkStart w:id="635" w:name="_Toc9739"/>
      <w:r>
        <w:rPr>
          <w:rFonts w:hint="eastAsia" w:ascii="宋体" w:hAnsi="宋体" w:eastAsia="宋体" w:cs="宋体"/>
          <w:color w:val="auto"/>
          <w:sz w:val="24"/>
          <w:highlight w:val="none"/>
        </w:rPr>
        <w:t>（2）中小企业声明函………………………………………………………………（页码）</w:t>
      </w:r>
      <w:bookmarkEnd w:id="633"/>
      <w:bookmarkEnd w:id="634"/>
      <w:bookmarkEnd w:id="635"/>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pStyle w:val="36"/>
        <w:keepNext w:val="0"/>
        <w:pageBreakBefore w:val="0"/>
        <w:tabs>
          <w:tab w:val="clear" w:pos="720"/>
        </w:tabs>
        <w:snapToGrid w:val="0"/>
        <w:spacing w:before="120" w:after="120"/>
        <w:ind w:firstLine="643"/>
        <w:outlineLvl w:val="9"/>
        <w:rPr>
          <w:rFonts w:hint="eastAsia" w:ascii="宋体" w:hAnsi="宋体" w:eastAsia="宋体" w:cs="宋体"/>
          <w:color w:val="auto"/>
          <w:kern w:val="2"/>
          <w:sz w:val="24"/>
          <w:szCs w:val="24"/>
          <w:highlight w:val="none"/>
        </w:rPr>
        <w:sectPr>
          <w:headerReference r:id="rId10" w:type="first"/>
          <w:footerReference r:id="rId12" w:type="first"/>
          <w:headerReference r:id="rId9" w:type="default"/>
          <w:footerReference r:id="rId11" w:type="default"/>
          <w:pgSz w:w="11906" w:h="16838"/>
          <w:pgMar w:top="1474" w:right="1587" w:bottom="1474" w:left="1587" w:header="851" w:footer="992" w:gutter="0"/>
          <w:pgNumType w:fmt="decimal"/>
          <w:cols w:space="0" w:num="1"/>
          <w:titlePg/>
          <w:docGrid w:linePitch="312" w:charSpace="0"/>
        </w:sectPr>
      </w:pPr>
    </w:p>
    <w:p>
      <w:pPr>
        <w:pStyle w:val="36"/>
        <w:keepNext w:val="0"/>
        <w:keepLines w:val="0"/>
        <w:pageBreakBefore w:val="0"/>
        <w:widowControl w:val="0"/>
        <w:tabs>
          <w:tab w:val="clear" w:pos="720"/>
        </w:tabs>
        <w:kinsoku/>
        <w:wordWrap/>
        <w:overflowPunct/>
        <w:topLinePunct w:val="0"/>
        <w:autoSpaceDE/>
        <w:autoSpaceDN/>
        <w:bidi w:val="0"/>
        <w:adjustRightInd w:val="0"/>
        <w:snapToGrid w:val="0"/>
        <w:spacing w:line="288" w:lineRule="auto"/>
        <w:ind w:firstLine="641"/>
        <w:textAlignment w:val="auto"/>
        <w:outlineLvl w:val="1"/>
        <w:rPr>
          <w:rFonts w:hint="eastAsia" w:ascii="宋体" w:hAnsi="宋体" w:eastAsia="宋体" w:cs="宋体"/>
          <w:color w:val="auto"/>
          <w:kern w:val="2"/>
          <w:sz w:val="28"/>
          <w:szCs w:val="28"/>
          <w:highlight w:val="none"/>
        </w:rPr>
      </w:pPr>
      <w:bookmarkStart w:id="636" w:name="_Toc11385"/>
      <w:bookmarkStart w:id="637" w:name="_Toc20237"/>
      <w:bookmarkStart w:id="638" w:name="_Toc30350"/>
      <w:r>
        <w:rPr>
          <w:rFonts w:hint="eastAsia" w:ascii="宋体" w:hAnsi="宋体" w:eastAsia="宋体" w:cs="宋体"/>
          <w:color w:val="auto"/>
          <w:kern w:val="2"/>
          <w:sz w:val="28"/>
          <w:szCs w:val="28"/>
          <w:highlight w:val="none"/>
        </w:rPr>
        <w:t>一、开标一览表（报价表）</w:t>
      </w:r>
      <w:bookmarkEnd w:id="636"/>
      <w:bookmarkEnd w:id="637"/>
      <w:bookmarkEnd w:id="638"/>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嘉兴市第一医院</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杭州中浙招标有限公司</w:t>
      </w:r>
      <w:r>
        <w:rPr>
          <w:rFonts w:hint="eastAsia" w:ascii="宋体" w:hAnsi="宋体" w:eastAsia="宋体" w:cs="宋体"/>
          <w:color w:val="auto"/>
          <w:kern w:val="0"/>
          <w:sz w:val="24"/>
          <w:highlight w:val="none"/>
          <w:lang w:val="zh-CN"/>
        </w:rPr>
        <w:t>：</w:t>
      </w:r>
    </w:p>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宋体" w:hAnsi="宋体" w:eastAsia="宋体" w:cs="宋体"/>
          <w:bCs/>
          <w:color w:val="auto"/>
          <w:kern w:val="0"/>
          <w:sz w:val="24"/>
          <w:highlight w:val="none"/>
          <w:lang w:val="zh-CN"/>
        </w:rPr>
      </w:pPr>
      <w:r>
        <w:rPr>
          <w:rFonts w:hint="eastAsia" w:ascii="宋体" w:hAnsi="宋体" w:eastAsia="宋体" w:cs="宋体"/>
          <w:bCs/>
          <w:color w:val="auto"/>
          <w:kern w:val="0"/>
          <w:sz w:val="24"/>
          <w:highlight w:val="none"/>
          <w:lang w:val="zh-CN"/>
        </w:rPr>
        <w:t>按你方招标文件要求，我们，本投标文件签字方，谨此向你方发出要约如下：如你方接受本投标，我方承诺按照如下开标一览表（报价表）的价格完成（项目名称）【招标编号：（采购编号）】的实施。</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rPr>
          <w:rFonts w:hint="eastAsia" w:ascii="宋体" w:hAnsi="宋体" w:eastAsia="宋体" w:cs="宋体"/>
          <w:color w:val="auto"/>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19"/>
        <w:tblW w:w="918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459"/>
        <w:gridCol w:w="3497"/>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00"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3459"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项目</w:t>
            </w:r>
            <w:r>
              <w:rPr>
                <w:rFonts w:hint="eastAsia" w:ascii="宋体" w:hAnsi="宋体" w:eastAsia="宋体" w:cs="宋体"/>
                <w:color w:val="auto"/>
                <w:sz w:val="24"/>
                <w:highlight w:val="none"/>
              </w:rPr>
              <w:t>名称</w:t>
            </w:r>
          </w:p>
        </w:tc>
        <w:tc>
          <w:tcPr>
            <w:tcW w:w="3497"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______________项目</w:t>
            </w:r>
          </w:p>
        </w:tc>
        <w:tc>
          <w:tcPr>
            <w:tcW w:w="1331"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459"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投标价格</w:t>
            </w:r>
          </w:p>
        </w:tc>
        <w:tc>
          <w:tcPr>
            <w:tcW w:w="3497"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人民币（小写）：</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人民币（大写）：</w:t>
            </w:r>
          </w:p>
        </w:tc>
        <w:tc>
          <w:tcPr>
            <w:tcW w:w="1331"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3459"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突发事件临时加班费</w:t>
            </w:r>
          </w:p>
        </w:tc>
        <w:tc>
          <w:tcPr>
            <w:tcW w:w="3497"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元/小时</w:t>
            </w:r>
          </w:p>
        </w:tc>
        <w:tc>
          <w:tcPr>
            <w:tcW w:w="1331"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p>
        </w:tc>
        <w:tc>
          <w:tcPr>
            <w:tcW w:w="3459"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项目负责人</w:t>
            </w:r>
          </w:p>
        </w:tc>
        <w:tc>
          <w:tcPr>
            <w:tcW w:w="3497"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rPr>
            </w:pPr>
          </w:p>
        </w:tc>
        <w:tc>
          <w:tcPr>
            <w:tcW w:w="1331"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4</w:t>
            </w:r>
          </w:p>
        </w:tc>
        <w:tc>
          <w:tcPr>
            <w:tcW w:w="3459"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服务期限</w:t>
            </w:r>
          </w:p>
        </w:tc>
        <w:tc>
          <w:tcPr>
            <w:tcW w:w="3497"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rPr>
            </w:pPr>
          </w:p>
        </w:tc>
        <w:tc>
          <w:tcPr>
            <w:tcW w:w="1331"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3459"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合同期限内轮换保安人数比例</w:t>
            </w:r>
          </w:p>
        </w:tc>
        <w:tc>
          <w:tcPr>
            <w:tcW w:w="3497"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不得超过合同编制的_______%</w:t>
            </w:r>
          </w:p>
        </w:tc>
        <w:tc>
          <w:tcPr>
            <w:tcW w:w="1331" w:type="dxa"/>
            <w:noWrap/>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highlight w:val="none"/>
              </w:rPr>
            </w:pPr>
          </w:p>
        </w:tc>
      </w:tr>
    </w:tbl>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1.供应商需按本表格式分别填写，不得自行更改。</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2.</w:t>
      </w:r>
      <w:r>
        <w:rPr>
          <w:rFonts w:hint="eastAsia" w:ascii="宋体" w:hAnsi="宋体" w:eastAsia="宋体" w:cs="宋体"/>
          <w:color w:val="auto"/>
          <w:kern w:val="0"/>
          <w:sz w:val="24"/>
          <w:highlight w:val="none"/>
          <w:lang w:val="zh-CN"/>
        </w:rPr>
        <w:t>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采购人将以合同形式有偿取得货物或服务，不接受供应商给予的赠品、回扣或者与采购无关的其他商品、服务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zh-CN"/>
        </w:rPr>
        <w:t>特别提示：采购机构将对项目名称和项目编号，中标供应商名称、地址和中标金额，主要中标标的的名称、规格型号、数量、单价、服务要求等予以公示。</w:t>
      </w:r>
    </w:p>
    <w:p>
      <w:pPr>
        <w:keepNext w:val="0"/>
        <w:keepLines w:val="0"/>
        <w:pageBreakBefore w:val="0"/>
        <w:widowControl w:val="0"/>
        <w:kinsoku/>
        <w:wordWrap/>
        <w:overflowPunct/>
        <w:topLinePunct w:val="0"/>
        <w:autoSpaceDE/>
        <w:autoSpaceDN/>
        <w:bidi w:val="0"/>
        <w:adjustRightInd w:val="0"/>
        <w:snapToGrid w:val="0"/>
        <w:spacing w:line="288" w:lineRule="auto"/>
        <w:ind w:firstLine="576"/>
        <w:jc w:val="center"/>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val="0"/>
        <w:snapToGrid w:val="0"/>
        <w:spacing w:line="288" w:lineRule="auto"/>
        <w:ind w:firstLine="576"/>
        <w:jc w:val="lef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lang w:val="zh-CN"/>
        </w:rPr>
        <w:t>.投标人需对突发事件的临时加班费用进行单独报价，不计入投标总价。临时加班：根据突发事件状况，决定临时加班，负责医院突发事件处置、灾害预防、火灾扑救，发现和制止医院暴力事件，随时准备提供紧急救助。临时加班计费,根据</w:t>
      </w:r>
      <w:r>
        <w:rPr>
          <w:rFonts w:hint="eastAsia" w:ascii="宋体" w:hAnsi="宋体" w:eastAsia="宋体" w:cs="宋体"/>
          <w:bCs/>
          <w:color w:val="auto"/>
          <w:sz w:val="24"/>
          <w:highlight w:val="none"/>
        </w:rPr>
        <w:t>嘉政发〔2021〕22号《嘉兴市人民政府关于调整全市最低工资标准的通知》</w:t>
      </w:r>
      <w:r>
        <w:rPr>
          <w:rFonts w:hint="eastAsia" w:ascii="宋体" w:hAnsi="宋体" w:eastAsia="宋体" w:cs="宋体"/>
          <w:color w:val="auto"/>
          <w:sz w:val="24"/>
          <w:highlight w:val="none"/>
          <w:lang w:val="zh-CN"/>
        </w:rPr>
        <w:t>，其中非全日制工作的最低小时工资标准调整为</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lang w:val="zh-CN"/>
        </w:rPr>
        <w:t>元。</w:t>
      </w:r>
    </w:p>
    <w:p>
      <w:pPr>
        <w:keepNext w:val="0"/>
        <w:keepLines w:val="0"/>
        <w:pageBreakBefore w:val="0"/>
        <w:widowControl w:val="0"/>
        <w:kinsoku/>
        <w:wordWrap/>
        <w:overflowPunct/>
        <w:topLinePunct w:val="0"/>
        <w:autoSpaceDE/>
        <w:autoSpaceDN/>
        <w:bidi w:val="0"/>
        <w:adjustRightInd w:val="0"/>
        <w:snapToGrid w:val="0"/>
        <w:spacing w:line="288" w:lineRule="auto"/>
        <w:ind w:firstLine="576"/>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rPr>
        <w:t>.投标人必须采取切实有效措施保持保安队伍的稳定，严格控制非违纪人员轮换岗比例，合同期限内轮换岗保安人数不得超过合同编制的40%。</w:t>
      </w:r>
    </w:p>
    <w:p>
      <w:pPr>
        <w:keepNext w:val="0"/>
        <w:keepLines w:val="0"/>
        <w:pageBreakBefore w:val="0"/>
        <w:widowControl w:val="0"/>
        <w:kinsoku/>
        <w:wordWrap/>
        <w:overflowPunct/>
        <w:topLinePunct w:val="0"/>
        <w:autoSpaceDE/>
        <w:autoSpaceDN/>
        <w:bidi w:val="0"/>
        <w:adjustRightInd w:val="0"/>
        <w:snapToGrid w:val="0"/>
        <w:spacing w:line="288" w:lineRule="auto"/>
        <w:ind w:firstLine="4080" w:firstLineChars="1700"/>
        <w:textAlignment w:val="auto"/>
        <w:rPr>
          <w:rFonts w:hint="eastAsia" w:ascii="宋体" w:hAnsi="宋体" w:eastAsia="宋体" w:cs="宋体"/>
          <w:color w:val="auto"/>
          <w:kern w:val="0"/>
          <w:sz w:val="24"/>
          <w:highlight w:val="none"/>
          <w:lang w:val="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080" w:firstLineChars="17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keepNext w:val="0"/>
        <w:keepLines w:val="0"/>
        <w:pageBreakBefore w:val="0"/>
        <w:widowControl w:val="0"/>
        <w:kinsoku/>
        <w:wordWrap/>
        <w:overflowPunct/>
        <w:topLinePunct w:val="0"/>
        <w:autoSpaceDE/>
        <w:autoSpaceDN/>
        <w:bidi w:val="0"/>
        <w:adjustRightInd w:val="0"/>
        <w:spacing w:line="288" w:lineRule="auto"/>
        <w:ind w:firstLine="4080" w:firstLineChars="1700"/>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0"/>
          <w:sz w:val="24"/>
          <w:highlight w:val="none"/>
          <w:lang w:val="zh-CN"/>
        </w:rPr>
        <w:t>日期：  年  月  日</w:t>
      </w:r>
      <w:bookmarkStart w:id="639" w:name="_Toc30212"/>
      <w:bookmarkStart w:id="640" w:name="_Toc28755"/>
    </w:p>
    <w:p>
      <w:pPr>
        <w:rPr>
          <w:rFonts w:hint="eastAsia" w:ascii="宋体" w:hAnsi="宋体" w:eastAsia="宋体" w:cs="宋体"/>
          <w:color w:val="auto"/>
          <w:kern w:val="2"/>
          <w:sz w:val="28"/>
          <w:szCs w:val="28"/>
          <w:highlight w:val="none"/>
        </w:rPr>
      </w:pPr>
      <w:bookmarkStart w:id="641" w:name="_Toc18595"/>
      <w:bookmarkStart w:id="642" w:name="_Toc3079"/>
      <w:r>
        <w:rPr>
          <w:rFonts w:hint="eastAsia" w:ascii="宋体" w:hAnsi="宋体" w:eastAsia="宋体" w:cs="宋体"/>
          <w:color w:val="auto"/>
          <w:kern w:val="2"/>
          <w:sz w:val="28"/>
          <w:szCs w:val="28"/>
          <w:highlight w:val="none"/>
        </w:rPr>
        <w:br w:type="page"/>
      </w:r>
    </w:p>
    <w:p>
      <w:pPr>
        <w:pStyle w:val="36"/>
        <w:keepNext w:val="0"/>
        <w:pageBreakBefore w:val="0"/>
        <w:tabs>
          <w:tab w:val="clear" w:pos="720"/>
        </w:tabs>
        <w:snapToGrid w:val="0"/>
        <w:spacing w:before="120" w:after="120"/>
        <w:ind w:firstLine="3106" w:firstLineChars="1105"/>
        <w:jc w:val="both"/>
        <w:outlineLvl w:val="1"/>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二、报价明细清单</w:t>
      </w:r>
      <w:bookmarkEnd w:id="639"/>
      <w:bookmarkEnd w:id="640"/>
      <w:bookmarkEnd w:id="641"/>
      <w:bookmarkEnd w:id="642"/>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592"/>
        <w:gridCol w:w="1575"/>
        <w:gridCol w:w="1285"/>
        <w:gridCol w:w="1162"/>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月费用</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年费用</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保安负责人工资</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2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保安班长工资</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2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保安工资</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2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物品折旧</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2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4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4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管理费用</w:t>
            </w:r>
          </w:p>
        </w:tc>
        <w:tc>
          <w:tcPr>
            <w:tcW w:w="4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利润</w:t>
            </w:r>
          </w:p>
        </w:tc>
        <w:tc>
          <w:tcPr>
            <w:tcW w:w="4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税金</w:t>
            </w:r>
          </w:p>
        </w:tc>
        <w:tc>
          <w:tcPr>
            <w:tcW w:w="4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34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合计</w:t>
            </w:r>
          </w:p>
        </w:tc>
        <w:tc>
          <w:tcPr>
            <w:tcW w:w="40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bl>
    <w:p>
      <w:pPr>
        <w:widowControl/>
        <w:spacing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注：在填写时，如本表格不适合投标人的实际情况，可根据本表格式自行划表填写</w:t>
      </w:r>
    </w:p>
    <w:p>
      <w:pPr>
        <w:pStyle w:val="10"/>
        <w:spacing w:line="360" w:lineRule="auto"/>
        <w:ind w:firstLine="480" w:firstLineChars="200"/>
        <w:rPr>
          <w:rFonts w:hint="eastAsia" w:ascii="宋体" w:hAnsi="宋体" w:eastAsia="宋体" w:cs="宋体"/>
          <w:color w:val="auto"/>
          <w:sz w:val="24"/>
          <w:szCs w:val="24"/>
          <w:highlight w:val="none"/>
        </w:rPr>
      </w:pPr>
    </w:p>
    <w:p>
      <w:pPr>
        <w:snapToGrid w:val="0"/>
        <w:spacing w:line="360" w:lineRule="auto"/>
        <w:ind w:firstLine="480" w:firstLineChars="200"/>
        <w:rPr>
          <w:rFonts w:hint="eastAsia" w:ascii="宋体" w:hAnsi="宋体" w:eastAsia="宋体" w:cs="宋体"/>
          <w:color w:val="auto"/>
          <w:kern w:val="0"/>
          <w:sz w:val="24"/>
          <w:highlight w:val="none"/>
        </w:rPr>
      </w:pPr>
    </w:p>
    <w:p>
      <w:pPr>
        <w:pStyle w:val="10"/>
        <w:spacing w:line="360" w:lineRule="auto"/>
        <w:ind w:firstLine="480" w:firstLineChars="200"/>
        <w:rPr>
          <w:rFonts w:hint="eastAsia" w:ascii="宋体" w:hAnsi="宋体" w:eastAsia="宋体" w:cs="宋体"/>
          <w:color w:val="auto"/>
          <w:sz w:val="24"/>
          <w:highlight w:val="none"/>
        </w:rPr>
      </w:pPr>
    </w:p>
    <w:p>
      <w:pPr>
        <w:snapToGrid w:val="0"/>
        <w:spacing w:line="288" w:lineRule="auto"/>
        <w:ind w:firstLine="576"/>
        <w:jc w:val="center"/>
        <w:rPr>
          <w:rFonts w:hint="eastAsia" w:ascii="宋体" w:hAnsi="宋体" w:eastAsia="宋体" w:cs="宋体"/>
          <w:color w:val="auto"/>
          <w:kern w:val="0"/>
          <w:sz w:val="24"/>
          <w:highlight w:val="none"/>
          <w:lang w:val="zh-CN"/>
        </w:rPr>
      </w:pPr>
    </w:p>
    <w:p>
      <w:pPr>
        <w:snapToGrid w:val="0"/>
        <w:spacing w:line="288" w:lineRule="auto"/>
        <w:ind w:firstLine="576"/>
        <w:jc w:val="center"/>
        <w:rPr>
          <w:rFonts w:hint="eastAsia" w:ascii="宋体" w:hAnsi="宋体" w:eastAsia="宋体" w:cs="宋体"/>
          <w:color w:val="auto"/>
          <w:kern w:val="0"/>
          <w:sz w:val="24"/>
          <w:highlight w:val="none"/>
          <w:lang w:val="zh-CN"/>
        </w:rPr>
      </w:pPr>
    </w:p>
    <w:p>
      <w:pPr>
        <w:snapToGrid w:val="0"/>
        <w:spacing w:line="288" w:lineRule="auto"/>
        <w:ind w:firstLine="576"/>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pacing w:line="288" w:lineRule="auto"/>
        <w:ind w:firstLine="3360" w:firstLineChars="1400"/>
        <w:rPr>
          <w:rFonts w:hint="eastAsia" w:ascii="宋体" w:hAnsi="宋体" w:eastAsia="宋体" w:cs="宋体"/>
          <w:color w:val="auto"/>
          <w:sz w:val="24"/>
          <w:highlight w:val="none"/>
          <w:lang w:val="zh-CN"/>
        </w:rPr>
      </w:pPr>
      <w:r>
        <w:rPr>
          <w:rFonts w:hint="eastAsia" w:ascii="宋体" w:hAnsi="宋体" w:eastAsia="宋体" w:cs="宋体"/>
          <w:color w:val="auto"/>
          <w:kern w:val="0"/>
          <w:sz w:val="24"/>
          <w:highlight w:val="none"/>
          <w:lang w:val="zh-CN"/>
        </w:rPr>
        <w:t>日期：  年  月  日</w:t>
      </w:r>
    </w:p>
    <w:p>
      <w:pPr>
        <w:snapToGrid w:val="0"/>
        <w:spacing w:line="44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643" w:name="_Toc12033"/>
    </w:p>
    <w:p>
      <w:pPr>
        <w:rPr>
          <w:rFonts w:hint="eastAsia" w:ascii="宋体" w:hAnsi="宋体" w:eastAsia="宋体" w:cs="宋体"/>
          <w:color w:val="auto"/>
          <w:sz w:val="24"/>
          <w:highlight w:val="none"/>
        </w:rPr>
      </w:pPr>
    </w:p>
    <w:p>
      <w:pPr>
        <w:pStyle w:val="36"/>
        <w:keepNext w:val="0"/>
        <w:pageBreakBefore w:val="0"/>
        <w:tabs>
          <w:tab w:val="clear" w:pos="720"/>
        </w:tabs>
        <w:snapToGrid w:val="0"/>
        <w:spacing w:before="120" w:after="120"/>
        <w:ind w:firstLine="643"/>
        <w:outlineLvl w:val="1"/>
        <w:rPr>
          <w:rFonts w:hint="eastAsia" w:ascii="宋体" w:hAnsi="宋体" w:eastAsia="宋体" w:cs="宋体"/>
          <w:color w:val="auto"/>
          <w:sz w:val="24"/>
          <w:szCs w:val="24"/>
          <w:highlight w:val="none"/>
        </w:rPr>
      </w:pPr>
      <w:bookmarkStart w:id="644" w:name="_Toc5239"/>
      <w:bookmarkStart w:id="645" w:name="_Toc3618"/>
      <w:r>
        <w:rPr>
          <w:rFonts w:hint="eastAsia" w:ascii="宋体" w:hAnsi="宋体" w:eastAsia="宋体" w:cs="宋体"/>
          <w:color w:val="auto"/>
          <w:kern w:val="2"/>
          <w:sz w:val="24"/>
          <w:szCs w:val="24"/>
          <w:highlight w:val="none"/>
          <w:lang w:val="en-US" w:eastAsia="zh-CN"/>
        </w:rPr>
        <w:t>三</w:t>
      </w:r>
      <w:r>
        <w:rPr>
          <w:rFonts w:hint="eastAsia" w:ascii="宋体" w:hAnsi="宋体" w:eastAsia="宋体" w:cs="宋体"/>
          <w:color w:val="auto"/>
          <w:kern w:val="2"/>
          <w:sz w:val="24"/>
          <w:szCs w:val="24"/>
          <w:highlight w:val="none"/>
        </w:rPr>
        <w:t>、</w:t>
      </w:r>
      <w:r>
        <w:rPr>
          <w:rFonts w:hint="eastAsia" w:ascii="宋体" w:hAnsi="宋体" w:eastAsia="宋体" w:cs="宋体"/>
          <w:color w:val="auto"/>
          <w:sz w:val="24"/>
          <w:szCs w:val="24"/>
          <w:highlight w:val="none"/>
        </w:rPr>
        <w:t>中小企业声明函（非小微企业不用提供）</w:t>
      </w:r>
      <w:bookmarkEnd w:id="643"/>
      <w:bookmarkEnd w:id="644"/>
      <w:bookmarkEnd w:id="645"/>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36"/>
        <w:keepNext w:val="0"/>
        <w:pageBreakBefore w:val="0"/>
        <w:tabs>
          <w:tab w:val="clear" w:pos="720"/>
        </w:tabs>
        <w:snapToGrid w:val="0"/>
        <w:spacing w:before="120" w:after="120"/>
        <w:ind w:firstLine="643"/>
        <w:outlineLvl w:val="9"/>
        <w:rPr>
          <w:rFonts w:hint="eastAsia" w:ascii="宋体" w:hAnsi="宋体" w:eastAsia="宋体" w:cs="宋体"/>
          <w:b w:val="0"/>
          <w:color w:val="auto"/>
          <w:sz w:val="24"/>
          <w:szCs w:val="24"/>
          <w:highlight w:val="none"/>
        </w:rPr>
      </w:pPr>
    </w:p>
    <w:p>
      <w:pPr>
        <w:rPr>
          <w:rFonts w:hint="eastAsia" w:ascii="宋体" w:hAnsi="宋体" w:eastAsia="宋体" w:cs="宋体"/>
          <w:b/>
          <w:color w:val="auto"/>
          <w:spacing w:val="6"/>
          <w:sz w:val="24"/>
          <w:highlight w:val="none"/>
        </w:rPr>
      </w:pPr>
      <w:bookmarkStart w:id="646" w:name="_Toc14123"/>
      <w:bookmarkStart w:id="647" w:name="_Toc12580"/>
      <w:bookmarkStart w:id="648" w:name="_Toc25814"/>
      <w:r>
        <w:rPr>
          <w:rFonts w:hint="eastAsia" w:ascii="宋体" w:hAnsi="宋体" w:eastAsia="宋体" w:cs="宋体"/>
          <w:b/>
          <w:color w:val="auto"/>
          <w:spacing w:val="6"/>
          <w:sz w:val="24"/>
          <w:highlight w:val="none"/>
        </w:rPr>
        <w:br w:type="page"/>
      </w:r>
    </w:p>
    <w:p>
      <w:pPr>
        <w:spacing w:line="360" w:lineRule="auto"/>
        <w:outlineLvl w:val="0"/>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附件1：</w:t>
      </w:r>
      <w:bookmarkEnd w:id="646"/>
      <w:bookmarkEnd w:id="647"/>
      <w:bookmarkEnd w:id="648"/>
    </w:p>
    <w:p>
      <w:pPr>
        <w:spacing w:line="360" w:lineRule="auto"/>
        <w:jc w:val="center"/>
        <w:rPr>
          <w:rFonts w:hint="eastAsia" w:ascii="宋体" w:hAnsi="宋体" w:eastAsia="宋体" w:cs="宋体"/>
          <w:b/>
          <w:color w:val="auto"/>
          <w:spacing w:val="6"/>
          <w:sz w:val="24"/>
          <w:highlight w:val="none"/>
        </w:rPr>
      </w:pPr>
      <w:bookmarkStart w:id="649" w:name="OLE_LINK14"/>
      <w:bookmarkStart w:id="650" w:name="OLE_LINK13"/>
      <w:r>
        <w:rPr>
          <w:rFonts w:hint="eastAsia" w:ascii="宋体" w:hAnsi="宋体" w:eastAsia="宋体" w:cs="宋体"/>
          <w:b/>
          <w:color w:val="auto"/>
          <w:spacing w:val="6"/>
          <w:sz w:val="24"/>
          <w:highlight w:val="none"/>
        </w:rPr>
        <w:t>残疾人福利性单位声明函（如有）</w:t>
      </w:r>
    </w:p>
    <w:bookmarkEnd w:id="649"/>
    <w:bookmarkEnd w:id="650"/>
    <w:p>
      <w:pPr>
        <w:spacing w:line="360" w:lineRule="auto"/>
        <w:rPr>
          <w:rFonts w:hint="eastAsia" w:ascii="宋体" w:hAnsi="宋体" w:eastAsia="宋体" w:cs="宋体"/>
          <w:b/>
          <w:color w:val="auto"/>
          <w:spacing w:val="6"/>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outlineLvl w:val="0"/>
        <w:rPr>
          <w:rFonts w:hint="eastAsia" w:ascii="宋体" w:hAnsi="宋体" w:eastAsia="宋体" w:cs="宋体"/>
          <w:b/>
          <w:color w:val="auto"/>
          <w:spacing w:val="6"/>
          <w:sz w:val="24"/>
          <w:highlight w:val="none"/>
        </w:rPr>
      </w:pPr>
      <w:bookmarkStart w:id="651" w:name="_Toc5562"/>
      <w:bookmarkStart w:id="652" w:name="_Toc6503"/>
      <w:bookmarkStart w:id="653" w:name="_Toc24485"/>
    </w:p>
    <w:p>
      <w:pP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br w:type="page"/>
      </w:r>
    </w:p>
    <w:p>
      <w:pPr>
        <w:spacing w:line="360" w:lineRule="auto"/>
        <w:jc w:val="left"/>
        <w:outlineLvl w:val="0"/>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附件2：质疑函范本及制作说明</w:t>
      </w:r>
      <w:bookmarkEnd w:id="651"/>
      <w:bookmarkEnd w:id="652"/>
      <w:bookmarkEnd w:id="653"/>
    </w:p>
    <w:p>
      <w:pPr>
        <w:spacing w:line="360" w:lineRule="auto"/>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质疑函范本</w:t>
      </w:r>
    </w:p>
    <w:p>
      <w:pPr>
        <w:snapToGrid w:val="0"/>
        <w:spacing w:beforeLines="100" w:line="360" w:lineRule="auto"/>
        <w:outlineLvl w:val="1"/>
        <w:rPr>
          <w:rFonts w:hint="eastAsia" w:ascii="宋体" w:hAnsi="宋体" w:eastAsia="宋体" w:cs="宋体"/>
          <w:bCs/>
          <w:color w:val="auto"/>
          <w:sz w:val="24"/>
          <w:highlight w:val="none"/>
        </w:rPr>
      </w:pPr>
      <w:bookmarkStart w:id="654" w:name="_Toc10595"/>
      <w:bookmarkStart w:id="655" w:name="_Toc10461"/>
      <w:r>
        <w:rPr>
          <w:rFonts w:hint="eastAsia" w:ascii="宋体" w:hAnsi="宋体" w:eastAsia="宋体" w:cs="宋体"/>
          <w:bCs/>
          <w:color w:val="auto"/>
          <w:sz w:val="24"/>
          <w:highlight w:val="none"/>
        </w:rPr>
        <w:t>一、质疑供应商基本信息</w:t>
      </w:r>
      <w:bookmarkEnd w:id="654"/>
      <w:bookmarkEnd w:id="655"/>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地址：邮编：</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联系人：联系电话：</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 邮编：</w:t>
      </w:r>
    </w:p>
    <w:p>
      <w:pPr>
        <w:snapToGrid w:val="0"/>
        <w:spacing w:line="360" w:lineRule="auto"/>
        <w:outlineLvl w:val="1"/>
        <w:rPr>
          <w:rFonts w:hint="eastAsia" w:ascii="宋体" w:hAnsi="宋体" w:eastAsia="宋体" w:cs="宋体"/>
          <w:bCs/>
          <w:color w:val="auto"/>
          <w:sz w:val="24"/>
          <w:highlight w:val="none"/>
        </w:rPr>
      </w:pPr>
      <w:bookmarkStart w:id="656" w:name="_Toc6635"/>
      <w:bookmarkStart w:id="657" w:name="_Toc14546"/>
      <w:r>
        <w:rPr>
          <w:rFonts w:hint="eastAsia" w:ascii="宋体" w:hAnsi="宋体" w:eastAsia="宋体" w:cs="宋体"/>
          <w:bCs/>
          <w:color w:val="auto"/>
          <w:sz w:val="24"/>
          <w:highlight w:val="none"/>
        </w:rPr>
        <w:t>二、质疑项目基本情况</w:t>
      </w:r>
      <w:bookmarkEnd w:id="656"/>
      <w:bookmarkEnd w:id="657"/>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质疑项目的编号：包号：</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p>
    <w:p>
      <w:pPr>
        <w:snapToGrid w:val="0"/>
        <w:spacing w:line="360" w:lineRule="auto"/>
        <w:outlineLvl w:val="1"/>
        <w:rPr>
          <w:rFonts w:hint="eastAsia" w:ascii="宋体" w:hAnsi="宋体" w:eastAsia="宋体" w:cs="宋体"/>
          <w:bCs/>
          <w:color w:val="auto"/>
          <w:sz w:val="24"/>
          <w:highlight w:val="none"/>
        </w:rPr>
      </w:pPr>
      <w:bookmarkStart w:id="658" w:name="_Toc16354"/>
      <w:bookmarkStart w:id="659" w:name="_Toc13051"/>
      <w:r>
        <w:rPr>
          <w:rFonts w:hint="eastAsia" w:ascii="宋体" w:hAnsi="宋体" w:eastAsia="宋体" w:cs="宋体"/>
          <w:bCs/>
          <w:color w:val="auto"/>
          <w:sz w:val="24"/>
          <w:highlight w:val="none"/>
        </w:rPr>
        <w:t>三、质疑事项具体内容</w:t>
      </w:r>
      <w:bookmarkEnd w:id="658"/>
      <w:bookmarkEnd w:id="659"/>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outlineLvl w:val="1"/>
        <w:rPr>
          <w:rFonts w:hint="eastAsia" w:ascii="宋体" w:hAnsi="宋体" w:eastAsia="宋体" w:cs="宋体"/>
          <w:bCs/>
          <w:color w:val="auto"/>
          <w:sz w:val="24"/>
          <w:highlight w:val="none"/>
        </w:rPr>
      </w:pPr>
      <w:bookmarkStart w:id="660" w:name="_Toc16337"/>
      <w:bookmarkStart w:id="661" w:name="_Toc7238"/>
      <w:r>
        <w:rPr>
          <w:rFonts w:hint="eastAsia" w:ascii="宋体" w:hAnsi="宋体" w:eastAsia="宋体" w:cs="宋体"/>
          <w:bCs/>
          <w:color w:val="auto"/>
          <w:sz w:val="24"/>
          <w:highlight w:val="none"/>
        </w:rPr>
        <w:t>四、与质疑事项相关的质疑请求</w:t>
      </w:r>
      <w:bookmarkEnd w:id="660"/>
      <w:bookmarkEnd w:id="661"/>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pStyle w:val="18"/>
        <w:ind w:firstLine="482"/>
        <w:rPr>
          <w:rFonts w:hint="eastAsia" w:ascii="宋体" w:hAnsi="宋体" w:eastAsia="宋体" w:cs="宋体"/>
          <w:b/>
          <w:color w:val="auto"/>
          <w:szCs w:val="24"/>
          <w:highlight w:val="none"/>
        </w:rPr>
      </w:pPr>
    </w:p>
    <w:p>
      <w:pPr>
        <w:pStyle w:val="18"/>
        <w:ind w:firstLine="482"/>
        <w:rPr>
          <w:rFonts w:hint="eastAsia" w:ascii="宋体" w:hAnsi="宋体" w:eastAsia="宋体" w:cs="宋体"/>
          <w:b/>
          <w:color w:val="auto"/>
          <w:szCs w:val="24"/>
          <w:highlight w:val="none"/>
        </w:rPr>
      </w:pPr>
    </w:p>
    <w:p>
      <w:pPr>
        <w:pStyle w:val="18"/>
        <w:ind w:firstLine="482"/>
        <w:rPr>
          <w:rFonts w:hint="eastAsia" w:ascii="宋体" w:hAnsi="宋体" w:eastAsia="宋体" w:cs="宋体"/>
          <w:b/>
          <w:color w:val="auto"/>
          <w:szCs w:val="24"/>
          <w:highlight w:val="none"/>
        </w:rPr>
      </w:pPr>
    </w:p>
    <w:p>
      <w:pPr>
        <w:pStyle w:val="18"/>
        <w:ind w:firstLine="482"/>
        <w:rPr>
          <w:rFonts w:hint="eastAsia" w:ascii="宋体" w:hAnsi="宋体" w:eastAsia="宋体" w:cs="宋体"/>
          <w:b/>
          <w:color w:val="auto"/>
          <w:szCs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left"/>
        <w:rPr>
          <w:rFonts w:hint="eastAsia" w:ascii="宋体" w:hAnsi="宋体" w:eastAsia="宋体" w:cs="宋体"/>
          <w:b/>
          <w:color w:val="auto"/>
          <w:spacing w:val="6"/>
          <w:sz w:val="24"/>
          <w:highlight w:val="none"/>
        </w:rPr>
      </w:pPr>
    </w:p>
    <w:p>
      <w:pPr>
        <w:rPr>
          <w:rFonts w:hint="eastAsia" w:ascii="宋体" w:hAnsi="宋体" w:eastAsia="宋体" w:cs="宋体"/>
          <w:b/>
          <w:color w:val="auto"/>
          <w:spacing w:val="6"/>
          <w:sz w:val="24"/>
          <w:highlight w:val="none"/>
        </w:rPr>
      </w:pPr>
      <w:bookmarkStart w:id="662" w:name="_Toc9781"/>
      <w:r>
        <w:rPr>
          <w:rFonts w:hint="eastAsia" w:ascii="宋体" w:hAnsi="宋体" w:eastAsia="宋体" w:cs="宋体"/>
          <w:b/>
          <w:color w:val="auto"/>
          <w:spacing w:val="6"/>
          <w:sz w:val="24"/>
          <w:highlight w:val="none"/>
        </w:rPr>
        <w:br w:type="page"/>
      </w:r>
    </w:p>
    <w:p>
      <w:pPr>
        <w:spacing w:line="360" w:lineRule="auto"/>
        <w:jc w:val="left"/>
        <w:outlineLvl w:val="1"/>
        <w:rPr>
          <w:rFonts w:hint="eastAsia" w:ascii="宋体" w:hAnsi="宋体" w:eastAsia="宋体" w:cs="宋体"/>
          <w:b/>
          <w:color w:val="auto"/>
          <w:spacing w:val="6"/>
          <w:sz w:val="24"/>
          <w:highlight w:val="none"/>
        </w:rPr>
      </w:pPr>
      <w:bookmarkStart w:id="663" w:name="_Toc2385"/>
      <w:bookmarkStart w:id="664" w:name="_Toc12082"/>
      <w:r>
        <w:rPr>
          <w:rFonts w:hint="eastAsia" w:ascii="宋体" w:hAnsi="宋体" w:eastAsia="宋体" w:cs="宋体"/>
          <w:b/>
          <w:color w:val="auto"/>
          <w:spacing w:val="6"/>
          <w:sz w:val="24"/>
          <w:highlight w:val="none"/>
        </w:rPr>
        <w:t>附件3：投诉书范本及制作说明</w:t>
      </w:r>
      <w:bookmarkEnd w:id="662"/>
      <w:bookmarkEnd w:id="663"/>
      <w:bookmarkEnd w:id="664"/>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投诉书范本</w:t>
      </w:r>
    </w:p>
    <w:p>
      <w:pPr>
        <w:spacing w:line="360" w:lineRule="auto"/>
        <w:outlineLvl w:val="1"/>
        <w:rPr>
          <w:rFonts w:hint="eastAsia" w:ascii="宋体" w:hAnsi="宋体" w:eastAsia="宋体" w:cs="宋体"/>
          <w:color w:val="auto"/>
          <w:sz w:val="24"/>
          <w:highlight w:val="none"/>
        </w:rPr>
      </w:pPr>
      <w:bookmarkStart w:id="665" w:name="_Toc30462"/>
      <w:bookmarkStart w:id="666" w:name="_Toc1367"/>
      <w:r>
        <w:rPr>
          <w:rFonts w:hint="eastAsia" w:ascii="宋体" w:hAnsi="宋体" w:eastAsia="宋体" w:cs="宋体"/>
          <w:color w:val="auto"/>
          <w:sz w:val="24"/>
          <w:highlight w:val="none"/>
        </w:rPr>
        <w:t>一、投诉相关主体基本情况</w:t>
      </w:r>
      <w:bookmarkEnd w:id="665"/>
      <w:bookmarkEnd w:id="666"/>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联系人：联系电话：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联系人：联系电话：</w:t>
      </w:r>
    </w:p>
    <w:p>
      <w:pPr>
        <w:spacing w:line="360" w:lineRule="auto"/>
        <w:outlineLvl w:val="1"/>
        <w:rPr>
          <w:rFonts w:hint="eastAsia" w:ascii="宋体" w:hAnsi="宋体" w:eastAsia="宋体" w:cs="宋体"/>
          <w:color w:val="auto"/>
          <w:sz w:val="24"/>
          <w:highlight w:val="none"/>
        </w:rPr>
      </w:pPr>
      <w:bookmarkStart w:id="667" w:name="_Toc159"/>
      <w:bookmarkStart w:id="668" w:name="_Toc16605"/>
      <w:r>
        <w:rPr>
          <w:rFonts w:hint="eastAsia" w:ascii="宋体" w:hAnsi="宋体" w:eastAsia="宋体" w:cs="宋体"/>
          <w:color w:val="auto"/>
          <w:sz w:val="24"/>
          <w:highlight w:val="none"/>
        </w:rPr>
        <w:t>二、投诉项目基本情况</w:t>
      </w:r>
      <w:bookmarkEnd w:id="667"/>
      <w:bookmarkEnd w:id="668"/>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采购项目编号：包号：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p>
    <w:p>
      <w:pPr>
        <w:spacing w:line="360" w:lineRule="auto"/>
        <w:outlineLvl w:val="1"/>
        <w:rPr>
          <w:rFonts w:hint="eastAsia" w:ascii="宋体" w:hAnsi="宋体" w:eastAsia="宋体" w:cs="宋体"/>
          <w:color w:val="auto"/>
          <w:sz w:val="24"/>
          <w:highlight w:val="none"/>
        </w:rPr>
      </w:pPr>
      <w:bookmarkStart w:id="669" w:name="_Toc22093"/>
      <w:bookmarkStart w:id="670" w:name="_Toc5690"/>
      <w:r>
        <w:rPr>
          <w:rFonts w:hint="eastAsia" w:ascii="宋体" w:hAnsi="宋体" w:eastAsia="宋体" w:cs="宋体"/>
          <w:color w:val="auto"/>
          <w:sz w:val="24"/>
          <w:highlight w:val="none"/>
        </w:rPr>
        <w:t>三、质疑基本情况</w:t>
      </w:r>
      <w:bookmarkEnd w:id="669"/>
      <w:bookmarkEnd w:id="670"/>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投诉人于年月日,向提出质疑，质疑事项为：</w:t>
      </w:r>
    </w:p>
    <w:p>
      <w:pPr>
        <w:spacing w:line="360" w:lineRule="auto"/>
        <w:rPr>
          <w:rFonts w:hint="eastAsia" w:ascii="宋体" w:hAnsi="宋体" w:eastAsia="宋体" w:cs="宋体"/>
          <w:color w:val="auto"/>
          <w:sz w:val="24"/>
          <w:highlight w:val="none"/>
          <w:u w:val="dotted"/>
        </w:rPr>
      </w:pP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于年月日,就质疑事项作出了答复/没有在法定期限内作出答复。</w:t>
      </w:r>
    </w:p>
    <w:p>
      <w:pPr>
        <w:spacing w:line="360" w:lineRule="auto"/>
        <w:outlineLvl w:val="1"/>
        <w:rPr>
          <w:rFonts w:hint="eastAsia" w:ascii="宋体" w:hAnsi="宋体" w:eastAsia="宋体" w:cs="宋体"/>
          <w:color w:val="auto"/>
          <w:sz w:val="24"/>
          <w:highlight w:val="none"/>
        </w:rPr>
      </w:pPr>
      <w:bookmarkStart w:id="671" w:name="_Toc31904"/>
      <w:bookmarkStart w:id="672" w:name="_Toc31268"/>
      <w:r>
        <w:rPr>
          <w:rFonts w:hint="eastAsia" w:ascii="宋体" w:hAnsi="宋体" w:eastAsia="宋体" w:cs="宋体"/>
          <w:color w:val="auto"/>
          <w:sz w:val="24"/>
          <w:highlight w:val="none"/>
        </w:rPr>
        <w:t>四、投诉事项具体内容</w:t>
      </w:r>
      <w:bookmarkEnd w:id="671"/>
      <w:bookmarkEnd w:id="672"/>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p>
    <w:p>
      <w:pPr>
        <w:spacing w:line="360" w:lineRule="auto"/>
        <w:rPr>
          <w:rFonts w:hint="eastAsia" w:ascii="宋体" w:hAnsi="宋体" w:eastAsia="宋体" w:cs="宋体"/>
          <w:color w:val="auto"/>
          <w:sz w:val="24"/>
          <w:highlight w:val="none"/>
          <w:u w:val="dotted"/>
        </w:rPr>
      </w:pP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p>
    <w:p>
      <w:pPr>
        <w:spacing w:line="360" w:lineRule="auto"/>
        <w:rPr>
          <w:rFonts w:hint="eastAsia" w:ascii="宋体" w:hAnsi="宋体" w:eastAsia="宋体" w:cs="宋体"/>
          <w:color w:val="auto"/>
          <w:sz w:val="24"/>
          <w:highlight w:val="none"/>
          <w:u w:val="dotted"/>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outlineLvl w:val="1"/>
        <w:rPr>
          <w:rFonts w:hint="eastAsia" w:ascii="宋体" w:hAnsi="宋体" w:eastAsia="宋体" w:cs="宋体"/>
          <w:color w:val="auto"/>
          <w:sz w:val="24"/>
          <w:highlight w:val="none"/>
        </w:rPr>
      </w:pPr>
      <w:bookmarkStart w:id="673" w:name="_Toc27542"/>
      <w:bookmarkStart w:id="674" w:name="_Toc22980"/>
      <w:r>
        <w:rPr>
          <w:rFonts w:hint="eastAsia" w:ascii="宋体" w:hAnsi="宋体" w:eastAsia="宋体" w:cs="宋体"/>
          <w:color w:val="auto"/>
          <w:sz w:val="24"/>
          <w:highlight w:val="none"/>
        </w:rPr>
        <w:t>五、与投诉事项相关的投诉请求</w:t>
      </w:r>
      <w:bookmarkEnd w:id="673"/>
      <w:bookmarkEnd w:id="674"/>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rPr>
          <w:rFonts w:hint="eastAsia" w:ascii="宋体" w:hAnsi="宋体" w:eastAsia="宋体" w:cs="宋体"/>
          <w:b/>
          <w:color w:val="auto"/>
          <w:spacing w:val="6"/>
          <w:sz w:val="24"/>
          <w:highlight w:val="none"/>
        </w:rPr>
      </w:pPr>
      <w:bookmarkStart w:id="675" w:name="_Toc12862"/>
      <w:r>
        <w:rPr>
          <w:rFonts w:hint="eastAsia" w:ascii="宋体" w:hAnsi="宋体" w:eastAsia="宋体" w:cs="宋体"/>
          <w:b/>
          <w:color w:val="auto"/>
          <w:spacing w:val="6"/>
          <w:sz w:val="24"/>
          <w:highlight w:val="none"/>
        </w:rPr>
        <w:br w:type="page"/>
      </w:r>
    </w:p>
    <w:p>
      <w:pPr>
        <w:autoSpaceDE w:val="0"/>
        <w:autoSpaceDN w:val="0"/>
        <w:jc w:val="both"/>
        <w:outlineLvl w:val="0"/>
        <w:rPr>
          <w:rFonts w:hint="eastAsia" w:ascii="宋体" w:hAnsi="宋体" w:eastAsia="宋体" w:cs="宋体"/>
          <w:b/>
          <w:bCs/>
          <w:color w:val="auto"/>
          <w:sz w:val="24"/>
          <w:highlight w:val="none"/>
          <w:lang w:val="en-US" w:eastAsia="zh-CN"/>
        </w:rPr>
      </w:pPr>
      <w:bookmarkStart w:id="676" w:name="_Toc9252"/>
      <w:bookmarkStart w:id="677" w:name="_Toc16241"/>
      <w:r>
        <w:rPr>
          <w:rFonts w:hint="eastAsia" w:ascii="宋体" w:hAnsi="宋体" w:eastAsia="宋体" w:cs="宋体"/>
          <w:b/>
          <w:color w:val="auto"/>
          <w:spacing w:val="6"/>
          <w:sz w:val="24"/>
          <w:highlight w:val="none"/>
        </w:rPr>
        <w:t>附件4：</w:t>
      </w:r>
      <w:r>
        <w:rPr>
          <w:rFonts w:hint="eastAsia" w:ascii="宋体" w:hAnsi="宋体" w:eastAsia="宋体" w:cs="宋体"/>
          <w:b/>
          <w:bCs/>
          <w:color w:val="auto"/>
          <w:sz w:val="24"/>
          <w:highlight w:val="none"/>
        </w:rPr>
        <w:t>业务专用章使用说明函</w:t>
      </w:r>
      <w:bookmarkEnd w:id="675"/>
      <w:bookmarkEnd w:id="676"/>
      <w:bookmarkEnd w:id="677"/>
      <w:r>
        <w:rPr>
          <w:rFonts w:hint="eastAsia" w:ascii="宋体" w:hAnsi="宋体" w:eastAsia="宋体" w:cs="宋体"/>
          <w:b/>
          <w:bCs/>
          <w:color w:val="auto"/>
          <w:sz w:val="24"/>
          <w:highlight w:val="none"/>
          <w:lang w:val="en-US" w:eastAsia="zh-CN"/>
        </w:rPr>
        <w:t>格式</w:t>
      </w:r>
    </w:p>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业务专用章使用说明函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你方组织的（项目名称）项目【招标编号：（采购编号）】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3H4BjC8CAACCBAAADgAAAGRycy9lMm9Eb2MueG1srVTB btswDL0P2D8Iuq+O3aRZjTpF0SDDgG4r1u0DFFm2hUmiRilxsq8fLbtd2u3Qw3wwRJN6eu+R8tX1 wRq2Vxg0uIrnZzPOlJNQa9dW/Pu3zbv3nIUoXC0MOFXxowr8evX2zVXvS1VAB6ZWyAjEhbL3Fe9i 9GWWBdkpK8IZeOUo2QBaESnENqtR9IRuTVbMZhdZD1h7BKlCoK/rMcknRHwNIDSNlmoNcmeViyMq KiMiSQqd9oGvEtumUTJ+aZqgIjMVJ6UxvekQWm+Hd7a6EmWLwndaThTEayi80GSFdnToE9RaRMF2 qP+CsloiBGjimQSbjUKSI6Qin73w5qETXiUtZHXwT6aH/wcrP+/vkem64uecOWGp4V/JNOFao1i+ HPzpfSip7MHf46Aw+DuQPwJzcNtRmbpBhL5ToiZW+VCfPdswBIG2sm3/CWqCF7sIyapDg3YAJBPY IXXk+NQRdYhM0sdiOZvPLxacScoVxeL8Il+kM0T5uN1jiB8UWDYsKo7EPsGL/V2IAx1RPpYk+mB0 vdHGpADb7a1Bthc0Hpv0TOjhtMw41lf8clEsEvKzXDiFmKXnXxBWR7o1RluScVpk3MBDpUmd+D46 Njq/hfpI7iGMo0sXlxYd4C/OehrbioefO4GKM/PRUQcu8/l8mPMUzBfLggI8zWxPM8JJgqp45Gxc 3sbxbuw86rajk/Kk2MENda3Ryc+B38hq6jWNZrJ5ukbD7J/GqerPr2P1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cfgGM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br w:type="page"/>
      </w:r>
    </w:p>
    <w:p>
      <w:pPr>
        <w:autoSpaceDE w:val="0"/>
        <w:autoSpaceDN w:val="0"/>
        <w:jc w:val="both"/>
        <w:outlineLvl w:val="0"/>
        <w:rPr>
          <w:rFonts w:hint="eastAsia" w:ascii="宋体" w:hAnsi="宋体" w:eastAsia="宋体" w:cs="宋体"/>
          <w:b/>
          <w:bCs/>
          <w:color w:val="auto"/>
          <w:sz w:val="24"/>
          <w:highlight w:val="none"/>
        </w:rPr>
      </w:pPr>
      <w:bookmarkStart w:id="678" w:name="_Toc20456"/>
      <w:bookmarkStart w:id="679" w:name="_Toc26235"/>
      <w:bookmarkStart w:id="680" w:name="_Toc3787"/>
      <w:r>
        <w:rPr>
          <w:rFonts w:hint="eastAsia" w:ascii="宋体" w:hAnsi="宋体" w:eastAsia="宋体" w:cs="宋体"/>
          <w:b/>
          <w:color w:val="auto"/>
          <w:spacing w:val="6"/>
          <w:sz w:val="24"/>
          <w:highlight w:val="none"/>
        </w:rPr>
        <w:t>附件5：</w:t>
      </w:r>
      <w:r>
        <w:rPr>
          <w:rFonts w:hint="eastAsia" w:ascii="宋体" w:hAnsi="宋体" w:eastAsia="宋体" w:cs="宋体"/>
          <w:b/>
          <w:color w:val="auto"/>
          <w:sz w:val="24"/>
          <w:highlight w:val="none"/>
        </w:rPr>
        <w:t>中小企业声明函</w:t>
      </w:r>
      <w:bookmarkEnd w:id="678"/>
      <w:bookmarkEnd w:id="679"/>
      <w:bookmarkEnd w:id="680"/>
    </w:p>
    <w:p>
      <w:pPr>
        <w:spacing w:line="360" w:lineRule="auto"/>
        <w:jc w:val="center"/>
        <w:rPr>
          <w:rFonts w:hint="eastAsia" w:ascii="宋体" w:hAnsi="宋体" w:eastAsia="宋体" w:cs="宋体"/>
          <w:color w:val="auto"/>
          <w:sz w:val="24"/>
          <w:highlight w:val="none"/>
          <w:u w:val="single"/>
        </w:rPr>
      </w:pPr>
    </w:p>
    <w:p>
      <w:pPr>
        <w:spacing w:line="360" w:lineRule="auto"/>
        <w:jc w:val="center"/>
        <w:outlineLvl w:val="0"/>
        <w:rPr>
          <w:rFonts w:hint="eastAsia" w:ascii="宋体" w:hAnsi="宋体" w:eastAsia="宋体" w:cs="宋体"/>
          <w:color w:val="auto"/>
          <w:sz w:val="24"/>
          <w:highlight w:val="none"/>
        </w:rPr>
      </w:pPr>
      <w:bookmarkStart w:id="681" w:name="_Toc30858"/>
      <w:bookmarkStart w:id="682" w:name="_Toc25443"/>
      <w:r>
        <w:rPr>
          <w:rFonts w:hint="eastAsia" w:ascii="宋体" w:hAnsi="宋体" w:eastAsia="宋体" w:cs="宋体"/>
          <w:b/>
          <w:color w:val="auto"/>
          <w:sz w:val="24"/>
          <w:highlight w:val="none"/>
        </w:rPr>
        <w:t>中小企业声明函（服务）</w:t>
      </w:r>
      <w:bookmarkEnd w:id="681"/>
      <w:bookmarkEnd w:id="682"/>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，从业人员人，营业收入为万元，资产总额为万元属于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，从业人员人，营业收入为万元，资产总额为万元属于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6120" w:firstLineChars="25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right="1120"/>
        <w:rPr>
          <w:rFonts w:hint="eastAsia" w:ascii="宋体" w:hAnsi="宋体" w:eastAsia="宋体" w:cs="宋体"/>
          <w:color w:val="auto"/>
          <w:sz w:val="24"/>
          <w:highlight w:val="none"/>
        </w:rPr>
      </w:pPr>
      <w:r>
        <w:rPr>
          <w:rFonts w:hint="eastAsia" w:ascii="宋体" w:hAnsi="宋体" w:eastAsia="宋体" w:cs="宋体"/>
          <w:b/>
          <w:color w:val="auto"/>
          <w:sz w:val="24"/>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eastAsia="宋体" w:cs="宋体"/>
          <w:color w:val="auto"/>
          <w:sz w:val="24"/>
          <w:highlight w:val="none"/>
        </w:rPr>
      </w:pPr>
    </w:p>
    <w:sectPr>
      <w:footerReference r:id="rId13" w:type="default"/>
      <w:pgSz w:w="11906" w:h="16838"/>
      <w:pgMar w:top="1474" w:right="1587" w:bottom="1474" w:left="1587" w:header="851" w:footer="992" w:gutter="0"/>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lang w:val="en-US" w:eastAsia="zh-CN"/>
                            </w:rPr>
                            <w:t>77</w:t>
                          </w:r>
                          <w:r>
                            <w:rPr>
                              <w:rFonts w:hint="eastAsia" w:ascii="宋体" w:hAnsi="宋体" w:eastAsia="宋体" w:cs="宋体"/>
                            </w:rPr>
                            <w:t xml:space="preserve"> </w:t>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L10G3Y3AgAAbwQAAA4AAABkcnMvZTJvRG9jLnhtbK1UzY7TMBC+I/EO lu80aRGrKmq6KlsVIVXsSgVxdh2nieQ/2W6T8gDwBpy4cOe5+hx8zk8XLRz2wMUZe8bfzPfNOIvb VklyEs7XRud0OkkpEZqbotaHnH76uHk1p8QHpgsmjRY5PQtPb5cvXywam4mZqYwshCMA0T5rbE6r EGyWJJ5XQjE/MVZoOEvjFAvYukNSONYAXclklqY3SWNcYZ3hwnucrnsnHRDdcwBNWdZcrA0/KqFD j+qEZAGUfFVbT5ddtWUpeLgvSy8CkTkF09CtSAJ7H9dkuWDZwTFb1XwogT2nhCecFKs1kl6h1iww cnT1X1Cq5s54U4YJNyrpiXSKgMU0faLNrmJWdFwgtbdX0f3/g+UfTg+O1AUmgRLNFBp++f7t8uPX 5edXMo3yNNZniNpZxIX2rWlj6HDucRhZt6VT8Qs+BH6Ie76KK9pAeLw0n83nKVwcvnEDnOTxunU+ vBNGkWjk1KF7najstPWhDx1DYjZtNrWUOGeZ1KTJ6c3rN2l34eoBuNQxQHSzMMBESn3p0Qrtvh34 7E1xBk1n+jnxlm9qlLJlPjwwh8FA+Xg64R5LKQ1SmsGipDLuy7/OYzz6BS8lDQYtpxrvihL5XqOP AAyj4UZjPxr6qO4MJhe9QS2diQsuyNEsnVGf8Z5WMQdcTHNkymkYzbvQDzveIxerVRd0tK4+VP0F TKFlYat3lsc0USpvV8cAaTvFo0C9KuhU3GAOu54NbyYO+p/7LurxP7H8DV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C9dBt2NwIAAG8EAAAOAAAAAAAAAAEAIAAAAB8BAABkcnMvZTJvRG9jLnht bFBLBQYAAAAABgAGAFkBAADIBQAAAAA= ">
              <v:fill on="f" focussize="0,0"/>
              <v:stroke on="f" weight="0.5pt"/>
              <v:imagedata o:title=""/>
              <o:lock v:ext="edit" aspectratio="f"/>
              <v:textbox inset="0mm,0mm,0mm,0mm" style="mso-fit-shape-to-text:t;">
                <w:txbxContent>
                  <w:p>
                    <w:pPr>
                      <w:pStyle w:val="12"/>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lang w:val="en-US" w:eastAsia="zh-CN"/>
                      </w:rPr>
                      <w:t>77</w:t>
                    </w:r>
                    <w:r>
                      <w:rPr>
                        <w:rFonts w:hint="eastAsia" w:ascii="宋体" w:hAnsi="宋体" w:eastAsia="宋体" w:cs="宋体"/>
                      </w:rPr>
                      <w:t xml:space="preserve"> </w:t>
                    </w:r>
                    <w: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kern w:val="0"/>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lang w:val="en-US" w:eastAsia="zh-CN"/>
                            </w:rPr>
                            <w:t>77</w:t>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tzQzU3AgAAcQQAAA4AAABkcnMvZTJvRG9jLnhtbK1UzY7TMBC+I/EO lu80bRGrqmq6KlsVIVXsSgVxdh2nieQ/2W6T8gDwBpy4cOe5+hx8dpIuWjjsgYsz9oy/me+bcRa3 rZLkJJyvjc7pZDSmRGhuilofcvrp4+bVjBIfmC6YNFrk9Cw8vV2+fLFo7FxMTWVkIRwBiPbzxua0 CsHOs8zzSijmR8YKDWdpnGIBW3fICscaoCuZTcfjm6wxrrDOcOE9Ttedk/aI7jmApixrLtaGH5XQ oUN1QrIASr6qrafLVG1ZCh7uy9KLQGROwTSkFUlg7+OaLRdsfnDMVjXvS2DPKeEJJ8VqjaRXqDUL jBxd/ReUqrkz3pRhxI3KOiJJEbCYjJ9os6uYFYkLpPb2Krr/f7D8w+nBkbrAJEwo0Uyh45fv3y4/ fl1+fiU4g0CN9XPE7SwiQ/vWtAgezj0OI++2dCp+wYjAD3nPV3lFGwiPl2bT2WwMF4dv2AA/e7xu nQ/vhFEkGjl16F+SlZ22PnShQ0jMps2mljL1UGrS5PTm9ZtxunD1AFzqGCvSNPQwkVJXerRCu297 nntTnEHTmW5SvOWbGqVsmQ8PzGE0UD4eT7jHUkqDlKa3KKmM+/Kv8xiPjsFLSYNRy6nGy6JEvtfo JADDYLjB2A+GPqo7g9lFc1BLMnHBBTmYpTPqM17UKuaAi2mOTDkNg3kXunHHi+RitUpBR+vqQ9Vd wBxaFrZ6Z3lME6XydnUMkDYpHgXqVEGn4gaTmHrWv5o46n/uU9Tjn2L5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B7c0M1NwIAAHEEAAAOAAAAAAAAAAEAIAAAAB8BAABkcnMvZTJvRG9jLnht bFBLBQYAAAAABgAGAFkBAADIBQAAAAA= ">
              <v:fill on="f" focussize="0,0"/>
              <v:stroke on="f" weight="0.5pt"/>
              <v:imagedata o:title=""/>
              <o:lock v:ext="edit" aspectratio="f"/>
              <v:textbox inset="0mm,0mm,0mm,0mm" style="mso-fit-shape-to-text:t;">
                <w:txbxContent>
                  <w:p>
                    <w:pPr>
                      <w:pStyle w:val="12"/>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lang w:val="en-US" w:eastAsia="zh-CN"/>
                      </w:rPr>
                      <w:t>77</w:t>
                    </w:r>
                    <w:r>
                      <w:rPr>
                        <w:rFonts w:hint="eastAsia" w:ascii="宋体" w:hAnsi="宋体" w:eastAsia="宋体" w:cs="宋体"/>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ilnPo4AgAAcQ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QFJmFKiWYKHb98/3b5 8evy8yvBHQRqrJ8jbmcRGdq3pkXwcO9xGXm3pVPxF4wI/JD3fJVXtIHw+Gg2nc3GcHH4hgPws8fn 1vnwThhFopFTh/4lWdlp60MXOoTEbNpsailTD6UmTU5vXr8ZpwdXD8CljrEiTUMPEyl1pUcrtPu2 57k3xRk0nekmxVu+qVHKlvnwwBxGA+VjecI9PqU0SGl6i5LKuC//uo/x6Bi8lDQYtZxqbBYl8r1G JwEYBsMNxn4w9FHdGczuBEtpeTLxwAU5mKUz6jM2ahVzwMU0R6achsG8C924YyO5WK1S0NG6+lB1 DzCHloWt3lke00SpvF0dA6RNikeBOlXQqXjAJKae9VsTR/3Pc4p6/KdY/gZ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GKWc+jgCAABxBAAADgAAAAAAAAABACAAAAAfAQAAZHJzL2Uyb0RvYy54 bWxQSwUGAAAAAAYABgBZAQAAyQUAAAAA ">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48</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lang w:val="en-US" w:eastAsia="zh-CN"/>
                            </w:rPr>
                            <w:t>77</w:t>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DkX1r85AgAAcQQAAA4AAABkcnMvZTJvRG9jLnhtbK1UzY7TMBC+I/EO lu80bVesqqrpqmxVhFSxKy2Is+s4TST/yXablAeAN+DEhTvP1efYz07SRQuHPXBJx57xN/N9M9PF TaskOQrna6NzOhmNKRGam6LW+5x+/rR5M6PEB6YLJo0WOT0JT2+Wr18tGjsXU1MZWQhHAKL9vLE5 rUKw8yzzvBKK+ZGxQsNZGqdYwNHts8KxBuhKZtPx+DprjCusM1x4j9t156Q9onsJoCnLmou14Qcl dOhQnZAsgJKvauvpMlVbloKHu7L0IhCZUzAN6YsksHfxmy0XbL53zFY170tgLynhGSfFao2kF6g1 C4wcXP0XlKq5M96UYcSNyjoiSRGwmIyfafNQMSsSF0jt7UV0//9g+cfjvSN1gUm4okQzhY6ff3w/ //x9/vWN4A4CNdbPEfdgERnad6ZF8HDvcRl5t6VT8ReMCPyQ93SRV7SB8PhoNp3NxnBx+IYD8LOn 59b58F4YRaKRU4f+JVnZcetDFzqExGzabGopUw+lJk1Or6/ejtODiwfgUsdYkaahh4mUutKjFdpd 2/PcmeIEms50k+It39QoZct8uGcOo4HysTzhDp9SGqQ0vUVJZdzXf93HeHQMXkoajFpONTaLEvlB o5MADIPhBmM3GPqgbg1md4KltDyZeOCCHMzSGfUFG7WKOeBimiNTTsNg3oZu3LGRXKxWKehgXb2v ugeYQ8vCVj9YHtNEqbxdHQKkTYpHgTpV0Kl4wCSmnvVbE0f9z3OKevqnWD4C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ogQAAFtDb250ZW50X1R5 cGVzXS54bWxQSwECFAAKAAAAAACHTuJAAAAAAAAAAAAAAAAABgAAAAAAAAAAABAAAACEAwAAX3Jl bHMvUEsBAhQAFAAAAAgAh07iQIoUZjzRAAAAlAEAAAsAAAAAAAAAAQAgAAAAqAMAAF9yZWxzLy5y ZWxzUEsBAhQACgAAAAAAh07iQAAAAAAAAAAAAAAAAAQAAAAAAAAAAAAQAAAAAAAAAGRycy9QSwEC FAAUAAAACACHTuJAs0lY7tAAAAAFAQAADwAAAAAAAAABACAAAAAiAAAAZHJzL2Rvd25yZXYueG1s UEsBAhQAFAAAAAgAh07iQDkX1r85AgAAcQQAAA4AAAAAAAAAAQAgAAAAHwEAAGRycy9lMm9Eb2Mu eG1sUEsFBgAAAAAGAAYAWQEAAMoFAAAAAA== ">
              <v:fill on="f" focussize="0,0"/>
              <v:stroke on="f" weight="0.5pt"/>
              <v:imagedata o:title=""/>
              <o:lock v:ext="edit" aspectratio="f"/>
              <v:textbox inset="0mm,0mm,0mm,0mm" style="mso-fit-shape-to-text:t;">
                <w:txbxContent>
                  <w:p>
                    <w:pPr>
                      <w:pStyle w:val="12"/>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48</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lang w:val="en-US" w:eastAsia="zh-CN"/>
                      </w:rPr>
                      <w:t>77</w:t>
                    </w:r>
                    <w:r>
                      <w:rPr>
                        <w:rFonts w:hint="eastAsia" w:ascii="宋体" w:hAnsi="宋体" w:eastAsia="宋体" w:cs="宋体"/>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t xml:space="preserve">第 </w:t>
                          </w:r>
                          <w:r>
                            <w:fldChar w:fldCharType="begin"/>
                          </w:r>
                          <w:r>
                            <w:instrText xml:space="preserve"> PAGE  \* MERGEFORMAT </w:instrText>
                          </w:r>
                          <w:r>
                            <w:fldChar w:fldCharType="separate"/>
                          </w:r>
                          <w:r>
                            <w:t>47</w:t>
                          </w:r>
                          <w:r>
                            <w:fldChar w:fldCharType="end"/>
                          </w:r>
                          <w:r>
                            <w:t xml:space="preserve"> 页 共 </w:t>
                          </w:r>
                          <w:r>
                            <w:rPr>
                              <w:rFonts w:hint="eastAsia"/>
                              <w:lang w:val="en-US" w:eastAsia="zh-CN"/>
                            </w:rPr>
                            <w:t>77</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8PUr45AgAAcQQAAA4AAABkcnMvZTJvRG9jLnhtbK1UzY7TMBC+I/EO lu80aYFVVTVdla2KkCp2pQVxdh2nieQ/2W6T8gDwBpy4cN/n6nPw2Wm6aOGwBy7p2DP+Zr5vZjq/ 7pQkB+F8Y3RBx6OcEqG5KRu9K+jnT+tXU0p8YLpk0mhR0KPw9Hrx8sW8tTMxMbWRpXAEINrPWlvQ OgQ7yzLPa6GYHxkrNJyVcYoFHN0uKx1rga5kNsnzq6w1rrTOcOE9ble9k54R3XMATVU1XKwM3yuh Q4/qhGQBlHzdWE8XqdqqEjzcVpUXgciCgmlIXySBvY3fbDFns51jtm74uQT2nBKecFKs0Uh6gVqx wMjeNX9BqYY7400VRtyorCeSFAGLcf5Em/uaWZG4QGpvL6L7/wfLPx7uHGlKTMIbSjRT6Pjpx/fT z4fTr28EdxCotX6GuHuLyNC9Mx2Ch3uPy8i7q5yKv2BE4Ie8x4u8oguEx0fTyXSaw8XhGw7Azx6f W+fDe2EUiUZBHfqXZGWHjQ996BASs2mzbqRMPZSatAW9ev02Tw8uHoBLHWNFmoYzTKTUlx6t0G27 M8+tKY+g6Uw/Kd7ydYNSNsyHO+YwGigfyxNu8amkQUpztiipjfv6r/sYj47BS0mLUSuoxmZRIj9o dBKAYTDcYGwHQ+/VjcHsjrGUlicTD1yQg1k5o75go5YxB1xMc2QqaBjMm9CPOzaSi+UyBe2ta3Z1 /wBzaFnY6HvLY5oolbfLfYC0SfEoUK8KOhUPmMTUs/PWxFH/85yiHv8pFr8B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ogQAAFtDb250ZW50X1R5 cGVzXS54bWxQSwECFAAKAAAAAACHTuJAAAAAAAAAAAAAAAAABgAAAAAAAAAAABAAAACEAwAAX3Jl bHMvUEsBAhQAFAAAAAgAh07iQIoUZjzRAAAAlAEAAAsAAAAAAAAAAQAgAAAAqAMAAF9yZWxzLy5y ZWxzUEsBAhQACgAAAAAAh07iQAAAAAAAAAAAAAAAAAQAAAAAAAAAAAAQAAAAAAAAAGRycy9QSwEC FAAUAAAACACHTuJAs0lY7tAAAAAFAQAADwAAAAAAAAABACAAAAAiAAAAZHJzL2Rvd25yZXYueG1s UEsBAhQAFAAAAAgAh07iQJ8PUr45AgAAcQQAAA4AAAAAAAAAAQAgAAAAHwEAAGRycy9lMm9Eb2Mu eG1sUEsFBgAAAAAGAAYAWQEAAMoFAAAAAA== ">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47</w:t>
                    </w:r>
                    <w:r>
                      <w:fldChar w:fldCharType="end"/>
                    </w:r>
                    <w:r>
                      <w:t xml:space="preserve"> 页 共 </w:t>
                    </w:r>
                    <w:r>
                      <w:rPr>
                        <w:rFonts w:hint="eastAsia"/>
                        <w:lang w:val="en-US" w:eastAsia="zh-CN"/>
                      </w:rPr>
                      <w:t>77</w:t>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rPr>
                              <w:rFonts w:hint="eastAsia" w:ascii="宋体" w:hAnsi="宋体" w:eastAsia="宋体" w:cs="宋体"/>
                            </w:rPr>
                          </w:pPr>
                          <w:r>
                            <w:t>第</w:t>
                          </w: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69</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lang w:val="en-US" w:eastAsia="zh-CN"/>
                            </w:rPr>
                            <w:t>77</w:t>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L69GPs5AgAAcQQAAA4AAABkcnMvZTJvRG9jLnhtbK1UzY7TMBC+I/EO lu80bdGuqqrpqmxVhFSxKy2Is+s4TST/yXablAeAN+DEhTvP1efYz07SRQuHPXBJx57xN/N9M9PF TaskOQrna6NzOhmNKRGam6LW+5x+/rR5M6PEB6YLJo0WOT0JT2+Wr18tGjsXU1MZWQhHAKL9vLE5 rUKw8yzzvBKK+ZGxQsNZGqdYwNHts8KxBuhKZtPx+DprjCusM1x4j9t156Q9onsJoCnLmou14Qcl dOhQnZAsgJKvauvpMlVbloKHu7L0IhCZUzAN6YsksHfxmy0XbL53zFY170tgLynhGSfFao2kF6g1 C4wcXP0XlKq5M96UYcSNyjoiSRGwmIyfafNQMSsSF0jt7UV0//9g+cfjvSN1gUm4okQzhY6ff3w/ //x9/vWN4A4CNdbPEfdgERnad6ZF8HDvcRl5t6VT8ReMCPyQ93SRV7SB8PhoNp3NxnBx+IYD8LOn 59b58F4YRaKRU4f+JVnZcetDFzqExGzabGopUw+lJk1Or99ejdODiwfgUsdYkaahh4mUutKjFdpd 2/PcmeIEms50k+It39QoZct8uGcOo4HysTzhDp9SGqQ0vUVJZdzXf93HeHQMXkoajFpONTaLEvlB o5MADIPhBmM3GPqgbg1md4KltDyZeOCCHMzSGfUFG7WKOeBimiNTTsNg3oZu3LGRXKxWKehgXb2v ugeYQ8vCVj9YHtNEqbxdHQKkTYpHgTpV0Kl4wCSmnvVbE0f9z3OKevqnWD4C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ogQAAFtDb250ZW50X1R5 cGVzXS54bWxQSwECFAAKAAAAAACHTuJAAAAAAAAAAAAAAAAABgAAAAAAAAAAABAAAACEAwAAX3Jl bHMvUEsBAhQAFAAAAAgAh07iQIoUZjzRAAAAlAEAAAsAAAAAAAAAAQAgAAAAqAMAAF9yZWxzLy5y ZWxzUEsBAhQACgAAAAAAh07iQAAAAAAAAAAAAAAAAAQAAAAAAAAAAAAQAAAAAAAAAGRycy9QSwEC FAAUAAAACACHTuJAs0lY7tAAAAAFAQAADwAAAAAAAAABACAAAAAiAAAAZHJzL2Rvd25yZXYueG1s UEsBAhQAFAAAAAgAh07iQL69GPs5AgAAcQQAAA4AAAAAAAAAAQAgAAAAHwEAAGRycy9lMm9Eb2Mu eG1sUEsFBgAAAAAGAAYAWQEAAMoFAAAAAA== ">
              <v:fill on="f" focussize="0,0"/>
              <v:stroke on="f" weight="0.5pt"/>
              <v:imagedata o:title=""/>
              <o:lock v:ext="edit" aspectratio="f"/>
              <v:textbox inset="0mm,0mm,0mm,0mm" style="mso-fit-shape-to-text:t;">
                <w:txbxContent>
                  <w:p>
                    <w:pPr>
                      <w:pStyle w:val="12"/>
                      <w:rPr>
                        <w:rFonts w:hint="eastAsia" w:ascii="宋体" w:hAnsi="宋体" w:eastAsia="宋体" w:cs="宋体"/>
                      </w:rPr>
                    </w:pPr>
                    <w:r>
                      <w:t>第</w:t>
                    </w: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69</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lang w:val="en-US" w:eastAsia="zh-CN"/>
                      </w:rPr>
                      <w:t>77</w:t>
                    </w:r>
                    <w:r>
                      <w:rPr>
                        <w:rFonts w:hint="eastAsia" w:ascii="宋体" w:hAnsi="宋体" w:eastAsia="宋体" w:cs="宋体"/>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lang w:eastAsia="zh-CN"/>
      </w:rPr>
      <w:t>嘉兴市第一医院2022至2023年安保服务项目</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firstLine="4140" w:firstLineChars="2300"/>
      <w:jc w:val="right"/>
      <w:rPr>
        <w:sz w:val="18"/>
        <w:szCs w:val="18"/>
      </w:rPr>
    </w:pPr>
    <w:r>
      <w:rPr>
        <w:rFonts w:hint="eastAsia" w:ascii="宋体" w:hAnsi="宋体"/>
        <w:sz w:val="18"/>
        <w:szCs w:val="18"/>
        <w:lang w:eastAsia="zh-CN"/>
      </w:rPr>
      <w:t>嘉兴市第一医院2022至2023年安保服务项目</w:t>
    </w:r>
    <w:r>
      <w:rPr>
        <w:rFonts w:hint="eastAsia" w:ascii="宋体" w:hAnsi="宋体"/>
        <w:sz w:val="18"/>
        <w:szCs w:val="18"/>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_GB2312" w:eastAsia="仿宋_GB2312"/>
        <w:b/>
        <w:i/>
        <w:u w:val="single"/>
      </w:rPr>
    </w:pPr>
    <w:r>
      <w:rPr>
        <w:rFonts w:hint="eastAsia"/>
        <w:lang w:eastAsia="zh-CN"/>
      </w:rPr>
      <w:t>嘉兴市第一医院2022至2023年安保服务项目</w:t>
    </w:r>
    <w:r>
      <w:rPr>
        <w:rFonts w:hint="eastAsia"/>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t></w:t>
    </w:r>
    <w:r>
      <w:rPr>
        <w:rFonts w:hint="eastAsia"/>
        <w:lang w:eastAsia="zh-CN"/>
      </w:rPr>
      <w:t>嘉兴市第一医院2022至2023年安保服务项目</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614A6"/>
    <w:multiLevelType w:val="singleLevel"/>
    <w:tmpl w:val="B7F614A6"/>
    <w:lvl w:ilvl="0" w:tentative="0">
      <w:start w:val="1"/>
      <w:numFmt w:val="decimal"/>
      <w:suff w:val="nothing"/>
      <w:lvlText w:val="（%1）"/>
      <w:lvlJc w:val="left"/>
    </w:lvl>
  </w:abstractNum>
  <w:abstractNum w:abstractNumId="1">
    <w:nsid w:val="7F298CC8"/>
    <w:multiLevelType w:val="singleLevel"/>
    <w:tmpl w:val="7F298CC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mMzOGM2N2I0OTQ4OWYzMDhjODNmMGI5NDY0NzcifQ=="/>
  </w:docVars>
  <w:rsids>
    <w:rsidRoot w:val="6B980729"/>
    <w:rsid w:val="0004212D"/>
    <w:rsid w:val="000C6A48"/>
    <w:rsid w:val="00107E53"/>
    <w:rsid w:val="001E2D0A"/>
    <w:rsid w:val="0031642A"/>
    <w:rsid w:val="0033063F"/>
    <w:rsid w:val="003405D4"/>
    <w:rsid w:val="003918F2"/>
    <w:rsid w:val="00402A2E"/>
    <w:rsid w:val="00413F5D"/>
    <w:rsid w:val="00474D68"/>
    <w:rsid w:val="004E1CC8"/>
    <w:rsid w:val="005628BF"/>
    <w:rsid w:val="00563DAB"/>
    <w:rsid w:val="00590013"/>
    <w:rsid w:val="005B4951"/>
    <w:rsid w:val="005F20E1"/>
    <w:rsid w:val="00604BB1"/>
    <w:rsid w:val="00633D5F"/>
    <w:rsid w:val="00663D2A"/>
    <w:rsid w:val="006D060F"/>
    <w:rsid w:val="00732F25"/>
    <w:rsid w:val="00777FB6"/>
    <w:rsid w:val="00875406"/>
    <w:rsid w:val="00937E70"/>
    <w:rsid w:val="009722C4"/>
    <w:rsid w:val="009A01FE"/>
    <w:rsid w:val="009D6D98"/>
    <w:rsid w:val="00A648FF"/>
    <w:rsid w:val="00A81D03"/>
    <w:rsid w:val="00A835C6"/>
    <w:rsid w:val="00AE2A6E"/>
    <w:rsid w:val="00B07645"/>
    <w:rsid w:val="00B1032D"/>
    <w:rsid w:val="00B471A3"/>
    <w:rsid w:val="00B948E1"/>
    <w:rsid w:val="00BD32C5"/>
    <w:rsid w:val="00C66F76"/>
    <w:rsid w:val="00C97D16"/>
    <w:rsid w:val="00CB0840"/>
    <w:rsid w:val="00CB275C"/>
    <w:rsid w:val="00D019B5"/>
    <w:rsid w:val="00D257C5"/>
    <w:rsid w:val="00D3320F"/>
    <w:rsid w:val="00EB0EF7"/>
    <w:rsid w:val="00F05800"/>
    <w:rsid w:val="00F318EF"/>
    <w:rsid w:val="00FA362B"/>
    <w:rsid w:val="016C344F"/>
    <w:rsid w:val="019D55FE"/>
    <w:rsid w:val="01B91D0C"/>
    <w:rsid w:val="02493585"/>
    <w:rsid w:val="025F4662"/>
    <w:rsid w:val="02664C0C"/>
    <w:rsid w:val="04252E2B"/>
    <w:rsid w:val="04381372"/>
    <w:rsid w:val="049251C3"/>
    <w:rsid w:val="064918B1"/>
    <w:rsid w:val="08B43399"/>
    <w:rsid w:val="09263969"/>
    <w:rsid w:val="09345D8E"/>
    <w:rsid w:val="09DE3F82"/>
    <w:rsid w:val="0B030705"/>
    <w:rsid w:val="0B720E2A"/>
    <w:rsid w:val="0C211689"/>
    <w:rsid w:val="0D712BF8"/>
    <w:rsid w:val="0E425B8F"/>
    <w:rsid w:val="0F6369D1"/>
    <w:rsid w:val="11592BC4"/>
    <w:rsid w:val="11643A42"/>
    <w:rsid w:val="12EE6DFC"/>
    <w:rsid w:val="131079A7"/>
    <w:rsid w:val="13394A5B"/>
    <w:rsid w:val="156D6C3E"/>
    <w:rsid w:val="164107F7"/>
    <w:rsid w:val="16695657"/>
    <w:rsid w:val="16FF6615"/>
    <w:rsid w:val="18757341"/>
    <w:rsid w:val="189D71A5"/>
    <w:rsid w:val="1A8F61AA"/>
    <w:rsid w:val="1B1B3973"/>
    <w:rsid w:val="1B4246E4"/>
    <w:rsid w:val="1B99476D"/>
    <w:rsid w:val="1BC842DF"/>
    <w:rsid w:val="1C5623A7"/>
    <w:rsid w:val="1CAA0778"/>
    <w:rsid w:val="1DA93913"/>
    <w:rsid w:val="1DD270EA"/>
    <w:rsid w:val="1E482F3C"/>
    <w:rsid w:val="1E780B2E"/>
    <w:rsid w:val="1F1A2CFC"/>
    <w:rsid w:val="1FC21484"/>
    <w:rsid w:val="205B13EC"/>
    <w:rsid w:val="2074108D"/>
    <w:rsid w:val="21666A63"/>
    <w:rsid w:val="22AA5209"/>
    <w:rsid w:val="23E9756D"/>
    <w:rsid w:val="24957B50"/>
    <w:rsid w:val="25DA5840"/>
    <w:rsid w:val="267B0938"/>
    <w:rsid w:val="2751016E"/>
    <w:rsid w:val="28124692"/>
    <w:rsid w:val="2A1A72BF"/>
    <w:rsid w:val="2A7B147A"/>
    <w:rsid w:val="2BAC62BA"/>
    <w:rsid w:val="2BD833EB"/>
    <w:rsid w:val="2C387B4E"/>
    <w:rsid w:val="2D4C14EE"/>
    <w:rsid w:val="2E2C723F"/>
    <w:rsid w:val="2F4F2EEF"/>
    <w:rsid w:val="30346762"/>
    <w:rsid w:val="303F4DEC"/>
    <w:rsid w:val="317558B3"/>
    <w:rsid w:val="325A33E4"/>
    <w:rsid w:val="32AA6B55"/>
    <w:rsid w:val="33A15FD9"/>
    <w:rsid w:val="346E3C70"/>
    <w:rsid w:val="34A97A03"/>
    <w:rsid w:val="36095A9B"/>
    <w:rsid w:val="36394BEF"/>
    <w:rsid w:val="36A26508"/>
    <w:rsid w:val="376637C1"/>
    <w:rsid w:val="38A02D03"/>
    <w:rsid w:val="38B34786"/>
    <w:rsid w:val="38CC5105"/>
    <w:rsid w:val="3A192D6D"/>
    <w:rsid w:val="3B0E664A"/>
    <w:rsid w:val="3C574F5D"/>
    <w:rsid w:val="3D3D3216"/>
    <w:rsid w:val="3D5B1B1E"/>
    <w:rsid w:val="3D7A5C2D"/>
    <w:rsid w:val="427E1887"/>
    <w:rsid w:val="436E08A6"/>
    <w:rsid w:val="44363BFC"/>
    <w:rsid w:val="448605D2"/>
    <w:rsid w:val="45121CDE"/>
    <w:rsid w:val="4B1A0571"/>
    <w:rsid w:val="4C97172F"/>
    <w:rsid w:val="4CDF7E46"/>
    <w:rsid w:val="4DD70CFD"/>
    <w:rsid w:val="4DE8593F"/>
    <w:rsid w:val="4EB40E5E"/>
    <w:rsid w:val="4F6C78A3"/>
    <w:rsid w:val="506863A4"/>
    <w:rsid w:val="517E121D"/>
    <w:rsid w:val="52432787"/>
    <w:rsid w:val="53083527"/>
    <w:rsid w:val="555D3F3E"/>
    <w:rsid w:val="561C7FAE"/>
    <w:rsid w:val="57193D99"/>
    <w:rsid w:val="572442C1"/>
    <w:rsid w:val="57723B31"/>
    <w:rsid w:val="57C05EDC"/>
    <w:rsid w:val="57E702FB"/>
    <w:rsid w:val="583632CF"/>
    <w:rsid w:val="5AE87C8F"/>
    <w:rsid w:val="5C913EE5"/>
    <w:rsid w:val="5D4A130C"/>
    <w:rsid w:val="5DEA69D6"/>
    <w:rsid w:val="5F0F1790"/>
    <w:rsid w:val="5F59752B"/>
    <w:rsid w:val="610272A9"/>
    <w:rsid w:val="61934CA5"/>
    <w:rsid w:val="61C21F98"/>
    <w:rsid w:val="623C641B"/>
    <w:rsid w:val="64C73A1F"/>
    <w:rsid w:val="658D1CB8"/>
    <w:rsid w:val="65AD3B3A"/>
    <w:rsid w:val="663C30BD"/>
    <w:rsid w:val="66465CAF"/>
    <w:rsid w:val="66B12266"/>
    <w:rsid w:val="66C80B5B"/>
    <w:rsid w:val="66CF7E35"/>
    <w:rsid w:val="68AB330A"/>
    <w:rsid w:val="69304460"/>
    <w:rsid w:val="69990F25"/>
    <w:rsid w:val="69D3535F"/>
    <w:rsid w:val="6A892D47"/>
    <w:rsid w:val="6B980729"/>
    <w:rsid w:val="6C5C1595"/>
    <w:rsid w:val="6C6B2265"/>
    <w:rsid w:val="6D2154B9"/>
    <w:rsid w:val="6D6C2544"/>
    <w:rsid w:val="6D80630A"/>
    <w:rsid w:val="6E08434E"/>
    <w:rsid w:val="6E616398"/>
    <w:rsid w:val="6F2612D8"/>
    <w:rsid w:val="6FD55F08"/>
    <w:rsid w:val="6FEF7A38"/>
    <w:rsid w:val="70317866"/>
    <w:rsid w:val="7039446C"/>
    <w:rsid w:val="70455082"/>
    <w:rsid w:val="706A65C6"/>
    <w:rsid w:val="71290DE0"/>
    <w:rsid w:val="72CB70EF"/>
    <w:rsid w:val="73856F70"/>
    <w:rsid w:val="740B6CC8"/>
    <w:rsid w:val="74771DD5"/>
    <w:rsid w:val="748D1686"/>
    <w:rsid w:val="74973500"/>
    <w:rsid w:val="75A02781"/>
    <w:rsid w:val="768E1E11"/>
    <w:rsid w:val="771808D9"/>
    <w:rsid w:val="77F02658"/>
    <w:rsid w:val="79E461EC"/>
    <w:rsid w:val="7B967D68"/>
    <w:rsid w:val="7C306BA8"/>
    <w:rsid w:val="7E6C4205"/>
    <w:rsid w:val="7F477001"/>
    <w:rsid w:val="7F952C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50"/>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4"/>
    <w:basedOn w:val="1"/>
    <w:next w:val="1"/>
    <w:qFormat/>
    <w:uiPriority w:val="0"/>
    <w:pPr>
      <w:keepNext/>
      <w:keepLines/>
      <w:tabs>
        <w:tab w:val="left" w:pos="1079"/>
        <w:tab w:val="left" w:pos="1440"/>
      </w:tabs>
      <w:spacing w:before="280" w:afterLines="50" w:line="377" w:lineRule="auto"/>
      <w:ind w:left="1077" w:hanging="1077"/>
      <w:outlineLvl w:val="3"/>
    </w:pPr>
    <w:rPr>
      <w:rFonts w:ascii="等线 Light" w:hAnsi="等线 Light" w:eastAsia="@楷体_GB2312" w:cs="Times New Roman"/>
      <w:spacing w:val="10"/>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widowControl/>
      <w:snapToGrid w:val="0"/>
      <w:spacing w:line="480" w:lineRule="exact"/>
      <w:ind w:firstLine="567"/>
    </w:pPr>
    <w:rPr>
      <w:rFonts w:ascii="宋体"/>
      <w:snapToGrid w:val="0"/>
      <w:color w:val="000000"/>
      <w:kern w:val="28"/>
      <w:sz w:val="28"/>
      <w:szCs w:val="20"/>
    </w:rPr>
  </w:style>
  <w:style w:type="paragraph" w:styleId="6">
    <w:name w:val="annotation text"/>
    <w:basedOn w:val="1"/>
    <w:qFormat/>
    <w:uiPriority w:val="99"/>
    <w:pPr>
      <w:jc w:val="left"/>
    </w:pPr>
  </w:style>
  <w:style w:type="paragraph" w:styleId="7">
    <w:name w:val="Body Text"/>
    <w:basedOn w:val="1"/>
    <w:next w:val="8"/>
    <w:qFormat/>
    <w:uiPriority w:val="0"/>
    <w:pPr>
      <w:autoSpaceDE w:val="0"/>
      <w:autoSpaceDN w:val="0"/>
      <w:spacing w:line="360" w:lineRule="auto"/>
    </w:pPr>
    <w:rPr>
      <w:rFonts w:ascii="宋体" w:hAnsi="Arial" w:cs="Arial"/>
      <w:snapToGrid w:val="0"/>
      <w:sz w:val="24"/>
      <w:szCs w:val="21"/>
      <w:lang w:val="zh-CN"/>
    </w:rPr>
  </w:style>
  <w:style w:type="paragraph" w:styleId="8">
    <w:name w:val="Body Text First Indent"/>
    <w:basedOn w:val="7"/>
    <w:next w:val="1"/>
    <w:qFormat/>
    <w:uiPriority w:val="0"/>
    <w:pPr>
      <w:autoSpaceDE/>
      <w:autoSpaceDN/>
      <w:adjustRightInd/>
      <w:spacing w:after="120" w:line="240" w:lineRule="auto"/>
      <w:ind w:firstLine="420" w:firstLineChars="100"/>
    </w:pPr>
    <w:rPr>
      <w:rFonts w:ascii="Times New Roman"/>
      <w:sz w:val="21"/>
      <w:szCs w:val="24"/>
      <w:lang w:val="en-US"/>
    </w:rPr>
  </w:style>
  <w:style w:type="paragraph" w:styleId="9">
    <w:name w:val="Body Text Indent"/>
    <w:basedOn w:val="1"/>
    <w:next w:val="1"/>
    <w:qFormat/>
    <w:uiPriority w:val="0"/>
    <w:pPr>
      <w:spacing w:line="480" w:lineRule="exact"/>
      <w:ind w:firstLine="480" w:firstLineChars="200"/>
    </w:pPr>
    <w:rPr>
      <w:rFonts w:ascii="宋体" w:hAnsi="宋体"/>
      <w:sz w:val="24"/>
    </w:rPr>
  </w:style>
  <w:style w:type="paragraph" w:styleId="10">
    <w:name w:val="Plain Text"/>
    <w:basedOn w:val="1"/>
    <w:next w:val="1"/>
    <w:qFormat/>
    <w:uiPriority w:val="0"/>
    <w:rPr>
      <w:rFonts w:ascii="宋体" w:hAnsi="Courier New" w:cs="Arial"/>
      <w:snapToGrid w:val="0"/>
      <w:szCs w:val="21"/>
    </w:rPr>
  </w:style>
  <w:style w:type="paragraph" w:styleId="11">
    <w:name w:val="Body Text Indent 2"/>
    <w:basedOn w:val="1"/>
    <w:qFormat/>
    <w:uiPriority w:val="0"/>
    <w:pPr>
      <w:spacing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qFormat/>
    <w:uiPriority w:val="0"/>
    <w:pPr>
      <w:widowControl/>
      <w:spacing w:beforeAutospacing="1" w:afterAutospacing="1"/>
      <w:jc w:val="left"/>
    </w:pPr>
    <w:rPr>
      <w:rFonts w:ascii="宋体" w:hAnsi="宋体" w:cs="宋体"/>
      <w:kern w:val="0"/>
      <w:sz w:val="24"/>
    </w:rPr>
  </w:style>
  <w:style w:type="paragraph" w:styleId="17">
    <w:name w:val="Title"/>
    <w:basedOn w:val="1"/>
    <w:qFormat/>
    <w:uiPriority w:val="10"/>
    <w:pPr>
      <w:widowControl/>
      <w:overflowPunct w:val="0"/>
      <w:autoSpaceDE w:val="0"/>
      <w:autoSpaceDN w:val="0"/>
      <w:jc w:val="center"/>
      <w:textAlignment w:val="baseline"/>
    </w:pPr>
    <w:rPr>
      <w:b/>
      <w:kern w:val="0"/>
      <w:sz w:val="24"/>
      <w:szCs w:val="20"/>
      <w:lang w:val="en-GB"/>
    </w:rPr>
  </w:style>
  <w:style w:type="paragraph" w:styleId="18">
    <w:name w:val="Body Text First Indent 2"/>
    <w:basedOn w:val="9"/>
    <w:qFormat/>
    <w:uiPriority w:val="0"/>
    <w:pPr>
      <w:ind w:left="420" w:leftChars="200" w:firstLine="420"/>
    </w:pPr>
    <w:rPr>
      <w:szCs w:val="20"/>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rPr>
      <w:rFonts w:ascii="Arial" w:hAnsi="Arial" w:eastAsia="黑体" w:cs="Arial"/>
      <w:snapToGrid w:val="0"/>
      <w:kern w:val="0"/>
      <w:szCs w:val="21"/>
    </w:rPr>
  </w:style>
  <w:style w:type="character" w:styleId="23">
    <w:name w:val="Hyperlink"/>
    <w:qFormat/>
    <w:uiPriority w:val="99"/>
    <w:rPr>
      <w:rFonts w:ascii="Arial" w:hAnsi="Arial" w:eastAsia="黑体" w:cs="Arial"/>
      <w:snapToGrid w:val="0"/>
      <w:color w:val="000000"/>
      <w:kern w:val="0"/>
      <w:sz w:val="18"/>
      <w:szCs w:val="18"/>
      <w:u w:val="none"/>
    </w:rPr>
  </w:style>
  <w:style w:type="paragraph" w:customStyle="1" w:styleId="24">
    <w:name w:val="_Style 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5">
    <w:name w:val="样式3"/>
    <w:basedOn w:val="10"/>
    <w:next w:val="1"/>
    <w:qFormat/>
    <w:uiPriority w:val="0"/>
    <w:pPr>
      <w:spacing w:line="415" w:lineRule="auto"/>
    </w:pPr>
    <w:rPr>
      <w:rFonts w:eastAsia="Times New Roman"/>
    </w:rPr>
  </w:style>
  <w:style w:type="paragraph" w:customStyle="1" w:styleId="26">
    <w:name w:val="正文2"/>
    <w:basedOn w:val="1"/>
    <w:qFormat/>
    <w:uiPriority w:val="0"/>
    <w:pPr>
      <w:spacing w:before="156" w:line="360" w:lineRule="auto"/>
      <w:ind w:firstLine="510" w:firstLineChars="200"/>
    </w:pPr>
    <w:rPr>
      <w:sz w:val="24"/>
      <w:szCs w:val="20"/>
    </w:rPr>
  </w:style>
  <w:style w:type="paragraph" w:customStyle="1" w:styleId="2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9">
    <w:name w:val="正文缩进1"/>
    <w:basedOn w:val="1"/>
    <w:next w:val="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
    <w:name w:val="索引 11"/>
    <w:basedOn w:val="1"/>
    <w:next w:val="1"/>
    <w:qFormat/>
    <w:uiPriority w:val="99"/>
    <w:pPr>
      <w:adjustRightInd/>
      <w:spacing w:line="360" w:lineRule="auto"/>
    </w:pPr>
    <w:rPr>
      <w:rFonts w:ascii="仿宋_GB2312" w:eastAsia="仿宋_GB2312"/>
      <w:sz w:val="24"/>
      <w:szCs w:val="20"/>
    </w:rPr>
  </w:style>
  <w:style w:type="paragraph" w:customStyle="1" w:styleId="31">
    <w:name w:val="纯文本1"/>
    <w:basedOn w:val="32"/>
    <w:qFormat/>
    <w:uiPriority w:val="0"/>
    <w:pPr>
      <w:adjustRightInd/>
    </w:pPr>
    <w:rPr>
      <w:rFonts w:hAnsi="Courier New"/>
      <w:sz w:val="20"/>
    </w:rPr>
  </w:style>
  <w:style w:type="paragraph" w:customStyle="1" w:styleId="3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3">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4">
    <w:name w:val="纯文本_0_0"/>
    <w:basedOn w:val="35"/>
    <w:qFormat/>
    <w:uiPriority w:val="0"/>
    <w:rPr>
      <w:rFonts w:ascii="宋体" w:hAnsi="Courier New"/>
      <w:szCs w:val="21"/>
    </w:rPr>
  </w:style>
  <w:style w:type="paragraph" w:customStyle="1" w:styleId="3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character" w:customStyle="1" w:styleId="37">
    <w:name w:val="font41"/>
    <w:basedOn w:val="21"/>
    <w:qFormat/>
    <w:uiPriority w:val="0"/>
    <w:rPr>
      <w:rFonts w:hint="eastAsia" w:ascii="宋体" w:hAnsi="宋体" w:eastAsia="宋体" w:cs="宋体"/>
      <w:b/>
      <w:color w:val="000000"/>
      <w:sz w:val="20"/>
      <w:szCs w:val="20"/>
      <w:u w:val="none"/>
    </w:rPr>
  </w:style>
  <w:style w:type="character" w:customStyle="1" w:styleId="38">
    <w:name w:val="font112"/>
    <w:basedOn w:val="21"/>
    <w:qFormat/>
    <w:uiPriority w:val="0"/>
    <w:rPr>
      <w:rFonts w:ascii="Arial" w:hAnsi="Arial" w:cs="Arial"/>
      <w:color w:val="000000"/>
      <w:sz w:val="18"/>
      <w:szCs w:val="18"/>
      <w:u w:val="none"/>
    </w:rPr>
  </w:style>
  <w:style w:type="paragraph" w:customStyle="1" w:styleId="39">
    <w:name w:val="BodyText1I2"/>
    <w:basedOn w:val="40"/>
    <w:qFormat/>
    <w:uiPriority w:val="0"/>
    <w:pPr>
      <w:spacing w:after="120" w:line="240" w:lineRule="auto"/>
      <w:ind w:left="420" w:leftChars="200" w:firstLine="420"/>
    </w:pPr>
    <w:rPr>
      <w:sz w:val="21"/>
      <w:szCs w:val="21"/>
    </w:rPr>
  </w:style>
  <w:style w:type="paragraph" w:customStyle="1" w:styleId="40">
    <w:name w:val="BodyTextIndent"/>
    <w:basedOn w:val="1"/>
    <w:qFormat/>
    <w:uiPriority w:val="0"/>
    <w:pPr>
      <w:spacing w:line="460" w:lineRule="exact"/>
      <w:ind w:firstLine="480" w:firstLineChars="200"/>
      <w:textAlignment w:val="baseline"/>
    </w:pPr>
    <w:rPr>
      <w:rFonts w:eastAsia="仿宋_GB2312"/>
      <w:sz w:val="24"/>
      <w:szCs w:val="20"/>
    </w:rPr>
  </w:style>
  <w:style w:type="character" w:customStyle="1" w:styleId="41">
    <w:name w:val="font51"/>
    <w:basedOn w:val="21"/>
    <w:qFormat/>
    <w:uiPriority w:val="0"/>
    <w:rPr>
      <w:rFonts w:hint="eastAsia" w:ascii="宋体" w:hAnsi="宋体" w:eastAsia="宋体" w:cs="宋体"/>
      <w:b/>
      <w:color w:val="000000"/>
      <w:sz w:val="20"/>
      <w:szCs w:val="20"/>
      <w:u w:val="none"/>
    </w:rPr>
  </w:style>
  <w:style w:type="paragraph" w:customStyle="1" w:styleId="42">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43">
    <w:name w:val="标题 Char1"/>
    <w:qFormat/>
    <w:uiPriority w:val="0"/>
    <w:rPr>
      <w:rFonts w:ascii="Arial" w:hAnsi="Arial" w:eastAsia="宋体" w:cs="Times New Roman"/>
      <w:b/>
      <w:sz w:val="32"/>
      <w:lang w:val="en-US" w:eastAsia="zh-CN" w:bidi="ar-SA"/>
    </w:rPr>
  </w:style>
  <w:style w:type="character" w:customStyle="1" w:styleId="44">
    <w:name w:val="标题 2 字符"/>
    <w:link w:val="3"/>
    <w:qFormat/>
    <w:locked/>
    <w:uiPriority w:val="0"/>
    <w:rPr>
      <w:rFonts w:ascii="仿宋_GB2312" w:hAnsi="仿宋" w:eastAsia="仿宋_GB2312"/>
      <w:b/>
      <w:bCs/>
      <w:sz w:val="32"/>
      <w:szCs w:val="32"/>
      <w:lang w:val="zh-CN"/>
    </w:rPr>
  </w:style>
  <w:style w:type="paragraph" w:customStyle="1" w:styleId="45">
    <w:name w:val="正文首行缩进 21"/>
    <w:basedOn w:val="46"/>
    <w:qFormat/>
    <w:uiPriority w:val="0"/>
    <w:pPr>
      <w:ind w:firstLine="420"/>
    </w:pPr>
    <w:rPr>
      <w:szCs w:val="22"/>
    </w:rPr>
  </w:style>
  <w:style w:type="paragraph" w:customStyle="1" w:styleId="46">
    <w:name w:val="正文文本缩进1"/>
    <w:basedOn w:val="1"/>
    <w:qFormat/>
    <w:uiPriority w:val="0"/>
    <w:pPr>
      <w:ind w:left="420" w:leftChars="200"/>
    </w:pPr>
  </w:style>
  <w:style w:type="paragraph" w:styleId="47">
    <w:name w:val="List Paragraph"/>
    <w:basedOn w:val="1"/>
    <w:qFormat/>
    <w:uiPriority w:val="0"/>
    <w:pPr>
      <w:ind w:firstLine="420" w:firstLineChars="200"/>
    </w:pPr>
    <w:rPr>
      <w:rFonts w:ascii="Calibri" w:hAnsi="Calibri"/>
      <w:szCs w:val="22"/>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0">
    <w:name w:val="标题 2 Char"/>
    <w:link w:val="3"/>
    <w:qFormat/>
    <w:locked/>
    <w:uiPriority w:val="0"/>
    <w:rPr>
      <w:rFonts w:ascii="Arial" w:hAnsi="Arial" w:eastAsia="黑体"/>
      <w:b/>
      <w:bCs/>
      <w:kern w:val="2"/>
      <w:sz w:val="32"/>
      <w:szCs w:val="32"/>
      <w:lang w:val="en-US" w:eastAsia="zh-CN" w:bidi="ar-SA"/>
    </w:rPr>
  </w:style>
  <w:style w:type="character" w:customStyle="1" w:styleId="51">
    <w:name w:val="font21"/>
    <w:basedOn w:val="21"/>
    <w:qFormat/>
    <w:uiPriority w:val="0"/>
    <w:rPr>
      <w:rFonts w:hint="eastAsia" w:ascii="仿宋" w:hAnsi="仿宋" w:eastAsia="仿宋" w:cs="仿宋"/>
      <w:color w:val="000000"/>
      <w:sz w:val="20"/>
      <w:szCs w:val="20"/>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footer6.xml" Type="http://schemas.openxmlformats.org/officeDocument/2006/relationships/footer"/><Relationship Id="rId13" Target="footer7.xml" Type="http://schemas.openxmlformats.org/officeDocument/2006/relationships/footer"/><Relationship Id="rId14" Target="theme/theme1.xml" Type="http://schemas.openxmlformats.org/officeDocument/2006/relationships/theme"/><Relationship Id="rId15" Target="../customXml/item1.xml" Type="http://schemas.openxmlformats.org/officeDocument/2006/relationships/customXml"/><Relationship Id="rId16" Target="numbering.xml" Type="http://schemas.openxmlformats.org/officeDocument/2006/relationships/numbering"/><Relationship Id="rId17" Target="../customXml/item2.xml" Type="http://schemas.openxmlformats.org/officeDocument/2006/relationships/customXml"/><Relationship Id="rId18"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5020C4-B3BF-4C2C-888B-8CE118C0EF05}">
  <ds:schemaRefs/>
</ds:datastoreItem>
</file>

<file path=docProps/app.xml><?xml version="1.0" encoding="utf-8"?>
<Properties xmlns="http://schemas.openxmlformats.org/officeDocument/2006/extended-properties" xmlns:vt="http://schemas.openxmlformats.org/officeDocument/2006/docPropsVTypes">
  <Template>Normal</Template>
  <Pages>78</Pages>
  <Words>41082</Words>
  <Characters>44745</Characters>
  <Lines>352</Lines>
  <Paragraphs>99</Paragraphs>
  <TotalTime>70</TotalTime>
  <ScaleCrop>false</ScaleCrop>
  <LinksUpToDate>false</LinksUpToDate>
  <CharactersWithSpaces>46050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2022-01-17T01:53:00Z</dcterms:created>
  <dc:creator>中浙小蒋</dc:creator>
  <cp:lastModifiedBy>中浙小蒋</cp:lastModifiedBy>
  <cp:lastPrinted>2022-10-09T07:25:00Z</cp:lastPrinted>
  <dcterms:modified xsi:type="dcterms:W3CDTF">2022-10-10T02:01:29Z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C21B02687D564CEFA1954ECC3ED6675D</vt:lpwstr>
  </property>
</Properties>
</file>