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ind w:right="752" w:rightChars="358"/>
        <w:jc w:val="both"/>
        <w:rPr>
          <w:rFonts w:hint="eastAsia" w:ascii="宋体" w:hAnsi="宋体" w:eastAsia="宋体" w:cs="宋体"/>
          <w:b/>
          <w:bCs/>
          <w:color w:val="auto"/>
          <w:sz w:val="44"/>
          <w:szCs w:val="44"/>
          <w:highlight w:val="none"/>
        </w:rPr>
      </w:pPr>
    </w:p>
    <w:p>
      <w:pPr>
        <w:adjustRightInd/>
        <w:spacing w:line="360" w:lineRule="auto"/>
        <w:jc w:val="center"/>
        <w:outlineLvl w:val="0"/>
        <w:rPr>
          <w:rFonts w:hint="eastAsia" w:ascii="宋体" w:hAnsi="宋体" w:eastAsia="宋体" w:cs="宋体"/>
          <w:b/>
          <w:bCs/>
          <w:color w:val="auto"/>
          <w:sz w:val="44"/>
          <w:szCs w:val="44"/>
          <w:highlight w:val="none"/>
          <w:lang w:eastAsia="zh-CN"/>
        </w:rPr>
      </w:pPr>
      <w:bookmarkStart w:id="0" w:name="_Toc6322"/>
      <w:bookmarkStart w:id="1" w:name="_Toc1435"/>
    </w:p>
    <w:p>
      <w:pPr>
        <w:adjustRightInd/>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嘉兴市第一医院2022至2023年安保服务</w:t>
      </w:r>
      <w:r>
        <w:rPr>
          <w:rFonts w:hint="eastAsia" w:ascii="宋体" w:hAnsi="宋体" w:eastAsia="宋体" w:cs="宋体"/>
          <w:b/>
          <w:bCs/>
          <w:color w:val="auto"/>
          <w:sz w:val="44"/>
          <w:szCs w:val="44"/>
          <w:highlight w:val="none"/>
        </w:rPr>
        <w:t>项目</w:t>
      </w:r>
      <w:bookmarkEnd w:id="0"/>
      <w:bookmarkEnd w:id="1"/>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highlight w:val="none"/>
        </w:rPr>
      </w:pPr>
    </w:p>
    <w:p>
      <w:pPr>
        <w:pStyle w:val="2"/>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highlight w:val="none"/>
        </w:rPr>
      </w:pPr>
    </w:p>
    <w:p>
      <w:pPr>
        <w:adjustRightInd/>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招</w:t>
      </w:r>
      <w:r>
        <w:rPr>
          <w:rFonts w:hint="eastAsia" w:ascii="宋体" w:hAnsi="宋体" w:eastAsia="宋体" w:cs="宋体"/>
          <w:b/>
          <w:bCs/>
          <w:color w:val="auto"/>
          <w:sz w:val="84"/>
          <w:szCs w:val="84"/>
          <w:highlight w:val="none"/>
          <w:lang w:val="en-US" w:eastAsia="zh-CN"/>
        </w:rPr>
        <w:t xml:space="preserve"> </w:t>
      </w:r>
      <w:r>
        <w:rPr>
          <w:rFonts w:hint="eastAsia" w:ascii="宋体" w:hAnsi="宋体" w:eastAsia="宋体" w:cs="宋体"/>
          <w:b/>
          <w:bCs/>
          <w:color w:val="auto"/>
          <w:sz w:val="84"/>
          <w:szCs w:val="84"/>
          <w:highlight w:val="none"/>
        </w:rPr>
        <w:t>标</w:t>
      </w:r>
      <w:r>
        <w:rPr>
          <w:rFonts w:hint="eastAsia" w:ascii="宋体" w:hAnsi="宋体" w:eastAsia="宋体" w:cs="宋体"/>
          <w:b/>
          <w:bCs/>
          <w:color w:val="auto"/>
          <w:sz w:val="84"/>
          <w:szCs w:val="84"/>
          <w:highlight w:val="none"/>
          <w:lang w:val="en-US" w:eastAsia="zh-CN"/>
        </w:rPr>
        <w:t xml:space="preserve"> </w:t>
      </w:r>
      <w:r>
        <w:rPr>
          <w:rFonts w:hint="eastAsia" w:ascii="宋体" w:hAnsi="宋体" w:eastAsia="宋体" w:cs="宋体"/>
          <w:b/>
          <w:bCs/>
          <w:color w:val="auto"/>
          <w:sz w:val="84"/>
          <w:szCs w:val="84"/>
          <w:highlight w:val="none"/>
        </w:rPr>
        <w:t>文</w:t>
      </w:r>
      <w:r>
        <w:rPr>
          <w:rFonts w:hint="eastAsia" w:ascii="宋体" w:hAnsi="宋体" w:eastAsia="宋体" w:cs="宋体"/>
          <w:b/>
          <w:bCs/>
          <w:color w:val="auto"/>
          <w:sz w:val="84"/>
          <w:szCs w:val="84"/>
          <w:highlight w:val="none"/>
          <w:lang w:val="en-US" w:eastAsia="zh-CN"/>
        </w:rPr>
        <w:t xml:space="preserve"> </w:t>
      </w:r>
      <w:r>
        <w:rPr>
          <w:rFonts w:hint="eastAsia" w:ascii="宋体" w:hAnsi="宋体" w:eastAsia="宋体" w:cs="宋体"/>
          <w:b/>
          <w:bCs/>
          <w:color w:val="auto"/>
          <w:sz w:val="84"/>
          <w:szCs w:val="84"/>
          <w:highlight w:val="none"/>
        </w:rPr>
        <w:t>件</w:t>
      </w:r>
    </w:p>
    <w:p>
      <w:pPr>
        <w:pStyle w:val="18"/>
        <w:ind w:firstLine="480"/>
        <w:rPr>
          <w:rFonts w:hint="eastAsia" w:ascii="宋体" w:hAnsi="宋体" w:eastAsia="宋体" w:cs="宋体"/>
          <w:color w:val="auto"/>
          <w:highlight w:val="none"/>
        </w:rPr>
      </w:pPr>
    </w:p>
    <w:p>
      <w:pPr>
        <w:adjustRightInd/>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（电子招投标）</w:t>
      </w:r>
    </w:p>
    <w:p>
      <w:pPr>
        <w:snapToGrid w:val="0"/>
        <w:spacing w:line="360" w:lineRule="auto"/>
        <w:jc w:val="center"/>
        <w:rPr>
          <w:rFonts w:hint="eastAsia" w:ascii="宋体" w:hAnsi="宋体" w:eastAsia="宋体" w:cs="宋体"/>
          <w:color w:val="auto"/>
          <w:sz w:val="24"/>
          <w:highlight w:val="none"/>
        </w:rPr>
      </w:pPr>
    </w:p>
    <w:p>
      <w:pPr>
        <w:pStyle w:val="18"/>
        <w:ind w:firstLine="480"/>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bCs/>
          <w:color w:val="auto"/>
          <w:sz w:val="32"/>
          <w:szCs w:val="32"/>
          <w:highlight w:val="none"/>
          <w:lang w:eastAsia="zh-CN"/>
        </w:rPr>
      </w:pPr>
      <w:bookmarkStart w:id="2" w:name="_Toc31743"/>
      <w:bookmarkStart w:id="3" w:name="_Toc32479"/>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中浙-CZTC22211</w:t>
      </w:r>
      <w:bookmarkEnd w:id="2"/>
      <w:bookmarkEnd w:id="3"/>
    </w:p>
    <w:p>
      <w:pPr>
        <w:adjustRightInd/>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18"/>
        <w:ind w:firstLine="480"/>
        <w:rPr>
          <w:rFonts w:hint="eastAsia" w:ascii="宋体" w:hAnsi="宋体" w:eastAsia="宋体" w:cs="宋体"/>
          <w:color w:val="auto"/>
          <w:szCs w:val="24"/>
          <w:highlight w:val="none"/>
        </w:rPr>
      </w:pPr>
    </w:p>
    <w:p>
      <w:pPr>
        <w:spacing w:line="360" w:lineRule="auto"/>
        <w:ind w:firstLine="1391" w:firstLineChars="462"/>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嘉兴市第一医院</w:t>
      </w:r>
    </w:p>
    <w:p>
      <w:pPr>
        <w:spacing w:line="360" w:lineRule="auto"/>
        <w:ind w:firstLine="1391" w:firstLineChars="46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采购代理机构：杭州中浙招标有限公司</w:t>
      </w:r>
    </w:p>
    <w:p>
      <w:pPr>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b/>
          <w:color w:val="auto"/>
          <w:sz w:val="30"/>
          <w:szCs w:val="30"/>
          <w:highlight w:val="none"/>
        </w:rPr>
        <w:t>二○二二年</w:t>
      </w: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月</w:t>
      </w:r>
      <w:bookmarkStart w:id="4" w:name="_Hlt67893495"/>
      <w:bookmarkEnd w:id="4"/>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lang w:val="en-US" w:eastAsia="zh-CN"/>
        </w:rPr>
        <w:t>日</w:t>
      </w: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24"/>
          <w:highlight w:val="none"/>
        </w:rPr>
        <w:sectPr>
          <w:footerReference r:id="rId4" w:type="first"/>
          <w:headerReference r:id="rId3" w:type="default"/>
          <w:pgSz w:w="11906" w:h="16838"/>
          <w:pgMar w:top="1474" w:right="1587" w:bottom="1474" w:left="1587" w:header="851" w:footer="992" w:gutter="0"/>
          <w:pgNumType w:fmt="decimal" w:start="0"/>
          <w:cols w:space="0" w:num="1"/>
          <w:docGrid w:linePitch="312" w:charSpace="0"/>
        </w:sectPr>
      </w:pP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32"/>
          <w:szCs w:val="32"/>
          <w:highlight w:val="none"/>
          <w:lang w:val="en-US" w:eastAsia="zh-CN"/>
        </w:rPr>
        <w:t>招标文件</w:t>
      </w:r>
      <w:r>
        <w:rPr>
          <w:rFonts w:hint="eastAsia" w:ascii="宋体" w:hAnsi="宋体" w:eastAsia="宋体" w:cs="宋体"/>
          <w:b/>
          <w:color w:val="auto"/>
          <w:sz w:val="32"/>
          <w:szCs w:val="32"/>
          <w:highlight w:val="none"/>
        </w:rPr>
        <w:t>目录</w:t>
      </w:r>
      <w:bookmarkStart w:id="5" w:name="_Hlt91233176"/>
      <w:bookmarkEnd w:id="5"/>
      <w:bookmarkStart w:id="6" w:name="_Toc91899869"/>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_Toc16807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第一部分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_Toc12537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第二部分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二、招标文件的构成、澄清、修改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_Toc13566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四、开标、资格审查与信用信息查询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_Toc21612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_Toc21612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六、定 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_Toc23994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七、合同授予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_Toc4526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八、电子交易活动的中止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_Toc4526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九、验收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_Toc19635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第三部分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_Toc19635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rPr>
        <w:t>一、项目背景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_Toc27322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rPr>
        <w:t>二、招标内容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rPr>
        <w:t>三、报价要求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_Toc6452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lang w:val="en-US"/>
        </w:rPr>
        <w:t>、</w:t>
      </w:r>
      <w:r>
        <w:rPr>
          <w:rFonts w:hint="eastAsia" w:ascii="宋体" w:hAnsi="宋体" w:eastAsia="宋体" w:cs="宋体"/>
          <w:color w:val="auto"/>
          <w:szCs w:val="24"/>
          <w:highlight w:val="none"/>
        </w:rPr>
        <w:t>服务内容及要求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五、合同服务年限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六、采购人对保安服务的考核</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_Toc19073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附件一、嘉兴市第一医院保安人员考核处罚细则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第四部分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_Toc9623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评标办法前附表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_Toc9623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_Toc18318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_Toc15001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二、评标标准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_Toc5140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四、评标中的其他事项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_Toc9912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第五部分 拟签订的合同文本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_Toc20907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第六部分应提交的有关格式范例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_Toc20907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_Toc832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8"/>
          <w:highlight w:val="none"/>
        </w:rPr>
        <w:t>资格文件部分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_Toc24364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36"/>
          <w:highlight w:val="none"/>
        </w:rPr>
        <w:t>商务技术文件部分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keepNext w:val="0"/>
        <w:keepLines w:val="0"/>
        <w:pageBreakBefore w:val="0"/>
        <w:widowControl w:val="0"/>
        <w:tabs>
          <w:tab w:val="right" w:leader="dot" w:pos="8732"/>
        </w:tabs>
        <w:kinsoku/>
        <w:wordWrap/>
        <w:overflowPunct/>
        <w:topLinePunct w:val="0"/>
        <w:autoSpaceDE/>
        <w:autoSpaceDN/>
        <w:bidi w:val="0"/>
        <w:adjustRightInd w:val="0"/>
        <w:snapToGrid/>
        <w:spacing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_Toc29190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32"/>
          <w:highlight w:val="none"/>
        </w:rPr>
        <w:t>报价文件部分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highlight w:val="none"/>
        </w:rPr>
        <w:sectPr>
          <w:footerReference r:id="rId5" w:type="default"/>
          <w:pgSz w:w="11906" w:h="16838"/>
          <w:pgMar w:top="1474" w:right="1587" w:bottom="1474" w:left="1587" w:header="851" w:footer="992" w:gutter="0"/>
          <w:pgNumType w:fmt="decimal" w:start="1"/>
          <w:cols w:space="0" w:num="1"/>
          <w:docGrid w:linePitch="312" w:charSpace="0"/>
        </w:sectPr>
      </w:pPr>
      <w:r>
        <w:rPr>
          <w:rFonts w:hint="eastAsia" w:ascii="宋体" w:hAnsi="宋体" w:eastAsia="宋体" w:cs="宋体"/>
          <w:color w:val="auto"/>
          <w:highlight w:val="none"/>
        </w:rPr>
        <w:fldChar w:fldCharType="end"/>
      </w:r>
    </w:p>
    <w:bookmarkEnd w:id="6"/>
    <w:p>
      <w:pPr>
        <w:adjustRightInd/>
        <w:spacing w:line="360" w:lineRule="auto"/>
        <w:jc w:val="center"/>
        <w:outlineLvl w:val="0"/>
        <w:rPr>
          <w:rFonts w:hint="eastAsia" w:ascii="宋体" w:hAnsi="宋体" w:eastAsia="宋体" w:cs="宋体"/>
          <w:b/>
          <w:color w:val="auto"/>
          <w:sz w:val="36"/>
          <w:szCs w:val="36"/>
          <w:highlight w:val="none"/>
        </w:rPr>
      </w:pPr>
      <w:bookmarkStart w:id="7" w:name="_Hlt74728647"/>
      <w:bookmarkEnd w:id="7"/>
      <w:bookmarkStart w:id="8" w:name="_Hlt74729822"/>
      <w:bookmarkEnd w:id="8"/>
      <w:bookmarkStart w:id="9" w:name="_Hlt74707423"/>
      <w:bookmarkEnd w:id="9"/>
      <w:bookmarkStart w:id="10" w:name="_Hlt74649545"/>
      <w:bookmarkEnd w:id="10"/>
      <w:bookmarkStart w:id="11" w:name="_Toc6606"/>
      <w:bookmarkStart w:id="12" w:name="_Toc16807"/>
      <w:bookmarkStart w:id="13" w:name="_Toc81"/>
      <w:bookmarkStart w:id="14" w:name="第二部分"/>
      <w:bookmarkStart w:id="15" w:name="_Toc91899870"/>
      <w:bookmarkStart w:id="16" w:name="_Toc91899871"/>
      <w:r>
        <w:rPr>
          <w:rFonts w:hint="eastAsia" w:ascii="宋体" w:hAnsi="宋体" w:eastAsia="宋体" w:cs="宋体"/>
          <w:b/>
          <w:color w:val="auto"/>
          <w:sz w:val="36"/>
          <w:szCs w:val="36"/>
          <w:highlight w:val="none"/>
        </w:rPr>
        <w:t>第一部分 招标公告</w:t>
      </w:r>
      <w:bookmarkEnd w:id="11"/>
      <w:bookmarkEnd w:id="12"/>
      <w:bookmarkEnd w:id="13"/>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嘉兴市第一医院2022至2023年安保服务项目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23"/>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2022年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日9点00分00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keepNext w:val="0"/>
        <w:keepLines w:val="0"/>
        <w:pageBreakBefore w:val="0"/>
        <w:kinsoku/>
        <w:wordWrap/>
        <w:overflowPunct/>
        <w:topLinePunct w:val="0"/>
        <w:bidi w:val="0"/>
        <w:spacing w:line="312" w:lineRule="auto"/>
        <w:textAlignment w:val="auto"/>
        <w:outlineLvl w:val="1"/>
        <w:rPr>
          <w:rFonts w:hint="eastAsia" w:ascii="宋体" w:hAnsi="宋体" w:eastAsia="宋体" w:cs="宋体"/>
          <w:b/>
          <w:color w:val="auto"/>
          <w:sz w:val="24"/>
          <w:szCs w:val="24"/>
          <w:highlight w:val="none"/>
        </w:rPr>
      </w:pPr>
      <w:bookmarkStart w:id="17" w:name="_Toc11298"/>
      <w:bookmarkStart w:id="18" w:name="_Toc15500"/>
      <w:bookmarkStart w:id="19" w:name="_Toc460"/>
      <w:r>
        <w:rPr>
          <w:rFonts w:hint="eastAsia" w:ascii="宋体" w:hAnsi="宋体" w:eastAsia="宋体" w:cs="宋体"/>
          <w:b/>
          <w:color w:val="auto"/>
          <w:sz w:val="24"/>
          <w:szCs w:val="24"/>
          <w:highlight w:val="none"/>
        </w:rPr>
        <w:t>一、项目基本情况</w:t>
      </w:r>
      <w:bookmarkEnd w:id="17"/>
      <w:bookmarkEnd w:id="18"/>
      <w:bookmarkEnd w:id="19"/>
    </w:p>
    <w:p>
      <w:pPr>
        <w:keepNext w:val="0"/>
        <w:keepLines w:val="0"/>
        <w:pageBreakBefore w:val="0"/>
        <w:kinsoku/>
        <w:wordWrap/>
        <w:overflowPunct/>
        <w:topLinePunct w:val="0"/>
        <w:bidi w:val="0"/>
        <w:spacing w:line="312" w:lineRule="auto"/>
        <w:ind w:firstLine="48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szCs w:val="24"/>
          <w:highlight w:val="none"/>
        </w:rPr>
        <w:t>项目编号</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中浙-CZTC22211</w:t>
      </w:r>
    </w:p>
    <w:p>
      <w:pPr>
        <w:keepNext w:val="0"/>
        <w:keepLines w:val="0"/>
        <w:pageBreakBefore w:val="0"/>
        <w:kinsoku/>
        <w:wordWrap/>
        <w:overflowPunct/>
        <w:topLinePunct w:val="0"/>
        <w:bidi w:val="0"/>
        <w:spacing w:line="312" w:lineRule="auto"/>
        <w:ind w:firstLine="48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bCs/>
          <w:color w:val="auto"/>
          <w:sz w:val="24"/>
          <w:szCs w:val="24"/>
          <w:highlight w:val="none"/>
          <w:lang w:eastAsia="zh-CN"/>
        </w:rPr>
        <w:t>嘉兴市第一医院2022至2023年安保服务项目</w:t>
      </w:r>
    </w:p>
    <w:p>
      <w:pPr>
        <w:keepNext w:val="0"/>
        <w:keepLines w:val="0"/>
        <w:pageBreakBefore w:val="0"/>
        <w:kinsoku/>
        <w:wordWrap/>
        <w:overflowPunct/>
        <w:topLinePunct w:val="0"/>
        <w:bidi w:val="0"/>
        <w:spacing w:line="312" w:lineRule="auto"/>
        <w:ind w:firstLine="48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9000000</w:t>
      </w:r>
    </w:p>
    <w:p>
      <w:pPr>
        <w:keepNext w:val="0"/>
        <w:keepLines w:val="0"/>
        <w:pageBreakBefore w:val="0"/>
        <w:kinsoku/>
        <w:wordWrap/>
        <w:overflowPunct/>
        <w:topLinePunct w:val="0"/>
        <w:bidi w:val="0"/>
        <w:spacing w:line="312" w:lineRule="auto"/>
        <w:ind w:firstLine="48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9000000</w:t>
      </w:r>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Cs/>
          <w:color w:val="auto"/>
          <w:sz w:val="24"/>
          <w:szCs w:val="24"/>
          <w:highlight w:val="none"/>
          <w:lang w:eastAsia="zh-CN"/>
        </w:rPr>
        <w:t>嘉兴市第一医院</w:t>
      </w:r>
      <w:r>
        <w:rPr>
          <w:rFonts w:hint="eastAsia" w:ascii="宋体" w:hAnsi="宋体" w:eastAsia="宋体" w:cs="宋体"/>
          <w:bCs/>
          <w:color w:val="auto"/>
          <w:sz w:val="24"/>
          <w:szCs w:val="24"/>
          <w:highlight w:val="none"/>
        </w:rPr>
        <w:t>2022年</w:t>
      </w:r>
      <w:r>
        <w:rPr>
          <w:rFonts w:hint="eastAsia" w:ascii="宋体" w:hAnsi="宋体" w:eastAsia="宋体" w:cs="宋体"/>
          <w:bCs/>
          <w:color w:val="auto"/>
          <w:sz w:val="24"/>
          <w:szCs w:val="24"/>
          <w:highlight w:val="none"/>
          <w:lang w:val="en-US" w:eastAsia="zh-CN"/>
        </w:rPr>
        <w:t>至</w:t>
      </w:r>
      <w:r>
        <w:rPr>
          <w:rFonts w:hint="eastAsia" w:ascii="宋体" w:hAnsi="宋体" w:eastAsia="宋体" w:cs="宋体"/>
          <w:bCs/>
          <w:color w:val="auto"/>
          <w:sz w:val="24"/>
          <w:szCs w:val="24"/>
          <w:highlight w:val="none"/>
        </w:rPr>
        <w:t>2023年的全院保安服务，承担</w:t>
      </w:r>
      <w:r>
        <w:rPr>
          <w:rFonts w:hint="eastAsia" w:ascii="宋体" w:hAnsi="宋体" w:eastAsia="宋体" w:cs="宋体"/>
          <w:bCs/>
          <w:color w:val="auto"/>
          <w:sz w:val="24"/>
          <w:szCs w:val="24"/>
          <w:highlight w:val="none"/>
          <w:lang w:val="en-US" w:eastAsia="zh-CN"/>
        </w:rPr>
        <w:t>医院安全</w:t>
      </w:r>
      <w:r>
        <w:rPr>
          <w:rFonts w:hint="eastAsia" w:ascii="宋体" w:hAnsi="宋体" w:eastAsia="宋体" w:cs="宋体"/>
          <w:bCs/>
          <w:color w:val="auto"/>
          <w:sz w:val="24"/>
          <w:szCs w:val="24"/>
          <w:highlight w:val="none"/>
        </w:rPr>
        <w:t>保卫、消防、应急处置及车辆管理、解款押运等工作。</w:t>
      </w:r>
    </w:p>
    <w:p>
      <w:pPr>
        <w:keepNext w:val="0"/>
        <w:keepLines w:val="0"/>
        <w:pageBreakBefore w:val="0"/>
        <w:kinsoku/>
        <w:wordWrap/>
        <w:overflowPunct/>
        <w:topLinePunct w:val="0"/>
        <w:bidi w:val="0"/>
        <w:spacing w:line="312"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Cs/>
          <w:color w:val="auto"/>
          <w:sz w:val="24"/>
          <w:szCs w:val="24"/>
          <w:highlight w:val="none"/>
        </w:rPr>
        <w:t>标项 1，合同签订后一年，其中前三个月（包括在一年中）为试用期，试用期满经采购人考核合格后，合同方为有效。第二年经采购人考核合格后可续签一年。</w:t>
      </w:r>
    </w:p>
    <w:p>
      <w:pPr>
        <w:pStyle w:val="5"/>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b/>
          <w:snapToGrid/>
          <w:color w:val="auto"/>
          <w:kern w:val="2"/>
          <w:sz w:val="24"/>
          <w:szCs w:val="24"/>
          <w:highlight w:val="none"/>
        </w:rPr>
      </w:pPr>
      <w:bookmarkStart w:id="20" w:name="_Toc12406"/>
      <w:r>
        <w:rPr>
          <w:rFonts w:hint="eastAsia" w:ascii="宋体" w:hAnsi="宋体" w:eastAsia="宋体" w:cs="宋体"/>
          <w:b/>
          <w:snapToGrid/>
          <w:color w:val="auto"/>
          <w:kern w:val="2"/>
          <w:sz w:val="24"/>
          <w:szCs w:val="24"/>
          <w:highlight w:val="none"/>
        </w:rPr>
        <w:t>本项目接受联合体投标：否。</w:t>
      </w:r>
    </w:p>
    <w:p>
      <w:pPr>
        <w:pStyle w:val="5"/>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b/>
          <w:snapToGrid/>
          <w:color w:val="auto"/>
          <w:kern w:val="2"/>
          <w:sz w:val="24"/>
          <w:szCs w:val="24"/>
          <w:highlight w:val="none"/>
          <w:lang w:val="en-US" w:eastAsia="zh-CN"/>
        </w:rPr>
      </w:pPr>
      <w:r>
        <w:rPr>
          <w:rFonts w:hint="eastAsia" w:ascii="宋体" w:hAnsi="宋体" w:eastAsia="宋体" w:cs="宋体"/>
          <w:b/>
          <w:snapToGrid/>
          <w:color w:val="auto"/>
          <w:kern w:val="2"/>
          <w:sz w:val="24"/>
          <w:szCs w:val="24"/>
          <w:highlight w:val="none"/>
          <w:lang w:val="en-US" w:eastAsia="zh-CN"/>
        </w:rPr>
        <w:t xml:space="preserve"> </w:t>
      </w:r>
    </w:p>
    <w:p>
      <w:pPr>
        <w:keepNext w:val="0"/>
        <w:keepLines w:val="0"/>
        <w:pageBreakBefore w:val="0"/>
        <w:kinsoku/>
        <w:wordWrap/>
        <w:overflowPunct/>
        <w:topLinePunct w:val="0"/>
        <w:bidi w:val="0"/>
        <w:spacing w:line="312" w:lineRule="auto"/>
        <w:textAlignment w:val="auto"/>
        <w:outlineLvl w:val="1"/>
        <w:rPr>
          <w:rFonts w:hint="eastAsia" w:ascii="宋体" w:hAnsi="宋体" w:eastAsia="宋体" w:cs="宋体"/>
          <w:b/>
          <w:color w:val="auto"/>
          <w:sz w:val="24"/>
          <w:szCs w:val="24"/>
          <w:highlight w:val="none"/>
        </w:rPr>
      </w:pPr>
      <w:bookmarkStart w:id="21" w:name="_Toc31711"/>
      <w:bookmarkStart w:id="22" w:name="_Toc22669"/>
      <w:r>
        <w:rPr>
          <w:rFonts w:hint="eastAsia" w:ascii="宋体" w:hAnsi="宋体" w:eastAsia="宋体" w:cs="宋体"/>
          <w:b/>
          <w:color w:val="auto"/>
          <w:sz w:val="24"/>
          <w:szCs w:val="24"/>
          <w:highlight w:val="none"/>
        </w:rPr>
        <w:t>二、申请人的资格要求：</w:t>
      </w:r>
      <w:bookmarkEnd w:id="20"/>
      <w:bookmarkEnd w:id="21"/>
      <w:bookmarkEnd w:id="22"/>
    </w:p>
    <w:p>
      <w:pPr>
        <w:keepNext w:val="0"/>
        <w:keepLines w:val="0"/>
        <w:pageBreakBefore w:val="0"/>
        <w:kinsoku/>
        <w:wordWrap/>
        <w:overflowPunct/>
        <w:topLinePunct w:val="0"/>
        <w:bidi w:val="0"/>
        <w:spacing w:line="312" w:lineRule="auto"/>
        <w:ind w:firstLine="480"/>
        <w:textAlignment w:val="auto"/>
        <w:rPr>
          <w:rFonts w:hint="eastAsia" w:ascii="宋体" w:hAnsi="宋体" w:eastAsia="宋体" w:cs="宋体"/>
          <w:snapToGrid w:val="0"/>
          <w:color w:val="auto"/>
          <w:kern w:val="28"/>
          <w:sz w:val="24"/>
          <w:szCs w:val="24"/>
          <w:highlight w:val="none"/>
        </w:rPr>
      </w:pPr>
      <w:bookmarkStart w:id="23" w:name="_Toc1752"/>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snapToGrid w:val="0"/>
          <w:color w:val="auto"/>
          <w:kern w:val="28"/>
          <w:sz w:val="24"/>
          <w:szCs w:val="24"/>
          <w:highlight w:val="none"/>
          <w:lang w:eastAsia="zh-CN"/>
        </w:rPr>
      </w:pPr>
      <w:r>
        <w:rPr>
          <w:rFonts w:hint="eastAsia" w:ascii="宋体" w:hAnsi="宋体" w:eastAsia="宋体" w:cs="宋体"/>
          <w:snapToGrid w:val="0"/>
          <w:color w:val="auto"/>
          <w:kern w:val="28"/>
          <w:sz w:val="24"/>
          <w:szCs w:val="24"/>
          <w:highlight w:val="none"/>
        </w:rPr>
        <w:t>2.落实政府采购政策需满足的资格要求：</w:t>
      </w:r>
      <w:r>
        <w:rPr>
          <w:rFonts w:hint="eastAsia" w:ascii="宋体" w:hAnsi="宋体" w:eastAsia="宋体" w:cs="宋体"/>
          <w:color w:val="auto"/>
          <w:sz w:val="24"/>
          <w:szCs w:val="24"/>
          <w:highlight w:val="none"/>
        </w:rPr>
        <w:t>供应商为中小企业</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spacing w:line="312" w:lineRule="auto"/>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3.</w:t>
      </w:r>
      <w:r>
        <w:rPr>
          <w:rFonts w:hint="eastAsia" w:ascii="宋体" w:hAnsi="宋体" w:eastAsia="宋体" w:cs="宋体"/>
          <w:snapToGrid w:val="0"/>
          <w:color w:val="auto"/>
          <w:kern w:val="28"/>
          <w:sz w:val="24"/>
          <w:szCs w:val="24"/>
          <w:highlight w:val="none"/>
        </w:rPr>
        <w:t>本项目的特定资格要求：具有公安行政主管部门颁发的保安服务许可证。</w:t>
      </w:r>
    </w:p>
    <w:p>
      <w:pPr>
        <w:keepNext w:val="0"/>
        <w:keepLines w:val="0"/>
        <w:pageBreakBefore w:val="0"/>
        <w:kinsoku/>
        <w:wordWrap/>
        <w:overflowPunct/>
        <w:topLinePunct w:val="0"/>
        <w:bidi w:val="0"/>
        <w:spacing w:line="312" w:lineRule="auto"/>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4.</w:t>
      </w:r>
      <w:r>
        <w:rPr>
          <w:rFonts w:hint="eastAsia" w:ascii="宋体" w:hAnsi="宋体" w:eastAsia="宋体" w:cs="宋体"/>
          <w:snapToGrid w:val="0"/>
          <w:color w:val="auto"/>
          <w:kern w:val="28"/>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snapToGrid w:val="0"/>
          <w:color w:val="auto"/>
          <w:kern w:val="28"/>
          <w:sz w:val="24"/>
          <w:szCs w:val="24"/>
          <w:highlight w:val="none"/>
          <w:lang w:val="en-US" w:eastAsia="zh-CN"/>
        </w:rPr>
        <w:t xml:space="preserve">  </w:t>
      </w:r>
    </w:p>
    <w:p>
      <w:pPr>
        <w:keepNext w:val="0"/>
        <w:keepLines w:val="0"/>
        <w:pageBreakBefore w:val="0"/>
        <w:kinsoku/>
        <w:wordWrap/>
        <w:overflowPunct/>
        <w:topLinePunct w:val="0"/>
        <w:bidi w:val="0"/>
        <w:spacing w:line="312" w:lineRule="auto"/>
        <w:textAlignment w:val="auto"/>
        <w:outlineLvl w:val="1"/>
        <w:rPr>
          <w:rFonts w:hint="eastAsia" w:ascii="宋体" w:hAnsi="宋体" w:eastAsia="宋体" w:cs="宋体"/>
          <w:b/>
          <w:color w:val="auto"/>
          <w:sz w:val="24"/>
          <w:szCs w:val="24"/>
          <w:highlight w:val="none"/>
        </w:rPr>
      </w:pPr>
      <w:bookmarkStart w:id="24" w:name="_Toc8757"/>
      <w:bookmarkStart w:id="25" w:name="_Toc29996"/>
    </w:p>
    <w:p>
      <w:pPr>
        <w:keepNext w:val="0"/>
        <w:keepLines w:val="0"/>
        <w:pageBreakBefore w:val="0"/>
        <w:kinsoku/>
        <w:wordWrap/>
        <w:overflowPunct/>
        <w:topLinePunct w:val="0"/>
        <w:bidi w:val="0"/>
        <w:spacing w:line="312"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bookmarkEnd w:id="23"/>
      <w:bookmarkEnd w:id="24"/>
      <w:bookmarkEnd w:id="25"/>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/至2022年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日，每天上午00:00至12:00 ，下午12:00至23:59（北京时间，线上获取法定节假日均可，线下获取文件法定节假日除外）</w:t>
      </w:r>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0</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bidi w:val="0"/>
        <w:spacing w:line="312" w:lineRule="auto"/>
        <w:textAlignment w:val="auto"/>
        <w:outlineLvl w:val="1"/>
        <w:rPr>
          <w:rFonts w:hint="eastAsia" w:ascii="宋体" w:hAnsi="宋体" w:eastAsia="宋体" w:cs="宋体"/>
          <w:b/>
          <w:color w:val="auto"/>
          <w:sz w:val="24"/>
          <w:szCs w:val="24"/>
          <w:highlight w:val="none"/>
        </w:rPr>
      </w:pPr>
      <w:bookmarkStart w:id="26" w:name="_Toc12661"/>
      <w:bookmarkStart w:id="27" w:name="_Toc10624"/>
      <w:bookmarkStart w:id="28" w:name="_Toc18780"/>
      <w:r>
        <w:rPr>
          <w:rFonts w:hint="eastAsia" w:ascii="宋体" w:hAnsi="宋体" w:eastAsia="宋体" w:cs="宋体"/>
          <w:b/>
          <w:color w:val="auto"/>
          <w:sz w:val="24"/>
          <w:szCs w:val="24"/>
          <w:highlight w:val="none"/>
        </w:rPr>
        <w:t>四、提交投标文件截止时间、开标时间和地点</w:t>
      </w:r>
      <w:bookmarkEnd w:id="26"/>
      <w:bookmarkEnd w:id="27"/>
      <w:bookmarkEnd w:id="28"/>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rPr>
        <w:t xml:space="preserve"> 2022年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日9点00分（北京时间）</w:t>
      </w:r>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rPr>
        <w:t>2022年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日9点00分</w:t>
      </w:r>
    </w:p>
    <w:p>
      <w:pPr>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bCs/>
          <w:color w:val="auto"/>
          <w:sz w:val="24"/>
          <w:szCs w:val="24"/>
          <w:highlight w:val="none"/>
        </w:rPr>
        <w:t>嘉兴市公共资源交易中心开标室通过政府采购云平台（https://www.zcygov.cn）在线开标</w:t>
      </w:r>
    </w:p>
    <w:p>
      <w:pPr>
        <w:pStyle w:val="7"/>
        <w:keepNext w:val="0"/>
        <w:keepLines w:val="0"/>
        <w:pageBreakBefore w:val="0"/>
        <w:kinsoku/>
        <w:wordWrap/>
        <w:overflowPunct/>
        <w:topLinePunct w:val="0"/>
        <w:bidi w:val="0"/>
        <w:spacing w:line="312"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供应商无需到开标现场，但须准时在线参加，直至评审结束。</w:t>
      </w:r>
    </w:p>
    <w:p>
      <w:pPr>
        <w:keepNext w:val="0"/>
        <w:keepLines w:val="0"/>
        <w:pageBreakBefore w:val="0"/>
        <w:kinsoku/>
        <w:wordWrap/>
        <w:overflowPunct/>
        <w:topLinePunct w:val="0"/>
        <w:bidi w:val="0"/>
        <w:spacing w:line="312" w:lineRule="auto"/>
        <w:textAlignment w:val="auto"/>
        <w:outlineLvl w:val="9"/>
        <w:rPr>
          <w:rFonts w:hint="eastAsia" w:ascii="宋体" w:hAnsi="宋体" w:eastAsia="宋体" w:cs="宋体"/>
          <w:b/>
          <w:color w:val="auto"/>
          <w:sz w:val="24"/>
          <w:szCs w:val="24"/>
          <w:highlight w:val="none"/>
        </w:rPr>
      </w:pPr>
      <w:bookmarkStart w:id="29" w:name="_Toc5348"/>
    </w:p>
    <w:p>
      <w:pPr>
        <w:keepNext w:val="0"/>
        <w:keepLines w:val="0"/>
        <w:pageBreakBefore w:val="0"/>
        <w:kinsoku/>
        <w:wordWrap/>
        <w:overflowPunct/>
        <w:topLinePunct w:val="0"/>
        <w:bidi w:val="0"/>
        <w:spacing w:line="312" w:lineRule="auto"/>
        <w:textAlignment w:val="auto"/>
        <w:outlineLvl w:val="1"/>
        <w:rPr>
          <w:rFonts w:hint="eastAsia" w:ascii="宋体" w:hAnsi="宋体" w:eastAsia="宋体" w:cs="宋体"/>
          <w:color w:val="auto"/>
          <w:sz w:val="24"/>
          <w:szCs w:val="24"/>
          <w:highlight w:val="none"/>
        </w:rPr>
      </w:pPr>
      <w:bookmarkStart w:id="30" w:name="_Toc29155"/>
      <w:bookmarkStart w:id="31" w:name="_Toc27989"/>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、公告期限</w:t>
      </w:r>
      <w:bookmarkEnd w:id="29"/>
      <w:bookmarkEnd w:id="30"/>
      <w:bookmarkEnd w:id="31"/>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pStyle w:val="24"/>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12" w:lineRule="auto"/>
        <w:textAlignment w:val="auto"/>
        <w:outlineLvl w:val="1"/>
        <w:rPr>
          <w:rFonts w:hint="eastAsia" w:ascii="宋体" w:hAnsi="宋体" w:eastAsia="宋体" w:cs="宋体"/>
          <w:b/>
          <w:color w:val="auto"/>
          <w:sz w:val="24"/>
          <w:szCs w:val="24"/>
          <w:highlight w:val="none"/>
        </w:rPr>
      </w:pPr>
      <w:bookmarkStart w:id="32" w:name="_Toc24892"/>
      <w:bookmarkStart w:id="33" w:name="_Toc21651"/>
      <w:bookmarkStart w:id="34" w:name="_Toc9412"/>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、其他补充事宜</w:t>
      </w:r>
      <w:bookmarkEnd w:id="32"/>
      <w:bookmarkEnd w:id="33"/>
      <w:bookmarkEnd w:id="34"/>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spacing w:line="312"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4.其他事项：</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需要落实的政府采购政策：包括节约资源、保护环境、支持创新、促进中小企业发展等。详见招标文件的第二部分总则。</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.电子招投标的说明：</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本采购项目，中标人与采购人签订的政府采购合同适用于嘉兴市政府采购贷款政策，简称“政采贷”，具体内容可参阅政府采购贷款流程：http://jxszwsjb.jiaxing.gov.cn/zxfw/005001/005001004/20190315/76d484f7-8fac-497f-9359-4df81cc086da.html或者供应商中标后也可在“政采云”平台申请政采贷：操作路径：登</w:t>
      </w:r>
      <w:r>
        <w:rPr>
          <w:rFonts w:hint="eastAsia" w:ascii="宋体" w:hAnsi="宋体" w:eastAsia="宋体" w:cs="宋体"/>
          <w:color w:val="auto"/>
          <w:sz w:val="24"/>
          <w:szCs w:val="24"/>
          <w:highlight w:val="none"/>
        </w:rPr>
        <w:t>录政采云平台 - 金融服务中心 -融资服务，可在热门申请中选择产品直接申请，也可点击云智贷匹配适合产品进行申请，或者在可申请项目中根据该项目进行申请。</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bidi w:val="0"/>
        <w:spacing w:line="312" w:lineRule="auto"/>
        <w:textAlignment w:val="auto"/>
        <w:outlineLvl w:val="1"/>
        <w:rPr>
          <w:rFonts w:hint="eastAsia" w:ascii="宋体" w:hAnsi="宋体" w:eastAsia="宋体" w:cs="宋体"/>
          <w:b/>
          <w:color w:val="auto"/>
          <w:sz w:val="24"/>
          <w:szCs w:val="24"/>
          <w:highlight w:val="none"/>
        </w:rPr>
      </w:pPr>
      <w:bookmarkStart w:id="35" w:name="_Toc7818"/>
      <w:bookmarkStart w:id="36" w:name="_Toc22059"/>
      <w:bookmarkStart w:id="37" w:name="_Toc8498"/>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、对本次采购提出询问、质疑、投诉，请按以下方式联系</w:t>
      </w:r>
      <w:bookmarkEnd w:id="35"/>
      <w:bookmarkEnd w:id="36"/>
      <w:bookmarkEnd w:id="37"/>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嘉兴市第一医院</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址：嘉兴市中环南路1882号</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陈奇哲</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项目联系电话（询问）：</w:t>
      </w:r>
      <w:r>
        <w:rPr>
          <w:rFonts w:hint="eastAsia" w:ascii="宋体" w:hAnsi="宋体" w:eastAsia="宋体" w:cs="宋体"/>
          <w:color w:val="auto"/>
          <w:sz w:val="24"/>
          <w:szCs w:val="24"/>
          <w:highlight w:val="none"/>
          <w:lang w:val="en-US" w:eastAsia="zh-CN"/>
        </w:rPr>
        <w:t>0573-89990791</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吴中杰</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0573-82519888</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称：杭州中浙招标有限公司</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址：杭州市湖州街168号美好国际大厦1008室</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真：0571-87553198</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项目联系人（询问）：蒋菊、吴战军</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项目联系方式（询问）：0571-87850058、15957136152、18957110019</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质疑联系人：黄煊栋</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质疑联系方式：0571-87850078</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称：嘉兴市财政局  </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人：姚老师</w:t>
      </w:r>
    </w:p>
    <w:p>
      <w:pPr>
        <w:keepNext w:val="0"/>
        <w:keepLines w:val="0"/>
        <w:pageBreakBefore w:val="0"/>
        <w:kinsoku/>
        <w:wordWrap/>
        <w:overflowPunct/>
        <w:topLinePunct w:val="0"/>
        <w:bidi w:val="0"/>
        <w:spacing w:line="312" w:lineRule="auto"/>
        <w:ind w:firstLine="480" w:firstLineChars="200"/>
        <w:textAlignment w:val="auto"/>
        <w:outlineLvl w:val="0"/>
        <w:rPr>
          <w:rFonts w:hint="eastAsia" w:ascii="宋体" w:hAnsi="宋体" w:eastAsia="宋体" w:cs="宋体"/>
          <w:color w:val="auto"/>
          <w:sz w:val="24"/>
          <w:szCs w:val="24"/>
          <w:highlight w:val="none"/>
        </w:rPr>
      </w:pPr>
      <w:bookmarkStart w:id="38" w:name="_Toc12384"/>
      <w:bookmarkStart w:id="39" w:name="_Toc21224"/>
      <w:r>
        <w:rPr>
          <w:rFonts w:hint="eastAsia" w:ascii="宋体" w:hAnsi="宋体" w:eastAsia="宋体" w:cs="宋体"/>
          <w:color w:val="auto"/>
          <w:sz w:val="24"/>
          <w:szCs w:val="24"/>
          <w:highlight w:val="none"/>
        </w:rPr>
        <w:t>监督投诉电话：0573-82031217</w:t>
      </w:r>
      <w:bookmarkEnd w:id="38"/>
      <w:bookmarkEnd w:id="39"/>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若对项目采购电子交易系统操作有疑问，可登录政采云（https://www.zcygov.cn/），点击右侧咨询小采，获取采小蜜智能服务管家帮助，或拨打政采云服务热线400-881-7190获取热线服务帮助。</w:t>
      </w:r>
    </w:p>
    <w:p>
      <w:pPr>
        <w:pStyle w:val="10"/>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pPr>
        <w:adjustRightInd/>
        <w:spacing w:line="360" w:lineRule="auto"/>
        <w:jc w:val="center"/>
        <w:outlineLvl w:val="9"/>
        <w:rPr>
          <w:rFonts w:hint="eastAsia" w:ascii="宋体" w:hAnsi="宋体" w:eastAsia="宋体" w:cs="宋体"/>
          <w:b/>
          <w:color w:val="auto"/>
          <w:sz w:val="24"/>
          <w:highlight w:val="none"/>
        </w:rPr>
      </w:pPr>
      <w:bookmarkStart w:id="40" w:name="_Toc7696"/>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adjustRightInd/>
        <w:spacing w:line="360" w:lineRule="auto"/>
        <w:jc w:val="center"/>
        <w:outlineLvl w:val="0"/>
        <w:rPr>
          <w:rFonts w:hint="eastAsia" w:ascii="宋体" w:hAnsi="宋体" w:eastAsia="宋体" w:cs="宋体"/>
          <w:b/>
          <w:color w:val="auto"/>
          <w:sz w:val="36"/>
          <w:szCs w:val="36"/>
          <w:highlight w:val="none"/>
        </w:rPr>
      </w:pPr>
      <w:bookmarkStart w:id="41" w:name="_Toc12537"/>
      <w:bookmarkStart w:id="42" w:name="_Toc23346"/>
      <w:r>
        <w:rPr>
          <w:rFonts w:hint="eastAsia" w:ascii="宋体" w:hAnsi="宋体" w:eastAsia="宋体" w:cs="宋体"/>
          <w:b/>
          <w:color w:val="auto"/>
          <w:sz w:val="36"/>
          <w:szCs w:val="36"/>
          <w:highlight w:val="none"/>
        </w:rPr>
        <w:t>第二部分</w:t>
      </w:r>
      <w:bookmarkEnd w:id="14"/>
      <w:r>
        <w:rPr>
          <w:rFonts w:hint="eastAsia" w:ascii="宋体" w:hAnsi="宋体" w:eastAsia="宋体" w:cs="宋体"/>
          <w:b/>
          <w:color w:val="auto"/>
          <w:sz w:val="36"/>
          <w:szCs w:val="36"/>
          <w:highlight w:val="none"/>
        </w:rPr>
        <w:t xml:space="preserve"> 投标人须知</w:t>
      </w:r>
      <w:bookmarkEnd w:id="15"/>
      <w:bookmarkEnd w:id="40"/>
      <w:bookmarkEnd w:id="41"/>
      <w:bookmarkEnd w:id="42"/>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前附表</w:t>
      </w:r>
    </w:p>
    <w:tbl>
      <w:tblPr>
        <w:tblStyle w:val="19"/>
        <w:tblW w:w="861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51"/>
        <w:gridCol w:w="66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5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2"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5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1）投标文件未按照招标文件要求签署、盖章的；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3）投标文件报价清单与招标文件（包括答疑等补充文件）提供的清单不一致的；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5）报价明显低于其他通过符合性审查供应商的报价，有可能影响产品质量或者不能诚信履约的，未能按要求提供书面说明或者提交相关证明材料，不能证明其报价合理性的;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7)投标人提供虚假材料投标的；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8)投标人有恶意串通、妨碍其他供应商的竞争行为、损害采购人或者其他供应商的合法权益情形的；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10)投标文件不满足招标文件的其它实质性要求的；</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11)法律、法规、规章（适用本市的）及省级以上规范性文件（适用本市的）规定的其他无效情形。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5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A同意将非主体、非关键性的_________工作分包。</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51"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37"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tc>
        <w:tc>
          <w:tcPr>
            <w:tcW w:w="1351"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p>
        </w:tc>
        <w:tc>
          <w:tcPr>
            <w:tcW w:w="6637"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5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lang w:val="zh-CN"/>
              </w:rPr>
              <w:t>A不组织。</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lang w:val="zh-CN"/>
              </w:rPr>
              <w:t>B组织，</w:t>
            </w:r>
            <w:r>
              <w:rPr>
                <w:rFonts w:hint="eastAsia" w:ascii="宋体" w:hAnsi="宋体" w:eastAsia="宋体" w:cs="宋体"/>
                <w:color w:val="auto"/>
                <w:sz w:val="24"/>
                <w:highlight w:val="none"/>
              </w:rPr>
              <w:t>投标人在投标截止时间前自行前往</w:t>
            </w:r>
            <w:r>
              <w:rPr>
                <w:rFonts w:hint="eastAsia" w:ascii="宋体" w:hAnsi="宋体" w:eastAsia="宋体" w:cs="宋体"/>
                <w:color w:val="auto"/>
                <w:sz w:val="24"/>
                <w:highlight w:val="none"/>
                <w:lang w:eastAsia="zh-CN"/>
              </w:rPr>
              <w:t>嘉兴市第一医院</w:t>
            </w:r>
            <w:r>
              <w:rPr>
                <w:rFonts w:hint="eastAsia" w:ascii="宋体" w:hAnsi="宋体" w:eastAsia="宋体" w:cs="宋体"/>
                <w:color w:val="auto"/>
                <w:sz w:val="24"/>
                <w:highlight w:val="none"/>
              </w:rPr>
              <w:t>进行踏勘考察。</w:t>
            </w:r>
            <w:r>
              <w:rPr>
                <w:rFonts w:hint="eastAsia" w:ascii="宋体" w:hAnsi="宋体" w:eastAsia="宋体" w:cs="宋体"/>
                <w:color w:val="auto"/>
                <w:sz w:val="24"/>
                <w:highlight w:val="none"/>
                <w:lang w:val="zh-CN"/>
              </w:rPr>
              <w:t>联系人：</w:t>
            </w:r>
            <w:r>
              <w:rPr>
                <w:rFonts w:hint="eastAsia" w:ascii="宋体" w:hAnsi="宋体" w:eastAsia="宋体" w:cs="宋体"/>
                <w:color w:val="auto"/>
                <w:sz w:val="24"/>
                <w:highlight w:val="none"/>
                <w:lang w:val="en-US" w:eastAsia="zh-CN"/>
              </w:rPr>
              <w:t>张瀚</w:t>
            </w:r>
            <w:r>
              <w:rPr>
                <w:rFonts w:hint="eastAsia" w:ascii="宋体" w:hAnsi="宋体" w:eastAsia="宋体" w:cs="宋体"/>
                <w:color w:val="auto"/>
                <w:sz w:val="24"/>
                <w:highlight w:val="none"/>
                <w:lang w:val="zh-CN"/>
              </w:rPr>
              <w:t>，联系方式：0573-830599042。</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本项目需对现场进行踏勘（招标文件中不能详细表述的不可预见费用、招标需求等，投标人需通过现场踏勘后考虑在最终报价内，否则后果由投标人自负）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5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lang w:val="zh-CN"/>
              </w:rPr>
              <w:t>A</w:t>
            </w:r>
            <w:r>
              <w:rPr>
                <w:rFonts w:hint="eastAsia" w:ascii="宋体" w:hAnsi="宋体" w:eastAsia="宋体" w:cs="宋体"/>
                <w:color w:val="auto"/>
                <w:sz w:val="24"/>
                <w:highlight w:val="none"/>
              </w:rPr>
              <w:t>不要求提供。</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35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lang w:val="zh-CN"/>
              </w:rPr>
              <w:t>A</w:t>
            </w:r>
            <w:r>
              <w:rPr>
                <w:rFonts w:hint="eastAsia" w:ascii="宋体" w:hAnsi="宋体" w:eastAsia="宋体" w:cs="宋体"/>
                <w:color w:val="auto"/>
                <w:sz w:val="24"/>
                <w:highlight w:val="none"/>
              </w:rPr>
              <w:t>不组织。</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35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lang w:val="zh-CN"/>
              </w:rPr>
              <w:t>A</w:t>
            </w:r>
            <w:r>
              <w:rPr>
                <w:rFonts w:hint="eastAsia" w:ascii="宋体" w:hAnsi="宋体" w:eastAsia="宋体" w:cs="宋体"/>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35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35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嘉兴市第一医院2022至2023年安保服务项目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服务行业</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35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kern w:val="0"/>
                <w:sz w:val="24"/>
                <w:highlight w:val="none"/>
              </w:rPr>
              <w:t>（本项目不适用）</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351"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采购项目，中标人与采购人签订的政府采购合同适用于嘉兴市政府采购贷款政策，简称“政采贷”，具体内容可参阅政府采购贷款流程：http://jxszwsjb.jiaxing.gov.cn/zxfw/005001/005001004/20190315/76d484f7-8fac-497f-9359-4df81cc086da.html或者投标人中标后也可在“政采云”平台申请政采贷：操作路径：登录政采云平台 - 金融服务中心 -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35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37" w:type="dxa"/>
            <w:tcBorders>
              <w:top w:val="single" w:color="000000" w:sz="8" w:space="0"/>
              <w:left w:val="single" w:color="000000" w:sz="2" w:space="0"/>
              <w:bottom w:val="single" w:color="000000" w:sz="8" w:space="0"/>
              <w:right w:val="single" w:color="000000" w:sz="8" w:space="0"/>
            </w:tcBorders>
            <w:vAlign w:val="center"/>
          </w:tcPr>
          <w:p>
            <w:pPr>
              <w:pStyle w:val="10"/>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"mailto:投标人在投标截止时间前将加密的投标文件上传至政府采购云平台，还可以在投标截止时间前通过邮箱chinazhongzhe@163.com递交备份投标文件1份。"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sz w:val="24"/>
                <w:szCs w:val="24"/>
                <w:highlight w:val="none"/>
              </w:rPr>
              <w:t>投标人在投标截止时间前将加密的投标文件上传至政府采购云平台，还可以在投标截止时间前通过邮箱chinazhongzhe@163.com递交备份投标文件1份。</w:t>
            </w:r>
            <w:r>
              <w:rPr>
                <w:rStyle w:val="23"/>
                <w:rFonts w:hint="eastAsia" w:ascii="宋体" w:hAnsi="宋体" w:eastAsia="宋体" w:cs="宋体"/>
                <w:color w:val="auto"/>
                <w:sz w:val="24"/>
                <w:szCs w:val="24"/>
                <w:highlight w:val="none"/>
              </w:rPr>
              <w:fldChar w:fldCharType="end"/>
            </w:r>
          </w:p>
          <w:p>
            <w:pPr>
              <w:pStyle w:val="10"/>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35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1、供应商如中标需提供纸质投标文件一正一副，送至杭州中浙招标有限公司。</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2、投标文件、流程文件签章：</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kern w:val="0"/>
                <w:sz w:val="24"/>
                <w:highlight w:val="none"/>
              </w:rPr>
              <w:t>1）电子投标文件必须有电子签章；</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（2）开标后，相关信息记录确认、澄清说明、回复等内容，电子签章、或者签章后上传相关文件，均认可；</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（3）政采云系统平台有新的操作流程的，按其规定。</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（4）病毒发作导致不能进行正常操作的； </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（5）其他无法保证电子交易的公平、公正和安全的情况。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35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637"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（1）中标人在收到中标通知书后，支付采购代理机构成交代理服务费。</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（2）招标代理服务费参考国家计委计价格[2002]1980号文件中规定的服务标准采用差额定率累进计费方式下浮30%计算，如经计算不足5000元，按5000元收取，计入投标总价。</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中标金额（万元人民币）             下浮30%后费率</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100万元以下                        1.05%</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100万元以上，500万元以下           0.56%</w:t>
            </w:r>
          </w:p>
          <w:p>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kern w:val="0"/>
                <w:sz w:val="24"/>
                <w:highlight w:val="none"/>
              </w:rPr>
              <w:t>500万元以上，1000万元以下</w:t>
            </w:r>
            <w:r>
              <w:rPr>
                <w:rFonts w:hint="eastAsia" w:ascii="宋体" w:hAnsi="宋体" w:eastAsia="宋体" w:cs="宋体"/>
                <w:bCs/>
                <w:color w:val="auto"/>
                <w:kern w:val="0"/>
                <w:sz w:val="24"/>
                <w:highlight w:val="none"/>
                <w:lang w:val="en-US" w:eastAsia="zh-CN"/>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lang w:val="en-US" w:eastAsia="zh-CN"/>
              </w:rPr>
              <w:t xml:space="preserve">     </w:t>
            </w:r>
            <w:r>
              <w:rPr>
                <w:rFonts w:hint="eastAsia" w:ascii="宋体" w:hAnsi="宋体" w:eastAsia="宋体" w:cs="宋体"/>
                <w:bCs/>
                <w:color w:val="auto"/>
                <w:kern w:val="0"/>
                <w:sz w:val="24"/>
                <w:highlight w:val="none"/>
              </w:rPr>
              <w:t>0.315%</w:t>
            </w:r>
          </w:p>
        </w:tc>
      </w:tr>
      <w:bookmarkEnd w:id="16"/>
    </w:tbl>
    <w:p>
      <w:pPr>
        <w:rPr>
          <w:rFonts w:hint="eastAsia" w:ascii="宋体" w:hAnsi="宋体" w:eastAsia="宋体" w:cs="宋体"/>
          <w:color w:val="auto"/>
          <w:sz w:val="24"/>
          <w:szCs w:val="24"/>
          <w:highlight w:val="none"/>
        </w:rPr>
      </w:pPr>
      <w:bookmarkStart w:id="43" w:name="_Toc15604"/>
      <w:bookmarkStart w:id="44" w:name="_Toc29382"/>
      <w:bookmarkStart w:id="45" w:name="_Toc24026"/>
      <w:bookmarkStart w:id="46" w:name="_Toc164416483"/>
      <w:bookmarkStart w:id="47" w:name="第三部分"/>
      <w:r>
        <w:rPr>
          <w:rFonts w:hint="eastAsia" w:ascii="宋体" w:hAnsi="宋体" w:eastAsia="宋体" w:cs="宋体"/>
          <w:color w:val="auto"/>
          <w:sz w:val="24"/>
          <w:szCs w:val="24"/>
          <w:highlight w:val="none"/>
        </w:rPr>
        <w:br w:type="page"/>
      </w: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一、总则</w:t>
      </w:r>
      <w:bookmarkEnd w:id="43"/>
      <w:bookmarkEnd w:id="44"/>
      <w:bookmarkEnd w:id="45"/>
    </w:p>
    <w:p>
      <w:pPr>
        <w:pageBreakBefore w:val="0"/>
        <w:kinsoku/>
        <w:wordWrap/>
        <w:overflowPunct/>
        <w:topLinePunct w:val="0"/>
        <w:bidi w:val="0"/>
        <w:snapToGrid w:val="0"/>
        <w:spacing w:line="312" w:lineRule="auto"/>
        <w:ind w:firstLine="361" w:firstLineChars="150"/>
        <w:jc w:val="left"/>
        <w:textAlignment w:val="auto"/>
        <w:outlineLvl w:val="1"/>
        <w:rPr>
          <w:rFonts w:hint="eastAsia" w:ascii="宋体" w:hAnsi="宋体" w:eastAsia="宋体" w:cs="宋体"/>
          <w:b/>
          <w:color w:val="auto"/>
          <w:sz w:val="24"/>
          <w:highlight w:val="none"/>
        </w:rPr>
      </w:pPr>
      <w:bookmarkStart w:id="48" w:name="_Toc16551"/>
      <w:bookmarkStart w:id="49" w:name="_Toc30042"/>
      <w:bookmarkStart w:id="50" w:name="_Toc32092"/>
      <w:r>
        <w:rPr>
          <w:rFonts w:hint="eastAsia" w:ascii="宋体" w:hAnsi="宋体" w:eastAsia="宋体" w:cs="宋体"/>
          <w:b/>
          <w:color w:val="auto"/>
          <w:sz w:val="24"/>
          <w:highlight w:val="none"/>
        </w:rPr>
        <w:t>1. 适用范围</w:t>
      </w:r>
      <w:bookmarkEnd w:id="48"/>
      <w:bookmarkEnd w:id="49"/>
      <w:bookmarkEnd w:id="50"/>
    </w:p>
    <w:p>
      <w:pPr>
        <w:pageBreakBefore w:val="0"/>
        <w:kinsoku/>
        <w:wordWrap/>
        <w:overflowPunct/>
        <w:topLinePunct w:val="0"/>
        <w:bidi w:val="0"/>
        <w:snapToGrid w:val="0"/>
        <w:spacing w:line="312"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pageBreakBefore w:val="0"/>
        <w:kinsoku/>
        <w:wordWrap/>
        <w:overflowPunct/>
        <w:topLinePunct w:val="0"/>
        <w:bidi w:val="0"/>
        <w:adjustRightInd/>
        <w:spacing w:line="312" w:lineRule="auto"/>
        <w:textAlignment w:val="auto"/>
        <w:outlineLvl w:val="0"/>
        <w:rPr>
          <w:rFonts w:hint="eastAsia" w:ascii="宋体" w:hAnsi="宋体" w:eastAsia="宋体" w:cs="宋体"/>
          <w:b/>
          <w:color w:val="auto"/>
          <w:sz w:val="24"/>
          <w:highlight w:val="none"/>
        </w:rPr>
      </w:pPr>
      <w:bookmarkStart w:id="51" w:name="_Toc13427"/>
      <w:bookmarkStart w:id="52" w:name="_Toc9737"/>
      <w:bookmarkStart w:id="53" w:name="_Toc26457"/>
      <w:r>
        <w:rPr>
          <w:rFonts w:hint="eastAsia" w:ascii="宋体" w:hAnsi="宋体" w:eastAsia="宋体" w:cs="宋体"/>
          <w:b/>
          <w:color w:val="auto"/>
          <w:sz w:val="24"/>
          <w:highlight w:val="none"/>
        </w:rPr>
        <w:t>2.定义</w:t>
      </w:r>
      <w:bookmarkEnd w:id="51"/>
      <w:bookmarkEnd w:id="52"/>
      <w:bookmarkEnd w:id="53"/>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pageBreakBefore w:val="0"/>
        <w:kinsoku/>
        <w:wordWrap/>
        <w:overflowPunct/>
        <w:topLinePunct w:val="0"/>
        <w:bidi w:val="0"/>
        <w:spacing w:line="312"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pageBreakBefore w:val="0"/>
        <w:kinsoku/>
        <w:wordWrap/>
        <w:overflowPunct/>
        <w:topLinePunct w:val="0"/>
        <w:bidi w:val="0"/>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ageBreakBefore w:val="0"/>
        <w:kinsoku/>
        <w:wordWrap/>
        <w:overflowPunct/>
        <w:topLinePunct w:val="0"/>
        <w:bidi w:val="0"/>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pageBreakBefore w:val="0"/>
        <w:kinsoku/>
        <w:wordWrap/>
        <w:overflowPunct/>
        <w:topLinePunct w:val="0"/>
        <w:bidi w:val="0"/>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pageBreakBefore w:val="0"/>
        <w:kinsoku/>
        <w:wordWrap/>
        <w:overflowPunct/>
        <w:topLinePunct w:val="0"/>
        <w:bidi w:val="0"/>
        <w:spacing w:line="312"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spacing w:line="312"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w:t>
      </w:r>
      <w:r>
        <w:rPr>
          <w:rFonts w:hint="eastAsia" w:ascii="宋体" w:hAnsi="宋体" w:eastAsia="宋体" w:cs="宋体"/>
          <w:color w:val="auto"/>
          <w:kern w:val="0"/>
          <w:sz w:val="24"/>
          <w:highlight w:val="none"/>
        </w:rPr>
        <w:t>本采购项目，中标人与采购人签订的政府采购合同适用于嘉兴市政府采购贷款政策，简称“政采贷”，具体内容可参阅政府采购贷款流程：http://jxszwsjb.jiaxing.gov.cn/zxfw/005001/005001004/20190315/76d484f7-8fac-497f-9359-4df81cc086da.html或者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pageBreakBefore w:val="0"/>
        <w:kinsoku/>
        <w:wordWrap/>
        <w:overflowPunct/>
        <w:topLinePunct w:val="0"/>
        <w:autoSpaceDE w:val="0"/>
        <w:autoSpaceDN w:val="0"/>
        <w:bidi w:val="0"/>
        <w:spacing w:line="312"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pageBreakBefore w:val="0"/>
        <w:kinsoku/>
        <w:wordWrap/>
        <w:overflowPunct/>
        <w:topLinePunct w:val="0"/>
        <w:autoSpaceDE w:val="0"/>
        <w:autoSpaceDN w:val="0"/>
        <w:bidi w:val="0"/>
        <w:spacing w:line="312"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pacing w:line="312"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pageBreakBefore w:val="0"/>
        <w:kinsoku/>
        <w:wordWrap/>
        <w:overflowPunct/>
        <w:topLinePunct w:val="0"/>
        <w:bidi w:val="0"/>
        <w:spacing w:line="312"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4.2.2.1对招标文件提出质疑的，质疑期限为供应商获得招标文件之日或者招标文件公告期限届满之日起计算。</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4.2.3.1供应商的姓名或者名称、地址、邮编、联系人及联系电话；</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4.2.3.2质疑项目的名称、编号；</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4.2.3.3具体、明确的质疑事项和与质疑事项相关的请求；</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4.2.3.4事实依据；</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4.2.3.5必要的法律依据；</w:t>
      </w:r>
    </w:p>
    <w:p>
      <w:pPr>
        <w:pStyle w:val="10"/>
        <w:pageBreakBefore w:val="0"/>
        <w:kinsoku/>
        <w:wordWrap/>
        <w:overflowPunct/>
        <w:topLinePunct w:val="0"/>
        <w:bidi w:val="0"/>
        <w:spacing w:line="312" w:lineRule="auto"/>
        <w:ind w:firstLine="960" w:firstLineChars="400"/>
        <w:textAlignment w:val="auto"/>
        <w:rPr>
          <w:rFonts w:hint="eastAsia" w:ascii="宋体" w:hAnsi="宋体" w:eastAsia="宋体" w:cs="宋体"/>
          <w:snapToGrid/>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r>
        <w:rPr>
          <w:rFonts w:hint="eastAsia" w:ascii="宋体" w:hAnsi="宋体" w:eastAsia="宋体" w:cs="宋体"/>
          <w:snapToGrid/>
          <w:color w:val="auto"/>
          <w:kern w:val="0"/>
          <w:sz w:val="24"/>
          <w:szCs w:val="24"/>
          <w:highlight w:val="none"/>
          <w:lang w:val="zh-CN"/>
        </w:rPr>
        <w:t>.2.3.6提出质疑的日期。</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质疑函范本及制作说明详见附件2。</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kern w:val="0"/>
          <w:sz w:val="24"/>
          <w:szCs w:val="24"/>
          <w:highlight w:val="none"/>
        </w:rPr>
        <w:t>.4采购人或者采购机</w:t>
      </w:r>
      <w:r>
        <w:rPr>
          <w:rFonts w:hint="eastAsia" w:ascii="宋体" w:hAnsi="宋体" w:eastAsia="宋体" w:cs="宋体"/>
          <w:snapToGrid/>
          <w:color w:val="auto"/>
          <w:kern w:val="0"/>
          <w:sz w:val="24"/>
          <w:szCs w:val="24"/>
          <w:highlight w:val="none"/>
        </w:rPr>
        <w:t>构应当在收到供应商的书面质疑后七个工作日内作出答复，并以书面形式通知质疑供应商和其他与质疑处理结果有利害关系的政府采购当事人，但答</w:t>
      </w:r>
      <w:r>
        <w:rPr>
          <w:rFonts w:hint="eastAsia" w:ascii="宋体" w:hAnsi="宋体" w:eastAsia="宋体" w:cs="宋体"/>
          <w:color w:val="auto"/>
          <w:kern w:val="0"/>
          <w:sz w:val="24"/>
          <w:szCs w:val="24"/>
          <w:highlight w:val="none"/>
        </w:rPr>
        <w:t>复的内容不得涉及商业秘密。采购人或者采购机构在质疑回复后5个工作日内，在浙江政府采购网的“其他公告”栏</w:t>
      </w:r>
      <w:r>
        <w:rPr>
          <w:rFonts w:hint="eastAsia" w:ascii="宋体" w:hAnsi="宋体" w:eastAsia="宋体" w:cs="宋体"/>
          <w:color w:val="auto"/>
          <w:kern w:val="0"/>
          <w:sz w:val="24"/>
          <w:szCs w:val="24"/>
          <w:highlight w:val="none"/>
          <w:lang w:val="zh-CN"/>
        </w:rPr>
        <w:t>目公开质疑答复，答复内容应当完整。质疑函作为附件上传。</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4.2.5询问或者质疑事项可能影响采购结果的，采购人应当暂停签订合同，已经签订合同的，应当中止履行合同。</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4.3供应商投诉</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4.3.1质疑供应商对采购</w:t>
      </w:r>
      <w:r>
        <w:rPr>
          <w:rFonts w:hint="eastAsia" w:ascii="宋体" w:hAnsi="宋体" w:eastAsia="宋体" w:cs="宋体"/>
          <w:color w:val="auto"/>
          <w:kern w:val="0"/>
          <w:sz w:val="24"/>
          <w:szCs w:val="24"/>
          <w:highlight w:val="none"/>
        </w:rPr>
        <w:t>人、采购机构的答复不满意或者采购人、采购机构未在规定的时间内作出答复的，可以在答复期满后十五个工作日内向同级政府采购监督管理部门提出投诉。</w:t>
      </w:r>
    </w:p>
    <w:p>
      <w:pPr>
        <w:pStyle w:val="27"/>
        <w:pageBreakBefore w:val="0"/>
        <w:shd w:val="clear" w:color="auto" w:fill="FFFFFF"/>
        <w:kinsoku/>
        <w:wordWrap/>
        <w:overflowPunct/>
        <w:topLinePunct w:val="0"/>
        <w:bidi w:val="0"/>
        <w:snapToGrid w:val="0"/>
        <w:spacing w:before="0" w:beforeAutospacing="0" w:after="0" w:afterAutospacing="0" w:line="312"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27"/>
        <w:pageBreakBefore w:val="0"/>
        <w:shd w:val="clear" w:color="auto" w:fill="FFFFFF"/>
        <w:kinsoku/>
        <w:wordWrap/>
        <w:overflowPunct/>
        <w:topLinePunct w:val="0"/>
        <w:bidi w:val="0"/>
        <w:snapToGrid w:val="0"/>
        <w:spacing w:before="0" w:beforeAutospacing="0" w:after="0" w:afterAutospacing="0" w:line="312"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27"/>
        <w:pageBreakBefore w:val="0"/>
        <w:shd w:val="clear" w:color="auto" w:fill="FFFFFF"/>
        <w:kinsoku/>
        <w:wordWrap/>
        <w:overflowPunct/>
        <w:topLinePunct w:val="0"/>
        <w:bidi w:val="0"/>
        <w:snapToGrid w:val="0"/>
        <w:spacing w:before="0" w:beforeAutospacing="0" w:after="0" w:afterAutospacing="0" w:line="312"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27"/>
        <w:pageBreakBefore w:val="0"/>
        <w:shd w:val="clear" w:color="auto" w:fill="FFFFFF"/>
        <w:kinsoku/>
        <w:wordWrap/>
        <w:overflowPunct/>
        <w:topLinePunct w:val="0"/>
        <w:bidi w:val="0"/>
        <w:snapToGrid w:val="0"/>
        <w:spacing w:before="0" w:beforeAutospacing="0" w:after="0" w:afterAutospacing="0" w:line="312"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26"/>
        <w:pageBreakBefore w:val="0"/>
        <w:kinsoku/>
        <w:wordWrap/>
        <w:overflowPunct/>
        <w:topLinePunct w:val="0"/>
        <w:bidi w:val="0"/>
        <w:snapToGrid w:val="0"/>
        <w:spacing w:before="0" w:line="312" w:lineRule="auto"/>
        <w:ind w:firstLine="482"/>
        <w:textAlignment w:val="auto"/>
        <w:rPr>
          <w:rFonts w:hint="eastAsia" w:ascii="宋体" w:hAnsi="宋体" w:eastAsia="宋体" w:cs="宋体"/>
          <w:b/>
          <w:bCs/>
          <w:color w:val="auto"/>
          <w:szCs w:val="24"/>
          <w:highlight w:val="none"/>
          <w:lang w:val="zh-CN"/>
        </w:rPr>
      </w:pP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bookmarkStart w:id="54" w:name="_Toc27013"/>
      <w:bookmarkStart w:id="55" w:name="_Toc6063"/>
      <w:bookmarkStart w:id="56" w:name="_Toc1994"/>
      <w:r>
        <w:rPr>
          <w:rFonts w:hint="eastAsia" w:ascii="宋体" w:hAnsi="宋体" w:eastAsia="宋体" w:cs="宋体"/>
          <w:color w:val="auto"/>
          <w:sz w:val="24"/>
          <w:szCs w:val="24"/>
          <w:highlight w:val="none"/>
        </w:rPr>
        <w:t>二、招标文件的构成、澄清、修改</w:t>
      </w:r>
      <w:bookmarkEnd w:id="54"/>
      <w:bookmarkEnd w:id="55"/>
      <w:bookmarkEnd w:id="56"/>
    </w:p>
    <w:p>
      <w:pPr>
        <w:pStyle w:val="10"/>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10"/>
        <w:pageBreakBefore w:val="0"/>
        <w:tabs>
          <w:tab w:val="left" w:pos="840"/>
        </w:tabs>
        <w:kinsoku/>
        <w:wordWrap/>
        <w:overflowPunct/>
        <w:topLinePunct w:val="0"/>
        <w:bidi w:val="0"/>
        <w:spacing w:line="312"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10"/>
        <w:pageBreakBefore w:val="0"/>
        <w:tabs>
          <w:tab w:val="left" w:pos="840"/>
        </w:tabs>
        <w:kinsoku/>
        <w:wordWrap/>
        <w:overflowPunct/>
        <w:topLinePunct w:val="0"/>
        <w:bidi w:val="0"/>
        <w:spacing w:line="312"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10"/>
        <w:pageBreakBefore w:val="0"/>
        <w:tabs>
          <w:tab w:val="left" w:pos="840"/>
        </w:tabs>
        <w:kinsoku/>
        <w:wordWrap/>
        <w:overflowPunct/>
        <w:topLinePunct w:val="0"/>
        <w:bidi w:val="0"/>
        <w:spacing w:line="312"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10"/>
        <w:pageBreakBefore w:val="0"/>
        <w:tabs>
          <w:tab w:val="left" w:pos="840"/>
        </w:tabs>
        <w:kinsoku/>
        <w:wordWrap/>
        <w:overflowPunct/>
        <w:topLinePunct w:val="0"/>
        <w:bidi w:val="0"/>
        <w:spacing w:line="312"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10"/>
        <w:pageBreakBefore w:val="0"/>
        <w:tabs>
          <w:tab w:val="left" w:pos="840"/>
        </w:tabs>
        <w:kinsoku/>
        <w:wordWrap/>
        <w:overflowPunct/>
        <w:topLinePunct w:val="0"/>
        <w:bidi w:val="0"/>
        <w:spacing w:line="312"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10"/>
        <w:pageBreakBefore w:val="0"/>
        <w:tabs>
          <w:tab w:val="left" w:pos="840"/>
        </w:tabs>
        <w:kinsoku/>
        <w:wordWrap/>
        <w:overflowPunct/>
        <w:topLinePunct w:val="0"/>
        <w:bidi w:val="0"/>
        <w:spacing w:line="312"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10"/>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6.1已获取招标文件的潜在投标人，若有问题需要澄清，应于投标截止时间前，以书面形式向采购机构提出。</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pageBreakBefore w:val="0"/>
        <w:kinsoku/>
        <w:wordWrap/>
        <w:overflowPunct/>
        <w:topLinePunct w:val="0"/>
        <w:bidi w:val="0"/>
        <w:spacing w:line="312" w:lineRule="auto"/>
        <w:textAlignment w:val="auto"/>
        <w:rPr>
          <w:rFonts w:hint="eastAsia" w:ascii="宋体" w:hAnsi="宋体" w:eastAsia="宋体" w:cs="宋体"/>
          <w:color w:val="auto"/>
          <w:szCs w:val="24"/>
          <w:highlight w:val="none"/>
          <w:lang w:val="en-US"/>
        </w:rPr>
      </w:pP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bookmarkStart w:id="57" w:name="_Toc22808"/>
      <w:bookmarkStart w:id="58" w:name="_Toc13566"/>
      <w:bookmarkStart w:id="59" w:name="_Toc14221"/>
      <w:r>
        <w:rPr>
          <w:rFonts w:hint="eastAsia" w:ascii="宋体" w:hAnsi="宋体" w:eastAsia="宋体" w:cs="宋体"/>
          <w:color w:val="auto"/>
          <w:sz w:val="24"/>
          <w:szCs w:val="24"/>
          <w:highlight w:val="none"/>
        </w:rPr>
        <w:t>三、投标</w:t>
      </w:r>
      <w:bookmarkEnd w:id="57"/>
      <w:bookmarkEnd w:id="58"/>
      <w:bookmarkEnd w:id="59"/>
    </w:p>
    <w:p>
      <w:pPr>
        <w:pStyle w:val="10"/>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10"/>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10"/>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pPr>
        <w:pStyle w:val="5"/>
        <w:pageBreakBefore w:val="0"/>
        <w:kinsoku/>
        <w:wordWrap/>
        <w:overflowPunct/>
        <w:topLinePunct w:val="0"/>
        <w:bidi w:val="0"/>
        <w:spacing w:line="312"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10"/>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pageBreakBefore w:val="0"/>
        <w:kinsoku/>
        <w:wordWrap/>
        <w:overflowPunct/>
        <w:topLinePunct w:val="0"/>
        <w:autoSpaceDE w:val="0"/>
        <w:autoSpaceDN w:val="0"/>
        <w:bidi w:val="0"/>
        <w:spacing w:line="312"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10"/>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11.2.1投标响应函；</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11.2.3符合性审查资料；</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11.2.4评审标准相应的商务技术资料；</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11.2.5商务技术偏离表；</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政府采购供应商廉洁自律承诺书；</w:t>
      </w:r>
    </w:p>
    <w:p>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pageBreakBefore w:val="0"/>
        <w:kinsoku/>
        <w:wordWrap/>
        <w:overflowPunct/>
        <w:topLinePunct w:val="0"/>
        <w:bidi w:val="0"/>
        <w:snapToGrid w:val="0"/>
        <w:spacing w:line="312"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pageBreakBefore w:val="0"/>
        <w:kinsoku/>
        <w:wordWrap/>
        <w:overflowPunct/>
        <w:topLinePunct w:val="0"/>
        <w:bidi w:val="0"/>
        <w:snapToGrid w:val="0"/>
        <w:spacing w:line="312" w:lineRule="auto"/>
        <w:ind w:firstLine="964" w:firstLineChars="400"/>
        <w:textAlignment w:val="auto"/>
        <w:rPr>
          <w:rFonts w:hint="eastAsia" w:ascii="宋体" w:hAnsi="宋体" w:eastAsia="宋体" w:cs="宋体"/>
          <w:b/>
          <w:bCs/>
          <w:color w:val="auto"/>
          <w:sz w:val="24"/>
          <w:highlight w:val="none"/>
        </w:rPr>
      </w:pPr>
      <w:bookmarkStart w:id="60" w:name="_Toc22496"/>
      <w:r>
        <w:rPr>
          <w:rFonts w:hint="eastAsia" w:ascii="宋体" w:hAnsi="宋体" w:eastAsia="宋体" w:cs="宋体"/>
          <w:b/>
          <w:bCs/>
          <w:color w:val="auto"/>
          <w:sz w:val="24"/>
          <w:highlight w:val="none"/>
        </w:rPr>
        <w:t>投标文件含有采购人不能接受的附加条件的，投标无效；</w:t>
      </w:r>
    </w:p>
    <w:p>
      <w:pPr>
        <w:pageBreakBefore w:val="0"/>
        <w:kinsoku/>
        <w:wordWrap/>
        <w:overflowPunct/>
        <w:topLinePunct w:val="0"/>
        <w:bidi w:val="0"/>
        <w:snapToGrid w:val="0"/>
        <w:spacing w:line="312" w:lineRule="auto"/>
        <w:ind w:firstLine="964" w:firstLineChars="4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投标人提供虚假材料投标的，投标无效。</w:t>
      </w:r>
    </w:p>
    <w:p>
      <w:pPr>
        <w:pStyle w:val="26"/>
        <w:pageBreakBefore w:val="0"/>
        <w:kinsoku/>
        <w:wordWrap/>
        <w:overflowPunct/>
        <w:topLinePunct w:val="0"/>
        <w:bidi w:val="0"/>
        <w:snapToGrid w:val="0"/>
        <w:spacing w:before="0" w:line="312" w:lineRule="auto"/>
        <w:ind w:firstLine="0" w:firstLineChars="0"/>
        <w:textAlignment w:val="auto"/>
        <w:outlineLvl w:val="0"/>
        <w:rPr>
          <w:rFonts w:hint="eastAsia" w:ascii="宋体" w:hAnsi="宋体" w:eastAsia="宋体" w:cs="宋体"/>
          <w:b/>
          <w:color w:val="auto"/>
          <w:szCs w:val="24"/>
          <w:highlight w:val="none"/>
        </w:rPr>
      </w:pPr>
      <w:bookmarkStart w:id="61" w:name="_Toc25977"/>
      <w:bookmarkStart w:id="62" w:name="_Toc7820"/>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bookmarkEnd w:id="60"/>
      <w:bookmarkEnd w:id="61"/>
      <w:bookmarkEnd w:id="62"/>
    </w:p>
    <w:p>
      <w:pPr>
        <w:pageBreakBefore w:val="0"/>
        <w:kinsoku/>
        <w:wordWrap/>
        <w:overflowPunct/>
        <w:topLinePunct w:val="0"/>
        <w:bidi w:val="0"/>
        <w:spacing w:line="312"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ageBreakBefore w:val="0"/>
        <w:kinsoku/>
        <w:wordWrap/>
        <w:overflowPunct/>
        <w:topLinePunct w:val="0"/>
        <w:bidi w:val="0"/>
        <w:snapToGrid w:val="0"/>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13.1投标文件按照招标文件第六部分格式要求进行签署、盖章。</w:t>
      </w:r>
      <w:r>
        <w:rPr>
          <w:rFonts w:hint="eastAsia" w:ascii="宋体" w:hAnsi="宋体" w:eastAsia="宋体" w:cs="宋体"/>
          <w:b/>
          <w:color w:val="auto"/>
          <w:szCs w:val="24"/>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13.3招标文件对投标文件签署、盖章的要求适用于电子签名。</w:t>
      </w:r>
    </w:p>
    <w:p>
      <w:pPr>
        <w:pStyle w:val="26"/>
        <w:pageBreakBefore w:val="0"/>
        <w:kinsoku/>
        <w:wordWrap/>
        <w:overflowPunct/>
        <w:topLinePunct w:val="0"/>
        <w:bidi w:val="0"/>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10"/>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10"/>
        <w:pageBreakBefore w:val="0"/>
        <w:kinsoku/>
        <w:wordWrap/>
        <w:overflowPunct/>
        <w:topLinePunct w:val="0"/>
        <w:bidi w:val="0"/>
        <w:spacing w:line="312"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15.1投标人在电子交易平台传输递交投标文件后，还可以在投标截止时间前通过邮箱chinazhongzhe@163.com递交备份投标文件1份。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1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15.2直接提交备份投标文件的，投标人应于投标截止时间前在招标公告中载明的开标地点将备份投标文件提交给采购机构，采购机构将拒绝接受逾期送达的备份投标文件。</w:t>
      </w:r>
    </w:p>
    <w:p>
      <w:pPr>
        <w:pStyle w:val="10"/>
        <w:pageBreakBefore w:val="0"/>
        <w:kinsoku/>
        <w:wordWrap/>
        <w:overflowPunct/>
        <w:topLinePunct w:val="0"/>
        <w:bidi w:val="0"/>
        <w:spacing w:line="312"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15.3投标人仅提交备份投标文件，没有在电子交易平台传输递交投标文件的，投标无效。</w:t>
      </w:r>
    </w:p>
    <w:p>
      <w:pPr>
        <w:pStyle w:val="26"/>
        <w:pageBreakBefore w:val="0"/>
        <w:kinsoku/>
        <w:wordWrap/>
        <w:overflowPunct/>
        <w:topLinePunct w:val="0"/>
        <w:bidi w:val="0"/>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9"/>
        <w:pageBreakBefore w:val="0"/>
        <w:kinsoku/>
        <w:wordWrap/>
        <w:overflowPunct/>
        <w:topLinePunct w:val="0"/>
        <w:bidi w:val="0"/>
        <w:spacing w:line="312" w:lineRule="auto"/>
        <w:ind w:firstLine="360"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有招标文件</w:t>
      </w:r>
      <w:r>
        <w:rPr>
          <w:rFonts w:hint="eastAsia" w:ascii="宋体" w:hAnsi="宋体" w:eastAsia="宋体" w:cs="宋体"/>
          <w:b/>
          <w:color w:val="auto"/>
          <w:kern w:val="0"/>
          <w:highlight w:val="none"/>
        </w:rPr>
        <w:t>4.2投标响应无效</w:t>
      </w:r>
      <w:r>
        <w:rPr>
          <w:rFonts w:hint="eastAsia" w:ascii="宋体" w:hAnsi="宋体" w:eastAsia="宋体" w:cs="宋体"/>
          <w:color w:val="auto"/>
          <w:highlight w:val="none"/>
        </w:rPr>
        <w:t>规定的情形之一的，投标无效：</w:t>
      </w:r>
    </w:p>
    <w:p>
      <w:pPr>
        <w:pStyle w:val="26"/>
        <w:pageBreakBefore w:val="0"/>
        <w:kinsoku/>
        <w:wordWrap/>
        <w:overflowPunct/>
        <w:topLinePunct w:val="0"/>
        <w:bidi w:val="0"/>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17.1</w:t>
      </w:r>
      <w:r>
        <w:rPr>
          <w:rFonts w:hint="eastAsia" w:ascii="宋体" w:hAnsi="宋体" w:eastAsia="宋体" w:cs="宋体"/>
          <w:b/>
          <w:bCs/>
          <w:color w:val="auto"/>
          <w:sz w:val="24"/>
          <w:highlight w:val="none"/>
        </w:rPr>
        <w:t>投标有效期为从提交投标文件的截止之日起90天</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投标人的投标文件中承诺的投标有效期少于招标文件中载明的投标有效期的，投标无效。</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17.2投标文件合格投递后，自投标截止日期起，在投标有效期内有效。</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6"/>
        <w:pageBreakBefore w:val="0"/>
        <w:kinsoku/>
        <w:wordWrap/>
        <w:overflowPunct/>
        <w:topLinePunct w:val="0"/>
        <w:bidi w:val="0"/>
        <w:spacing w:before="0" w:line="312" w:lineRule="auto"/>
        <w:ind w:firstLine="482"/>
        <w:textAlignment w:val="auto"/>
        <w:rPr>
          <w:rFonts w:hint="eastAsia" w:ascii="宋体" w:hAnsi="宋体" w:eastAsia="宋体" w:cs="宋体"/>
          <w:b/>
          <w:color w:val="auto"/>
          <w:szCs w:val="24"/>
          <w:highlight w:val="none"/>
        </w:rPr>
      </w:pP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bookmarkStart w:id="63" w:name="_Toc23874"/>
      <w:bookmarkStart w:id="64" w:name="_Toc8514"/>
      <w:bookmarkStart w:id="65" w:name="_Toc28248"/>
      <w:r>
        <w:rPr>
          <w:rFonts w:hint="eastAsia" w:ascii="宋体" w:hAnsi="宋体" w:eastAsia="宋体" w:cs="宋体"/>
          <w:color w:val="auto"/>
          <w:sz w:val="24"/>
          <w:szCs w:val="24"/>
          <w:highlight w:val="none"/>
        </w:rPr>
        <w:t>四、开标、资格审查与信用信息查询</w:t>
      </w:r>
      <w:bookmarkEnd w:id="63"/>
      <w:bookmarkEnd w:id="64"/>
      <w:bookmarkEnd w:id="65"/>
    </w:p>
    <w:p>
      <w:pPr>
        <w:pStyle w:val="28"/>
        <w:pageBreakBefore w:val="0"/>
        <w:kinsoku/>
        <w:wordWrap/>
        <w:overflowPunct/>
        <w:topLinePunct w:val="0"/>
        <w:bidi w:val="0"/>
        <w:spacing w:before="0" w:line="312" w:lineRule="auto"/>
        <w:ind w:left="0" w:firstLine="241" w:firstLineChars="10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18.开标</w:t>
      </w:r>
    </w:p>
    <w:p>
      <w:pPr>
        <w:pStyle w:val="28"/>
        <w:pageBreakBefore w:val="0"/>
        <w:kinsoku/>
        <w:wordWrap/>
        <w:overflowPunct/>
        <w:topLinePunct w:val="0"/>
        <w:bidi w:val="0"/>
        <w:spacing w:before="0" w:line="312" w:lineRule="auto"/>
        <w:ind w:lef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18.1采购机构按照招标文件规定的时间通过电子交易平台组织开标，所有投标人均应当准时在线参加。投标人不足3家的，不得开标。</w:t>
      </w:r>
    </w:p>
    <w:p>
      <w:pPr>
        <w:pStyle w:val="28"/>
        <w:pageBreakBefore w:val="0"/>
        <w:kinsoku/>
        <w:wordWrap/>
        <w:overflowPunct/>
        <w:topLinePunct w:val="0"/>
        <w:bidi w:val="0"/>
        <w:spacing w:before="0" w:line="312" w:lineRule="auto"/>
        <w:ind w:left="0" w:firstLine="240" w:firstLineChars="1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8"/>
        <w:pageBreakBefore w:val="0"/>
        <w:kinsoku/>
        <w:wordWrap/>
        <w:overflowPunct/>
        <w:topLinePunct w:val="0"/>
        <w:bidi w:val="0"/>
        <w:spacing w:before="0" w:line="312" w:lineRule="auto"/>
        <w:ind w:left="0" w:firstLine="240" w:firstLineChars="1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18.3</w:t>
      </w:r>
      <w:r>
        <w:rPr>
          <w:rFonts w:hint="eastAsia" w:ascii="宋体" w:hAnsi="宋体" w:eastAsia="宋体" w:cs="宋体"/>
          <w:b/>
          <w:color w:val="auto"/>
          <w:sz w:val="24"/>
          <w:szCs w:val="24"/>
          <w:highlight w:val="none"/>
        </w:rPr>
        <w:t>投标文件未按时解密，投标人提供了备份投标文件的，以备份投标文件作为依据，否则视为投标文件撤回。投标文件已按时解密的，备份投标文件自动失效。</w:t>
      </w:r>
    </w:p>
    <w:p>
      <w:pPr>
        <w:pageBreakBefore w:val="0"/>
        <w:widowControl/>
        <w:kinsoku/>
        <w:wordWrap/>
        <w:overflowPunct/>
        <w:topLinePunct w:val="0"/>
        <w:bidi w:val="0"/>
        <w:spacing w:line="312"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19、资格审查</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szCs w:val="24"/>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szCs w:val="24"/>
          <w:highlight w:val="none"/>
        </w:rPr>
        <w:t>投标人不具备招标文件中规定的资格要求，其投标无效。</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szCs w:val="24"/>
          <w:highlight w:val="none"/>
        </w:rPr>
        <w:t>4对未通过资格审查的投标人，采购人或采购机构告知其未通过的原因。</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szCs w:val="24"/>
          <w:highlight w:val="none"/>
        </w:rPr>
        <w:t>5合格投标人不足3家的，不再评标。</w:t>
      </w:r>
    </w:p>
    <w:p>
      <w:pPr>
        <w:pStyle w:val="26"/>
        <w:pageBreakBefore w:val="0"/>
        <w:kinsoku/>
        <w:wordWrap/>
        <w:overflowPunct/>
        <w:topLinePunct w:val="0"/>
        <w:bidi w:val="0"/>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26"/>
        <w:pageBreakBefore w:val="0"/>
        <w:kinsoku/>
        <w:wordWrap/>
        <w:overflowPunct/>
        <w:topLinePunct w:val="0"/>
        <w:bidi w:val="0"/>
        <w:spacing w:before="0" w:line="312"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6"/>
        <w:pageBreakBefore w:val="0"/>
        <w:kinsoku/>
        <w:wordWrap/>
        <w:overflowPunct/>
        <w:topLinePunct w:val="0"/>
        <w:bidi w:val="0"/>
        <w:spacing w:before="0" w:line="312"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26"/>
        <w:pageBreakBefore w:val="0"/>
        <w:kinsoku/>
        <w:wordWrap/>
        <w:overflowPunct/>
        <w:topLinePunct w:val="0"/>
        <w:bidi w:val="0"/>
        <w:spacing w:before="0" w:line="312"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6"/>
        <w:pageBreakBefore w:val="0"/>
        <w:kinsoku/>
        <w:wordWrap/>
        <w:overflowPunct/>
        <w:topLinePunct w:val="0"/>
        <w:bidi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Cs w:val="24"/>
          <w:highlight w:val="none"/>
        </w:rPr>
        <w:t>。</w:t>
      </w:r>
    </w:p>
    <w:p>
      <w:pPr>
        <w:pStyle w:val="26"/>
        <w:pageBreakBefore w:val="0"/>
        <w:kinsoku/>
        <w:wordWrap/>
        <w:overflowPunct/>
        <w:topLinePunct w:val="0"/>
        <w:bidi w:val="0"/>
        <w:spacing w:before="0" w:line="312" w:lineRule="auto"/>
        <w:ind w:firstLine="0" w:firstLineChars="0"/>
        <w:textAlignment w:val="auto"/>
        <w:rPr>
          <w:rFonts w:hint="eastAsia" w:ascii="宋体" w:hAnsi="宋体" w:eastAsia="宋体" w:cs="宋体"/>
          <w:color w:val="auto"/>
          <w:kern w:val="0"/>
          <w:szCs w:val="24"/>
          <w:highlight w:val="none"/>
        </w:rPr>
      </w:pP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bookmarkStart w:id="66" w:name="_Toc9966"/>
      <w:bookmarkStart w:id="67" w:name="_Toc21612"/>
      <w:bookmarkStart w:id="68" w:name="_Toc23164"/>
      <w:r>
        <w:rPr>
          <w:rFonts w:hint="eastAsia" w:ascii="宋体" w:hAnsi="宋体" w:eastAsia="宋体" w:cs="宋体"/>
          <w:color w:val="auto"/>
          <w:sz w:val="24"/>
          <w:szCs w:val="24"/>
          <w:highlight w:val="none"/>
        </w:rPr>
        <w:t>五、评标</w:t>
      </w:r>
      <w:bookmarkEnd w:id="66"/>
      <w:bookmarkEnd w:id="67"/>
      <w:bookmarkEnd w:id="68"/>
    </w:p>
    <w:p>
      <w:pPr>
        <w:pageBreakBefore w:val="0"/>
        <w:kinsoku/>
        <w:wordWrap/>
        <w:overflowPunct/>
        <w:topLinePunct w:val="0"/>
        <w:bidi w:val="0"/>
        <w:spacing w:line="312" w:lineRule="auto"/>
        <w:textAlignment w:val="auto"/>
        <w:rPr>
          <w:rFonts w:hint="eastAsia" w:ascii="宋体" w:hAnsi="宋体" w:eastAsia="宋体" w:cs="宋体"/>
          <w:b/>
          <w:color w:val="auto"/>
          <w:sz w:val="24"/>
          <w:highlight w:val="none"/>
        </w:rPr>
      </w:pPr>
      <w:bookmarkStart w:id="69"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pageBreakBefore w:val="0"/>
        <w:kinsoku/>
        <w:wordWrap/>
        <w:overflowPunct/>
        <w:topLinePunct w:val="0"/>
        <w:bidi w:val="0"/>
        <w:spacing w:line="312" w:lineRule="auto"/>
        <w:textAlignment w:val="auto"/>
        <w:rPr>
          <w:rFonts w:hint="eastAsia" w:ascii="宋体" w:hAnsi="宋体" w:eastAsia="宋体" w:cs="宋体"/>
          <w:b/>
          <w:color w:val="auto"/>
          <w:sz w:val="24"/>
          <w:highlight w:val="none"/>
        </w:rPr>
      </w:pP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bookmarkStart w:id="70" w:name="_Toc9422"/>
      <w:bookmarkStart w:id="71" w:name="_Toc11246"/>
      <w:bookmarkStart w:id="72" w:name="_Toc29018"/>
      <w:r>
        <w:rPr>
          <w:rFonts w:hint="eastAsia" w:ascii="宋体" w:hAnsi="宋体" w:eastAsia="宋体" w:cs="宋体"/>
          <w:color w:val="auto"/>
          <w:sz w:val="24"/>
          <w:szCs w:val="24"/>
          <w:highlight w:val="none"/>
        </w:rPr>
        <w:t>六、定 标</w:t>
      </w:r>
      <w:bookmarkEnd w:id="70"/>
      <w:bookmarkEnd w:id="71"/>
      <w:bookmarkEnd w:id="72"/>
    </w:p>
    <w:p>
      <w:pPr>
        <w:pStyle w:val="9"/>
        <w:pageBreakBefore w:val="0"/>
        <w:kinsoku/>
        <w:wordWrap/>
        <w:overflowPunct/>
        <w:topLinePunct w:val="0"/>
        <w:bidi w:val="0"/>
        <w:spacing w:line="312"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26"/>
        <w:pageBreakBefore w:val="0"/>
        <w:kinsoku/>
        <w:wordWrap/>
        <w:overflowPunct/>
        <w:topLinePunct w:val="0"/>
        <w:bidi w:val="0"/>
        <w:snapToGrid w:val="0"/>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pageBreakBefore w:val="0"/>
        <w:widowControl/>
        <w:shd w:val="clear" w:color="auto" w:fill="FFFFFF"/>
        <w:kinsoku/>
        <w:wordWrap/>
        <w:overflowPunct/>
        <w:topLinePunct w:val="0"/>
        <w:bidi w:val="0"/>
        <w:spacing w:line="312"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pageBreakBefore w:val="0"/>
        <w:widowControl/>
        <w:shd w:val="clear" w:color="auto" w:fill="FFFFFF"/>
        <w:kinsoku/>
        <w:wordWrap/>
        <w:overflowPunct/>
        <w:topLinePunct w:val="0"/>
        <w:bidi w:val="0"/>
        <w:spacing w:line="312"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ageBreakBefore w:val="0"/>
        <w:widowControl/>
        <w:shd w:val="clear" w:color="auto" w:fill="FFFFFF"/>
        <w:kinsoku/>
        <w:wordWrap/>
        <w:overflowPunct/>
        <w:topLinePunct w:val="0"/>
        <w:bidi w:val="0"/>
        <w:spacing w:line="312"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pageBreakBefore w:val="0"/>
        <w:widowControl/>
        <w:shd w:val="clear" w:color="auto" w:fill="FFFFFF"/>
        <w:kinsoku/>
        <w:wordWrap/>
        <w:overflowPunct/>
        <w:topLinePunct w:val="0"/>
        <w:bidi w:val="0"/>
        <w:spacing w:line="312" w:lineRule="auto"/>
        <w:ind w:firstLine="480"/>
        <w:jc w:val="left"/>
        <w:textAlignment w:val="auto"/>
        <w:rPr>
          <w:rFonts w:hint="eastAsia" w:ascii="宋体" w:hAnsi="宋体" w:eastAsia="宋体" w:cs="宋体"/>
          <w:color w:val="auto"/>
          <w:sz w:val="24"/>
          <w:highlight w:val="none"/>
          <w:lang w:val="zh-CN"/>
        </w:rPr>
      </w:pP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bookmarkStart w:id="73" w:name="_Toc23702"/>
      <w:bookmarkStart w:id="74" w:name="_Toc23994"/>
      <w:bookmarkStart w:id="75" w:name="_Toc7433"/>
      <w:r>
        <w:rPr>
          <w:rFonts w:hint="eastAsia" w:ascii="宋体" w:hAnsi="宋体" w:eastAsia="宋体" w:cs="宋体"/>
          <w:color w:val="auto"/>
          <w:sz w:val="24"/>
          <w:szCs w:val="24"/>
          <w:highlight w:val="none"/>
        </w:rPr>
        <w:t>七、合同授予</w:t>
      </w:r>
      <w:bookmarkEnd w:id="73"/>
      <w:bookmarkEnd w:id="74"/>
      <w:bookmarkEnd w:id="75"/>
    </w:p>
    <w:p>
      <w:pPr>
        <w:pStyle w:val="9"/>
        <w:pageBreakBefore w:val="0"/>
        <w:kinsoku/>
        <w:wordWrap/>
        <w:overflowPunct/>
        <w:topLinePunct w:val="0"/>
        <w:bidi w:val="0"/>
        <w:spacing w:line="312"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9"/>
        <w:pageBreakBefore w:val="0"/>
        <w:kinsoku/>
        <w:wordWrap/>
        <w:overflowPunct/>
        <w:topLinePunct w:val="0"/>
        <w:bidi w:val="0"/>
        <w:spacing w:line="312"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pageBreakBefore w:val="0"/>
        <w:widowControl/>
        <w:shd w:val="clear" w:color="auto" w:fill="FFFFFF"/>
        <w:kinsoku/>
        <w:wordWrap/>
        <w:overflowPunct/>
        <w:topLinePunct w:val="0"/>
        <w:bidi w:val="0"/>
        <w:spacing w:line="312"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25.3如签订合同并生效后，供应商无故拒绝或延期，除按照合同条款处理外，列入不良行为记录一次，并给予通报。</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25.5采购合同由采购人与中标供应商根据招标文件、投标文件等内容通过政府采购电子交易平台在线签订，自动备案。</w:t>
      </w:r>
    </w:p>
    <w:p>
      <w:pPr>
        <w:pStyle w:val="9"/>
        <w:pageBreakBefore w:val="0"/>
        <w:kinsoku/>
        <w:wordWrap/>
        <w:overflowPunct/>
        <w:topLinePunct w:val="0"/>
        <w:bidi w:val="0"/>
        <w:spacing w:line="312"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pageBreakBefore w:val="0"/>
        <w:tabs>
          <w:tab w:val="left" w:pos="0"/>
        </w:tabs>
        <w:kinsoku/>
        <w:wordWrap/>
        <w:overflowPunct/>
        <w:topLinePunct w:val="0"/>
        <w:bidi w:val="0"/>
        <w:spacing w:line="312"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pageBreakBefore w:val="0"/>
        <w:tabs>
          <w:tab w:val="left" w:pos="0"/>
        </w:tabs>
        <w:kinsoku/>
        <w:wordWrap/>
        <w:overflowPunct/>
        <w:topLinePunct w:val="0"/>
        <w:bidi w:val="0"/>
        <w:spacing w:line="312"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kinsoku/>
        <w:wordWrap/>
        <w:overflowPunct/>
        <w:topLinePunct w:val="0"/>
        <w:bidi w:val="0"/>
        <w:snapToGrid w:val="0"/>
        <w:spacing w:line="312" w:lineRule="auto"/>
        <w:ind w:firstLine="2518" w:firstLineChars="1045"/>
        <w:textAlignment w:val="auto"/>
        <w:rPr>
          <w:rFonts w:hint="eastAsia" w:ascii="宋体" w:hAnsi="宋体" w:eastAsia="宋体" w:cs="宋体"/>
          <w:b/>
          <w:color w:val="auto"/>
          <w:sz w:val="24"/>
          <w:highlight w:val="none"/>
        </w:rPr>
      </w:pP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bookmarkStart w:id="76" w:name="_Toc26578"/>
      <w:bookmarkStart w:id="77" w:name="_Toc4526"/>
      <w:bookmarkStart w:id="78" w:name="_Toc24917"/>
      <w:r>
        <w:rPr>
          <w:rFonts w:hint="eastAsia" w:ascii="宋体" w:hAnsi="宋体" w:eastAsia="宋体" w:cs="宋体"/>
          <w:color w:val="auto"/>
          <w:sz w:val="24"/>
          <w:szCs w:val="24"/>
          <w:highlight w:val="none"/>
        </w:rPr>
        <w:t>八、电子交易活动的中止</w:t>
      </w:r>
      <w:bookmarkEnd w:id="76"/>
      <w:bookmarkEnd w:id="77"/>
      <w:bookmarkEnd w:id="78"/>
    </w:p>
    <w:p>
      <w:pPr>
        <w:pStyle w:val="26"/>
        <w:pageBreakBefore w:val="0"/>
        <w:kinsoku/>
        <w:wordWrap/>
        <w:overflowPunct/>
        <w:topLinePunct w:val="0"/>
        <w:bidi w:val="0"/>
        <w:snapToGrid w:val="0"/>
        <w:spacing w:before="0" w:line="312" w:lineRule="auto"/>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szCs w:val="24"/>
          <w:highlight w:val="none"/>
        </w:rPr>
        <w:t>采购过程中出现以下情形，导致电子交易平台无法正常运行，或者无法保证电子交易的公平、公正和安全时，采购机构可中止电子交易活动：</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27.1电子交易平台发生故障而无法登录访问的； </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27.2电子交易平台应用或数据库出现错误，不能进行正常操作的；</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27.3电子交易平台发现严重安全漏洞，有潜在泄密危险的；</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27.4病毒发作导致不能进行正常操作的； </w:t>
      </w:r>
    </w:p>
    <w:p>
      <w:pPr>
        <w:pStyle w:val="26"/>
        <w:pageBreakBefore w:val="0"/>
        <w:kinsoku/>
        <w:wordWrap/>
        <w:overflowPunct/>
        <w:topLinePunct w:val="0"/>
        <w:bidi w:val="0"/>
        <w:snapToGrid w:val="0"/>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27.5其他无法保证电子交易的公平、公正和安全的情况。</w:t>
      </w:r>
    </w:p>
    <w:p>
      <w:pPr>
        <w:pStyle w:val="26"/>
        <w:pageBreakBefore w:val="0"/>
        <w:kinsoku/>
        <w:wordWrap/>
        <w:overflowPunct/>
        <w:topLinePunct w:val="0"/>
        <w:bidi w:val="0"/>
        <w:snapToGrid w:val="0"/>
        <w:spacing w:before="0" w:line="312" w:lineRule="auto"/>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tabs>
          <w:tab w:val="left" w:pos="0"/>
        </w:tabs>
        <w:kinsoku/>
        <w:wordWrap/>
        <w:overflowPunct/>
        <w:topLinePunct w:val="0"/>
        <w:bidi w:val="0"/>
        <w:spacing w:line="312" w:lineRule="auto"/>
        <w:ind w:firstLine="480"/>
        <w:textAlignment w:val="auto"/>
        <w:rPr>
          <w:rFonts w:hint="eastAsia" w:ascii="宋体" w:hAnsi="宋体" w:eastAsia="宋体" w:cs="宋体"/>
          <w:color w:val="auto"/>
          <w:sz w:val="24"/>
          <w:highlight w:val="none"/>
        </w:rPr>
      </w:pPr>
    </w:p>
    <w:p>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bookmarkStart w:id="79" w:name="_Toc6643"/>
      <w:bookmarkStart w:id="80" w:name="_Toc13787"/>
      <w:bookmarkStart w:id="81" w:name="_Toc730"/>
      <w:r>
        <w:rPr>
          <w:rFonts w:hint="eastAsia" w:ascii="宋体" w:hAnsi="宋体" w:eastAsia="宋体" w:cs="宋体"/>
          <w:color w:val="auto"/>
          <w:sz w:val="24"/>
          <w:szCs w:val="24"/>
          <w:highlight w:val="none"/>
        </w:rPr>
        <w:t>九、验收</w:t>
      </w:r>
      <w:bookmarkEnd w:id="79"/>
      <w:bookmarkEnd w:id="80"/>
      <w:bookmarkEnd w:id="81"/>
    </w:p>
    <w:p>
      <w:pPr>
        <w:pStyle w:val="9"/>
        <w:pageBreakBefore w:val="0"/>
        <w:kinsoku/>
        <w:wordWrap/>
        <w:overflowPunct/>
        <w:topLinePunct w:val="0"/>
        <w:bidi w:val="0"/>
        <w:spacing w:line="312"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pageBreakBefore w:val="0"/>
        <w:tabs>
          <w:tab w:val="left" w:pos="0"/>
        </w:tabs>
        <w:kinsoku/>
        <w:wordWrap/>
        <w:overflowPunct/>
        <w:topLinePunct w:val="0"/>
        <w:bidi w:val="0"/>
        <w:spacing w:line="312"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line="312"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pageBreakBefore w:val="0"/>
        <w:tabs>
          <w:tab w:val="left" w:pos="0"/>
        </w:tabs>
        <w:kinsoku/>
        <w:wordWrap/>
        <w:overflowPunct/>
        <w:topLinePunct w:val="0"/>
        <w:bidi w:val="0"/>
        <w:spacing w:line="312"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line="312"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9"/>
    <w:p>
      <w:pPr>
        <w:tabs>
          <w:tab w:val="left" w:pos="0"/>
        </w:tabs>
        <w:spacing w:line="360" w:lineRule="auto"/>
        <w:ind w:firstLine="480"/>
        <w:rPr>
          <w:rFonts w:hint="eastAsia" w:ascii="宋体" w:hAnsi="宋体" w:eastAsia="宋体" w:cs="宋体"/>
          <w:color w:val="auto"/>
          <w:kern w:val="0"/>
          <w:sz w:val="24"/>
          <w:highlight w:val="none"/>
        </w:rPr>
        <w:sectPr>
          <w:pgSz w:w="11906" w:h="16838"/>
          <w:pgMar w:top="1474" w:right="1587" w:bottom="1474" w:left="1587" w:header="851" w:footer="992" w:gutter="0"/>
          <w:pgNumType w:fmt="decimal"/>
          <w:cols w:space="0" w:num="1"/>
          <w:docGrid w:linePitch="312" w:charSpace="0"/>
        </w:sectPr>
      </w:pPr>
      <w:bookmarkStart w:id="82" w:name="_Hlt74730295"/>
      <w:bookmarkEnd w:id="82"/>
      <w:bookmarkStart w:id="83" w:name="_Hlt74714665"/>
      <w:bookmarkEnd w:id="83"/>
      <w:bookmarkStart w:id="84" w:name="_Hlt68072990"/>
      <w:bookmarkEnd w:id="84"/>
      <w:bookmarkStart w:id="85" w:name="_Hlt68403820"/>
      <w:bookmarkEnd w:id="85"/>
      <w:bookmarkStart w:id="86" w:name="_Hlt68072998"/>
      <w:bookmarkEnd w:id="86"/>
      <w:bookmarkStart w:id="87" w:name="_Hlt68073093"/>
      <w:bookmarkEnd w:id="87"/>
      <w:bookmarkStart w:id="88" w:name="_Hlt68057669"/>
      <w:bookmarkEnd w:id="88"/>
      <w:bookmarkStart w:id="89" w:name="_Hlt75236101"/>
      <w:bookmarkEnd w:id="89"/>
      <w:bookmarkStart w:id="90" w:name="_Hlt75236011"/>
      <w:bookmarkEnd w:id="90"/>
      <w:bookmarkStart w:id="91" w:name="_Hlt74729768"/>
      <w:bookmarkEnd w:id="91"/>
      <w:bookmarkStart w:id="92" w:name="_Hlt74707468"/>
      <w:bookmarkEnd w:id="92"/>
      <w:bookmarkStart w:id="93" w:name="_Hlt75236290"/>
      <w:bookmarkEnd w:id="93"/>
    </w:p>
    <w:bookmarkEnd w:id="46"/>
    <w:bookmarkEnd w:id="47"/>
    <w:p>
      <w:pPr>
        <w:spacing w:line="360" w:lineRule="auto"/>
        <w:jc w:val="center"/>
        <w:outlineLvl w:val="0"/>
        <w:rPr>
          <w:rFonts w:hint="eastAsia" w:ascii="宋体" w:hAnsi="宋体" w:eastAsia="宋体" w:cs="宋体"/>
          <w:b/>
          <w:color w:val="auto"/>
          <w:sz w:val="36"/>
          <w:szCs w:val="36"/>
          <w:highlight w:val="none"/>
        </w:rPr>
      </w:pPr>
      <w:bookmarkStart w:id="94" w:name="_Toc17862"/>
      <w:bookmarkStart w:id="95" w:name="_Toc19635"/>
      <w:bookmarkStart w:id="96" w:name="_Toc11704"/>
      <w:bookmarkStart w:id="97" w:name="第四部分"/>
      <w:r>
        <w:rPr>
          <w:rFonts w:hint="eastAsia" w:ascii="宋体" w:hAnsi="宋体" w:eastAsia="宋体" w:cs="宋体"/>
          <w:b/>
          <w:color w:val="auto"/>
          <w:sz w:val="36"/>
          <w:szCs w:val="36"/>
          <w:highlight w:val="none"/>
        </w:rPr>
        <w:t>第三部分   采购需求</w:t>
      </w:r>
      <w:bookmarkEnd w:id="94"/>
      <w:bookmarkEnd w:id="95"/>
      <w:bookmarkEnd w:id="96"/>
    </w:p>
    <w:p>
      <w:pPr>
        <w:pStyle w:val="3"/>
        <w:pageBreakBefore w:val="0"/>
        <w:kinsoku/>
        <w:wordWrap/>
        <w:overflowPunct/>
        <w:topLinePunct w:val="0"/>
        <w:bidi w:val="0"/>
        <w:snapToGrid w:val="0"/>
        <w:spacing w:line="312" w:lineRule="auto"/>
        <w:ind w:left="0" w:firstLine="0"/>
        <w:textAlignment w:val="auto"/>
        <w:rPr>
          <w:rFonts w:hint="eastAsia" w:ascii="宋体" w:hAnsi="宋体" w:eastAsia="宋体" w:cs="宋体"/>
          <w:color w:val="auto"/>
          <w:sz w:val="24"/>
          <w:szCs w:val="24"/>
          <w:highlight w:val="none"/>
          <w:lang w:val="en-US"/>
        </w:rPr>
      </w:pPr>
      <w:bookmarkStart w:id="98" w:name="_Toc15190"/>
      <w:bookmarkStart w:id="99" w:name="_Toc11269"/>
      <w:bookmarkStart w:id="100" w:name="_Toc488941194"/>
      <w:bookmarkStart w:id="101" w:name="_Toc12453"/>
      <w:bookmarkStart w:id="102" w:name="_Toc10772"/>
      <w:bookmarkStart w:id="103" w:name="_Toc2497"/>
      <w:bookmarkStart w:id="104" w:name="_Toc6337"/>
      <w:bookmarkStart w:id="105" w:name="_Toc670"/>
      <w:bookmarkStart w:id="106" w:name="_Toc465800109"/>
      <w:bookmarkStart w:id="107" w:name="_Toc332471280"/>
      <w:r>
        <w:rPr>
          <w:rFonts w:hint="eastAsia" w:ascii="宋体" w:hAnsi="宋体" w:eastAsia="宋体" w:cs="宋体"/>
          <w:color w:val="auto"/>
          <w:sz w:val="24"/>
          <w:szCs w:val="24"/>
          <w:highlight w:val="none"/>
          <w:lang w:val="en-US"/>
        </w:rPr>
        <w:t>一、</w:t>
      </w:r>
      <w:bookmarkEnd w:id="98"/>
      <w:bookmarkEnd w:id="99"/>
      <w:bookmarkEnd w:id="100"/>
      <w:bookmarkEnd w:id="101"/>
      <w:bookmarkEnd w:id="102"/>
      <w:r>
        <w:rPr>
          <w:rFonts w:hint="eastAsia" w:ascii="宋体" w:hAnsi="宋体" w:eastAsia="宋体" w:cs="宋体"/>
          <w:color w:val="auto"/>
          <w:sz w:val="24"/>
          <w:szCs w:val="24"/>
          <w:highlight w:val="none"/>
          <w:lang w:val="en-US"/>
        </w:rPr>
        <w:t>项目背景</w:t>
      </w:r>
      <w:bookmarkEnd w:id="103"/>
      <w:bookmarkEnd w:id="104"/>
      <w:bookmarkEnd w:id="105"/>
    </w:p>
    <w:p>
      <w:pPr>
        <w:pageBreakBefore w:val="0"/>
        <w:kinsoku/>
        <w:wordWrap/>
        <w:overflowPunct/>
        <w:topLinePunct w:val="0"/>
        <w:bidi w:val="0"/>
        <w:adjustRightInd w:val="0"/>
        <w:snapToGrid w:val="0"/>
        <w:spacing w:line="312" w:lineRule="auto"/>
        <w:ind w:firstLine="472" w:firstLineChars="19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嘉兴市第一医院（嘉兴学院附属第一医院）坐落在党的诞生地、风景秀丽的南湖之滨，于2011年10月整体搬迁至市中环南路1882号（嘉兴大桥西南侧），占地面积242亩，总建筑面积约18.5万平方米，核定住院床位1500张。医院创建于1920年，其前身为由法国天主教巴黎仁爱会嘉兴仁爱堂开办的圣心医院。经过几代一院人的艰苦创业，医院目前已成为嘉兴市规模最大、设施齐全、技术力量雄厚的集医疗、科研、教学、预防、康复于一体的三级甲等综合医院。</w:t>
      </w:r>
    </w:p>
    <w:p>
      <w:pPr>
        <w:pageBreakBefore w:val="0"/>
        <w:kinsoku/>
        <w:wordWrap/>
        <w:overflowPunct/>
        <w:topLinePunct w:val="0"/>
        <w:bidi w:val="0"/>
        <w:adjustRightInd w:val="0"/>
        <w:snapToGrid w:val="0"/>
        <w:spacing w:line="312" w:lineRule="auto"/>
        <w:ind w:firstLine="472" w:firstLineChars="19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2.为了进一步加强医院安保工作，保障医院各项工作的正常运行，医院需要有一支具有高素质、高水平的保安队伍承担医院安全保卫、消防、应急处置及车辆管理等工作。</w:t>
      </w:r>
    </w:p>
    <w:p>
      <w:pPr>
        <w:pStyle w:val="8"/>
        <w:pageBreakBefore w:val="0"/>
        <w:kinsoku/>
        <w:wordWrap/>
        <w:overflowPunct/>
        <w:topLinePunct w:val="0"/>
        <w:bidi w:val="0"/>
        <w:spacing w:after="0" w:line="312" w:lineRule="auto"/>
        <w:ind w:firstLine="0" w:firstLineChars="0"/>
        <w:textAlignment w:val="auto"/>
        <w:rPr>
          <w:rFonts w:hint="eastAsia" w:ascii="宋体" w:hAnsi="宋体" w:eastAsia="宋体" w:cs="宋体"/>
          <w:color w:val="auto"/>
          <w:sz w:val="24"/>
          <w:szCs w:val="24"/>
          <w:highlight w:val="none"/>
        </w:rPr>
      </w:pPr>
    </w:p>
    <w:p>
      <w:pPr>
        <w:pStyle w:val="3"/>
        <w:pageBreakBefore w:val="0"/>
        <w:kinsoku/>
        <w:wordWrap/>
        <w:overflowPunct/>
        <w:topLinePunct w:val="0"/>
        <w:bidi w:val="0"/>
        <w:snapToGrid w:val="0"/>
        <w:spacing w:line="312" w:lineRule="auto"/>
        <w:ind w:left="0" w:firstLine="0"/>
        <w:textAlignment w:val="auto"/>
        <w:rPr>
          <w:rFonts w:hint="eastAsia" w:ascii="宋体" w:hAnsi="宋体" w:eastAsia="宋体" w:cs="宋体"/>
          <w:color w:val="auto"/>
          <w:sz w:val="24"/>
          <w:szCs w:val="24"/>
          <w:highlight w:val="none"/>
          <w:lang w:val="en-US"/>
        </w:rPr>
      </w:pPr>
      <w:bookmarkStart w:id="108" w:name="_Toc13906"/>
      <w:bookmarkStart w:id="109" w:name="_Toc27322"/>
      <w:bookmarkStart w:id="110" w:name="_Toc1783"/>
      <w:r>
        <w:rPr>
          <w:rFonts w:hint="eastAsia" w:ascii="宋体" w:hAnsi="宋体" w:eastAsia="宋体" w:cs="宋体"/>
          <w:color w:val="auto"/>
          <w:sz w:val="24"/>
          <w:szCs w:val="24"/>
          <w:highlight w:val="none"/>
          <w:lang w:val="en-US"/>
        </w:rPr>
        <w:t>▲二、招标内容</w:t>
      </w:r>
      <w:bookmarkEnd w:id="108"/>
      <w:bookmarkEnd w:id="109"/>
      <w:bookmarkEnd w:id="110"/>
    </w:p>
    <w:p>
      <w:pPr>
        <w:pageBreakBefore w:val="0"/>
        <w:kinsoku/>
        <w:wordWrap/>
        <w:overflowPunct/>
        <w:topLinePunct w:val="0"/>
        <w:bidi w:val="0"/>
        <w:adjustRightInd w:val="0"/>
        <w:snapToGrid w:val="0"/>
        <w:spacing w:line="312" w:lineRule="auto"/>
        <w:ind w:firstLine="472" w:firstLineChars="19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嘉兴市第一医院2022年至2023年的全院保安服务，承担医院安全保卫、消防、应急处置及车辆管理、解款押运等工作。</w:t>
      </w:r>
    </w:p>
    <w:p>
      <w:pPr>
        <w:pStyle w:val="18"/>
        <w:pageBreakBefore w:val="0"/>
        <w:kinsoku/>
        <w:wordWrap/>
        <w:overflowPunct/>
        <w:topLinePunct w:val="0"/>
        <w:bidi w:val="0"/>
        <w:spacing w:line="312" w:lineRule="auto"/>
        <w:ind w:firstLine="480"/>
        <w:textAlignment w:val="auto"/>
        <w:rPr>
          <w:rFonts w:hint="eastAsia" w:ascii="宋体" w:hAnsi="宋体" w:eastAsia="宋体" w:cs="宋体"/>
          <w:color w:val="auto"/>
          <w:sz w:val="24"/>
          <w:szCs w:val="24"/>
          <w:highlight w:val="none"/>
        </w:rPr>
      </w:pPr>
    </w:p>
    <w:p>
      <w:pPr>
        <w:pStyle w:val="3"/>
        <w:pageBreakBefore w:val="0"/>
        <w:kinsoku/>
        <w:wordWrap/>
        <w:overflowPunct/>
        <w:topLinePunct w:val="0"/>
        <w:bidi w:val="0"/>
        <w:snapToGrid w:val="0"/>
        <w:spacing w:line="312" w:lineRule="auto"/>
        <w:ind w:left="0" w:firstLine="241" w:firstLineChars="100"/>
        <w:textAlignment w:val="auto"/>
        <w:rPr>
          <w:rFonts w:hint="eastAsia" w:ascii="宋体" w:hAnsi="宋体" w:eastAsia="宋体" w:cs="宋体"/>
          <w:color w:val="auto"/>
          <w:sz w:val="24"/>
          <w:szCs w:val="24"/>
          <w:highlight w:val="none"/>
          <w:lang w:val="en-US"/>
        </w:rPr>
      </w:pPr>
      <w:bookmarkStart w:id="111" w:name="_Toc19913"/>
      <w:bookmarkStart w:id="112" w:name="_Toc3983"/>
      <w:bookmarkStart w:id="113" w:name="_Toc6896"/>
      <w:bookmarkStart w:id="114" w:name="_Toc29075"/>
      <w:bookmarkStart w:id="115" w:name="_Toc19818"/>
      <w:bookmarkStart w:id="116" w:name="_Toc5520"/>
      <w:bookmarkStart w:id="117" w:name="_Toc1937"/>
      <w:bookmarkStart w:id="118" w:name="_Toc20076"/>
      <w:bookmarkStart w:id="119" w:name="_Toc21325"/>
      <w:bookmarkStart w:id="120" w:name="_Toc488941195"/>
      <w:r>
        <w:rPr>
          <w:rFonts w:hint="eastAsia" w:ascii="宋体" w:hAnsi="宋体" w:eastAsia="宋体" w:cs="宋体"/>
          <w:color w:val="auto"/>
          <w:sz w:val="24"/>
          <w:szCs w:val="24"/>
          <w:highlight w:val="none"/>
          <w:lang w:val="en-US"/>
        </w:rPr>
        <w:t>▲三、报价要求</w:t>
      </w:r>
      <w:bookmarkEnd w:id="106"/>
      <w:bookmarkEnd w:id="107"/>
      <w:bookmarkEnd w:id="111"/>
      <w:bookmarkEnd w:id="112"/>
      <w:bookmarkEnd w:id="113"/>
      <w:bookmarkEnd w:id="114"/>
      <w:bookmarkEnd w:id="115"/>
      <w:bookmarkEnd w:id="116"/>
      <w:bookmarkEnd w:id="117"/>
      <w:bookmarkEnd w:id="118"/>
      <w:bookmarkEnd w:id="119"/>
      <w:bookmarkEnd w:id="120"/>
    </w:p>
    <w:p>
      <w:pPr>
        <w:pageBreakBefore w:val="0"/>
        <w:kinsoku/>
        <w:wordWrap/>
        <w:overflowPunct/>
        <w:topLinePunct w:val="0"/>
        <w:autoSpaceDE w:val="0"/>
        <w:autoSpaceDN w:val="0"/>
        <w:bidi w:val="0"/>
        <w:adjustRightInd w:val="0"/>
        <w:snapToGrid w:val="0"/>
        <w:spacing w:line="312"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1.本项目投标报价为一年（自合同签订之日起）的承包费用报价（本次合同服务期限为一年，下一年度经采购人考核合格后可续签一年。续签年度承包费原则上不得增加，如需增加需要双方协商后再定。</w:t>
      </w:r>
    </w:p>
    <w:p>
      <w:pPr>
        <w:pageBreakBefore w:val="0"/>
        <w:kinsoku/>
        <w:wordWrap/>
        <w:overflowPunct/>
        <w:topLinePunct w:val="0"/>
        <w:autoSpaceDE w:val="0"/>
        <w:autoSpaceDN w:val="0"/>
        <w:bidi w:val="0"/>
        <w:snapToGri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投标总价应包括承包区域内提供保安服务所需的一切人员人工费用[含工资、奖金、补贴、加班费、高温补偿费、社会保险（基本养老保险、基本医疗保险、工伤保险、失业保险、生育保险）]、钱款押运（含车辆、司乘人员、保安人员费用）、办公费、食宿与交通费、设备器材及工具、耗材费用、服装费、安全费、管理费用、规费、税费、利润以及完成合同所需的一切本身和不可或缺的所有费用并承担一切风险责任。在保安合同服务期间内不得违反国家相关政策规定</w:t>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adjustRightInd w:val="0"/>
        <w:snapToGri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支付给在采购人场所服务的保安员应发收入不少于每月人均服务费（中标总价÷保安人数÷12）的70%，每月向采购人提供前一个月的保安人员工资发放表用于备案。在合同期内，如遇政府最低工资上调，采购人不承担工资上调费用。</w:t>
      </w:r>
    </w:p>
    <w:p>
      <w:pPr>
        <w:pageBreakBefore w:val="0"/>
        <w:kinsoku/>
        <w:wordWrap/>
        <w:overflowPunct/>
        <w:topLinePunct w:val="0"/>
        <w:autoSpaceDE w:val="0"/>
        <w:autoSpaceDN w:val="0"/>
        <w:bidi w:val="0"/>
        <w:adjustRightInd w:val="0"/>
        <w:snapToGri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需对各个岗位每小时加班费用进行单独报价，不计入投标总价。医院根据运行情况进行调整，人员增减提前两天通知。根据突发事件状况，决定临时加班，负责医院突发事件处置、灾害预防、火灾扑救，发现和制止医院暴力事件，随时准备提供紧急救助。临时加班没有岗位参考计费的,根据</w:t>
      </w:r>
      <w:r>
        <w:rPr>
          <w:rFonts w:hint="eastAsia" w:ascii="宋体" w:hAnsi="宋体" w:eastAsia="宋体" w:cs="宋体"/>
          <w:bCs/>
          <w:color w:val="auto"/>
          <w:sz w:val="24"/>
          <w:szCs w:val="24"/>
          <w:highlight w:val="none"/>
        </w:rPr>
        <w:t>嘉政发〔2021〕22号《嘉兴市人民政府关于调整全市最低工资标准的通知》</w:t>
      </w:r>
      <w:r>
        <w:rPr>
          <w:rFonts w:hint="eastAsia" w:ascii="宋体" w:hAnsi="宋体" w:eastAsia="宋体" w:cs="宋体"/>
          <w:color w:val="auto"/>
          <w:sz w:val="24"/>
          <w:szCs w:val="24"/>
          <w:highlight w:val="none"/>
        </w:rPr>
        <w:t>，其中非全日制工作的最低小时工资标准调整为</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元，有岗位参考的，按照投标报价执行。</w:t>
      </w:r>
    </w:p>
    <w:p>
      <w:pPr>
        <w:pStyle w:val="3"/>
        <w:pageBreakBefore w:val="0"/>
        <w:kinsoku/>
        <w:wordWrap/>
        <w:overflowPunct/>
        <w:topLinePunct w:val="0"/>
        <w:bidi w:val="0"/>
        <w:adjustRightInd w:val="0"/>
        <w:snapToGrid w:val="0"/>
        <w:spacing w:line="312" w:lineRule="auto"/>
        <w:ind w:left="0" w:leftChars="0" w:firstLine="0" w:firstLineChars="0"/>
        <w:textAlignment w:val="auto"/>
        <w:outlineLvl w:val="9"/>
        <w:rPr>
          <w:rFonts w:hint="eastAsia" w:ascii="宋体" w:hAnsi="宋体" w:eastAsia="宋体" w:cs="宋体"/>
          <w:color w:val="auto"/>
          <w:kern w:val="0"/>
          <w:sz w:val="24"/>
          <w:szCs w:val="24"/>
          <w:highlight w:val="none"/>
          <w:lang w:val="en-US"/>
        </w:rPr>
      </w:pPr>
    </w:p>
    <w:p>
      <w:pPr>
        <w:pStyle w:val="3"/>
        <w:pageBreakBefore w:val="0"/>
        <w:kinsoku/>
        <w:wordWrap/>
        <w:overflowPunct/>
        <w:topLinePunct w:val="0"/>
        <w:bidi w:val="0"/>
        <w:snapToGrid w:val="0"/>
        <w:spacing w:line="312" w:lineRule="auto"/>
        <w:ind w:left="0" w:firstLine="0"/>
        <w:textAlignment w:val="auto"/>
        <w:rPr>
          <w:rFonts w:hint="eastAsia" w:ascii="宋体" w:hAnsi="宋体" w:eastAsia="宋体" w:cs="宋体"/>
          <w:color w:val="auto"/>
          <w:sz w:val="24"/>
          <w:szCs w:val="24"/>
          <w:highlight w:val="none"/>
          <w:lang w:val="en-US"/>
        </w:rPr>
      </w:pPr>
      <w:bookmarkStart w:id="121" w:name="_Toc10293"/>
      <w:bookmarkStart w:id="122" w:name="_Toc6452"/>
      <w:bookmarkStart w:id="123" w:name="_Toc29338"/>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rPr>
        <w:t>、</w:t>
      </w:r>
      <w:bookmarkEnd w:id="121"/>
      <w:r>
        <w:rPr>
          <w:rFonts w:hint="eastAsia" w:ascii="宋体" w:hAnsi="宋体" w:eastAsia="宋体" w:cs="宋体"/>
          <w:color w:val="auto"/>
          <w:sz w:val="24"/>
          <w:szCs w:val="24"/>
          <w:highlight w:val="none"/>
        </w:rPr>
        <w:t>服务内容及要求</w:t>
      </w:r>
      <w:bookmarkEnd w:id="122"/>
      <w:bookmarkEnd w:id="123"/>
    </w:p>
    <w:p>
      <w:pPr>
        <w:pageBreakBefore w:val="0"/>
        <w:kinsoku/>
        <w:wordWrap/>
        <w:overflowPunct/>
        <w:topLinePunct w:val="0"/>
        <w:bidi w:val="0"/>
        <w:spacing w:line="312" w:lineRule="auto"/>
        <w:textAlignment w:val="auto"/>
        <w:rPr>
          <w:rFonts w:hint="eastAsia" w:ascii="宋体" w:hAnsi="宋体" w:eastAsia="宋体" w:cs="宋体"/>
          <w:b/>
          <w:color w:val="auto"/>
          <w:sz w:val="24"/>
          <w:szCs w:val="24"/>
          <w:highlight w:val="none"/>
        </w:rPr>
      </w:pPr>
      <w:bookmarkStart w:id="124" w:name="_Toc24301"/>
      <w:r>
        <w:rPr>
          <w:rFonts w:hint="eastAsia" w:ascii="宋体" w:hAnsi="宋体" w:eastAsia="宋体" w:cs="宋体"/>
          <w:b/>
          <w:color w:val="auto"/>
          <w:sz w:val="24"/>
          <w:szCs w:val="24"/>
          <w:highlight w:val="none"/>
        </w:rPr>
        <w:t>（一）总体要求</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根据医院各科室的特点，对院内所有大楼及周围环境提供12-24小时的室内外保安服务，使其拥有安全的治疗环境。投标人应根据医院安全保卫工作实际情况和三甲医院安保工作标准，制订切实可行的医院安全保卫工作整体方案，为医院提供24小时专业化的室内外保安服务，认真做好医院火灾预防，及时处置各类治安、医患纠纷，确保医院职工的人身安全和公共财产安全，确保各项医疗工作安全、有序开展。全年无责任事故和责任案件发生，医院每月满意度测评中对保安服务满意率在90%以上，满意度在80-89%的扣服务费10万/次，6个月满意度平均低于80%的，次年不再续签合同。</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医院要求做好院内道路交通临时管制；加强医院各进出口（大门）的管理，及时疏导交通拥堵，控制好车辆进出，有序分流，指挥车辆按规定区域有序停放；确保120车辆车位、残疾人车位不得占用，确保120、119通道和院内道路畅通；根据需要及时增设、调整医院内部交通引导标识、车辆通行导向牌等指示标识。</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3.中标单位具有良好的人员保障机制，因队员辞职或辞退，须在5个工作日内补充。连续10天缺编超过人数总数的10%或一个月内平均缺编超过8%的，采购人有权终止合同，并双倍扣除缺编人员服务费。</w:t>
      </w:r>
    </w:p>
    <w:p>
      <w:pPr>
        <w:pStyle w:val="18"/>
        <w:pageBreakBefore w:val="0"/>
        <w:kinsoku/>
        <w:wordWrap/>
        <w:overflowPunct/>
        <w:topLinePunct w:val="0"/>
        <w:bidi w:val="0"/>
        <w:spacing w:line="312"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4.医院不定期对保安实际在岗人数进行核查，若实际在岗人数少于排班人数，则当月以核查时实际在岗人数结算。</w:t>
      </w:r>
    </w:p>
    <w:p>
      <w:pPr>
        <w:pStyle w:val="18"/>
        <w:pageBreakBefore w:val="0"/>
        <w:kinsoku/>
        <w:wordWrap/>
        <w:overflowPunct/>
        <w:topLinePunct w:val="0"/>
        <w:bidi w:val="0"/>
        <w:spacing w:line="312"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5.乙方安排安保人员，应严格按照《中华人民共和国劳动法》执行。</w:t>
      </w:r>
    </w:p>
    <w:p>
      <w:pPr>
        <w:pStyle w:val="18"/>
        <w:pageBreakBefore w:val="0"/>
        <w:kinsoku/>
        <w:wordWrap/>
        <w:overflowPunct/>
        <w:topLinePunct w:val="0"/>
        <w:bidi w:val="0"/>
        <w:spacing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▲6.投标人必须采取切实有效措施保持保安队伍的稳定，严格控制非违纪人员轮换岗比例，合同期限内轮换岗保安人数不得超过合同编制的40%。</w:t>
      </w:r>
    </w:p>
    <w:p>
      <w:pPr>
        <w:pageBreakBefore w:val="0"/>
        <w:widowControl/>
        <w:numPr>
          <w:ilvl w:val="0"/>
          <w:numId w:val="1"/>
        </w:numPr>
        <w:kinsoku/>
        <w:wordWrap/>
        <w:overflowPunct/>
        <w:topLinePunct w:val="0"/>
        <w:bidi w:val="0"/>
        <w:spacing w:line="312"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保安服务的主要职责</w:t>
      </w:r>
    </w:p>
    <w:p>
      <w:pPr>
        <w:pageBreakBefore w:val="0"/>
        <w:widowControl/>
        <w:kinsoku/>
        <w:wordWrap/>
        <w:overflowPunct/>
        <w:topLinePunct w:val="0"/>
        <w:bidi w:val="0"/>
        <w:spacing w:line="312"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1.全面负责院区门卫管理和院内防火、防盗、治安巡逻，钱款押运，维持秩序，维护稳定，及时发现和消除安全隐患。</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2.在医院安全保卫部组织和领导下，做好医院内部治安综合治理、消防、**等安全工作，及时清理院内医托、号贩子及各类推销人员。</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3.配合医院安全保卫部及时受理医院内部的各类纠纷和治安案件，及时、正确处理院内的各类突发事件，提供安全力量支援。</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4.严格执行监控发出指令，及时查看火警、红外报警、紧急按钮等指令并回复查看结果。</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5.做好医院停车管理工作，及时处理相关纠纷。</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6.做好内部安全防范，严查四证：出院证、出门证、动火施工证、临时操作证，人员、物品无证不得出院（特殊情况经医院安全保卫部同意除外）；无证不得动火施工；外来人员无证不得作业。</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7.协助医院做好包干区环境卫生、垃圾分类、控烟等相关指令性工作。</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8.积极配合医院做好各时期重点、中心工作。</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9.抽调临时保安力量，做好医院重大活动安全保卫工作。</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10.配合公安机关，打击医院内部与周边的违法犯罪活动。</w:t>
      </w:r>
    </w:p>
    <w:p>
      <w:pPr>
        <w:pageBreakBefore w:val="0"/>
        <w:widowControl/>
        <w:kinsoku/>
        <w:wordWrap/>
        <w:overflowPunct/>
        <w:topLinePunct w:val="0"/>
        <w:bidi w:val="0"/>
        <w:spacing w:line="312"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（三）委托管理事项</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依照院方规定与管理要求，结合医院安全保卫工作实际情况，制订切实可行的医院安全保卫工作整体方案，开展专业化安全防范业务，具体管理事项如下：</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1.医院南大门门卫管理，急诊区域管理，传染病区管理，门诊区域管理，住院部区域管理，主楼病员电梯陪客管理，行政楼管理。医院停车道闸、门诊停车场、急诊停车场、南门停车场等管理。</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2.医院秩序的维护：包括负责门卫周边与广场的车辆指挥与停放；悬挂横幅、张贴物的管理；临时经营摊位置的管理等；</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3.医院内24小时定时定点治安巡逻检查，重点部位的定点守护； </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4.医院重大活动的安全警戒与秩序保障；配合做好重大事件的治安保卫工作；</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5.配合医院安全保卫部和相关科室处理各类纠纷和治安案件，配合医院对违规事件的调查，协助公安机关对案件的排查； </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6.医院突发事件处置、灾害预防、火灾扑救，发现和制止医院暴力事件，随时准备提供紧急救助； </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7.医院内部安全隐患检查、排除及上报；违规纠正；有针对性地开展安全教育和提示。</w:t>
      </w:r>
    </w:p>
    <w:p>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根据医院规定做好对机动车停车区域治安、防火巡查，严禁停车区域内吸烟或携带易燃易爆危险品进入；每月2次检查院内公共区域的消防设施，确保完好，检查有记录，有签名，有汇报；协助医院做好室外道路交通设施的日常维护管理，定期检查道路交通设施完好程度；定期参加医院、公司组织的治安、消防业务培训；发现有人擅自动用消防设施的，应及时制止并报告；发现火灾隐患，立即报告医院安全保卫部并设法消除；发生火情，能冷静处置，熟知火灾报警、人员疏散、组织扑救、抢救物资等应急处置要领；发现可疑人、可疑车辆及时报告上级或监控中心，记录人员、车辆特征，必要时协助公安机关调查。</w:t>
      </w:r>
    </w:p>
    <w:p>
      <w:pPr>
        <w:pageBreakBefore w:val="0"/>
        <w:widowControl/>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p>
    <w:p>
      <w:pPr>
        <w:pageBreakBefore w:val="0"/>
        <w:widowControl/>
        <w:kinsoku/>
        <w:wordWrap/>
        <w:overflowPunct/>
        <w:topLinePunct w:val="0"/>
        <w:bidi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（四）项目管理要求</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1.质量目标要求</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（1）服务标准：</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《中华人民共和国**怖法》</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《企业、事业单位内部治安保卫工作条例》</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《浙江省平安医院考核标准》</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《嘉兴市第一医院保安人员考核处罚细则》</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浙江省和嘉兴市政府有关保安文明服务要求的规定</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三级甲等医院的保安服务标准</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（2）依托行业标准，根据院方管理规定与服务要求，制订切实可行的医院保安服务整体方案和应急预案，突发事件反应迅速，预案处置有力；</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（3）依法办事，文明值勤，严格管理，保障医院财产和工作人员人身不受侵害，维护正常的医疗秩序；</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（4）全年无责任事故和责任案件发生，对保安服务满意率在90%以上。</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（1）树立“服务第一，安全为先”的思想，切实维护医院的人身和财产安全。</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（2）管理坚持原则、慎密严谨；服务以人为本、主动热情；处理问题高度警惕、有理有节。</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（3）上岗人员仪表整洁，业务操作规范，礼貌待人，保持岗位卫生整洁。</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（4）严禁酒后上岗，嗜酒、赌博人员及坚守自盗人员一律退回公司，造成严重后果的承担相应赔偿与法律责任。</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（5）依法办事，文明执勤，不发生争吵，杜绝保安与医院工作人员发生冲突，不与服务对象发生冲突，做到打不还手、骂不还口。</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3.队伍建设与管理要求</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（1）投标人负责提供进驻保安人员值勤所需的装备、器材、通讯设备、常用办公耗材等（包括但不限于），具体要求见下表：</w:t>
      </w:r>
    </w:p>
    <w:tbl>
      <w:tblPr>
        <w:tblStyle w:val="19"/>
        <w:tblpPr w:leftFromText="180" w:rightFromText="180" w:vertAnchor="text" w:horzAnchor="page" w:tblpX="2030" w:tblpY="988"/>
        <w:tblOverlap w:val="never"/>
        <w:tblW w:w="0" w:type="auto"/>
        <w:tblInd w:w="0" w:type="dxa"/>
        <w:tblLayout w:type="fixed"/>
        <w:tblCellMar>
          <w:top w:w="0" w:type="dxa"/>
          <w:left w:w="108" w:type="dxa"/>
          <w:bottom w:w="0" w:type="dxa"/>
          <w:right w:w="108" w:type="dxa"/>
        </w:tblCellMar>
      </w:tblPr>
      <w:tblGrid>
        <w:gridCol w:w="1080"/>
        <w:gridCol w:w="2895"/>
        <w:gridCol w:w="1260"/>
        <w:gridCol w:w="2700"/>
      </w:tblGrid>
      <w:tr>
        <w:tblPrEx>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9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设备/器材名称</w:t>
            </w:r>
          </w:p>
        </w:tc>
        <w:tc>
          <w:tcPr>
            <w:tcW w:w="126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27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钢盔</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　</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顶</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警绳</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　</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伸缩警棍</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多功能分体式雨衣</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室外岗位</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雨鞋</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室外岗位　</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小雨伞</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　</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武装带</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防刺服</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辣椒水喷射器</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防割手套</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100</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套</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移动对讲机</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各个岗位 </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强光电筒</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钝角钢叉</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8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12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待定　</w:t>
            </w:r>
          </w:p>
        </w:tc>
        <w:tc>
          <w:tcPr>
            <w:tcW w:w="270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投标人根据工作来提出</w:t>
            </w:r>
          </w:p>
        </w:tc>
      </w:tr>
    </w:tbl>
    <w:p>
      <w:pPr>
        <w:pageBreakBefore w:val="0"/>
        <w:widowControl/>
        <w:kinsoku/>
        <w:wordWrap/>
        <w:overflowPunct/>
        <w:topLinePunct w:val="0"/>
        <w:bidi w:val="0"/>
        <w:spacing w:line="312" w:lineRule="auto"/>
        <w:jc w:val="left"/>
        <w:textAlignment w:val="auto"/>
        <w:rPr>
          <w:rFonts w:hint="eastAsia" w:ascii="宋体" w:hAnsi="宋体" w:eastAsia="宋体" w:cs="宋体"/>
          <w:color w:val="auto"/>
          <w:sz w:val="24"/>
          <w:szCs w:val="24"/>
          <w:highlight w:val="none"/>
          <w:lang w:val="zh-CN"/>
        </w:rPr>
      </w:pPr>
      <w:bookmarkStart w:id="125" w:name="_Toc467702154"/>
      <w:r>
        <w:rPr>
          <w:rFonts w:hint="eastAsia" w:ascii="宋体" w:hAnsi="宋体" w:eastAsia="宋体" w:cs="宋体"/>
          <w:color w:val="auto"/>
          <w:sz w:val="24"/>
          <w:szCs w:val="24"/>
          <w:highlight w:val="none"/>
          <w:lang w:val="zh-CN"/>
        </w:rPr>
        <w:t>注：上述装备费用包含在投标总价中。</w:t>
      </w:r>
      <w:bookmarkEnd w:id="125"/>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（2）从医院安全实际出发，每月开展一次在岗人员业务培训和应急预案演练。</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（3）内部管理体制健全，设立保安服务队长一名、副队长二名，全面负责日常保安队伍的规范化管理。</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必须采取切实有效措施保持保安队伍的稳定，严格控制非违纪人员轮换岗比例，合同期限内轮换岗保安人数不得超过合同编制的50%，并在投标书中作出承诺；保安队伍主要管理员更换，应提前一个月以书面形式通知采购人,其他队员更换要提前三天告知采购人；确保服务质量不因人员变动而受影响。</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（5）保安应聘、录用、离职等管理档案规范，手续齐全，队员花名册、身份证、上岗证等相应资料必须报医院安全保卫部备案。</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（6）投标人必须信守承包承诺，认真落实具有相应的固定服务人员，服务人员必须统一穿着工作服，挂牌上岗并建立健全的管理制度。</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（7）在服务期内承包人遇到医院各类检查（如上级部门来院检查等）及突发事件时，中标人应无条件加班，服从采购人安排。</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（8）中标人必须对员工发生的事故责任以及员工计生、身份、健康等承担责任；同时对员工在院内做出不良行为给医院造成影响承担责任。</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（9）公司的办公各类设施及费用、人员食宿、安全等均由中标人自行负责解决。</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（10）公司使用的对讲机必须与医院的（天翼）对讲机保持一致。</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4.人员要求</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（1）保安从业人员应知法，懂法，守法，依法办事，必须严格遵守保安从业规范，模范遵守医院安全管理规定，持证上岗。</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队长及副队长应具备高中及以上文化程度，有较高的政治思想素养和业务水平，有较强的组织协调能力，受过专门的保安业务培训。能够积极配合医院完成相关突发事件的应急处置，采取有效措施预防在医院内的保安人员发生违法违规行为。</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人员个人素质条件：以高中文化程度（含职高）为主体，退伍军人为佳，除特别要求以外，年龄要求57周岁以下，身体健康，没有传染病及精神病等不能控制自己行为能力的疾病病史，体貌端正，没有犯罪记录。</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所聘用的保安人员有吃苦耐劳的精神和高度的责任感，受过专门岗前培训，熟知院方的管理规定，严格履行岗位职责，善于发现各类问题，具备一定的管理经验和处理突发所聘用的保安人员有吃苦耐劳的精神和高度的责任感，受过专门岗前培训，熟知院方的管理规定，严格履行岗位职责，善于发现各类问题，具备一定的管理经验和处理突发事件能力。 </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5.工作衔接要求</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（1）根据行业服务标准与医院规定要求，独立运作，落实医院安全保卫整体方案，并结合医院实际在实践中不断完善；</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（2）保安队长、副队长须与医院安全保卫部保持必要的工作交流，每周必须向医院安全保卫部口头汇报工作，每月向医院安全保卫部书面汇报所承担的保安工作开展情况及信息反馈，重大情况须及时报告；</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（3）做好详细的执勤记录，原始台帐保存完好，以备核查；</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（4）协同医院治安协防组织，形成群防群治体系；</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（5）与当地***、综治办加强合作与交流。</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（6）配合医院做好禁烟、垃圾分类及相关指令性工作。</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6.岗位工作职责要求：</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（1）保安服务队长</w:t>
      </w:r>
      <w:r>
        <w:rPr>
          <w:rFonts w:hint="eastAsia" w:ascii="宋体" w:hAnsi="宋体" w:eastAsia="宋体" w:cs="宋体"/>
          <w:color w:val="auto"/>
          <w:sz w:val="24"/>
          <w:szCs w:val="24"/>
          <w:highlight w:val="none"/>
        </w:rPr>
        <w:t>及副队长</w:t>
      </w:r>
      <w:r>
        <w:rPr>
          <w:rFonts w:hint="eastAsia" w:ascii="宋体" w:hAnsi="宋体" w:eastAsia="宋体" w:cs="宋体"/>
          <w:b/>
          <w:bCs/>
          <w:color w:val="auto"/>
          <w:sz w:val="24"/>
          <w:szCs w:val="24"/>
          <w:highlight w:val="none"/>
        </w:rPr>
        <w:t>：要求男性，年龄不大于50岁，</w:t>
      </w:r>
      <w:r>
        <w:rPr>
          <w:rFonts w:hint="eastAsia" w:ascii="宋体" w:hAnsi="宋体" w:eastAsia="宋体" w:cs="宋体"/>
          <w:color w:val="auto"/>
          <w:sz w:val="24"/>
          <w:szCs w:val="24"/>
          <w:highlight w:val="none"/>
        </w:rPr>
        <w:t>代表公司全面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安全保卫部汇报工作开展情况及治安信息，重大情况及时报告；配合院方对院内违规事件的处理；组织开展保安业务培训和预案演练，制订院内重大活动的安全保卫方案；建立健全录用保安人员档案资料。</w:t>
      </w:r>
    </w:p>
    <w:p>
      <w:pPr>
        <w:pageBreakBefore w:val="0"/>
        <w:kinsoku/>
        <w:wordWrap/>
        <w:overflowPunct/>
        <w:topLinePunct w:val="0"/>
        <w:bidi w:val="0"/>
        <w:spacing w:line="312" w:lineRule="auto"/>
        <w:ind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队长应具有类似项目经验，有协调能力，能适应医院要求，能进行良好沟通及密切配合。</w:t>
      </w:r>
    </w:p>
    <w:p>
      <w:pPr>
        <w:pageBreakBefore w:val="0"/>
        <w:kinsoku/>
        <w:wordWrap/>
        <w:overflowPunct/>
        <w:topLinePunct w:val="0"/>
        <w:bidi w:val="0"/>
        <w:spacing w:line="312" w:lineRule="auto"/>
        <w:ind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中标后，队长、副队长未经采购人同意不得随意更换，否则采购人有权在履约保证金和服务费用扣除相应的费用。</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（2）巡逻班、专职消防员、急诊抢救室、急诊门口岗位：发热门诊（一）、（二），8号楼东入口、8号楼一楼、门诊2楼岗位：人员要求男性，年龄不大于45岁，</w:t>
      </w:r>
      <w:r>
        <w:rPr>
          <w:rFonts w:hint="eastAsia" w:ascii="宋体" w:hAnsi="宋体" w:eastAsia="宋体" w:cs="宋体"/>
          <w:color w:val="auto"/>
          <w:sz w:val="24"/>
          <w:szCs w:val="24"/>
          <w:highlight w:val="none"/>
        </w:rPr>
        <w:t>以身作则、吃苦在先、讲求奉献；贯彻落实医院任务要求与保安队长的工作安排，组织实施医院安全保卫整体方案；负责保安的日常工作，参与保安值勤，增援重点岗位；处理各岗位的突发事件，重大情况及时报告；妥善保管好医院提供的设备器材，严格设备交接班制度；做好医院重大活动的安全保卫与秩序保障工作；将各岗位的执勤情况汇总记录。</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（3）门卫管理</w:t>
      </w:r>
      <w:r>
        <w:rPr>
          <w:rFonts w:hint="eastAsia" w:ascii="宋体" w:hAnsi="宋体" w:eastAsia="宋体" w:cs="宋体"/>
          <w:color w:val="auto"/>
          <w:sz w:val="24"/>
          <w:szCs w:val="24"/>
          <w:highlight w:val="none"/>
        </w:rPr>
        <w:t>：严格人员、车辆、物资进出管理；协助做好停车收费的相关工作；按时立岗，礼貌待人，树立良好的窗口形象；对携物出门实行出门证验审制度，防止财物流失；与各岗卫互通信息；值班室无闲杂人员滞留，保持室内外环境整洁卫生，门前卫生三包；完成医院交办的其他事项。</w:t>
      </w:r>
    </w:p>
    <w:p>
      <w:pPr>
        <w:pageBreakBefore w:val="0"/>
        <w:widowControl/>
        <w:kinsoku/>
        <w:wordWrap/>
        <w:overflowPunct/>
        <w:topLinePunct w:val="0"/>
        <w:bidi w:val="0"/>
        <w:spacing w:line="312" w:lineRule="auto"/>
        <w:ind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（4）车辆管理</w:t>
      </w:r>
      <w:r>
        <w:rPr>
          <w:rFonts w:hint="eastAsia" w:ascii="宋体" w:hAnsi="宋体" w:eastAsia="宋体" w:cs="宋体"/>
          <w:color w:val="auto"/>
          <w:sz w:val="24"/>
          <w:szCs w:val="24"/>
          <w:highlight w:val="none"/>
        </w:rPr>
        <w:t>：加强医院大门的管理，及时与门卫联系，控制好车辆进出，安全有序的指挥车辆的停放，严禁非120车辆停在120车泊位，确保120、119通道和院内道路畅通。根据医院要求控制车辆进出，认真履行停车收费工作。</w:t>
      </w:r>
    </w:p>
    <w:p>
      <w:pPr>
        <w:pageBreakBefore w:val="0"/>
        <w:widowControl/>
        <w:kinsoku/>
        <w:wordWrap/>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（5）区域守护</w:t>
      </w:r>
      <w:r>
        <w:rPr>
          <w:rFonts w:hint="eastAsia" w:ascii="宋体" w:hAnsi="宋体" w:eastAsia="宋体" w:cs="宋体"/>
          <w:color w:val="auto"/>
          <w:sz w:val="24"/>
          <w:szCs w:val="24"/>
          <w:highlight w:val="none"/>
        </w:rPr>
        <w:t>：熟悉守护区域的情况特点，定点守卫与区域巡查相结合；掌握消防栓、灭火器等安全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pageBreakBefore w:val="0"/>
        <w:widowControl/>
        <w:kinsoku/>
        <w:wordWrap/>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（6）机动巡逻</w:t>
      </w:r>
      <w:r>
        <w:rPr>
          <w:rFonts w:hint="eastAsia" w:ascii="宋体" w:hAnsi="宋体" w:eastAsia="宋体" w:cs="宋体"/>
          <w:color w:val="auto"/>
          <w:sz w:val="24"/>
          <w:szCs w:val="24"/>
          <w:highlight w:val="none"/>
        </w:rPr>
        <w:t>：发现和排除各种不安全因素，及时处置各种违法犯罪行为；听从班长工作安排与指挥调度，善于发现、分析处理各种事故隐患和突发事件；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（7）消防管理</w:t>
      </w:r>
      <w:r>
        <w:rPr>
          <w:rFonts w:hint="eastAsia" w:ascii="宋体" w:hAnsi="宋体" w:eastAsia="宋体" w:cs="宋体"/>
          <w:color w:val="auto"/>
          <w:sz w:val="24"/>
          <w:szCs w:val="24"/>
          <w:highlight w:val="none"/>
        </w:rPr>
        <w:t>：每2周检查记录院内公共部位的消防设施，确保完好。协助医院做好室外设施的日常维护；建立托管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安全保卫部并设法消除；发生火警，能冷静处置，按预案进行火灾报警、人员疏散、组织扑救、抢救物资等工作。消控岗位人员必须具备《消防控制室人员培训合格证》。</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u w:val="single"/>
        </w:rPr>
        <w:t xml:space="preserve"> 中标单位具有良好的人员保障机制，因队员辞职或辞退，须在5个工作日内补充。一旦有缺岗情况，甲方有权终止合同，并双倍扣除缺编人员服务费。</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（9）解款押运：</w:t>
      </w:r>
      <w:r>
        <w:rPr>
          <w:rFonts w:hint="eastAsia" w:ascii="宋体" w:hAnsi="宋体" w:eastAsia="宋体" w:cs="宋体"/>
          <w:color w:val="auto"/>
          <w:sz w:val="24"/>
          <w:szCs w:val="24"/>
          <w:highlight w:val="none"/>
        </w:rPr>
        <w:t>负责每天押运解款到银行的任务。</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（10）临时用工：</w:t>
      </w:r>
      <w:r>
        <w:rPr>
          <w:rFonts w:hint="eastAsia" w:ascii="宋体" w:hAnsi="宋体" w:eastAsia="宋体" w:cs="宋体"/>
          <w:color w:val="auto"/>
          <w:sz w:val="24"/>
          <w:szCs w:val="24"/>
          <w:highlight w:val="none"/>
        </w:rPr>
        <w:t>根据突发事件状况，决定临时用工，负责医院突发事件处置、灾害预防、火灾扑救，发现和制止医院暴力事件，随时准备提供紧急救助。</w:t>
      </w:r>
    </w:p>
    <w:p>
      <w:pPr>
        <w:pageBreakBefore w:val="0"/>
        <w:widowControl/>
        <w:kinsoku/>
        <w:wordWrap/>
        <w:overflowPunct/>
        <w:topLinePunct w:val="0"/>
        <w:bidi w:val="0"/>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7.院区保安人员岗位配置</w:t>
      </w:r>
    </w:p>
    <w:tbl>
      <w:tblPr>
        <w:tblStyle w:val="19"/>
        <w:tblW w:w="9204" w:type="dxa"/>
        <w:tblInd w:w="0" w:type="dxa"/>
        <w:tblLayout w:type="fixed"/>
        <w:tblCellMar>
          <w:top w:w="0" w:type="dxa"/>
          <w:left w:w="108" w:type="dxa"/>
          <w:bottom w:w="0" w:type="dxa"/>
          <w:right w:w="108" w:type="dxa"/>
        </w:tblCellMar>
      </w:tblPr>
      <w:tblGrid>
        <w:gridCol w:w="679"/>
        <w:gridCol w:w="1675"/>
        <w:gridCol w:w="1667"/>
        <w:gridCol w:w="1198"/>
        <w:gridCol w:w="1329"/>
        <w:gridCol w:w="1920"/>
        <w:gridCol w:w="736"/>
      </w:tblGrid>
      <w:tr>
        <w:tblPrEx>
          <w:tblCellMar>
            <w:top w:w="0" w:type="dxa"/>
            <w:left w:w="108" w:type="dxa"/>
            <w:bottom w:w="0" w:type="dxa"/>
            <w:right w:w="108" w:type="dxa"/>
          </w:tblCellMar>
        </w:tblPrEx>
        <w:trPr>
          <w:trHeight w:val="300" w:hRule="atLeast"/>
        </w:trPr>
        <w:tc>
          <w:tcPr>
            <w:tcW w:w="679"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675"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岗位地点</w:t>
            </w:r>
          </w:p>
        </w:tc>
        <w:tc>
          <w:tcPr>
            <w:tcW w:w="1667"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工作时间</w:t>
            </w:r>
          </w:p>
        </w:tc>
        <w:tc>
          <w:tcPr>
            <w:tcW w:w="1198"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工作时长(小时）</w:t>
            </w:r>
          </w:p>
        </w:tc>
        <w:tc>
          <w:tcPr>
            <w:tcW w:w="1329"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总工作时长(小时/天)</w:t>
            </w:r>
          </w:p>
        </w:tc>
        <w:tc>
          <w:tcPr>
            <w:tcW w:w="1920"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工作内容</w:t>
            </w:r>
          </w:p>
        </w:tc>
        <w:tc>
          <w:tcPr>
            <w:tcW w:w="736" w:type="dxa"/>
            <w:tcBorders>
              <w:top w:val="single" w:color="000000" w:sz="8" w:space="0"/>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价格</w:t>
            </w: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住院部区域1</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6：30-11：30</w:t>
            </w:r>
          </w:p>
          <w:p>
            <w:pPr>
              <w:pStyle w:val="18"/>
              <w:ind w:left="0" w:leftChars="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12:00-17：00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住院部门口区域停车管理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住院部区域2</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7：00-12：00</w:t>
            </w:r>
          </w:p>
          <w:p>
            <w:pPr>
              <w:pStyle w:val="18"/>
              <w:ind w:left="0" w:leftChars="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12:30-18:30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住院部门口区域停车管理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住院部区域3</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6：30-11：30</w:t>
            </w:r>
          </w:p>
          <w:p>
            <w:pPr>
              <w:pStyle w:val="18"/>
              <w:ind w:left="0" w:leftChars="0" w:firstLine="0" w:firstLineChars="0"/>
              <w:rPr>
                <w:rFonts w:hint="eastAsia" w:ascii="宋体" w:hAnsi="宋体" w:eastAsia="宋体" w:cs="宋体"/>
                <w:color w:val="auto"/>
                <w:highlight w:val="none"/>
                <w:lang w:bidi="ar"/>
              </w:rPr>
            </w:pP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住院部门口区域停车管理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23"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lang w:bidi="ar"/>
              </w:rPr>
              <w:t>南门停车场1</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highlight w:val="none"/>
                <w:lang w:bidi="ar"/>
              </w:rPr>
            </w:pPr>
            <w:r>
              <w:rPr>
                <w:rFonts w:hint="eastAsia" w:ascii="宋体" w:hAnsi="宋体" w:eastAsia="宋体" w:cs="宋体"/>
                <w:bCs/>
                <w:color w:val="auto"/>
                <w:kern w:val="0"/>
                <w:sz w:val="24"/>
                <w:highlight w:val="none"/>
                <w:lang w:bidi="ar"/>
              </w:rPr>
              <w:t>7：30-12：30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lang w:bidi="ar"/>
              </w:rPr>
              <w:t>南门停车场2</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7:30-11：30</w:t>
            </w:r>
          </w:p>
          <w:p>
            <w:pPr>
              <w:pStyle w:val="18"/>
              <w:ind w:left="0" w:leftChars="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12:00-17:00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lang w:bidi="ar"/>
              </w:rPr>
              <w:t>门诊前停车场1</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7：30-12：30</w:t>
            </w:r>
          </w:p>
          <w:p>
            <w:pPr>
              <w:pStyle w:val="18"/>
              <w:ind w:left="0" w:leftChars="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13:00-16:00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lang w:bidi="ar"/>
              </w:rPr>
              <w:t>门诊前停车场2</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7：30-11：30</w:t>
            </w:r>
          </w:p>
          <w:p>
            <w:pPr>
              <w:pStyle w:val="18"/>
              <w:ind w:left="0" w:leftChars="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12:30-16:00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门诊停车场1</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7：30-12：30</w:t>
            </w:r>
          </w:p>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lang w:bidi="ar"/>
              </w:rPr>
              <w:t>13:00-16:00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门诊停车场2</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7：30-12：30</w:t>
            </w:r>
          </w:p>
          <w:p>
            <w:pPr>
              <w:widowControl/>
              <w:jc w:val="center"/>
              <w:textAlignment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lang w:bidi="ar"/>
              </w:rPr>
              <w:t>13:00-16:00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门诊东掉头处</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7：30-12：30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13:00-16:00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路面交通管理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急诊前停车场</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7:00-12:00</w:t>
            </w:r>
          </w:p>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bidi="ar"/>
              </w:rPr>
              <w:t>12:30-17:30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急诊停车场1</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7:00-12:00</w:t>
            </w:r>
          </w:p>
          <w:p>
            <w:pPr>
              <w:pStyle w:val="18"/>
              <w:ind w:left="0" w:leftChars="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12:30-17:30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14</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急诊停车场2</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7:00-12:00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12:30-16:30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5号楼北停车场</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7:30-12:30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16</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地下车库2号通道前</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17</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6号楼西</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7:00-16:00</w:t>
            </w:r>
          </w:p>
        </w:tc>
        <w:tc>
          <w:tcPr>
            <w:tcW w:w="1198" w:type="dxa"/>
            <w:tcBorders>
              <w:top w:val="nil"/>
              <w:left w:val="nil"/>
              <w:bottom w:val="single" w:color="000000" w:sz="8" w:space="0"/>
              <w:right w:val="single" w:color="000000" w:sz="8" w:space="0"/>
            </w:tcBorders>
            <w:noWrap/>
            <w:vAlign w:val="center"/>
          </w:tcPr>
          <w:p>
            <w:pPr>
              <w:widowControl/>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6号楼东</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19</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北大门</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7:30-16:30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路面交通管理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20</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门诊前道路</w:t>
            </w:r>
          </w:p>
        </w:tc>
        <w:tc>
          <w:tcPr>
            <w:tcW w:w="1667" w:type="dxa"/>
            <w:tcBorders>
              <w:top w:val="nil"/>
              <w:left w:val="nil"/>
              <w:bottom w:val="single" w:color="000000" w:sz="8" w:space="0"/>
              <w:right w:val="single" w:color="000000" w:sz="8" w:space="0"/>
            </w:tcBorders>
            <w:noWrap/>
            <w:vAlign w:val="center"/>
          </w:tcPr>
          <w:p>
            <w:pPr>
              <w:pStyle w:val="18"/>
              <w:ind w:left="0" w:leftChars="0" w:firstLine="120" w:firstLineChars="5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7:30-15:30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路面交通管理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21</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急诊掉头处</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7:30-15:30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路面交通管理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22</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发热一区域 </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7:30-11:30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highlight w:val="none"/>
                <w:lang w:bidi="ar"/>
              </w:rPr>
              <w:t>12:00-16:00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路面交通管理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23</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住院部交叉口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7:00-17:00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路面交通管理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7号楼交叉口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7:00-16:00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路面交通管理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南门卫室</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停车管理及交通管理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行政楼一楼(外面岗亭）</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7:00-11:30</w:t>
            </w:r>
          </w:p>
          <w:p>
            <w:pPr>
              <w:pStyle w:val="18"/>
              <w:ind w:left="0" w:leftChars="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12:00-16:30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停车管理及路面交通管理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提醒打开行程码</w:t>
            </w:r>
          </w:p>
        </w:tc>
        <w:tc>
          <w:tcPr>
            <w:tcW w:w="736" w:type="dxa"/>
            <w:vMerge w:val="restart"/>
            <w:tcBorders>
              <w:top w:val="nil"/>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1/2岗位可为女性</w:t>
            </w: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提醒打开行程码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7:00-11:30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筛查</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5"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7:00-10:30;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11:30-16:30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筛查</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7:00-10:30;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11:30-15:30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查验行程码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7:00-10:30;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11:30-15:30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查验行程码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7:00-11:30;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13:00-17:30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查验行程码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7:00-11:30;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13:00-16:30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查验行程码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门诊安检员</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7:00-10:30;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11:30-15:30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安检员</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门诊安检员</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7:00-11:30;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13:00-17:30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安检员</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7:00-10:30;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11:30-15:30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测体温</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7:00-11:30;</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13:00-17:30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测体温</w:t>
            </w:r>
          </w:p>
        </w:tc>
        <w:tc>
          <w:tcPr>
            <w:tcW w:w="736" w:type="dxa"/>
            <w:vMerge w:val="continue"/>
            <w:tcBorders>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7:00-17:30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出口通道</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门诊3楼</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7:00-18:00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维持就诊秩序（门诊4-5楼开关门</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门诊2楼</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7:00-18:00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维持就诊秩序（门诊2-3楼开关门）</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内镜室大厅</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7:30-11:30；</w:t>
            </w:r>
          </w:p>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13：30-16：30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超声科大厅</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7:30-10：30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社会核酸采样点</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b/>
                <w:bCs/>
                <w:color w:val="auto"/>
                <w:kern w:val="0"/>
                <w:sz w:val="24"/>
                <w:highlight w:val="none"/>
                <w:lang w:bidi="ar"/>
              </w:rPr>
            </w:pPr>
            <w:r>
              <w:rPr>
                <w:rFonts w:hint="eastAsia" w:ascii="宋体" w:hAnsi="宋体" w:eastAsia="宋体" w:cs="宋体"/>
                <w:color w:val="auto"/>
                <w:kern w:val="0"/>
                <w:sz w:val="24"/>
                <w:highlight w:val="none"/>
                <w:lang w:bidi="ar"/>
              </w:rPr>
              <w:t>7：30-20：00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急诊CT</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8：00-11：30；12：30-20：00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46</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ICU及手术病人家属等候区</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6：30-18：30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47</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嘉兴市卫生健康委</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8:00-12:00  14:00-18；00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行政班</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48</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门诊急诊通道</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6:30-18:30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进出人员管理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49</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急诊安检员</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急诊出口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看行程码</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急诊门口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筛查</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53</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急诊抢救室</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54</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南大门</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8:00-21:00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restart"/>
            <w:tcBorders>
              <w:top w:val="nil"/>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1/2岗位可为女性</w:t>
            </w: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55</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南大门</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8:00-21:00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南大门</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8:00-21:00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57</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北大门</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8:00-21:00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58</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北大门</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8:00-21:00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59</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北大门</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8:00-21:00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60</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北大门</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8:00-21:00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住院部一楼</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7:00-20:00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筛查</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住院部一楼</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7:00-20:00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看行程码</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住院部安检员</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7:00-20:00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安检</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64</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住院部一楼8部电梯</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6:30-21:30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代送物品</w:t>
            </w:r>
          </w:p>
        </w:tc>
        <w:tc>
          <w:tcPr>
            <w:tcW w:w="736" w:type="dxa"/>
            <w:vMerge w:val="restart"/>
            <w:tcBorders>
              <w:top w:val="nil"/>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1/2岗位可以为女性</w:t>
            </w: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65</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住院部一楼8部电梯</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6:30-21:30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66</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住院部一楼8部电梯</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6:30-21:30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67</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住院部一楼8部电梯</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6:30-21:30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68</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住院部二楼8部电梯</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7:00-20:00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69</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住院部二楼8部电梯</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7:00-20:00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测温看码</w:t>
            </w:r>
          </w:p>
        </w:tc>
        <w:tc>
          <w:tcPr>
            <w:tcW w:w="736" w:type="dxa"/>
            <w:vMerge w:val="continue"/>
            <w:tcBorders>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70</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行政楼一楼</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7:30-11:30</w:t>
            </w:r>
          </w:p>
          <w:p>
            <w:pPr>
              <w:pStyle w:val="18"/>
              <w:ind w:left="0" w:leftChars="0" w:firstLine="0" w:firstLineChars="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13:30-17:30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测温看码</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周一至周五上班</w:t>
            </w: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发热门诊（一）</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72</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发热门诊（</w:t>
            </w:r>
            <w:r>
              <w:rPr>
                <w:rStyle w:val="38"/>
                <w:rFonts w:hint="eastAsia" w:ascii="宋体" w:hAnsi="宋体" w:eastAsia="宋体" w:cs="宋体"/>
                <w:color w:val="auto"/>
                <w:highlight w:val="none"/>
              </w:rPr>
              <w:t>二</w:t>
            </w:r>
            <w:r>
              <w:rPr>
                <w:rStyle w:val="38"/>
                <w:rFonts w:hint="eastAsia" w:ascii="宋体" w:hAnsi="宋体" w:eastAsia="宋体" w:cs="宋体"/>
                <w:color w:val="auto"/>
                <w:sz w:val="24"/>
                <w:szCs w:val="24"/>
                <w:highlight w:val="none"/>
                <w:lang w:bidi="ar"/>
              </w:rPr>
              <w:t>）</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73</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八号楼东入口</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74</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八号楼一楼东</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75</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地下车库</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停车管理及交通管理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76</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院内巡逻班，8小时一班，每班4人</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全天</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96</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维持就诊秩序及处理突发事件</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77</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安保队长</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7:00-17:00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负责全面管理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78</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安保副队长</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7:00-17:00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负责交通管理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79</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安保副队长</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7:00-17:00</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负责治安管理</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300" w:hRule="atLeast"/>
        </w:trPr>
        <w:tc>
          <w:tcPr>
            <w:tcW w:w="679"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80</w:t>
            </w: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专职消防员，每班2人</w:t>
            </w: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17:00-8:00</w:t>
            </w:r>
          </w:p>
        </w:tc>
        <w:tc>
          <w:tcPr>
            <w:tcW w:w="1198" w:type="dxa"/>
            <w:tcBorders>
              <w:top w:val="nil"/>
              <w:left w:val="nil"/>
              <w:bottom w:val="single" w:color="000000" w:sz="8" w:space="0"/>
              <w:right w:val="single" w:color="000000" w:sz="8" w:space="0"/>
            </w:tcBorders>
            <w:noWrap/>
            <w:vAlign w:val="center"/>
          </w:tcPr>
          <w:p>
            <w:pPr>
              <w:widowControl/>
              <w:ind w:firstLine="360" w:firstLineChars="150"/>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30</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处理消防事件</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93" w:hRule="atLeast"/>
        </w:trPr>
        <w:tc>
          <w:tcPr>
            <w:tcW w:w="679"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color w:val="auto"/>
                <w:sz w:val="24"/>
                <w:highlight w:val="none"/>
              </w:rPr>
            </w:pPr>
          </w:p>
        </w:tc>
        <w:tc>
          <w:tcPr>
            <w:tcW w:w="167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p>
        </w:tc>
        <w:tc>
          <w:tcPr>
            <w:tcW w:w="166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1198"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929</w:t>
            </w:r>
          </w:p>
        </w:tc>
        <w:tc>
          <w:tcPr>
            <w:tcW w:w="1329"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1032</w:t>
            </w:r>
          </w:p>
        </w:tc>
        <w:tc>
          <w:tcPr>
            <w:tcW w:w="1920"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736"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16"/>
                <w:szCs w:val="16"/>
                <w:highlight w:val="none"/>
              </w:rPr>
            </w:pPr>
          </w:p>
        </w:tc>
      </w:tr>
    </w:tbl>
    <w:p>
      <w:pPr>
        <w:pageBreakBefore w:val="0"/>
        <w:kinsoku/>
        <w:wordWrap/>
        <w:overflowPunct/>
        <w:topLinePunct w:val="0"/>
        <w:autoSpaceDE/>
        <w:autoSpaceDN/>
        <w:bidi w:val="0"/>
        <w:snapToGrid/>
        <w:spacing w:line="312"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8.上表岗位均除了已经有性别备注比例说明和已有年龄要求外，其余均为男性、年龄不能大于57周岁，女性年龄不能大于55岁，每个岗位保安人员周工作时间不能超过国家法定要求。</w:t>
      </w:r>
    </w:p>
    <w:p>
      <w:pPr>
        <w:pageBreakBefore w:val="0"/>
        <w:kinsoku/>
        <w:wordWrap/>
        <w:overflowPunct/>
        <w:topLinePunct w:val="0"/>
        <w:autoSpaceDE/>
        <w:autoSpaceDN/>
        <w:bidi w:val="0"/>
        <w:snapToGrid/>
        <w:spacing w:line="312"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9.代理甲方内保服务费管理和代发内保工资。</w:t>
      </w:r>
    </w:p>
    <w:p>
      <w:pPr>
        <w:pStyle w:val="18"/>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p>
      <w:pPr>
        <w:pStyle w:val="3"/>
        <w:pageBreakBefore w:val="0"/>
        <w:kinsoku/>
        <w:wordWrap/>
        <w:overflowPunct/>
        <w:topLinePunct w:val="0"/>
        <w:autoSpaceDE/>
        <w:autoSpaceDN/>
        <w:bidi w:val="0"/>
        <w:snapToGrid/>
        <w:spacing w:before="0" w:after="0" w:line="312" w:lineRule="auto"/>
        <w:textAlignment w:val="auto"/>
        <w:rPr>
          <w:rFonts w:hint="eastAsia" w:ascii="宋体" w:hAnsi="宋体" w:eastAsia="宋体" w:cs="宋体"/>
          <w:color w:val="auto"/>
          <w:sz w:val="24"/>
          <w:szCs w:val="24"/>
          <w:highlight w:val="none"/>
        </w:rPr>
      </w:pPr>
      <w:bookmarkStart w:id="126" w:name="_Toc3327"/>
      <w:bookmarkStart w:id="127" w:name="_Toc467702155"/>
      <w:bookmarkStart w:id="128" w:name="_Toc14891"/>
      <w:bookmarkStart w:id="129" w:name="_Toc30087"/>
      <w:bookmarkStart w:id="130" w:name="_Toc18108"/>
      <w:r>
        <w:rPr>
          <w:rFonts w:hint="eastAsia" w:ascii="宋体" w:hAnsi="宋体" w:eastAsia="宋体" w:cs="宋体"/>
          <w:color w:val="auto"/>
          <w:sz w:val="24"/>
          <w:szCs w:val="24"/>
          <w:highlight w:val="none"/>
        </w:rPr>
        <w:t>五、合同服务年限</w:t>
      </w:r>
      <w:bookmarkEnd w:id="126"/>
      <w:bookmarkEnd w:id="127"/>
      <w:bookmarkEnd w:id="128"/>
      <w:bookmarkEnd w:id="129"/>
      <w:bookmarkEnd w:id="130"/>
    </w:p>
    <w:p>
      <w:pPr>
        <w:pageBreakBefore w:val="0"/>
        <w:kinsoku/>
        <w:wordWrap/>
        <w:overflowPunct/>
        <w:topLinePunct w:val="0"/>
        <w:autoSpaceDE/>
        <w:autoSpaceDN/>
        <w:bidi w:val="0"/>
        <w:snapToGrid/>
        <w:spacing w:line="312" w:lineRule="auto"/>
        <w:ind w:firstLine="482" w:firstLineChars="200"/>
        <w:textAlignment w:val="auto"/>
        <w:rPr>
          <w:rFonts w:hint="eastAsia" w:ascii="宋体" w:hAnsi="宋体" w:eastAsia="宋体" w:cs="宋体"/>
          <w:color w:val="auto"/>
          <w:sz w:val="24"/>
          <w:szCs w:val="24"/>
          <w:highlight w:val="none"/>
        </w:rPr>
      </w:pPr>
      <w:bookmarkStart w:id="131" w:name="_Toc467702156"/>
      <w:r>
        <w:rPr>
          <w:rFonts w:hint="eastAsia" w:ascii="宋体" w:hAnsi="宋体" w:eastAsia="宋体" w:cs="宋体"/>
          <w:b/>
          <w:color w:val="auto"/>
          <w:sz w:val="24"/>
          <w:szCs w:val="24"/>
          <w:highlight w:val="none"/>
        </w:rPr>
        <w:t>合同签订后一年，其中前三个月（包括在一年中）为试用期，试用期满经采购人考核合格后，合同方为有效。下一年度经采购人考核合格后可续签一年。</w:t>
      </w:r>
    </w:p>
    <w:p>
      <w:pPr>
        <w:pStyle w:val="18"/>
        <w:pageBreakBefore w:val="0"/>
        <w:kinsoku/>
        <w:wordWrap/>
        <w:overflowPunct/>
        <w:topLinePunct w:val="0"/>
        <w:autoSpaceDE/>
        <w:autoSpaceDN/>
        <w:bidi w:val="0"/>
        <w:snapToGrid/>
        <w:spacing w:line="312" w:lineRule="auto"/>
        <w:ind w:firstLine="480"/>
        <w:textAlignment w:val="auto"/>
        <w:rPr>
          <w:rFonts w:hint="eastAsia" w:ascii="宋体" w:hAnsi="宋体" w:eastAsia="宋体" w:cs="宋体"/>
          <w:color w:val="auto"/>
          <w:sz w:val="24"/>
          <w:szCs w:val="24"/>
          <w:highlight w:val="none"/>
        </w:rPr>
      </w:pPr>
    </w:p>
    <w:p>
      <w:pPr>
        <w:pStyle w:val="3"/>
        <w:pageBreakBefore w:val="0"/>
        <w:kinsoku/>
        <w:wordWrap/>
        <w:overflowPunct/>
        <w:topLinePunct w:val="0"/>
        <w:autoSpaceDE/>
        <w:autoSpaceDN/>
        <w:bidi w:val="0"/>
        <w:snapToGrid/>
        <w:spacing w:before="0" w:after="0" w:line="312" w:lineRule="auto"/>
        <w:textAlignment w:val="auto"/>
        <w:rPr>
          <w:rFonts w:hint="eastAsia" w:ascii="宋体" w:hAnsi="宋体" w:eastAsia="宋体" w:cs="宋体"/>
          <w:color w:val="auto"/>
          <w:sz w:val="24"/>
          <w:szCs w:val="24"/>
          <w:highlight w:val="none"/>
        </w:rPr>
      </w:pPr>
      <w:bookmarkStart w:id="132" w:name="_Toc978"/>
      <w:bookmarkStart w:id="133" w:name="_Toc4041"/>
      <w:bookmarkStart w:id="134" w:name="_Toc11081"/>
      <w:bookmarkStart w:id="135" w:name="_Toc22578"/>
      <w:r>
        <w:rPr>
          <w:rFonts w:hint="eastAsia" w:ascii="宋体" w:hAnsi="宋体" w:eastAsia="宋体" w:cs="宋体"/>
          <w:color w:val="auto"/>
          <w:sz w:val="24"/>
          <w:szCs w:val="24"/>
          <w:highlight w:val="none"/>
        </w:rPr>
        <w:t>六、采购人对保安服务的考核</w:t>
      </w:r>
      <w:bookmarkEnd w:id="131"/>
      <w:bookmarkEnd w:id="132"/>
      <w:bookmarkEnd w:id="133"/>
      <w:bookmarkEnd w:id="134"/>
      <w:bookmarkEnd w:id="135"/>
    </w:p>
    <w:p>
      <w:pPr>
        <w:pageBreakBefore w:val="0"/>
        <w:widowControl/>
        <w:kinsoku/>
        <w:wordWrap/>
        <w:overflowPunct/>
        <w:topLinePunct w:val="0"/>
        <w:autoSpaceDE/>
        <w:autoSpaceDN/>
        <w:bidi w:val="0"/>
        <w:snapToGrid/>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1.医院将对保安服务质量进行全过程监控，中标人日常工作不到位、不达标、或有违约现象，将依据合同约定，作出相应的违约处理与处罚。</w:t>
      </w:r>
    </w:p>
    <w:p>
      <w:pPr>
        <w:pageBreakBefore w:val="0"/>
        <w:widowControl/>
        <w:kinsoku/>
        <w:wordWrap/>
        <w:overflowPunct/>
        <w:topLinePunct w:val="0"/>
        <w:autoSpaceDE/>
        <w:autoSpaceDN/>
        <w:bidi w:val="0"/>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全年无责任事故和责任案件发生，医院每月满意度测评中对保安服务满意率在90%以上，满意度在80-89%的扣服务费10万/次，6个月满意度平均低于80%的，次年不再续签合同。</w:t>
      </w:r>
    </w:p>
    <w:p>
      <w:pPr>
        <w:pageBreakBefore w:val="0"/>
        <w:widowControl/>
        <w:kinsoku/>
        <w:wordWrap/>
        <w:overflowPunct/>
        <w:topLinePunct w:val="0"/>
        <w:autoSpaceDE/>
        <w:autoSpaceDN/>
        <w:bidi w:val="0"/>
        <w:snapToGrid/>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3.保安人员在岗履行工作职责期间，发生自身的人身伤害、伤亡，均由中标人负责处理并承担经济和道义上的责任，采购人不承担任何责任。</w:t>
      </w:r>
    </w:p>
    <w:p>
      <w:pPr>
        <w:pageBreakBefore w:val="0"/>
        <w:widowControl/>
        <w:kinsoku/>
        <w:wordWrap/>
        <w:overflowPunct/>
        <w:topLinePunct w:val="0"/>
        <w:autoSpaceDE/>
        <w:autoSpaceDN/>
        <w:bidi w:val="0"/>
        <w:snapToGrid/>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4.中标人违返国家相关法规，与聘用人员发生纠纷，均由中标人负责调解与处理，采购人不承担责任。 </w:t>
      </w:r>
    </w:p>
    <w:p>
      <w:pPr>
        <w:pageBreakBefore w:val="0"/>
        <w:widowControl/>
        <w:kinsoku/>
        <w:wordWrap/>
        <w:overflowPunct/>
        <w:topLinePunct w:val="0"/>
        <w:autoSpaceDE/>
        <w:autoSpaceDN/>
        <w:bidi w:val="0"/>
        <w:snapToGrid/>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5.中标人在保安服务中违反国家相关法规或保安行业规范，因过失造成他人人身伤亡的，均由中标人负责处理并承担经济和道义上的责任，采购人不承担任何责任。</w:t>
      </w:r>
    </w:p>
    <w:p>
      <w:pPr>
        <w:pageBreakBefore w:val="0"/>
        <w:widowControl/>
        <w:kinsoku/>
        <w:wordWrap/>
        <w:overflowPunct/>
        <w:topLinePunct w:val="0"/>
        <w:autoSpaceDE/>
        <w:autoSpaceDN/>
        <w:bidi w:val="0"/>
        <w:snapToGrid/>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6.通过上级部门的有关保安考核或上级部门有关保安方面的嘉奖，在值班期间抓获违法犯罪人员、发生突发事件保安人员处理得当，次月由院方给保安方奖励。</w:t>
      </w:r>
    </w:p>
    <w:p>
      <w:pPr>
        <w:pageBreakBefore w:val="0"/>
        <w:widowControl/>
        <w:kinsoku/>
        <w:wordWrap/>
        <w:overflowPunct/>
        <w:topLinePunct w:val="0"/>
        <w:autoSpaceDE/>
        <w:autoSpaceDN/>
        <w:bidi w:val="0"/>
        <w:snapToGrid/>
        <w:spacing w:line="312"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7.具体考核标准详见附件一。</w:t>
      </w:r>
    </w:p>
    <w:p>
      <w:pPr>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spacing w:line="360" w:lineRule="auto"/>
        <w:outlineLvl w:val="0"/>
        <w:rPr>
          <w:rFonts w:hint="eastAsia" w:ascii="宋体" w:hAnsi="宋体" w:eastAsia="宋体" w:cs="宋体"/>
          <w:color w:val="auto"/>
          <w:sz w:val="24"/>
          <w:highlight w:val="none"/>
        </w:rPr>
      </w:pPr>
      <w:bookmarkStart w:id="136" w:name="_Toc3781"/>
      <w:bookmarkStart w:id="137" w:name="_Toc19073"/>
      <w:r>
        <w:rPr>
          <w:rFonts w:hint="eastAsia" w:ascii="宋体" w:hAnsi="宋体" w:eastAsia="宋体" w:cs="宋体"/>
          <w:color w:val="auto"/>
          <w:sz w:val="24"/>
          <w:highlight w:val="none"/>
        </w:rPr>
        <w:t>附件一、嘉兴市第一医院保安人员考核处罚细则</w:t>
      </w:r>
      <w:bookmarkEnd w:id="136"/>
      <w:bookmarkEnd w:id="137"/>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4"/>
        <w:gridCol w:w="552"/>
        <w:gridCol w:w="627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noWrap w:val="0"/>
            <w:vAlign w:val="center"/>
          </w:tcPr>
          <w:p>
            <w:pPr>
              <w:ind w:left="-139" w:leftChars="-66" w:right="-139" w:rightChars="-6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552" w:type="dxa"/>
            <w:noWrap w:val="0"/>
            <w:vAlign w:val="center"/>
          </w:tcPr>
          <w:p>
            <w:pPr>
              <w:ind w:left="-139" w:leftChars="-66" w:right="-139" w:rightChars="-6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278" w:type="dxa"/>
            <w:noWrap w:val="0"/>
            <w:vAlign w:val="center"/>
          </w:tcPr>
          <w:p>
            <w:pPr>
              <w:ind w:left="-139" w:leftChars="-66" w:right="-139" w:rightChars="-6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扣 款 项 目</w:t>
            </w:r>
          </w:p>
        </w:tc>
        <w:tc>
          <w:tcPr>
            <w:tcW w:w="1318" w:type="dxa"/>
            <w:noWrap w:val="0"/>
            <w:vAlign w:val="center"/>
          </w:tcPr>
          <w:p>
            <w:pPr>
              <w:ind w:left="-139" w:leftChars="-66" w:right="-139" w:rightChars="-6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restart"/>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仪</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表</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卫</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生</w:t>
            </w: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仪表不端庄</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不按规定着装</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留长发</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不戴证上岗</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当班值班室、休息室内务杂乱、不整洁，未搞卫生</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restart"/>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纪</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律</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求</w:t>
            </w:r>
          </w:p>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当班未请假擅自离开岗位</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当班睡觉</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不按时接班</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当班喝酒或酒后失态，造成不良影响</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容留闲杂人员在值班室或保安休息室内抽烟、睡觉或聊天</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破坏同事团结，制造内部纷争</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不按医院要求管理好职工及外来探视人员的车辆停放</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当班不维护医院秩序，致使医疗工作受到干扰</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不服从领导安排，不执行指令，组织纪律性差</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利用工作之便，索要他人及下属财物，侵占公私小便宜</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restart"/>
            <w:noWrap w:val="0"/>
            <w:vAlign w:val="center"/>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作</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质</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量</w:t>
            </w: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当班不维护院门秩序，造成混乱</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在上班期间不按规定站岗</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上下班高峰期不站岗，不维护院门交通秩序</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不按规定对外来人员进行来访登记</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不按规定控制和查验出入的各类车辆</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当班不定时巡逻，巡逻不到位</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当班不按医院要求，造成水电浪费</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院内发生治安刑事案件、纠纷或打架不及时处理</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不按规定填写值班日志</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违反对讲机使用规定</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对来访者态度粗暴，未能使用礼貌语言</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职工人身安全受到威胁或发生意外事故，坐视不理</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遇突发性事件、安全隐患不及时处理和报告，推御责任</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当班玩忽职守，疏于防范，致使发生安全事故</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在突发性事件或紧急情况下，临阵脱逃或坐视不管</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值班时听收音机，收看电视或进行其他与值班无关的事情</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擅离职守，经常迟到、早退</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未按时交接班，或不按有关规定进行交接班</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交接班不清楚，检查时相互推卸责任</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未经保安公司批准，私自顶班</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扣留物品不登记，不上交；捡拾物品不报告，不上交</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直接解聘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37</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对医院和安全保卫部领导下达的工作任务，未能如期完成，而又没有正当理由</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38</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违反保安器材使用规定，私自随便转借和使用</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故意损坏配发值班使用的器械或其它物品</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40</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法制观念淡薄，参与聚众闹事、嫖娼、赌博等，与治安工作人员的应有素质极不相称</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直接解聘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思想不纯，见利忘义，监守自盗或以权谋私，严重损坏医院形象</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直接解聘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工作责任心不强，不服从分配，不执行规章制度，并随意顶撞领导且屡教不改</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直接解聘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4" w:type="dxa"/>
            <w:vMerge w:val="continue"/>
            <w:noWrap w:val="0"/>
            <w:vAlign w:val="center"/>
          </w:tcPr>
          <w:p>
            <w:pPr>
              <w:rPr>
                <w:rFonts w:hint="eastAsia" w:ascii="宋体" w:hAnsi="宋体" w:eastAsia="宋体" w:cs="宋体"/>
                <w:color w:val="auto"/>
                <w:sz w:val="24"/>
                <w:highlight w:val="none"/>
              </w:rPr>
            </w:pPr>
          </w:p>
        </w:tc>
        <w:tc>
          <w:tcPr>
            <w:tcW w:w="552"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43</w:t>
            </w:r>
          </w:p>
        </w:tc>
        <w:tc>
          <w:tcPr>
            <w:tcW w:w="6278"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其它未列入的违纪行为视情节轻重扣分，重者辞退</w:t>
            </w:r>
          </w:p>
        </w:tc>
        <w:tc>
          <w:tcPr>
            <w:tcW w:w="131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视情况处理</w:t>
            </w:r>
          </w:p>
        </w:tc>
      </w:tr>
    </w:tbl>
    <w:p>
      <w:pPr>
        <w:pStyle w:val="18"/>
        <w:ind w:left="0" w:leftChars="0" w:firstLine="0" w:firstLineChars="0"/>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outlineLvl w:val="0"/>
        <w:rPr>
          <w:rFonts w:hint="eastAsia" w:ascii="宋体" w:hAnsi="宋体" w:eastAsia="宋体" w:cs="宋体"/>
          <w:b/>
          <w:color w:val="auto"/>
          <w:sz w:val="36"/>
          <w:szCs w:val="36"/>
          <w:highlight w:val="none"/>
        </w:rPr>
      </w:pPr>
      <w:bookmarkStart w:id="138" w:name="_Toc7002"/>
      <w:bookmarkStart w:id="139" w:name="_Toc30804"/>
      <w:r>
        <w:rPr>
          <w:rFonts w:hint="eastAsia" w:ascii="宋体" w:hAnsi="宋体" w:eastAsia="宋体" w:cs="宋体"/>
          <w:b/>
          <w:color w:val="auto"/>
          <w:sz w:val="36"/>
          <w:szCs w:val="36"/>
          <w:highlight w:val="none"/>
        </w:rPr>
        <w:t xml:space="preserve">第四部分   </w:t>
      </w:r>
      <w:bookmarkStart w:id="140" w:name="_Toc184310332"/>
      <w:bookmarkEnd w:id="140"/>
      <w:bookmarkStart w:id="141" w:name="_Toc184314458"/>
      <w:bookmarkEnd w:id="141"/>
      <w:bookmarkStart w:id="142" w:name="_Toc184314479"/>
      <w:bookmarkEnd w:id="142"/>
      <w:bookmarkStart w:id="143" w:name="_Toc184310339"/>
      <w:bookmarkEnd w:id="143"/>
      <w:bookmarkStart w:id="144" w:name="_Toc184308073"/>
      <w:bookmarkEnd w:id="144"/>
      <w:bookmarkStart w:id="145" w:name="_Toc184312119"/>
      <w:bookmarkEnd w:id="145"/>
      <w:bookmarkStart w:id="146" w:name="_Toc184310318"/>
      <w:bookmarkEnd w:id="146"/>
      <w:bookmarkStart w:id="147" w:name="_Toc184314472"/>
      <w:bookmarkEnd w:id="147"/>
      <w:bookmarkStart w:id="148" w:name="_Toc184314442"/>
      <w:bookmarkEnd w:id="148"/>
      <w:bookmarkStart w:id="149" w:name="_Toc184312101"/>
      <w:bookmarkEnd w:id="149"/>
      <w:bookmarkStart w:id="150" w:name="_Toc184312069"/>
      <w:bookmarkEnd w:id="150"/>
      <w:bookmarkStart w:id="151" w:name="_Toc184314431"/>
      <w:bookmarkEnd w:id="151"/>
      <w:bookmarkStart w:id="152" w:name="_Toc184308075"/>
      <w:bookmarkEnd w:id="152"/>
      <w:bookmarkStart w:id="153" w:name="_Toc184308095"/>
      <w:bookmarkEnd w:id="153"/>
      <w:bookmarkStart w:id="154" w:name="_Toc184313280"/>
      <w:bookmarkEnd w:id="154"/>
      <w:bookmarkStart w:id="155" w:name="_Toc184312086"/>
      <w:bookmarkEnd w:id="155"/>
      <w:bookmarkStart w:id="156" w:name="_Toc184310316"/>
      <w:bookmarkEnd w:id="156"/>
      <w:bookmarkStart w:id="157" w:name="_Toc184313277"/>
      <w:bookmarkEnd w:id="157"/>
      <w:bookmarkStart w:id="158" w:name="_Toc184310317"/>
      <w:bookmarkEnd w:id="158"/>
      <w:bookmarkStart w:id="159" w:name="_Toc184310279"/>
      <w:bookmarkEnd w:id="159"/>
      <w:bookmarkStart w:id="160" w:name="_Toc184310335"/>
      <w:bookmarkEnd w:id="160"/>
      <w:bookmarkStart w:id="161" w:name="_Toc184308082"/>
      <w:bookmarkEnd w:id="161"/>
      <w:bookmarkStart w:id="162" w:name="_Toc184313272"/>
      <w:bookmarkEnd w:id="162"/>
      <w:bookmarkStart w:id="163" w:name="_Toc184313273"/>
      <w:bookmarkEnd w:id="163"/>
      <w:bookmarkStart w:id="164" w:name="_Toc184308052"/>
      <w:bookmarkEnd w:id="164"/>
      <w:bookmarkStart w:id="165" w:name="_Toc184314454"/>
      <w:bookmarkEnd w:id="165"/>
      <w:bookmarkStart w:id="166" w:name="_Toc184310336"/>
      <w:bookmarkEnd w:id="166"/>
      <w:bookmarkStart w:id="167" w:name="_Toc184308061"/>
      <w:bookmarkEnd w:id="167"/>
      <w:bookmarkStart w:id="168" w:name="_Toc184313279"/>
      <w:bookmarkEnd w:id="168"/>
      <w:bookmarkStart w:id="169" w:name="_Toc184308105"/>
      <w:bookmarkEnd w:id="169"/>
      <w:bookmarkStart w:id="170" w:name="_Toc184312100"/>
      <w:bookmarkEnd w:id="170"/>
      <w:bookmarkStart w:id="171" w:name="_Toc184310300"/>
      <w:bookmarkEnd w:id="171"/>
      <w:bookmarkStart w:id="172" w:name="_Toc184308083"/>
      <w:bookmarkEnd w:id="172"/>
      <w:bookmarkStart w:id="173" w:name="_Toc184314413"/>
      <w:bookmarkEnd w:id="173"/>
      <w:bookmarkStart w:id="174" w:name="_Toc184313299"/>
      <w:bookmarkEnd w:id="174"/>
      <w:bookmarkStart w:id="175" w:name="_Toc184314449"/>
      <w:bookmarkEnd w:id="175"/>
      <w:bookmarkStart w:id="176" w:name="_Toc184308056"/>
      <w:bookmarkEnd w:id="176"/>
      <w:bookmarkStart w:id="177" w:name="_Toc184313267"/>
      <w:bookmarkEnd w:id="177"/>
      <w:bookmarkStart w:id="178" w:name="_Toc184313264"/>
      <w:bookmarkEnd w:id="178"/>
      <w:bookmarkStart w:id="179" w:name="_Toc184312081"/>
      <w:bookmarkEnd w:id="179"/>
      <w:bookmarkStart w:id="180" w:name="_Toc184310315"/>
      <w:bookmarkEnd w:id="180"/>
      <w:bookmarkStart w:id="181" w:name="_Toc184314478"/>
      <w:bookmarkEnd w:id="181"/>
      <w:bookmarkStart w:id="182" w:name="_Toc184313263"/>
      <w:bookmarkEnd w:id="182"/>
      <w:bookmarkStart w:id="183" w:name="_Toc184310297"/>
      <w:bookmarkEnd w:id="183"/>
      <w:bookmarkStart w:id="184" w:name="_Toc184313256"/>
      <w:bookmarkEnd w:id="184"/>
      <w:bookmarkStart w:id="185" w:name="_Toc184314436"/>
      <w:bookmarkEnd w:id="185"/>
      <w:bookmarkStart w:id="186" w:name="_Toc184310324"/>
      <w:bookmarkEnd w:id="186"/>
      <w:bookmarkStart w:id="187" w:name="_Toc184308108"/>
      <w:bookmarkEnd w:id="187"/>
      <w:bookmarkStart w:id="188" w:name="_Toc184312097"/>
      <w:bookmarkEnd w:id="188"/>
      <w:bookmarkStart w:id="189" w:name="_Toc184314410"/>
      <w:bookmarkEnd w:id="189"/>
      <w:bookmarkStart w:id="190" w:name="_Toc184312089"/>
      <w:bookmarkEnd w:id="190"/>
      <w:bookmarkStart w:id="191" w:name="_Toc184313262"/>
      <w:bookmarkEnd w:id="191"/>
      <w:bookmarkStart w:id="192" w:name="_Toc184310310"/>
      <w:bookmarkEnd w:id="192"/>
      <w:bookmarkStart w:id="193" w:name="_Toc184310274"/>
      <w:bookmarkEnd w:id="193"/>
      <w:bookmarkStart w:id="194" w:name="_Toc184308058"/>
      <w:bookmarkEnd w:id="194"/>
      <w:bookmarkStart w:id="195" w:name="_Toc184312077"/>
      <w:bookmarkEnd w:id="195"/>
      <w:bookmarkStart w:id="196" w:name="_Toc184312084"/>
      <w:bookmarkEnd w:id="196"/>
      <w:bookmarkStart w:id="197" w:name="_Toc184314434"/>
      <w:bookmarkEnd w:id="197"/>
      <w:bookmarkStart w:id="198" w:name="_Toc184314411"/>
      <w:bookmarkEnd w:id="198"/>
      <w:bookmarkStart w:id="199" w:name="_Toc184313293"/>
      <w:bookmarkEnd w:id="199"/>
      <w:bookmarkStart w:id="200" w:name="_Toc184314450"/>
      <w:bookmarkEnd w:id="200"/>
      <w:bookmarkStart w:id="201" w:name="_Toc184312090"/>
      <w:bookmarkEnd w:id="201"/>
      <w:bookmarkStart w:id="202" w:name="_Toc184310288"/>
      <w:bookmarkEnd w:id="202"/>
      <w:bookmarkStart w:id="203" w:name="_Toc184313310"/>
      <w:bookmarkEnd w:id="203"/>
      <w:bookmarkStart w:id="204" w:name="_Toc184314418"/>
      <w:bookmarkEnd w:id="204"/>
      <w:bookmarkStart w:id="205" w:name="_Toc184310284"/>
      <w:bookmarkEnd w:id="205"/>
      <w:bookmarkStart w:id="206" w:name="_Toc184310290"/>
      <w:bookmarkEnd w:id="206"/>
      <w:bookmarkStart w:id="207" w:name="_Toc184308104"/>
      <w:bookmarkEnd w:id="207"/>
      <w:bookmarkStart w:id="208" w:name="_Toc184308080"/>
      <w:bookmarkEnd w:id="208"/>
      <w:bookmarkStart w:id="209" w:name="_Toc184310342"/>
      <w:bookmarkEnd w:id="209"/>
      <w:bookmarkStart w:id="210" w:name="_Toc184308038"/>
      <w:bookmarkEnd w:id="210"/>
      <w:bookmarkStart w:id="211" w:name="_Toc184313298"/>
      <w:bookmarkEnd w:id="211"/>
      <w:bookmarkStart w:id="212" w:name="_Toc184310282"/>
      <w:bookmarkEnd w:id="212"/>
      <w:bookmarkStart w:id="213" w:name="_Toc184312116"/>
      <w:bookmarkEnd w:id="213"/>
      <w:bookmarkStart w:id="214" w:name="_Toc184308078"/>
      <w:bookmarkEnd w:id="214"/>
      <w:bookmarkStart w:id="215" w:name="_Toc184313260"/>
      <w:bookmarkEnd w:id="215"/>
      <w:bookmarkStart w:id="216" w:name="_Toc184308071"/>
      <w:bookmarkEnd w:id="216"/>
      <w:bookmarkStart w:id="217" w:name="_Toc184314474"/>
      <w:bookmarkEnd w:id="217"/>
      <w:bookmarkStart w:id="218" w:name="_Toc184314455"/>
      <w:bookmarkEnd w:id="218"/>
      <w:bookmarkStart w:id="219" w:name="_Toc184308045"/>
      <w:bookmarkEnd w:id="219"/>
      <w:bookmarkStart w:id="220" w:name="_Toc184308064"/>
      <w:bookmarkEnd w:id="220"/>
      <w:bookmarkStart w:id="221" w:name="_Toc184308039"/>
      <w:bookmarkEnd w:id="221"/>
      <w:bookmarkStart w:id="222" w:name="_Toc184308081"/>
      <w:bookmarkEnd w:id="222"/>
      <w:bookmarkStart w:id="223" w:name="_Toc184310286"/>
      <w:bookmarkEnd w:id="223"/>
      <w:bookmarkStart w:id="224" w:name="_Toc184308055"/>
      <w:bookmarkEnd w:id="224"/>
      <w:bookmarkStart w:id="225" w:name="_Toc184312129"/>
      <w:bookmarkEnd w:id="225"/>
      <w:bookmarkStart w:id="226" w:name="_Toc184314482"/>
      <w:bookmarkEnd w:id="226"/>
      <w:bookmarkStart w:id="227" w:name="_Toc184313252"/>
      <w:bookmarkEnd w:id="227"/>
      <w:bookmarkStart w:id="228" w:name="_Toc184313291"/>
      <w:bookmarkEnd w:id="228"/>
      <w:bookmarkStart w:id="229" w:name="_Toc184313246"/>
      <w:bookmarkEnd w:id="229"/>
      <w:bookmarkStart w:id="230" w:name="_Toc184314452"/>
      <w:bookmarkEnd w:id="230"/>
      <w:bookmarkStart w:id="231" w:name="_Toc184310296"/>
      <w:bookmarkEnd w:id="231"/>
      <w:bookmarkStart w:id="232" w:name="_Toc184312115"/>
      <w:bookmarkEnd w:id="232"/>
      <w:bookmarkStart w:id="233" w:name="_Toc184308076"/>
      <w:bookmarkEnd w:id="233"/>
      <w:bookmarkStart w:id="234" w:name="_Toc184310334"/>
      <w:bookmarkEnd w:id="234"/>
      <w:bookmarkStart w:id="235" w:name="_Toc184313242"/>
      <w:bookmarkEnd w:id="235"/>
      <w:bookmarkStart w:id="236" w:name="_Toc184312138"/>
      <w:bookmarkEnd w:id="236"/>
      <w:bookmarkStart w:id="237" w:name="_Toc184314417"/>
      <w:bookmarkEnd w:id="237"/>
      <w:bookmarkStart w:id="238" w:name="_Toc184313292"/>
      <w:bookmarkEnd w:id="238"/>
      <w:bookmarkStart w:id="239" w:name="_Toc184308084"/>
      <w:bookmarkEnd w:id="239"/>
      <w:bookmarkStart w:id="240" w:name="_Toc184310328"/>
      <w:bookmarkEnd w:id="240"/>
      <w:bookmarkStart w:id="241" w:name="_Toc184308092"/>
      <w:bookmarkEnd w:id="241"/>
      <w:bookmarkStart w:id="242" w:name="_Toc184314459"/>
      <w:bookmarkEnd w:id="242"/>
      <w:bookmarkStart w:id="243" w:name="_Toc184310325"/>
      <w:bookmarkEnd w:id="243"/>
      <w:bookmarkStart w:id="244" w:name="_Toc184308090"/>
      <w:bookmarkEnd w:id="244"/>
      <w:bookmarkStart w:id="245" w:name="_Toc184314446"/>
      <w:bookmarkEnd w:id="245"/>
      <w:bookmarkStart w:id="246" w:name="_Toc184310307"/>
      <w:bookmarkEnd w:id="246"/>
      <w:bookmarkStart w:id="247" w:name="_Toc184312088"/>
      <w:bookmarkEnd w:id="247"/>
      <w:bookmarkStart w:id="248" w:name="_Toc184310308"/>
      <w:bookmarkEnd w:id="248"/>
      <w:bookmarkStart w:id="249" w:name="_Toc184308066"/>
      <w:bookmarkEnd w:id="249"/>
      <w:bookmarkStart w:id="250" w:name="_Toc184310276"/>
      <w:bookmarkEnd w:id="250"/>
      <w:bookmarkStart w:id="251" w:name="_Toc184310291"/>
      <w:bookmarkEnd w:id="251"/>
      <w:bookmarkStart w:id="252" w:name="_Toc184313270"/>
      <w:bookmarkEnd w:id="252"/>
      <w:bookmarkStart w:id="253" w:name="_Toc184313265"/>
      <w:bookmarkEnd w:id="253"/>
      <w:bookmarkStart w:id="254" w:name="_Toc184314428"/>
      <w:bookmarkEnd w:id="254"/>
      <w:bookmarkStart w:id="255" w:name="_Toc184310278"/>
      <w:bookmarkEnd w:id="255"/>
      <w:bookmarkStart w:id="256" w:name="_Toc184308054"/>
      <w:bookmarkEnd w:id="256"/>
      <w:bookmarkStart w:id="257" w:name="_Toc184314419"/>
      <w:bookmarkEnd w:id="257"/>
      <w:bookmarkStart w:id="258" w:name="_Toc184313253"/>
      <w:bookmarkEnd w:id="258"/>
      <w:bookmarkStart w:id="259" w:name="_Toc184314462"/>
      <w:bookmarkEnd w:id="259"/>
      <w:bookmarkStart w:id="260" w:name="_Toc184314445"/>
      <w:bookmarkEnd w:id="260"/>
      <w:bookmarkStart w:id="261" w:name="_Toc184314457"/>
      <w:bookmarkEnd w:id="261"/>
      <w:bookmarkStart w:id="262" w:name="_Toc184310344"/>
      <w:bookmarkEnd w:id="262"/>
      <w:bookmarkStart w:id="263" w:name="_Toc184310281"/>
      <w:bookmarkEnd w:id="263"/>
      <w:bookmarkStart w:id="264" w:name="_Toc184314475"/>
      <w:bookmarkEnd w:id="264"/>
      <w:bookmarkStart w:id="265" w:name="_Toc184312133"/>
      <w:bookmarkEnd w:id="265"/>
      <w:bookmarkStart w:id="266" w:name="_Toc184314429"/>
      <w:bookmarkEnd w:id="266"/>
      <w:bookmarkStart w:id="267" w:name="_Toc184308094"/>
      <w:bookmarkEnd w:id="267"/>
      <w:bookmarkStart w:id="268" w:name="_Toc184314451"/>
      <w:bookmarkEnd w:id="268"/>
      <w:bookmarkStart w:id="269" w:name="_Toc184314433"/>
      <w:bookmarkEnd w:id="269"/>
      <w:bookmarkStart w:id="270" w:name="_Toc184313300"/>
      <w:bookmarkEnd w:id="270"/>
      <w:bookmarkStart w:id="271" w:name="_Toc184314412"/>
      <w:bookmarkEnd w:id="271"/>
      <w:bookmarkStart w:id="272" w:name="_Toc184312134"/>
      <w:bookmarkEnd w:id="272"/>
      <w:bookmarkStart w:id="273" w:name="_Toc184310294"/>
      <w:bookmarkEnd w:id="273"/>
      <w:bookmarkStart w:id="274" w:name="_Toc184312102"/>
      <w:bookmarkEnd w:id="274"/>
      <w:bookmarkStart w:id="275" w:name="_Toc184312110"/>
      <w:bookmarkEnd w:id="275"/>
      <w:bookmarkStart w:id="276" w:name="_Toc184313296"/>
      <w:bookmarkEnd w:id="276"/>
      <w:bookmarkStart w:id="277" w:name="_Toc184310305"/>
      <w:bookmarkEnd w:id="277"/>
      <w:bookmarkStart w:id="278" w:name="_Toc184312083"/>
      <w:bookmarkEnd w:id="278"/>
      <w:bookmarkStart w:id="279" w:name="_Toc184312105"/>
      <w:bookmarkEnd w:id="279"/>
      <w:bookmarkStart w:id="280" w:name="_Toc184314439"/>
      <w:bookmarkEnd w:id="280"/>
      <w:bookmarkStart w:id="281" w:name="_Toc184312104"/>
      <w:bookmarkEnd w:id="281"/>
      <w:bookmarkStart w:id="282" w:name="_Toc184310298"/>
      <w:bookmarkEnd w:id="282"/>
      <w:bookmarkStart w:id="283" w:name="_Toc184308077"/>
      <w:bookmarkEnd w:id="283"/>
      <w:bookmarkStart w:id="284" w:name="_Toc184313303"/>
      <w:bookmarkEnd w:id="284"/>
      <w:bookmarkStart w:id="285" w:name="_Toc184313283"/>
      <w:bookmarkEnd w:id="285"/>
      <w:bookmarkStart w:id="286" w:name="_Toc184312067"/>
      <w:bookmarkEnd w:id="286"/>
      <w:bookmarkStart w:id="287" w:name="_Toc184310313"/>
      <w:bookmarkEnd w:id="287"/>
      <w:bookmarkStart w:id="288" w:name="_Toc184312073"/>
      <w:bookmarkEnd w:id="288"/>
      <w:bookmarkStart w:id="289" w:name="_Toc184313285"/>
      <w:bookmarkEnd w:id="289"/>
      <w:bookmarkStart w:id="290" w:name="_Toc184314438"/>
      <w:bookmarkEnd w:id="290"/>
      <w:bookmarkStart w:id="291" w:name="_Toc184314466"/>
      <w:bookmarkEnd w:id="291"/>
      <w:bookmarkStart w:id="292" w:name="_Toc184314465"/>
      <w:bookmarkEnd w:id="292"/>
      <w:bookmarkStart w:id="293" w:name="_Toc184308053"/>
      <w:bookmarkEnd w:id="293"/>
      <w:bookmarkStart w:id="294" w:name="_Toc184314443"/>
      <w:bookmarkEnd w:id="294"/>
      <w:bookmarkStart w:id="295" w:name="_Toc184308100"/>
      <w:bookmarkEnd w:id="295"/>
      <w:bookmarkStart w:id="296" w:name="_Toc184313290"/>
      <w:bookmarkEnd w:id="296"/>
      <w:bookmarkStart w:id="297" w:name="_Toc184308063"/>
      <w:bookmarkEnd w:id="297"/>
      <w:bookmarkStart w:id="298" w:name="_Toc184310280"/>
      <w:bookmarkEnd w:id="298"/>
      <w:bookmarkStart w:id="299" w:name="_Toc184312132"/>
      <w:bookmarkEnd w:id="299"/>
      <w:bookmarkStart w:id="300" w:name="_Toc184312087"/>
      <w:bookmarkEnd w:id="300"/>
      <w:bookmarkStart w:id="301" w:name="_Toc184310323"/>
      <w:bookmarkEnd w:id="301"/>
      <w:bookmarkStart w:id="302" w:name="_Toc184310327"/>
      <w:bookmarkEnd w:id="302"/>
      <w:bookmarkStart w:id="303" w:name="_Toc184308040"/>
      <w:bookmarkEnd w:id="303"/>
      <w:bookmarkStart w:id="304" w:name="_Toc184310312"/>
      <w:bookmarkEnd w:id="304"/>
      <w:bookmarkStart w:id="305" w:name="_Toc184313302"/>
      <w:bookmarkEnd w:id="305"/>
      <w:bookmarkStart w:id="306" w:name="_Toc184308036"/>
      <w:bookmarkEnd w:id="306"/>
      <w:bookmarkStart w:id="307" w:name="_Toc184313261"/>
      <w:bookmarkEnd w:id="307"/>
      <w:bookmarkStart w:id="308" w:name="_Toc184313276"/>
      <w:bookmarkEnd w:id="308"/>
      <w:bookmarkStart w:id="309" w:name="_Toc184310333"/>
      <w:bookmarkEnd w:id="309"/>
      <w:bookmarkStart w:id="310" w:name="_Toc184313297"/>
      <w:bookmarkEnd w:id="310"/>
      <w:bookmarkStart w:id="311" w:name="_Toc184308067"/>
      <w:bookmarkEnd w:id="311"/>
      <w:bookmarkStart w:id="312" w:name="_Toc184310273"/>
      <w:bookmarkEnd w:id="312"/>
      <w:bookmarkStart w:id="313" w:name="_Toc184312075"/>
      <w:bookmarkEnd w:id="313"/>
      <w:bookmarkStart w:id="314" w:name="_Toc184312121"/>
      <w:bookmarkEnd w:id="314"/>
      <w:bookmarkStart w:id="315" w:name="_Toc184312137"/>
      <w:bookmarkEnd w:id="315"/>
      <w:bookmarkStart w:id="316" w:name="_Toc184312082"/>
      <w:bookmarkEnd w:id="316"/>
      <w:bookmarkStart w:id="317" w:name="_Toc184313287"/>
      <w:bookmarkEnd w:id="317"/>
      <w:bookmarkStart w:id="318" w:name="_Toc184308046"/>
      <w:bookmarkEnd w:id="318"/>
      <w:bookmarkStart w:id="319" w:name="_Toc184310331"/>
      <w:bookmarkEnd w:id="319"/>
      <w:bookmarkStart w:id="320" w:name="_Toc184314421"/>
      <w:bookmarkEnd w:id="320"/>
      <w:bookmarkStart w:id="321" w:name="_Toc184313286"/>
      <w:bookmarkEnd w:id="321"/>
      <w:bookmarkStart w:id="322" w:name="_Toc184308088"/>
      <w:bookmarkEnd w:id="322"/>
      <w:bookmarkStart w:id="323" w:name="_Toc184314425"/>
      <w:bookmarkEnd w:id="323"/>
      <w:bookmarkStart w:id="324" w:name="_Toc184313258"/>
      <w:bookmarkEnd w:id="324"/>
      <w:bookmarkStart w:id="325" w:name="_Toc184310272"/>
      <w:bookmarkEnd w:id="325"/>
      <w:bookmarkStart w:id="326" w:name="_Toc184312117"/>
      <w:bookmarkEnd w:id="326"/>
      <w:bookmarkStart w:id="327" w:name="_Toc184312118"/>
      <w:bookmarkEnd w:id="327"/>
      <w:bookmarkStart w:id="328" w:name="_Toc184310322"/>
      <w:bookmarkEnd w:id="328"/>
      <w:bookmarkStart w:id="329" w:name="_Toc184314477"/>
      <w:bookmarkEnd w:id="329"/>
      <w:bookmarkStart w:id="330" w:name="_Toc184308050"/>
      <w:bookmarkEnd w:id="330"/>
      <w:bookmarkStart w:id="331" w:name="_Toc184312131"/>
      <w:bookmarkEnd w:id="331"/>
      <w:bookmarkStart w:id="332" w:name="_Toc184312120"/>
      <w:bookmarkEnd w:id="332"/>
      <w:bookmarkStart w:id="333" w:name="_Toc184313257"/>
      <w:bookmarkEnd w:id="333"/>
      <w:bookmarkStart w:id="334" w:name="_Toc184310295"/>
      <w:bookmarkEnd w:id="334"/>
      <w:bookmarkStart w:id="335" w:name="_Toc184308060"/>
      <w:bookmarkEnd w:id="335"/>
      <w:bookmarkStart w:id="336" w:name="_Toc184314420"/>
      <w:bookmarkEnd w:id="336"/>
      <w:bookmarkStart w:id="337" w:name="_Toc184312111"/>
      <w:bookmarkEnd w:id="337"/>
      <w:bookmarkStart w:id="338" w:name="_Toc184308098"/>
      <w:bookmarkEnd w:id="338"/>
      <w:bookmarkStart w:id="339" w:name="_Toc184308097"/>
      <w:bookmarkEnd w:id="339"/>
      <w:bookmarkStart w:id="340" w:name="_Toc184314430"/>
      <w:bookmarkEnd w:id="340"/>
      <w:bookmarkStart w:id="341" w:name="_Toc184313248"/>
      <w:bookmarkEnd w:id="341"/>
      <w:bookmarkStart w:id="342" w:name="_Toc184308085"/>
      <w:bookmarkEnd w:id="342"/>
      <w:bookmarkStart w:id="343" w:name="_Toc184308074"/>
      <w:bookmarkEnd w:id="343"/>
      <w:bookmarkStart w:id="344" w:name="_Toc184310319"/>
      <w:bookmarkEnd w:id="344"/>
      <w:bookmarkStart w:id="345" w:name="_Toc184314424"/>
      <w:bookmarkEnd w:id="345"/>
      <w:bookmarkStart w:id="346" w:name="_Toc184312099"/>
      <w:bookmarkEnd w:id="346"/>
      <w:bookmarkStart w:id="347" w:name="_Toc184313295"/>
      <w:bookmarkEnd w:id="347"/>
      <w:bookmarkStart w:id="348" w:name="_Toc184310304"/>
      <w:bookmarkEnd w:id="348"/>
      <w:bookmarkStart w:id="349" w:name="_Toc184313250"/>
      <w:bookmarkEnd w:id="349"/>
      <w:bookmarkStart w:id="350" w:name="_Toc184313245"/>
      <w:bookmarkEnd w:id="350"/>
      <w:bookmarkStart w:id="351" w:name="_Toc184310314"/>
      <w:bookmarkEnd w:id="351"/>
      <w:bookmarkStart w:id="352" w:name="_Toc184312070"/>
      <w:bookmarkEnd w:id="352"/>
      <w:bookmarkStart w:id="353" w:name="_Toc184312096"/>
      <w:bookmarkEnd w:id="353"/>
      <w:bookmarkStart w:id="354" w:name="_Toc184308091"/>
      <w:bookmarkEnd w:id="354"/>
      <w:bookmarkStart w:id="355" w:name="_Toc184312085"/>
      <w:bookmarkEnd w:id="355"/>
      <w:bookmarkStart w:id="356" w:name="_Toc184314480"/>
      <w:bookmarkEnd w:id="356"/>
      <w:bookmarkStart w:id="357" w:name="_Toc184310343"/>
      <w:bookmarkEnd w:id="357"/>
      <w:bookmarkStart w:id="358" w:name="_Toc184308043"/>
      <w:bookmarkEnd w:id="358"/>
      <w:bookmarkStart w:id="359" w:name="_Toc184313241"/>
      <w:bookmarkEnd w:id="359"/>
      <w:bookmarkStart w:id="360" w:name="_Toc184308069"/>
      <w:bookmarkEnd w:id="360"/>
      <w:bookmarkStart w:id="361" w:name="_Toc184308106"/>
      <w:bookmarkEnd w:id="361"/>
      <w:bookmarkStart w:id="362" w:name="_Toc184308093"/>
      <w:bookmarkEnd w:id="362"/>
      <w:bookmarkStart w:id="363" w:name="_Toc184312092"/>
      <w:bookmarkEnd w:id="363"/>
      <w:bookmarkStart w:id="364" w:name="_Toc184308103"/>
      <w:bookmarkEnd w:id="364"/>
      <w:bookmarkStart w:id="365" w:name="_Toc184313269"/>
      <w:bookmarkEnd w:id="365"/>
      <w:bookmarkStart w:id="366" w:name="_Toc184313294"/>
      <w:bookmarkEnd w:id="366"/>
      <w:bookmarkStart w:id="367" w:name="_Toc184314437"/>
      <w:bookmarkEnd w:id="367"/>
      <w:bookmarkStart w:id="368" w:name="_Toc184310289"/>
      <w:bookmarkEnd w:id="368"/>
      <w:bookmarkStart w:id="369" w:name="_Toc184312127"/>
      <w:bookmarkEnd w:id="369"/>
      <w:bookmarkStart w:id="370" w:name="_Toc184313271"/>
      <w:bookmarkEnd w:id="370"/>
      <w:bookmarkStart w:id="371" w:name="_Toc184312072"/>
      <w:bookmarkEnd w:id="371"/>
      <w:bookmarkStart w:id="372" w:name="_Toc184314464"/>
      <w:bookmarkEnd w:id="372"/>
      <w:bookmarkStart w:id="373" w:name="_Toc184313274"/>
      <w:bookmarkEnd w:id="373"/>
      <w:bookmarkStart w:id="374" w:name="_Toc184312103"/>
      <w:bookmarkEnd w:id="374"/>
      <w:bookmarkStart w:id="375" w:name="_Toc184314416"/>
      <w:bookmarkEnd w:id="375"/>
      <w:bookmarkStart w:id="376" w:name="_Toc184312135"/>
      <w:bookmarkEnd w:id="376"/>
      <w:bookmarkStart w:id="377" w:name="_Toc184313288"/>
      <w:bookmarkEnd w:id="377"/>
      <w:bookmarkStart w:id="378" w:name="_Toc184310285"/>
      <w:bookmarkEnd w:id="378"/>
      <w:bookmarkStart w:id="379" w:name="_Toc184310301"/>
      <w:bookmarkEnd w:id="379"/>
      <w:bookmarkStart w:id="380" w:name="_Toc184312113"/>
      <w:bookmarkEnd w:id="380"/>
      <w:bookmarkStart w:id="381" w:name="_Toc184310275"/>
      <w:bookmarkEnd w:id="381"/>
      <w:bookmarkStart w:id="382" w:name="_Toc184308102"/>
      <w:bookmarkEnd w:id="382"/>
      <w:bookmarkStart w:id="383" w:name="_Toc184312078"/>
      <w:bookmarkEnd w:id="383"/>
      <w:bookmarkStart w:id="384" w:name="_Toc184313308"/>
      <w:bookmarkEnd w:id="384"/>
      <w:bookmarkStart w:id="385" w:name="_Toc184308042"/>
      <w:bookmarkEnd w:id="385"/>
      <w:bookmarkStart w:id="386" w:name="_Toc184314415"/>
      <w:bookmarkEnd w:id="386"/>
      <w:bookmarkStart w:id="387" w:name="_Toc184313275"/>
      <w:bookmarkEnd w:id="387"/>
      <w:bookmarkStart w:id="388" w:name="_Toc184314448"/>
      <w:bookmarkEnd w:id="388"/>
      <w:bookmarkStart w:id="389" w:name="_Toc184313240"/>
      <w:bookmarkEnd w:id="389"/>
      <w:bookmarkStart w:id="390" w:name="_Toc184314441"/>
      <w:bookmarkEnd w:id="390"/>
      <w:bookmarkStart w:id="391" w:name="_Toc184312109"/>
      <w:bookmarkEnd w:id="391"/>
      <w:bookmarkStart w:id="392" w:name="_Toc184312106"/>
      <w:bookmarkEnd w:id="392"/>
      <w:bookmarkStart w:id="393" w:name="_Toc184313307"/>
      <w:bookmarkEnd w:id="393"/>
      <w:bookmarkStart w:id="394" w:name="_Toc184312123"/>
      <w:bookmarkEnd w:id="394"/>
      <w:bookmarkStart w:id="395" w:name="_Toc184313251"/>
      <w:bookmarkEnd w:id="395"/>
      <w:bookmarkStart w:id="396" w:name="_Toc184310302"/>
      <w:bookmarkEnd w:id="396"/>
      <w:bookmarkStart w:id="397" w:name="_Toc184313305"/>
      <w:bookmarkEnd w:id="397"/>
      <w:bookmarkStart w:id="398" w:name="_Toc184314469"/>
      <w:bookmarkEnd w:id="398"/>
      <w:bookmarkStart w:id="399" w:name="_Toc184308086"/>
      <w:bookmarkEnd w:id="399"/>
      <w:bookmarkStart w:id="400" w:name="_Toc184312107"/>
      <w:bookmarkEnd w:id="400"/>
      <w:bookmarkStart w:id="401" w:name="_Toc184314453"/>
      <w:bookmarkEnd w:id="401"/>
      <w:bookmarkStart w:id="402" w:name="_Toc184308049"/>
      <w:bookmarkEnd w:id="402"/>
      <w:bookmarkStart w:id="403" w:name="_Toc184312080"/>
      <w:bookmarkEnd w:id="403"/>
      <w:bookmarkStart w:id="404" w:name="_Toc184310299"/>
      <w:bookmarkEnd w:id="404"/>
      <w:bookmarkStart w:id="405" w:name="_Toc184308087"/>
      <w:bookmarkEnd w:id="405"/>
      <w:bookmarkStart w:id="406" w:name="_Toc184310309"/>
      <w:bookmarkEnd w:id="406"/>
      <w:bookmarkStart w:id="407" w:name="_Toc184314422"/>
      <w:bookmarkEnd w:id="407"/>
      <w:bookmarkStart w:id="408" w:name="_Toc184312114"/>
      <w:bookmarkEnd w:id="408"/>
      <w:bookmarkStart w:id="409" w:name="_Toc184310340"/>
      <w:bookmarkEnd w:id="409"/>
      <w:bookmarkStart w:id="410" w:name="_Toc184314456"/>
      <w:bookmarkEnd w:id="410"/>
      <w:bookmarkStart w:id="411" w:name="_Toc184312136"/>
      <w:bookmarkEnd w:id="411"/>
      <w:bookmarkStart w:id="412" w:name="_Toc184314426"/>
      <w:bookmarkEnd w:id="412"/>
      <w:bookmarkStart w:id="413" w:name="_Toc184308037"/>
      <w:bookmarkEnd w:id="413"/>
      <w:bookmarkStart w:id="414" w:name="_Toc184313268"/>
      <w:bookmarkEnd w:id="414"/>
      <w:bookmarkStart w:id="415" w:name="_Toc184314481"/>
      <w:bookmarkEnd w:id="415"/>
      <w:bookmarkStart w:id="416" w:name="_Toc184308062"/>
      <w:bookmarkEnd w:id="416"/>
      <w:bookmarkStart w:id="417" w:name="_Toc184308107"/>
      <w:bookmarkEnd w:id="417"/>
      <w:bookmarkStart w:id="418" w:name="_Toc184308089"/>
      <w:bookmarkEnd w:id="418"/>
      <w:bookmarkStart w:id="419" w:name="_Toc184310330"/>
      <w:bookmarkEnd w:id="419"/>
      <w:bookmarkStart w:id="420" w:name="_Toc184313301"/>
      <w:bookmarkEnd w:id="420"/>
      <w:bookmarkStart w:id="421" w:name="_Toc184310338"/>
      <w:bookmarkEnd w:id="421"/>
      <w:bookmarkStart w:id="422" w:name="_Toc184314440"/>
      <w:bookmarkEnd w:id="422"/>
      <w:bookmarkStart w:id="423" w:name="_Toc184314414"/>
      <w:bookmarkEnd w:id="423"/>
      <w:bookmarkStart w:id="424" w:name="_Toc184313239"/>
      <w:bookmarkEnd w:id="424"/>
      <w:bookmarkStart w:id="425" w:name="_Toc184308047"/>
      <w:bookmarkEnd w:id="425"/>
      <w:bookmarkStart w:id="426" w:name="_Toc184312093"/>
      <w:bookmarkEnd w:id="426"/>
      <w:bookmarkStart w:id="427" w:name="_Toc184312095"/>
      <w:bookmarkEnd w:id="427"/>
      <w:bookmarkStart w:id="428" w:name="_Toc184314468"/>
      <w:bookmarkEnd w:id="428"/>
      <w:bookmarkStart w:id="429" w:name="_Toc184312068"/>
      <w:bookmarkEnd w:id="429"/>
      <w:bookmarkStart w:id="430" w:name="_Toc184308099"/>
      <w:bookmarkEnd w:id="430"/>
      <w:bookmarkStart w:id="431" w:name="_Toc184313309"/>
      <w:bookmarkEnd w:id="431"/>
      <w:bookmarkStart w:id="432" w:name="_Toc184310337"/>
      <w:bookmarkEnd w:id="432"/>
      <w:bookmarkStart w:id="433" w:name="_Toc184310293"/>
      <w:bookmarkEnd w:id="433"/>
      <w:bookmarkStart w:id="434" w:name="_Toc184312125"/>
      <w:bookmarkEnd w:id="434"/>
      <w:bookmarkStart w:id="435" w:name="_Toc184312094"/>
      <w:bookmarkEnd w:id="435"/>
      <w:bookmarkStart w:id="436" w:name="_Toc184308044"/>
      <w:bookmarkEnd w:id="436"/>
      <w:bookmarkStart w:id="437" w:name="_Toc184313266"/>
      <w:bookmarkEnd w:id="437"/>
      <w:bookmarkStart w:id="438" w:name="_Toc184308051"/>
      <w:bookmarkEnd w:id="438"/>
      <w:bookmarkStart w:id="439" w:name="_Toc184312079"/>
      <w:bookmarkEnd w:id="439"/>
      <w:bookmarkStart w:id="440" w:name="_Toc184314427"/>
      <w:bookmarkEnd w:id="440"/>
      <w:bookmarkStart w:id="441" w:name="_Toc184313238"/>
      <w:bookmarkEnd w:id="441"/>
      <w:bookmarkStart w:id="442" w:name="_Toc184313247"/>
      <w:bookmarkEnd w:id="442"/>
      <w:bookmarkStart w:id="443" w:name="_Toc184312108"/>
      <w:bookmarkEnd w:id="443"/>
      <w:bookmarkStart w:id="444" w:name="_Toc184310306"/>
      <w:bookmarkEnd w:id="444"/>
      <w:bookmarkStart w:id="445" w:name="_Toc184314463"/>
      <w:bookmarkEnd w:id="445"/>
      <w:bookmarkStart w:id="446" w:name="_Toc184308059"/>
      <w:bookmarkEnd w:id="446"/>
      <w:bookmarkStart w:id="447" w:name="_Toc184314470"/>
      <w:bookmarkEnd w:id="447"/>
      <w:bookmarkStart w:id="448" w:name="_Toc184312130"/>
      <w:bookmarkEnd w:id="448"/>
      <w:bookmarkStart w:id="449" w:name="_Toc184314461"/>
      <w:bookmarkEnd w:id="449"/>
      <w:bookmarkStart w:id="450" w:name="_Toc184310326"/>
      <w:bookmarkEnd w:id="450"/>
      <w:bookmarkStart w:id="451" w:name="_Toc184308096"/>
      <w:bookmarkEnd w:id="451"/>
      <w:bookmarkStart w:id="452" w:name="_Toc184312074"/>
      <w:bookmarkEnd w:id="452"/>
      <w:bookmarkStart w:id="453" w:name="_Toc184313249"/>
      <w:bookmarkEnd w:id="453"/>
      <w:bookmarkStart w:id="454" w:name="_Toc184312122"/>
      <w:bookmarkEnd w:id="454"/>
      <w:bookmarkStart w:id="455" w:name="_Toc184313282"/>
      <w:bookmarkEnd w:id="455"/>
      <w:bookmarkStart w:id="456" w:name="_Toc184312076"/>
      <w:bookmarkEnd w:id="456"/>
      <w:bookmarkStart w:id="457" w:name="_Toc184308068"/>
      <w:bookmarkEnd w:id="457"/>
      <w:bookmarkStart w:id="458" w:name="_Toc184310321"/>
      <w:bookmarkEnd w:id="458"/>
      <w:bookmarkStart w:id="459" w:name="_Toc184314467"/>
      <w:bookmarkEnd w:id="459"/>
      <w:bookmarkStart w:id="460" w:name="_Toc184308065"/>
      <w:bookmarkEnd w:id="460"/>
      <w:bookmarkStart w:id="461" w:name="_Toc184313289"/>
      <w:bookmarkEnd w:id="461"/>
      <w:bookmarkStart w:id="462" w:name="_Toc184308041"/>
      <w:bookmarkEnd w:id="462"/>
      <w:bookmarkStart w:id="463" w:name="_Toc184314435"/>
      <w:bookmarkEnd w:id="463"/>
      <w:bookmarkStart w:id="464" w:name="_Toc184308070"/>
      <w:bookmarkEnd w:id="464"/>
      <w:bookmarkStart w:id="465" w:name="_Toc184308101"/>
      <w:bookmarkEnd w:id="465"/>
      <w:bookmarkStart w:id="466" w:name="_Toc184313259"/>
      <w:bookmarkEnd w:id="466"/>
      <w:bookmarkStart w:id="467" w:name="_Toc184313254"/>
      <w:bookmarkEnd w:id="467"/>
      <w:bookmarkStart w:id="468" w:name="_Toc184314444"/>
      <w:bookmarkEnd w:id="468"/>
      <w:bookmarkStart w:id="469" w:name="_Toc184312128"/>
      <w:bookmarkEnd w:id="469"/>
      <w:bookmarkStart w:id="470" w:name="_Toc184314447"/>
      <w:bookmarkEnd w:id="470"/>
      <w:bookmarkStart w:id="471" w:name="_Toc184310287"/>
      <w:bookmarkEnd w:id="471"/>
      <w:bookmarkStart w:id="472" w:name="_Toc184312098"/>
      <w:bookmarkEnd w:id="472"/>
      <w:bookmarkStart w:id="473" w:name="_Toc184310311"/>
      <w:bookmarkEnd w:id="473"/>
      <w:bookmarkStart w:id="474" w:name="_Toc184314423"/>
      <w:bookmarkEnd w:id="474"/>
      <w:bookmarkStart w:id="475" w:name="_Toc184312124"/>
      <w:bookmarkEnd w:id="475"/>
      <w:bookmarkStart w:id="476" w:name="_Toc184313244"/>
      <w:bookmarkEnd w:id="476"/>
      <w:bookmarkStart w:id="477" w:name="_Toc184308048"/>
      <w:bookmarkEnd w:id="477"/>
      <w:bookmarkStart w:id="478" w:name="_Toc184314473"/>
      <w:bookmarkEnd w:id="478"/>
      <w:bookmarkStart w:id="479" w:name="_Toc184310277"/>
      <w:bookmarkEnd w:id="479"/>
      <w:bookmarkStart w:id="480" w:name="_Toc184312126"/>
      <w:bookmarkEnd w:id="480"/>
      <w:bookmarkStart w:id="481" w:name="_Toc184310341"/>
      <w:bookmarkEnd w:id="481"/>
      <w:bookmarkStart w:id="482" w:name="_Toc184312091"/>
      <w:bookmarkEnd w:id="482"/>
      <w:bookmarkStart w:id="483" w:name="_Toc184308057"/>
      <w:bookmarkEnd w:id="483"/>
      <w:bookmarkStart w:id="484" w:name="_Toc184313278"/>
      <w:bookmarkEnd w:id="484"/>
      <w:bookmarkStart w:id="485" w:name="_Toc184310329"/>
      <w:bookmarkEnd w:id="485"/>
      <w:bookmarkStart w:id="486" w:name="_Toc184310283"/>
      <w:bookmarkEnd w:id="486"/>
      <w:bookmarkStart w:id="487" w:name="_Toc184314476"/>
      <w:bookmarkEnd w:id="487"/>
      <w:bookmarkStart w:id="488" w:name="_Toc184312071"/>
      <w:bookmarkEnd w:id="488"/>
      <w:bookmarkStart w:id="489" w:name="_Toc184312139"/>
      <w:bookmarkEnd w:id="489"/>
      <w:bookmarkStart w:id="490" w:name="_Toc184313255"/>
      <w:bookmarkEnd w:id="490"/>
      <w:bookmarkStart w:id="491" w:name="_Toc184313304"/>
      <w:bookmarkEnd w:id="491"/>
      <w:bookmarkStart w:id="492" w:name="_Toc184310292"/>
      <w:bookmarkEnd w:id="492"/>
      <w:bookmarkStart w:id="493" w:name="_Toc184314460"/>
      <w:bookmarkEnd w:id="493"/>
      <w:bookmarkStart w:id="494" w:name="_Toc184313243"/>
      <w:bookmarkEnd w:id="494"/>
      <w:bookmarkStart w:id="495" w:name="_Toc184308079"/>
      <w:bookmarkEnd w:id="495"/>
      <w:bookmarkStart w:id="496" w:name="_Toc184313306"/>
      <w:bookmarkEnd w:id="496"/>
      <w:bookmarkStart w:id="497" w:name="_Toc184313281"/>
      <w:bookmarkEnd w:id="497"/>
      <w:bookmarkStart w:id="498" w:name="_Toc184310320"/>
      <w:bookmarkEnd w:id="498"/>
      <w:bookmarkStart w:id="499" w:name="_Toc184314432"/>
      <w:bookmarkEnd w:id="499"/>
      <w:bookmarkStart w:id="500" w:name="_Toc184313284"/>
      <w:bookmarkEnd w:id="500"/>
      <w:bookmarkStart w:id="501" w:name="_Toc184310303"/>
      <w:bookmarkEnd w:id="501"/>
      <w:bookmarkStart w:id="502" w:name="_Toc184314471"/>
      <w:bookmarkEnd w:id="502"/>
      <w:bookmarkStart w:id="503" w:name="_Toc184312112"/>
      <w:bookmarkEnd w:id="503"/>
      <w:bookmarkStart w:id="504" w:name="_Toc184308072"/>
      <w:bookmarkEnd w:id="504"/>
      <w:r>
        <w:rPr>
          <w:rFonts w:hint="eastAsia" w:ascii="宋体" w:hAnsi="宋体" w:eastAsia="宋体" w:cs="宋体"/>
          <w:b/>
          <w:color w:val="auto"/>
          <w:sz w:val="36"/>
          <w:szCs w:val="36"/>
          <w:highlight w:val="none"/>
        </w:rPr>
        <w:t>评标办法</w:t>
      </w:r>
      <w:bookmarkEnd w:id="124"/>
      <w:bookmarkEnd w:id="138"/>
      <w:bookmarkEnd w:id="139"/>
    </w:p>
    <w:p>
      <w:pPr>
        <w:pStyle w:val="3"/>
        <w:jc w:val="center"/>
        <w:rPr>
          <w:rFonts w:hint="eastAsia" w:ascii="宋体" w:hAnsi="宋体" w:eastAsia="宋体" w:cs="宋体"/>
          <w:color w:val="auto"/>
          <w:sz w:val="28"/>
          <w:szCs w:val="28"/>
          <w:highlight w:val="none"/>
        </w:rPr>
      </w:pPr>
      <w:bookmarkStart w:id="505" w:name="_Toc9623"/>
      <w:bookmarkStart w:id="506" w:name="_Toc24016"/>
      <w:bookmarkStart w:id="507" w:name="_Toc14912"/>
      <w:r>
        <w:rPr>
          <w:rFonts w:hint="eastAsia" w:ascii="宋体" w:hAnsi="宋体" w:eastAsia="宋体" w:cs="宋体"/>
          <w:color w:val="auto"/>
          <w:sz w:val="28"/>
          <w:szCs w:val="28"/>
          <w:highlight w:val="none"/>
        </w:rPr>
        <w:t>评标办法前附表</w:t>
      </w:r>
      <w:bookmarkEnd w:id="505"/>
      <w:bookmarkEnd w:id="506"/>
      <w:bookmarkEnd w:id="507"/>
    </w:p>
    <w:tbl>
      <w:tblPr>
        <w:tblStyle w:val="19"/>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89"/>
        <w:gridCol w:w="815"/>
        <w:gridCol w:w="4956"/>
        <w:gridCol w:w="72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评审内容</w:t>
            </w: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权值比重(100分)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投标文件中相应的商务技术资料目录（页码）*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商务技术部分（</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p>
        </w:tc>
        <w:tc>
          <w:tcPr>
            <w:tcW w:w="58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815"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业绩</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投标人自2019年1月1日至今（以合同签订时间为准）具有保安项目的业绩，提供1个得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分，最高</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投标文件中需提供合同复印件，原件备查。</w:t>
            </w:r>
            <w:r>
              <w:rPr>
                <w:rFonts w:hint="eastAsia" w:ascii="宋体" w:hAnsi="宋体" w:eastAsia="宋体" w:cs="宋体"/>
                <w:color w:val="auto"/>
                <w:sz w:val="24"/>
                <w:highlight w:val="none"/>
                <w:lang w:eastAsia="zh-CN"/>
              </w:rPr>
              <w:t>）</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年1月1日至今（以合同签订时间为准）具有金融护卫业绩，提供1个得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分，最高</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分。（投标文件中需提供合同复印件，原件备查。）</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0.5分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反馈表</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具有业主</w:t>
            </w:r>
            <w:r>
              <w:rPr>
                <w:rFonts w:hint="eastAsia" w:ascii="宋体" w:hAnsi="宋体" w:eastAsia="宋体" w:cs="宋体"/>
                <w:color w:val="auto"/>
                <w:sz w:val="24"/>
                <w:highlight w:val="none"/>
                <w:lang w:val="en-US" w:eastAsia="zh-CN"/>
              </w:rPr>
              <w:t>针对投标人保安服务或金融护卫服务</w:t>
            </w:r>
            <w:r>
              <w:rPr>
                <w:rFonts w:hint="eastAsia" w:ascii="宋体" w:hAnsi="宋体" w:eastAsia="宋体" w:cs="宋体"/>
                <w:color w:val="auto"/>
                <w:sz w:val="24"/>
                <w:highlight w:val="none"/>
              </w:rPr>
              <w:t>反馈</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每个良好反馈证明材料得1分，</w:t>
            </w:r>
            <w:r>
              <w:rPr>
                <w:rFonts w:hint="eastAsia" w:ascii="宋体" w:hAnsi="宋体" w:eastAsia="宋体" w:cs="宋体"/>
                <w:color w:val="auto"/>
                <w:sz w:val="24"/>
                <w:highlight w:val="none"/>
              </w:rPr>
              <w:t>最高得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同一业主只计算一项，未提供不得分。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投标文件中需提供</w:t>
            </w:r>
            <w:r>
              <w:rPr>
                <w:rFonts w:hint="eastAsia" w:ascii="宋体" w:hAnsi="宋体" w:eastAsia="宋体" w:cs="宋体"/>
                <w:color w:val="auto"/>
                <w:sz w:val="24"/>
                <w:highlight w:val="none"/>
                <w:lang w:val="en-US" w:eastAsia="zh-CN"/>
              </w:rPr>
              <w:t>业主反馈证明文件</w:t>
            </w:r>
            <w:r>
              <w:rPr>
                <w:rFonts w:hint="eastAsia" w:ascii="宋体" w:hAnsi="宋体" w:eastAsia="宋体" w:cs="宋体"/>
                <w:color w:val="auto"/>
                <w:sz w:val="24"/>
                <w:highlight w:val="none"/>
              </w:rPr>
              <w:t>复印件，原件备查。</w:t>
            </w:r>
            <w:r>
              <w:rPr>
                <w:rFonts w:hint="eastAsia" w:ascii="宋体" w:hAnsi="宋体" w:eastAsia="宋体" w:cs="宋体"/>
                <w:color w:val="auto"/>
                <w:sz w:val="24"/>
                <w:highlight w:val="none"/>
                <w:lang w:eastAsia="zh-CN"/>
              </w:rPr>
              <w:t>）</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证书</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投标人获得质量管理体系认证、环境管理体系认证、职业健康与安全管理体系认证三体系认证，每个证书得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最高3分</w:t>
            </w:r>
            <w:r>
              <w:rPr>
                <w:rFonts w:hint="eastAsia" w:ascii="宋体" w:hAnsi="宋体" w:eastAsia="宋体" w:cs="宋体"/>
                <w:color w:val="auto"/>
                <w:sz w:val="24"/>
                <w:highlight w:val="none"/>
              </w:rPr>
              <w:t>（认证范围需包含保安服务内容，投标文件中提供</w:t>
            </w:r>
            <w:r>
              <w:rPr>
                <w:rFonts w:hint="eastAsia" w:ascii="宋体" w:hAnsi="宋体" w:eastAsia="宋体" w:cs="宋体"/>
                <w:color w:val="auto"/>
                <w:sz w:val="24"/>
                <w:highlight w:val="none"/>
                <w:lang w:val="en-US" w:eastAsia="zh-CN"/>
              </w:rPr>
              <w:t>认证</w:t>
            </w:r>
            <w:r>
              <w:rPr>
                <w:rFonts w:hint="eastAsia" w:ascii="宋体" w:hAnsi="宋体" w:eastAsia="宋体" w:cs="宋体"/>
                <w:color w:val="auto"/>
                <w:sz w:val="24"/>
                <w:highlight w:val="none"/>
              </w:rPr>
              <w:t>证书复印件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原件备查。</w:t>
            </w:r>
            <w:r>
              <w:rPr>
                <w:rFonts w:hint="eastAsia" w:ascii="宋体" w:hAnsi="宋体" w:eastAsia="宋体" w:cs="宋体"/>
                <w:color w:val="auto"/>
                <w:sz w:val="24"/>
                <w:highlight w:val="none"/>
              </w:rPr>
              <w:t>）</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偏离情况</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投标文件对招标文件的响应情况：与招标文件无负偏离得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分；非实质性负偏离,每项扣1分，扣完为止。标注“▲”条款为实质性条款。</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815"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人员素质情况</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拟派项目负责人：具有高级保安管理师（一级）的得3分，具有保安管理师（二级）职业等级证书的得2分、高级保安员（三级）职业等级证书的得1分、中级保安员（四级）职业等级证书的得0.5分；没提供不得分。</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项目人员（除项目负责人）具有保安管理师（二级）及以上职业等级证书，每提供1个得0.5分；高级保安员（三级）职业等级证书,每提供1个得0.2分；中级保安员（四级）职业等级证书，每提供1个得0.1分；本项最高得4分。（同一人具有多个证书的按得分高的计算。）</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投入人员（除项目负责人外）每具有一名退伍军人得0.5分，最高得4分。</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安全保卫工作整体方案</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根据投标人提供完整的医院安全保卫工作整体方案、人员调度计划、值班轮休计划具体措施。</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金融护卫方案</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金融护卫方案和措施</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停车管理方案</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停车管理方案和措施</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重点部位保安方案</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重点部位(包含医院门卫、急诊区域、发热门诊区域)的保安方案及保证措施</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日常工作程序</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日常工作程序（维护医院内的医疗秩序、消防安全、</w:t>
            </w:r>
            <w:r>
              <w:rPr>
                <w:rFonts w:hint="eastAsia" w:ascii="宋体" w:hAnsi="宋体" w:eastAsia="宋体" w:cs="宋体"/>
                <w:color w:val="auto"/>
                <w:sz w:val="24"/>
                <w:highlight w:val="none"/>
                <w:lang w:val="en-US" w:eastAsia="zh-CN"/>
              </w:rPr>
              <w:t>常</w:t>
            </w:r>
            <w:r>
              <w:rPr>
                <w:rFonts w:hint="eastAsia" w:ascii="宋体" w:hAnsi="宋体" w:eastAsia="宋体" w:cs="宋体"/>
                <w:color w:val="auto"/>
                <w:sz w:val="24"/>
                <w:highlight w:val="none"/>
              </w:rPr>
              <w:t>态化巡逻等各项活动、公共秩序、调解纠纷、疏导人流等）内容。</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保安服务方案</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保安服务方案包括岗位服务内容、保安标准化方案，</w:t>
            </w:r>
            <w:r>
              <w:rPr>
                <w:rFonts w:hint="eastAsia" w:ascii="宋体" w:hAnsi="宋体" w:eastAsia="宋体" w:cs="宋体"/>
                <w:color w:val="auto"/>
                <w:sz w:val="24"/>
                <w:highlight w:val="none"/>
                <w:lang w:val="en-US" w:eastAsia="zh-CN"/>
              </w:rPr>
              <w:t>以及</w:t>
            </w:r>
            <w:r>
              <w:rPr>
                <w:rFonts w:hint="eastAsia" w:ascii="宋体" w:hAnsi="宋体" w:eastAsia="宋体" w:cs="宋体"/>
                <w:color w:val="auto"/>
                <w:sz w:val="24"/>
                <w:highlight w:val="none"/>
              </w:rPr>
              <w:t>操作规程、演练、演习</w:t>
            </w:r>
            <w:r>
              <w:rPr>
                <w:rFonts w:hint="eastAsia" w:ascii="宋体" w:hAnsi="宋体" w:eastAsia="宋体" w:cs="宋体"/>
                <w:color w:val="auto"/>
                <w:sz w:val="24"/>
                <w:highlight w:val="none"/>
                <w:lang w:val="en-US" w:eastAsia="zh-CN"/>
              </w:rPr>
              <w:t>等内容。</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保安管理制度</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保安工作人员职责制度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交接班制度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保安队伍例会制度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队伍绩效考核管理制度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队伍奖惩制度</w:t>
            </w:r>
            <w:r>
              <w:rPr>
                <w:rFonts w:hint="eastAsia" w:ascii="宋体" w:hAnsi="宋体" w:eastAsia="宋体" w:cs="宋体"/>
                <w:color w:val="auto"/>
                <w:sz w:val="24"/>
                <w:highlight w:val="none"/>
                <w:lang w:eastAsia="zh-CN"/>
              </w:rPr>
              <w:t>。</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815"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稳定员工队伍的措施</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供应商提供针对保安人员流失控制及时补充的方案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严格控制非违纪人员轮换岗比例</w:t>
            </w:r>
            <w:r>
              <w:rPr>
                <w:rFonts w:hint="eastAsia" w:ascii="宋体" w:hAnsi="宋体" w:eastAsia="宋体" w:cs="宋体"/>
                <w:color w:val="auto"/>
                <w:sz w:val="24"/>
                <w:highlight w:val="none"/>
                <w:lang w:val="en-US" w:eastAsia="zh-CN"/>
              </w:rPr>
              <w:t>的方案及措施</w:t>
            </w:r>
            <w:r>
              <w:rPr>
                <w:rFonts w:hint="eastAsia" w:ascii="宋体" w:hAnsi="宋体" w:eastAsia="宋体" w:cs="宋体"/>
                <w:color w:val="auto"/>
                <w:sz w:val="24"/>
                <w:highlight w:val="none"/>
              </w:rPr>
              <w:t>。</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人员保障机制及人员工资福利承诺情况，根据采购人投入项目资金情况，制定员工工资福利计划。（以符合采购人投入资金的使用合理性为原则）</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加班措施</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重大接待任务及重要节假日加班措施。</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p>
        </w:tc>
        <w:tc>
          <w:tcPr>
            <w:tcW w:w="815"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项目人员</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服务人员详细的岗位及人员配备及任职经历情况。团队配备合理，团队人员受过专门岗前培训、熟知医院的管理规定、严格履行岗位职责、善于发现各类问题、具备较强的处理突发事件能力的得3分；团队配备较合理，团队人员受过相关培训、严格履行岗位职责、具备一定处理突发事件能力的得2分；团队配备较合理，团队人员受过培训、能较好履行岗位职责的得1分；未提供人员任职情况的不得分。</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服务人员年龄组成承诺。服务团队年龄组成分布合理，充分满足岗位工作需要得2分，服务团队年龄组成分布基本合理，能符合岗位工作需要得1分，服务团队年龄组成部分不合理，不能很好胜任岗位工作需求得0.5分。未提供说明的0分。</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815"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应急方案及措施</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突发事件（包括台风、暴雨、地震等灾害性天气导致的各类突发事件及其他突发事件）时的应急预案及相应的措施</w:t>
            </w:r>
            <w:r>
              <w:rPr>
                <w:rFonts w:hint="eastAsia" w:ascii="宋体" w:hAnsi="宋体" w:eastAsia="宋体" w:cs="宋体"/>
                <w:color w:val="auto"/>
                <w:sz w:val="24"/>
                <w:highlight w:val="none"/>
                <w:lang w:eastAsia="zh-CN"/>
              </w:rPr>
              <w:t>；</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针对防盗、防火的安全防范巡查措施</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应对危及医护人员安全的突发事件的应急预案</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应对社会纠纷、暴恐事件等类型的应急预案</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p>
        </w:tc>
        <w:tc>
          <w:tcPr>
            <w:tcW w:w="81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应对突发性公</w:t>
            </w:r>
            <w:r>
              <w:rPr>
                <w:rFonts w:hint="eastAsia" w:ascii="宋体" w:hAnsi="宋体" w:eastAsia="宋体" w:cs="宋体"/>
                <w:color w:val="auto"/>
                <w:sz w:val="24"/>
                <w:highlight w:val="none"/>
                <w:lang w:val="en-US" w:eastAsia="zh-CN"/>
              </w:rPr>
              <w:t>共</w:t>
            </w:r>
            <w:r>
              <w:rPr>
                <w:rFonts w:hint="eastAsia" w:ascii="宋体" w:hAnsi="宋体" w:eastAsia="宋体" w:cs="宋体"/>
                <w:color w:val="auto"/>
                <w:sz w:val="24"/>
                <w:highlight w:val="none"/>
              </w:rPr>
              <w:t>卫</w:t>
            </w:r>
            <w:r>
              <w:rPr>
                <w:rFonts w:hint="eastAsia" w:ascii="宋体" w:hAnsi="宋体" w:eastAsia="宋体" w:cs="宋体"/>
                <w:color w:val="auto"/>
                <w:sz w:val="24"/>
                <w:highlight w:val="none"/>
                <w:lang w:val="en-US" w:eastAsia="zh-CN"/>
              </w:rPr>
              <w:t>生</w:t>
            </w:r>
            <w:r>
              <w:rPr>
                <w:rFonts w:hint="eastAsia" w:ascii="宋体" w:hAnsi="宋体" w:eastAsia="宋体" w:cs="宋体"/>
                <w:color w:val="auto"/>
                <w:sz w:val="24"/>
                <w:highlight w:val="none"/>
              </w:rPr>
              <w:t>事件（如疫情防控）的应急预案</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维护执勤器材</w:t>
            </w:r>
            <w:r>
              <w:rPr>
                <w:rFonts w:hint="eastAsia" w:ascii="宋体" w:hAnsi="宋体" w:eastAsia="宋体" w:cs="宋体"/>
                <w:color w:val="auto"/>
                <w:sz w:val="24"/>
                <w:highlight w:val="none"/>
                <w:lang w:val="en-US" w:eastAsia="zh-CN"/>
              </w:rPr>
              <w:t>情况</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拟投入本项目的秩序维护执勤器材等符合招标文件的要求及本项目的实际情况。</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8</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服务质量承诺</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服务质量的承诺及保证措施、安全文明礼貌的承诺及保证措施、完善售后服务计划。</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9</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重难点分析</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对项目现状、存在的问题和保安服务的难点、要点等问题进行调查剖析，提出克服难点和要点的措施和方案。</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98"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价格部分</w:t>
            </w:r>
          </w:p>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满分</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p>
        </w:tc>
        <w:tc>
          <w:tcPr>
            <w:tcW w:w="58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81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w:t>
            </w:r>
          </w:p>
        </w:tc>
        <w:tc>
          <w:tcPr>
            <w:tcW w:w="4956"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满足招标文件要求且投标价格最低的投标报价为评标基准价，其价格分为满分。</w:t>
            </w:r>
          </w:p>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各个投标人的投标价与评标基准价相比，计算出投标报价得分。</w:t>
            </w:r>
          </w:p>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投标报价得分=(评标基准价／投标报价)×</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w:t>
            </w:r>
          </w:p>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注：以上评分保留小数2位。</w:t>
            </w:r>
          </w:p>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722"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tc>
        <w:tc>
          <w:tcPr>
            <w:tcW w:w="1039"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auto"/>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供应商编制投标文件（商务技术文件部分）时，建议按此目录（序号和内容）</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提供评审标准相应的商务技术资料。</w:t>
      </w:r>
    </w:p>
    <w:p>
      <w:pPr>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p>
    <w:p>
      <w:pPr>
        <w:pStyle w:val="3"/>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bookmarkStart w:id="508" w:name="_Toc26833"/>
      <w:bookmarkStart w:id="509" w:name="_Toc3941"/>
      <w:bookmarkStart w:id="510" w:name="_Toc18318"/>
    </w:p>
    <w:p>
      <w:pPr>
        <w:pStyle w:val="3"/>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一、评标方法</w:t>
      </w:r>
      <w:bookmarkEnd w:id="508"/>
      <w:bookmarkEnd w:id="509"/>
      <w:bookmarkEnd w:id="510"/>
    </w:p>
    <w:p>
      <w:pPr>
        <w:pageBreakBefore w:val="0"/>
        <w:kinsoku/>
        <w:wordWrap/>
        <w:overflowPunct/>
        <w:topLinePunct w:val="0"/>
        <w:autoSpaceDE/>
        <w:autoSpaceDN/>
        <w:bidi w:val="0"/>
        <w:adjustRightInd/>
        <w:spacing w:line="312"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12" w:lineRule="auto"/>
        <w:textAlignment w:val="auto"/>
        <w:rPr>
          <w:rFonts w:hint="eastAsia" w:ascii="宋体" w:hAnsi="宋体" w:eastAsia="宋体" w:cs="宋体"/>
          <w:b/>
          <w:color w:val="auto"/>
          <w:sz w:val="24"/>
          <w:szCs w:val="24"/>
          <w:highlight w:val="none"/>
        </w:rPr>
      </w:pPr>
    </w:p>
    <w:p>
      <w:pPr>
        <w:pStyle w:val="3"/>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bookmarkStart w:id="511" w:name="_Toc15001"/>
      <w:bookmarkStart w:id="512" w:name="_Toc13269"/>
      <w:bookmarkStart w:id="513" w:name="_Toc28615"/>
      <w:r>
        <w:rPr>
          <w:rFonts w:hint="eastAsia" w:ascii="宋体" w:hAnsi="宋体" w:eastAsia="宋体" w:cs="宋体"/>
          <w:color w:val="auto"/>
          <w:sz w:val="24"/>
          <w:szCs w:val="24"/>
          <w:highlight w:val="none"/>
        </w:rPr>
        <w:t>二、评标标准</w:t>
      </w:r>
      <w:bookmarkEnd w:id="511"/>
      <w:bookmarkEnd w:id="512"/>
      <w:bookmarkEnd w:id="513"/>
    </w:p>
    <w:p>
      <w:pPr>
        <w:pageBreakBefore w:val="0"/>
        <w:kinsoku/>
        <w:wordWrap/>
        <w:overflowPunct/>
        <w:topLinePunct w:val="0"/>
        <w:autoSpaceDE/>
        <w:autoSpaceDN/>
        <w:bidi w:val="0"/>
        <w:spacing w:line="312"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2.评标标准：</w:t>
      </w:r>
      <w:r>
        <w:rPr>
          <w:rFonts w:hint="eastAsia" w:ascii="宋体" w:hAnsi="宋体" w:eastAsia="宋体" w:cs="宋体"/>
          <w:color w:val="auto"/>
          <w:kern w:val="0"/>
          <w:sz w:val="24"/>
          <w:szCs w:val="24"/>
          <w:highlight w:val="none"/>
        </w:rPr>
        <w:t>见评标办法前附表。</w:t>
      </w:r>
    </w:p>
    <w:p>
      <w:pPr>
        <w:pageBreakBefore w:val="0"/>
        <w:kinsoku/>
        <w:wordWrap/>
        <w:overflowPunct/>
        <w:topLinePunct w:val="0"/>
        <w:autoSpaceDE/>
        <w:autoSpaceDN/>
        <w:bidi w:val="0"/>
        <w:spacing w:line="312" w:lineRule="auto"/>
        <w:textAlignment w:val="auto"/>
        <w:rPr>
          <w:rFonts w:hint="eastAsia" w:ascii="宋体" w:hAnsi="宋体" w:eastAsia="宋体" w:cs="宋体"/>
          <w:b/>
          <w:color w:val="auto"/>
          <w:sz w:val="24"/>
          <w:szCs w:val="24"/>
          <w:highlight w:val="none"/>
        </w:rPr>
      </w:pPr>
    </w:p>
    <w:p>
      <w:pPr>
        <w:pStyle w:val="3"/>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bookmarkStart w:id="514" w:name="_Toc5140"/>
      <w:bookmarkStart w:id="515" w:name="_Toc3879"/>
      <w:bookmarkStart w:id="516" w:name="_Toc17817"/>
      <w:r>
        <w:rPr>
          <w:rFonts w:hint="eastAsia" w:ascii="宋体" w:hAnsi="宋体" w:eastAsia="宋体" w:cs="宋体"/>
          <w:color w:val="auto"/>
          <w:sz w:val="24"/>
          <w:szCs w:val="24"/>
          <w:highlight w:val="none"/>
        </w:rPr>
        <w:t>三、评标程序</w:t>
      </w:r>
      <w:bookmarkEnd w:id="514"/>
      <w:bookmarkEnd w:id="515"/>
      <w:bookmarkEnd w:id="516"/>
    </w:p>
    <w:p>
      <w:pPr>
        <w:pageBreakBefore w:val="0"/>
        <w:kinsoku/>
        <w:wordWrap/>
        <w:overflowPunct/>
        <w:topLinePunct w:val="0"/>
        <w:autoSpaceDE/>
        <w:autoSpaceDN/>
        <w:bidi w:val="0"/>
        <w:spacing w:line="312"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pacing w:line="312"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312"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pPr>
        <w:pageBreakBefore w:val="0"/>
        <w:kinsoku/>
        <w:wordWrap/>
        <w:overflowPunct/>
        <w:topLinePunct w:val="0"/>
        <w:autoSpaceDE/>
        <w:autoSpaceDN/>
        <w:bidi w:val="0"/>
        <w:spacing w:line="312"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pPr>
        <w:pStyle w:val="26"/>
        <w:pageBreakBefore w:val="0"/>
        <w:kinsoku/>
        <w:wordWrap/>
        <w:overflowPunct/>
        <w:topLinePunct w:val="0"/>
        <w:autoSpaceDE/>
        <w:autoSpaceDN/>
        <w:bidi w:val="0"/>
        <w:spacing w:before="0" w:line="312" w:lineRule="auto"/>
        <w:ind w:firstLine="508" w:firstLineChars="21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pPr>
        <w:pStyle w:val="2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pPr>
        <w:pStyle w:val="2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pPr>
        <w:pStyle w:val="2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pPr>
        <w:pStyle w:val="2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pPr>
        <w:pStyle w:val="2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pPr>
        <w:pageBreakBefore w:val="0"/>
        <w:kinsoku/>
        <w:wordWrap/>
        <w:overflowPunct/>
        <w:topLinePunct w:val="0"/>
        <w:autoSpaceDE/>
        <w:autoSpaceDN/>
        <w:bidi w:val="0"/>
        <w:snapToGrid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pPr>
        <w:pStyle w:val="26"/>
        <w:pageBreakBefore w:val="0"/>
        <w:kinsoku/>
        <w:wordWrap/>
        <w:overflowPunct/>
        <w:topLinePunct w:val="0"/>
        <w:autoSpaceDE/>
        <w:autoSpaceDN/>
        <w:bidi w:val="0"/>
        <w:spacing w:before="0" w:line="312"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ageBreakBefore w:val="0"/>
        <w:widowControl/>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spacing w:line="312"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spacing w:line="312"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312"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line="312" w:lineRule="auto"/>
        <w:jc w:val="left"/>
        <w:textAlignment w:val="auto"/>
        <w:rPr>
          <w:rFonts w:hint="eastAsia" w:ascii="宋体" w:hAnsi="宋体" w:eastAsia="宋体" w:cs="宋体"/>
          <w:b/>
          <w:color w:val="auto"/>
          <w:sz w:val="24"/>
          <w:szCs w:val="24"/>
          <w:highlight w:val="none"/>
        </w:rPr>
      </w:pPr>
    </w:p>
    <w:p>
      <w:pPr>
        <w:pStyle w:val="3"/>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rPr>
      </w:pPr>
      <w:bookmarkStart w:id="517" w:name="_Toc30586"/>
      <w:bookmarkStart w:id="518" w:name="_Toc1724"/>
      <w:bookmarkStart w:id="519" w:name="_Toc23539"/>
      <w:r>
        <w:rPr>
          <w:rFonts w:hint="eastAsia" w:ascii="宋体" w:hAnsi="宋体" w:eastAsia="宋体" w:cs="宋体"/>
          <w:color w:val="auto"/>
          <w:sz w:val="24"/>
          <w:szCs w:val="24"/>
          <w:highlight w:val="none"/>
        </w:rPr>
        <w:t>四、评标中的其他事项</w:t>
      </w:r>
      <w:bookmarkEnd w:id="517"/>
      <w:bookmarkEnd w:id="518"/>
      <w:bookmarkEnd w:id="519"/>
    </w:p>
    <w:p>
      <w:pPr>
        <w:pStyle w:val="26"/>
        <w:pageBreakBefore w:val="0"/>
        <w:kinsoku/>
        <w:wordWrap/>
        <w:overflowPunct/>
        <w:topLinePunct w:val="0"/>
        <w:autoSpaceDE/>
        <w:autoSpaceDN/>
        <w:bidi w:val="0"/>
        <w:spacing w:before="0" w:line="312"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ageBreakBefore w:val="0"/>
        <w:kinsoku/>
        <w:wordWrap/>
        <w:overflowPunct/>
        <w:topLinePunct w:val="0"/>
        <w:autoSpaceDE/>
        <w:autoSpaceDN/>
        <w:bidi w:val="0"/>
        <w:snapToGrid w:val="0"/>
        <w:spacing w:line="312"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sz w:val="24"/>
          <w:szCs w:val="24"/>
          <w:highlight w:val="none"/>
        </w:rPr>
        <w:t>4.2投标无效</w:t>
      </w:r>
      <w:r>
        <w:rPr>
          <w:rFonts w:hint="eastAsia" w:ascii="宋体" w:hAnsi="宋体" w:eastAsia="宋体" w:cs="宋体"/>
          <w:color w:val="auto"/>
          <w:sz w:val="24"/>
          <w:szCs w:val="24"/>
          <w:highlight w:val="none"/>
        </w:rPr>
        <w:t>。开标结束后，采购人或采购代理机构将对依法对供应商的资格投标文件进行审查，资格审查结束后进入符合性审查和商务技术服务的评审。有下列情况之一的，投标无效：</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4.2.1在商务和技术服务评审时，如发现下列情形之一的，投标文件将被视为无效：</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2）投标文件未按照招标文件要求签署、盖章的；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4）投标文件含有采购人不能接受的附加条件的；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5）投标文件中承诺的投标有效期少于招标文件中载明的投标有效期的；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6）投标人提供虚假材料的；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7）投标人有恶意串通、妨碍其他供应商的竞争行为、损害采购人或者其他供应商的合法权益情形的；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8）投标人仅提交备份投标文件，没有在电子交易平台传输递交投标文件的，投标无效；</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9）投标文件不满足招标文件的其它实质性要求的；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10）法律、法规、规章（适用本市的）及省级以上规范性文件（适用本市的）规定的其他无效情形。</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4.2.2在报价评审时，如发现下列情形之一的，投标文件将被视为无效</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1）投标文件未按照招标文件要求签署、盖章的；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2）投标文件出现不是唯一的、有选择性投标报价的;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3）投标文件报价清单与招标文件（包括答疑等补充文件）提供的清单不一致的；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4）投标报价超过招标文件中规定的预算金额或者最高限价的;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5）报价明显低于其他通过符合性审查供应商的报价，有可能影响产品质量或者不能诚信履约的，未能按要求提供书面说明或者提交相关证明材料，不能证明其报价合理性的;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6)投标人对根据修正原则修正后的报价不确认的；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7)投标人提供虚假材料投标的；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8)投标人有恶意串通、妨碍其他供应商的竞争行为、损害采购人或者其他供应商的合法权益情形的；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9)投标人仅提交备份投标文件，没有在电子交易平台传输递交投标文件的，投标无效；</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10)投标文件不满足招标文件的其它实质性要求的；</w:t>
      </w:r>
    </w:p>
    <w:p>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11)法律、法规、规章（适用本市的）及省级以上规范性文件（适用本市的）规定的其他无效情形。</w:t>
      </w:r>
    </w:p>
    <w:p>
      <w:pPr>
        <w:pStyle w:val="9"/>
        <w:pageBreakBefore w:val="0"/>
        <w:kinsoku/>
        <w:wordWrap/>
        <w:overflowPunct/>
        <w:topLinePunct w:val="0"/>
        <w:autoSpaceDE/>
        <w:autoSpaceDN/>
        <w:bidi w:val="0"/>
        <w:snapToGrid w:val="0"/>
        <w:spacing w:line="312"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pPr>
        <w:pStyle w:val="9"/>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pPr>
        <w:pStyle w:val="9"/>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pPr>
        <w:pStyle w:val="9"/>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pPr>
        <w:pStyle w:val="9"/>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pPr>
        <w:pStyle w:val="9"/>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废标后，采购机构应当将废标理由通知所有投标人。</w:t>
      </w:r>
    </w:p>
    <w:p>
      <w:pPr>
        <w:pStyle w:val="9"/>
        <w:pageBreakBefore w:val="0"/>
        <w:kinsoku/>
        <w:wordWrap/>
        <w:overflowPunct/>
        <w:topLinePunct w:val="0"/>
        <w:autoSpaceDE/>
        <w:autoSpaceDN/>
        <w:bidi w:val="0"/>
        <w:snapToGrid w:val="0"/>
        <w:spacing w:line="312" w:lineRule="auto"/>
        <w:ind w:firstLine="590" w:firstLineChars="24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pageBreakBefore w:val="0"/>
        <w:kinsoku/>
        <w:wordWrap/>
        <w:overflowPunct/>
        <w:topLinePunct w:val="0"/>
        <w:autoSpaceDE/>
        <w:autoSpaceDN/>
        <w:bidi w:val="0"/>
        <w:snapToGrid w:val="0"/>
        <w:spacing w:line="312" w:lineRule="auto"/>
        <w:ind w:firstLine="590" w:firstLineChars="245"/>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pPr>
        <w:pStyle w:val="9"/>
        <w:pageBreakBefore w:val="0"/>
        <w:kinsoku/>
        <w:wordWrap/>
        <w:overflowPunct/>
        <w:topLinePunct w:val="0"/>
        <w:autoSpaceDE/>
        <w:autoSpaceDN/>
        <w:bidi w:val="0"/>
        <w:snapToGrid w:val="0"/>
        <w:spacing w:line="312"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7.1未确定中标或者中标人的，终止本次政府采购活动，重新开展政府采购活动。</w:t>
      </w:r>
    </w:p>
    <w:p>
      <w:pPr>
        <w:pStyle w:val="9"/>
        <w:pageBreakBefore w:val="0"/>
        <w:kinsoku/>
        <w:wordWrap/>
        <w:overflowPunct/>
        <w:topLinePunct w:val="0"/>
        <w:autoSpaceDE/>
        <w:autoSpaceDN/>
        <w:bidi w:val="0"/>
        <w:snapToGrid w:val="0"/>
        <w:spacing w:line="312"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9"/>
        <w:pageBreakBefore w:val="0"/>
        <w:kinsoku/>
        <w:wordWrap/>
        <w:overflowPunct/>
        <w:topLinePunct w:val="0"/>
        <w:autoSpaceDE/>
        <w:autoSpaceDN/>
        <w:bidi w:val="0"/>
        <w:snapToGrid w:val="0"/>
        <w:spacing w:line="312"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pPr>
        <w:pStyle w:val="9"/>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pPr>
        <w:pStyle w:val="9"/>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w:t>
      </w:r>
      <w:r>
        <w:rPr>
          <w:rFonts w:hint="eastAsia" w:ascii="宋体" w:hAnsi="宋体" w:eastAsia="宋体" w:cs="宋体"/>
          <w:color w:val="auto"/>
          <w:kern w:val="0"/>
          <w:sz w:val="24"/>
          <w:szCs w:val="24"/>
          <w:highlight w:val="none"/>
        </w:rPr>
        <w:t>或者政府采购法实施条例等法律法规规定</w:t>
      </w:r>
      <w:r>
        <w:rPr>
          <w:rFonts w:hint="eastAsia" w:ascii="宋体" w:hAnsi="宋体" w:eastAsia="宋体" w:cs="宋体"/>
          <w:color w:val="auto"/>
          <w:sz w:val="24"/>
          <w:szCs w:val="24"/>
          <w:highlight w:val="none"/>
        </w:rPr>
        <w:t>的行为，经改正后仍然影响或者可能影响中标、成交结果或者依法被认定为中标、成交无效的，依照7.1-7.4规定处理。</w:t>
      </w:r>
    </w:p>
    <w:p>
      <w:pPr>
        <w:pStyle w:val="9"/>
        <w:snapToGrid w:val="0"/>
        <w:spacing w:line="360" w:lineRule="auto"/>
        <w:ind w:firstLine="0" w:firstLineChars="0"/>
        <w:rPr>
          <w:rFonts w:hint="eastAsia" w:ascii="宋体" w:hAnsi="宋体" w:eastAsia="宋体" w:cs="宋体"/>
          <w:color w:val="auto"/>
          <w:highlight w:val="none"/>
        </w:rPr>
      </w:pPr>
    </w:p>
    <w:bookmarkEnd w:id="97"/>
    <w:p>
      <w:pPr>
        <w:rPr>
          <w:rFonts w:hint="eastAsia" w:ascii="宋体" w:hAnsi="宋体" w:eastAsia="宋体" w:cs="宋体"/>
          <w:b/>
          <w:color w:val="auto"/>
          <w:sz w:val="24"/>
          <w:highlight w:val="none"/>
        </w:rPr>
      </w:pPr>
      <w:bookmarkStart w:id="520" w:name="第五部分"/>
      <w:bookmarkStart w:id="521" w:name="_Toc86217003"/>
      <w:r>
        <w:rPr>
          <w:rFonts w:hint="eastAsia" w:ascii="宋体" w:hAnsi="宋体" w:eastAsia="宋体" w:cs="宋体"/>
          <w:b/>
          <w:color w:val="auto"/>
          <w:sz w:val="24"/>
          <w:highlight w:val="none"/>
        </w:rPr>
        <w:br w:type="page"/>
      </w:r>
    </w:p>
    <w:p>
      <w:pPr>
        <w:pStyle w:val="2"/>
        <w:spacing w:before="0" w:after="0" w:line="360" w:lineRule="auto"/>
        <w:ind w:left="431" w:hanging="431"/>
        <w:jc w:val="center"/>
        <w:rPr>
          <w:rFonts w:hint="eastAsia" w:ascii="宋体" w:hAnsi="宋体" w:eastAsia="宋体" w:cs="宋体"/>
          <w:color w:val="auto"/>
          <w:sz w:val="36"/>
          <w:szCs w:val="36"/>
          <w:highlight w:val="none"/>
        </w:rPr>
      </w:pPr>
      <w:bookmarkStart w:id="522" w:name="_Toc6416"/>
      <w:bookmarkStart w:id="523" w:name="_Toc9912"/>
      <w:bookmarkStart w:id="524" w:name="_Toc2469"/>
      <w:r>
        <w:rPr>
          <w:rFonts w:hint="eastAsia" w:ascii="宋体" w:hAnsi="宋体" w:eastAsia="宋体" w:cs="宋体"/>
          <w:color w:val="auto"/>
          <w:sz w:val="36"/>
          <w:szCs w:val="36"/>
          <w:highlight w:val="none"/>
        </w:rPr>
        <w:t>第五部分 拟签订的合同文本</w:t>
      </w:r>
      <w:bookmarkEnd w:id="522"/>
      <w:bookmarkEnd w:id="523"/>
      <w:bookmarkEnd w:id="524"/>
    </w:p>
    <w:p>
      <w:pPr>
        <w:autoSpaceDE w:val="0"/>
        <w:autoSpaceDN w:val="0"/>
        <w:adjustRightInd w:val="0"/>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bookmarkStart w:id="525" w:name="_Toc20958"/>
      <w:bookmarkStart w:id="526" w:name="_Toc17856"/>
      <w:r>
        <w:rPr>
          <w:rFonts w:hint="eastAsia" w:ascii="宋体" w:hAnsi="宋体" w:eastAsia="宋体" w:cs="宋体"/>
          <w:b/>
          <w:color w:val="auto"/>
          <w:sz w:val="32"/>
          <w:szCs w:val="32"/>
          <w:highlight w:val="none"/>
        </w:rPr>
        <w:t>嘉兴市政府采购合同</w:t>
      </w:r>
      <w:bookmarkEnd w:id="525"/>
      <w:bookmarkEnd w:id="526"/>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项目编号：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政府采购计划（预算）确认书号：</w:t>
      </w:r>
      <w:r>
        <w:rPr>
          <w:rFonts w:hint="eastAsia" w:ascii="宋体" w:hAnsi="宋体" w:eastAsia="宋体" w:cs="宋体"/>
          <w:color w:val="auto"/>
          <w:kern w:val="0"/>
          <w:sz w:val="24"/>
          <w:highlight w:val="none"/>
          <w:lang w:val="en-US" w:eastAsia="zh-CN"/>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采购人（以下称甲方）：嘉兴市第一医院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供应商（以下称乙方）：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采购方式：公开招标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根据《中华人民共和国政府采购法》、《中华人民共和国民法典》等法律法规的规定，甲乙双方按</w:t>
      </w:r>
      <w:r>
        <w:rPr>
          <w:rFonts w:hint="eastAsia" w:ascii="宋体" w:hAnsi="宋体" w:eastAsia="宋体" w:cs="宋体"/>
          <w:color w:val="auto"/>
          <w:kern w:val="0"/>
          <w:sz w:val="24"/>
          <w:highlight w:val="none"/>
          <w:lang w:eastAsia="zh-CN"/>
        </w:rPr>
        <w:t>嘉兴市第一医院2022至2023年安保服务</w:t>
      </w:r>
      <w:r>
        <w:rPr>
          <w:rFonts w:hint="eastAsia" w:ascii="宋体" w:hAnsi="宋体" w:eastAsia="宋体" w:cs="宋体"/>
          <w:color w:val="auto"/>
          <w:kern w:val="0"/>
          <w:sz w:val="24"/>
          <w:highlight w:val="none"/>
        </w:rPr>
        <w:t>项目采购结果签订本合同。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27" w:name="_Toc26226"/>
      <w:bookmarkStart w:id="528" w:name="_Toc15239"/>
      <w:r>
        <w:rPr>
          <w:rFonts w:hint="eastAsia" w:ascii="宋体" w:hAnsi="宋体" w:eastAsia="宋体" w:cs="宋体"/>
          <w:b/>
          <w:color w:val="auto"/>
          <w:kern w:val="0"/>
          <w:sz w:val="24"/>
          <w:highlight w:val="none"/>
        </w:rPr>
        <w:t>第一条 合同组成</w:t>
      </w:r>
      <w:bookmarkEnd w:id="527"/>
      <w:bookmarkEnd w:id="528"/>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本次政府采购活动的相关文件为本合同的组成部分，这些文件包括但不限于：</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（1）本合同文本；</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（2）采购文件与采购响应文件；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（3）中标或成交通知书；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29" w:name="_Toc4565"/>
      <w:bookmarkStart w:id="530" w:name="_Toc11996"/>
      <w:r>
        <w:rPr>
          <w:rFonts w:hint="eastAsia" w:ascii="宋体" w:hAnsi="宋体" w:eastAsia="宋体" w:cs="宋体"/>
          <w:b/>
          <w:color w:val="auto"/>
          <w:kern w:val="0"/>
          <w:sz w:val="24"/>
          <w:highlight w:val="none"/>
        </w:rPr>
        <w:t>第二条 合同标的</w:t>
      </w:r>
      <w:bookmarkEnd w:id="529"/>
      <w:bookmarkEnd w:id="530"/>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240" w:firstLineChars="1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本次采购的是</w:t>
      </w:r>
      <w:r>
        <w:rPr>
          <w:rFonts w:hint="eastAsia" w:ascii="宋体" w:hAnsi="宋体" w:eastAsia="宋体" w:cs="宋体"/>
          <w:color w:val="auto"/>
          <w:kern w:val="0"/>
          <w:sz w:val="24"/>
          <w:highlight w:val="none"/>
          <w:lang w:eastAsia="zh-CN"/>
        </w:rPr>
        <w:t>嘉兴市第一医院2022至2023年安保服务</w:t>
      </w:r>
      <w:r>
        <w:rPr>
          <w:rFonts w:hint="eastAsia" w:ascii="宋体" w:hAnsi="宋体" w:eastAsia="宋体" w:cs="宋体"/>
          <w:color w:val="auto"/>
          <w:kern w:val="0"/>
          <w:sz w:val="24"/>
          <w:highlight w:val="none"/>
        </w:rPr>
        <w:t>项目</w:t>
      </w:r>
      <w:r>
        <w:rPr>
          <w:rFonts w:hint="eastAsia" w:ascii="宋体" w:hAnsi="宋体" w:eastAsia="宋体" w:cs="宋体"/>
          <w:color w:val="auto"/>
          <w:kern w:val="0"/>
          <w:sz w:val="24"/>
          <w:highlight w:val="none"/>
          <w:lang w:eastAsia="zh-CN"/>
        </w:rPr>
        <w:t>。</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240" w:firstLineChars="1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rPr>
        <w:t>2.乙方是否属于中小微企业：□是；□否。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31" w:name="_Toc7699"/>
      <w:bookmarkStart w:id="532" w:name="_Toc8122"/>
      <w:r>
        <w:rPr>
          <w:rFonts w:hint="eastAsia" w:ascii="宋体" w:hAnsi="宋体" w:eastAsia="宋体" w:cs="宋体"/>
          <w:b/>
          <w:color w:val="auto"/>
          <w:kern w:val="0"/>
          <w:sz w:val="24"/>
          <w:highlight w:val="none"/>
        </w:rPr>
        <w:t>第三条 合同价款及付款方式</w:t>
      </w:r>
      <w:bookmarkEnd w:id="531"/>
      <w:bookmarkEnd w:id="532"/>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1.本合同项下总价款为（大写）人民币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，分项价款在“投标报价表”中明确。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2.本合同付款方式为以下第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（1）本合同项下的采购资金系甲方自行支付，付款程序为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（2）本合同项下的采购资金须财政直接支付，付款程序为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3.本合同项下的采购资金付款进度按招投标文件规定，未规定时按以下第</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项支付：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（1）一次性付款：乙方合同履行达到_________（条件）时，一次性付款；</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（2）分期付款：_________时支付_________；_________时支付_________；_________时支付_________；</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33" w:name="_Toc22865"/>
      <w:bookmarkStart w:id="534" w:name="_Toc24376"/>
      <w:r>
        <w:rPr>
          <w:rFonts w:hint="eastAsia" w:ascii="宋体" w:hAnsi="宋体" w:eastAsia="宋体" w:cs="宋体"/>
          <w:b/>
          <w:color w:val="auto"/>
          <w:kern w:val="0"/>
          <w:sz w:val="24"/>
          <w:highlight w:val="none"/>
        </w:rPr>
        <w:t>第四条 履约保证金</w:t>
      </w:r>
      <w:bookmarkEnd w:id="533"/>
      <w:bookmarkEnd w:id="534"/>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（1）</w:t>
      </w:r>
      <w:r>
        <w:rPr>
          <w:rFonts w:hint="eastAsia" w:ascii="宋体" w:hAnsi="宋体" w:eastAsia="宋体" w:cs="宋体"/>
          <w:color w:val="auto"/>
          <w:kern w:val="0"/>
          <w:sz w:val="24"/>
          <w:highlight w:val="none"/>
        </w:rPr>
        <w:t>项处理：</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1.本项目设置履约保证金，乙方应于_____</w:t>
      </w:r>
      <w:r>
        <w:rPr>
          <w:rFonts w:hint="eastAsia" w:ascii="宋体" w:hAnsi="宋体" w:eastAsia="宋体" w:cs="宋体"/>
          <w:color w:val="auto"/>
          <w:kern w:val="0"/>
          <w:sz w:val="24"/>
          <w:highlight w:val="none"/>
          <w:u w:val="single"/>
        </w:rPr>
        <w:t>签订合同前</w:t>
      </w:r>
      <w:r>
        <w:rPr>
          <w:rFonts w:hint="eastAsia" w:ascii="宋体" w:hAnsi="宋体" w:eastAsia="宋体" w:cs="宋体"/>
          <w:color w:val="auto"/>
          <w:kern w:val="0"/>
          <w:sz w:val="24"/>
          <w:highlight w:val="none"/>
        </w:rPr>
        <w:t>_（时间）向甲方提交履约保证金_________元</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合同金额的1%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。履约保证金在</w:t>
      </w:r>
      <w:r>
        <w:rPr>
          <w:rFonts w:hint="eastAsia" w:ascii="宋体" w:hAnsi="宋体" w:eastAsia="宋体" w:cs="宋体"/>
          <w:color w:val="auto"/>
          <w:kern w:val="0"/>
          <w:sz w:val="24"/>
          <w:highlight w:val="none"/>
          <w:u w:val="single"/>
        </w:rPr>
        <w:t>项目服务期限结束后</w:t>
      </w:r>
      <w:r>
        <w:rPr>
          <w:rFonts w:hint="eastAsia" w:ascii="宋体" w:hAnsi="宋体" w:eastAsia="宋体" w:cs="宋体"/>
          <w:color w:val="auto"/>
          <w:kern w:val="0"/>
          <w:sz w:val="24"/>
          <w:highlight w:val="none"/>
        </w:rPr>
        <w:t>（时间）退还乙方。</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形式：支票、汇票、本票或者金融机构、担保机构出具的保函等非现金形式。鼓励和支持乙方以银行、保险公司出具的保函形式提供履约保证。乙方可登录政采云前台大厅选择金融服务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2.本项目不设置履约保证金。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35" w:name="_Toc28703"/>
      <w:bookmarkStart w:id="536" w:name="_Toc2155"/>
      <w:r>
        <w:rPr>
          <w:rFonts w:hint="eastAsia" w:ascii="宋体" w:hAnsi="宋体" w:eastAsia="宋体" w:cs="宋体"/>
          <w:b/>
          <w:color w:val="auto"/>
          <w:kern w:val="0"/>
          <w:sz w:val="24"/>
          <w:highlight w:val="none"/>
        </w:rPr>
        <w:t>第五条 合同的变更和终止</w:t>
      </w:r>
      <w:bookmarkEnd w:id="535"/>
      <w:bookmarkEnd w:id="536"/>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除《政府采购法》第19条、第50条第二款规定的情形外，本合同一经签订，甲乙双方不得擅自终止合同或对合同实质性条款进行变更。确有特殊情况的，须经同级财政部门批准。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37" w:name="_Toc5744"/>
      <w:bookmarkStart w:id="538" w:name="_Toc32342"/>
      <w:r>
        <w:rPr>
          <w:rFonts w:hint="eastAsia" w:ascii="宋体" w:hAnsi="宋体" w:eastAsia="宋体" w:cs="宋体"/>
          <w:b/>
          <w:color w:val="auto"/>
          <w:kern w:val="0"/>
          <w:sz w:val="24"/>
          <w:highlight w:val="none"/>
        </w:rPr>
        <w:t>第六条 合同的转让与分包</w:t>
      </w:r>
      <w:bookmarkEnd w:id="537"/>
      <w:bookmarkEnd w:id="538"/>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乙方不得擅自部分或全部转让其应履行的合同义务。乙方分包的，应经过甲方书面同意。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39" w:name="_Toc19862"/>
      <w:bookmarkStart w:id="540" w:name="_Toc5917"/>
      <w:r>
        <w:rPr>
          <w:rFonts w:hint="eastAsia" w:ascii="宋体" w:hAnsi="宋体" w:eastAsia="宋体" w:cs="宋体"/>
          <w:b/>
          <w:color w:val="auto"/>
          <w:kern w:val="0"/>
          <w:sz w:val="24"/>
          <w:highlight w:val="none"/>
        </w:rPr>
        <w:t>第七条 违约责任</w:t>
      </w:r>
      <w:bookmarkEnd w:id="539"/>
      <w:bookmarkEnd w:id="540"/>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1.甲方无正当理由拒收货物的，甲方应向乙方偿付拒收货款总值的百分之五违约金。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2.甲方无故逾期验收和办理货款支付手续的，甲方应按逾期付款总额每日万分之五向乙方支付违约金。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若造成甲方损失超过违约金的，超出部分由乙方继续承担赔偿责任。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41" w:name="_Toc10993"/>
      <w:bookmarkStart w:id="542" w:name="_Toc12275"/>
      <w:r>
        <w:rPr>
          <w:rFonts w:hint="eastAsia" w:ascii="宋体" w:hAnsi="宋体" w:eastAsia="宋体" w:cs="宋体"/>
          <w:b/>
          <w:color w:val="auto"/>
          <w:kern w:val="0"/>
          <w:sz w:val="24"/>
          <w:highlight w:val="none"/>
        </w:rPr>
        <w:t>第八条 不可抗力事件处理</w:t>
      </w:r>
      <w:bookmarkEnd w:id="541"/>
      <w:bookmarkEnd w:id="542"/>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1.在合同有效期内，任何一方因不可抗力事件导致不能履行合同的，合同履行期可延长，其延长期与不可抗力影响期相同。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2.不可抗力事件发生后，应立即通知对方，并寄送有关权威机构出具的证明。</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3.不可抗力事件延续120天以上，双方应通过友好协商，确定是否继续履行合同。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43" w:name="_Toc29601"/>
      <w:bookmarkStart w:id="544" w:name="_Toc22318"/>
      <w:r>
        <w:rPr>
          <w:rFonts w:hint="eastAsia" w:ascii="宋体" w:hAnsi="宋体" w:eastAsia="宋体" w:cs="宋体"/>
          <w:b/>
          <w:color w:val="auto"/>
          <w:kern w:val="0"/>
          <w:sz w:val="24"/>
          <w:highlight w:val="none"/>
        </w:rPr>
        <w:t>第九条 争议的解决</w:t>
      </w:r>
      <w:bookmarkEnd w:id="543"/>
      <w:bookmarkEnd w:id="544"/>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kern w:val="0"/>
          <w:sz w:val="24"/>
          <w:highlight w:val="none"/>
          <w:u w:val="single"/>
        </w:rPr>
        <w:t xml:space="preserve">（1） </w:t>
      </w:r>
      <w:r>
        <w:rPr>
          <w:rFonts w:hint="eastAsia" w:ascii="宋体" w:hAnsi="宋体" w:eastAsia="宋体" w:cs="宋体"/>
          <w:color w:val="auto"/>
          <w:kern w:val="0"/>
          <w:sz w:val="24"/>
          <w:highlight w:val="none"/>
        </w:rPr>
        <w:t>种方式解决争议：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（1）向甲方所在地有管辖权的人民法院提起诉讼；</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仲裁委员申请仲裁。</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rPr>
          <w:rFonts w:hint="eastAsia" w:ascii="宋体" w:hAnsi="宋体" w:eastAsia="宋体" w:cs="宋体"/>
          <w:color w:val="auto"/>
          <w:kern w:val="0"/>
          <w:sz w:val="24"/>
          <w:highlight w:val="none"/>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jc w:val="left"/>
        <w:textAlignment w:val="auto"/>
        <w:outlineLvl w:val="1"/>
        <w:rPr>
          <w:rFonts w:hint="eastAsia" w:ascii="宋体" w:hAnsi="宋体" w:eastAsia="宋体" w:cs="宋体"/>
          <w:b/>
          <w:color w:val="auto"/>
          <w:kern w:val="0"/>
          <w:sz w:val="24"/>
          <w:highlight w:val="none"/>
        </w:rPr>
      </w:pPr>
      <w:bookmarkStart w:id="545" w:name="_Toc24445"/>
      <w:bookmarkStart w:id="546" w:name="_Toc5875"/>
      <w:r>
        <w:rPr>
          <w:rFonts w:hint="eastAsia" w:ascii="宋体" w:hAnsi="宋体" w:eastAsia="宋体" w:cs="宋体"/>
          <w:b/>
          <w:color w:val="auto"/>
          <w:kern w:val="0"/>
          <w:sz w:val="24"/>
          <w:highlight w:val="none"/>
        </w:rPr>
        <w:t>第十条 合同生效及备案</w:t>
      </w:r>
      <w:bookmarkEnd w:id="545"/>
      <w:bookmarkEnd w:id="546"/>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1.合同经双方法定代表人或被授权人签字并加盖单位公章后生效。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2.合同执行中涉及采购资金和采购内容修改或补充的，须经财政部门审批，并签书面补充协议报政府部门备案，方可作为主合同不可分割的一部分。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3.本合同未尽事宜，遵照《中华人民共和国政府民法典》有关条文执行。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4.本合同一式</w:t>
      </w:r>
      <w:r>
        <w:rPr>
          <w:rFonts w:hint="eastAsia" w:ascii="宋体" w:hAnsi="宋体" w:eastAsia="宋体" w:cs="宋体"/>
          <w:color w:val="auto"/>
          <w:kern w:val="0"/>
          <w:sz w:val="24"/>
          <w:highlight w:val="none"/>
          <w:u w:val="single"/>
        </w:rPr>
        <w:t xml:space="preserve"> 五 </w:t>
      </w:r>
      <w:r>
        <w:rPr>
          <w:rFonts w:hint="eastAsia" w:ascii="宋体" w:hAnsi="宋体" w:eastAsia="宋体" w:cs="宋体"/>
          <w:color w:val="auto"/>
          <w:kern w:val="0"/>
          <w:sz w:val="24"/>
          <w:highlight w:val="none"/>
        </w:rPr>
        <w:t>份，甲乙双方各执</w:t>
      </w:r>
      <w:r>
        <w:rPr>
          <w:rFonts w:hint="eastAsia" w:ascii="宋体" w:hAnsi="宋体" w:eastAsia="宋体" w:cs="宋体"/>
          <w:color w:val="auto"/>
          <w:kern w:val="0"/>
          <w:sz w:val="24"/>
          <w:highlight w:val="none"/>
          <w:u w:val="single"/>
        </w:rPr>
        <w:t xml:space="preserve"> 一 </w:t>
      </w:r>
      <w:r>
        <w:rPr>
          <w:rFonts w:hint="eastAsia" w:ascii="宋体" w:hAnsi="宋体" w:eastAsia="宋体" w:cs="宋体"/>
          <w:color w:val="auto"/>
          <w:kern w:val="0"/>
          <w:sz w:val="24"/>
          <w:highlight w:val="none"/>
        </w:rPr>
        <w:t>份，</w:t>
      </w:r>
      <w:r>
        <w:rPr>
          <w:rFonts w:hint="eastAsia" w:ascii="宋体" w:hAnsi="宋体" w:eastAsia="宋体" w:cs="宋体"/>
          <w:color w:val="auto"/>
          <w:kern w:val="0"/>
          <w:sz w:val="24"/>
          <w:highlight w:val="none"/>
          <w:u w:val="single"/>
        </w:rPr>
        <w:t xml:space="preserve"> 一 </w:t>
      </w:r>
      <w:r>
        <w:rPr>
          <w:rFonts w:hint="eastAsia" w:ascii="宋体" w:hAnsi="宋体" w:eastAsia="宋体" w:cs="宋体"/>
          <w:color w:val="auto"/>
          <w:kern w:val="0"/>
          <w:sz w:val="24"/>
          <w:highlight w:val="none"/>
        </w:rPr>
        <w:t>份报送政府采购监督管理部门备案，</w:t>
      </w:r>
      <w:r>
        <w:rPr>
          <w:rFonts w:hint="eastAsia" w:ascii="宋体" w:hAnsi="宋体" w:eastAsia="宋体" w:cs="宋体"/>
          <w:color w:val="auto"/>
          <w:kern w:val="0"/>
          <w:sz w:val="24"/>
          <w:highlight w:val="none"/>
          <w:u w:val="single"/>
        </w:rPr>
        <w:t xml:space="preserve"> 一 </w:t>
      </w:r>
      <w:r>
        <w:rPr>
          <w:rFonts w:hint="eastAsia" w:ascii="宋体" w:hAnsi="宋体" w:eastAsia="宋体" w:cs="宋体"/>
          <w:color w:val="auto"/>
          <w:kern w:val="0"/>
          <w:sz w:val="24"/>
          <w:highlight w:val="none"/>
        </w:rPr>
        <w:t>份留招标代理机构备查，</w:t>
      </w:r>
      <w:r>
        <w:rPr>
          <w:rFonts w:hint="eastAsia" w:ascii="宋体" w:hAnsi="宋体" w:eastAsia="宋体" w:cs="宋体"/>
          <w:color w:val="auto"/>
          <w:kern w:val="0"/>
          <w:sz w:val="24"/>
          <w:highlight w:val="none"/>
          <w:u w:val="single"/>
        </w:rPr>
        <w:t xml:space="preserve"> 一 </w:t>
      </w:r>
      <w:r>
        <w:rPr>
          <w:rFonts w:hint="eastAsia" w:ascii="宋体" w:hAnsi="宋体" w:eastAsia="宋体" w:cs="宋体"/>
          <w:color w:val="auto"/>
          <w:kern w:val="0"/>
          <w:sz w:val="24"/>
          <w:highlight w:val="none"/>
        </w:rPr>
        <w:t>份送</w:t>
      </w:r>
      <w:r>
        <w:rPr>
          <w:rFonts w:hint="eastAsia" w:ascii="宋体" w:hAnsi="宋体" w:eastAsia="宋体" w:cs="宋体"/>
          <w:color w:val="auto"/>
          <w:sz w:val="24"/>
          <w:highlight w:val="none"/>
        </w:rPr>
        <w:t>财政核算支付中心</w:t>
      </w:r>
      <w:r>
        <w:rPr>
          <w:rFonts w:hint="eastAsia" w:ascii="宋体" w:hAnsi="宋体" w:eastAsia="宋体" w:cs="宋体"/>
          <w:color w:val="auto"/>
          <w:kern w:val="0"/>
          <w:sz w:val="24"/>
          <w:highlight w:val="none"/>
        </w:rPr>
        <w:t>。（若执行政采贷，另加二份）</w:t>
      </w:r>
    </w:p>
    <w:p>
      <w:pPr>
        <w:keepNext w:val="0"/>
        <w:keepLines w:val="0"/>
        <w:pageBreakBefore w:val="0"/>
        <w:kinsoku/>
        <w:wordWrap/>
        <w:overflowPunct/>
        <w:topLinePunct w:val="0"/>
        <w:autoSpaceDE/>
        <w:autoSpaceDN/>
        <w:bidi w:val="0"/>
        <w:adjustRightInd w:val="0"/>
        <w:snapToGrid w:val="0"/>
        <w:spacing w:line="312" w:lineRule="auto"/>
        <w:ind w:left="36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二、其他条款</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1.承包内容和承包期限</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1.1根据招标文件第三部分的内容；提供嘉兴市第一医院保安服务。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1.2本次合同承包期为合同签订后一年，其中前三个月（包括在一年中）为试用期，试用期满经采购人考核合格后，合同方为有效。第二年经采购人考核合格后可续签一年。</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2.合同价格</w:t>
      </w:r>
    </w:p>
    <w:p>
      <w:pPr>
        <w:keepNext w:val="0"/>
        <w:keepLines w:val="0"/>
        <w:pageBreakBefore w:val="0"/>
        <w:kinsoku/>
        <w:wordWrap/>
        <w:overflowPunct/>
        <w:topLinePunct w:val="0"/>
        <w:autoSpaceDE/>
        <w:autoSpaceDN/>
        <w:bidi w:val="0"/>
        <w:adjustRightInd w:val="0"/>
        <w:snapToGrid w:val="0"/>
        <w:spacing w:line="312" w:lineRule="auto"/>
        <w:ind w:left="598" w:leftChars="285"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本合同承包价为人民币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万元/年，突发事件临时加班费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小时</w:t>
      </w:r>
      <w:r>
        <w:rPr>
          <w:rFonts w:hint="eastAsia" w:ascii="宋体" w:hAnsi="宋体" w:eastAsia="宋体" w:cs="宋体"/>
          <w:color w:val="auto"/>
          <w:sz w:val="24"/>
          <w:highlight w:val="none"/>
        </w:rPr>
        <w:t>，项目负责人为：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2.1本项目投标报价为一年（自合同签订之日起）的承包费用报价（</w:t>
      </w:r>
      <w:r>
        <w:rPr>
          <w:rFonts w:hint="eastAsia" w:ascii="宋体" w:hAnsi="宋体" w:eastAsia="宋体" w:cs="宋体"/>
          <w:color w:val="auto"/>
          <w:sz w:val="24"/>
          <w:highlight w:val="none"/>
        </w:rPr>
        <w:t>合同签订后一年，其中前三个月（包括在一年中）为试用期，试用期满经采购人考核合格后，合同方为有效。第二年经采购人考核合格后可续签一年</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rPr>
        <w:t>第二年的承包费不得增加）。</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本项目投标报价为一年保安服务的费用，投标总价应包括承包区域内提供保安服务所需的一切人员人工费用[含工资、奖金、补贴、加班费、高温补偿费、社会保险（基本养老保险、基本医疗保险、工伤保险、失业保险、生育保险）]、钱款押运（含车辆、司乘人员、保安人员费用）、办公费、食宿与交通费、设备器材及工具、耗材费用、服装费、安全费、管理费用、规费、税费、利润以及完成合同所需的一切本身和不可或缺的所有费用并承担一切风险责任。在保安合同服务期间内不得违反国家相关政策规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（1）发包方提出的承包区域面积或承包内容变更，根据原中标综合单价计算变更费用。但属承包方投标漏项少算的费用不得追补。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（2）发生不可抗力的因素造成乙方直接损失的费用，经鉴定核准，甲方酌情予以一定补偿。但属乙方可以预见、预防，而乙方预防不力所造成的损失，不予补偿。其经济损失由乙方承担。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2.3乙方支付给在甲方场所服务的保安员应发收入不少于每月人均服务费（合同总价÷保安人数÷12）的70%，每月向甲方提供前一个月的保安人员工资发放表用于备案。在合同期内，采购人不承担工资上调费用。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投标人认为为完成本招标文件规定的项目承包内容所需发生的直接成本、间接成本、利润、税金、政策性文件规定的费用、风险等一切费用均应计入投标报价；凡未列入的，将被认为均已包含在投标总报价中，今后不得以任何理由追加或调整。</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3.甲方责任条款</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3.1提供医院保安服务质量标准、作业规范及考核办法。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3.2组织对乙方提供服务的考核。</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3.3按合同约定支付合同款项。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3.4如遇突发事件，协调乙方在作业过程中与其他部门的关系。</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4.乙方责任条款</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4.1按招标文件、投标文件及医院的有关要求提供医院保安服务。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4.2遇到突发事件或自然灾害，必须服从甲方指挥与安排。</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4.2协助甲方调查、处理有关投诉，并根据甲方要求及时处理。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4.4完成甲方交办的临时性任务。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4.5未经甲方同意，乙方无权在承包区域内从事任何经营活动或类似宣传，甲方有权依照法律法规和甲方相关的规定责令乙方限期改正，并接受处罚。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4.7代理甲方**室协警服务费管理和代发协警工资。**室协警的服务费以当年本地公安系统招聘公安协警为参考。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4.8配合甲方履行保安管理基金协议所要求的条款。</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5.承包职责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5.1乙方必须信守承包承诺，认真落实具有相应的固定服务人员，服务人员必须统一穿着工作服，挂牌上岗并建立健全的管理制度。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5.2乙方必须按甲方制订的服务标准，严格履行承包义务，为甲方提供专业、优质、高效的服务。并根据甲方要求改变不满意的状况，接受甲方的监督和检查。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5.3因工作需要，甲方临时向乙方提出服务的要求，乙方应全力配合，按照甲方提出标准及要求完成任务，不得无故拖延。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5.4在服务期内承包人遇到医院各类检查（如上级部门来院检查等），承包人要无条件加班，医院不另支付加班费，即此项造成的费用由承包方承担。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5.5乙方必须对员工发生的事故责任以及员工计生、身份、健康等承担责任；同时对员工在院内做出不良行为给医院造成影响承担责任。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5.6乙方员工发生被媒体曝光或影响甲方公众形象或违反医院规章制度造成不良影响，而由此产生的损失及消除影响产生的费用，由乙方全部承担。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5.7承包期间，乙方应保证承包区域内的其他有关设施、设备不受损坏，否则由此引起的责任和损失由乙方承担。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5.8公司的办公各类设施及费用、人员食宿、安全等均由乙方自行负责解决。</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5.9乙方须缴纳员工必要的社会保险，员工福利方面按社保缴纳清单支付。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5.10乙方须为乙方的每位员工交纳各种社会保险及保证每位员工的必要休息时间，乙方每月支付乙方员工的工资不低于每月人均服务费（中标总价÷保安人数÷12）的70%。</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5.11甲方为乙方提供一定的办公场所。</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6.考核标准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6.1甲方对乙方按考核制度每月进行考核。</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7.付款方式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7.1乙方在签定合同前7天内，向甲方提供合同总价</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%的履约保证金</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方式为</w:t>
      </w:r>
      <w:r>
        <w:rPr>
          <w:rFonts w:hint="eastAsia" w:ascii="宋体" w:hAnsi="宋体" w:eastAsia="宋体" w:cs="宋体"/>
          <w:color w:val="auto"/>
          <w:kern w:val="0"/>
          <w:sz w:val="24"/>
          <w:highlight w:val="none"/>
        </w:rPr>
        <w:t>支票、汇票、本票或者金融机构、担保机构出具的保函等非现金形式。</w:t>
      </w:r>
      <w:r>
        <w:rPr>
          <w:rFonts w:hint="eastAsia" w:ascii="宋体" w:hAnsi="宋体" w:eastAsia="宋体" w:cs="宋体"/>
          <w:color w:val="auto"/>
          <w:kern w:val="0"/>
          <w:sz w:val="24"/>
          <w:highlight w:val="none"/>
          <w:lang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合同签定后内，甲方按考核得分每月15日前支付费用，乙方开始投入营运起计费，每满营运一个月后付款；乙方在服务期内有下列行为，造成的不当损失而产生费用，要从当月支付给乙方的费用中扣除：A、乙方要爱护与保管医院财产，如损坏医院设施等，按实际损失价值赔偿；B、没有达到考核标准的，按考核标准中规定的扣除；C、其它因乙方不作为或管理不严等，造成医院不良影响或损失。D、部分与招标文件不符合的做法，或不履行其投标文件的承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临时用工的费用按实计算，经甲方签证核实后在下一个月支付。</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8.违约中止合同及赔偿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8.1甲方在乙方存在如下违约情况时，有权单方面终止全部或部分合同，并保留进一步追究乙方责任的权利（包括经济赔偿）。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（1）乙方未能履行合同规定的义务；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（2）连续四个月或一年累计达6次月度考核不合格；</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（3）有严重影响医院有关科室的正常工作及医院形象。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8.2乙方如要提前中止合同，需提前3个月，并征得甲方同意，否则按合同执行。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8.3除不可抗力以外，如发生乙方不能履行合同义务，或甲方发生中途终止合同等情况，应及时以书面形式通知对方。甲乙双方应本着友好的态度进行协商，妥善解决。如协商无效，按下列规定计算并支付违约金：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（1）乙方不能履行合同义务，应按未履行部分合同价格的10%向甲方偿付违约金，同时履约保证金不予退还。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（2）如乙方未能履行合同规定的任何一项义务，甲方均有权从履约保证金中得到补偿。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（3）乙方在合同签订一个月后在岗人员低于90%的扣除当月总服务费的5%，连续3个月以上在岗人员低于90%，扣除当月总服务费的10%。</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（4）在岗人员年龄55岁以下不到65%，扣除当月总服务费的1%</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（5）甲方发生中途终止合同（8.1条原因除外），应向乙方偿付违约金，违约金按未履行部分合同价格的2%计算。</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（6）经双方协商可终止部分或全部合同的，无须承担违约责任。</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9.破产终止合同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9.1如果乙方破产或无清偿能力时，甲方可在任何时候以书面通知乙方终止合同。该终止合同将不损害或影响甲方已经采取或将要采取的补救措施的权利。</w:t>
      </w:r>
    </w:p>
    <w:p>
      <w:pPr>
        <w:keepNext w:val="0"/>
        <w:keepLines w:val="0"/>
        <w:pageBreakBefore w:val="0"/>
        <w:kinsoku/>
        <w:wordWrap/>
        <w:overflowPunct/>
        <w:topLinePunct w:val="0"/>
        <w:autoSpaceDE/>
        <w:autoSpaceDN/>
        <w:bidi w:val="0"/>
        <w:adjustRightInd w:val="0"/>
        <w:snapToGrid w:val="0"/>
        <w:spacing w:line="312" w:lineRule="auto"/>
        <w:ind w:left="36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10.仲裁</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10.1双方在执行合同中所发生的一切争议，应通过协商解决。如协商不成，应向甲方法定地址所在仲裁机构提交仲裁，也可直接向甲方法定地址所在人民法院起诉。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10.2在仲裁期间，除正在进行仲裁的部份外，本合同其他部份应继续执行。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10.3仲裁费用除仲裁机构另行有裁决外，由败诉方承担。</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11.合同生效及其他</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11.1合同经双方签字并加盖公章后生效。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11.2合同签定地点：合同执行地。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11.3合同执行中，如需修改或补充合同内容，经协商，双方应签署书面修改或补充协议。该协议将作为合同不可分割的一部分。</w:t>
      </w:r>
    </w:p>
    <w:p>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12.其它</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12.1招标文件、补充文件、投标文件及询标答疑纪要、中标通知书等作为本合同的附件，与本合同具有同等法律效力。</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12.2本合同一式四份，双方各执二份，双方签字盖章后生效，违约及其处罚按经济合同法及本合同有关条款执行。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12.3以上协议未尽之处，双方协商解决。</w:t>
      </w:r>
    </w:p>
    <w:p>
      <w:pPr>
        <w:keepNext w:val="0"/>
        <w:keepLines w:val="0"/>
        <w:pageBreakBefore w:val="0"/>
        <w:kinsoku/>
        <w:wordWrap/>
        <w:overflowPunct/>
        <w:topLinePunct w:val="0"/>
        <w:autoSpaceDE/>
        <w:autoSpaceDN/>
        <w:bidi w:val="0"/>
        <w:adjustRightInd w:val="0"/>
        <w:snapToGrid w:val="0"/>
        <w:spacing w:line="312" w:lineRule="auto"/>
        <w:ind w:left="360"/>
        <w:textAlignment w:val="auto"/>
        <w:rPr>
          <w:rFonts w:hint="eastAsia" w:ascii="宋体" w:hAnsi="宋体" w:eastAsia="宋体" w:cs="宋体"/>
          <w:color w:val="auto"/>
          <w:sz w:val="24"/>
          <w:highlight w:val="none"/>
        </w:rPr>
      </w:pPr>
    </w:p>
    <w:p>
      <w:pPr>
        <w:keepNext w:val="0"/>
        <w:keepLines w:val="0"/>
        <w:pageBreakBefore w:val="0"/>
        <w:tabs>
          <w:tab w:val="left" w:pos="840"/>
        </w:tabs>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keepNext w:val="0"/>
        <w:keepLines w:val="0"/>
        <w:pageBreakBefore w:val="0"/>
        <w:tabs>
          <w:tab w:val="left" w:pos="840"/>
        </w:tabs>
        <w:kinsoku/>
        <w:wordWrap/>
        <w:overflowPunct/>
        <w:topLinePunct w:val="0"/>
        <w:autoSpaceDE/>
        <w:autoSpaceDN/>
        <w:bidi w:val="0"/>
        <w:adjustRightInd w:val="0"/>
        <w:spacing w:line="312" w:lineRule="auto"/>
        <w:ind w:right="-220" w:rightChars="-1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法定代表人或受委托人（签字或盖章）：  法定代表人或受委托人（签字或盖章）：地址：                                地址：</w:t>
      </w:r>
    </w:p>
    <w:p>
      <w:pPr>
        <w:keepNext w:val="0"/>
        <w:keepLines w:val="0"/>
        <w:pageBreakBefore w:val="0"/>
        <w:tabs>
          <w:tab w:val="left" w:pos="840"/>
        </w:tabs>
        <w:kinsoku/>
        <w:wordWrap/>
        <w:overflowPunct/>
        <w:topLinePunct w:val="0"/>
        <w:autoSpaceDE/>
        <w:autoSpaceDN/>
        <w:bidi w:val="0"/>
        <w:adjustRightInd w:val="0"/>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电话：  </w:t>
      </w:r>
    </w:p>
    <w:p>
      <w:pPr>
        <w:keepNext w:val="0"/>
        <w:keepLines w:val="0"/>
        <w:pageBreakBefore w:val="0"/>
        <w:tabs>
          <w:tab w:val="left" w:pos="840"/>
        </w:tabs>
        <w:kinsoku/>
        <w:wordWrap/>
        <w:overflowPunct/>
        <w:topLinePunct w:val="0"/>
        <w:autoSpaceDE/>
        <w:autoSpaceDN/>
        <w:bidi w:val="0"/>
        <w:adjustRightInd w:val="0"/>
        <w:spacing w:line="312" w:lineRule="auto"/>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签约地点：                            签约时间：     年   月   日</w:t>
      </w:r>
    </w:p>
    <w:p>
      <w:pPr>
        <w:pStyle w:val="10"/>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p>
    <w:p>
      <w:pPr>
        <w:pStyle w:val="10"/>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b/>
          <w:color w:val="auto"/>
          <w:sz w:val="24"/>
          <w:szCs w:val="24"/>
          <w:highlight w:val="none"/>
        </w:rPr>
      </w:pPr>
    </w:p>
    <w:p>
      <w:pPr>
        <w:pStyle w:val="10"/>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注：本合同作为示范文本，具体以中标人与业主单位所签定正式合同为准。</w:t>
      </w:r>
    </w:p>
    <w:p>
      <w:pPr>
        <w:spacing w:line="480" w:lineRule="auto"/>
        <w:rPr>
          <w:rFonts w:hint="eastAsia" w:ascii="宋体" w:hAnsi="宋体" w:eastAsia="宋体" w:cs="宋体"/>
          <w:b/>
          <w:color w:val="auto"/>
          <w:sz w:val="24"/>
          <w:highlight w:val="none"/>
        </w:rPr>
      </w:pPr>
    </w:p>
    <w:p>
      <w:pPr>
        <w:pStyle w:val="10"/>
        <w:snapToGrid w:val="0"/>
        <w:spacing w:line="360" w:lineRule="auto"/>
        <w:ind w:firstLine="440" w:firstLineChars="200"/>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4"/>
          <w:highlight w:val="none"/>
        </w:rPr>
        <w:sectPr>
          <w:footerReference r:id="rId8" w:type="first"/>
          <w:headerReference r:id="rId6" w:type="default"/>
          <w:footerReference r:id="rId7" w:type="default"/>
          <w:pgSz w:w="11906" w:h="16838"/>
          <w:pgMar w:top="1588" w:right="1588" w:bottom="1588" w:left="1588" w:header="964" w:footer="964" w:gutter="0"/>
          <w:pgNumType w:fmt="decimal"/>
          <w:cols w:space="720" w:num="1"/>
          <w:titlePg/>
          <w:docGrid w:linePitch="312" w:charSpace="0"/>
        </w:sectPr>
      </w:pPr>
    </w:p>
    <w:p>
      <w:pPr>
        <w:rPr>
          <w:rFonts w:hint="eastAsia" w:ascii="宋体" w:hAnsi="宋体" w:eastAsia="宋体" w:cs="宋体"/>
          <w:color w:val="auto"/>
          <w:sz w:val="24"/>
          <w:highlight w:val="none"/>
        </w:rPr>
      </w:pPr>
    </w:p>
    <w:p>
      <w:pPr>
        <w:spacing w:line="360" w:lineRule="auto"/>
        <w:ind w:left="720" w:firstLine="964" w:firstLineChars="400"/>
        <w:rPr>
          <w:rFonts w:hint="eastAsia" w:ascii="宋体" w:hAnsi="宋体" w:eastAsia="宋体" w:cs="宋体"/>
          <w:b/>
          <w:color w:val="auto"/>
          <w:sz w:val="24"/>
          <w:highlight w:val="none"/>
        </w:rPr>
      </w:pPr>
    </w:p>
    <w:p>
      <w:pPr>
        <w:spacing w:line="360" w:lineRule="auto"/>
        <w:ind w:firstLine="1446" w:firstLineChars="400"/>
        <w:outlineLvl w:val="0"/>
        <w:rPr>
          <w:rFonts w:hint="eastAsia" w:ascii="宋体" w:hAnsi="宋体" w:eastAsia="宋体" w:cs="宋体"/>
          <w:b/>
          <w:color w:val="auto"/>
          <w:sz w:val="36"/>
          <w:szCs w:val="36"/>
          <w:highlight w:val="none"/>
        </w:rPr>
      </w:pPr>
      <w:bookmarkStart w:id="547" w:name="_Toc20907"/>
      <w:bookmarkStart w:id="548" w:name="_Toc30154"/>
      <w:bookmarkStart w:id="549" w:name="_Toc22299"/>
      <w:r>
        <w:rPr>
          <w:rFonts w:hint="eastAsia" w:ascii="宋体" w:hAnsi="宋体" w:eastAsia="宋体" w:cs="宋体"/>
          <w:b/>
          <w:color w:val="auto"/>
          <w:sz w:val="36"/>
          <w:szCs w:val="36"/>
          <w:highlight w:val="none"/>
        </w:rPr>
        <w:t>第六部分</w:t>
      </w:r>
      <w:bookmarkEnd w:id="520"/>
      <w:bookmarkEnd w:id="521"/>
      <w:r>
        <w:rPr>
          <w:rFonts w:hint="eastAsia" w:ascii="宋体" w:hAnsi="宋体" w:eastAsia="宋体" w:cs="宋体"/>
          <w:b/>
          <w:color w:val="auto"/>
          <w:sz w:val="36"/>
          <w:szCs w:val="36"/>
          <w:highlight w:val="none"/>
        </w:rPr>
        <w:t>应提交的有关格式范例</w:t>
      </w:r>
      <w:bookmarkEnd w:id="547"/>
      <w:bookmarkEnd w:id="548"/>
      <w:bookmarkEnd w:id="549"/>
    </w:p>
    <w:p>
      <w:pPr>
        <w:spacing w:afterLines="150"/>
        <w:ind w:firstLine="470" w:firstLineChars="196"/>
        <w:rPr>
          <w:rFonts w:hint="eastAsia" w:ascii="宋体" w:hAnsi="宋体" w:eastAsia="宋体" w:cs="宋体"/>
          <w:color w:val="auto"/>
          <w:sz w:val="24"/>
          <w:highlight w:val="none"/>
        </w:rPr>
      </w:pPr>
    </w:p>
    <w:p>
      <w:pPr>
        <w:spacing w:line="360" w:lineRule="auto"/>
        <w:jc w:val="center"/>
        <w:outlineLvl w:val="1"/>
        <w:rPr>
          <w:rFonts w:hint="eastAsia" w:ascii="宋体" w:hAnsi="宋体" w:eastAsia="宋体" w:cs="宋体"/>
          <w:b/>
          <w:color w:val="auto"/>
          <w:kern w:val="0"/>
          <w:sz w:val="28"/>
          <w:szCs w:val="28"/>
          <w:highlight w:val="none"/>
        </w:rPr>
      </w:pPr>
      <w:bookmarkStart w:id="550" w:name="_Toc832"/>
      <w:bookmarkStart w:id="551" w:name="_Toc30907"/>
      <w:bookmarkStart w:id="552" w:name="_Toc26536"/>
      <w:r>
        <w:rPr>
          <w:rFonts w:hint="eastAsia" w:ascii="宋体" w:hAnsi="宋体" w:eastAsia="宋体" w:cs="宋体"/>
          <w:b/>
          <w:color w:val="auto"/>
          <w:kern w:val="0"/>
          <w:sz w:val="28"/>
          <w:szCs w:val="28"/>
          <w:highlight w:val="none"/>
        </w:rPr>
        <w:t>资格文件部分</w:t>
      </w:r>
      <w:bookmarkEnd w:id="550"/>
      <w:bookmarkEnd w:id="551"/>
      <w:bookmarkEnd w:id="552"/>
    </w:p>
    <w:p>
      <w:pPr>
        <w:spacing w:line="360" w:lineRule="auto"/>
        <w:jc w:val="center"/>
        <w:outlineLvl w:val="0"/>
        <w:rPr>
          <w:rFonts w:hint="eastAsia" w:ascii="宋体" w:hAnsi="宋体" w:eastAsia="宋体" w:cs="宋体"/>
          <w:b/>
          <w:color w:val="auto"/>
          <w:kern w:val="0"/>
          <w:sz w:val="24"/>
          <w:highlight w:val="none"/>
        </w:rPr>
      </w:pPr>
      <w:bookmarkStart w:id="553" w:name="_Toc3139"/>
      <w:bookmarkStart w:id="554" w:name="_Toc6616"/>
      <w:bookmarkStart w:id="555" w:name="_Toc28764"/>
      <w:r>
        <w:rPr>
          <w:rFonts w:hint="eastAsia" w:ascii="宋体" w:hAnsi="宋体" w:eastAsia="宋体" w:cs="宋体"/>
          <w:b/>
          <w:color w:val="auto"/>
          <w:kern w:val="0"/>
          <w:sz w:val="24"/>
          <w:highlight w:val="none"/>
        </w:rPr>
        <w:t>目录</w:t>
      </w:r>
      <w:bookmarkEnd w:id="553"/>
      <w:bookmarkEnd w:id="554"/>
      <w:bookmarkEnd w:id="555"/>
    </w:p>
    <w:p>
      <w:pPr>
        <w:spacing w:line="360" w:lineRule="auto"/>
        <w:jc w:val="center"/>
        <w:rPr>
          <w:rFonts w:hint="eastAsia" w:ascii="宋体" w:hAnsi="宋体" w:eastAsia="宋体" w:cs="宋体"/>
          <w:b/>
          <w:color w:val="auto"/>
          <w:kern w:val="0"/>
          <w:sz w:val="24"/>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（4）政府采购活动现场确认声明书………………………………………（页码）</w:t>
      </w: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outlineLvl w:val="1"/>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br w:type="page"/>
      </w:r>
      <w:bookmarkStart w:id="556" w:name="_Toc18680"/>
      <w:bookmarkStart w:id="557" w:name="_Toc19555"/>
      <w:r>
        <w:rPr>
          <w:rFonts w:hint="eastAsia" w:ascii="宋体" w:hAnsi="宋体" w:eastAsia="宋体" w:cs="宋体"/>
          <w:b/>
          <w:color w:val="auto"/>
          <w:kern w:val="0"/>
          <w:sz w:val="30"/>
          <w:szCs w:val="30"/>
          <w:highlight w:val="none"/>
        </w:rPr>
        <w:t>一、 符合参加政府采购活动应当具备的一般条件的承诺函</w:t>
      </w:r>
      <w:bookmarkEnd w:id="556"/>
      <w:bookmarkEnd w:id="557"/>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嘉兴市第一医院</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杭州中浙招标有限公司：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嘉兴市第一医院2022至2023年安保服务项目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中浙-CZTC22211</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rPr>
          <w:rFonts w:hint="eastAsia" w:ascii="宋体" w:hAnsi="宋体" w:eastAsia="宋体" w:cs="宋体"/>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pStyle w:val="3"/>
        <w:outlineLvl w:val="9"/>
        <w:rPr>
          <w:rFonts w:hint="eastAsia" w:ascii="宋体" w:hAnsi="宋体" w:eastAsia="宋体" w:cs="宋体"/>
          <w:color w:val="auto"/>
          <w:sz w:val="24"/>
          <w:szCs w:val="24"/>
          <w:highlight w:val="none"/>
        </w:rPr>
      </w:pPr>
    </w:p>
    <w:p>
      <w:pPr>
        <w:snapToGrid w:val="0"/>
        <w:spacing w:line="360" w:lineRule="auto"/>
        <w:ind w:right="480"/>
        <w:jc w:val="center"/>
        <w:outlineLvl w:val="1"/>
        <w:rPr>
          <w:rFonts w:hint="eastAsia" w:ascii="宋体" w:hAnsi="宋体" w:eastAsia="宋体" w:cs="宋体"/>
          <w:b/>
          <w:color w:val="auto"/>
          <w:kern w:val="0"/>
          <w:sz w:val="30"/>
          <w:szCs w:val="30"/>
          <w:highlight w:val="none"/>
        </w:rPr>
      </w:pPr>
      <w:bookmarkStart w:id="558" w:name="_Toc17428"/>
      <w:bookmarkStart w:id="559" w:name="_Toc12301"/>
      <w:bookmarkStart w:id="560" w:name="_Toc13909"/>
      <w:r>
        <w:rPr>
          <w:rFonts w:hint="eastAsia" w:ascii="宋体" w:hAnsi="宋体" w:eastAsia="宋体" w:cs="宋体"/>
          <w:b/>
          <w:color w:val="auto"/>
          <w:kern w:val="0"/>
          <w:sz w:val="30"/>
          <w:szCs w:val="30"/>
          <w:highlight w:val="none"/>
        </w:rPr>
        <w:t>二、落实政府采购政策需满足的资格要求</w:t>
      </w:r>
      <w:bookmarkEnd w:id="558"/>
      <w:bookmarkEnd w:id="559"/>
      <w:bookmarkEnd w:id="560"/>
    </w:p>
    <w:p>
      <w:pPr>
        <w:pStyle w:val="25"/>
        <w:ind w:firstLine="1446" w:firstLineChars="600"/>
        <w:rPr>
          <w:rFonts w:hint="eastAsia" w:ascii="宋体" w:hAnsi="宋体" w:eastAsia="宋体" w:cs="宋体"/>
          <w:b/>
          <w:color w:val="auto"/>
          <w:kern w:val="0"/>
          <w:sz w:val="24"/>
          <w:szCs w:val="24"/>
          <w:highlight w:val="none"/>
        </w:rPr>
      </w:pPr>
    </w:p>
    <w:p>
      <w:pPr>
        <w:pStyle w:val="25"/>
        <w:ind w:firstLine="1446" w:firstLineChars="6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专门面向中小</w:t>
      </w:r>
      <w:bookmarkStart w:id="683" w:name="_GoBack"/>
      <w:bookmarkEnd w:id="683"/>
      <w:r>
        <w:rPr>
          <w:rFonts w:hint="eastAsia" w:ascii="宋体" w:hAnsi="宋体" w:eastAsia="宋体" w:cs="宋体"/>
          <w:b/>
          <w:color w:val="auto"/>
          <w:kern w:val="0"/>
          <w:sz w:val="24"/>
          <w:szCs w:val="24"/>
          <w:highlight w:val="none"/>
        </w:rPr>
        <w:t>企业，必须提供《中小企业声明函》</w:t>
      </w:r>
    </w:p>
    <w:p>
      <w:pPr>
        <w:widowControl/>
        <w:spacing w:line="360" w:lineRule="auto"/>
        <w:ind w:firstLine="723" w:firstLineChars="300"/>
        <w:rPr>
          <w:rFonts w:hint="eastAsia" w:ascii="宋体" w:hAnsi="宋体" w:eastAsia="宋体" w:cs="宋体"/>
          <w:b/>
          <w:color w:val="auto"/>
          <w:kern w:val="0"/>
          <w:sz w:val="24"/>
          <w:highlight w:val="none"/>
        </w:rPr>
      </w:pPr>
    </w:p>
    <w:p>
      <w:pPr>
        <w:widowControl/>
        <w:spacing w:line="360" w:lineRule="auto"/>
        <w:jc w:val="center"/>
        <w:outlineLvl w:val="9"/>
        <w:rPr>
          <w:rFonts w:hint="eastAsia" w:ascii="宋体" w:hAnsi="宋体" w:eastAsia="宋体" w:cs="宋体"/>
          <w:b/>
          <w:color w:val="auto"/>
          <w:kern w:val="0"/>
          <w:sz w:val="30"/>
          <w:szCs w:val="30"/>
          <w:highlight w:val="none"/>
        </w:rPr>
      </w:pPr>
      <w:bookmarkStart w:id="561" w:name="_Toc1708"/>
    </w:p>
    <w:p>
      <w:pPr>
        <w:widowControl/>
        <w:spacing w:line="360" w:lineRule="auto"/>
        <w:jc w:val="center"/>
        <w:outlineLvl w:val="1"/>
        <w:rPr>
          <w:rFonts w:hint="eastAsia" w:ascii="宋体" w:hAnsi="宋体" w:eastAsia="宋体" w:cs="宋体"/>
          <w:b/>
          <w:color w:val="auto"/>
          <w:kern w:val="0"/>
          <w:sz w:val="30"/>
          <w:szCs w:val="30"/>
          <w:highlight w:val="none"/>
        </w:rPr>
      </w:pPr>
      <w:bookmarkStart w:id="562" w:name="_Toc7264"/>
      <w:bookmarkStart w:id="563" w:name="_Toc21945"/>
      <w:r>
        <w:rPr>
          <w:rFonts w:hint="eastAsia" w:ascii="宋体" w:hAnsi="宋体" w:eastAsia="宋体" w:cs="宋体"/>
          <w:b/>
          <w:color w:val="auto"/>
          <w:kern w:val="0"/>
          <w:sz w:val="30"/>
          <w:szCs w:val="30"/>
          <w:highlight w:val="none"/>
        </w:rPr>
        <w:t>三、本项目的特定资格要求</w:t>
      </w:r>
      <w:bookmarkEnd w:id="561"/>
      <w:bookmarkEnd w:id="562"/>
      <w:bookmarkEnd w:id="563"/>
    </w:p>
    <w:p>
      <w:pPr>
        <w:snapToGrid w:val="0"/>
        <w:spacing w:line="360" w:lineRule="auto"/>
        <w:ind w:right="480" w:firstLine="1687" w:firstLineChars="700"/>
        <w:rPr>
          <w:rFonts w:hint="eastAsia" w:ascii="宋体" w:hAnsi="宋体" w:eastAsia="宋体" w:cs="宋体"/>
          <w:b/>
          <w:color w:val="auto"/>
          <w:kern w:val="0"/>
          <w:sz w:val="24"/>
          <w:highlight w:val="none"/>
        </w:rPr>
      </w:pPr>
    </w:p>
    <w:p>
      <w:pPr>
        <w:snapToGrid w:val="0"/>
        <w:spacing w:line="360" w:lineRule="auto"/>
        <w:ind w:right="48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具有公安行政主管部门颁发的保安服务许可证（提供有效期内的保安服务许可证）</w:t>
      </w: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pacing w:line="360" w:lineRule="auto"/>
        <w:jc w:val="center"/>
        <w:rPr>
          <w:rFonts w:hint="eastAsia" w:ascii="宋体" w:hAnsi="宋体" w:eastAsia="宋体" w:cs="宋体"/>
          <w:b/>
          <w:color w:val="auto"/>
          <w:kern w:val="0"/>
          <w:sz w:val="24"/>
          <w:highlight w:val="none"/>
        </w:rPr>
      </w:pPr>
    </w:p>
    <w:p>
      <w:pPr>
        <w:pStyle w:val="25"/>
        <w:rPr>
          <w:rFonts w:hint="eastAsia" w:ascii="宋体" w:hAnsi="宋体" w:eastAsia="宋体" w:cs="宋体"/>
          <w:b/>
          <w:color w:val="auto"/>
          <w:kern w:val="0"/>
          <w:sz w:val="24"/>
          <w:szCs w:val="24"/>
          <w:highlight w:val="none"/>
        </w:rPr>
      </w:pPr>
    </w:p>
    <w:p>
      <w:pPr>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bookmarkStart w:id="564" w:name="_Toc15734"/>
      <w:r>
        <w:rPr>
          <w:rFonts w:hint="eastAsia" w:ascii="宋体" w:hAnsi="宋体" w:eastAsia="宋体" w:cs="宋体"/>
          <w:b/>
          <w:color w:val="auto"/>
          <w:kern w:val="0"/>
          <w:sz w:val="24"/>
          <w:highlight w:val="none"/>
        </w:rPr>
        <w:br w:type="page"/>
      </w:r>
    </w:p>
    <w:p>
      <w:pPr>
        <w:pStyle w:val="3"/>
        <w:keepNext w:val="0"/>
        <w:keepLines w:val="0"/>
        <w:widowControl/>
        <w:snapToGrid w:val="0"/>
        <w:ind w:left="0" w:firstLine="0"/>
        <w:jc w:val="center"/>
        <w:rPr>
          <w:rFonts w:hint="eastAsia" w:ascii="宋体" w:hAnsi="宋体" w:eastAsia="宋体" w:cs="宋体"/>
          <w:color w:val="auto"/>
          <w:highlight w:val="none"/>
        </w:rPr>
      </w:pPr>
      <w:bookmarkStart w:id="565" w:name="_Toc650"/>
      <w:bookmarkStart w:id="566" w:name="_Toc18211"/>
      <w:r>
        <w:rPr>
          <w:rFonts w:hint="eastAsia" w:ascii="宋体" w:hAnsi="宋体" w:eastAsia="宋体" w:cs="宋体"/>
          <w:color w:val="auto"/>
          <w:highlight w:val="none"/>
          <w:lang w:val="en-US"/>
        </w:rPr>
        <w:t>四、</w:t>
      </w:r>
      <w:r>
        <w:rPr>
          <w:rFonts w:hint="eastAsia" w:ascii="宋体" w:hAnsi="宋体" w:eastAsia="宋体" w:cs="宋体"/>
          <w:color w:val="auto"/>
          <w:highlight w:val="none"/>
        </w:rPr>
        <w:t>政府采购活动现场确认声明书</w:t>
      </w:r>
      <w:bookmarkEnd w:id="565"/>
      <w:bookmarkEnd w:id="566"/>
    </w:p>
    <w:p>
      <w:pPr>
        <w:autoSpaceDE w:val="0"/>
        <w:autoSpaceDN w:val="0"/>
        <w:snapToGri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杭州中浙招标有限公司:</w:t>
      </w:r>
    </w:p>
    <w:p>
      <w:pPr>
        <w:autoSpaceDE w:val="0"/>
        <w:autoSpaceDN w:val="0"/>
        <w:snapToGrid w:val="0"/>
        <w:spacing w:line="44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本人 ____________（授权代表姓名），经由_____________________（单位） ____________ （法定代表人姓名）合法授权参加</w:t>
      </w:r>
      <w:r>
        <w:rPr>
          <w:rFonts w:hint="eastAsia" w:ascii="宋体" w:hAnsi="宋体" w:eastAsia="宋体" w:cs="宋体"/>
          <w:color w:val="auto"/>
          <w:sz w:val="24"/>
          <w:highlight w:val="none"/>
          <w:u w:val="single"/>
          <w:lang w:val="zh-CN"/>
        </w:rPr>
        <w:t>嘉兴市第一医院2022至2023年安保服务项目</w:t>
      </w:r>
      <w:r>
        <w:rPr>
          <w:rFonts w:hint="eastAsia" w:ascii="宋体" w:hAnsi="宋体" w:eastAsia="宋体" w:cs="宋体"/>
          <w:color w:val="auto"/>
          <w:sz w:val="24"/>
          <w:highlight w:val="none"/>
          <w:lang w:val="zh-CN"/>
        </w:rPr>
        <w:t>（编号：</w:t>
      </w:r>
      <w:r>
        <w:rPr>
          <w:rFonts w:hint="eastAsia" w:ascii="宋体" w:hAnsi="宋体" w:eastAsia="宋体" w:cs="宋体"/>
          <w:color w:val="auto"/>
          <w:sz w:val="24"/>
          <w:highlight w:val="none"/>
          <w:lang w:eastAsia="zh-CN"/>
        </w:rPr>
        <w:t>中浙-CZTC22211</w:t>
      </w:r>
      <w:r>
        <w:rPr>
          <w:rFonts w:hint="eastAsia" w:ascii="宋体" w:hAnsi="宋体" w:eastAsia="宋体" w:cs="宋体"/>
          <w:color w:val="auto"/>
          <w:sz w:val="24"/>
          <w:highlight w:val="none"/>
          <w:lang w:val="zh-CN"/>
        </w:rPr>
        <w:t>）政府采购活动．经与本单位法人代表（负责人）联系确认，现就有关公平竞争事项郑重声明如下:</w:t>
      </w:r>
    </w:p>
    <w:p>
      <w:pPr>
        <w:autoSpaceDE w:val="0"/>
        <w:autoSpaceDN w:val="0"/>
        <w:snapToGrid w:val="0"/>
        <w:spacing w:line="440" w:lineRule="exact"/>
        <w:ind w:left="481" w:leftChars="229"/>
        <w:jc w:val="left"/>
        <w:outlineLvl w:val="1"/>
        <w:rPr>
          <w:rFonts w:hint="eastAsia" w:ascii="宋体" w:hAnsi="宋体" w:eastAsia="宋体" w:cs="宋体"/>
          <w:color w:val="auto"/>
          <w:sz w:val="24"/>
          <w:highlight w:val="none"/>
          <w:lang w:val="zh-CN"/>
        </w:rPr>
      </w:pPr>
      <w:bookmarkStart w:id="567" w:name="_Toc22216"/>
      <w:bookmarkStart w:id="568" w:name="_Toc5783"/>
      <w:r>
        <w:rPr>
          <w:rFonts w:hint="eastAsia" w:ascii="宋体" w:hAnsi="宋体" w:eastAsia="宋体" w:cs="宋体"/>
          <w:color w:val="auto"/>
          <w:sz w:val="24"/>
          <w:highlight w:val="none"/>
          <w:lang w:val="zh-CN"/>
        </w:rPr>
        <w:t>一、本单位与采购人之间口不存在利害关系口存在下列利害关系:</w:t>
      </w:r>
      <w:bookmarkEnd w:id="567"/>
      <w:bookmarkEnd w:id="568"/>
    </w:p>
    <w:p>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A．投资关系      B．行政隶属关系      C．业务指导关系</w:t>
      </w:r>
    </w:p>
    <w:p>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D．其他可能影响采购公正的利害关系（如有，请如实说明）。</w:t>
      </w:r>
    </w:p>
    <w:p>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二、现己清楚知道参加本项目采购活动的其他所有供应商名称，本单位 口与其他所有供应商之间均不存在利害关系 口与______________（供应商名称）之间存在下列利害关系:</w:t>
      </w:r>
    </w:p>
    <w:p>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A．法定代表人或负责人或实际控制人是同一人</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B．法定代表人或负责人或实际控制人是夫妻关系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C．法定代表人或负责人或实际控制人是直系血亲关系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D．法定代表人或负责人或实际控制人存在三代以内旁系血亲关系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E．法定代表人或负责人或实际控制人存在近姻亲关系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F．法定代表人或负责人或实际控制人存在股份控制或实际控制关系</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G．存在共同直接或间接投资设立子公司、联营企业和合营企业情况    </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H．存在分级代理或代销关系、同一生产制造商关系、管理关系、重要业务（占主营业务收入 50 ％以上）或重要财务往来关系（如融资）等其他实质性控制关系</w:t>
      </w:r>
    </w:p>
    <w:p>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I．其他利害关系情况 ________________________________________。</w:t>
      </w:r>
    </w:p>
    <w:p>
      <w:pPr>
        <w:autoSpaceDE w:val="0"/>
        <w:autoSpaceDN w:val="0"/>
        <w:snapToGrid w:val="0"/>
        <w:spacing w:line="440" w:lineRule="exact"/>
        <w:ind w:left="481" w:leftChars="229"/>
        <w:jc w:val="left"/>
        <w:outlineLvl w:val="1"/>
        <w:rPr>
          <w:rFonts w:hint="eastAsia" w:ascii="宋体" w:hAnsi="宋体" w:eastAsia="宋体" w:cs="宋体"/>
          <w:color w:val="auto"/>
          <w:sz w:val="24"/>
          <w:highlight w:val="none"/>
          <w:lang w:val="zh-CN"/>
        </w:rPr>
      </w:pPr>
      <w:bookmarkStart w:id="569" w:name="_Toc2600"/>
      <w:bookmarkStart w:id="570" w:name="_Toc7216"/>
      <w:r>
        <w:rPr>
          <w:rFonts w:hint="eastAsia" w:ascii="宋体" w:hAnsi="宋体" w:eastAsia="宋体" w:cs="宋体"/>
          <w:color w:val="auto"/>
          <w:sz w:val="24"/>
          <w:highlight w:val="none"/>
          <w:lang w:val="zh-CN"/>
        </w:rPr>
        <w:t>三、现己清楚知道并严格遵守政府采购法律法规和现场纪律。</w:t>
      </w:r>
      <w:bookmarkEnd w:id="569"/>
      <w:bookmarkEnd w:id="570"/>
    </w:p>
    <w:p>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四、我发现 ____________________供应商之间存在或可能存在上述第二条第 ____________项利害关系。</w:t>
      </w:r>
    </w:p>
    <w:p>
      <w:pPr>
        <w:autoSpaceDE w:val="0"/>
        <w:autoSpaceDN w:val="0"/>
        <w:snapToGrid w:val="0"/>
        <w:spacing w:line="440" w:lineRule="exact"/>
        <w:ind w:left="481" w:leftChars="229"/>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五、经检查确认所有投标人投标文件 口 不存在密封包装问题 口 存在密封包装问题（具体指出）__________________________________。</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ind w:firstLine="5301" w:firstLineChars="2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spacing w:line="360" w:lineRule="auto"/>
        <w:ind w:right="420"/>
        <w:jc w:val="center"/>
        <w:outlineLvl w:val="0"/>
        <w:rPr>
          <w:rFonts w:hint="eastAsia" w:ascii="宋体" w:hAnsi="宋体" w:eastAsia="宋体" w:cs="宋体"/>
          <w:b/>
          <w:color w:val="auto"/>
          <w:kern w:val="0"/>
          <w:sz w:val="36"/>
          <w:szCs w:val="36"/>
          <w:highlight w:val="none"/>
        </w:rPr>
      </w:pPr>
      <w:bookmarkStart w:id="571" w:name="_Toc17916"/>
      <w:bookmarkStart w:id="572" w:name="_Toc24364"/>
      <w:r>
        <w:rPr>
          <w:rFonts w:hint="eastAsia" w:ascii="宋体" w:hAnsi="宋体" w:eastAsia="宋体" w:cs="宋体"/>
          <w:b/>
          <w:color w:val="auto"/>
          <w:kern w:val="0"/>
          <w:sz w:val="36"/>
          <w:szCs w:val="36"/>
          <w:highlight w:val="none"/>
        </w:rPr>
        <w:t>商务技术文件部分</w:t>
      </w:r>
      <w:bookmarkEnd w:id="564"/>
      <w:bookmarkEnd w:id="571"/>
      <w:bookmarkEnd w:id="572"/>
    </w:p>
    <w:p>
      <w:pPr>
        <w:spacing w:line="360" w:lineRule="auto"/>
        <w:jc w:val="center"/>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4"/>
          <w:highlight w:val="none"/>
        </w:rPr>
      </w:pPr>
      <w:bookmarkStart w:id="573" w:name="_Toc3608"/>
      <w:bookmarkStart w:id="574" w:name="_Toc21603"/>
      <w:bookmarkStart w:id="575" w:name="_Toc5505"/>
      <w:r>
        <w:rPr>
          <w:rFonts w:hint="eastAsia" w:ascii="宋体" w:hAnsi="宋体" w:eastAsia="宋体" w:cs="宋体"/>
          <w:b/>
          <w:color w:val="auto"/>
          <w:kern w:val="0"/>
          <w:sz w:val="24"/>
          <w:highlight w:val="none"/>
        </w:rPr>
        <w:t>目录</w:t>
      </w:r>
      <w:bookmarkEnd w:id="573"/>
      <w:bookmarkEnd w:id="574"/>
      <w:bookmarkEnd w:id="575"/>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（1）投标响应函…………………………………………………………………（页码）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（3）符合性审查资料……………………………………………………………（页码）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（4）评审标准相应的商务技术资料……………………………………………（页码）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（5）商务技术偏离表……………………………………………………………（页码）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）招标代理费支付承诺书</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b/>
          <w:color w:val="auto"/>
          <w:kern w:val="0"/>
          <w:sz w:val="24"/>
          <w:highlight w:val="none"/>
          <w:lang w:val="zh-CN"/>
        </w:rPr>
      </w:pPr>
    </w:p>
    <w:p>
      <w:pPr>
        <w:snapToGrid w:val="0"/>
        <w:spacing w:line="360" w:lineRule="auto"/>
        <w:jc w:val="center"/>
        <w:rPr>
          <w:rFonts w:hint="eastAsia" w:ascii="宋体" w:hAnsi="宋体" w:eastAsia="宋体" w:cs="宋体"/>
          <w:b/>
          <w:color w:val="auto"/>
          <w:kern w:val="0"/>
          <w:sz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pStyle w:val="24"/>
        <w:rPr>
          <w:rFonts w:hint="eastAsia" w:ascii="宋体" w:hAnsi="宋体" w:eastAsia="宋体" w:cs="宋体"/>
          <w:b/>
          <w:color w:val="auto"/>
          <w:kern w:val="0"/>
          <w:sz w:val="24"/>
          <w:szCs w:val="24"/>
          <w:highlight w:val="none"/>
        </w:rPr>
      </w:pPr>
    </w:p>
    <w:p>
      <w:pPr>
        <w:snapToGrid w:val="0"/>
        <w:spacing w:line="360" w:lineRule="auto"/>
        <w:jc w:val="center"/>
        <w:rPr>
          <w:rFonts w:hint="eastAsia" w:ascii="宋体" w:hAnsi="宋体" w:eastAsia="宋体" w:cs="宋体"/>
          <w:b/>
          <w:color w:val="auto"/>
          <w:kern w:val="0"/>
          <w:sz w:val="24"/>
          <w:highlight w:val="none"/>
        </w:rPr>
      </w:pPr>
    </w:p>
    <w:p>
      <w:pPr>
        <w:pStyle w:val="7"/>
        <w:rPr>
          <w:rFonts w:hint="eastAsia" w:ascii="宋体" w:hAnsi="宋体" w:eastAsia="宋体" w:cs="宋体"/>
          <w:b/>
          <w:color w:val="auto"/>
          <w:kern w:val="0"/>
          <w:szCs w:val="24"/>
          <w:highlight w:val="none"/>
        </w:rPr>
      </w:pPr>
    </w:p>
    <w:p>
      <w:pPr>
        <w:pStyle w:val="8"/>
        <w:ind w:firstLine="241"/>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snapToGrid w:val="0"/>
        <w:spacing w:line="360" w:lineRule="auto"/>
        <w:jc w:val="center"/>
        <w:outlineLvl w:val="1"/>
        <w:rPr>
          <w:rFonts w:hint="eastAsia" w:ascii="宋体" w:hAnsi="宋体" w:eastAsia="宋体" w:cs="宋体"/>
          <w:b/>
          <w:color w:val="auto"/>
          <w:sz w:val="30"/>
          <w:szCs w:val="30"/>
          <w:highlight w:val="none"/>
        </w:rPr>
      </w:pPr>
      <w:bookmarkStart w:id="576" w:name="_Toc2597"/>
      <w:bookmarkStart w:id="577" w:name="_Toc4841"/>
      <w:r>
        <w:rPr>
          <w:rFonts w:hint="eastAsia" w:ascii="宋体" w:hAnsi="宋体" w:eastAsia="宋体" w:cs="宋体"/>
          <w:b/>
          <w:color w:val="auto"/>
          <w:kern w:val="0"/>
          <w:sz w:val="30"/>
          <w:szCs w:val="30"/>
          <w:highlight w:val="none"/>
        </w:rPr>
        <w:t>一、投标</w:t>
      </w:r>
      <w:r>
        <w:rPr>
          <w:rFonts w:hint="eastAsia" w:ascii="宋体" w:hAnsi="宋体" w:eastAsia="宋体" w:cs="宋体"/>
          <w:b/>
          <w:color w:val="auto"/>
          <w:kern w:val="0"/>
          <w:sz w:val="30"/>
          <w:szCs w:val="30"/>
          <w:highlight w:val="none"/>
          <w:lang w:val="en-US" w:eastAsia="zh-CN"/>
        </w:rPr>
        <w:t>响应</w:t>
      </w:r>
      <w:r>
        <w:rPr>
          <w:rFonts w:hint="eastAsia" w:ascii="宋体" w:hAnsi="宋体" w:eastAsia="宋体" w:cs="宋体"/>
          <w:b/>
          <w:color w:val="auto"/>
          <w:sz w:val="30"/>
          <w:szCs w:val="30"/>
          <w:highlight w:val="none"/>
        </w:rPr>
        <w:t>函</w:t>
      </w:r>
      <w:bookmarkEnd w:id="576"/>
      <w:bookmarkEnd w:id="577"/>
    </w:p>
    <w:p>
      <w:pPr>
        <w:snapToGrid w:val="0"/>
        <w:spacing w:line="312"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嘉兴市第一医院</w:t>
      </w:r>
    </w:p>
    <w:p>
      <w:pPr>
        <w:snapToGrid w:val="0"/>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杭州中浙招标有限公司：</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嘉兴市第一医院2022至2023年安保服务项目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中浙-CZTC22211</w:t>
      </w:r>
      <w:r>
        <w:rPr>
          <w:rFonts w:hint="eastAsia" w:ascii="宋体" w:hAnsi="宋体" w:eastAsia="宋体" w:cs="宋体"/>
          <w:color w:val="auto"/>
          <w:sz w:val="24"/>
          <w:highlight w:val="none"/>
        </w:rPr>
        <w:t>】招标的有关活动，并对此项目进行投标。为此：</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90</w:t>
      </w:r>
      <w:r>
        <w:rPr>
          <w:rFonts w:hint="eastAsia" w:ascii="宋体" w:hAnsi="宋体" w:eastAsia="宋体" w:cs="宋体"/>
          <w:color w:val="auto"/>
          <w:sz w:val="24"/>
          <w:highlight w:val="none"/>
        </w:rPr>
        <w:t>天（不少于90天），本投标文件在投标有效期满之前均具有约束力。</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12"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pStyle w:val="7"/>
        <w:spacing w:line="312" w:lineRule="auto"/>
        <w:ind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2.1.4</w:t>
      </w:r>
      <w:r>
        <w:rPr>
          <w:rFonts w:hint="eastAsia" w:ascii="宋体" w:hAnsi="宋体" w:eastAsia="宋体" w:cs="宋体"/>
          <w:color w:val="auto"/>
          <w:szCs w:val="24"/>
          <w:highlight w:val="none"/>
        </w:rPr>
        <w:t>政府采购活动现场确认声明书。</w:t>
      </w:r>
    </w:p>
    <w:p>
      <w:pPr>
        <w:snapToGrid w:val="0"/>
        <w:spacing w:line="312"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2.2.4评标标准相应的商务技术资料；</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2.2.5商务技术偏离表；</w:t>
      </w:r>
    </w:p>
    <w:p>
      <w:pPr>
        <w:snapToGrid w:val="0"/>
        <w:spacing w:line="312"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政府采购供应商廉洁自律承诺书；</w:t>
      </w:r>
    </w:p>
    <w:p>
      <w:pPr>
        <w:snapToGrid w:val="0"/>
        <w:spacing w:line="312"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12"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1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12"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12"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12"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12"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12"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pPr>
        <w:spacing w:line="312"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pP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br w:type="page"/>
      </w:r>
    </w:p>
    <w:p>
      <w:pPr>
        <w:pStyle w:val="7"/>
        <w:rPr>
          <w:rFonts w:hint="eastAsia" w:ascii="宋体" w:hAnsi="宋体" w:eastAsia="宋体" w:cs="宋体"/>
          <w:color w:val="auto"/>
          <w:highlight w:val="none"/>
        </w:rPr>
      </w:pPr>
    </w:p>
    <w:p>
      <w:pPr>
        <w:jc w:val="center"/>
        <w:outlineLvl w:val="1"/>
        <w:rPr>
          <w:rFonts w:hint="eastAsia" w:ascii="宋体" w:hAnsi="宋体" w:eastAsia="宋体" w:cs="宋体"/>
          <w:b/>
          <w:color w:val="auto"/>
          <w:kern w:val="0"/>
          <w:sz w:val="28"/>
          <w:szCs w:val="28"/>
          <w:highlight w:val="none"/>
          <w:lang w:val="zh-CN"/>
        </w:rPr>
      </w:pPr>
      <w:bookmarkStart w:id="578" w:name="_Toc19464"/>
      <w:bookmarkStart w:id="579" w:name="_Toc15434"/>
      <w:bookmarkStart w:id="580" w:name="_Toc25807"/>
      <w:r>
        <w:rPr>
          <w:rFonts w:hint="eastAsia" w:ascii="宋体" w:hAnsi="宋体" w:eastAsia="宋体" w:cs="宋体"/>
          <w:b/>
          <w:color w:val="auto"/>
          <w:kern w:val="0"/>
          <w:sz w:val="28"/>
          <w:szCs w:val="28"/>
          <w:highlight w:val="none"/>
          <w:lang w:val="zh-CN"/>
        </w:rPr>
        <w:t>二、授权委托书或法定代表人（单位负责人、自然人本人）身份证明</w:t>
      </w:r>
      <w:bookmarkEnd w:id="578"/>
      <w:bookmarkEnd w:id="579"/>
      <w:bookmarkEnd w:id="580"/>
    </w:p>
    <w:p>
      <w:pPr>
        <w:snapToGrid w:val="0"/>
        <w:spacing w:line="360" w:lineRule="auto"/>
        <w:rPr>
          <w:rFonts w:hint="eastAsia" w:ascii="宋体" w:hAnsi="宋体" w:eastAsia="宋体" w:cs="宋体"/>
          <w:color w:val="auto"/>
          <w:sz w:val="24"/>
          <w:highlight w:val="none"/>
        </w:rPr>
      </w:pPr>
    </w:p>
    <w:p>
      <w:pPr>
        <w:snapToGrid w:val="0"/>
        <w:spacing w:line="360" w:lineRule="auto"/>
        <w:ind w:firstLine="3916" w:firstLineChars="1393"/>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lang w:val="zh-CN"/>
        </w:rPr>
        <w:t>授权委托书</w:t>
      </w:r>
    </w:p>
    <w:p>
      <w:pPr>
        <w:snapToGrid w:val="0"/>
        <w:spacing w:line="360" w:lineRule="auto"/>
        <w:ind w:firstLine="3343" w:firstLineChars="1393"/>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嘉兴市第一医院</w:t>
      </w:r>
      <w:r>
        <w:rPr>
          <w:rFonts w:hint="eastAsia" w:ascii="宋体" w:hAnsi="宋体" w:eastAsia="宋体" w:cs="宋体"/>
          <w:color w:val="auto"/>
          <w:sz w:val="24"/>
          <w:highlight w:val="none"/>
        </w:rPr>
        <w:t>、杭州中浙招标有限公司：</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lang w:eastAsia="zh-CN"/>
        </w:rPr>
        <w:t>嘉兴市第一医院2022至2023年安保服务项目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中浙-CZTC22211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b/>
          <w:color w:val="auto"/>
          <w:kern w:val="0"/>
          <w:sz w:val="24"/>
          <w:highlight w:val="none"/>
          <w:lang w:val="zh-CN"/>
        </w:rPr>
      </w:pPr>
    </w:p>
    <w:p>
      <w:pPr>
        <w:pStyle w:val="25"/>
        <w:rPr>
          <w:rFonts w:hint="eastAsia" w:ascii="宋体" w:hAnsi="宋体" w:eastAsia="宋体" w:cs="宋体"/>
          <w:b/>
          <w:color w:val="auto"/>
          <w:kern w:val="0"/>
          <w:sz w:val="24"/>
          <w:szCs w:val="24"/>
          <w:highlight w:val="none"/>
          <w:lang w:val="zh-CN"/>
        </w:rPr>
      </w:pPr>
    </w:p>
    <w:p>
      <w:pPr>
        <w:rPr>
          <w:rFonts w:hint="eastAsia" w:ascii="宋体" w:hAnsi="宋体" w:eastAsia="宋体" w:cs="宋体"/>
          <w:b/>
          <w:color w:val="auto"/>
          <w:kern w:val="0"/>
          <w:sz w:val="24"/>
          <w:highlight w:val="none"/>
          <w:lang w:val="zh-CN"/>
        </w:rPr>
      </w:pPr>
    </w:p>
    <w:p>
      <w:pPr>
        <w:pStyle w:val="25"/>
        <w:rPr>
          <w:rFonts w:hint="eastAsia" w:ascii="宋体" w:hAnsi="宋体" w:eastAsia="宋体" w:cs="宋体"/>
          <w:b/>
          <w:color w:val="auto"/>
          <w:kern w:val="0"/>
          <w:sz w:val="24"/>
          <w:szCs w:val="24"/>
          <w:highlight w:val="none"/>
          <w:lang w:val="zh-CN"/>
        </w:rPr>
      </w:pPr>
    </w:p>
    <w:p>
      <w:pPr>
        <w:rPr>
          <w:rFonts w:hint="eastAsia" w:ascii="宋体" w:hAnsi="宋体" w:eastAsia="宋体" w:cs="宋体"/>
          <w:b/>
          <w:color w:val="auto"/>
          <w:kern w:val="0"/>
          <w:sz w:val="24"/>
          <w:highlight w:val="none"/>
          <w:lang w:val="zh-CN"/>
        </w:rPr>
      </w:pPr>
    </w:p>
    <w:p>
      <w:pPr>
        <w:pStyle w:val="25"/>
        <w:rPr>
          <w:rFonts w:hint="eastAsia" w:ascii="宋体" w:hAnsi="宋体" w:eastAsia="宋体" w:cs="宋体"/>
          <w:b/>
          <w:color w:val="auto"/>
          <w:kern w:val="0"/>
          <w:sz w:val="24"/>
          <w:szCs w:val="24"/>
          <w:highlight w:val="none"/>
          <w:lang w:val="zh-CN"/>
        </w:rPr>
      </w:pPr>
    </w:p>
    <w:p>
      <w:pPr>
        <w:rPr>
          <w:rFonts w:hint="eastAsia" w:ascii="宋体" w:hAnsi="宋体" w:eastAsia="宋体" w:cs="宋体"/>
          <w:b/>
          <w:color w:val="auto"/>
          <w:kern w:val="0"/>
          <w:sz w:val="24"/>
          <w:highlight w:val="none"/>
          <w:lang w:val="zh-CN"/>
        </w:rPr>
      </w:pPr>
    </w:p>
    <w:p>
      <w:pPr>
        <w:pStyle w:val="25"/>
        <w:rPr>
          <w:rFonts w:hint="eastAsia" w:ascii="宋体" w:hAnsi="宋体" w:eastAsia="宋体" w:cs="宋体"/>
          <w:b/>
          <w:color w:val="auto"/>
          <w:kern w:val="0"/>
          <w:sz w:val="24"/>
          <w:szCs w:val="24"/>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b/>
          <w:color w:val="auto"/>
          <w:kern w:val="0"/>
          <w:sz w:val="24"/>
          <w:highlight w:val="none"/>
          <w:lang w:val="zh-CN"/>
        </w:rPr>
      </w:pPr>
    </w:p>
    <w:p>
      <w:pPr>
        <w:pStyle w:val="3"/>
        <w:outlineLvl w:val="9"/>
        <w:rPr>
          <w:rFonts w:hint="eastAsia" w:ascii="宋体" w:hAnsi="宋体" w:eastAsia="宋体" w:cs="宋体"/>
          <w:color w:val="auto"/>
          <w:kern w:val="0"/>
          <w:sz w:val="24"/>
          <w:szCs w:val="24"/>
          <w:highlight w:val="none"/>
        </w:rPr>
      </w:pPr>
    </w:p>
    <w:p>
      <w:pPr>
        <w:rPr>
          <w:rFonts w:hint="eastAsia" w:ascii="宋体" w:hAnsi="宋体" w:eastAsia="宋体" w:cs="宋体"/>
          <w:color w:val="auto"/>
          <w:sz w:val="24"/>
          <w:highlight w:val="none"/>
          <w:lang w:val="zh-CN"/>
        </w:rPr>
      </w:pPr>
    </w:p>
    <w:p>
      <w:pPr>
        <w:rPr>
          <w:rFonts w:hint="eastAsia" w:ascii="宋体" w:hAnsi="宋体" w:eastAsia="宋体" w:cs="宋体"/>
          <w:b/>
          <w:color w:val="auto"/>
          <w:kern w:val="0"/>
          <w:sz w:val="24"/>
          <w:highlight w:val="none"/>
          <w:lang w:val="zh-CN"/>
        </w:rPr>
      </w:pPr>
    </w:p>
    <w:p>
      <w:pPr>
        <w:pStyle w:val="7"/>
        <w:rPr>
          <w:rFonts w:hint="eastAsia" w:ascii="宋体" w:hAnsi="宋体" w:eastAsia="宋体" w:cs="宋体"/>
          <w:color w:val="auto"/>
          <w:highlight w:val="none"/>
        </w:rPr>
      </w:pPr>
    </w:p>
    <w:p>
      <w:pPr>
        <w:pStyle w:val="25"/>
        <w:rPr>
          <w:rFonts w:hint="eastAsia" w:ascii="宋体" w:hAnsi="宋体" w:eastAsia="宋体" w:cs="宋体"/>
          <w:color w:val="auto"/>
          <w:sz w:val="24"/>
          <w:szCs w:val="24"/>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法定代表人、单位负责人或自然人本人</w:t>
      </w:r>
      <w:r>
        <w:rPr>
          <w:rFonts w:hint="eastAsia" w:ascii="宋体" w:hAnsi="宋体" w:eastAsia="宋体" w:cs="宋体"/>
          <w:b/>
          <w:color w:val="auto"/>
          <w:sz w:val="24"/>
          <w:highlight w:val="none"/>
        </w:rPr>
        <w:t>的身份证明（适用于法定代表人、单位负责人或者自然人本人代表投标人参加投标）</w:t>
      </w:r>
    </w:p>
    <w:p>
      <w:pPr>
        <w:pStyle w:val="34"/>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306" w:type="dxa"/>
          </w:tcPr>
          <w:p>
            <w:pPr>
              <w:pStyle w:val="34"/>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pPr>
              <w:pStyle w:val="34"/>
              <w:adjustRightInd w:val="0"/>
              <w:spacing w:line="360" w:lineRule="auto"/>
              <w:rPr>
                <w:rFonts w:hint="eastAsia" w:ascii="宋体" w:hAnsi="宋体" w:eastAsia="宋体" w:cs="宋体"/>
                <w:bCs/>
                <w:color w:val="auto"/>
                <w:sz w:val="24"/>
                <w:szCs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4"/>
          <w:highlight w:val="none"/>
        </w:rPr>
      </w:pPr>
    </w:p>
    <w:p>
      <w:pPr>
        <w:pStyle w:val="3"/>
        <w:outlineLvl w:val="9"/>
        <w:rPr>
          <w:rFonts w:hint="eastAsia" w:ascii="宋体" w:hAnsi="宋体" w:eastAsia="宋体" w:cs="宋体"/>
          <w:color w:val="auto"/>
          <w:kern w:val="0"/>
          <w:sz w:val="24"/>
          <w:szCs w:val="24"/>
          <w:highlight w:val="none"/>
        </w:rPr>
      </w:pPr>
    </w:p>
    <w:p>
      <w:pPr>
        <w:rPr>
          <w:rFonts w:hint="eastAsia" w:ascii="宋体" w:hAnsi="宋体" w:eastAsia="宋体" w:cs="宋体"/>
          <w:b/>
          <w:color w:val="auto"/>
          <w:kern w:val="0"/>
          <w:sz w:val="24"/>
          <w:highlight w:val="none"/>
        </w:rPr>
      </w:pPr>
    </w:p>
    <w:p>
      <w:pPr>
        <w:pStyle w:val="3"/>
        <w:outlineLvl w:val="9"/>
        <w:rPr>
          <w:rFonts w:hint="eastAsia" w:ascii="宋体" w:hAnsi="宋体" w:eastAsia="宋体" w:cs="宋体"/>
          <w:color w:val="auto"/>
          <w:kern w:val="0"/>
          <w:sz w:val="24"/>
          <w:szCs w:val="24"/>
          <w:highlight w:val="none"/>
        </w:rPr>
      </w:pPr>
    </w:p>
    <w:p>
      <w:pPr>
        <w:rPr>
          <w:rFonts w:hint="eastAsia" w:ascii="宋体" w:hAnsi="宋体" w:eastAsia="宋体" w:cs="宋体"/>
          <w:color w:val="auto"/>
          <w:sz w:val="24"/>
          <w:highlight w:val="none"/>
        </w:rPr>
      </w:pPr>
    </w:p>
    <w:p>
      <w:pPr>
        <w:pStyle w:val="24"/>
        <w:rPr>
          <w:rFonts w:hint="eastAsia" w:ascii="宋体" w:hAnsi="宋体" w:eastAsia="宋体" w:cs="宋体"/>
          <w:color w:val="auto"/>
          <w:sz w:val="24"/>
          <w:szCs w:val="24"/>
          <w:highlight w:val="none"/>
        </w:rPr>
      </w:pPr>
    </w:p>
    <w:p>
      <w:pPr>
        <w:jc w:val="center"/>
        <w:rPr>
          <w:rFonts w:hint="eastAsia" w:ascii="宋体" w:hAnsi="宋体" w:eastAsia="宋体" w:cs="宋体"/>
          <w:b/>
          <w:color w:val="auto"/>
          <w:kern w:val="0"/>
          <w:sz w:val="24"/>
          <w:highlight w:val="none"/>
        </w:rPr>
      </w:pPr>
    </w:p>
    <w:p>
      <w:pPr>
        <w:pStyle w:val="7"/>
        <w:rPr>
          <w:rFonts w:hint="eastAsia" w:ascii="宋体" w:hAnsi="宋体" w:eastAsia="宋体" w:cs="宋体"/>
          <w:b/>
          <w:color w:val="auto"/>
          <w:kern w:val="0"/>
          <w:szCs w:val="24"/>
          <w:highlight w:val="none"/>
        </w:rPr>
      </w:pPr>
    </w:p>
    <w:p>
      <w:pPr>
        <w:pStyle w:val="8"/>
        <w:ind w:firstLine="241"/>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p>
    <w:p>
      <w:pPr>
        <w:pStyle w:val="7"/>
        <w:rPr>
          <w:rFonts w:hint="eastAsia" w:ascii="宋体" w:hAnsi="宋体" w:eastAsia="宋体" w:cs="宋体"/>
          <w:b/>
          <w:color w:val="auto"/>
          <w:kern w:val="0"/>
          <w:szCs w:val="24"/>
          <w:highlight w:val="none"/>
        </w:rPr>
      </w:pPr>
    </w:p>
    <w:p>
      <w:pPr>
        <w:pStyle w:val="8"/>
        <w:ind w:firstLine="210"/>
        <w:rPr>
          <w:rFonts w:hint="eastAsia" w:ascii="宋体" w:hAnsi="宋体" w:eastAsia="宋体" w:cs="宋体"/>
          <w:color w:val="auto"/>
          <w:highlight w:val="none"/>
        </w:rPr>
      </w:pPr>
    </w:p>
    <w:p>
      <w:pPr>
        <w:jc w:val="center"/>
        <w:outlineLvl w:val="1"/>
        <w:rPr>
          <w:rFonts w:hint="eastAsia" w:ascii="宋体" w:hAnsi="宋体" w:eastAsia="宋体" w:cs="宋体"/>
          <w:b/>
          <w:color w:val="auto"/>
          <w:kern w:val="0"/>
          <w:sz w:val="28"/>
          <w:szCs w:val="28"/>
          <w:highlight w:val="none"/>
        </w:rPr>
      </w:pPr>
      <w:bookmarkStart w:id="581" w:name="_Toc17531"/>
      <w:bookmarkStart w:id="582" w:name="_Toc31808"/>
      <w:bookmarkStart w:id="583" w:name="_Toc5382"/>
      <w:r>
        <w:rPr>
          <w:rFonts w:hint="eastAsia" w:ascii="宋体" w:hAnsi="宋体" w:eastAsia="宋体" w:cs="宋体"/>
          <w:b/>
          <w:color w:val="auto"/>
          <w:kern w:val="0"/>
          <w:sz w:val="28"/>
          <w:szCs w:val="28"/>
          <w:highlight w:val="none"/>
        </w:rPr>
        <w:t>三、符合性审查资料</w:t>
      </w:r>
      <w:bookmarkEnd w:id="581"/>
      <w:bookmarkEnd w:id="582"/>
      <w:bookmarkEnd w:id="583"/>
    </w:p>
    <w:tbl>
      <w:tblPr>
        <w:tblStyle w:val="19"/>
        <w:tblpPr w:leftFromText="180" w:rightFromText="180" w:vertAnchor="text" w:horzAnchor="page" w:tblpXSpec="center" w:tblpY="398"/>
        <w:tblOverlap w:val="never"/>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3"/>
        <w:gridCol w:w="5362"/>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5" w:hRule="atLeast"/>
          <w:jc w:val="center"/>
        </w:trPr>
        <w:tc>
          <w:tcPr>
            <w:tcW w:w="493"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362"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10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1" w:hRule="atLeast"/>
          <w:jc w:val="center"/>
        </w:trPr>
        <w:tc>
          <w:tcPr>
            <w:tcW w:w="493"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w:t>
            </w:r>
          </w:p>
        </w:tc>
        <w:tc>
          <w:tcPr>
            <w:tcW w:w="5362" w:type="dxa"/>
            <w:vAlign w:val="center"/>
          </w:tcPr>
          <w:p>
            <w:pPr>
              <w:snapToGrid w:val="0"/>
              <w:spacing w:line="240" w:lineRule="atLeast"/>
              <w:jc w:val="lef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投标人不具备招标文件中规定的资格要求的（投标人未提供有效的资格文件的，视为投标人不具备招标文件中规定的资格要求）</w:t>
            </w:r>
          </w:p>
        </w:tc>
        <w:tc>
          <w:tcPr>
            <w:tcW w:w="310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提供有效资格文件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1"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362"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投标文件未按照招标文件要求签署、盖章的</w:t>
            </w:r>
          </w:p>
        </w:tc>
        <w:tc>
          <w:tcPr>
            <w:tcW w:w="310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49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362"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投标文件含有采购人不能接受的附加条件的</w:t>
            </w:r>
          </w:p>
        </w:tc>
        <w:tc>
          <w:tcPr>
            <w:tcW w:w="310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投标文件中承诺的投标有效期少于招标文件中载明的投标有效期的</w:t>
            </w:r>
          </w:p>
        </w:tc>
        <w:tc>
          <w:tcPr>
            <w:tcW w:w="310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投标文件出现不是唯一的、有选择性投标报价的</w:t>
            </w:r>
          </w:p>
        </w:tc>
        <w:tc>
          <w:tcPr>
            <w:tcW w:w="310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4"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投标报价超过招标文件中规定的预算金额或者最高限价的</w:t>
            </w:r>
          </w:p>
        </w:tc>
        <w:tc>
          <w:tcPr>
            <w:tcW w:w="3108"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2"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tc>
        <w:tc>
          <w:tcPr>
            <w:tcW w:w="3108"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投标人对根据修正原则修正后的报价不确认的</w:t>
            </w:r>
          </w:p>
        </w:tc>
        <w:tc>
          <w:tcPr>
            <w:tcW w:w="3108"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投标人提供虚假材料投标的</w:t>
            </w:r>
          </w:p>
        </w:tc>
        <w:tc>
          <w:tcPr>
            <w:tcW w:w="3108"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6"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tc>
        <w:tc>
          <w:tcPr>
            <w:tcW w:w="3108"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投标人仅提交备份投标文件，没有在电子交易平台传输递交投标文件的，投标无效；</w:t>
            </w:r>
          </w:p>
        </w:tc>
        <w:tc>
          <w:tcPr>
            <w:tcW w:w="3108"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投标文件不满足招标文件的其它实质性要求的</w:t>
            </w:r>
          </w:p>
        </w:tc>
        <w:tc>
          <w:tcPr>
            <w:tcW w:w="3108"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atLeast"/>
          <w:jc w:val="center"/>
        </w:trPr>
        <w:tc>
          <w:tcPr>
            <w:tcW w:w="493"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362"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法律、法规、规章规定的其他无效情形</w:t>
            </w:r>
          </w:p>
        </w:tc>
        <w:tc>
          <w:tcPr>
            <w:tcW w:w="3108"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根据投标文件情况，进行评审</w:t>
            </w:r>
          </w:p>
        </w:tc>
      </w:tr>
    </w:tbl>
    <w:p>
      <w:pPr>
        <w:jc w:val="center"/>
        <w:rPr>
          <w:rFonts w:hint="eastAsia" w:ascii="宋体" w:hAnsi="宋体" w:eastAsia="宋体" w:cs="宋体"/>
          <w:b/>
          <w:color w:val="auto"/>
          <w:kern w:val="0"/>
          <w:sz w:val="24"/>
          <w:highlight w:val="none"/>
        </w:rPr>
      </w:pPr>
    </w:p>
    <w:p>
      <w:pPr>
        <w:spacing w:line="360" w:lineRule="auto"/>
        <w:jc w:val="center"/>
        <w:outlineLvl w:val="9"/>
        <w:rPr>
          <w:rFonts w:hint="eastAsia" w:ascii="宋体" w:hAnsi="宋体" w:eastAsia="宋体" w:cs="宋体"/>
          <w:b/>
          <w:color w:val="auto"/>
          <w:kern w:val="0"/>
          <w:sz w:val="28"/>
          <w:szCs w:val="28"/>
          <w:highlight w:val="none"/>
        </w:rPr>
      </w:pPr>
      <w:bookmarkStart w:id="584" w:name="_Toc6371"/>
    </w:p>
    <w:p>
      <w:pPr>
        <w:spacing w:line="360" w:lineRule="auto"/>
        <w:jc w:val="center"/>
        <w:outlineLvl w:val="1"/>
        <w:rPr>
          <w:rFonts w:hint="eastAsia" w:ascii="宋体" w:hAnsi="宋体" w:eastAsia="宋体" w:cs="宋体"/>
          <w:color w:val="auto"/>
          <w:sz w:val="28"/>
          <w:szCs w:val="28"/>
          <w:highlight w:val="none"/>
        </w:rPr>
      </w:pPr>
      <w:bookmarkStart w:id="585" w:name="_Toc9643"/>
      <w:bookmarkStart w:id="586" w:name="_Toc18987"/>
      <w:r>
        <w:rPr>
          <w:rFonts w:hint="eastAsia" w:ascii="宋体" w:hAnsi="宋体" w:eastAsia="宋体" w:cs="宋体"/>
          <w:b/>
          <w:color w:val="auto"/>
          <w:kern w:val="0"/>
          <w:sz w:val="28"/>
          <w:szCs w:val="28"/>
          <w:highlight w:val="none"/>
        </w:rPr>
        <w:t>四、评审标准相应的商务技术资料</w:t>
      </w:r>
      <w:bookmarkEnd w:id="584"/>
      <w:bookmarkEnd w:id="585"/>
      <w:bookmarkEnd w:id="586"/>
    </w:p>
    <w:p>
      <w:pPr>
        <w:keepNext w:val="0"/>
        <w:keepLines w:val="0"/>
        <w:pageBreakBefore w:val="0"/>
        <w:widowControl w:val="0"/>
        <w:kinsoku/>
        <w:wordWrap/>
        <w:overflowPunct/>
        <w:topLinePunct w:val="0"/>
        <w:autoSpaceDE/>
        <w:autoSpaceDN/>
        <w:bidi w:val="0"/>
        <w:snapToGrid w:val="0"/>
        <w:spacing w:line="324"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（按招标文件第四部分评审办法前附表中“投标文件中评审标准相应的商务技术资料目录”提供资料,除以下投标文件格式外相关资料由供应商自拟。）</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1.供应商基本情况表（格式参考</w:t>
      </w:r>
      <w:r>
        <w:rPr>
          <w:rFonts w:hint="eastAsia" w:ascii="宋体" w:hAnsi="宋体" w:eastAsia="宋体" w:cs="宋体"/>
          <w:color w:val="auto"/>
          <w:kern w:val="0"/>
          <w:sz w:val="24"/>
          <w:szCs w:val="24"/>
          <w:highlight w:val="none"/>
          <w:lang w:val="en-US" w:eastAsia="zh-CN"/>
        </w:rPr>
        <w:t>附件</w:t>
      </w:r>
      <w:r>
        <w:rPr>
          <w:rFonts w:hint="eastAsia" w:ascii="宋体" w:hAnsi="宋体" w:eastAsia="宋体" w:cs="宋体"/>
          <w:color w:val="auto"/>
          <w:kern w:val="0"/>
          <w:sz w:val="24"/>
          <w:szCs w:val="24"/>
          <w:highlight w:val="none"/>
        </w:rPr>
        <w:t>1）。</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.具有业主针对投标人保安服务或金融护卫服务反馈证明文件复印件，原件备查（若有）。</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3.投标人的质量管理体系认证、环境管理体系认证、职业健康与安全管理体系认证证书</w:t>
      </w:r>
      <w:r>
        <w:rPr>
          <w:rFonts w:hint="eastAsia" w:ascii="宋体" w:hAnsi="宋体" w:eastAsia="宋体" w:cs="宋体"/>
          <w:color w:val="auto"/>
          <w:kern w:val="0"/>
          <w:sz w:val="24"/>
          <w:szCs w:val="24"/>
          <w:highlight w:val="none"/>
        </w:rPr>
        <w:t>复印件，原件备查（若有）。</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投标人自2019年1月1日至今（以合同签订时间为准）具有成功实施的保安</w:t>
      </w:r>
      <w:r>
        <w:rPr>
          <w:rFonts w:hint="eastAsia" w:ascii="宋体" w:hAnsi="宋体" w:eastAsia="宋体" w:cs="宋体"/>
          <w:color w:val="auto"/>
          <w:kern w:val="0"/>
          <w:sz w:val="24"/>
          <w:highlight w:val="none"/>
          <w:lang w:val="en-US" w:eastAsia="zh-CN"/>
        </w:rPr>
        <w:t>或金融护卫</w:t>
      </w:r>
      <w:r>
        <w:rPr>
          <w:rFonts w:hint="eastAsia" w:ascii="宋体" w:hAnsi="宋体" w:eastAsia="宋体" w:cs="宋体"/>
          <w:color w:val="auto"/>
          <w:kern w:val="0"/>
          <w:sz w:val="24"/>
          <w:highlight w:val="none"/>
        </w:rPr>
        <w:t>业绩</w:t>
      </w:r>
      <w:r>
        <w:rPr>
          <w:rFonts w:hint="eastAsia" w:ascii="宋体" w:hAnsi="宋体" w:eastAsia="宋体" w:cs="宋体"/>
          <w:color w:val="auto"/>
          <w:kern w:val="0"/>
          <w:sz w:val="24"/>
          <w:szCs w:val="24"/>
          <w:highlight w:val="none"/>
        </w:rPr>
        <w:t>（格式参考</w:t>
      </w:r>
      <w:r>
        <w:rPr>
          <w:rFonts w:hint="eastAsia" w:ascii="宋体" w:hAnsi="宋体" w:eastAsia="宋体" w:cs="宋体"/>
          <w:color w:val="auto"/>
          <w:kern w:val="0"/>
          <w:sz w:val="24"/>
          <w:szCs w:val="24"/>
          <w:highlight w:val="none"/>
          <w:lang w:val="en-US" w:eastAsia="zh-CN"/>
        </w:rPr>
        <w:t>附件</w:t>
      </w:r>
      <w:r>
        <w:rPr>
          <w:rFonts w:hint="eastAsia" w:ascii="宋体" w:hAnsi="宋体" w:eastAsia="宋体" w:cs="宋体"/>
          <w:color w:val="auto"/>
          <w:kern w:val="0"/>
          <w:sz w:val="24"/>
          <w:szCs w:val="24"/>
          <w:highlight w:val="none"/>
        </w:rPr>
        <w:t>2）（若有）。</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5.保安大队长简历表（</w:t>
      </w:r>
      <w:r>
        <w:rPr>
          <w:rFonts w:hint="eastAsia" w:ascii="宋体" w:hAnsi="宋体" w:eastAsia="宋体" w:cs="宋体"/>
          <w:color w:val="auto"/>
          <w:kern w:val="0"/>
          <w:sz w:val="24"/>
          <w:szCs w:val="24"/>
          <w:highlight w:val="none"/>
        </w:rPr>
        <w:t>格式参考</w:t>
      </w:r>
      <w:r>
        <w:rPr>
          <w:rFonts w:hint="eastAsia" w:ascii="宋体" w:hAnsi="宋体" w:eastAsia="宋体" w:cs="宋体"/>
          <w:color w:val="auto"/>
          <w:kern w:val="0"/>
          <w:sz w:val="24"/>
          <w:szCs w:val="24"/>
          <w:highlight w:val="none"/>
          <w:lang w:val="en-US" w:eastAsia="zh-CN"/>
        </w:rPr>
        <w:t>附件3）。</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6.拟派本项目组人员配备情况（</w:t>
      </w:r>
      <w:r>
        <w:rPr>
          <w:rFonts w:hint="eastAsia" w:ascii="宋体" w:hAnsi="宋体" w:eastAsia="宋体" w:cs="宋体"/>
          <w:color w:val="auto"/>
          <w:kern w:val="0"/>
          <w:sz w:val="24"/>
          <w:szCs w:val="24"/>
          <w:highlight w:val="none"/>
        </w:rPr>
        <w:t>格式参考</w:t>
      </w:r>
      <w:r>
        <w:rPr>
          <w:rFonts w:hint="eastAsia" w:ascii="宋体" w:hAnsi="宋体" w:eastAsia="宋体" w:cs="宋体"/>
          <w:color w:val="auto"/>
          <w:kern w:val="0"/>
          <w:sz w:val="24"/>
          <w:szCs w:val="24"/>
          <w:highlight w:val="none"/>
          <w:lang w:val="en-US" w:eastAsia="zh-CN"/>
        </w:rPr>
        <w:t>附件4）。</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医院安全保卫工作整体方案、人员调度计划、值班轮休计划、日常管控的具体措施</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snapToGrid w:val="0"/>
        <w:spacing w:line="324" w:lineRule="auto"/>
        <w:ind w:right="-97" w:rightChars="-46" w:firstLine="240" w:firstLineChars="1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金融护卫方案和措施</w:t>
      </w:r>
      <w:r>
        <w:rPr>
          <w:rFonts w:hint="eastAsia" w:ascii="宋体" w:hAnsi="宋体" w:eastAsia="宋体" w:cs="宋体"/>
          <w:color w:val="auto"/>
          <w:kern w:val="0"/>
          <w:sz w:val="24"/>
          <w:highlight w:val="none"/>
          <w:lang w:val="en-US" w:eastAsia="zh-CN"/>
        </w:rPr>
        <w:t>。</w:t>
      </w:r>
    </w:p>
    <w:p>
      <w:pPr>
        <w:keepNext w:val="0"/>
        <w:keepLines w:val="0"/>
        <w:pageBreakBefore w:val="0"/>
        <w:widowControl w:val="0"/>
        <w:kinsoku/>
        <w:wordWrap/>
        <w:overflowPunct/>
        <w:topLinePunct w:val="0"/>
        <w:autoSpaceDE/>
        <w:autoSpaceDN/>
        <w:bidi w:val="0"/>
        <w:snapToGrid w:val="0"/>
        <w:spacing w:line="324" w:lineRule="auto"/>
        <w:ind w:right="-97" w:rightChars="-46"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9.停车管理方案和措施。</w:t>
      </w:r>
    </w:p>
    <w:p>
      <w:pPr>
        <w:keepNext w:val="0"/>
        <w:keepLines w:val="0"/>
        <w:pageBreakBefore w:val="0"/>
        <w:widowControl w:val="0"/>
        <w:kinsoku/>
        <w:wordWrap/>
        <w:overflowPunct/>
        <w:topLinePunct w:val="0"/>
        <w:autoSpaceDE/>
        <w:autoSpaceDN/>
        <w:bidi w:val="0"/>
        <w:snapToGrid w:val="0"/>
        <w:spacing w:line="324" w:lineRule="auto"/>
        <w:ind w:right="-97" w:rightChars="-46"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重点部位(包含医院门卫、急诊区域、发热门诊区域)的保安方案及保证措施</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snapToGrid w:val="0"/>
        <w:spacing w:line="324" w:lineRule="auto"/>
        <w:ind w:right="-97" w:rightChars="-46" w:firstLine="240" w:firstLineChars="1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日常工作程序（维护医院内的医疗秩序、消防安全、常态化巡逻等各项活动、公共秩序、调解纠纷、疏导人流等）内容</w:t>
      </w:r>
      <w:r>
        <w:rPr>
          <w:rFonts w:hint="eastAsia" w:ascii="宋体" w:hAnsi="宋体" w:eastAsia="宋体" w:cs="宋体"/>
          <w:color w:val="auto"/>
          <w:kern w:val="0"/>
          <w:sz w:val="24"/>
          <w:highlight w:val="none"/>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保安服务方案包括岗位服务内容、保安标准化方案，</w:t>
      </w:r>
      <w:r>
        <w:rPr>
          <w:rFonts w:hint="eastAsia" w:ascii="宋体" w:hAnsi="宋体" w:eastAsia="宋体" w:cs="宋体"/>
          <w:color w:val="auto"/>
          <w:sz w:val="24"/>
          <w:highlight w:val="none"/>
          <w:lang w:val="en-US" w:eastAsia="zh-CN"/>
        </w:rPr>
        <w:t>以及</w:t>
      </w:r>
      <w:r>
        <w:rPr>
          <w:rFonts w:hint="eastAsia" w:ascii="宋体" w:hAnsi="宋体" w:eastAsia="宋体" w:cs="宋体"/>
          <w:color w:val="auto"/>
          <w:sz w:val="24"/>
          <w:highlight w:val="none"/>
        </w:rPr>
        <w:t>操作规程、演练、演习、培训方案等</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kern w:val="0"/>
          <w:sz w:val="24"/>
          <w:szCs w:val="24"/>
          <w:highlight w:val="none"/>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保安工作人员职责制度、交接班制度、保安队伍例会制度、队伍绩效考核管理制度、队伍奖惩制度</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.针对保安人员流失控制及时补充的方案，严格控制非违纪人员轮换岗比例的方案及措施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人员保障机制及人员工资福利承诺情况，根据采购人投入项目资金情况，制定员工工资福利计划。（以符合采购人投入资金的使用合理性为原则）。</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劳动用工书面承诺（格式参考</w:t>
      </w:r>
      <w:r>
        <w:rPr>
          <w:rFonts w:hint="eastAsia" w:ascii="宋体" w:hAnsi="宋体" w:eastAsia="宋体" w:cs="宋体"/>
          <w:color w:val="auto"/>
          <w:kern w:val="0"/>
          <w:sz w:val="24"/>
          <w:szCs w:val="24"/>
          <w:highlight w:val="none"/>
          <w:lang w:val="en-US" w:eastAsia="zh-CN"/>
        </w:rPr>
        <w:t>附件</w:t>
      </w:r>
      <w:r>
        <w:rPr>
          <w:rFonts w:hint="eastAsia" w:ascii="宋体" w:hAnsi="宋体" w:eastAsia="宋体" w:cs="宋体"/>
          <w:color w:val="auto"/>
          <w:kern w:val="0"/>
          <w:sz w:val="24"/>
          <w:szCs w:val="24"/>
          <w:highlight w:val="none"/>
        </w:rPr>
        <w:t>5）。</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重大接待任务及重要节假日加班措施</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服务人员详细的岗位及人员配备及任职经历情况</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服务人员年龄组成承诺</w:t>
      </w:r>
      <w:r>
        <w:rPr>
          <w:rFonts w:hint="eastAsia" w:ascii="宋体" w:hAnsi="宋体" w:eastAsia="宋体" w:cs="宋体"/>
          <w:color w:val="auto"/>
          <w:sz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突发事件（包括台风、暴雨、地震等灾害性天气导致的各类突发事件及其他突发事件）时的应急预案及相应的措施</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针对防盗、防火的安全防范巡查措施</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应对危及医护人员安全的突发事件的应急预案</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应对社会纠纷、暴恐事件等类型的应急预案</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应对突发性公共卫生事件（如疫情防控）的应急预案</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拟投入设备及工具一览表（格式参考</w:t>
      </w:r>
      <w:r>
        <w:rPr>
          <w:rFonts w:hint="eastAsia" w:ascii="宋体" w:hAnsi="宋体" w:eastAsia="宋体" w:cs="宋体"/>
          <w:color w:val="auto"/>
          <w:kern w:val="0"/>
          <w:sz w:val="24"/>
          <w:szCs w:val="24"/>
          <w:highlight w:val="none"/>
          <w:lang w:val="en-US" w:eastAsia="zh-CN"/>
        </w:rPr>
        <w:t>附件6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服务质量的承诺及保证措施、安全文明礼貌的承诺及保证措施、完善售后服务计划。</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投标人对项目现状、存在的问题和保安服务的难点、要点等问题进行调查剖析，提出克服难点和要点的措施和方案。</w:t>
      </w:r>
    </w:p>
    <w:p>
      <w:pPr>
        <w:pStyle w:val="24"/>
        <w:keepNext w:val="0"/>
        <w:keepLines w:val="0"/>
        <w:pageBreakBefore w:val="0"/>
        <w:widowControl w:val="0"/>
        <w:kinsoku/>
        <w:wordWrap/>
        <w:overflowPunct/>
        <w:topLinePunct w:val="0"/>
        <w:autoSpaceDE/>
        <w:autoSpaceDN/>
        <w:bidi w:val="0"/>
        <w:spacing w:line="324"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.其它投标人认为应该提供的资料。</w:t>
      </w:r>
    </w:p>
    <w:p>
      <w:pPr>
        <w:rPr>
          <w:rFonts w:hint="eastAsia" w:ascii="宋体" w:hAnsi="宋体" w:eastAsia="宋体" w:cs="宋体"/>
          <w:color w:val="auto"/>
          <w:sz w:val="24"/>
          <w:szCs w:val="24"/>
          <w:highlight w:val="none"/>
          <w:lang w:val="en-US"/>
        </w:rPr>
      </w:pPr>
      <w:bookmarkStart w:id="587" w:name="_Toc5834"/>
      <w:bookmarkStart w:id="588" w:name="_Toc20440"/>
      <w:bookmarkStart w:id="589" w:name="_Toc12271"/>
      <w:r>
        <w:rPr>
          <w:rFonts w:hint="eastAsia" w:ascii="宋体" w:hAnsi="宋体" w:eastAsia="宋体" w:cs="宋体"/>
          <w:color w:val="auto"/>
          <w:sz w:val="24"/>
          <w:szCs w:val="24"/>
          <w:highlight w:val="none"/>
          <w:lang w:val="en-US"/>
        </w:rPr>
        <w:br w:type="page"/>
      </w:r>
    </w:p>
    <w:p>
      <w:pPr>
        <w:pStyle w:val="3"/>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附件1</w:t>
      </w: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供应商基本情况表</w:t>
      </w:r>
      <w:bookmarkEnd w:id="587"/>
      <w:bookmarkEnd w:id="588"/>
      <w:bookmarkEnd w:id="589"/>
    </w:p>
    <w:p>
      <w:pPr>
        <w:spacing w:line="480" w:lineRule="exact"/>
        <w:jc w:val="center"/>
        <w:outlineLvl w:val="0"/>
        <w:rPr>
          <w:rFonts w:hint="eastAsia" w:ascii="宋体" w:hAnsi="宋体" w:eastAsia="宋体" w:cs="宋体"/>
          <w:color w:val="auto"/>
          <w:sz w:val="24"/>
          <w:highlight w:val="none"/>
        </w:rPr>
      </w:pPr>
      <w:bookmarkStart w:id="590" w:name="_Toc11100"/>
      <w:bookmarkStart w:id="591" w:name="_Toc23820"/>
      <w:bookmarkStart w:id="592" w:name="_Toc26740"/>
      <w:r>
        <w:rPr>
          <w:rFonts w:hint="eastAsia" w:ascii="宋体" w:hAnsi="宋体" w:eastAsia="宋体" w:cs="宋体"/>
          <w:color w:val="auto"/>
          <w:sz w:val="24"/>
          <w:highlight w:val="none"/>
        </w:rPr>
        <w:t>（由投标人自行编制）</w:t>
      </w:r>
      <w:bookmarkEnd w:id="590"/>
      <w:bookmarkEnd w:id="591"/>
      <w:bookmarkEnd w:id="592"/>
    </w:p>
    <w:tbl>
      <w:tblPr>
        <w:tblStyle w:val="19"/>
        <w:tblW w:w="0" w:type="auto"/>
        <w:jc w:val="center"/>
        <w:shd w:val="clear" w:color="auto" w:fill="FFFFFF" w:themeFill="background1"/>
        <w:tblLayout w:type="fixed"/>
        <w:tblCellMar>
          <w:top w:w="0" w:type="dxa"/>
          <w:left w:w="168" w:type="dxa"/>
          <w:bottom w:w="0" w:type="dxa"/>
          <w:right w:w="168" w:type="dxa"/>
        </w:tblCellMar>
      </w:tblPr>
      <w:tblGrid>
        <w:gridCol w:w="5227"/>
        <w:gridCol w:w="3024"/>
      </w:tblGrid>
      <w:tr>
        <w:tblPrEx>
          <w:tblCellMar>
            <w:top w:w="0" w:type="dxa"/>
            <w:left w:w="168" w:type="dxa"/>
            <w:bottom w:w="0" w:type="dxa"/>
            <w:right w:w="168" w:type="dxa"/>
          </w:tblCellMar>
        </w:tblPrEx>
        <w:trPr>
          <w:jc w:val="center"/>
        </w:trPr>
        <w:tc>
          <w:tcPr>
            <w:tcW w:w="5227" w:type="dxa"/>
            <w:tcBorders>
              <w:top w:val="single" w:color="auto" w:sz="6" w:space="0"/>
              <w:left w:val="single" w:color="auto" w:sz="6" w:space="0"/>
              <w:bottom w:val="nil"/>
              <w:right w:val="nil"/>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3024" w:type="dxa"/>
            <w:tcBorders>
              <w:top w:val="single" w:color="auto" w:sz="6" w:space="0"/>
              <w:left w:val="single" w:color="auto" w:sz="6" w:space="0"/>
              <w:bottom w:val="nil"/>
              <w:right w:val="single" w:color="auto" w:sz="6" w:space="0"/>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叙述/提供</w:t>
            </w:r>
          </w:p>
        </w:tc>
      </w:tr>
      <w:tr>
        <w:tblPrEx>
          <w:shd w:val="clear" w:color="auto" w:fill="FFFFFF" w:themeFill="background1"/>
          <w:tblCellMar>
            <w:top w:w="0" w:type="dxa"/>
            <w:left w:w="168" w:type="dxa"/>
            <w:bottom w:w="0" w:type="dxa"/>
            <w:right w:w="168" w:type="dxa"/>
          </w:tblCellMar>
        </w:tblPrEx>
        <w:trPr>
          <w:jc w:val="center"/>
        </w:trPr>
        <w:tc>
          <w:tcPr>
            <w:tcW w:w="5227" w:type="dxa"/>
            <w:tcBorders>
              <w:top w:val="single" w:color="auto" w:sz="6" w:space="0"/>
              <w:left w:val="single" w:color="auto" w:sz="6" w:space="0"/>
              <w:bottom w:val="single" w:color="auto" w:sz="6" w:space="0"/>
              <w:right w:val="nil"/>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典型项目实例: 需提供合同复印件，成功案例单位出具的用户报告并加盖公章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服务人员的数量、学历、资历，典型项目实例；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3．公司的组织结构简图</w:t>
            </w:r>
            <w:r>
              <w:rPr>
                <w:rFonts w:hint="eastAsia" w:ascii="宋体" w:hAnsi="宋体" w:eastAsia="宋体" w:cs="宋体"/>
                <w:color w:val="auto"/>
                <w:sz w:val="24"/>
                <w:highlight w:val="none"/>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4．营业执照复印件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5．相关资质证明</w:t>
            </w:r>
          </w:p>
        </w:tc>
        <w:tc>
          <w:tcPr>
            <w:tcW w:w="3024" w:type="dxa"/>
            <w:tcBorders>
              <w:top w:val="single" w:color="auto" w:sz="6" w:space="0"/>
              <w:left w:val="single" w:color="auto" w:sz="6" w:space="0"/>
              <w:bottom w:val="single" w:color="auto" w:sz="6" w:space="0"/>
              <w:right w:val="single" w:color="auto" w:sz="6" w:space="0"/>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hint="eastAsia" w:ascii="宋体" w:hAnsi="宋体" w:eastAsia="宋体" w:cs="宋体"/>
                <w:color w:val="auto"/>
                <w:sz w:val="24"/>
                <w:highlight w:val="none"/>
              </w:rPr>
            </w:pPr>
          </w:p>
        </w:tc>
      </w:tr>
    </w:tbl>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
        <w:jc w:val="both"/>
        <w:rPr>
          <w:rFonts w:hint="eastAsia" w:ascii="宋体" w:hAnsi="宋体" w:eastAsia="宋体" w:cs="宋体"/>
          <w:color w:val="auto"/>
          <w:sz w:val="28"/>
          <w:szCs w:val="28"/>
          <w:highlight w:val="none"/>
          <w:lang w:val="en-US"/>
        </w:rPr>
      </w:pPr>
      <w:bookmarkStart w:id="593" w:name="_Toc21795"/>
      <w:bookmarkStart w:id="594" w:name="_Toc16219"/>
      <w:bookmarkStart w:id="595" w:name="_Toc6611"/>
      <w:r>
        <w:rPr>
          <w:rFonts w:hint="eastAsia" w:ascii="宋体" w:hAnsi="宋体" w:eastAsia="宋体" w:cs="宋体"/>
          <w:color w:val="auto"/>
          <w:sz w:val="28"/>
          <w:szCs w:val="28"/>
          <w:highlight w:val="none"/>
          <w:lang w:val="en-US"/>
        </w:rPr>
        <w:t>附件2</w:t>
      </w:r>
    </w:p>
    <w:p>
      <w:pPr>
        <w:pStyle w:val="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主要业绩证明</w:t>
      </w:r>
      <w:bookmarkEnd w:id="593"/>
      <w:bookmarkEnd w:id="594"/>
      <w:bookmarkEnd w:id="595"/>
    </w:p>
    <w:tbl>
      <w:tblPr>
        <w:tblStyle w:val="19"/>
        <w:tblW w:w="4998" w:type="pct"/>
        <w:tblInd w:w="0" w:type="dxa"/>
        <w:tblLayout w:type="autofit"/>
        <w:tblCellMar>
          <w:top w:w="0" w:type="dxa"/>
          <w:left w:w="28" w:type="dxa"/>
          <w:bottom w:w="0" w:type="dxa"/>
          <w:right w:w="28" w:type="dxa"/>
        </w:tblCellMar>
      </w:tblPr>
      <w:tblGrid>
        <w:gridCol w:w="1378"/>
        <w:gridCol w:w="1119"/>
        <w:gridCol w:w="1179"/>
        <w:gridCol w:w="1139"/>
        <w:gridCol w:w="2936"/>
        <w:gridCol w:w="1033"/>
      </w:tblGrid>
      <w:tr>
        <w:tblPrEx>
          <w:tblCellMar>
            <w:top w:w="0" w:type="dxa"/>
            <w:left w:w="28" w:type="dxa"/>
            <w:bottom w:w="0" w:type="dxa"/>
            <w:right w:w="28" w:type="dxa"/>
          </w:tblCellMar>
        </w:tblPrEx>
        <w:trPr>
          <w:trHeight w:val="1177" w:hRule="atLeast"/>
        </w:trPr>
        <w:tc>
          <w:tcPr>
            <w:tcW w:w="869"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22"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c>
          <w:tcPr>
            <w:tcW w:w="756"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73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pPr>
              <w:autoSpaceDE w:val="0"/>
              <w:autoSpaceDN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24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项目地址与采购人联系电话</w:t>
            </w:r>
          </w:p>
        </w:tc>
        <w:tc>
          <w:tcPr>
            <w:tcW w:w="67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tblPrEx>
          <w:tblCellMar>
            <w:top w:w="0" w:type="dxa"/>
            <w:left w:w="28" w:type="dxa"/>
            <w:bottom w:w="0" w:type="dxa"/>
            <w:right w:w="28" w:type="dxa"/>
          </w:tblCellMar>
        </w:tblPrEx>
        <w:trPr>
          <w:trHeight w:val="528"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r>
      <w:tr>
        <w:tblPrEx>
          <w:tblCellMar>
            <w:top w:w="0" w:type="dxa"/>
            <w:left w:w="28" w:type="dxa"/>
            <w:bottom w:w="0" w:type="dxa"/>
            <w:right w:w="28" w:type="dxa"/>
          </w:tblCellMar>
        </w:tblPrEx>
        <w:trPr>
          <w:trHeight w:val="450"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r>
      <w:tr>
        <w:tblPrEx>
          <w:tblCellMar>
            <w:top w:w="0" w:type="dxa"/>
            <w:left w:w="28" w:type="dxa"/>
            <w:bottom w:w="0" w:type="dxa"/>
            <w:right w:w="28" w:type="dxa"/>
          </w:tblCellMar>
        </w:tblPrEx>
        <w:trPr>
          <w:trHeight w:val="456"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r>
      <w:tr>
        <w:tblPrEx>
          <w:tblCellMar>
            <w:top w:w="0" w:type="dxa"/>
            <w:left w:w="28" w:type="dxa"/>
            <w:bottom w:w="0" w:type="dxa"/>
            <w:right w:w="28" w:type="dxa"/>
          </w:tblCellMar>
        </w:tblPrEx>
        <w:trPr>
          <w:trHeight w:val="448"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hint="eastAsia" w:ascii="宋体" w:hAnsi="宋体" w:eastAsia="宋体" w:cs="宋体"/>
                <w:color w:val="auto"/>
                <w:sz w:val="24"/>
                <w:highlight w:val="none"/>
              </w:rPr>
            </w:pPr>
          </w:p>
        </w:tc>
      </w:tr>
    </w:tbl>
    <w:p>
      <w:pPr>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rPr>
        <w:t>投标人自2019年1月1日至今（以合同签订时间为准）具有成功实施的保安</w:t>
      </w:r>
      <w:r>
        <w:rPr>
          <w:rFonts w:hint="eastAsia" w:ascii="宋体" w:hAnsi="宋体" w:eastAsia="宋体" w:cs="宋体"/>
          <w:color w:val="auto"/>
          <w:kern w:val="0"/>
          <w:sz w:val="24"/>
          <w:highlight w:val="none"/>
          <w:lang w:val="en-US" w:eastAsia="zh-CN"/>
        </w:rPr>
        <w:t>服务或金融护卫服务</w:t>
      </w:r>
      <w:r>
        <w:rPr>
          <w:rFonts w:hint="eastAsia" w:ascii="宋体" w:hAnsi="宋体" w:eastAsia="宋体" w:cs="宋体"/>
          <w:color w:val="auto"/>
          <w:kern w:val="0"/>
          <w:sz w:val="24"/>
          <w:highlight w:val="none"/>
        </w:rPr>
        <w:t>的业绩或案例证明</w:t>
      </w:r>
      <w:r>
        <w:rPr>
          <w:rFonts w:hint="eastAsia" w:ascii="宋体" w:hAnsi="宋体" w:eastAsia="宋体" w:cs="宋体"/>
          <w:color w:val="auto"/>
          <w:sz w:val="24"/>
          <w:highlight w:val="none"/>
        </w:rPr>
        <w:t>。投标文件中需提供合同复印件加盖投标人公章，原件备查。</w:t>
      </w:r>
    </w:p>
    <w:p>
      <w:pPr>
        <w:autoSpaceDE w:val="0"/>
        <w:autoSpaceDN w:val="0"/>
        <w:spacing w:line="420" w:lineRule="exact"/>
        <w:ind w:firstLine="5280" w:firstLineChars="2200"/>
        <w:rPr>
          <w:rFonts w:hint="eastAsia" w:ascii="宋体" w:hAnsi="宋体" w:eastAsia="宋体" w:cs="宋体"/>
          <w:color w:val="auto"/>
          <w:kern w:val="0"/>
          <w:sz w:val="24"/>
          <w:highlight w:val="none"/>
        </w:rPr>
      </w:pPr>
    </w:p>
    <w:p>
      <w:pPr>
        <w:snapToGrid w:val="0"/>
        <w:spacing w:line="360" w:lineRule="auto"/>
        <w:ind w:firstLine="57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napToGrid w:val="0"/>
        <w:spacing w:line="360" w:lineRule="auto"/>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附件3</w:t>
      </w:r>
    </w:p>
    <w:p>
      <w:pPr>
        <w:snapToGrid w:val="0"/>
        <w:spacing w:line="360" w:lineRule="auto"/>
        <w:jc w:val="center"/>
        <w:rPr>
          <w:rFonts w:hint="eastAsia" w:ascii="宋体" w:hAnsi="宋体" w:eastAsia="宋体" w:cs="宋体"/>
          <w:color w:val="auto"/>
          <w:kern w:val="0"/>
          <w:highlight w:val="none"/>
        </w:rPr>
      </w:pPr>
      <w:r>
        <w:rPr>
          <w:rStyle w:val="50"/>
          <w:rFonts w:hint="eastAsia" w:ascii="宋体" w:hAnsi="宋体" w:eastAsia="宋体" w:cs="宋体"/>
          <w:color w:val="auto"/>
          <w:sz w:val="28"/>
          <w:szCs w:val="28"/>
          <w:highlight w:val="none"/>
        </w:rPr>
        <w:t>保安大队长简历表</w:t>
      </w:r>
    </w:p>
    <w:tbl>
      <w:tblPr>
        <w:tblStyle w:val="19"/>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64"/>
        <w:gridCol w:w="686"/>
        <w:gridCol w:w="696"/>
        <w:gridCol w:w="718"/>
        <w:gridCol w:w="1264"/>
        <w:gridCol w:w="185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 名</w:t>
            </w: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686"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年龄</w:t>
            </w:r>
          </w:p>
        </w:tc>
        <w:tc>
          <w:tcPr>
            <w:tcW w:w="69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学历</w:t>
            </w:r>
          </w:p>
        </w:tc>
        <w:tc>
          <w:tcPr>
            <w:tcW w:w="718" w:type="dxa"/>
            <w:tcBorders>
              <w:top w:val="single" w:color="auto" w:sz="4" w:space="0"/>
              <w:left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w:t>
            </w:r>
          </w:p>
        </w:tc>
        <w:tc>
          <w:tcPr>
            <w:tcW w:w="1264" w:type="dxa"/>
            <w:tcBorders>
              <w:top w:val="single" w:color="auto" w:sz="4" w:space="0"/>
              <w:left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资格证书</w:t>
            </w:r>
          </w:p>
        </w:tc>
        <w:tc>
          <w:tcPr>
            <w:tcW w:w="1854" w:type="dxa"/>
            <w:tcBorders>
              <w:top w:val="single" w:color="auto" w:sz="4" w:space="0"/>
              <w:left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身份证号码</w:t>
            </w:r>
          </w:p>
        </w:tc>
        <w:tc>
          <w:tcPr>
            <w:tcW w:w="118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hint="eastAsia" w:ascii="宋体" w:hAnsi="宋体" w:eastAsia="宋体" w:cs="宋体"/>
                <w:color w:val="auto"/>
                <w:kern w:val="0"/>
                <w:sz w:val="24"/>
                <w:highlight w:val="none"/>
              </w:rPr>
            </w:pPr>
          </w:p>
        </w:tc>
        <w:tc>
          <w:tcPr>
            <w:tcW w:w="686"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hint="eastAsia" w:ascii="宋体" w:hAnsi="宋体" w:eastAsia="宋体" w:cs="宋体"/>
                <w:color w:val="auto"/>
                <w:kern w:val="0"/>
                <w:sz w:val="24"/>
                <w:highlight w:val="none"/>
              </w:rPr>
            </w:pPr>
          </w:p>
        </w:tc>
        <w:tc>
          <w:tcPr>
            <w:tcW w:w="69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p>
        </w:tc>
        <w:tc>
          <w:tcPr>
            <w:tcW w:w="718" w:type="dxa"/>
            <w:tcBorders>
              <w:top w:val="single" w:color="auto" w:sz="4" w:space="0"/>
              <w:left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p>
        </w:tc>
        <w:tc>
          <w:tcPr>
            <w:tcW w:w="1264" w:type="dxa"/>
            <w:tcBorders>
              <w:top w:val="single" w:color="auto" w:sz="4" w:space="0"/>
              <w:left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p>
        </w:tc>
        <w:tc>
          <w:tcPr>
            <w:tcW w:w="1854" w:type="dxa"/>
            <w:tcBorders>
              <w:top w:val="single" w:color="auto" w:sz="4" w:space="0"/>
              <w:left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jc w:val="center"/>
        </w:trPr>
        <w:tc>
          <w:tcPr>
            <w:tcW w:w="7957" w:type="dxa"/>
            <w:gridSpan w:val="8"/>
            <w:tcBorders>
              <w:top w:val="single" w:color="auto" w:sz="4" w:space="0"/>
              <w:left w:val="single" w:color="auto" w:sz="4" w:space="0"/>
              <w:bottom w:val="single" w:color="auto" w:sz="4" w:space="0"/>
              <w:right w:val="single" w:color="auto" w:sz="4" w:space="0"/>
            </w:tcBorders>
            <w:noWrap/>
          </w:tcPr>
          <w:p>
            <w:pPr>
              <w:spacing w:line="440" w:lineRule="exact"/>
              <w:rPr>
                <w:rFonts w:hint="eastAsia" w:ascii="宋体" w:hAnsi="宋体" w:eastAsia="宋体" w:cs="宋体"/>
                <w:color w:val="auto"/>
                <w:kern w:val="0"/>
                <w:sz w:val="24"/>
                <w:highlight w:val="none"/>
              </w:rPr>
            </w:pPr>
          </w:p>
          <w:p>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保安大队长简历：</w:t>
            </w:r>
          </w:p>
        </w:tc>
      </w:tr>
    </w:tbl>
    <w:p>
      <w:pP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注：1.须附身份证、职称证书、</w:t>
      </w:r>
      <w:r>
        <w:rPr>
          <w:rFonts w:hint="eastAsia" w:ascii="宋体" w:hAnsi="宋体" w:eastAsia="宋体" w:cs="宋体"/>
          <w:color w:val="auto"/>
          <w:kern w:val="0"/>
          <w:sz w:val="24"/>
          <w:highlight w:val="none"/>
        </w:rPr>
        <w:t>资格证书、学历证书、</w:t>
      </w:r>
      <w:r>
        <w:rPr>
          <w:rFonts w:hint="eastAsia" w:ascii="宋体" w:hAnsi="宋体" w:eastAsia="宋体" w:cs="宋体"/>
          <w:color w:val="auto"/>
          <w:kern w:val="0"/>
          <w:sz w:val="24"/>
          <w:highlight w:val="none"/>
          <w:lang w:val="en-US" w:eastAsia="zh-CN"/>
        </w:rPr>
        <w:t>退伍军人证明、</w:t>
      </w:r>
      <w:r>
        <w:rPr>
          <w:rFonts w:hint="eastAsia" w:ascii="宋体" w:hAnsi="宋体" w:eastAsia="宋体" w:cs="宋体"/>
          <w:bCs/>
          <w:color w:val="auto"/>
          <w:kern w:val="0"/>
          <w:sz w:val="24"/>
          <w:highlight w:val="none"/>
        </w:rPr>
        <w:t>社保证明复印件，原件备查。</w:t>
      </w:r>
    </w:p>
    <w:p>
      <w:pPr>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2.不得随意更换项目负责人，如不经采购人同意擅自更换，则采购人有权解除合同。      </w:t>
      </w:r>
    </w:p>
    <w:p>
      <w:pPr>
        <w:rPr>
          <w:rFonts w:hint="eastAsia" w:ascii="宋体" w:hAnsi="宋体" w:eastAsia="宋体" w:cs="宋体"/>
          <w:color w:val="auto"/>
          <w:kern w:val="0"/>
          <w:sz w:val="24"/>
          <w:highlight w:val="none"/>
        </w:rPr>
      </w:pPr>
    </w:p>
    <w:p>
      <w:pPr>
        <w:spacing w:line="360" w:lineRule="auto"/>
        <w:rPr>
          <w:rFonts w:hint="eastAsia" w:ascii="宋体" w:hAnsi="宋体" w:eastAsia="宋体" w:cs="宋体"/>
          <w:color w:val="auto"/>
          <w:sz w:val="24"/>
          <w:highlight w:val="none"/>
        </w:rPr>
      </w:pPr>
    </w:p>
    <w:p>
      <w:pPr>
        <w:snapToGrid w:val="0"/>
        <w:spacing w:line="360" w:lineRule="auto"/>
        <w:ind w:firstLine="57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color w:val="auto"/>
          <w:sz w:val="24"/>
          <w:highlight w:val="none"/>
        </w:rPr>
      </w:pPr>
    </w:p>
    <w:p>
      <w:pPr>
        <w:rPr>
          <w:rFonts w:hint="eastAsia" w:ascii="宋体" w:hAnsi="宋体" w:eastAsia="宋体" w:cs="宋体"/>
          <w:b/>
          <w:bCs/>
          <w:color w:val="auto"/>
          <w:sz w:val="24"/>
          <w:highlight w:val="none"/>
        </w:rPr>
      </w:pPr>
      <w:bookmarkStart w:id="596" w:name="_Toc13580"/>
      <w:r>
        <w:rPr>
          <w:rFonts w:hint="eastAsia" w:ascii="宋体" w:hAnsi="宋体" w:eastAsia="宋体" w:cs="宋体"/>
          <w:b/>
          <w:bCs/>
          <w:color w:val="auto"/>
          <w:sz w:val="24"/>
          <w:highlight w:val="none"/>
        </w:rPr>
        <w:br w:type="page"/>
      </w:r>
    </w:p>
    <w:p>
      <w:pPr>
        <w:pStyle w:val="3"/>
        <w:jc w:val="both"/>
        <w:rPr>
          <w:rStyle w:val="44"/>
          <w:rFonts w:hint="eastAsia" w:ascii="宋体" w:hAnsi="宋体" w:eastAsia="宋体" w:cs="宋体"/>
          <w:b/>
          <w:bCs/>
          <w:color w:val="auto"/>
          <w:sz w:val="28"/>
          <w:szCs w:val="28"/>
          <w:highlight w:val="none"/>
          <w:lang w:val="en-US"/>
        </w:rPr>
      </w:pPr>
      <w:bookmarkStart w:id="597" w:name="_Toc4689"/>
      <w:bookmarkStart w:id="598" w:name="_Toc2872"/>
      <w:r>
        <w:rPr>
          <w:rFonts w:hint="eastAsia" w:ascii="宋体" w:hAnsi="宋体" w:eastAsia="宋体" w:cs="宋体"/>
          <w:color w:val="auto"/>
          <w:sz w:val="28"/>
          <w:szCs w:val="28"/>
          <w:highlight w:val="none"/>
          <w:lang w:val="en-US"/>
        </w:rPr>
        <w:t>附件</w:t>
      </w:r>
      <w:r>
        <w:rPr>
          <w:rStyle w:val="44"/>
          <w:rFonts w:hint="eastAsia" w:ascii="宋体" w:hAnsi="宋体" w:eastAsia="宋体" w:cs="宋体"/>
          <w:b/>
          <w:bCs/>
          <w:color w:val="auto"/>
          <w:sz w:val="28"/>
          <w:szCs w:val="28"/>
          <w:highlight w:val="none"/>
          <w:lang w:val="en-US"/>
        </w:rPr>
        <w:t>4</w:t>
      </w:r>
      <w:bookmarkEnd w:id="596"/>
    </w:p>
    <w:p>
      <w:pPr>
        <w:pStyle w:val="3"/>
        <w:jc w:val="center"/>
        <w:rPr>
          <w:rFonts w:hint="eastAsia" w:ascii="宋体" w:hAnsi="宋体" w:eastAsia="宋体" w:cs="宋体"/>
          <w:color w:val="auto"/>
          <w:kern w:val="0"/>
          <w:highlight w:val="none"/>
        </w:rPr>
      </w:pPr>
      <w:r>
        <w:rPr>
          <w:rFonts w:hint="eastAsia" w:ascii="宋体" w:hAnsi="宋体" w:eastAsia="宋体" w:cs="宋体"/>
          <w:color w:val="auto"/>
          <w:sz w:val="28"/>
          <w:szCs w:val="28"/>
          <w:highlight w:val="none"/>
        </w:rPr>
        <w:t>拟派本项目组人员配备情况</w:t>
      </w:r>
      <w:bookmarkEnd w:id="597"/>
      <w:bookmarkEnd w:id="598"/>
    </w:p>
    <w:tbl>
      <w:tblPr>
        <w:tblStyle w:val="19"/>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051"/>
        <w:gridCol w:w="853"/>
        <w:gridCol w:w="799"/>
        <w:gridCol w:w="866"/>
        <w:gridCol w:w="1212"/>
        <w:gridCol w:w="152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 名</w:t>
            </w:r>
          </w:p>
        </w:tc>
        <w:tc>
          <w:tcPr>
            <w:tcW w:w="509"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年龄</w:t>
            </w:r>
          </w:p>
        </w:tc>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Chars="-36" w:hanging="75" w:hangingChars="36"/>
              <w:jc w:val="center"/>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学历</w:t>
            </w:r>
          </w:p>
        </w:tc>
        <w:tc>
          <w:tcPr>
            <w:tcW w:w="723"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拟任岗位</w:t>
            </w:r>
          </w:p>
        </w:tc>
        <w:tc>
          <w:tcPr>
            <w:tcW w:w="911"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身份证号码</w:t>
            </w:r>
          </w:p>
        </w:tc>
        <w:tc>
          <w:tcPr>
            <w:tcW w:w="716"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0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p>
            <w:pPr>
              <w:spacing w:line="440" w:lineRule="exact"/>
              <w:ind w:firstLine="592"/>
              <w:jc w:val="center"/>
              <w:rPr>
                <w:rFonts w:hint="eastAsia" w:ascii="宋体" w:hAnsi="宋体" w:eastAsia="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911"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16"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0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911"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16"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0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911"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16"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0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p>
            <w:pPr>
              <w:spacing w:line="440" w:lineRule="exact"/>
              <w:ind w:firstLine="592"/>
              <w:jc w:val="center"/>
              <w:rPr>
                <w:rFonts w:hint="eastAsia" w:ascii="宋体" w:hAnsi="宋体" w:eastAsia="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911"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16"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0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p>
            <w:pPr>
              <w:spacing w:line="440" w:lineRule="exact"/>
              <w:ind w:firstLine="592"/>
              <w:jc w:val="center"/>
              <w:rPr>
                <w:rFonts w:hint="eastAsia" w:ascii="宋体" w:hAnsi="宋体" w:eastAsia="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911"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16"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62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0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p>
            <w:pPr>
              <w:spacing w:line="440" w:lineRule="exact"/>
              <w:ind w:firstLine="592"/>
              <w:jc w:val="center"/>
              <w:rPr>
                <w:rFonts w:hint="eastAsia" w:ascii="宋体" w:hAnsi="宋体" w:eastAsia="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51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911"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c>
          <w:tcPr>
            <w:tcW w:w="716"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hint="eastAsia" w:ascii="宋体" w:hAnsi="宋体" w:eastAsia="宋体" w:cs="宋体"/>
                <w:color w:val="auto"/>
                <w:kern w:val="0"/>
                <w:sz w:val="24"/>
                <w:highlight w:val="none"/>
              </w:rPr>
            </w:pPr>
          </w:p>
        </w:tc>
      </w:tr>
    </w:tbl>
    <w:p>
      <w:pPr>
        <w:rPr>
          <w:rFonts w:hint="eastAsia" w:ascii="宋体" w:hAnsi="宋体" w:eastAsia="宋体" w:cs="宋体"/>
          <w:bCs/>
          <w:color w:val="auto"/>
          <w:kern w:val="0"/>
          <w:sz w:val="24"/>
          <w:highlight w:val="none"/>
        </w:rPr>
      </w:pPr>
    </w:p>
    <w:p>
      <w:pP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注：1.此表仅提供了表格形式，报价供应商可按此表格复制。</w:t>
      </w:r>
    </w:p>
    <w:p>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.须附身份证、职称证书、资格证书、学历证书、退伍军人证明、社保证明复印件，原件备查。</w:t>
      </w:r>
    </w:p>
    <w:p>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 xml:space="preserve">.不得随意更换项目实施人员，如不经采购人同意擅自更换，则采购人有权解除合同。 </w:t>
      </w:r>
    </w:p>
    <w:p>
      <w:pPr>
        <w:widowControl/>
        <w:jc w:val="left"/>
        <w:rPr>
          <w:rFonts w:hint="eastAsia" w:ascii="宋体" w:hAnsi="宋体" w:eastAsia="宋体" w:cs="宋体"/>
          <w:bCs/>
          <w:color w:val="auto"/>
          <w:kern w:val="0"/>
          <w:sz w:val="24"/>
          <w:highlight w:val="none"/>
        </w:rPr>
      </w:pPr>
    </w:p>
    <w:p>
      <w:pPr>
        <w:widowControl/>
        <w:jc w:val="left"/>
        <w:rPr>
          <w:rFonts w:hint="eastAsia" w:ascii="宋体" w:hAnsi="宋体" w:eastAsia="宋体" w:cs="宋体"/>
          <w:bCs/>
          <w:color w:val="auto"/>
          <w:kern w:val="0"/>
          <w:sz w:val="24"/>
          <w:highlight w:val="none"/>
        </w:rPr>
      </w:pPr>
    </w:p>
    <w:p>
      <w:pPr>
        <w:widowControl/>
        <w:jc w:val="left"/>
        <w:rPr>
          <w:rFonts w:hint="eastAsia" w:ascii="宋体" w:hAnsi="宋体" w:eastAsia="宋体" w:cs="宋体"/>
          <w:bCs/>
          <w:color w:val="auto"/>
          <w:kern w:val="0"/>
          <w:sz w:val="24"/>
          <w:highlight w:val="none"/>
        </w:rPr>
      </w:pPr>
    </w:p>
    <w:p>
      <w:pPr>
        <w:widowControl/>
        <w:jc w:val="left"/>
        <w:rPr>
          <w:rFonts w:hint="eastAsia" w:ascii="宋体" w:hAnsi="宋体" w:eastAsia="宋体" w:cs="宋体"/>
          <w:bCs/>
          <w:color w:val="auto"/>
          <w:kern w:val="0"/>
          <w:sz w:val="24"/>
          <w:highlight w:val="none"/>
        </w:rPr>
      </w:pPr>
    </w:p>
    <w:p>
      <w:pPr>
        <w:snapToGrid w:val="0"/>
        <w:spacing w:line="360" w:lineRule="auto"/>
        <w:ind w:firstLine="57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napToGrid w:val="0"/>
        <w:spacing w:line="360" w:lineRule="auto"/>
        <w:jc w:val="both"/>
        <w:outlineLvl w:val="1"/>
        <w:rPr>
          <w:rFonts w:hint="eastAsia" w:ascii="宋体" w:hAnsi="宋体" w:eastAsia="宋体" w:cs="宋体"/>
          <w:b/>
          <w:color w:val="auto"/>
          <w:sz w:val="32"/>
          <w:szCs w:val="32"/>
          <w:highlight w:val="none"/>
          <w:lang w:val="en-US" w:eastAsia="zh-CN"/>
        </w:rPr>
      </w:pPr>
      <w:bookmarkStart w:id="599" w:name="_Toc4205"/>
      <w:bookmarkStart w:id="600" w:name="_Toc15335"/>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5</w:t>
      </w:r>
    </w:p>
    <w:p>
      <w:pPr>
        <w:snapToGrid w:val="0"/>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劳动用工书面承诺</w:t>
      </w:r>
      <w:bookmarkEnd w:id="599"/>
      <w:bookmarkEnd w:id="600"/>
    </w:p>
    <w:p>
      <w:pPr>
        <w:snapToGrid w:val="0"/>
        <w:spacing w:line="360" w:lineRule="auto"/>
        <w:jc w:val="center"/>
        <w:rPr>
          <w:rFonts w:hint="eastAsia" w:ascii="宋体" w:hAnsi="宋体" w:eastAsia="宋体" w:cs="宋体"/>
          <w:color w:val="auto"/>
          <w:highlight w:val="none"/>
        </w:rPr>
      </w:pPr>
    </w:p>
    <w:p>
      <w:pPr>
        <w:snapToGrid w:val="0"/>
        <w:spacing w:line="360" w:lineRule="auto"/>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嘉兴市第一医院：</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pPr>
        <w:pStyle w:val="7"/>
        <w:rPr>
          <w:rFonts w:hint="eastAsia" w:ascii="宋体" w:hAnsi="宋体" w:eastAsia="宋体" w:cs="宋体"/>
          <w:color w:val="auto"/>
          <w:highlight w:val="none"/>
        </w:rPr>
      </w:pPr>
    </w:p>
    <w:p>
      <w:pPr>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napToGrid w:val="0"/>
        <w:spacing w:line="360" w:lineRule="auto"/>
        <w:ind w:left="630" w:leftChars="100" w:hanging="420" w:hangingChars="200"/>
        <w:jc w:val="center"/>
        <w:rPr>
          <w:rFonts w:hint="eastAsia" w:ascii="宋体" w:hAnsi="宋体" w:eastAsia="宋体" w:cs="宋体"/>
          <w:color w:val="auto"/>
          <w:highlight w:val="none"/>
        </w:rPr>
      </w:pPr>
    </w:p>
    <w:p>
      <w:pPr>
        <w:snapToGrid w:val="0"/>
        <w:spacing w:line="360" w:lineRule="auto"/>
        <w:ind w:left="630" w:leftChars="100" w:hanging="420" w:hangingChars="200"/>
        <w:jc w:val="cente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left="630" w:leftChars="100" w:hanging="420" w:hangingChars="200"/>
        <w:jc w:val="center"/>
        <w:rPr>
          <w:rFonts w:hint="eastAsia" w:ascii="宋体" w:hAnsi="宋体" w:eastAsia="宋体" w:cs="宋体"/>
          <w:color w:val="auto"/>
          <w:highlight w:val="none"/>
        </w:rPr>
      </w:pPr>
    </w:p>
    <w:p>
      <w:pPr>
        <w:pStyle w:val="36"/>
        <w:keepNext w:val="0"/>
        <w:pageBreakBefore w:val="0"/>
        <w:tabs>
          <w:tab w:val="clear" w:pos="720"/>
        </w:tabs>
        <w:snapToGrid w:val="0"/>
        <w:spacing w:before="120" w:after="120"/>
        <w:ind w:firstLine="643"/>
        <w:outlineLvl w:val="9"/>
        <w:rPr>
          <w:rFonts w:hint="eastAsia" w:ascii="宋体" w:hAnsi="宋体" w:eastAsia="宋体" w:cs="宋体"/>
          <w:color w:val="auto"/>
          <w:kern w:val="2"/>
          <w:sz w:val="24"/>
          <w:szCs w:val="24"/>
          <w:highlight w:val="none"/>
        </w:rPr>
      </w:pPr>
    </w:p>
    <w:p>
      <w:pPr>
        <w:pStyle w:val="3"/>
        <w:keepNext/>
        <w:keepLines/>
        <w:pageBreakBefore w:val="0"/>
        <w:widowControl w:val="0"/>
        <w:kinsoku/>
        <w:wordWrap/>
        <w:overflowPunct/>
        <w:topLinePunct w:val="0"/>
        <w:autoSpaceDE/>
        <w:autoSpaceDN/>
        <w:bidi w:val="0"/>
        <w:adjustRightInd/>
        <w:snapToGrid/>
        <w:spacing w:line="240" w:lineRule="auto"/>
        <w:ind w:left="431" w:hanging="431"/>
        <w:jc w:val="both"/>
        <w:textAlignment w:val="auto"/>
        <w:rPr>
          <w:rFonts w:hint="eastAsia" w:ascii="宋体" w:hAnsi="宋体" w:eastAsia="宋体" w:cs="宋体"/>
          <w:color w:val="auto"/>
          <w:sz w:val="28"/>
          <w:szCs w:val="28"/>
          <w:highlight w:val="none"/>
          <w:lang w:eastAsia="zh-CN"/>
        </w:rPr>
      </w:pPr>
      <w:bookmarkStart w:id="601" w:name="_Toc7717"/>
      <w:r>
        <w:rPr>
          <w:rFonts w:hint="eastAsia" w:ascii="宋体" w:hAnsi="宋体" w:eastAsia="宋体" w:cs="宋体"/>
          <w:b/>
          <w:color w:val="auto"/>
          <w:kern w:val="0"/>
          <w:sz w:val="24"/>
          <w:highlight w:val="none"/>
        </w:rPr>
        <w:br w:type="page"/>
      </w:r>
      <w:bookmarkStart w:id="602" w:name="_Toc14062"/>
      <w:bookmarkStart w:id="603" w:name="_Toc18386"/>
      <w:r>
        <w:rPr>
          <w:rFonts w:hint="eastAsia" w:ascii="宋体" w:hAnsi="宋体" w:eastAsia="宋体" w:cs="宋体"/>
          <w:color w:val="auto"/>
          <w:sz w:val="28"/>
          <w:szCs w:val="28"/>
          <w:highlight w:val="none"/>
          <w:lang w:val="en-US"/>
        </w:rPr>
        <w:t>附件</w:t>
      </w:r>
      <w:r>
        <w:rPr>
          <w:rFonts w:hint="eastAsia" w:ascii="宋体" w:hAnsi="宋体" w:eastAsia="宋体" w:cs="宋体"/>
          <w:color w:val="auto"/>
          <w:sz w:val="28"/>
          <w:szCs w:val="28"/>
          <w:highlight w:val="none"/>
          <w:lang w:val="en-US" w:eastAsia="zh-CN"/>
        </w:rPr>
        <w:t>6</w:t>
      </w:r>
    </w:p>
    <w:p>
      <w:pPr>
        <w:pStyle w:val="3"/>
        <w:keepNext/>
        <w:keepLines/>
        <w:pageBreakBefore w:val="0"/>
        <w:widowControl w:val="0"/>
        <w:kinsoku/>
        <w:wordWrap/>
        <w:overflowPunct/>
        <w:topLinePunct w:val="0"/>
        <w:autoSpaceDE/>
        <w:autoSpaceDN/>
        <w:bidi w:val="0"/>
        <w:adjustRightInd/>
        <w:snapToGrid/>
        <w:spacing w:line="240" w:lineRule="auto"/>
        <w:ind w:left="431" w:hanging="431"/>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拟投入设备及工具一览表</w:t>
      </w:r>
      <w:bookmarkEnd w:id="602"/>
      <w:bookmarkEnd w:id="603"/>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86"/>
        <w:gridCol w:w="962"/>
        <w:gridCol w:w="1129"/>
        <w:gridCol w:w="685"/>
        <w:gridCol w:w="815"/>
        <w:gridCol w:w="1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760" w:type="dxa"/>
            <w:tcBorders>
              <w:top w:val="single" w:color="auto" w:sz="12" w:space="0"/>
              <w:left w:val="single" w:color="auto" w:sz="12" w:space="0"/>
              <w:bottom w:val="single" w:color="auto" w:sz="12" w:space="0"/>
              <w:right w:val="single" w:color="auto" w:sz="4" w:space="0"/>
            </w:tcBorders>
            <w:noWrap/>
            <w:vAlign w:val="center"/>
          </w:tcPr>
          <w:p>
            <w:pPr>
              <w:ind w:left="-40" w:leftChars="-19" w:right="-38" w:rightChars="-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86"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设备/工具名称</w:t>
            </w:r>
          </w:p>
        </w:tc>
        <w:tc>
          <w:tcPr>
            <w:tcW w:w="962"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型号规格</w:t>
            </w:r>
          </w:p>
        </w:tc>
        <w:tc>
          <w:tcPr>
            <w:tcW w:w="1129"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品牌/产地</w:t>
            </w:r>
          </w:p>
        </w:tc>
        <w:tc>
          <w:tcPr>
            <w:tcW w:w="685"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15"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981" w:type="dxa"/>
            <w:tcBorders>
              <w:top w:val="single" w:color="auto" w:sz="12" w:space="0"/>
              <w:left w:val="single" w:color="auto" w:sz="4" w:space="0"/>
              <w:bottom w:val="single" w:color="auto" w:sz="12" w:space="0"/>
              <w:right w:val="single" w:color="auto" w:sz="12" w:space="0"/>
            </w:tcBorders>
            <w:noWrap/>
            <w:vAlign w:val="center"/>
          </w:tcPr>
          <w:p>
            <w:pPr>
              <w:ind w:left="-40" w:leftChars="-19" w:right="-38" w:rightChars="-1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12"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2186"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钢盔</w:t>
            </w:r>
          </w:p>
        </w:tc>
        <w:tc>
          <w:tcPr>
            <w:tcW w:w="962" w:type="dxa"/>
            <w:tcBorders>
              <w:top w:val="single" w:color="auto" w:sz="12"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12"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顶</w:t>
            </w:r>
          </w:p>
        </w:tc>
        <w:tc>
          <w:tcPr>
            <w:tcW w:w="815"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12"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警绳</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伸缩警棍</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多功能分体式雨衣</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雨鞋</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双</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小雨伞</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把</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7</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武装带</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条</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8</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防刺服</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9</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辣椒水喷射器</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只</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10</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防割手套</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数字对讲机</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强光电筒</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40" w:leftChars="-19" w:right="-38" w:rightChars="-18"/>
              <w:jc w:val="center"/>
              <w:rPr>
                <w:rFonts w:hint="eastAsia" w:ascii="宋体" w:hAnsi="宋体" w:eastAsia="宋体" w:cs="宋体"/>
                <w:color w:val="auto"/>
                <w:kern w:val="0"/>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支</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13</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钝角钢叉</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副</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14</w:t>
            </w:r>
          </w:p>
        </w:tc>
        <w:tc>
          <w:tcPr>
            <w:tcW w:w="21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tc>
        <w:tc>
          <w:tcPr>
            <w:tcW w:w="962"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4" w:space="0"/>
              <w:right w:val="single" w:color="auto" w:sz="12" w:space="0"/>
            </w:tcBorders>
            <w:noWrap/>
            <w:vAlign w:val="center"/>
          </w:tcPr>
          <w:p>
            <w:pPr>
              <w:ind w:right="-38" w:rightChars="-18"/>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投标人根据实际工作需要提出配置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0" w:type="dxa"/>
            <w:tcBorders>
              <w:top w:val="single" w:color="auto" w:sz="4" w:space="0"/>
              <w:left w:val="single" w:color="auto" w:sz="12" w:space="0"/>
              <w:bottom w:val="single" w:color="auto" w:sz="12"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186"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962" w:type="dxa"/>
            <w:tcBorders>
              <w:top w:val="single" w:color="auto" w:sz="4" w:space="0"/>
              <w:left w:val="single" w:color="auto" w:sz="4" w:space="0"/>
              <w:bottom w:val="single" w:color="auto" w:sz="12"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1129" w:type="dxa"/>
            <w:tcBorders>
              <w:top w:val="single" w:color="auto" w:sz="4" w:space="0"/>
              <w:left w:val="single" w:color="auto" w:sz="4" w:space="0"/>
              <w:bottom w:val="single" w:color="auto" w:sz="12" w:space="0"/>
              <w:right w:val="single" w:color="auto" w:sz="4" w:space="0"/>
            </w:tcBorders>
            <w:noWrap/>
            <w:vAlign w:val="center"/>
          </w:tcPr>
          <w:p>
            <w:pPr>
              <w:ind w:left="-40" w:leftChars="-19" w:right="-38" w:rightChars="-18" w:firstLine="592"/>
              <w:jc w:val="center"/>
              <w:rPr>
                <w:rFonts w:hint="eastAsia" w:ascii="宋体" w:hAnsi="宋体" w:eastAsia="宋体" w:cs="宋体"/>
                <w:color w:val="auto"/>
                <w:sz w:val="24"/>
                <w:highlight w:val="none"/>
              </w:rPr>
            </w:pPr>
          </w:p>
        </w:tc>
        <w:tc>
          <w:tcPr>
            <w:tcW w:w="685"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815"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highlight w:val="none"/>
              </w:rPr>
            </w:pPr>
          </w:p>
        </w:tc>
        <w:tc>
          <w:tcPr>
            <w:tcW w:w="1981" w:type="dxa"/>
            <w:tcBorders>
              <w:top w:val="single" w:color="auto" w:sz="4" w:space="0"/>
              <w:left w:val="single" w:color="auto" w:sz="4" w:space="0"/>
              <w:bottom w:val="single" w:color="auto" w:sz="12" w:space="0"/>
              <w:right w:val="single" w:color="auto" w:sz="12" w:space="0"/>
            </w:tcBorders>
            <w:noWrap/>
            <w:vAlign w:val="center"/>
          </w:tcPr>
          <w:p>
            <w:pPr>
              <w:ind w:right="-38" w:rightChars="-18"/>
              <w:rPr>
                <w:rFonts w:hint="eastAsia" w:ascii="宋体" w:hAnsi="宋体" w:eastAsia="宋体" w:cs="宋体"/>
                <w:color w:val="auto"/>
                <w:kern w:val="0"/>
                <w:sz w:val="24"/>
                <w:highlight w:val="none"/>
              </w:rPr>
            </w:pPr>
          </w:p>
        </w:tc>
      </w:tr>
    </w:tbl>
    <w:p>
      <w:pPr>
        <w:ind w:firstLine="592"/>
        <w:rPr>
          <w:rFonts w:hint="eastAsia" w:ascii="宋体" w:hAnsi="宋体" w:eastAsia="宋体" w:cs="宋体"/>
          <w:color w:val="auto"/>
          <w:highlight w:val="none"/>
        </w:rPr>
      </w:pPr>
    </w:p>
    <w:p>
      <w:pPr>
        <w:pStyle w:val="5"/>
        <w:spacing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1.本表所列为投标人拟投入本项目的秩序维护执勤器材设备工具、耗材配置和管理情况。</w:t>
      </w:r>
    </w:p>
    <w:p>
      <w:pPr>
        <w:pStyle w:val="5"/>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2.此表仅提供了表格形式，投标人应根据需要准备足够数量的表格来填写。</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rPr>
          <w:rFonts w:hint="eastAsia" w:ascii="宋体" w:hAnsi="宋体" w:eastAsia="宋体" w:cs="宋体"/>
          <w:b/>
          <w:color w:val="auto"/>
          <w:kern w:val="0"/>
          <w:sz w:val="24"/>
          <w:highlight w:val="none"/>
        </w:rPr>
      </w:pPr>
    </w:p>
    <w:p>
      <w:pPr>
        <w:jc w:val="center"/>
        <w:outlineLvl w:val="1"/>
        <w:rPr>
          <w:rFonts w:hint="eastAsia" w:ascii="宋体" w:hAnsi="宋体" w:eastAsia="宋体" w:cs="宋体"/>
          <w:b/>
          <w:color w:val="auto"/>
          <w:kern w:val="0"/>
          <w:sz w:val="28"/>
          <w:szCs w:val="28"/>
          <w:highlight w:val="none"/>
        </w:rPr>
      </w:pPr>
      <w:bookmarkStart w:id="604" w:name="_Toc9005"/>
      <w:bookmarkStart w:id="605" w:name="_Toc27149"/>
      <w:r>
        <w:rPr>
          <w:rFonts w:hint="eastAsia" w:ascii="宋体" w:hAnsi="宋体" w:eastAsia="宋体" w:cs="宋体"/>
          <w:b/>
          <w:color w:val="auto"/>
          <w:kern w:val="0"/>
          <w:sz w:val="28"/>
          <w:szCs w:val="28"/>
          <w:highlight w:val="none"/>
        </w:rPr>
        <w:t>五、商务技术偏离表</w:t>
      </w:r>
      <w:bookmarkEnd w:id="604"/>
      <w:bookmarkEnd w:id="605"/>
    </w:p>
    <w:tbl>
      <w:tblPr>
        <w:tblStyle w:val="20"/>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81"/>
        <w:gridCol w:w="30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081"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85"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81" w:type="dxa"/>
            <w:vAlign w:val="top"/>
          </w:tcPr>
          <w:p>
            <w:pPr>
              <w:jc w:val="center"/>
              <w:rPr>
                <w:rFonts w:hint="eastAsia" w:ascii="宋体" w:hAnsi="宋体" w:eastAsia="宋体" w:cs="宋体"/>
                <w:b/>
                <w:color w:val="auto"/>
                <w:kern w:val="0"/>
                <w:sz w:val="24"/>
                <w:highlight w:val="none"/>
              </w:rPr>
            </w:pPr>
          </w:p>
        </w:tc>
        <w:tc>
          <w:tcPr>
            <w:tcW w:w="3085" w:type="dxa"/>
            <w:vAlign w:val="top"/>
          </w:tcPr>
          <w:p>
            <w:pPr>
              <w:jc w:val="center"/>
              <w:rPr>
                <w:rFonts w:hint="eastAsia" w:ascii="宋体" w:hAnsi="宋体" w:eastAsia="宋体" w:cs="宋体"/>
                <w:b/>
                <w:color w:val="auto"/>
                <w:kern w:val="0"/>
                <w:sz w:val="24"/>
                <w:highlight w:val="none"/>
              </w:rPr>
            </w:pPr>
          </w:p>
        </w:tc>
        <w:tc>
          <w:tcPr>
            <w:tcW w:w="1276" w:type="dxa"/>
            <w:vAlign w:val="top"/>
          </w:tcPr>
          <w:p>
            <w:pPr>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81" w:type="dxa"/>
            <w:vAlign w:val="top"/>
          </w:tcPr>
          <w:p>
            <w:pPr>
              <w:jc w:val="center"/>
              <w:rPr>
                <w:rFonts w:hint="eastAsia" w:ascii="宋体" w:hAnsi="宋体" w:eastAsia="宋体" w:cs="宋体"/>
                <w:b/>
                <w:color w:val="auto"/>
                <w:kern w:val="0"/>
                <w:sz w:val="24"/>
                <w:highlight w:val="none"/>
              </w:rPr>
            </w:pPr>
          </w:p>
        </w:tc>
        <w:tc>
          <w:tcPr>
            <w:tcW w:w="3085" w:type="dxa"/>
            <w:vAlign w:val="top"/>
          </w:tcPr>
          <w:p>
            <w:pPr>
              <w:jc w:val="center"/>
              <w:rPr>
                <w:rFonts w:hint="eastAsia" w:ascii="宋体" w:hAnsi="宋体" w:eastAsia="宋体" w:cs="宋体"/>
                <w:b/>
                <w:color w:val="auto"/>
                <w:kern w:val="0"/>
                <w:sz w:val="24"/>
                <w:highlight w:val="none"/>
              </w:rPr>
            </w:pPr>
          </w:p>
        </w:tc>
        <w:tc>
          <w:tcPr>
            <w:tcW w:w="1276" w:type="dxa"/>
            <w:vAlign w:val="top"/>
          </w:tcPr>
          <w:p>
            <w:pPr>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081" w:type="dxa"/>
            <w:vAlign w:val="top"/>
          </w:tcPr>
          <w:p>
            <w:pPr>
              <w:jc w:val="center"/>
              <w:rPr>
                <w:rFonts w:hint="eastAsia" w:ascii="宋体" w:hAnsi="宋体" w:eastAsia="宋体" w:cs="宋体"/>
                <w:b/>
                <w:color w:val="auto"/>
                <w:kern w:val="0"/>
                <w:sz w:val="24"/>
                <w:highlight w:val="none"/>
              </w:rPr>
            </w:pPr>
          </w:p>
        </w:tc>
        <w:tc>
          <w:tcPr>
            <w:tcW w:w="3085" w:type="dxa"/>
            <w:vAlign w:val="top"/>
          </w:tcPr>
          <w:p>
            <w:pPr>
              <w:jc w:val="center"/>
              <w:rPr>
                <w:rFonts w:hint="eastAsia" w:ascii="宋体" w:hAnsi="宋体" w:eastAsia="宋体" w:cs="宋体"/>
                <w:b/>
                <w:color w:val="auto"/>
                <w:kern w:val="0"/>
                <w:sz w:val="24"/>
                <w:highlight w:val="none"/>
              </w:rPr>
            </w:pPr>
          </w:p>
        </w:tc>
        <w:tc>
          <w:tcPr>
            <w:tcW w:w="1276" w:type="dxa"/>
            <w:vAlign w:val="top"/>
          </w:tcPr>
          <w:p>
            <w:pPr>
              <w:jc w:val="center"/>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081" w:type="dxa"/>
            <w:vAlign w:val="top"/>
          </w:tcPr>
          <w:p>
            <w:pPr>
              <w:jc w:val="center"/>
              <w:rPr>
                <w:rFonts w:hint="eastAsia" w:ascii="宋体" w:hAnsi="宋体" w:eastAsia="宋体" w:cs="宋体"/>
                <w:b/>
                <w:color w:val="auto"/>
                <w:kern w:val="0"/>
                <w:sz w:val="24"/>
                <w:highlight w:val="none"/>
              </w:rPr>
            </w:pPr>
          </w:p>
        </w:tc>
        <w:tc>
          <w:tcPr>
            <w:tcW w:w="3085" w:type="dxa"/>
            <w:vAlign w:val="top"/>
          </w:tcPr>
          <w:p>
            <w:pPr>
              <w:jc w:val="center"/>
              <w:rPr>
                <w:rFonts w:hint="eastAsia" w:ascii="宋体" w:hAnsi="宋体" w:eastAsia="宋体" w:cs="宋体"/>
                <w:b/>
                <w:color w:val="auto"/>
                <w:kern w:val="0"/>
                <w:sz w:val="24"/>
                <w:highlight w:val="none"/>
              </w:rPr>
            </w:pPr>
          </w:p>
        </w:tc>
        <w:tc>
          <w:tcPr>
            <w:tcW w:w="1276" w:type="dxa"/>
            <w:vAlign w:val="top"/>
          </w:tcPr>
          <w:p>
            <w:pPr>
              <w:jc w:val="center"/>
              <w:rPr>
                <w:rFonts w:hint="eastAsia" w:ascii="宋体" w:hAnsi="宋体" w:eastAsia="宋体" w:cs="宋体"/>
                <w:b/>
                <w:color w:val="auto"/>
                <w:kern w:val="0"/>
                <w:sz w:val="24"/>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570" w:firstLineChars="800"/>
        <w:outlineLvl w:val="1"/>
        <w:rPr>
          <w:rStyle w:val="44"/>
          <w:rFonts w:hint="eastAsia" w:ascii="宋体" w:hAnsi="宋体" w:eastAsia="宋体" w:cs="宋体"/>
          <w:color w:val="auto"/>
          <w:sz w:val="28"/>
          <w:szCs w:val="28"/>
          <w:highlight w:val="none"/>
        </w:rPr>
      </w:pPr>
      <w:bookmarkStart w:id="606" w:name="_Toc0"/>
      <w:bookmarkStart w:id="607" w:name="_Toc17396"/>
      <w:bookmarkStart w:id="608" w:name="_Toc11258"/>
      <w:bookmarkStart w:id="609" w:name="_Toc25382"/>
      <w:bookmarkStart w:id="610" w:name="_Toc1884"/>
      <w:r>
        <w:rPr>
          <w:rFonts w:hint="eastAsia" w:ascii="宋体" w:hAnsi="宋体" w:eastAsia="宋体" w:cs="宋体"/>
          <w:b/>
          <w:color w:val="auto"/>
          <w:kern w:val="0"/>
          <w:sz w:val="32"/>
          <w:szCs w:val="32"/>
          <w:highlight w:val="none"/>
          <w:lang w:val="en-US" w:eastAsia="zh-CN"/>
        </w:rPr>
        <w:t>六、</w:t>
      </w:r>
      <w:r>
        <w:rPr>
          <w:rStyle w:val="44"/>
          <w:rFonts w:hint="eastAsia" w:ascii="宋体" w:hAnsi="宋体" w:eastAsia="宋体" w:cs="宋体"/>
          <w:color w:val="auto"/>
          <w:sz w:val="28"/>
          <w:szCs w:val="28"/>
          <w:highlight w:val="none"/>
        </w:rPr>
        <w:t>招标代理费支付承诺书</w:t>
      </w:r>
      <w:bookmarkEnd w:id="606"/>
      <w:bookmarkEnd w:id="607"/>
      <w:bookmarkEnd w:id="608"/>
    </w:p>
    <w:p>
      <w:pPr>
        <w:spacing w:line="420" w:lineRule="exact"/>
        <w:jc w:val="center"/>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致：杭州中浙招标有限公司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如我单位在贵方组织的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招标中（</w:t>
      </w:r>
      <w:r>
        <w:rPr>
          <w:rFonts w:hint="eastAsia" w:ascii="宋体" w:hAnsi="宋体" w:eastAsia="宋体" w:cs="宋体"/>
          <w:color w:val="auto"/>
          <w:sz w:val="24"/>
          <w:highlight w:val="none"/>
          <w:u w:val="single"/>
        </w:rPr>
        <w:t xml:space="preserve">编号：      </w:t>
      </w:r>
      <w:r>
        <w:rPr>
          <w:rFonts w:hint="eastAsia" w:ascii="宋体" w:hAnsi="宋体" w:eastAsia="宋体" w:cs="宋体"/>
          <w:color w:val="auto"/>
          <w:sz w:val="24"/>
          <w:highlight w:val="none"/>
        </w:rPr>
        <w:t>）中标。我方承诺按投标文件的规定，在领取中标通知书的同时，以网银或电汇形式向贵方支付招标代理服务费。其金额按投标文件约定计算。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我方如违约，愿凭贵方开出的违约通知，按上述承诺金额的200％在采购人支付给成交人的合同款中扣缴。</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承诺方法定名称：＿＿＿＿＿＿＿＿＿＿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邮编：＿＿＿＿＿＿＿＿＿＿</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p>
    <w:p>
      <w:pPr>
        <w:pStyle w:val="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autoSpaceDE w:val="0"/>
        <w:autoSpaceDN w:val="0"/>
        <w:snapToGrid w:val="0"/>
        <w:spacing w:line="312" w:lineRule="auto"/>
        <w:outlineLvl w:val="0"/>
        <w:rPr>
          <w:rFonts w:hint="eastAsia" w:ascii="宋体" w:hAnsi="宋体" w:eastAsia="宋体" w:cs="宋体"/>
          <w:b/>
          <w:bCs/>
          <w:color w:val="auto"/>
          <w:sz w:val="24"/>
          <w:highlight w:val="none"/>
        </w:rPr>
      </w:pPr>
      <w:bookmarkStart w:id="611" w:name="_Toc23267"/>
      <w:bookmarkStart w:id="612" w:name="_Toc20372"/>
      <w:bookmarkStart w:id="613" w:name="_Toc2239"/>
      <w:r>
        <w:rPr>
          <w:rFonts w:hint="eastAsia" w:ascii="宋体" w:hAnsi="宋体" w:eastAsia="宋体" w:cs="宋体"/>
          <w:b/>
          <w:bCs/>
          <w:color w:val="auto"/>
          <w:sz w:val="24"/>
          <w:highlight w:val="none"/>
        </w:rPr>
        <w:t>附：账户信息</w:t>
      </w:r>
      <w:bookmarkEnd w:id="611"/>
      <w:bookmarkEnd w:id="612"/>
      <w:bookmarkEnd w:id="613"/>
    </w:p>
    <w:p>
      <w:pPr>
        <w:autoSpaceDE w:val="0"/>
        <w:autoSpaceDN w:val="0"/>
        <w:snapToGrid w:val="0"/>
        <w:spacing w:line="312" w:lineRule="auto"/>
        <w:outlineLvl w:val="0"/>
        <w:rPr>
          <w:rFonts w:hint="eastAsia" w:ascii="宋体" w:hAnsi="宋体" w:eastAsia="宋体" w:cs="宋体"/>
          <w:b/>
          <w:bCs/>
          <w:color w:val="auto"/>
          <w:sz w:val="24"/>
          <w:highlight w:val="none"/>
        </w:rPr>
      </w:pPr>
      <w:bookmarkStart w:id="614" w:name="_Toc23297"/>
      <w:bookmarkStart w:id="615" w:name="_Toc31765"/>
      <w:bookmarkStart w:id="616" w:name="_Toc10417"/>
      <w:r>
        <w:rPr>
          <w:rFonts w:hint="eastAsia" w:ascii="宋体" w:hAnsi="宋体" w:eastAsia="宋体" w:cs="宋体"/>
          <w:b/>
          <w:bCs/>
          <w:color w:val="auto"/>
          <w:sz w:val="24"/>
          <w:highlight w:val="none"/>
        </w:rPr>
        <w:t>单位名称：杭州中浙招标有限公司</w:t>
      </w:r>
      <w:bookmarkEnd w:id="614"/>
      <w:bookmarkEnd w:id="615"/>
      <w:bookmarkEnd w:id="616"/>
    </w:p>
    <w:p>
      <w:pPr>
        <w:autoSpaceDE w:val="0"/>
        <w:autoSpaceDN w:val="0"/>
        <w:snapToGrid w:val="0"/>
        <w:spacing w:line="312" w:lineRule="auto"/>
        <w:outlineLvl w:val="0"/>
        <w:rPr>
          <w:rFonts w:hint="eastAsia" w:ascii="宋体" w:hAnsi="宋体" w:eastAsia="宋体" w:cs="宋体"/>
          <w:b/>
          <w:bCs/>
          <w:color w:val="auto"/>
          <w:sz w:val="24"/>
          <w:highlight w:val="none"/>
        </w:rPr>
      </w:pPr>
      <w:bookmarkStart w:id="617" w:name="_Toc3065"/>
      <w:bookmarkStart w:id="618" w:name="_Toc29336"/>
      <w:bookmarkStart w:id="619" w:name="_Toc16788"/>
      <w:r>
        <w:rPr>
          <w:rFonts w:hint="eastAsia" w:ascii="宋体" w:hAnsi="宋体" w:eastAsia="宋体" w:cs="宋体"/>
          <w:b/>
          <w:bCs/>
          <w:color w:val="auto"/>
          <w:sz w:val="24"/>
          <w:highlight w:val="none"/>
        </w:rPr>
        <w:t>开户银行：杭州银行拱宸桥支行</w:t>
      </w:r>
      <w:bookmarkEnd w:id="617"/>
      <w:bookmarkEnd w:id="618"/>
      <w:bookmarkEnd w:id="619"/>
    </w:p>
    <w:p>
      <w:pPr>
        <w:outlineLvl w:val="0"/>
        <w:rPr>
          <w:rFonts w:hint="eastAsia" w:ascii="宋体" w:hAnsi="宋体" w:eastAsia="宋体" w:cs="宋体"/>
          <w:color w:val="auto"/>
          <w:sz w:val="24"/>
          <w:highlight w:val="none"/>
        </w:rPr>
      </w:pPr>
      <w:bookmarkStart w:id="620" w:name="_Toc7490"/>
      <w:bookmarkStart w:id="621" w:name="_Toc28653"/>
      <w:bookmarkStart w:id="622" w:name="_Toc950"/>
      <w:r>
        <w:rPr>
          <w:rFonts w:hint="eastAsia" w:ascii="宋体" w:hAnsi="宋体" w:eastAsia="宋体" w:cs="宋体"/>
          <w:b/>
          <w:bCs/>
          <w:color w:val="auto"/>
          <w:sz w:val="24"/>
          <w:highlight w:val="none"/>
        </w:rPr>
        <w:t>帐    号：3301040160001182073</w:t>
      </w:r>
      <w:bookmarkEnd w:id="620"/>
      <w:bookmarkEnd w:id="621"/>
      <w:bookmarkEnd w:id="622"/>
    </w:p>
    <w:p>
      <w:pPr>
        <w:pStyle w:val="24"/>
        <w:rPr>
          <w:rFonts w:hint="eastAsia" w:ascii="宋体" w:hAnsi="宋体" w:eastAsia="宋体" w:cs="宋体"/>
          <w:color w:val="auto"/>
          <w:sz w:val="24"/>
          <w:szCs w:val="24"/>
          <w:highlight w:val="none"/>
        </w:rPr>
      </w:pPr>
    </w:p>
    <w:p>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pPr>
        <w:numPr>
          <w:ilvl w:val="0"/>
          <w:numId w:val="0"/>
        </w:numPr>
        <w:jc w:val="center"/>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zh-CN"/>
        </w:rPr>
        <w:t>政府采购供应商廉洁自律承诺书</w:t>
      </w:r>
      <w:bookmarkEnd w:id="609"/>
      <w:bookmarkEnd w:id="610"/>
    </w:p>
    <w:p>
      <w:pPr>
        <w:pStyle w:val="7"/>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嘉兴市第一医院</w:t>
      </w:r>
      <w:r>
        <w:rPr>
          <w:rFonts w:hint="eastAsia" w:ascii="宋体" w:hAnsi="宋体" w:eastAsia="宋体" w:cs="宋体"/>
          <w:color w:val="auto"/>
          <w:sz w:val="24"/>
          <w:highlight w:val="none"/>
        </w:rPr>
        <w:t>、杭州中浙招标有限公司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outlineLvl w:val="1"/>
        <w:rPr>
          <w:rFonts w:hint="eastAsia" w:ascii="宋体" w:hAnsi="宋体" w:eastAsia="宋体" w:cs="宋体"/>
          <w:color w:val="auto"/>
          <w:kern w:val="0"/>
          <w:sz w:val="24"/>
          <w:highlight w:val="none"/>
          <w:lang w:val="zh-CN"/>
        </w:rPr>
      </w:pPr>
      <w:bookmarkStart w:id="623" w:name="_Toc30910"/>
      <w:bookmarkStart w:id="624" w:name="_Toc9052"/>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bookmarkEnd w:id="623"/>
      <w:bookmarkEnd w:id="624"/>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ind w:firstLine="4560" w:firstLineChars="19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w:t>
      </w:r>
      <w:r>
        <w:rPr>
          <w:rFonts w:hint="eastAsia" w:ascii="宋体" w:hAnsi="宋体" w:eastAsia="宋体" w:cs="宋体"/>
          <w:color w:val="auto"/>
          <w:kern w:val="0"/>
          <w:sz w:val="24"/>
          <w:highlight w:val="none"/>
        </w:rPr>
        <w:t xml:space="preserve">  日</w:t>
      </w:r>
    </w:p>
    <w:p>
      <w:pPr>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br w:type="page"/>
      </w:r>
    </w:p>
    <w:p>
      <w:pPr>
        <w:spacing w:line="360" w:lineRule="auto"/>
        <w:jc w:val="center"/>
        <w:outlineLvl w:val="0"/>
        <w:rPr>
          <w:rFonts w:hint="eastAsia" w:ascii="宋体" w:hAnsi="宋体" w:eastAsia="宋体" w:cs="宋体"/>
          <w:b/>
          <w:color w:val="auto"/>
          <w:kern w:val="0"/>
          <w:sz w:val="32"/>
          <w:szCs w:val="32"/>
          <w:highlight w:val="none"/>
        </w:rPr>
      </w:pPr>
      <w:bookmarkStart w:id="625" w:name="_Toc29190"/>
      <w:bookmarkStart w:id="626" w:name="_Toc15582"/>
      <w:r>
        <w:rPr>
          <w:rFonts w:hint="eastAsia" w:ascii="宋体" w:hAnsi="宋体" w:eastAsia="宋体" w:cs="宋体"/>
          <w:b/>
          <w:color w:val="auto"/>
          <w:kern w:val="0"/>
          <w:sz w:val="32"/>
          <w:szCs w:val="32"/>
          <w:highlight w:val="none"/>
        </w:rPr>
        <w:t>报价文件部分</w:t>
      </w:r>
      <w:bookmarkEnd w:id="601"/>
      <w:bookmarkEnd w:id="625"/>
      <w:bookmarkEnd w:id="626"/>
    </w:p>
    <w:p>
      <w:pPr>
        <w:spacing w:line="360" w:lineRule="auto"/>
        <w:jc w:val="center"/>
        <w:outlineLvl w:val="0"/>
        <w:rPr>
          <w:rFonts w:hint="eastAsia" w:ascii="宋体" w:hAnsi="宋体" w:eastAsia="宋体" w:cs="宋体"/>
          <w:b/>
          <w:color w:val="auto"/>
          <w:kern w:val="0"/>
          <w:sz w:val="24"/>
          <w:highlight w:val="none"/>
        </w:rPr>
      </w:pPr>
      <w:bookmarkStart w:id="627" w:name="_Toc4468"/>
      <w:bookmarkStart w:id="628" w:name="_Toc25276"/>
      <w:bookmarkStart w:id="629" w:name="_Toc22115"/>
      <w:r>
        <w:rPr>
          <w:rFonts w:hint="eastAsia" w:ascii="宋体" w:hAnsi="宋体" w:eastAsia="宋体" w:cs="宋体"/>
          <w:b/>
          <w:color w:val="auto"/>
          <w:kern w:val="0"/>
          <w:sz w:val="24"/>
          <w:highlight w:val="none"/>
        </w:rPr>
        <w:t>目录</w:t>
      </w:r>
      <w:bookmarkEnd w:id="627"/>
      <w:bookmarkEnd w:id="628"/>
      <w:bookmarkEnd w:id="629"/>
    </w:p>
    <w:p>
      <w:pPr>
        <w:spacing w:line="360" w:lineRule="auto"/>
        <w:jc w:val="center"/>
        <w:rPr>
          <w:rFonts w:hint="eastAsia" w:ascii="宋体" w:hAnsi="宋体" w:eastAsia="宋体" w:cs="宋体"/>
          <w:b/>
          <w:color w:val="auto"/>
          <w:kern w:val="0"/>
          <w:sz w:val="24"/>
          <w:highlight w:val="none"/>
        </w:rPr>
      </w:pPr>
    </w:p>
    <w:p>
      <w:pPr>
        <w:numPr>
          <w:ilvl w:val="0"/>
          <w:numId w:val="2"/>
        </w:numPr>
        <w:snapToGrid w:val="0"/>
        <w:spacing w:line="360" w:lineRule="auto"/>
        <w:outlineLvl w:val="0"/>
        <w:rPr>
          <w:rFonts w:hint="eastAsia" w:ascii="宋体" w:hAnsi="宋体" w:eastAsia="宋体" w:cs="宋体"/>
          <w:color w:val="auto"/>
          <w:sz w:val="24"/>
          <w:highlight w:val="none"/>
        </w:rPr>
      </w:pPr>
      <w:bookmarkStart w:id="630" w:name="_Toc27757"/>
      <w:bookmarkStart w:id="631" w:name="_Toc25020"/>
      <w:bookmarkStart w:id="632" w:name="_Toc22758"/>
      <w:r>
        <w:rPr>
          <w:rFonts w:hint="eastAsia" w:ascii="宋体" w:hAnsi="宋体" w:eastAsia="宋体" w:cs="宋体"/>
          <w:color w:val="auto"/>
          <w:sz w:val="24"/>
          <w:highlight w:val="none"/>
        </w:rPr>
        <w:t>开标一览表（报价表）………………………………………………………（页码）</w:t>
      </w:r>
      <w:bookmarkEnd w:id="630"/>
      <w:bookmarkEnd w:id="631"/>
      <w:bookmarkEnd w:id="632"/>
    </w:p>
    <w:p>
      <w:pPr>
        <w:pStyle w:val="7"/>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lang w:val="en-US"/>
        </w:rPr>
        <w:t>报价明细清单</w:t>
      </w:r>
      <w:r>
        <w:rPr>
          <w:rFonts w:hint="eastAsia" w:ascii="宋体" w:hAnsi="宋体" w:eastAsia="宋体" w:cs="宋体"/>
          <w:color w:val="auto"/>
          <w:szCs w:val="24"/>
          <w:highlight w:val="none"/>
        </w:rPr>
        <w:t>………………………………………………………………（页码）</w:t>
      </w:r>
    </w:p>
    <w:p>
      <w:pPr>
        <w:snapToGrid w:val="0"/>
        <w:spacing w:line="360" w:lineRule="auto"/>
        <w:outlineLvl w:val="0"/>
        <w:rPr>
          <w:rFonts w:hint="eastAsia" w:ascii="宋体" w:hAnsi="宋体" w:eastAsia="宋体" w:cs="宋体"/>
          <w:color w:val="auto"/>
          <w:sz w:val="24"/>
          <w:highlight w:val="none"/>
        </w:rPr>
      </w:pPr>
      <w:bookmarkStart w:id="633" w:name="_Toc13305"/>
      <w:bookmarkStart w:id="634" w:name="_Toc31702"/>
      <w:bookmarkStart w:id="635" w:name="_Toc9739"/>
      <w:r>
        <w:rPr>
          <w:rFonts w:hint="eastAsia" w:ascii="宋体" w:hAnsi="宋体" w:eastAsia="宋体" w:cs="宋体"/>
          <w:color w:val="auto"/>
          <w:sz w:val="24"/>
          <w:highlight w:val="none"/>
        </w:rPr>
        <w:t>（2）中小企业声明函………………………………………………………………（页码）</w:t>
      </w:r>
      <w:bookmarkEnd w:id="633"/>
      <w:bookmarkEnd w:id="634"/>
      <w:bookmarkEnd w:id="635"/>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snapToGrid w:val="0"/>
        <w:spacing w:line="360" w:lineRule="auto"/>
        <w:ind w:right="480"/>
        <w:jc w:val="center"/>
        <w:rPr>
          <w:rFonts w:hint="eastAsia" w:ascii="宋体" w:hAnsi="宋体" w:eastAsia="宋体" w:cs="宋体"/>
          <w:b/>
          <w:color w:val="auto"/>
          <w:kern w:val="0"/>
          <w:sz w:val="24"/>
          <w:highlight w:val="none"/>
        </w:rPr>
      </w:pPr>
    </w:p>
    <w:p>
      <w:pPr>
        <w:pStyle w:val="36"/>
        <w:keepNext w:val="0"/>
        <w:pageBreakBefore w:val="0"/>
        <w:tabs>
          <w:tab w:val="clear" w:pos="720"/>
        </w:tabs>
        <w:snapToGrid w:val="0"/>
        <w:spacing w:before="120" w:after="120"/>
        <w:ind w:firstLine="643"/>
        <w:outlineLvl w:val="9"/>
        <w:rPr>
          <w:rFonts w:hint="eastAsia" w:ascii="宋体" w:hAnsi="宋体" w:eastAsia="宋体" w:cs="宋体"/>
          <w:color w:val="auto"/>
          <w:kern w:val="2"/>
          <w:sz w:val="24"/>
          <w:szCs w:val="24"/>
          <w:highlight w:val="none"/>
        </w:rPr>
        <w:sectPr>
          <w:headerReference r:id="rId10" w:type="first"/>
          <w:footerReference r:id="rId12" w:type="first"/>
          <w:headerReference r:id="rId9" w:type="default"/>
          <w:footerReference r:id="rId11" w:type="default"/>
          <w:pgSz w:w="11906" w:h="16838"/>
          <w:pgMar w:top="1474" w:right="1587" w:bottom="1474" w:left="1587" w:header="851" w:footer="992" w:gutter="0"/>
          <w:pgNumType w:fmt="decimal"/>
          <w:cols w:space="0" w:num="1"/>
          <w:titlePg/>
          <w:docGrid w:linePitch="312" w:charSpace="0"/>
        </w:sectPr>
      </w:pPr>
    </w:p>
    <w:p>
      <w:pPr>
        <w:pStyle w:val="36"/>
        <w:keepNext w:val="0"/>
        <w:keepLines w:val="0"/>
        <w:pageBreakBefore w:val="0"/>
        <w:widowControl w:val="0"/>
        <w:tabs>
          <w:tab w:val="clear" w:pos="720"/>
        </w:tabs>
        <w:kinsoku/>
        <w:wordWrap/>
        <w:overflowPunct/>
        <w:topLinePunct w:val="0"/>
        <w:autoSpaceDE/>
        <w:autoSpaceDN/>
        <w:bidi w:val="0"/>
        <w:adjustRightInd w:val="0"/>
        <w:snapToGrid w:val="0"/>
        <w:spacing w:line="288" w:lineRule="auto"/>
        <w:ind w:firstLine="641"/>
        <w:textAlignment w:val="auto"/>
        <w:outlineLvl w:val="1"/>
        <w:rPr>
          <w:rFonts w:hint="eastAsia" w:ascii="宋体" w:hAnsi="宋体" w:eastAsia="宋体" w:cs="宋体"/>
          <w:color w:val="auto"/>
          <w:kern w:val="2"/>
          <w:sz w:val="28"/>
          <w:szCs w:val="28"/>
          <w:highlight w:val="none"/>
        </w:rPr>
      </w:pPr>
      <w:bookmarkStart w:id="636" w:name="_Toc11385"/>
      <w:bookmarkStart w:id="637" w:name="_Toc20237"/>
      <w:bookmarkStart w:id="638" w:name="_Toc30350"/>
      <w:r>
        <w:rPr>
          <w:rFonts w:hint="eastAsia" w:ascii="宋体" w:hAnsi="宋体" w:eastAsia="宋体" w:cs="宋体"/>
          <w:color w:val="auto"/>
          <w:kern w:val="2"/>
          <w:sz w:val="28"/>
          <w:szCs w:val="28"/>
          <w:highlight w:val="none"/>
        </w:rPr>
        <w:t>一、开标一览表（报价表）</w:t>
      </w:r>
      <w:bookmarkEnd w:id="636"/>
      <w:bookmarkEnd w:id="637"/>
      <w:bookmarkEnd w:id="638"/>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嘉兴市第一医院</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杭州中浙招标有限公司</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按你方招标文件要求，我们，本投标文件签字方，谨此向你方发出要约如下：如你方接受本投标，我方承诺按照如下开标一览表（报价表）的价格完成（项目名称）【招标编号：（采购编号）】的实施。</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19"/>
        <w:tblW w:w="91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59"/>
        <w:gridCol w:w="349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00"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59"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名称</w:t>
            </w:r>
          </w:p>
        </w:tc>
        <w:tc>
          <w:tcPr>
            <w:tcW w:w="349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______________项目</w:t>
            </w:r>
          </w:p>
        </w:tc>
        <w:tc>
          <w:tcPr>
            <w:tcW w:w="1331"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459"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投标价格</w:t>
            </w:r>
          </w:p>
        </w:tc>
        <w:tc>
          <w:tcPr>
            <w:tcW w:w="349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人民币（小写）：</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人民币（大写）：</w:t>
            </w:r>
          </w:p>
        </w:tc>
        <w:tc>
          <w:tcPr>
            <w:tcW w:w="1331"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3459"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突发事件临时加班费</w:t>
            </w:r>
          </w:p>
        </w:tc>
        <w:tc>
          <w:tcPr>
            <w:tcW w:w="349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元/小时</w:t>
            </w:r>
          </w:p>
        </w:tc>
        <w:tc>
          <w:tcPr>
            <w:tcW w:w="1331"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3459"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349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p>
        </w:tc>
        <w:tc>
          <w:tcPr>
            <w:tcW w:w="1331"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3459"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349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p>
        </w:tc>
        <w:tc>
          <w:tcPr>
            <w:tcW w:w="1331"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3459"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合同期限内轮换保安人数比例</w:t>
            </w:r>
          </w:p>
        </w:tc>
        <w:tc>
          <w:tcPr>
            <w:tcW w:w="349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不得超过合同编制的_______%</w:t>
            </w:r>
          </w:p>
        </w:tc>
        <w:tc>
          <w:tcPr>
            <w:tcW w:w="1331"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p>
        </w:tc>
      </w:tr>
    </w:tbl>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1.供应商需按本表格式分别填写，不得自行更改。</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特别提示：采购机构将对项目名称和项目编号，中标供应商名称、地址和中标金额，主要中标标的的名称、规格型号、数量、单价、服务要求等予以公示。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288" w:lineRule="auto"/>
        <w:ind w:firstLine="576"/>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288" w:lineRule="auto"/>
        <w:ind w:firstLine="576"/>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投标人需对突发事件的临时加班费用进行单独报价，不计入投标总价。临时加班：根据突发事件状况，决定临时加班，负责医院突发事件处置、灾害预防、火灾扑救，发现和制止医院暴力事件，随时准备提供紧急救助。临时加班计费,根据</w:t>
      </w:r>
      <w:r>
        <w:rPr>
          <w:rFonts w:hint="eastAsia" w:ascii="宋体" w:hAnsi="宋体" w:eastAsia="宋体" w:cs="宋体"/>
          <w:bCs/>
          <w:color w:val="auto"/>
          <w:sz w:val="24"/>
          <w:highlight w:val="none"/>
        </w:rPr>
        <w:t>嘉政发〔2021〕22号《嘉兴市人民政府关于调整全市最低工资标准的通知》</w:t>
      </w:r>
      <w:r>
        <w:rPr>
          <w:rFonts w:hint="eastAsia" w:ascii="宋体" w:hAnsi="宋体" w:eastAsia="宋体" w:cs="宋体"/>
          <w:color w:val="auto"/>
          <w:sz w:val="24"/>
          <w:highlight w:val="none"/>
          <w:lang w:val="zh-CN"/>
        </w:rPr>
        <w:t>，其中非全日制工作的最低小时工资标准调整为</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lang w:val="zh-CN"/>
        </w:rPr>
        <w:t>元。</w:t>
      </w:r>
    </w:p>
    <w:p>
      <w:pPr>
        <w:keepNext w:val="0"/>
        <w:keepLines w:val="0"/>
        <w:pageBreakBefore w:val="0"/>
        <w:widowControl w:val="0"/>
        <w:kinsoku/>
        <w:wordWrap/>
        <w:overflowPunct/>
        <w:topLinePunct w:val="0"/>
        <w:autoSpaceDE/>
        <w:autoSpaceDN/>
        <w:bidi w:val="0"/>
        <w:adjustRightInd w:val="0"/>
        <w:snapToGrid w:val="0"/>
        <w:spacing w:line="288" w:lineRule="auto"/>
        <w:ind w:firstLine="576"/>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.投标人必须采取切实有效措施保持保安队伍的稳定，严格控制非违纪人员轮换岗比例，合同期限内轮换岗保安人数不得超过合同编制的40%。</w:t>
      </w:r>
    </w:p>
    <w:p>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textAlignment w:val="auto"/>
        <w:rPr>
          <w:rFonts w:hint="eastAsia" w:ascii="宋体" w:hAnsi="宋体" w:eastAsia="宋体" w:cs="宋体"/>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keepNext w:val="0"/>
        <w:keepLines w:val="0"/>
        <w:pageBreakBefore w:val="0"/>
        <w:widowControl w:val="0"/>
        <w:kinsoku/>
        <w:wordWrap/>
        <w:overflowPunct/>
        <w:topLinePunct w:val="0"/>
        <w:autoSpaceDE/>
        <w:autoSpaceDN/>
        <w:bidi w:val="0"/>
        <w:adjustRightInd w:val="0"/>
        <w:spacing w:line="288" w:lineRule="auto"/>
        <w:ind w:firstLine="4080" w:firstLineChars="17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lang w:val="zh-CN"/>
        </w:rPr>
        <w:t>日期：  年  月  日</w:t>
      </w:r>
      <w:bookmarkStart w:id="639" w:name="_Toc30212"/>
      <w:bookmarkStart w:id="640" w:name="_Toc28755"/>
    </w:p>
    <w:p>
      <w:pPr>
        <w:rPr>
          <w:rFonts w:hint="eastAsia" w:ascii="宋体" w:hAnsi="宋体" w:eastAsia="宋体" w:cs="宋体"/>
          <w:color w:val="auto"/>
          <w:kern w:val="2"/>
          <w:sz w:val="28"/>
          <w:szCs w:val="28"/>
          <w:highlight w:val="none"/>
        </w:rPr>
      </w:pPr>
      <w:bookmarkStart w:id="641" w:name="_Toc18595"/>
      <w:bookmarkStart w:id="642" w:name="_Toc3079"/>
      <w:r>
        <w:rPr>
          <w:rFonts w:hint="eastAsia" w:ascii="宋体" w:hAnsi="宋体" w:eastAsia="宋体" w:cs="宋体"/>
          <w:color w:val="auto"/>
          <w:kern w:val="2"/>
          <w:sz w:val="28"/>
          <w:szCs w:val="28"/>
          <w:highlight w:val="none"/>
        </w:rPr>
        <w:br w:type="page"/>
      </w:r>
    </w:p>
    <w:p>
      <w:pPr>
        <w:pStyle w:val="36"/>
        <w:keepNext w:val="0"/>
        <w:pageBreakBefore w:val="0"/>
        <w:tabs>
          <w:tab w:val="clear" w:pos="720"/>
        </w:tabs>
        <w:snapToGrid w:val="0"/>
        <w:spacing w:before="120" w:after="120"/>
        <w:ind w:firstLine="3106" w:firstLineChars="1105"/>
        <w:jc w:val="both"/>
        <w:outlineLvl w:val="1"/>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二、报价明细清单</w:t>
      </w:r>
      <w:bookmarkEnd w:id="639"/>
      <w:bookmarkEnd w:id="640"/>
      <w:bookmarkEnd w:id="641"/>
      <w:bookmarkEnd w:id="642"/>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592"/>
        <w:gridCol w:w="1575"/>
        <w:gridCol w:w="1285"/>
        <w:gridCol w:w="116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月费用</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年费用</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保安负责人工资</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保安班长工资</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保安工资</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物品折旧</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管理费用</w:t>
            </w:r>
          </w:p>
        </w:tc>
        <w:tc>
          <w:tcPr>
            <w:tcW w:w="4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利润</w:t>
            </w:r>
          </w:p>
        </w:tc>
        <w:tc>
          <w:tcPr>
            <w:tcW w:w="4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税金</w:t>
            </w:r>
          </w:p>
        </w:tc>
        <w:tc>
          <w:tcPr>
            <w:tcW w:w="4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0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bl>
    <w:p>
      <w:pPr>
        <w:widowControl/>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注：在填写时，如本表格不适合投标人的实际情况，可根据本表格式自行划表填写</w:t>
      </w:r>
    </w:p>
    <w:p>
      <w:pPr>
        <w:pStyle w:val="10"/>
        <w:spacing w:line="360" w:lineRule="auto"/>
        <w:ind w:firstLine="480" w:firstLineChars="200"/>
        <w:rPr>
          <w:rFonts w:hint="eastAsia" w:ascii="宋体" w:hAnsi="宋体" w:eastAsia="宋体" w:cs="宋体"/>
          <w:color w:val="auto"/>
          <w:sz w:val="24"/>
          <w:szCs w:val="24"/>
          <w:highlight w:val="none"/>
        </w:rPr>
      </w:pPr>
    </w:p>
    <w:p>
      <w:pPr>
        <w:snapToGrid w:val="0"/>
        <w:spacing w:line="360" w:lineRule="auto"/>
        <w:ind w:firstLine="480" w:firstLineChars="200"/>
        <w:rPr>
          <w:rFonts w:hint="eastAsia" w:ascii="宋体" w:hAnsi="宋体" w:eastAsia="宋体" w:cs="宋体"/>
          <w:color w:val="auto"/>
          <w:kern w:val="0"/>
          <w:sz w:val="24"/>
          <w:highlight w:val="none"/>
        </w:rPr>
      </w:pPr>
    </w:p>
    <w:p>
      <w:pPr>
        <w:pStyle w:val="10"/>
        <w:spacing w:line="360" w:lineRule="auto"/>
        <w:ind w:firstLine="480" w:firstLineChars="200"/>
        <w:rPr>
          <w:rFonts w:hint="eastAsia" w:ascii="宋体" w:hAnsi="宋体" w:eastAsia="宋体" w:cs="宋体"/>
          <w:color w:val="auto"/>
          <w:sz w:val="24"/>
          <w:highlight w:val="none"/>
        </w:rPr>
      </w:pPr>
    </w:p>
    <w:p>
      <w:pPr>
        <w:snapToGrid w:val="0"/>
        <w:spacing w:line="288" w:lineRule="auto"/>
        <w:ind w:firstLine="576"/>
        <w:jc w:val="center"/>
        <w:rPr>
          <w:rFonts w:hint="eastAsia" w:ascii="宋体" w:hAnsi="宋体" w:eastAsia="宋体" w:cs="宋体"/>
          <w:color w:val="auto"/>
          <w:kern w:val="0"/>
          <w:sz w:val="24"/>
          <w:highlight w:val="none"/>
          <w:lang w:val="zh-CN"/>
        </w:rPr>
      </w:pPr>
    </w:p>
    <w:p>
      <w:pPr>
        <w:snapToGrid w:val="0"/>
        <w:spacing w:line="288" w:lineRule="auto"/>
        <w:ind w:firstLine="576"/>
        <w:jc w:val="center"/>
        <w:rPr>
          <w:rFonts w:hint="eastAsia" w:ascii="宋体" w:hAnsi="宋体" w:eastAsia="宋体" w:cs="宋体"/>
          <w:color w:val="auto"/>
          <w:kern w:val="0"/>
          <w:sz w:val="24"/>
          <w:highlight w:val="none"/>
          <w:lang w:val="zh-CN"/>
        </w:rPr>
      </w:pPr>
    </w:p>
    <w:p>
      <w:pPr>
        <w:snapToGrid w:val="0"/>
        <w:spacing w:line="288" w:lineRule="auto"/>
        <w:ind w:firstLine="576"/>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pacing w:line="288" w:lineRule="auto"/>
        <w:ind w:firstLine="3360" w:firstLineChars="1400"/>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日期：  年  月  日</w:t>
      </w:r>
    </w:p>
    <w:p>
      <w:pPr>
        <w:snapToGrid w:val="0"/>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643" w:name="_Toc12033"/>
    </w:p>
    <w:p>
      <w:pPr>
        <w:rPr>
          <w:rFonts w:hint="eastAsia" w:ascii="宋体" w:hAnsi="宋体" w:eastAsia="宋体" w:cs="宋体"/>
          <w:color w:val="auto"/>
          <w:sz w:val="24"/>
          <w:highlight w:val="none"/>
        </w:rPr>
      </w:pPr>
    </w:p>
    <w:p>
      <w:pPr>
        <w:pStyle w:val="36"/>
        <w:keepNext w:val="0"/>
        <w:pageBreakBefore w:val="0"/>
        <w:tabs>
          <w:tab w:val="clear" w:pos="720"/>
        </w:tabs>
        <w:snapToGrid w:val="0"/>
        <w:spacing w:before="120" w:after="120"/>
        <w:ind w:firstLine="643"/>
        <w:outlineLvl w:val="1"/>
        <w:rPr>
          <w:rFonts w:hint="eastAsia" w:ascii="宋体" w:hAnsi="宋体" w:eastAsia="宋体" w:cs="宋体"/>
          <w:color w:val="auto"/>
          <w:sz w:val="24"/>
          <w:szCs w:val="24"/>
          <w:highlight w:val="none"/>
        </w:rPr>
      </w:pPr>
      <w:bookmarkStart w:id="644" w:name="_Toc5239"/>
      <w:bookmarkStart w:id="645" w:name="_Toc3618"/>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rPr>
        <w:t>中小企业声明函（非小微企业不用提供）</w:t>
      </w:r>
      <w:bookmarkEnd w:id="643"/>
      <w:bookmarkEnd w:id="644"/>
      <w:bookmarkEnd w:id="645"/>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6"/>
        <w:keepNext w:val="0"/>
        <w:pageBreakBefore w:val="0"/>
        <w:tabs>
          <w:tab w:val="clear" w:pos="720"/>
        </w:tabs>
        <w:snapToGrid w:val="0"/>
        <w:spacing w:before="120" w:after="120"/>
        <w:ind w:firstLine="643"/>
        <w:outlineLvl w:val="9"/>
        <w:rPr>
          <w:rFonts w:hint="eastAsia" w:ascii="宋体" w:hAnsi="宋体" w:eastAsia="宋体" w:cs="宋体"/>
          <w:b w:val="0"/>
          <w:color w:val="auto"/>
          <w:sz w:val="24"/>
          <w:szCs w:val="24"/>
          <w:highlight w:val="none"/>
        </w:rPr>
      </w:pPr>
    </w:p>
    <w:p>
      <w:pPr>
        <w:rPr>
          <w:rFonts w:hint="eastAsia" w:ascii="宋体" w:hAnsi="宋体" w:eastAsia="宋体" w:cs="宋体"/>
          <w:b/>
          <w:color w:val="auto"/>
          <w:spacing w:val="6"/>
          <w:sz w:val="24"/>
          <w:highlight w:val="none"/>
        </w:rPr>
      </w:pPr>
      <w:bookmarkStart w:id="646" w:name="_Toc14123"/>
      <w:bookmarkStart w:id="647" w:name="_Toc12580"/>
      <w:bookmarkStart w:id="648" w:name="_Toc25814"/>
      <w:r>
        <w:rPr>
          <w:rFonts w:hint="eastAsia" w:ascii="宋体" w:hAnsi="宋体" w:eastAsia="宋体" w:cs="宋体"/>
          <w:b/>
          <w:color w:val="auto"/>
          <w:spacing w:val="6"/>
          <w:sz w:val="24"/>
          <w:highlight w:val="none"/>
        </w:rPr>
        <w:br w:type="page"/>
      </w:r>
    </w:p>
    <w:p>
      <w:pPr>
        <w:spacing w:line="360" w:lineRule="auto"/>
        <w:outlineLvl w:val="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附件1：</w:t>
      </w:r>
      <w:bookmarkEnd w:id="646"/>
      <w:bookmarkEnd w:id="647"/>
      <w:bookmarkEnd w:id="648"/>
    </w:p>
    <w:p>
      <w:pPr>
        <w:spacing w:line="360" w:lineRule="auto"/>
        <w:jc w:val="center"/>
        <w:rPr>
          <w:rFonts w:hint="eastAsia" w:ascii="宋体" w:hAnsi="宋体" w:eastAsia="宋体" w:cs="宋体"/>
          <w:b/>
          <w:color w:val="auto"/>
          <w:spacing w:val="6"/>
          <w:sz w:val="24"/>
          <w:highlight w:val="none"/>
        </w:rPr>
      </w:pPr>
      <w:bookmarkStart w:id="649" w:name="OLE_LINK14"/>
      <w:bookmarkStart w:id="650" w:name="OLE_LINK13"/>
      <w:r>
        <w:rPr>
          <w:rFonts w:hint="eastAsia" w:ascii="宋体" w:hAnsi="宋体" w:eastAsia="宋体" w:cs="宋体"/>
          <w:b/>
          <w:color w:val="auto"/>
          <w:spacing w:val="6"/>
          <w:sz w:val="24"/>
          <w:highlight w:val="none"/>
        </w:rPr>
        <w:t>残疾人福利性单位声明函（如有）</w:t>
      </w:r>
    </w:p>
    <w:bookmarkEnd w:id="649"/>
    <w:bookmarkEnd w:id="650"/>
    <w:p>
      <w:pPr>
        <w:spacing w:line="360" w:lineRule="auto"/>
        <w:rPr>
          <w:rFonts w:hint="eastAsia" w:ascii="宋体" w:hAnsi="宋体" w:eastAsia="宋体" w:cs="宋体"/>
          <w:b/>
          <w:color w:val="auto"/>
          <w:spacing w:val="6"/>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outlineLvl w:val="0"/>
        <w:rPr>
          <w:rFonts w:hint="eastAsia" w:ascii="宋体" w:hAnsi="宋体" w:eastAsia="宋体" w:cs="宋体"/>
          <w:b/>
          <w:color w:val="auto"/>
          <w:spacing w:val="6"/>
          <w:sz w:val="24"/>
          <w:highlight w:val="none"/>
        </w:rPr>
      </w:pPr>
      <w:bookmarkStart w:id="651" w:name="_Toc5562"/>
      <w:bookmarkStart w:id="652" w:name="_Toc6503"/>
      <w:bookmarkStart w:id="653" w:name="_Toc24485"/>
    </w:p>
    <w:p>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spacing w:line="360" w:lineRule="auto"/>
        <w:jc w:val="left"/>
        <w:outlineLvl w:val="0"/>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附件2：质疑函范本及制作说明</w:t>
      </w:r>
      <w:bookmarkEnd w:id="651"/>
      <w:bookmarkEnd w:id="652"/>
      <w:bookmarkEnd w:id="653"/>
    </w:p>
    <w:p>
      <w:pPr>
        <w:spacing w:line="360"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质疑函范本</w:t>
      </w:r>
    </w:p>
    <w:p>
      <w:pPr>
        <w:snapToGrid w:val="0"/>
        <w:spacing w:beforeLines="100" w:line="360" w:lineRule="auto"/>
        <w:outlineLvl w:val="1"/>
        <w:rPr>
          <w:rFonts w:hint="eastAsia" w:ascii="宋体" w:hAnsi="宋体" w:eastAsia="宋体" w:cs="宋体"/>
          <w:bCs/>
          <w:color w:val="auto"/>
          <w:sz w:val="24"/>
          <w:highlight w:val="none"/>
        </w:rPr>
      </w:pPr>
      <w:bookmarkStart w:id="654" w:name="_Toc10595"/>
      <w:bookmarkStart w:id="655" w:name="_Toc10461"/>
      <w:r>
        <w:rPr>
          <w:rFonts w:hint="eastAsia" w:ascii="宋体" w:hAnsi="宋体" w:eastAsia="宋体" w:cs="宋体"/>
          <w:bCs/>
          <w:color w:val="auto"/>
          <w:sz w:val="24"/>
          <w:highlight w:val="none"/>
        </w:rPr>
        <w:t>一、质疑供应商基本信息</w:t>
      </w:r>
      <w:bookmarkEnd w:id="654"/>
      <w:bookmarkEnd w:id="655"/>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pPr>
        <w:snapToGrid w:val="0"/>
        <w:spacing w:line="360" w:lineRule="auto"/>
        <w:outlineLvl w:val="1"/>
        <w:rPr>
          <w:rFonts w:hint="eastAsia" w:ascii="宋体" w:hAnsi="宋体" w:eastAsia="宋体" w:cs="宋体"/>
          <w:bCs/>
          <w:color w:val="auto"/>
          <w:sz w:val="24"/>
          <w:highlight w:val="none"/>
        </w:rPr>
      </w:pPr>
      <w:bookmarkStart w:id="656" w:name="_Toc6635"/>
      <w:bookmarkStart w:id="657" w:name="_Toc14546"/>
      <w:r>
        <w:rPr>
          <w:rFonts w:hint="eastAsia" w:ascii="宋体" w:hAnsi="宋体" w:eastAsia="宋体" w:cs="宋体"/>
          <w:bCs/>
          <w:color w:val="auto"/>
          <w:sz w:val="24"/>
          <w:highlight w:val="none"/>
        </w:rPr>
        <w:t>二、质疑项目基本情况</w:t>
      </w:r>
      <w:bookmarkEnd w:id="656"/>
      <w:bookmarkEnd w:id="657"/>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outlineLvl w:val="1"/>
        <w:rPr>
          <w:rFonts w:hint="eastAsia" w:ascii="宋体" w:hAnsi="宋体" w:eastAsia="宋体" w:cs="宋体"/>
          <w:bCs/>
          <w:color w:val="auto"/>
          <w:sz w:val="24"/>
          <w:highlight w:val="none"/>
        </w:rPr>
      </w:pPr>
      <w:bookmarkStart w:id="658" w:name="_Toc16354"/>
      <w:bookmarkStart w:id="659" w:name="_Toc13051"/>
      <w:r>
        <w:rPr>
          <w:rFonts w:hint="eastAsia" w:ascii="宋体" w:hAnsi="宋体" w:eastAsia="宋体" w:cs="宋体"/>
          <w:bCs/>
          <w:color w:val="auto"/>
          <w:sz w:val="24"/>
          <w:highlight w:val="none"/>
        </w:rPr>
        <w:t>三、质疑事项具体内容</w:t>
      </w:r>
      <w:bookmarkEnd w:id="658"/>
      <w:bookmarkEnd w:id="659"/>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outlineLvl w:val="1"/>
        <w:rPr>
          <w:rFonts w:hint="eastAsia" w:ascii="宋体" w:hAnsi="宋体" w:eastAsia="宋体" w:cs="宋体"/>
          <w:bCs/>
          <w:color w:val="auto"/>
          <w:sz w:val="24"/>
          <w:highlight w:val="none"/>
        </w:rPr>
      </w:pPr>
      <w:bookmarkStart w:id="660" w:name="_Toc16337"/>
      <w:bookmarkStart w:id="661" w:name="_Toc7238"/>
      <w:r>
        <w:rPr>
          <w:rFonts w:hint="eastAsia" w:ascii="宋体" w:hAnsi="宋体" w:eastAsia="宋体" w:cs="宋体"/>
          <w:bCs/>
          <w:color w:val="auto"/>
          <w:sz w:val="24"/>
          <w:highlight w:val="none"/>
        </w:rPr>
        <w:t>四、与质疑事项相关的质疑请求</w:t>
      </w:r>
      <w:bookmarkEnd w:id="660"/>
      <w:bookmarkEnd w:id="661"/>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pStyle w:val="18"/>
        <w:ind w:firstLine="482"/>
        <w:rPr>
          <w:rFonts w:hint="eastAsia" w:ascii="宋体" w:hAnsi="宋体" w:eastAsia="宋体" w:cs="宋体"/>
          <w:b/>
          <w:color w:val="auto"/>
          <w:szCs w:val="24"/>
          <w:highlight w:val="none"/>
        </w:rPr>
      </w:pPr>
    </w:p>
    <w:p>
      <w:pPr>
        <w:pStyle w:val="18"/>
        <w:ind w:firstLine="482"/>
        <w:rPr>
          <w:rFonts w:hint="eastAsia" w:ascii="宋体" w:hAnsi="宋体" w:eastAsia="宋体" w:cs="宋体"/>
          <w:b/>
          <w:color w:val="auto"/>
          <w:szCs w:val="24"/>
          <w:highlight w:val="none"/>
        </w:rPr>
      </w:pPr>
    </w:p>
    <w:p>
      <w:pPr>
        <w:pStyle w:val="18"/>
        <w:ind w:firstLine="482"/>
        <w:rPr>
          <w:rFonts w:hint="eastAsia" w:ascii="宋体" w:hAnsi="宋体" w:eastAsia="宋体" w:cs="宋体"/>
          <w:b/>
          <w:color w:val="auto"/>
          <w:szCs w:val="24"/>
          <w:highlight w:val="none"/>
        </w:rPr>
      </w:pPr>
    </w:p>
    <w:p>
      <w:pPr>
        <w:pStyle w:val="18"/>
        <w:ind w:firstLine="482"/>
        <w:rPr>
          <w:rFonts w:hint="eastAsia" w:ascii="宋体" w:hAnsi="宋体" w:eastAsia="宋体" w:cs="宋体"/>
          <w:b/>
          <w:color w:val="auto"/>
          <w:szCs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center"/>
        <w:rPr>
          <w:rFonts w:hint="eastAsia" w:ascii="宋体" w:hAnsi="宋体" w:eastAsia="宋体" w:cs="宋体"/>
          <w:b/>
          <w:color w:val="auto"/>
          <w:spacing w:val="6"/>
          <w:sz w:val="24"/>
          <w:highlight w:val="none"/>
        </w:rPr>
      </w:pPr>
    </w:p>
    <w:p>
      <w:pPr>
        <w:spacing w:line="360" w:lineRule="auto"/>
        <w:jc w:val="left"/>
        <w:rPr>
          <w:rFonts w:hint="eastAsia" w:ascii="宋体" w:hAnsi="宋体" w:eastAsia="宋体" w:cs="宋体"/>
          <w:b/>
          <w:color w:val="auto"/>
          <w:spacing w:val="6"/>
          <w:sz w:val="24"/>
          <w:highlight w:val="none"/>
        </w:rPr>
      </w:pPr>
    </w:p>
    <w:p>
      <w:pPr>
        <w:rPr>
          <w:rFonts w:hint="eastAsia" w:ascii="宋体" w:hAnsi="宋体" w:eastAsia="宋体" w:cs="宋体"/>
          <w:b/>
          <w:color w:val="auto"/>
          <w:spacing w:val="6"/>
          <w:sz w:val="24"/>
          <w:highlight w:val="none"/>
        </w:rPr>
      </w:pPr>
      <w:bookmarkStart w:id="662" w:name="_Toc9781"/>
      <w:r>
        <w:rPr>
          <w:rFonts w:hint="eastAsia" w:ascii="宋体" w:hAnsi="宋体" w:eastAsia="宋体" w:cs="宋体"/>
          <w:b/>
          <w:color w:val="auto"/>
          <w:spacing w:val="6"/>
          <w:sz w:val="24"/>
          <w:highlight w:val="none"/>
        </w:rPr>
        <w:br w:type="page"/>
      </w:r>
    </w:p>
    <w:p>
      <w:pPr>
        <w:spacing w:line="360" w:lineRule="auto"/>
        <w:jc w:val="left"/>
        <w:outlineLvl w:val="1"/>
        <w:rPr>
          <w:rFonts w:hint="eastAsia" w:ascii="宋体" w:hAnsi="宋体" w:eastAsia="宋体" w:cs="宋体"/>
          <w:b/>
          <w:color w:val="auto"/>
          <w:spacing w:val="6"/>
          <w:sz w:val="24"/>
          <w:highlight w:val="none"/>
        </w:rPr>
      </w:pPr>
      <w:bookmarkStart w:id="663" w:name="_Toc2385"/>
      <w:bookmarkStart w:id="664" w:name="_Toc12082"/>
      <w:r>
        <w:rPr>
          <w:rFonts w:hint="eastAsia" w:ascii="宋体" w:hAnsi="宋体" w:eastAsia="宋体" w:cs="宋体"/>
          <w:b/>
          <w:color w:val="auto"/>
          <w:spacing w:val="6"/>
          <w:sz w:val="24"/>
          <w:highlight w:val="none"/>
        </w:rPr>
        <w:t>附件3：投诉书范本及制作说明</w:t>
      </w:r>
      <w:bookmarkEnd w:id="662"/>
      <w:bookmarkEnd w:id="663"/>
      <w:bookmarkEnd w:id="664"/>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投诉书范本</w:t>
      </w:r>
    </w:p>
    <w:p>
      <w:pPr>
        <w:spacing w:line="360" w:lineRule="auto"/>
        <w:outlineLvl w:val="1"/>
        <w:rPr>
          <w:rFonts w:hint="eastAsia" w:ascii="宋体" w:hAnsi="宋体" w:eastAsia="宋体" w:cs="宋体"/>
          <w:color w:val="auto"/>
          <w:sz w:val="24"/>
          <w:highlight w:val="none"/>
        </w:rPr>
      </w:pPr>
      <w:bookmarkStart w:id="665" w:name="_Toc30462"/>
      <w:bookmarkStart w:id="666" w:name="_Toc1367"/>
      <w:r>
        <w:rPr>
          <w:rFonts w:hint="eastAsia" w:ascii="宋体" w:hAnsi="宋体" w:eastAsia="宋体" w:cs="宋体"/>
          <w:color w:val="auto"/>
          <w:sz w:val="24"/>
          <w:highlight w:val="none"/>
        </w:rPr>
        <w:t>一、投诉相关主体基本情况</w:t>
      </w:r>
      <w:bookmarkEnd w:id="665"/>
      <w:bookmarkEnd w:id="666"/>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outlineLvl w:val="1"/>
        <w:rPr>
          <w:rFonts w:hint="eastAsia" w:ascii="宋体" w:hAnsi="宋体" w:eastAsia="宋体" w:cs="宋体"/>
          <w:color w:val="auto"/>
          <w:sz w:val="24"/>
          <w:highlight w:val="none"/>
        </w:rPr>
      </w:pPr>
      <w:bookmarkStart w:id="667" w:name="_Toc159"/>
      <w:bookmarkStart w:id="668" w:name="_Toc16605"/>
      <w:r>
        <w:rPr>
          <w:rFonts w:hint="eastAsia" w:ascii="宋体" w:hAnsi="宋体" w:eastAsia="宋体" w:cs="宋体"/>
          <w:color w:val="auto"/>
          <w:sz w:val="24"/>
          <w:highlight w:val="none"/>
        </w:rPr>
        <w:t>二、投诉项目基本情况</w:t>
      </w:r>
      <w:bookmarkEnd w:id="667"/>
      <w:bookmarkEnd w:id="668"/>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outlineLvl w:val="1"/>
        <w:rPr>
          <w:rFonts w:hint="eastAsia" w:ascii="宋体" w:hAnsi="宋体" w:eastAsia="宋体" w:cs="宋体"/>
          <w:color w:val="auto"/>
          <w:sz w:val="24"/>
          <w:highlight w:val="none"/>
        </w:rPr>
      </w:pPr>
      <w:bookmarkStart w:id="669" w:name="_Toc22093"/>
      <w:bookmarkStart w:id="670" w:name="_Toc5690"/>
      <w:r>
        <w:rPr>
          <w:rFonts w:hint="eastAsia" w:ascii="宋体" w:hAnsi="宋体" w:eastAsia="宋体" w:cs="宋体"/>
          <w:color w:val="auto"/>
          <w:sz w:val="24"/>
          <w:highlight w:val="none"/>
        </w:rPr>
        <w:t>三、质疑基本情况</w:t>
      </w:r>
      <w:bookmarkEnd w:id="669"/>
      <w:bookmarkEnd w:id="670"/>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outlineLvl w:val="1"/>
        <w:rPr>
          <w:rFonts w:hint="eastAsia" w:ascii="宋体" w:hAnsi="宋体" w:eastAsia="宋体" w:cs="宋体"/>
          <w:color w:val="auto"/>
          <w:sz w:val="24"/>
          <w:highlight w:val="none"/>
        </w:rPr>
      </w:pPr>
      <w:bookmarkStart w:id="671" w:name="_Toc31904"/>
      <w:bookmarkStart w:id="672" w:name="_Toc31268"/>
      <w:r>
        <w:rPr>
          <w:rFonts w:hint="eastAsia" w:ascii="宋体" w:hAnsi="宋体" w:eastAsia="宋体" w:cs="宋体"/>
          <w:color w:val="auto"/>
          <w:sz w:val="24"/>
          <w:highlight w:val="none"/>
        </w:rPr>
        <w:t>四、投诉事项具体内容</w:t>
      </w:r>
      <w:bookmarkEnd w:id="671"/>
      <w:bookmarkEnd w:id="672"/>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outlineLvl w:val="1"/>
        <w:rPr>
          <w:rFonts w:hint="eastAsia" w:ascii="宋体" w:hAnsi="宋体" w:eastAsia="宋体" w:cs="宋体"/>
          <w:color w:val="auto"/>
          <w:sz w:val="24"/>
          <w:highlight w:val="none"/>
        </w:rPr>
      </w:pPr>
      <w:bookmarkStart w:id="673" w:name="_Toc27542"/>
      <w:bookmarkStart w:id="674" w:name="_Toc22980"/>
      <w:r>
        <w:rPr>
          <w:rFonts w:hint="eastAsia" w:ascii="宋体" w:hAnsi="宋体" w:eastAsia="宋体" w:cs="宋体"/>
          <w:color w:val="auto"/>
          <w:sz w:val="24"/>
          <w:highlight w:val="none"/>
        </w:rPr>
        <w:t>五、与投诉事项相关的投诉请求</w:t>
      </w:r>
      <w:bookmarkEnd w:id="673"/>
      <w:bookmarkEnd w:id="674"/>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eastAsia="宋体" w:cs="宋体"/>
          <w:b/>
          <w:color w:val="auto"/>
          <w:spacing w:val="6"/>
          <w:sz w:val="24"/>
          <w:highlight w:val="none"/>
        </w:rPr>
      </w:pPr>
      <w:bookmarkStart w:id="675" w:name="_Toc12862"/>
      <w:r>
        <w:rPr>
          <w:rFonts w:hint="eastAsia" w:ascii="宋体" w:hAnsi="宋体" w:eastAsia="宋体" w:cs="宋体"/>
          <w:b/>
          <w:color w:val="auto"/>
          <w:spacing w:val="6"/>
          <w:sz w:val="24"/>
          <w:highlight w:val="none"/>
        </w:rPr>
        <w:br w:type="page"/>
      </w:r>
    </w:p>
    <w:p>
      <w:pPr>
        <w:autoSpaceDE w:val="0"/>
        <w:autoSpaceDN w:val="0"/>
        <w:jc w:val="both"/>
        <w:outlineLvl w:val="0"/>
        <w:rPr>
          <w:rFonts w:hint="eastAsia" w:ascii="宋体" w:hAnsi="宋体" w:eastAsia="宋体" w:cs="宋体"/>
          <w:b/>
          <w:bCs/>
          <w:color w:val="auto"/>
          <w:sz w:val="24"/>
          <w:highlight w:val="none"/>
          <w:lang w:val="en-US" w:eastAsia="zh-CN"/>
        </w:rPr>
      </w:pPr>
      <w:bookmarkStart w:id="676" w:name="_Toc9252"/>
      <w:bookmarkStart w:id="677" w:name="_Toc16241"/>
      <w:r>
        <w:rPr>
          <w:rFonts w:hint="eastAsia" w:ascii="宋体" w:hAnsi="宋体" w:eastAsia="宋体" w:cs="宋体"/>
          <w:b/>
          <w:color w:val="auto"/>
          <w:spacing w:val="6"/>
          <w:sz w:val="24"/>
          <w:highlight w:val="none"/>
        </w:rPr>
        <w:t>附件4：</w:t>
      </w:r>
      <w:r>
        <w:rPr>
          <w:rFonts w:hint="eastAsia" w:ascii="宋体" w:hAnsi="宋体" w:eastAsia="宋体" w:cs="宋体"/>
          <w:b/>
          <w:bCs/>
          <w:color w:val="auto"/>
          <w:sz w:val="24"/>
          <w:highlight w:val="none"/>
        </w:rPr>
        <w:t>业务专用章使用说明函</w:t>
      </w:r>
      <w:bookmarkEnd w:id="675"/>
      <w:bookmarkEnd w:id="676"/>
      <w:bookmarkEnd w:id="677"/>
      <w:r>
        <w:rPr>
          <w:rFonts w:hint="eastAsia" w:ascii="宋体" w:hAnsi="宋体" w:eastAsia="宋体" w:cs="宋体"/>
          <w:b/>
          <w:bCs/>
          <w:color w:val="auto"/>
          <w:sz w:val="24"/>
          <w:highlight w:val="none"/>
          <w:lang w:val="en-US" w:eastAsia="zh-CN"/>
        </w:rPr>
        <w:t>格式</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autoSpaceDE w:val="0"/>
        <w:autoSpaceDN w:val="0"/>
        <w:jc w:val="center"/>
        <w:rPr>
          <w:rFonts w:hint="eastAsia" w:ascii="宋体" w:hAnsi="宋体" w:eastAsia="宋体" w:cs="宋体"/>
          <w:b/>
          <w:color w:val="auto"/>
          <w:spacing w:val="6"/>
          <w:sz w:val="24"/>
          <w:highlight w:val="none"/>
        </w:rPr>
      </w:pPr>
    </w:p>
    <w:p>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autoSpaceDE w:val="0"/>
        <w:autoSpaceDN w:val="0"/>
        <w:jc w:val="both"/>
        <w:outlineLvl w:val="0"/>
        <w:rPr>
          <w:rFonts w:hint="eastAsia" w:ascii="宋体" w:hAnsi="宋体" w:eastAsia="宋体" w:cs="宋体"/>
          <w:b/>
          <w:bCs/>
          <w:color w:val="auto"/>
          <w:sz w:val="24"/>
          <w:highlight w:val="none"/>
        </w:rPr>
      </w:pPr>
      <w:bookmarkStart w:id="678" w:name="_Toc20456"/>
      <w:bookmarkStart w:id="679" w:name="_Toc26235"/>
      <w:bookmarkStart w:id="680" w:name="_Toc3787"/>
      <w:r>
        <w:rPr>
          <w:rFonts w:hint="eastAsia" w:ascii="宋体" w:hAnsi="宋体" w:eastAsia="宋体" w:cs="宋体"/>
          <w:b/>
          <w:color w:val="auto"/>
          <w:spacing w:val="6"/>
          <w:sz w:val="24"/>
          <w:highlight w:val="none"/>
        </w:rPr>
        <w:t>附件5：</w:t>
      </w:r>
      <w:r>
        <w:rPr>
          <w:rFonts w:hint="eastAsia" w:ascii="宋体" w:hAnsi="宋体" w:eastAsia="宋体" w:cs="宋体"/>
          <w:b/>
          <w:color w:val="auto"/>
          <w:sz w:val="24"/>
          <w:highlight w:val="none"/>
        </w:rPr>
        <w:t>中小企业声明函</w:t>
      </w:r>
      <w:bookmarkEnd w:id="678"/>
      <w:bookmarkEnd w:id="679"/>
      <w:bookmarkEnd w:id="680"/>
    </w:p>
    <w:p>
      <w:pPr>
        <w:spacing w:line="360" w:lineRule="auto"/>
        <w:jc w:val="center"/>
        <w:rPr>
          <w:rFonts w:hint="eastAsia" w:ascii="宋体" w:hAnsi="宋体" w:eastAsia="宋体" w:cs="宋体"/>
          <w:color w:val="auto"/>
          <w:sz w:val="24"/>
          <w:highlight w:val="none"/>
          <w:u w:val="single"/>
        </w:rPr>
      </w:pPr>
    </w:p>
    <w:p>
      <w:pPr>
        <w:spacing w:line="360" w:lineRule="auto"/>
        <w:jc w:val="center"/>
        <w:outlineLvl w:val="0"/>
        <w:rPr>
          <w:rFonts w:hint="eastAsia" w:ascii="宋体" w:hAnsi="宋体" w:eastAsia="宋体" w:cs="宋体"/>
          <w:color w:val="auto"/>
          <w:sz w:val="24"/>
          <w:highlight w:val="none"/>
        </w:rPr>
      </w:pPr>
      <w:bookmarkStart w:id="681" w:name="_Toc30858"/>
      <w:bookmarkStart w:id="682" w:name="_Toc25443"/>
      <w:r>
        <w:rPr>
          <w:rFonts w:hint="eastAsia" w:ascii="宋体" w:hAnsi="宋体" w:eastAsia="宋体" w:cs="宋体"/>
          <w:b/>
          <w:color w:val="auto"/>
          <w:sz w:val="24"/>
          <w:highlight w:val="none"/>
        </w:rPr>
        <w:t>中小企业声明函（服务）</w:t>
      </w:r>
      <w:bookmarkEnd w:id="681"/>
      <w:bookmarkEnd w:id="682"/>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right="1120"/>
        <w:rPr>
          <w:rFonts w:hint="eastAsia" w:ascii="宋体" w:hAnsi="宋体" w:eastAsia="宋体" w:cs="宋体"/>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p>
    <w:sectPr>
      <w:footerReference r:id="rId13" w:type="default"/>
      <w:pgSz w:w="11906" w:h="16838"/>
      <w:pgMar w:top="1474" w:right="1587" w:bottom="1474" w:left="158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77</w:t>
                          </w:r>
                          <w:r>
                            <w:rPr>
                              <w:rFonts w:hint="eastAsia" w:ascii="宋体" w:hAnsi="宋体" w:eastAsia="宋体" w:cs="宋体"/>
                            </w:rPr>
                            <w:t xml:space="preserve">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10G3Y3AgAAbw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QxQHSzMMBESn3p0Qrtvh34 7E1xBk1n+jnxlm9qlLJlPjwwh8FA+Xg64R5LKQ1SmsGipDLuy7/OYzz6BS8lDQYtpxrvihL5XqOP AAyj4UZjPxr6qO4MJhe9QS2diQsuyNEsnVGf8Z5WMQdcTHNkymkYzbvQDzveIxerVRd0tK4+VP0F TKFlYat3lsc0USpvV8cAaTvFo0C9KuhU3GAOu54NbyYO+p/7LurxP7H8D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C9dBt2NwIAAG8EAAAOAAAAAAAAAAEAIAAAAB8BAABkcnMvZTJvRG9jLnht bFBLBQYAAAAABgAGAFkBAADIBQAAAAA= ">
              <v:fill on="f" focussize="0,0"/>
              <v:stroke on="f" weight="0.5pt"/>
              <v:imagedata o:title=""/>
              <o:lock v:ext="edit" aspectratio="f"/>
              <v:textbox inset="0mm,0mm,0mm,0mm" style="mso-fit-shape-to-text:t;">
                <w:txbxContent>
                  <w:p>
                    <w:pPr>
                      <w:pStyle w:val="12"/>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77</w:t>
                    </w:r>
                    <w:r>
                      <w:rPr>
                        <w:rFonts w:hint="eastAsia" w:ascii="宋体" w:hAnsi="宋体" w:eastAsia="宋体" w:cs="宋体"/>
                      </w:rPr>
                      <w:t xml:space="preserve"> </w:t>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77</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tzQzU3AgAAcQQAAA4AAABkcnMvZTJvRG9jLnhtbK1UzY7TMBC+I/EO lu80bRGrqmq6KlsVIVXsSgVxdh2nieQ/2W6T8gDwBpy4cOe5+hx8dpIuWjjsgYsz9oy/me+bcRa3 rZLkJJyvjc7pZDSmRGhuilofcvrp4+bVjBIfmC6YNFrk9Cw8vV2+fLFo7FxMTWVkIRwBiPbzxua0 CsHOs8zzSijmR8YKDWdpnGIBW3fICscaoCuZTcfjm6wxrrDOcOE9Ttedk/aI7jmApixrLtaGH5XQ oUN1QrIASr6qrafLVG1ZCh7uy9KLQGROwTSkFUlg7+OaLRdsfnDMVjXvS2DPKeEJJ8VqjaRXqDUL jBxd/ReUqrkz3pRhxI3KOiJJEbCYjJ9os6uYFYkLpPb2Krr/f7D8w+nBkbrAJEwo0Uyh45fv3y4/ fl1+fiU4g0CN9XPE7SwiQ/vWtAgezj0OI++2dCp+wYjAD3nPV3lFGwiPl2bT2WwMF4dv2AA/e7xu nQ/vhFEkGjl16F+SlZ22PnShQ0jMps2mljL1UGrS5PTm9ZtxunD1AFzqGCvSNPQwkVJXerRCu297 nntTnEHTmW5SvOWbGqVsmQ8PzGE0UD4eT7jHUkqDlKa3KKmM+/Kv8xiPjsFLSYNRy6nGy6JEvtfo JADDYLjB2A+GPqo7g9lFc1BLMnHBBTmYpTPqM17UKuaAi2mOTDkNg3kXunHHi+RitUpBR+vqQ9Vd wBxaFrZ6Z3lME6XydnUMkDYpHgXqVEGn4gaTmHrWv5o46n/uU9Tjn2L5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B7c0M1NwIAAHEEAAAOAAAAAAAAAAEAIAAAAB8BAABkcnMvZTJvRG9jLnht bFBLBQYAAAAABgAGAFkBAADIBQAAAAA= ">
              <v:fill on="f" focussize="0,0"/>
              <v:stroke on="f" weight="0.5pt"/>
              <v:imagedata o:title=""/>
              <o:lock v:ext="edit" aspectratio="f"/>
              <v:textbox inset="0mm,0mm,0mm,0mm" style="mso-fit-shape-to-text:t;">
                <w:txbxContent>
                  <w:p>
                    <w:pPr>
                      <w:pStyle w:val="1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77</w:t>
                    </w:r>
                    <w:r>
                      <w:rPr>
                        <w:rFonts w:hint="eastAsia" w:ascii="宋体" w:hAnsi="宋体" w:eastAsia="宋体" w:cs="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ilnPo4AgAAcQ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QFJmFKiWYKHb98/3b5 8evy8yvBHQRqrJ8jbmcRGdq3pkXwcO9xGXm3pVPxF4wI/JD3fJVXtIHw+Gg2nc3GcHH4hgPws8fn 1vnwThhFopFTh/4lWdlp60MXOoTEbNpsailTD6UmTU5vXr8ZpwdXD8CljrEiTUMPEyl1pUcrtPu2 57k3xRk0nekmxVu+qVHKlvnwwBxGA+VjecI9PqU0SGl6i5LKuC//uo/x6Bi8lDQYtZxqbBYl8r1G JwEYBsMNxn4w9FHdGczuBEtpeTLxwAU5mKUz6jM2ahVzwMU0R6achsG8C924YyO5WK1S0NG6+lB1 DzCHloWt3lke00SpvF0dA6RNikeBOlXQqXjAJKae9VsTR/3Pc4p6/KdY/gZ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GKWc+jgCAABxBAAADgAAAAAAAAABACAAAAAfAQAAZHJzL2Uyb0RvYy54 bWxQSwUGAAAAAAYABgBZAQAAyQUAAAAA ">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77</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kX1r85AgAAcQQAAA4AAABkcnMvZTJvRG9jLnhtbK1UzY7TMBC+I/EO lu80bVes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gUm4okQzhY6ff3w/ //x9/vWN4A4CNdbPEfdgERnad6ZF8HDvcRl5t6VT8ReMCPyQ93SRV7SB8PhoNp3NxnBx+IYD8LOn 59b58F4YRaKRU4f+JVnZcetDFzqExGzabGopUw+lJk1Or6/ejtODiwfgUsdYkaahh4mUutKjFdpd 2/PcmeIEms50k+It39QoZct8uGcOo4HysTzhDp9SGqQ0vUVJZdzXf93HeHQMXkoajFpONTaLEvlB o5MADIPhBmM3GPqgbg1md4KltDyZeOCCHMzSGfUFG7WKOeBimiNTTsNg3oZu3LGRXKxWKehgXb2v ugeYQ8vCVj9YHtNEqbxdHQKkTYpHgTpV0Kl4wCSmnvVbE0f9z3OKevqnWD4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DkX1r85AgAAcQQAAA4AAAAAAAAAAQAgAAAAHwEAAGRycy9lMm9Eb2Mu eG1sUEsFBgAAAAAGAAYAWQEAAMoFAAAAAA== ">
              <v:fill on="f" focussize="0,0"/>
              <v:stroke on="f" weight="0.5pt"/>
              <v:imagedata o:title=""/>
              <o:lock v:ext="edit" aspectratio="f"/>
              <v:textbox inset="0mm,0mm,0mm,0mm" style="mso-fit-shape-to-text:t;">
                <w:txbxContent>
                  <w:p>
                    <w:pPr>
                      <w:pStyle w:val="1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77</w:t>
                    </w:r>
                    <w:r>
                      <w:rPr>
                        <w:rFonts w:hint="eastAsia" w:ascii="宋体" w:hAnsi="宋体" w:eastAsia="宋体" w:cs="宋体"/>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77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8PUr45AgAAcQQAAA4AAABkcnMvZTJvRG9jLnhtbK1UzY7TMBC+I/EO lu80aYFVVTVdla2KkCp2pQVxdh2nieQ/2W6T8gDwBpy4cN/n6nPw2Wm6aOGwBy7p2DP+Zr5vZjq/ 7pQkB+F8Y3RBx6OcEqG5KRu9K+jnT+tXU0p8YLpk0mhR0KPw9Hrx8sW8tTMxMbWRpXAEINrPWlvQ OgQ7yzLPa6GYHxkrNJyVcYoFHN0uKx1rga5kNsnzq6w1rrTOcOE9ble9k54R3XMATVU1XKwM3yuh Q4/qhGQBlHzdWE8XqdqqEjzcVpUXgciCgmlIXySBvY3fbDFns51jtm74uQT2nBKecFKs0Uh6gVqx wMjeNX9BqYY7400VRtyorCeSFAGLcf5Em/uaWZG4QGpvL6L7/wfLPx7uHGlKTMIbSjRT6Pjpx/fT z4fTr28EdxCotX6GuHuLyNC9Mx2Ch3uPy8i7q5yKv2BE4Ie8x4u8oguEx0fTyXSaw8XhGw7Azx6f W+fDe2EUiUZBHfqXZGWHjQ996BASs2mzbqRMPZSatAW9ev02Tw8uHoBLHWNFmoYzTKTUlx6t0G27 M8+tKY+g6Uw/Kd7ydYNSNsyHO+YwGigfyxNu8amkQUpztiipjfv6r/sYj47BS0mLUSuoxmZRIj9o dBKAYTDcYGwHQ+/VjcHsjrGUlicTD1yQg1k5o75go5YxB1xMc2QqaBjMm9CPOzaSi+UyBe2ta3Z1 /wBzaFnY6HvLY5oolbfLfYC0SfEoUK8KOhUPmMTUs/PWxFH/85yiHv8pFr8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J8PUr45AgAAcQQAAA4AAAAAAAAAAQAgAAAAHwEAAGRycy9lMm9Eb2Mu eG1sUEsFBgAAAAAGAAYAWQEAAMoFAAAAAA== ">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77</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ascii="宋体" w:hAnsi="宋体" w:eastAsia="宋体" w:cs="宋体"/>
                            </w:rPr>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77</w:t>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69GPs5AgAAcQQAAA4AAABkcnMvZTJvRG9jLnhtbK1UzY7TMBC+I/EO lu80bdGu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gUm4okQzhY6ff3w/ //x9/vWN4A4CNdbPEfdgERnad6ZF8HDvcRl5t6VT8ReMCPyQ93SRV7SB8PhoNp3NxnBx+IYD8LOn 59b58F4YRaKRU4f+JVnZcetDFzqExGzabGopUw+lJk1Or99ejdODiwfgUsdYkaahh4mUutKjFdpd 2/PcmeIEms50k+It39QoZct8uGcOo4HysTzhDp9SGqQ0vUVJZdzXf93HeHQMXkoajFpONTaLEvlB o5MADIPhBmM3GPqgbg1md4KltDyZeOCCHMzSGfUFG7WKOeBimiNTTsNg3oZu3LGRXKxWKehgXb2v ugeYQ8vCVj9YHtNEqbxdHQKkTYpHgTpV0Kl4wCSmnvVbE0f9z3OKevqnWD4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L69GPs5AgAAcQQAAA4AAAAAAAAAAQAgAAAAHwEAAGRycy9lMm9Eb2Mu eG1sUEsFBgAAAAAGAAYAWQEAAMoFAAAAAA== ">
              <v:fill on="f" focussize="0,0"/>
              <v:stroke on="f" weight="0.5pt"/>
              <v:imagedata o:title=""/>
              <o:lock v:ext="edit" aspectratio="f"/>
              <v:textbox inset="0mm,0mm,0mm,0mm" style="mso-fit-shape-to-text:t;">
                <w:txbxContent>
                  <w:p>
                    <w:pPr>
                      <w:pStyle w:val="12"/>
                      <w:rPr>
                        <w:rFonts w:hint="eastAsia" w:ascii="宋体" w:hAnsi="宋体" w:eastAsia="宋体" w:cs="宋体"/>
                      </w:rPr>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lang w:val="en-US" w:eastAsia="zh-CN"/>
                      </w:rPr>
                      <w:t>77</w:t>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lang w:eastAsia="zh-CN"/>
      </w:rPr>
      <w:t>嘉兴市第一医院2022至2023年安保服务项目</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4140" w:firstLineChars="2300"/>
      <w:jc w:val="right"/>
      <w:rPr>
        <w:sz w:val="18"/>
        <w:szCs w:val="18"/>
      </w:rPr>
    </w:pPr>
    <w:r>
      <w:rPr>
        <w:rFonts w:hint="eastAsia" w:ascii="宋体" w:hAnsi="宋体"/>
        <w:sz w:val="18"/>
        <w:szCs w:val="18"/>
        <w:lang w:eastAsia="zh-CN"/>
      </w:rPr>
      <w:t>嘉兴市第一医院2022至2023年安保服务项目</w:t>
    </w:r>
    <w:r>
      <w:rPr>
        <w:rFonts w:hint="eastAsia" w:ascii="宋体" w:hAnsi="宋体"/>
        <w:sz w:val="18"/>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_GB2312" w:eastAsia="仿宋_GB2312"/>
        <w:b/>
        <w:i/>
        <w:u w:val="single"/>
      </w:rPr>
    </w:pPr>
    <w:r>
      <w:rPr>
        <w:rFonts w:hint="eastAsia"/>
        <w:lang w:eastAsia="zh-CN"/>
      </w:rPr>
      <w:t>嘉兴市第一医院2022至2023年安保服务项目</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t></w:t>
    </w:r>
    <w:r>
      <w:rPr>
        <w:rFonts w:hint="eastAsia"/>
        <w:lang w:eastAsia="zh-CN"/>
      </w:rPr>
      <w:t>嘉兴市第一医院2022至2023年安保服务项目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614A6"/>
    <w:multiLevelType w:val="singleLevel"/>
    <w:tmpl w:val="B7F614A6"/>
    <w:lvl w:ilvl="0" w:tentative="0">
      <w:start w:val="1"/>
      <w:numFmt w:val="decimal"/>
      <w:suff w:val="nothing"/>
      <w:lvlText w:val="（%1）"/>
      <w:lvlJc w:val="left"/>
    </w:lvl>
  </w:abstractNum>
  <w:abstractNum w:abstractNumId="1">
    <w:nsid w:val="7F298CC8"/>
    <w:multiLevelType w:val="singleLevel"/>
    <w:tmpl w:val="7F298CC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mMzOGM2N2I0OTQ4OWYzMDhjODNmMGI5NDY0NzcifQ=="/>
  </w:docVars>
  <w:rsids>
    <w:rsidRoot w:val="6B980729"/>
    <w:rsid w:val="0004212D"/>
    <w:rsid w:val="000C6A48"/>
    <w:rsid w:val="00107E53"/>
    <w:rsid w:val="001E2D0A"/>
    <w:rsid w:val="0031642A"/>
    <w:rsid w:val="0033063F"/>
    <w:rsid w:val="003405D4"/>
    <w:rsid w:val="003918F2"/>
    <w:rsid w:val="00402A2E"/>
    <w:rsid w:val="00413F5D"/>
    <w:rsid w:val="00474D68"/>
    <w:rsid w:val="004E1CC8"/>
    <w:rsid w:val="005628BF"/>
    <w:rsid w:val="00563DAB"/>
    <w:rsid w:val="00590013"/>
    <w:rsid w:val="005B4951"/>
    <w:rsid w:val="005F20E1"/>
    <w:rsid w:val="00604BB1"/>
    <w:rsid w:val="00633D5F"/>
    <w:rsid w:val="00663D2A"/>
    <w:rsid w:val="006D060F"/>
    <w:rsid w:val="00732F25"/>
    <w:rsid w:val="00777FB6"/>
    <w:rsid w:val="00875406"/>
    <w:rsid w:val="00937E70"/>
    <w:rsid w:val="009722C4"/>
    <w:rsid w:val="009A01FE"/>
    <w:rsid w:val="009D6D98"/>
    <w:rsid w:val="00A648FF"/>
    <w:rsid w:val="00A81D03"/>
    <w:rsid w:val="00A835C6"/>
    <w:rsid w:val="00AE2A6E"/>
    <w:rsid w:val="00B07645"/>
    <w:rsid w:val="00B1032D"/>
    <w:rsid w:val="00B471A3"/>
    <w:rsid w:val="00B948E1"/>
    <w:rsid w:val="00BD32C5"/>
    <w:rsid w:val="00C66F76"/>
    <w:rsid w:val="00C97D16"/>
    <w:rsid w:val="00CB0840"/>
    <w:rsid w:val="00CB275C"/>
    <w:rsid w:val="00D019B5"/>
    <w:rsid w:val="00D257C5"/>
    <w:rsid w:val="00D3320F"/>
    <w:rsid w:val="00EB0EF7"/>
    <w:rsid w:val="00F05800"/>
    <w:rsid w:val="00F318EF"/>
    <w:rsid w:val="00FA362B"/>
    <w:rsid w:val="016C344F"/>
    <w:rsid w:val="019D55FE"/>
    <w:rsid w:val="01B91D0C"/>
    <w:rsid w:val="02493585"/>
    <w:rsid w:val="025F4662"/>
    <w:rsid w:val="02664C0C"/>
    <w:rsid w:val="04252E2B"/>
    <w:rsid w:val="04381372"/>
    <w:rsid w:val="049251C3"/>
    <w:rsid w:val="064918B1"/>
    <w:rsid w:val="08B43399"/>
    <w:rsid w:val="09263969"/>
    <w:rsid w:val="09345D8E"/>
    <w:rsid w:val="09DE3F82"/>
    <w:rsid w:val="0B030705"/>
    <w:rsid w:val="0B720E2A"/>
    <w:rsid w:val="0C211689"/>
    <w:rsid w:val="0D712BF8"/>
    <w:rsid w:val="0E425B8F"/>
    <w:rsid w:val="0F6369D1"/>
    <w:rsid w:val="11592BC4"/>
    <w:rsid w:val="11643A42"/>
    <w:rsid w:val="12EE6DFC"/>
    <w:rsid w:val="131079A7"/>
    <w:rsid w:val="13394A5B"/>
    <w:rsid w:val="156D6C3E"/>
    <w:rsid w:val="164107F7"/>
    <w:rsid w:val="16695657"/>
    <w:rsid w:val="16FF6615"/>
    <w:rsid w:val="18757341"/>
    <w:rsid w:val="189D71A5"/>
    <w:rsid w:val="1A8F61AA"/>
    <w:rsid w:val="1B1B3973"/>
    <w:rsid w:val="1B4246E4"/>
    <w:rsid w:val="1B99476D"/>
    <w:rsid w:val="1BC842DF"/>
    <w:rsid w:val="1C5623A7"/>
    <w:rsid w:val="1CAA0778"/>
    <w:rsid w:val="1DA93913"/>
    <w:rsid w:val="1DD270EA"/>
    <w:rsid w:val="1E482F3C"/>
    <w:rsid w:val="1E780B2E"/>
    <w:rsid w:val="1F1A2CFC"/>
    <w:rsid w:val="1FC21484"/>
    <w:rsid w:val="205B13EC"/>
    <w:rsid w:val="2074108D"/>
    <w:rsid w:val="21666A63"/>
    <w:rsid w:val="22AA5209"/>
    <w:rsid w:val="23E9756D"/>
    <w:rsid w:val="24957B50"/>
    <w:rsid w:val="25DA5840"/>
    <w:rsid w:val="267B0938"/>
    <w:rsid w:val="2751016E"/>
    <w:rsid w:val="28124692"/>
    <w:rsid w:val="2A1A72BF"/>
    <w:rsid w:val="2A7B147A"/>
    <w:rsid w:val="2BAC62BA"/>
    <w:rsid w:val="2BD833EB"/>
    <w:rsid w:val="2C387B4E"/>
    <w:rsid w:val="2D4C14EE"/>
    <w:rsid w:val="2E2C723F"/>
    <w:rsid w:val="2F4F2EEF"/>
    <w:rsid w:val="30346762"/>
    <w:rsid w:val="303F4DEC"/>
    <w:rsid w:val="317558B3"/>
    <w:rsid w:val="325A33E4"/>
    <w:rsid w:val="32AA6B55"/>
    <w:rsid w:val="33A15FD9"/>
    <w:rsid w:val="346E3C70"/>
    <w:rsid w:val="34A97A03"/>
    <w:rsid w:val="36095A9B"/>
    <w:rsid w:val="36394BEF"/>
    <w:rsid w:val="36A26508"/>
    <w:rsid w:val="376637C1"/>
    <w:rsid w:val="38A02D03"/>
    <w:rsid w:val="38B34786"/>
    <w:rsid w:val="38CC5105"/>
    <w:rsid w:val="3A192D6D"/>
    <w:rsid w:val="3B0E664A"/>
    <w:rsid w:val="3C574F5D"/>
    <w:rsid w:val="3D3D3216"/>
    <w:rsid w:val="3D5B1B1E"/>
    <w:rsid w:val="3D7A5C2D"/>
    <w:rsid w:val="427E1887"/>
    <w:rsid w:val="436E08A6"/>
    <w:rsid w:val="44363BFC"/>
    <w:rsid w:val="448605D2"/>
    <w:rsid w:val="45121CDE"/>
    <w:rsid w:val="4B1A0571"/>
    <w:rsid w:val="4C97172F"/>
    <w:rsid w:val="4CDF7E46"/>
    <w:rsid w:val="4DD70CFD"/>
    <w:rsid w:val="4DE8593F"/>
    <w:rsid w:val="4EB40E5E"/>
    <w:rsid w:val="4F6C78A3"/>
    <w:rsid w:val="506863A4"/>
    <w:rsid w:val="517E121D"/>
    <w:rsid w:val="52432787"/>
    <w:rsid w:val="53083527"/>
    <w:rsid w:val="555D3F3E"/>
    <w:rsid w:val="561C7FAE"/>
    <w:rsid w:val="57193D99"/>
    <w:rsid w:val="572442C1"/>
    <w:rsid w:val="57723B31"/>
    <w:rsid w:val="57C05EDC"/>
    <w:rsid w:val="57E702FB"/>
    <w:rsid w:val="583632CF"/>
    <w:rsid w:val="5AE87C8F"/>
    <w:rsid w:val="5C913EE5"/>
    <w:rsid w:val="5D4A130C"/>
    <w:rsid w:val="5DEA69D6"/>
    <w:rsid w:val="5F0F1790"/>
    <w:rsid w:val="5F59752B"/>
    <w:rsid w:val="610272A9"/>
    <w:rsid w:val="61934CA5"/>
    <w:rsid w:val="61C21F98"/>
    <w:rsid w:val="623C641B"/>
    <w:rsid w:val="64C73A1F"/>
    <w:rsid w:val="658D1CB8"/>
    <w:rsid w:val="65AD3B3A"/>
    <w:rsid w:val="663C30BD"/>
    <w:rsid w:val="66465CAF"/>
    <w:rsid w:val="66B12266"/>
    <w:rsid w:val="66C80B5B"/>
    <w:rsid w:val="66CF7E35"/>
    <w:rsid w:val="68AB330A"/>
    <w:rsid w:val="69304460"/>
    <w:rsid w:val="69990F25"/>
    <w:rsid w:val="69D3535F"/>
    <w:rsid w:val="6A892D47"/>
    <w:rsid w:val="6B980729"/>
    <w:rsid w:val="6C5C1595"/>
    <w:rsid w:val="6C6B2265"/>
    <w:rsid w:val="6D2154B9"/>
    <w:rsid w:val="6D6C2544"/>
    <w:rsid w:val="6D80630A"/>
    <w:rsid w:val="6E08434E"/>
    <w:rsid w:val="6E616398"/>
    <w:rsid w:val="6F2612D8"/>
    <w:rsid w:val="6FD55F08"/>
    <w:rsid w:val="6FEF7A38"/>
    <w:rsid w:val="70317866"/>
    <w:rsid w:val="7039446C"/>
    <w:rsid w:val="70455082"/>
    <w:rsid w:val="706A65C6"/>
    <w:rsid w:val="71290DE0"/>
    <w:rsid w:val="72CB70EF"/>
    <w:rsid w:val="73856F70"/>
    <w:rsid w:val="740B6CC8"/>
    <w:rsid w:val="74771DD5"/>
    <w:rsid w:val="748D1686"/>
    <w:rsid w:val="74973500"/>
    <w:rsid w:val="75A02781"/>
    <w:rsid w:val="768E1E11"/>
    <w:rsid w:val="771808D9"/>
    <w:rsid w:val="77F02658"/>
    <w:rsid w:val="79E461EC"/>
    <w:rsid w:val="7B967D68"/>
    <w:rsid w:val="7C306BA8"/>
    <w:rsid w:val="7E6C4205"/>
    <w:rsid w:val="7F477001"/>
    <w:rsid w:val="7F952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5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1079"/>
        <w:tab w:val="left" w:pos="1440"/>
      </w:tabs>
      <w:spacing w:before="280" w:afterLines="50" w:line="377" w:lineRule="auto"/>
      <w:ind w:left="1077" w:hanging="1077"/>
      <w:outlineLvl w:val="3"/>
    </w:pPr>
    <w:rPr>
      <w:rFonts w:ascii="等线 Light" w:hAnsi="等线 Light" w:eastAsia="@楷体_GB2312" w:cs="Times New Roman"/>
      <w:spacing w:val="1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
    <w:qFormat/>
    <w:uiPriority w:val="0"/>
    <w:rPr>
      <w:rFonts w:ascii="宋体" w:hAnsi="Courier New" w:cs="Arial"/>
      <w:snapToGrid w:val="0"/>
      <w:szCs w:val="21"/>
    </w:rPr>
  </w:style>
  <w:style w:type="paragraph" w:styleId="11">
    <w:name w:val="Body Text Indent 2"/>
    <w:basedOn w:val="1"/>
    <w:qFormat/>
    <w:uiPriority w:val="0"/>
    <w:pPr>
      <w:spacing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Autospacing="1" w:afterAutospacing="1"/>
      <w:jc w:val="left"/>
    </w:pPr>
    <w:rPr>
      <w:rFonts w:ascii="宋体" w:hAnsi="宋体" w:cs="宋体"/>
      <w:kern w:val="0"/>
      <w:sz w:val="24"/>
    </w:rPr>
  </w:style>
  <w:style w:type="paragraph" w:styleId="17">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8">
    <w:name w:val="Body Text First Indent 2"/>
    <w:basedOn w:val="9"/>
    <w:qFormat/>
    <w:uiPriority w:val="0"/>
    <w:pPr>
      <w:ind w:left="420" w:leftChars="200" w:firstLine="420"/>
    </w:pPr>
    <w:rPr>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paragraph" w:customStyle="1" w:styleId="24">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样式3"/>
    <w:basedOn w:val="10"/>
    <w:next w:val="1"/>
    <w:qFormat/>
    <w:uiPriority w:val="0"/>
    <w:pPr>
      <w:spacing w:line="415" w:lineRule="auto"/>
    </w:pPr>
    <w:rPr>
      <w:rFonts w:eastAsia="Times New Roman"/>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1"/>
    <w:basedOn w:val="32"/>
    <w:qFormat/>
    <w:uiPriority w:val="0"/>
    <w:pPr>
      <w:adjustRightInd/>
    </w:pPr>
    <w:rPr>
      <w:rFonts w:hAnsi="Courier New"/>
      <w:sz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7">
    <w:name w:val="font41"/>
    <w:basedOn w:val="21"/>
    <w:qFormat/>
    <w:uiPriority w:val="0"/>
    <w:rPr>
      <w:rFonts w:hint="eastAsia" w:ascii="宋体" w:hAnsi="宋体" w:eastAsia="宋体" w:cs="宋体"/>
      <w:b/>
      <w:color w:val="000000"/>
      <w:sz w:val="20"/>
      <w:szCs w:val="20"/>
      <w:u w:val="none"/>
    </w:rPr>
  </w:style>
  <w:style w:type="character" w:customStyle="1" w:styleId="38">
    <w:name w:val="font112"/>
    <w:basedOn w:val="21"/>
    <w:qFormat/>
    <w:uiPriority w:val="0"/>
    <w:rPr>
      <w:rFonts w:ascii="Arial" w:hAnsi="Arial" w:cs="Arial"/>
      <w:color w:val="000000"/>
      <w:sz w:val="18"/>
      <w:szCs w:val="18"/>
      <w:u w:val="none"/>
    </w:rPr>
  </w:style>
  <w:style w:type="paragraph" w:customStyle="1" w:styleId="39">
    <w:name w:val="BodyText1I2"/>
    <w:basedOn w:val="40"/>
    <w:qFormat/>
    <w:uiPriority w:val="0"/>
    <w:pPr>
      <w:spacing w:after="120" w:line="240" w:lineRule="auto"/>
      <w:ind w:left="420" w:leftChars="200" w:firstLine="420"/>
    </w:pPr>
    <w:rPr>
      <w:sz w:val="21"/>
      <w:szCs w:val="21"/>
    </w:rPr>
  </w:style>
  <w:style w:type="paragraph" w:customStyle="1" w:styleId="40">
    <w:name w:val="BodyTextIndent"/>
    <w:basedOn w:val="1"/>
    <w:qFormat/>
    <w:uiPriority w:val="0"/>
    <w:pPr>
      <w:spacing w:line="460" w:lineRule="exact"/>
      <w:ind w:firstLine="480" w:firstLineChars="200"/>
      <w:textAlignment w:val="baseline"/>
    </w:pPr>
    <w:rPr>
      <w:rFonts w:eastAsia="仿宋_GB2312"/>
      <w:sz w:val="24"/>
      <w:szCs w:val="20"/>
    </w:rPr>
  </w:style>
  <w:style w:type="character" w:customStyle="1" w:styleId="41">
    <w:name w:val="font51"/>
    <w:basedOn w:val="21"/>
    <w:qFormat/>
    <w:uiPriority w:val="0"/>
    <w:rPr>
      <w:rFonts w:hint="eastAsia" w:ascii="宋体" w:hAnsi="宋体" w:eastAsia="宋体" w:cs="宋体"/>
      <w:b/>
      <w:color w:val="000000"/>
      <w:sz w:val="20"/>
      <w:szCs w:val="20"/>
      <w:u w:val="none"/>
    </w:rPr>
  </w:style>
  <w:style w:type="paragraph" w:customStyle="1" w:styleId="4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3">
    <w:name w:val="标题 Char1"/>
    <w:qFormat/>
    <w:uiPriority w:val="0"/>
    <w:rPr>
      <w:rFonts w:ascii="Arial" w:hAnsi="Arial" w:eastAsia="宋体" w:cs="Times New Roman"/>
      <w:b/>
      <w:sz w:val="32"/>
      <w:lang w:val="en-US" w:eastAsia="zh-CN" w:bidi="ar-SA"/>
    </w:rPr>
  </w:style>
  <w:style w:type="character" w:customStyle="1" w:styleId="44">
    <w:name w:val="标题 2 字符"/>
    <w:link w:val="3"/>
    <w:qFormat/>
    <w:locked/>
    <w:uiPriority w:val="0"/>
    <w:rPr>
      <w:rFonts w:ascii="仿宋_GB2312" w:hAnsi="仿宋" w:eastAsia="仿宋_GB2312"/>
      <w:b/>
      <w:bCs/>
      <w:sz w:val="32"/>
      <w:szCs w:val="32"/>
      <w:lang w:val="zh-CN"/>
    </w:rPr>
  </w:style>
  <w:style w:type="paragraph" w:customStyle="1" w:styleId="45">
    <w:name w:val="正文首行缩进 21"/>
    <w:basedOn w:val="46"/>
    <w:qFormat/>
    <w:uiPriority w:val="0"/>
    <w:pPr>
      <w:ind w:firstLine="420"/>
    </w:pPr>
    <w:rPr>
      <w:szCs w:val="22"/>
    </w:rPr>
  </w:style>
  <w:style w:type="paragraph" w:customStyle="1" w:styleId="46">
    <w:name w:val="正文文本缩进1"/>
    <w:basedOn w:val="1"/>
    <w:qFormat/>
    <w:uiPriority w:val="0"/>
    <w:pPr>
      <w:ind w:left="420" w:leftChars="200"/>
    </w:pPr>
  </w:style>
  <w:style w:type="paragraph" w:styleId="47">
    <w:name w:val="List Paragraph"/>
    <w:basedOn w:val="1"/>
    <w:qFormat/>
    <w:uiPriority w:val="0"/>
    <w:pPr>
      <w:ind w:firstLine="420" w:firstLineChars="200"/>
    </w:pPr>
    <w:rPr>
      <w:rFonts w:ascii="Calibri" w:hAnsi="Calibri"/>
      <w:szCs w:val="22"/>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0">
    <w:name w:val="标题 2 Char"/>
    <w:link w:val="3"/>
    <w:qFormat/>
    <w:locked/>
    <w:uiPriority w:val="0"/>
    <w:rPr>
      <w:rFonts w:ascii="Arial" w:hAnsi="Arial" w:eastAsia="黑体"/>
      <w:b/>
      <w:bCs/>
      <w:kern w:val="2"/>
      <w:sz w:val="32"/>
      <w:szCs w:val="32"/>
      <w:lang w:val="en-US" w:eastAsia="zh-CN" w:bidi="ar-SA"/>
    </w:rPr>
  </w:style>
  <w:style w:type="character" w:customStyle="1" w:styleId="51">
    <w:name w:val="font21"/>
    <w:basedOn w:val="21"/>
    <w:qFormat/>
    <w:uiPriority w:val="0"/>
    <w:rPr>
      <w:rFonts w:hint="eastAsia" w:ascii="仿宋" w:hAnsi="仿宋" w:eastAsia="仿宋" w:cs="仿宋"/>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customXml/item2.xml" Type="http://schemas.openxmlformats.org/officeDocument/2006/relationships/customXml"/><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020C4-B3BF-4C2C-888B-8CE118C0EF05}">
  <ds:schemaRefs/>
</ds:datastoreItem>
</file>

<file path=docProps/app.xml><?xml version="1.0" encoding="utf-8"?>
<Properties xmlns="http://schemas.openxmlformats.org/officeDocument/2006/extended-properties" xmlns:vt="http://schemas.openxmlformats.org/officeDocument/2006/docPropsVTypes">
  <Template>Normal</Template>
  <Pages>78</Pages>
  <Words>41082</Words>
  <Characters>44745</Characters>
  <Lines>352</Lines>
  <Paragraphs>99</Paragraphs>
  <TotalTime>70</TotalTime>
  <ScaleCrop>false</ScaleCrop>
  <LinksUpToDate>false</LinksUpToDate>
  <CharactersWithSpaces>46050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2022-01-17T01:53:00Z</dcterms:created>
  <dc:creator>中浙小蒋</dc:creator>
  <cp:lastModifiedBy>中浙小蒋</cp:lastModifiedBy>
  <cp:lastPrinted>2022-10-09T07:25:00Z</cp:lastPrinted>
  <dcterms:modified xsi:type="dcterms:W3CDTF">2022-10-10T02:01:29Z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C21B02687D564CEFA1954ECC3ED6675D</vt:lpwstr>
  </property>
</Properties>
</file>