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b/>
          <w:bCs/>
          <w:sz w:val="48"/>
          <w:szCs w:val="48"/>
        </w:rPr>
      </w:pPr>
      <w:r>
        <w:rPr>
          <w:rFonts w:hint="eastAsia" w:ascii="宋体" w:hAnsi="宋体" w:cs="宋体"/>
          <w:b/>
          <w:bCs/>
          <w:sz w:val="48"/>
          <w:szCs w:val="48"/>
          <w:lang w:eastAsia="zh-CN"/>
        </w:rPr>
        <w:t>杭州市丁桥医院</w:t>
      </w:r>
      <w:r>
        <w:rPr>
          <w:rFonts w:hint="eastAsia" w:ascii="宋体" w:hAnsi="宋体" w:cs="宋体"/>
          <w:b/>
          <w:bCs/>
          <w:sz w:val="48"/>
          <w:szCs w:val="48"/>
        </w:rPr>
        <w:t>年度零星修缮项目</w:t>
      </w:r>
    </w:p>
    <w:p>
      <w:pPr>
        <w:adjustRightInd/>
        <w:spacing w:line="360" w:lineRule="auto"/>
        <w:jc w:val="center"/>
        <w:rPr>
          <w:rFonts w:ascii="宋体" w:hAnsi="宋体" w:cs="宋体"/>
          <w:sz w:val="48"/>
          <w:szCs w:val="48"/>
        </w:rPr>
      </w:pPr>
      <w:r>
        <w:rPr>
          <w:rFonts w:hint="eastAsia" w:ascii="宋体" w:hAnsi="宋体" w:cs="宋体"/>
          <w:sz w:val="48"/>
          <w:szCs w:val="48"/>
        </w:rPr>
        <w:t>竞争性磋商文件</w:t>
      </w:r>
    </w:p>
    <w:p>
      <w:pPr>
        <w:adjustRightInd/>
        <w:spacing w:line="360" w:lineRule="auto"/>
        <w:jc w:val="center"/>
        <w:rPr>
          <w:rFonts w:ascii="宋体" w:hAnsi="宋体" w:cs="宋体"/>
          <w:b/>
          <w:sz w:val="44"/>
          <w:szCs w:val="44"/>
        </w:rPr>
      </w:pPr>
      <w:r>
        <w:rPr>
          <w:rFonts w:hint="eastAsia" w:ascii="宋体" w:hAnsi="宋体" w:cs="宋体"/>
          <w:b/>
          <w:sz w:val="44"/>
          <w:szCs w:val="44"/>
        </w:rPr>
        <w:t>（电子交易）</w:t>
      </w:r>
    </w:p>
    <w:p>
      <w:pPr>
        <w:snapToGrid w:val="0"/>
        <w:spacing w:line="360" w:lineRule="auto"/>
        <w:jc w:val="center"/>
        <w:rPr>
          <w:rFonts w:hint="eastAsia" w:ascii="宋体" w:hAnsi="宋体" w:eastAsia="宋体" w:cs="宋体"/>
          <w:sz w:val="30"/>
          <w:szCs w:val="30"/>
          <w:lang w:val="en-US" w:eastAsia="zh-CN"/>
        </w:rPr>
      </w:pPr>
      <w:r>
        <w:rPr>
          <w:rFonts w:hint="eastAsia" w:ascii="宋体" w:hAnsi="宋体" w:cs="宋体"/>
          <w:sz w:val="30"/>
          <w:szCs w:val="30"/>
        </w:rPr>
        <w:t>编号:</w:t>
      </w:r>
      <w:r>
        <w:rPr>
          <w:rFonts w:hint="eastAsia" w:ascii="宋体" w:hAnsi="宋体" w:cs="宋体"/>
          <w:sz w:val="30"/>
          <w:szCs w:val="30"/>
          <w:lang w:val="en-US" w:eastAsia="zh-CN"/>
        </w:rPr>
        <w:t xml:space="preserve"> HZGX202404-002</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eastAsia" w:ascii="宋体" w:hAnsi="宋体" w:cs="Arial"/>
          <w:b/>
          <w:color w:val="000000"/>
          <w:sz w:val="32"/>
          <w:szCs w:val="32"/>
          <w:lang w:eastAsia="zh-CN"/>
        </w:rPr>
      </w:pPr>
      <w:r>
        <w:rPr>
          <w:rFonts w:hint="eastAsia" w:ascii="宋体" w:hAnsi="宋体" w:cs="Arial"/>
          <w:b/>
          <w:color w:val="000000"/>
          <w:sz w:val="32"/>
          <w:szCs w:val="32"/>
          <w:lang w:eastAsia="zh-CN"/>
        </w:rPr>
        <w:t>杭州市丁桥医院</w:t>
      </w:r>
    </w:p>
    <w:p>
      <w:pPr>
        <w:snapToGrid w:val="0"/>
        <w:spacing w:line="360" w:lineRule="auto"/>
        <w:jc w:val="center"/>
        <w:rPr>
          <w:rFonts w:hint="eastAsia" w:ascii="宋体" w:hAnsi="宋体" w:cs="Arial"/>
          <w:b/>
          <w:color w:val="000000"/>
          <w:sz w:val="32"/>
          <w:szCs w:val="32"/>
        </w:rPr>
      </w:pPr>
      <w:r>
        <w:rPr>
          <w:rFonts w:hint="eastAsia" w:ascii="宋体" w:hAnsi="宋体" w:cs="Arial"/>
          <w:b/>
          <w:color w:val="000000"/>
          <w:sz w:val="32"/>
          <w:szCs w:val="32"/>
        </w:rPr>
        <w:t>杭州广厦建筑咨询有限公司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val="en-US" w:eastAsia="zh-CN"/>
        </w:rPr>
        <w:t>四</w:t>
      </w:r>
      <w:r>
        <w:rPr>
          <w:rFonts w:hint="eastAsia" w:ascii="宋体" w:hAnsi="宋体" w:cs="宋体"/>
          <w:bCs/>
          <w:sz w:val="32"/>
          <w:szCs w:val="32"/>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竞争性磋商公告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供应商须知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评审办法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1280" w:firstLineChars="400"/>
        <w:rPr>
          <w:rFonts w:ascii="宋体" w:hAnsi="宋体" w:cs="宋体"/>
          <w:sz w:val="32"/>
          <w:szCs w:val="32"/>
        </w:rPr>
      </w:pP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杭州市丁桥医院</w:t>
      </w:r>
      <w:r>
        <w:rPr>
          <w:rFonts w:hint="eastAsia" w:ascii="宋体" w:hAnsi="宋体" w:cs="宋体"/>
          <w:sz w:val="24"/>
          <w:u w:val="single"/>
        </w:rPr>
        <w:t>年度零星修缮项目采购项目</w:t>
      </w:r>
      <w:r>
        <w:rPr>
          <w:rFonts w:hint="eastAsia" w:ascii="宋体" w:hAnsi="宋体" w:cs="宋体"/>
          <w:sz w:val="24"/>
        </w:rPr>
        <w:t>的潜在供应商应在政采云平台（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8"/>
          <w:rFonts w:hint="eastAsia" w:ascii="宋体" w:hAnsi="宋体" w:eastAsia="宋体" w:cs="宋体"/>
          <w:snapToGrid/>
          <w:color w:val="auto"/>
          <w:kern w:val="2"/>
          <w:sz w:val="24"/>
          <w:szCs w:val="24"/>
          <w:highlight w:val="none"/>
        </w:rPr>
        <w:t>https://www.zcygov.cn/）获取（下载）采购文件，并于</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05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06</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提交（上传）响应文件。</w:t>
      </w:r>
    </w:p>
    <w:p>
      <w:pPr>
        <w:spacing w:line="360" w:lineRule="auto"/>
        <w:rPr>
          <w:rFonts w:ascii="宋体" w:hAnsi="宋体" w:cs="宋体"/>
          <w:b/>
          <w:sz w:val="24"/>
        </w:rPr>
      </w:pPr>
      <w:r>
        <w:rPr>
          <w:rFonts w:hint="eastAsia" w:ascii="宋体" w:hAnsi="宋体" w:cs="宋体"/>
          <w:b/>
          <w:sz w:val="24"/>
        </w:rPr>
        <w:t xml:space="preserve">一、项目基本情况                                            </w:t>
      </w:r>
    </w:p>
    <w:p>
      <w:pPr>
        <w:snapToGrid w:val="0"/>
        <w:spacing w:line="360" w:lineRule="auto"/>
        <w:ind w:firstLine="482" w:firstLineChars="200"/>
        <w:rPr>
          <w:rFonts w:hint="eastAsia" w:ascii="宋体" w:hAnsi="宋体" w:eastAsia="宋体" w:cs="宋体"/>
          <w:sz w:val="24"/>
          <w:lang w:eastAsia="zh-CN"/>
        </w:rPr>
      </w:pPr>
      <w:r>
        <w:rPr>
          <w:rFonts w:hint="eastAsia" w:ascii="宋体" w:hAnsi="宋体" w:cs="宋体"/>
          <w:b/>
          <w:sz w:val="24"/>
        </w:rPr>
        <w:t>项目编号：</w:t>
      </w:r>
      <w:r>
        <w:rPr>
          <w:rFonts w:hint="eastAsia" w:cs="宋体"/>
          <w:b/>
          <w:bCs/>
          <w:snapToGrid w:val="0"/>
          <w:sz w:val="21"/>
          <w:szCs w:val="21"/>
        </w:rPr>
        <w:t>HZGX20240</w:t>
      </w:r>
      <w:r>
        <w:rPr>
          <w:rFonts w:hint="eastAsia" w:cs="宋体"/>
          <w:b/>
          <w:bCs/>
          <w:snapToGrid w:val="0"/>
          <w:sz w:val="21"/>
          <w:szCs w:val="21"/>
          <w:lang w:val="en-US" w:eastAsia="zh-CN"/>
        </w:rPr>
        <w:t>4</w:t>
      </w:r>
      <w:r>
        <w:rPr>
          <w:rFonts w:hint="eastAsia" w:cs="宋体"/>
          <w:b/>
          <w:bCs/>
          <w:snapToGrid w:val="0"/>
          <w:sz w:val="21"/>
          <w:szCs w:val="21"/>
        </w:rPr>
        <w:t>-00</w:t>
      </w:r>
      <w:r>
        <w:rPr>
          <w:rFonts w:hint="eastAsia" w:cs="宋体"/>
          <w:b/>
          <w:bCs/>
          <w:snapToGrid w:val="0"/>
          <w:sz w:val="21"/>
          <w:szCs w:val="21"/>
          <w:lang w:val="en-US" w:eastAsia="zh-CN"/>
        </w:rPr>
        <w:t>2</w:t>
      </w:r>
      <w:r>
        <w:rPr>
          <w:rFonts w:hint="eastAsia" w:ascii="宋体" w:hAnsi="宋体" w:cs="宋体"/>
          <w:b/>
          <w:sz w:val="24"/>
          <w:lang w:val="en-US" w:eastAsia="zh-CN"/>
        </w:rPr>
        <w:t xml:space="preserve"> </w:t>
      </w:r>
    </w:p>
    <w:p>
      <w:pPr>
        <w:snapToGrid w:val="0"/>
        <w:spacing w:line="360" w:lineRule="auto"/>
        <w:ind w:firstLine="482" w:firstLineChars="200"/>
        <w:rPr>
          <w:rFonts w:ascii="宋体" w:hAnsi="宋体" w:cs="宋体"/>
          <w:sz w:val="24"/>
        </w:rPr>
      </w:pPr>
      <w:r>
        <w:rPr>
          <w:rFonts w:hint="eastAsia" w:ascii="宋体" w:hAnsi="宋体" w:cs="宋体"/>
          <w:b/>
          <w:sz w:val="24"/>
        </w:rPr>
        <w:t>项目名称：</w:t>
      </w:r>
      <w:r>
        <w:rPr>
          <w:rFonts w:hint="eastAsia" w:ascii="宋体" w:hAnsi="宋体" w:cs="宋体"/>
          <w:b/>
          <w:sz w:val="24"/>
          <w:lang w:eastAsia="zh-CN"/>
        </w:rPr>
        <w:t>杭州市丁桥医院</w:t>
      </w:r>
      <w:r>
        <w:rPr>
          <w:rFonts w:hint="eastAsia" w:ascii="宋体" w:hAnsi="宋体" w:cs="宋体"/>
          <w:b/>
          <w:sz w:val="24"/>
        </w:rPr>
        <w:t>年度零星修缮项目采购项目</w:t>
      </w:r>
    </w:p>
    <w:p>
      <w:pPr>
        <w:snapToGrid w:val="0"/>
        <w:spacing w:line="360" w:lineRule="auto"/>
        <w:ind w:firstLine="482" w:firstLineChars="200"/>
        <w:rPr>
          <w:rFonts w:ascii="宋体" w:hAnsi="宋体" w:cs="宋体"/>
          <w:sz w:val="24"/>
        </w:rPr>
      </w:pPr>
      <w:r>
        <w:rPr>
          <w:rFonts w:hint="eastAsia" w:ascii="宋体" w:hAnsi="宋体" w:cs="宋体"/>
          <w:b/>
          <w:sz w:val="24"/>
        </w:rPr>
        <w:t>预算金额（元）：</w:t>
      </w:r>
      <w:r>
        <w:rPr>
          <w:rFonts w:hint="eastAsia" w:ascii="宋体" w:hAnsi="宋体" w:cs="宋体"/>
          <w:b/>
          <w:sz w:val="24"/>
          <w:lang w:val="en-US" w:eastAsia="zh-CN"/>
        </w:rPr>
        <w:t>2800000</w:t>
      </w:r>
      <w:r>
        <w:rPr>
          <w:rFonts w:hint="eastAsia" w:ascii="宋体" w:hAnsi="宋体" w:cs="宋体"/>
          <w:sz w:val="24"/>
        </w:rPr>
        <w:t xml:space="preserve">  </w:t>
      </w:r>
    </w:p>
    <w:p>
      <w:pPr>
        <w:snapToGrid w:val="0"/>
        <w:spacing w:line="360" w:lineRule="auto"/>
        <w:ind w:firstLine="482" w:firstLineChars="200"/>
        <w:rPr>
          <w:rFonts w:ascii="宋体" w:hAnsi="宋体" w:cs="宋体"/>
          <w:sz w:val="24"/>
        </w:rPr>
      </w:pPr>
      <w:r>
        <w:rPr>
          <w:rFonts w:hint="eastAsia" w:ascii="宋体" w:hAnsi="宋体" w:cs="宋体"/>
          <w:b/>
          <w:sz w:val="24"/>
        </w:rPr>
        <w:t>最高限价（元）：</w:t>
      </w:r>
      <w:r>
        <w:rPr>
          <w:rFonts w:hint="eastAsia" w:ascii="宋体" w:hAnsi="宋体" w:cs="宋体"/>
          <w:b/>
          <w:sz w:val="24"/>
          <w:lang w:val="en-US" w:eastAsia="zh-CN"/>
        </w:rPr>
        <w:t>2800000</w:t>
      </w:r>
      <w:r>
        <w:rPr>
          <w:rFonts w:hint="eastAsia" w:ascii="宋体" w:hAnsi="宋体" w:cs="宋体"/>
          <w:sz w:val="24"/>
        </w:rPr>
        <w:t xml:space="preserve">    </w:t>
      </w:r>
    </w:p>
    <w:p>
      <w:pPr>
        <w:pStyle w:val="17"/>
        <w:spacing w:line="360" w:lineRule="auto"/>
        <w:ind w:firstLine="482" w:firstLineChars="200"/>
        <w:rPr>
          <w:rFonts w:hAnsi="宋体" w:cs="宋体"/>
          <w:bCs/>
          <w:snapToGrid/>
          <w:color w:val="auto"/>
          <w:kern w:val="2"/>
          <w:sz w:val="24"/>
          <w:szCs w:val="24"/>
        </w:rPr>
      </w:pPr>
      <w:r>
        <w:rPr>
          <w:rFonts w:hint="eastAsia" w:hAnsi="宋体" w:cs="宋体"/>
          <w:b/>
          <w:color w:val="auto"/>
          <w:sz w:val="24"/>
        </w:rPr>
        <w:t>采购需求：</w:t>
      </w:r>
      <w:r>
        <w:rPr>
          <w:rFonts w:hint="eastAsia" w:hAnsi="宋体" w:cs="宋体"/>
          <w:color w:val="000000"/>
          <w:kern w:val="0"/>
          <w:sz w:val="24"/>
          <w:szCs w:val="24"/>
          <w:highlight w:val="none"/>
          <w:u w:val="single"/>
          <w:lang w:eastAsia="zh-CN"/>
        </w:rPr>
        <w:t>杭州市丁桥医院年度</w:t>
      </w:r>
      <w:r>
        <w:rPr>
          <w:rFonts w:hint="eastAsia" w:ascii="宋体" w:hAnsi="宋体" w:eastAsia="宋体" w:cs="宋体"/>
          <w:color w:val="000000"/>
          <w:kern w:val="0"/>
          <w:sz w:val="24"/>
          <w:szCs w:val="24"/>
          <w:highlight w:val="none"/>
          <w:u w:val="single"/>
          <w:lang w:eastAsia="zh-CN"/>
        </w:rPr>
        <w:t>零星修缮项目</w:t>
      </w:r>
      <w:r>
        <w:rPr>
          <w:rFonts w:hint="eastAsia" w:hAnsi="宋体" w:cs="宋体"/>
          <w:bCs/>
          <w:snapToGrid/>
          <w:color w:val="auto"/>
          <w:kern w:val="2"/>
          <w:sz w:val="24"/>
          <w:szCs w:val="24"/>
        </w:rPr>
        <w:t>主要内容：</w:t>
      </w:r>
      <w:r>
        <w:rPr>
          <w:rFonts w:hint="eastAsia" w:ascii="宋体" w:hAnsi="宋体" w:eastAsia="宋体" w:cs="宋体"/>
          <w:color w:val="auto"/>
          <w:sz w:val="24"/>
          <w:szCs w:val="24"/>
          <w:highlight w:val="none"/>
          <w:u w:val="single"/>
          <w:lang w:val="en-US" w:eastAsia="zh-CN"/>
        </w:rPr>
        <w:t>包含医院日常的零星修缮和零星工程，每个零星工程单项造价在</w:t>
      </w:r>
      <w:r>
        <w:rPr>
          <w:rFonts w:hint="eastAsia" w:ascii="宋体" w:hAnsi="宋体" w:cs="宋体"/>
          <w:color w:val="000000"/>
          <w:kern w:val="0"/>
          <w:sz w:val="24"/>
          <w:szCs w:val="24"/>
          <w:highlight w:val="none"/>
          <w:u w:val="single"/>
          <w:lang w:val="en-US" w:eastAsia="zh-CN"/>
        </w:rPr>
        <w:t>5</w:t>
      </w:r>
      <w:r>
        <w:rPr>
          <w:rFonts w:hint="eastAsia" w:ascii="宋体" w:hAnsi="宋体" w:eastAsia="宋体" w:cs="宋体"/>
          <w:color w:val="000000"/>
          <w:kern w:val="0"/>
          <w:sz w:val="24"/>
          <w:szCs w:val="24"/>
          <w:highlight w:val="none"/>
          <w:u w:val="single"/>
          <w:lang w:val="en-US" w:eastAsia="zh-CN"/>
        </w:rPr>
        <w:t>0万</w:t>
      </w:r>
      <w:r>
        <w:rPr>
          <w:rFonts w:hint="eastAsia" w:ascii="宋体" w:hAnsi="宋体" w:eastAsia="宋体" w:cs="宋体"/>
          <w:color w:val="auto"/>
          <w:sz w:val="24"/>
          <w:szCs w:val="24"/>
          <w:highlight w:val="none"/>
          <w:u w:val="single"/>
          <w:lang w:val="en-US" w:eastAsia="zh-CN"/>
        </w:rPr>
        <w:t>元以内</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具体内容包括零星</w:t>
      </w:r>
      <w:r>
        <w:rPr>
          <w:rFonts w:hint="eastAsia" w:ascii="宋体" w:hAnsi="宋体" w:eastAsia="宋体" w:cs="宋体"/>
          <w:color w:val="auto"/>
          <w:sz w:val="24"/>
          <w:szCs w:val="24"/>
          <w:highlight w:val="none"/>
          <w:u w:val="single"/>
        </w:rPr>
        <w:t>砌墙、</w:t>
      </w:r>
      <w:r>
        <w:rPr>
          <w:rFonts w:hint="eastAsia" w:ascii="宋体" w:hAnsi="宋体" w:eastAsia="宋体" w:cs="宋体"/>
          <w:color w:val="auto"/>
          <w:sz w:val="24"/>
          <w:szCs w:val="24"/>
          <w:highlight w:val="none"/>
          <w:u w:val="single"/>
          <w:lang w:val="en-US" w:eastAsia="zh-CN"/>
        </w:rPr>
        <w:t>零星</w:t>
      </w:r>
      <w:r>
        <w:rPr>
          <w:rFonts w:hint="eastAsia" w:ascii="宋体" w:hAnsi="宋体" w:eastAsia="宋体" w:cs="宋体"/>
          <w:color w:val="auto"/>
          <w:sz w:val="24"/>
          <w:szCs w:val="24"/>
          <w:highlight w:val="none"/>
          <w:u w:val="single"/>
        </w:rPr>
        <w:t>粉刷、</w:t>
      </w:r>
      <w:r>
        <w:rPr>
          <w:rFonts w:hint="eastAsia" w:ascii="宋体" w:hAnsi="宋体" w:eastAsia="宋体" w:cs="宋体"/>
          <w:color w:val="auto"/>
          <w:sz w:val="24"/>
          <w:szCs w:val="24"/>
          <w:highlight w:val="none"/>
          <w:u w:val="single"/>
          <w:lang w:val="en-US" w:eastAsia="zh-CN"/>
        </w:rPr>
        <w:t>零星</w:t>
      </w:r>
      <w:r>
        <w:rPr>
          <w:rFonts w:hint="eastAsia" w:ascii="宋体" w:hAnsi="宋体" w:eastAsia="宋体" w:cs="宋体"/>
          <w:color w:val="auto"/>
          <w:sz w:val="24"/>
          <w:szCs w:val="24"/>
          <w:highlight w:val="none"/>
          <w:u w:val="single"/>
        </w:rPr>
        <w:t>油漆、门窗</w:t>
      </w:r>
      <w:r>
        <w:rPr>
          <w:rFonts w:hint="eastAsia" w:ascii="宋体" w:hAnsi="宋体" w:eastAsia="宋体" w:cs="宋体"/>
          <w:color w:val="auto"/>
          <w:sz w:val="24"/>
          <w:szCs w:val="24"/>
          <w:highlight w:val="none"/>
          <w:u w:val="single"/>
          <w:lang w:val="en-US" w:eastAsia="zh-CN"/>
        </w:rPr>
        <w:t>修补</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零星</w:t>
      </w:r>
      <w:r>
        <w:rPr>
          <w:rFonts w:hint="eastAsia" w:ascii="宋体" w:hAnsi="宋体" w:eastAsia="宋体" w:cs="宋体"/>
          <w:color w:val="auto"/>
          <w:sz w:val="24"/>
          <w:szCs w:val="24"/>
          <w:highlight w:val="none"/>
          <w:u w:val="single"/>
        </w:rPr>
        <w:t>屋面防水、</w:t>
      </w:r>
      <w:r>
        <w:rPr>
          <w:rFonts w:hint="eastAsia" w:ascii="宋体" w:hAnsi="宋体" w:eastAsia="宋体" w:cs="宋体"/>
          <w:color w:val="auto"/>
          <w:sz w:val="24"/>
          <w:szCs w:val="24"/>
          <w:highlight w:val="none"/>
          <w:u w:val="single"/>
          <w:lang w:val="en-US" w:eastAsia="zh-CN"/>
        </w:rPr>
        <w:t>零星</w:t>
      </w:r>
      <w:r>
        <w:rPr>
          <w:rFonts w:hint="eastAsia" w:ascii="宋体" w:hAnsi="宋体" w:eastAsia="宋体" w:cs="宋体"/>
          <w:color w:val="auto"/>
          <w:sz w:val="24"/>
          <w:szCs w:val="24"/>
          <w:highlight w:val="none"/>
          <w:u w:val="single"/>
        </w:rPr>
        <w:t>道路</w:t>
      </w:r>
      <w:r>
        <w:rPr>
          <w:rFonts w:hint="eastAsia" w:ascii="宋体" w:hAnsi="宋体" w:eastAsia="宋体" w:cs="宋体"/>
          <w:color w:val="auto"/>
          <w:sz w:val="24"/>
          <w:szCs w:val="24"/>
          <w:highlight w:val="none"/>
          <w:u w:val="single"/>
          <w:lang w:val="en-US" w:eastAsia="zh-CN"/>
        </w:rPr>
        <w:t>修补</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零星</w:t>
      </w:r>
      <w:r>
        <w:rPr>
          <w:rFonts w:hint="eastAsia" w:ascii="宋体" w:hAnsi="宋体" w:eastAsia="宋体" w:cs="宋体"/>
          <w:color w:val="auto"/>
          <w:sz w:val="24"/>
          <w:szCs w:val="24"/>
          <w:highlight w:val="none"/>
          <w:u w:val="single"/>
        </w:rPr>
        <w:t>水电</w:t>
      </w:r>
      <w:r>
        <w:rPr>
          <w:rFonts w:hint="eastAsia" w:ascii="宋体" w:hAnsi="宋体" w:eastAsia="宋体" w:cs="宋体"/>
          <w:color w:val="auto"/>
          <w:sz w:val="24"/>
          <w:szCs w:val="24"/>
          <w:highlight w:val="none"/>
          <w:u w:val="single"/>
          <w:lang w:val="en-US" w:eastAsia="zh-CN"/>
        </w:rPr>
        <w:t>抢修</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零星</w:t>
      </w:r>
      <w:r>
        <w:rPr>
          <w:rFonts w:hint="eastAsia" w:ascii="宋体" w:hAnsi="宋体" w:eastAsia="宋体" w:cs="宋体"/>
          <w:color w:val="auto"/>
          <w:sz w:val="24"/>
          <w:szCs w:val="24"/>
          <w:highlight w:val="none"/>
          <w:u w:val="single"/>
        </w:rPr>
        <w:t>木工</w:t>
      </w:r>
      <w:r>
        <w:rPr>
          <w:rFonts w:hint="eastAsia" w:ascii="宋体" w:hAnsi="宋体" w:eastAsia="宋体" w:cs="宋体"/>
          <w:color w:val="auto"/>
          <w:sz w:val="24"/>
          <w:szCs w:val="24"/>
          <w:highlight w:val="none"/>
          <w:u w:val="single"/>
          <w:lang w:val="en-US" w:eastAsia="zh-CN"/>
        </w:rPr>
        <w:t>等日常零星维修项目和和零星工程项目</w:t>
      </w:r>
      <w:r>
        <w:rPr>
          <w:rFonts w:hint="eastAsia" w:hAnsi="宋体" w:cs="宋体"/>
          <w:bCs/>
          <w:snapToGrid/>
          <w:color w:val="auto"/>
          <w:kern w:val="2"/>
          <w:sz w:val="24"/>
          <w:szCs w:val="24"/>
        </w:rPr>
        <w:t>。详见采购文件第三部分采购需求。</w:t>
      </w:r>
    </w:p>
    <w:p>
      <w:pPr>
        <w:pStyle w:val="130"/>
        <w:snapToGrid w:val="0"/>
        <w:spacing w:before="0"/>
        <w:ind w:firstLine="482"/>
        <w:outlineLvl w:val="2"/>
        <w:rPr>
          <w:rFonts w:ascii="宋体" w:hAnsi="宋体" w:cs="宋体"/>
        </w:rPr>
      </w:pPr>
      <w:r>
        <w:rPr>
          <w:rFonts w:hint="eastAsia" w:ascii="宋体" w:hAnsi="宋体" w:cs="宋体"/>
          <w:b/>
        </w:rPr>
        <w:t>合同履约期限：</w:t>
      </w:r>
      <w:r>
        <w:rPr>
          <w:rFonts w:hint="eastAsia" w:ascii="宋体" w:hAnsi="宋体" w:cs="宋体"/>
          <w:b w:val="0"/>
          <w:bCs/>
          <w:lang w:val="en-US" w:eastAsia="zh-CN"/>
        </w:rPr>
        <w:t>服务期一年</w:t>
      </w:r>
    </w:p>
    <w:p>
      <w:pPr>
        <w:pStyle w:val="17"/>
        <w:spacing w:line="360" w:lineRule="auto"/>
        <w:ind w:firstLine="482" w:firstLineChars="200"/>
        <w:rPr>
          <w:rFonts w:hAnsi="宋体" w:cs="宋体"/>
          <w:b/>
          <w:color w:val="auto"/>
          <w:sz w:val="24"/>
        </w:rPr>
      </w:pPr>
      <w:r>
        <w:rPr>
          <w:rFonts w:hint="eastAsia" w:hAnsi="宋体" w:cs="宋体"/>
          <w:b/>
          <w:color w:val="auto"/>
          <w:sz w:val="24"/>
        </w:rPr>
        <w:t>本项目接受联合体：</w:t>
      </w:r>
    </w:p>
    <w:p>
      <w:pPr>
        <w:pStyle w:val="17"/>
        <w:spacing w:line="360" w:lineRule="auto"/>
        <w:ind w:firstLine="480" w:firstLineChars="200"/>
        <w:rPr>
          <w:rFonts w:hAnsi="宋体" w:cs="宋体"/>
          <w:color w:val="auto"/>
          <w:kern w:val="0"/>
          <w:sz w:val="24"/>
        </w:rPr>
      </w:pP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Ansi="宋体" w:cs="宋体"/>
              <w:color w:val="auto"/>
              <w:kern w:val="0"/>
              <w:sz w:val="24"/>
            </w:rPr>
            <w:sym w:font="Wingdings" w:char="F0FE"/>
          </w:r>
        </w:sdtContent>
      </w:sdt>
      <w:r>
        <w:rPr>
          <w:rFonts w:hint="eastAsia" w:hAnsi="宋体" w:cs="宋体"/>
          <w:color w:val="auto"/>
          <w:sz w:val="24"/>
        </w:rPr>
        <w:t>是；</w:t>
      </w:r>
    </w:p>
    <w:p>
      <w:pPr>
        <w:pStyle w:val="130"/>
        <w:snapToGrid w:val="0"/>
        <w:spacing w:before="0"/>
        <w:ind w:firstLine="482"/>
        <w:outlineLvl w:val="2"/>
        <w:rPr>
          <w:rFonts w:ascii="宋体" w:hAnsi="宋体" w:cs="宋体"/>
          <w:b/>
        </w:rPr>
      </w:pPr>
      <w:r>
        <w:rPr>
          <w:rFonts w:hint="eastAsia" w:ascii="宋体" w:hAnsi="宋体" w:cs="宋体"/>
          <w:b/>
        </w:rPr>
        <w:t>注：不得限制大中型企业与小微企业组成联合体参与。</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以联合体形式参与的，提供联合协议(本项目不接受联合体或者供应商不以联合体形式参与的，则不需要提供)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无；</w:t>
      </w:r>
    </w:p>
    <w:p>
      <w:pPr>
        <w:spacing w:line="360" w:lineRule="auto"/>
        <w:ind w:firstLine="480" w:firstLineChars="200"/>
        <w:rPr>
          <w:rFonts w:ascii="宋体" w:hAnsi="宋体" w:cs="宋体"/>
          <w:sz w:val="24"/>
        </w:rPr>
      </w:pPr>
      <w:sdt>
        <w:sdtPr>
          <w:rPr>
            <w:rFonts w:hint="eastAsia" w:ascii="宋体" w:hAnsi="宋体" w:cs="宋体"/>
            <w:kern w:val="0"/>
            <w:sz w:val="24"/>
          </w:rPr>
          <w:id w:val="-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sdt>
        <w:sdtPr>
          <w:rPr>
            <w:rFonts w:hint="eastAsia" w:ascii="宋体" w:hAnsi="宋体" w:cs="宋体"/>
            <w:kern w:val="0"/>
            <w:sz w:val="24"/>
          </w:rPr>
          <w:id w:val="-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sz w:val="24"/>
        </w:rPr>
        <w:t>工程全部由符合政策要求的中小企业承建，提供中小企业声明函；</w:t>
      </w:r>
    </w:p>
    <w:p>
      <w:pPr>
        <w:spacing w:line="360" w:lineRule="auto"/>
        <w:rPr>
          <w:rFonts w:ascii="宋体" w:hAnsi="宋体" w:cs="宋体"/>
          <w:sz w:val="24"/>
        </w:rPr>
      </w:pPr>
    </w:p>
    <w:p>
      <w:pPr>
        <w:widowControl/>
        <w:numPr>
          <w:ilvl w:val="0"/>
          <w:numId w:val="1"/>
        </w:numPr>
        <w:spacing w:line="360" w:lineRule="auto"/>
        <w:ind w:firstLine="240" w:firstLineChars="100"/>
        <w:jc w:val="left"/>
        <w:rPr>
          <w:rFonts w:hint="eastAsia" w:ascii="宋体" w:hAnsi="宋体" w:cs="宋体"/>
          <w:sz w:val="24"/>
        </w:rPr>
      </w:pPr>
      <w:r>
        <w:rPr>
          <w:rFonts w:hint="eastAsia" w:ascii="宋体" w:hAnsi="宋体" w:cs="宋体"/>
          <w:sz w:val="24"/>
        </w:rPr>
        <w:t>本项目的特定资格要求：</w:t>
      </w:r>
    </w:p>
    <w:p>
      <w:pPr>
        <w:widowControl/>
        <w:numPr>
          <w:ilvl w:val="0"/>
          <w:numId w:val="0"/>
        </w:numPr>
        <w:spacing w:line="360" w:lineRule="auto"/>
        <w:ind w:firstLine="480" w:firstLineChars="200"/>
        <w:jc w:val="left"/>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1</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具有建筑工程施工总承包或具有建筑装修装饰工程专业承包资质的独立法人企业，资质级别不限</w:t>
      </w:r>
      <w:r>
        <w:rPr>
          <w:rFonts w:hint="eastAsia"/>
          <w:color w:val="000000" w:themeColor="text1"/>
          <w:sz w:val="24"/>
          <w:szCs w:val="24"/>
          <w:highlight w:val="none"/>
          <w:lang w:eastAsia="zh-CN"/>
          <w14:textFill>
            <w14:solidFill>
              <w14:schemeClr w14:val="tx1"/>
            </w14:solidFill>
          </w14:textFill>
        </w:rPr>
        <w:t>；</w:t>
      </w:r>
    </w:p>
    <w:p>
      <w:pPr>
        <w:widowControl/>
        <w:spacing w:line="360" w:lineRule="auto"/>
        <w:ind w:firstLine="480" w:firstLineChars="200"/>
        <w:jc w:val="left"/>
        <w:rPr>
          <w:rFonts w:hint="eastAsia" w:ascii="宋体" w:hAnsi="宋体" w:cs="宋体"/>
          <w:color w:val="000000" w:themeColor="text1"/>
          <w:kern w:val="0"/>
          <w:sz w:val="24"/>
          <w:szCs w:val="24"/>
          <w:highlight w:val="none"/>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2</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具有安全生产许可证并在有效期内</w:t>
      </w:r>
      <w:r>
        <w:rPr>
          <w:rFonts w:hint="eastAsia"/>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ascii="宋体" w:hAnsi="宋体" w:cs="宋体"/>
          <w:sz w:val="24"/>
        </w:rPr>
      </w:pPr>
      <w:r>
        <w:rPr>
          <w:rFonts w:hint="eastAsia"/>
          <w:color w:val="000000" w:themeColor="text1"/>
          <w:sz w:val="24"/>
          <w:szCs w:val="24"/>
          <w:highlight w:val="none"/>
          <w14:textFill>
            <w14:solidFill>
              <w14:schemeClr w14:val="tx1"/>
            </w14:solidFill>
          </w14:textFill>
        </w:rPr>
        <w:t>（3）拟派项目经理具有建筑工程</w:t>
      </w:r>
      <w:r>
        <w:rPr>
          <w:rFonts w:hint="eastAsia"/>
          <w:color w:val="000000" w:themeColor="text1"/>
          <w:sz w:val="24"/>
          <w:szCs w:val="24"/>
          <w:highlight w:val="none"/>
          <w:lang w:val="en-US" w:eastAsia="zh-CN"/>
          <w14:textFill>
            <w14:solidFill>
              <w14:schemeClr w14:val="tx1"/>
            </w14:solidFill>
          </w14:textFill>
        </w:rPr>
        <w:t>二</w:t>
      </w:r>
      <w:r>
        <w:rPr>
          <w:rFonts w:hint="eastAsia"/>
          <w:color w:val="000000" w:themeColor="text1"/>
          <w:sz w:val="24"/>
          <w:szCs w:val="24"/>
          <w:highlight w:val="none"/>
          <w14:textFill>
            <w14:solidFill>
              <w14:schemeClr w14:val="tx1"/>
            </w14:solidFill>
          </w14:textFill>
        </w:rPr>
        <w:t>级及以上注册建造师资格</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具备有效的安全生产考核合格证书</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三类人员</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B类证书</w:t>
      </w:r>
      <w:r>
        <w:rPr>
          <w:rFonts w:hint="eastAsia"/>
          <w:color w:val="000000" w:themeColor="text1"/>
          <w:sz w:val="24"/>
          <w:szCs w:val="24"/>
          <w:highlight w:val="none"/>
          <w:lang w:eastAsia="zh-CN"/>
          <w14:textFill>
            <w14:solidFill>
              <w14:schemeClr w14:val="tx1"/>
            </w14:solidFill>
          </w14:textFill>
        </w:rPr>
        <w:t>。</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三、获取采购文件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05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06</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w:t>
      </w:r>
      <w:r>
        <w:rPr>
          <w:rFonts w:hint="eastAsia" w:ascii="宋体" w:hAnsi="宋体" w:cs="宋体"/>
          <w:sz w:val="24"/>
        </w:rPr>
        <w:t>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highlight w:val="none"/>
        </w:rPr>
      </w:pPr>
      <w:r>
        <w:rPr>
          <w:rFonts w:hint="eastAsia" w:ascii="宋体" w:hAnsi="宋体" w:cs="宋体"/>
          <w:b/>
          <w:sz w:val="24"/>
        </w:rPr>
        <w:t>四、响应</w:t>
      </w:r>
      <w:r>
        <w:rPr>
          <w:rFonts w:hint="eastAsia" w:ascii="宋体" w:hAnsi="宋体" w:cs="宋体"/>
          <w:b/>
          <w:sz w:val="24"/>
          <w:highlight w:val="none"/>
        </w:rPr>
        <w:t>文件提交（上传）</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05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06</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rPr>
          <w:rFonts w:ascii="宋体" w:hAnsi="宋体" w:cs="宋体"/>
          <w:sz w:val="24"/>
          <w:highlight w:val="none"/>
        </w:rPr>
      </w:pPr>
      <w:r>
        <w:rPr>
          <w:rFonts w:hint="eastAsia" w:ascii="宋体" w:hAnsi="宋体" w:cs="宋体"/>
          <w:b/>
          <w:sz w:val="24"/>
          <w:highlight w:val="none"/>
        </w:rPr>
        <w:t xml:space="preserve">五、响应文件开启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开启时间：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05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06</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00</w:t>
      </w:r>
      <w:bookmarkStart w:id="440" w:name="_GoBack"/>
      <w:bookmarkEnd w:id="440"/>
      <w:r>
        <w:rPr>
          <w:rFonts w:hint="eastAsia" w:ascii="宋体" w:hAnsi="宋体" w:cs="宋体"/>
          <w:sz w:val="24"/>
          <w:highlight w:val="none"/>
          <w:u w:val="single"/>
        </w:rPr>
        <w:t>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rPr>
      </w:pPr>
      <w:r>
        <w:rPr>
          <w:rFonts w:hint="eastAsia" w:ascii="宋体" w:hAnsi="宋体" w:cs="宋体"/>
          <w:b/>
          <w:sz w:val="24"/>
          <w:highlight w:val="none"/>
        </w:rPr>
        <w:t>地点（网址）：</w:t>
      </w:r>
      <w:r>
        <w:rPr>
          <w:rFonts w:hint="eastAsia" w:ascii="宋体" w:hAnsi="宋体" w:cs="宋体"/>
          <w:sz w:val="24"/>
          <w:highlight w:val="none"/>
        </w:rPr>
        <w:t>政采云平台</w:t>
      </w:r>
      <w:r>
        <w:rPr>
          <w:rFonts w:hint="eastAsia" w:ascii="宋体" w:hAnsi="宋体" w:cs="宋体"/>
          <w:sz w:val="24"/>
        </w:rPr>
        <w:t>（https://www.zcygov.cn/）</w:t>
      </w:r>
    </w:p>
    <w:p>
      <w:pPr>
        <w:spacing w:line="360" w:lineRule="auto"/>
        <w:rPr>
          <w:rFonts w:ascii="宋体" w:hAnsi="宋体" w:cs="宋体"/>
          <w:sz w:val="24"/>
        </w:rPr>
      </w:pPr>
      <w:r>
        <w:rPr>
          <w:rFonts w:hint="eastAsia" w:ascii="宋体" w:hAnsi="宋体" w:cs="宋体"/>
          <w:b/>
          <w:sz w:val="24"/>
        </w:rPr>
        <w:t xml:space="preserve">六、公告期限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自本公告发布之日起3个工作日。</w:t>
      </w:r>
    </w:p>
    <w:p>
      <w:pPr>
        <w:spacing w:line="360" w:lineRule="auto"/>
        <w:rPr>
          <w:rFonts w:ascii="宋体" w:hAnsi="宋体" w:cs="宋体"/>
          <w:b/>
          <w:sz w:val="24"/>
        </w:rPr>
      </w:pPr>
      <w:r>
        <w:rPr>
          <w:rFonts w:hint="eastAsia" w:ascii="宋体" w:hAnsi="宋体" w:cs="宋体"/>
          <w:b/>
          <w:sz w:val="24"/>
        </w:rPr>
        <w:t>七、其他补充事宜</w:t>
      </w:r>
    </w:p>
    <w:p>
      <w:pPr>
        <w:snapToGrid w:val="0"/>
        <w:spacing w:line="360" w:lineRule="auto"/>
        <w:ind w:firstLine="480" w:firstLineChars="200"/>
        <w:rPr>
          <w:rFonts w:ascii="宋体" w:hAnsi="宋体" w:cs="宋体"/>
          <w:sz w:val="24"/>
        </w:rPr>
      </w:pPr>
      <w:r>
        <w:rPr>
          <w:rFonts w:hint="eastAsia" w:ascii="宋体" w:hAnsi="宋体" w:cs="宋体"/>
          <w:sz w:val="24"/>
        </w:rPr>
        <w:t>1.《浙江省财政厅关于进一步发挥政府采购政策功能全力推动经济稳进提质的通知》 （浙财采监（2022）3</w:t>
      </w:r>
      <w:r>
        <w:rPr>
          <w:rFonts w:hint="eastAsia" w:ascii="宋体" w:hAnsi="宋体" w:cs="宋体"/>
          <w:color w:val="auto"/>
          <w:sz w:val="24"/>
        </w:rPr>
        <w:t>号）、《浙江省财政厅关于进一步促进政府采购公平竞争打造最优营商环境的通知》（浙财采监（2021）22号）、《</w:t>
      </w:r>
      <w:r>
        <w:rPr>
          <w:rFonts w:ascii="华文中宋" w:hAnsi="华文中宋" w:eastAsia="华文中宋" w:cs="华文中宋"/>
          <w:color w:val="auto"/>
          <w:sz w:val="24"/>
          <w:shd w:val="clear" w:color="auto" w:fill="FFFFFF"/>
        </w:rPr>
        <w:t>浙江省财政厅关于进一步加大政府采购 支持中小企业力度 助力扎实稳住经济 的通知</w:t>
      </w:r>
      <w:r>
        <w:rPr>
          <w:rFonts w:hint="eastAsia" w:ascii="华文中宋" w:hAnsi="华文中宋" w:eastAsia="华文中宋" w:cs="华文中宋"/>
          <w:color w:val="auto"/>
          <w:sz w:val="24"/>
          <w:shd w:val="clear" w:color="auto" w:fill="FFFFFF"/>
        </w:rPr>
        <w:t>》（浙财采监〔2022〕8号）</w:t>
      </w:r>
      <w:r>
        <w:rPr>
          <w:rFonts w:hint="eastAsia" w:ascii="宋体" w:hAnsi="宋体" w:cs="宋体"/>
          <w:color w:val="auto"/>
          <w:sz w:val="24"/>
        </w:rPr>
        <w:t>已分别于2022年1月29日、2022年2月1日和2022年7月1日开始实施，此前有关规定与上述文件内容不一致的，按上述文件要求执行。</w:t>
      </w:r>
    </w:p>
    <w:p>
      <w:pPr>
        <w:snapToGrid w:val="0"/>
        <w:spacing w:line="360" w:lineRule="auto"/>
        <w:ind w:firstLine="480" w:firstLineChars="200"/>
        <w:rPr>
          <w:rFonts w:ascii="宋体" w:hAnsi="宋体" w:cs="宋体"/>
          <w:sz w:val="24"/>
        </w:rPr>
      </w:pPr>
      <w:r>
        <w:rPr>
          <w:rFonts w:hint="eastAsia" w:ascii="宋体" w:hAnsi="宋体" w:cs="宋体"/>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宋体" w:hAnsi="宋体" w:cs="宋体"/>
          <w:sz w:val="24"/>
        </w:rPr>
      </w:pPr>
      <w:r>
        <w:rPr>
          <w:rFonts w:hint="eastAsia" w:ascii="宋体" w:hAnsi="宋体" w:cs="宋体"/>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采购文件的第二部分总则。（2）电子交易的说明：①电子交易：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响应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响应文件的传输递交：供应商在响应文件提交（上传）截止时间前将加密的响应文件上传至政府采购云平台，还可以在响应文件提交（上传）截止时间前直接提交或者以邮政快递方式递交备份响应文件1份。备份响应文件的制作、存储、密封详见采购文件第二部分第15点—“备份响应文件”；⑨响应文件的解密：供应商按照平台提示和采购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未在电子交易平台传输递交响应文件的，响应文件无效；⑩具体操作指南：详见政采云平台“服务中心-帮助文档-项目采购-操作流程-电子招投标-政府采购项目电子交易管理操作指南-供应商”。（3）采购文件公告期限与竞争性磋商公告的公告期限一致。</w:t>
      </w:r>
    </w:p>
    <w:p>
      <w:pPr>
        <w:spacing w:line="360" w:lineRule="auto"/>
        <w:rPr>
          <w:rFonts w:ascii="宋体" w:hAnsi="宋体" w:cs="宋体"/>
          <w:b/>
          <w:sz w:val="24"/>
        </w:rPr>
      </w:pPr>
      <w:r>
        <w:rPr>
          <w:rFonts w:hint="eastAsia" w:ascii="宋体" w:hAnsi="宋体" w:cs="宋体"/>
          <w:b/>
          <w:sz w:val="24"/>
        </w:rPr>
        <w:t>八、对本次采购提出询问、质疑、投诉，请按以下方式联系</w:t>
      </w:r>
    </w:p>
    <w:p>
      <w:pPr>
        <w:snapToGrid w:val="0"/>
        <w:spacing w:line="360" w:lineRule="auto"/>
        <w:ind w:firstLine="480" w:firstLineChars="200"/>
        <w:rPr>
          <w:rFonts w:ascii="宋体" w:hAnsi="宋体" w:cs="宋体"/>
          <w:sz w:val="24"/>
        </w:rPr>
      </w:pPr>
      <w:r>
        <w:rPr>
          <w:rFonts w:hint="eastAsia" w:ascii="宋体" w:hAnsi="宋体" w:cs="宋体"/>
          <w:sz w:val="24"/>
        </w:rPr>
        <w:t>1.采购人信息</w:t>
      </w:r>
    </w:p>
    <w:p>
      <w:pPr>
        <w:snapToGrid w:val="0"/>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lang w:eastAsia="zh-CN"/>
        </w:rPr>
        <w:t>杭州市丁桥医院</w:t>
      </w:r>
    </w:p>
    <w:p>
      <w:pPr>
        <w:snapToGrid w:val="0"/>
        <w:spacing w:line="360" w:lineRule="auto"/>
        <w:ind w:firstLine="480" w:firstLineChars="200"/>
        <w:rPr>
          <w:rFonts w:ascii="宋体" w:hAnsi="宋体" w:cs="宋体"/>
          <w:sz w:val="24"/>
        </w:rPr>
      </w:pPr>
      <w:r>
        <w:rPr>
          <w:rFonts w:hint="eastAsia" w:ascii="宋体" w:hAnsi="宋体" w:cs="宋体"/>
          <w:sz w:val="24"/>
        </w:rPr>
        <w:t>地    址：杭州市</w:t>
      </w:r>
      <w:r>
        <w:rPr>
          <w:rFonts w:hint="eastAsia" w:ascii="宋体" w:hAnsi="宋体" w:cs="宋体"/>
          <w:sz w:val="24"/>
          <w:lang w:eastAsia="zh-CN"/>
        </w:rPr>
        <w:t>环丁路</w:t>
      </w:r>
      <w:r>
        <w:rPr>
          <w:rFonts w:hint="eastAsia" w:ascii="宋体" w:hAnsi="宋体" w:cs="宋体"/>
          <w:sz w:val="24"/>
          <w:lang w:val="en-US" w:eastAsia="zh-CN"/>
        </w:rPr>
        <w:t>1630</w:t>
      </w:r>
      <w:r>
        <w:rPr>
          <w:rFonts w:hint="eastAsia" w:ascii="宋体" w:hAnsi="宋体" w:cs="宋体"/>
          <w:sz w:val="24"/>
        </w:rPr>
        <w:t xml:space="preserve">号       </w:t>
      </w:r>
    </w:p>
    <w:p>
      <w:pPr>
        <w:snapToGrid w:val="0"/>
        <w:spacing w:line="360" w:lineRule="auto"/>
        <w:ind w:firstLine="480" w:firstLineChars="200"/>
        <w:rPr>
          <w:rFonts w:ascii="宋体" w:hAnsi="宋体" w:cs="宋体"/>
          <w:sz w:val="24"/>
        </w:rPr>
      </w:pPr>
      <w:r>
        <w:rPr>
          <w:rFonts w:hint="eastAsia" w:ascii="宋体" w:hAnsi="宋体" w:cs="宋体"/>
          <w:sz w:val="24"/>
        </w:rPr>
        <w:t>传    真： /</w:t>
      </w:r>
    </w:p>
    <w:p>
      <w:pPr>
        <w:snapToGrid w:val="0"/>
        <w:spacing w:line="360" w:lineRule="auto"/>
        <w:ind w:firstLine="480" w:firstLineChars="200"/>
        <w:rPr>
          <w:rFonts w:ascii="宋体" w:hAnsi="宋体" w:cs="宋体"/>
          <w:sz w:val="24"/>
        </w:rPr>
      </w:pPr>
      <w:r>
        <w:rPr>
          <w:rFonts w:hint="eastAsia" w:ascii="宋体" w:hAnsi="宋体" w:cs="宋体"/>
          <w:sz w:val="24"/>
        </w:rPr>
        <w:t>项目联系人（询问）：</w:t>
      </w:r>
      <w:r>
        <w:rPr>
          <w:rFonts w:hint="eastAsia" w:ascii="宋体" w:hAnsi="宋体" w:cs="宋体"/>
          <w:sz w:val="24"/>
          <w:lang w:val="en-US" w:eastAsia="zh-CN"/>
        </w:rPr>
        <w:t>陈建军</w:t>
      </w:r>
      <w:r>
        <w:rPr>
          <w:rFonts w:hint="eastAsia" w:ascii="宋体" w:hAnsi="宋体" w:cs="宋体"/>
          <w:sz w:val="24"/>
        </w:rPr>
        <w:t xml:space="preserve">  </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rPr>
        <w:t xml:space="preserve">项目联系方式（询问）： </w:t>
      </w:r>
      <w:r>
        <w:rPr>
          <w:rFonts w:hint="eastAsia" w:ascii="宋体" w:hAnsi="宋体" w:cs="宋体"/>
          <w:sz w:val="24"/>
          <w:lang w:val="en-US" w:eastAsia="zh-CN"/>
        </w:rPr>
        <w:t>0571-88950020</w:t>
      </w:r>
    </w:p>
    <w:p>
      <w:pPr>
        <w:snapToGrid w:val="0"/>
        <w:spacing w:line="360" w:lineRule="auto"/>
        <w:ind w:firstLine="480" w:firstLineChars="200"/>
        <w:rPr>
          <w:rFonts w:ascii="宋体" w:hAnsi="宋体" w:cs="宋体"/>
          <w:sz w:val="24"/>
        </w:rPr>
      </w:pPr>
      <w:r>
        <w:rPr>
          <w:rFonts w:hint="eastAsia" w:ascii="宋体" w:hAnsi="宋体" w:cs="宋体"/>
          <w:sz w:val="24"/>
        </w:rPr>
        <w:t>质疑联系人</w:t>
      </w:r>
      <w:r>
        <w:rPr>
          <w:rFonts w:hint="eastAsia" w:ascii="宋体" w:hAnsi="宋体" w:eastAsia="宋体" w:cs="宋体"/>
          <w:sz w:val="24"/>
          <w:lang w:val="en-US" w:eastAsia="zh-CN"/>
        </w:rPr>
        <w:t>：李佳俊</w:t>
      </w:r>
    </w:p>
    <w:p>
      <w:pPr>
        <w:snapToGrid w:val="0"/>
        <w:spacing w:line="360" w:lineRule="auto"/>
        <w:ind w:firstLine="480" w:firstLineChars="200"/>
        <w:rPr>
          <w:rFonts w:ascii="宋体" w:hAnsi="宋体" w:cs="宋体"/>
          <w:sz w:val="24"/>
        </w:rPr>
      </w:pPr>
      <w:r>
        <w:rPr>
          <w:rFonts w:hint="eastAsia" w:ascii="宋体" w:hAnsi="宋体" w:cs="宋体"/>
          <w:sz w:val="24"/>
        </w:rPr>
        <w:t>质疑联系方式：0571-85827886</w:t>
      </w:r>
    </w:p>
    <w:p>
      <w:pPr>
        <w:snapToGrid w:val="0"/>
        <w:spacing w:line="360" w:lineRule="auto"/>
        <w:ind w:firstLine="480" w:firstLineChars="200"/>
        <w:rPr>
          <w:rFonts w:ascii="宋体" w:hAnsi="宋体" w:cs="宋体"/>
          <w:sz w:val="24"/>
        </w:rPr>
      </w:pPr>
      <w:r>
        <w:rPr>
          <w:rFonts w:hint="eastAsia" w:ascii="宋体" w:hAnsi="宋体" w:cs="宋体"/>
          <w:sz w:val="24"/>
        </w:rPr>
        <w:t xml:space="preserve">2.采购代理机构信息            </w:t>
      </w:r>
    </w:p>
    <w:p>
      <w:pPr>
        <w:snapToGrid w:val="0"/>
        <w:spacing w:line="360" w:lineRule="auto"/>
        <w:ind w:firstLine="480" w:firstLineChars="200"/>
        <w:rPr>
          <w:rFonts w:ascii="宋体" w:hAnsi="宋体" w:cs="宋体"/>
          <w:sz w:val="24"/>
        </w:rPr>
      </w:pPr>
      <w:r>
        <w:rPr>
          <w:rFonts w:hint="eastAsia" w:ascii="宋体" w:hAnsi="宋体" w:cs="宋体"/>
          <w:sz w:val="24"/>
        </w:rPr>
        <w:t>名    称：杭州广厦建筑咨询有限公司</w:t>
      </w:r>
    </w:p>
    <w:p>
      <w:pPr>
        <w:snapToGrid w:val="0"/>
        <w:spacing w:line="360" w:lineRule="auto"/>
        <w:ind w:firstLine="480" w:firstLineChars="200"/>
        <w:rPr>
          <w:rFonts w:ascii="宋体" w:hAnsi="宋体" w:cs="宋体"/>
          <w:sz w:val="24"/>
        </w:rPr>
      </w:pPr>
      <w:r>
        <w:rPr>
          <w:rFonts w:hint="eastAsia" w:ascii="宋体" w:hAnsi="宋体" w:cs="宋体"/>
          <w:sz w:val="24"/>
        </w:rPr>
        <w:t>地    址：杭州上城区佰富时代中心2幢10楼</w:t>
      </w:r>
    </w:p>
    <w:p>
      <w:pPr>
        <w:snapToGrid w:val="0"/>
        <w:spacing w:line="360" w:lineRule="auto"/>
        <w:ind w:firstLine="480" w:firstLineChars="200"/>
        <w:rPr>
          <w:rFonts w:ascii="宋体" w:hAnsi="宋体" w:cs="宋体"/>
          <w:sz w:val="24"/>
        </w:rPr>
      </w:pPr>
      <w:r>
        <w:rPr>
          <w:rFonts w:hint="eastAsia" w:ascii="宋体" w:hAnsi="宋体" w:cs="宋体"/>
          <w:sz w:val="24"/>
        </w:rPr>
        <w:t>传    真：</w:t>
      </w:r>
      <w:r>
        <w:rPr>
          <w:rFonts w:hint="eastAsia" w:ascii="宋体" w:hAnsi="宋体" w:cs="宋体"/>
          <w:sz w:val="24"/>
          <w:lang w:val="en-US" w:eastAsia="zh-CN"/>
        </w:rPr>
        <w:t>/</w:t>
      </w:r>
      <w:r>
        <w:rPr>
          <w:rFonts w:hint="eastAsia" w:ascii="宋体" w:hAnsi="宋体" w:cs="宋体"/>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 xml:space="preserve">项目联系人（询问）： </w:t>
      </w:r>
      <w:r>
        <w:rPr>
          <w:rFonts w:hint="eastAsia" w:ascii="宋体" w:hAnsi="宋体" w:cs="宋体"/>
          <w:sz w:val="24"/>
          <w:lang w:val="en-US" w:eastAsia="zh-CN"/>
        </w:rPr>
        <w:t>刘工</w:t>
      </w:r>
      <w:r>
        <w:rPr>
          <w:rFonts w:hint="eastAsia" w:ascii="宋体" w:hAnsi="宋体" w:cs="宋体"/>
          <w:sz w:val="24"/>
        </w:rPr>
        <w:t xml:space="preserve">         </w:t>
      </w:r>
    </w:p>
    <w:p>
      <w:pPr>
        <w:snapToGrid w:val="0"/>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项目联系方式（询问）：</w:t>
      </w:r>
      <w:r>
        <w:rPr>
          <w:rFonts w:hint="eastAsia" w:ascii="宋体" w:hAnsi="宋体" w:cs="宋体"/>
          <w:sz w:val="24"/>
          <w:lang w:val="en-US" w:eastAsia="zh-CN"/>
        </w:rPr>
        <w:t>0571-88772133、15167505678</w:t>
      </w:r>
    </w:p>
    <w:p>
      <w:pPr>
        <w:snapToGrid w:val="0"/>
        <w:spacing w:line="360" w:lineRule="auto"/>
        <w:ind w:firstLine="480" w:firstLineChars="200"/>
        <w:rPr>
          <w:rFonts w:ascii="宋体" w:hAnsi="宋体" w:cs="宋体"/>
          <w:sz w:val="24"/>
        </w:rPr>
      </w:pPr>
      <w:r>
        <w:rPr>
          <w:rFonts w:hint="eastAsia" w:ascii="宋体" w:hAnsi="宋体" w:cs="宋体"/>
          <w:sz w:val="24"/>
        </w:rPr>
        <w:t xml:space="preserve">质疑联系人：孟聪              </w:t>
      </w:r>
    </w:p>
    <w:p>
      <w:pPr>
        <w:snapToGrid w:val="0"/>
        <w:spacing w:line="360" w:lineRule="auto"/>
        <w:ind w:firstLine="480" w:firstLineChars="200"/>
        <w:rPr>
          <w:rFonts w:ascii="宋体" w:hAnsi="宋体" w:cs="宋体"/>
          <w:sz w:val="24"/>
        </w:rPr>
      </w:pPr>
      <w:r>
        <w:rPr>
          <w:rFonts w:hint="eastAsia" w:ascii="宋体" w:hAnsi="宋体" w:cs="宋体"/>
          <w:sz w:val="24"/>
        </w:rPr>
        <w:t>质疑联系方式：0571-85093236</w:t>
      </w:r>
    </w:p>
    <w:p>
      <w:pPr>
        <w:snapToGrid w:val="0"/>
        <w:spacing w:line="360" w:lineRule="auto"/>
        <w:ind w:firstLine="480" w:firstLineChars="200"/>
        <w:rPr>
          <w:rFonts w:ascii="宋体" w:hAnsi="宋体" w:cs="宋体"/>
          <w:sz w:val="24"/>
        </w:rPr>
      </w:pPr>
      <w:r>
        <w:rPr>
          <w:rFonts w:hint="eastAsia" w:ascii="宋体" w:hAnsi="宋体" w:cs="宋体"/>
          <w:sz w:val="24"/>
        </w:rPr>
        <w:t xml:space="preserve">3.同级政府采购监督管理部门            </w:t>
      </w:r>
    </w:p>
    <w:p>
      <w:pPr>
        <w:spacing w:line="360" w:lineRule="auto"/>
        <w:ind w:firstLine="480" w:firstLineChars="200"/>
        <w:rPr>
          <w:rFonts w:ascii="宋体" w:hAnsi="宋体" w:cs="宋体"/>
          <w:sz w:val="24"/>
        </w:rPr>
      </w:pPr>
      <w:r>
        <w:rPr>
          <w:rFonts w:hint="eastAsia" w:ascii="宋体" w:hAnsi="宋体" w:cs="宋体"/>
          <w:sz w:val="24"/>
        </w:rPr>
        <w:t>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监督投诉电话：电话：0571-85252453</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 xml:space="preserve">    </w:t>
      </w:r>
    </w:p>
    <w:p>
      <w:pPr>
        <w:snapToGrid w:val="0"/>
        <w:spacing w:line="360" w:lineRule="auto"/>
        <w:ind w:firstLine="0" w:firstLineChars="0"/>
        <w:rPr>
          <w:rFonts w:ascii="宋体" w:hAnsi="宋体" w:cs="宋体"/>
          <w:sz w:val="24"/>
        </w:rPr>
      </w:pPr>
      <w:r>
        <w:rPr>
          <w:rFonts w:hint="eastAsia" w:ascii="宋体" w:hAnsi="宋体" w:cs="宋体"/>
          <w:sz w:val="24"/>
        </w:rPr>
        <w:t xml:space="preserve">     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sz w:val="24"/>
        </w:rPr>
        <w:t>95763</w:t>
      </w:r>
      <w:r>
        <w:rPr>
          <w:rFonts w:hint="eastAsia" w:ascii="宋体" w:hAnsi="宋体" w:cs="宋体"/>
          <w:sz w:val="24"/>
        </w:rPr>
        <w:t>获取热线服务帮助。</w:t>
      </w:r>
    </w:p>
    <w:p>
      <w:pPr>
        <w:snapToGrid w:val="0"/>
        <w:spacing w:line="360" w:lineRule="auto"/>
        <w:ind w:firstLine="480" w:firstLineChars="200"/>
        <w:rPr>
          <w:rFonts w:ascii="宋体" w:hAnsi="宋体" w:cs="宋体"/>
          <w:sz w:val="24"/>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cols w:space="720" w:num="1"/>
          <w:titlePg/>
          <w:docGrid w:linePitch="312" w:charSpace="0"/>
        </w:sectPr>
      </w:pPr>
      <w:r>
        <w:rPr>
          <w:rFonts w:hint="eastAsia" w:ascii="宋体" w:hAnsi="宋体" w:cs="宋体"/>
          <w:sz w:val="24"/>
        </w:rPr>
        <w:t>CA问题联系电话（人工）：汇信CA 400-888-4636；天谷CA 400-087-8198。</w:t>
      </w:r>
    </w:p>
    <w:p>
      <w:pPr>
        <w:pStyle w:val="36"/>
        <w:spacing w:line="360" w:lineRule="auto"/>
        <w:jc w:val="center"/>
        <w:rPr>
          <w:rFonts w:hAnsi="宋体" w:cs="宋体"/>
          <w:b/>
          <w:snapToGrid/>
          <w:sz w:val="36"/>
          <w:szCs w:val="20"/>
        </w:rPr>
      </w:pPr>
      <w:r>
        <w:rPr>
          <w:rFonts w:hint="eastAsia" w:hAnsi="宋体" w:cs="宋体"/>
          <w:b/>
          <w:snapToGrid/>
          <w:sz w:val="36"/>
          <w:szCs w:val="20"/>
        </w:rPr>
        <w:t>第二部分</w:t>
      </w:r>
      <w:bookmarkEnd w:id="8"/>
      <w:r>
        <w:rPr>
          <w:rFonts w:hint="eastAsia" w:hAnsi="宋体" w:cs="宋体"/>
          <w:b/>
          <w:snapToGrid/>
          <w:sz w:val="36"/>
          <w:szCs w:val="20"/>
        </w:rPr>
        <w:t xml:space="preserve"> 供应商须知</w:t>
      </w:r>
      <w:bookmarkEnd w:id="9"/>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4"/>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4"/>
        <w:gridCol w:w="2093"/>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tcPr>
          <w:p>
            <w:pPr>
              <w:snapToGrid w:val="0"/>
              <w:spacing w:line="360" w:lineRule="auto"/>
              <w:jc w:val="center"/>
              <w:rPr>
                <w:rFonts w:ascii="宋体" w:hAnsi="宋体" w:cs="宋体"/>
                <w:b/>
                <w:sz w:val="24"/>
              </w:rPr>
            </w:pPr>
            <w:r>
              <w:rPr>
                <w:rFonts w:hint="eastAsia" w:ascii="宋体" w:hAnsi="宋体" w:cs="宋体"/>
                <w:b/>
                <w:sz w:val="24"/>
              </w:rPr>
              <w:t>序号</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927" w:type="dxa"/>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927" w:type="dxa"/>
            <w:vAlign w:val="center"/>
          </w:tcPr>
          <w:p>
            <w:pPr>
              <w:spacing w:line="360" w:lineRule="auto"/>
              <w:rPr>
                <w:rFonts w:ascii="宋体" w:hAnsi="宋体" w:cs="宋体"/>
                <w:sz w:val="24"/>
              </w:rPr>
            </w:pPr>
            <w:r>
              <w:rPr>
                <w:rFonts w:hint="eastAsia" w:ascii="宋体" w:hAnsi="宋体" w:cs="宋体"/>
                <w:kern w:val="0"/>
                <w:sz w:val="24"/>
              </w:rPr>
              <w:t>工程</w:t>
            </w:r>
            <w:r>
              <w:rPr>
                <w:rFonts w:hint="eastAsia" w:ascii="宋体" w:hAnsi="宋体" w:cs="宋体"/>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927" w:type="dxa"/>
            <w:vAlign w:val="center"/>
          </w:tcPr>
          <w:p>
            <w:pPr>
              <w:snapToGrid w:val="0"/>
              <w:spacing w:line="360" w:lineRule="auto"/>
              <w:rPr>
                <w:rFonts w:ascii="宋体" w:hAnsi="宋体" w:cs="宋体"/>
                <w:kern w:val="0"/>
                <w:sz w:val="24"/>
              </w:rPr>
            </w:pPr>
            <w:r>
              <w:rPr>
                <w:rFonts w:hint="eastAsia" w:ascii="宋体" w:hAnsi="宋体" w:cs="宋体"/>
                <w:kern w:val="0"/>
                <w:sz w:val="24"/>
              </w:rPr>
              <w:t>（1）标的：</w:t>
            </w:r>
            <w:r>
              <w:rPr>
                <w:rFonts w:hint="eastAsia" w:ascii="宋体" w:hAnsi="宋体" w:cs="宋体"/>
                <w:kern w:val="0"/>
                <w:sz w:val="24"/>
                <w:u w:val="single"/>
                <w:lang w:eastAsia="zh-CN"/>
              </w:rPr>
              <w:t>杭州市丁桥医院</w:t>
            </w:r>
            <w:r>
              <w:rPr>
                <w:rFonts w:hint="eastAsia" w:ascii="宋体" w:hAnsi="宋体" w:cs="宋体"/>
                <w:kern w:val="0"/>
                <w:sz w:val="24"/>
                <w:u w:val="single"/>
              </w:rPr>
              <w:t>年度零星修缮项目</w:t>
            </w:r>
            <w:r>
              <w:rPr>
                <w:rFonts w:hint="eastAsia" w:ascii="宋体" w:hAnsi="宋体" w:cs="宋体"/>
                <w:kern w:val="0"/>
                <w:sz w:val="24"/>
              </w:rPr>
              <w:t>，属于</w:t>
            </w:r>
            <w:r>
              <w:rPr>
                <w:rFonts w:hint="eastAsia" w:ascii="宋体" w:hAnsi="宋体" w:cs="宋体"/>
                <w:kern w:val="0"/>
                <w:sz w:val="24"/>
                <w:u w:val="single"/>
              </w:rPr>
              <w:t xml:space="preserve"> 建筑业 </w:t>
            </w:r>
            <w:r>
              <w:rPr>
                <w:rFonts w:hint="eastAsia" w:ascii="宋体" w:hAnsi="宋体" w:cs="宋体"/>
                <w:kern w:val="0"/>
                <w:sz w:val="24"/>
              </w:rPr>
              <w:t>行业；</w:t>
            </w:r>
          </w:p>
          <w:p>
            <w:pPr>
              <w:pStyle w:val="5"/>
              <w:rPr>
                <w:rFonts w:ascii="宋体" w:hAnsi="宋体" w:eastAsia="宋体" w:cs="宋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927" w:type="dxa"/>
            <w:vAlign w:val="center"/>
          </w:tcPr>
          <w:p>
            <w:pPr>
              <w:spacing w:line="360" w:lineRule="auto"/>
              <w:rPr>
                <w:rFonts w:ascii="宋体" w:hAnsi="宋体" w:cs="宋体"/>
              </w:rPr>
            </w:pPr>
            <w:sdt>
              <w:sdtPr>
                <w:rPr>
                  <w:rFonts w:hint="eastAsia" w:ascii="宋体" w:hAnsi="宋体" w:cs="宋体"/>
                  <w:kern w:val="0"/>
                  <w:sz w:val="24"/>
                </w:rPr>
                <w:id w:val="-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分包</w:t>
            </w:r>
          </w:p>
        </w:tc>
        <w:tc>
          <w:tcPr>
            <w:tcW w:w="6927" w:type="dxa"/>
            <w:vAlign w:val="center"/>
          </w:tcPr>
          <w:p>
            <w:pPr>
              <w:spacing w:line="360" w:lineRule="auto"/>
              <w:rPr>
                <w:rFonts w:ascii="宋体" w:hAnsi="宋体" w:cs="宋体"/>
                <w:sz w:val="24"/>
              </w:rPr>
            </w:pPr>
            <w:sdt>
              <w:sdtPr>
                <w:rPr>
                  <w:rFonts w:hint="eastAsia" w:ascii="宋体" w:hAnsi="宋体" w:cs="宋体"/>
                  <w:kern w:val="0"/>
                  <w:sz w:val="24"/>
                </w:rPr>
                <w:id w:val="-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lang w:val="en-US" w:eastAsia="zh-CN"/>
              </w:rPr>
              <w:t>建筑垃圾外运等</w:t>
            </w:r>
            <w:r>
              <w:rPr>
                <w:rFonts w:hint="eastAsia" w:ascii="宋体" w:hAnsi="宋体" w:cs="宋体"/>
                <w:sz w:val="24"/>
              </w:rPr>
              <w:t>工作分包。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磋商前答疑会或现场考察</w:t>
            </w:r>
          </w:p>
        </w:tc>
        <w:tc>
          <w:tcPr>
            <w:tcW w:w="6927" w:type="dxa"/>
            <w:vAlign w:val="center"/>
          </w:tcPr>
          <w:p>
            <w:pPr>
              <w:spacing w:line="360" w:lineRule="auto"/>
              <w:rPr>
                <w:rFonts w:ascii="宋体" w:hAnsi="宋体" w:cs="宋体"/>
                <w:sz w:val="24"/>
                <w:szCs w:val="20"/>
              </w:rPr>
            </w:pPr>
            <w:sdt>
              <w:sdtPr>
                <w:rPr>
                  <w:rFonts w:hint="eastAsia" w:ascii="宋体" w:hAnsi="宋体" w:cs="宋体"/>
                  <w:kern w:val="0"/>
                  <w:sz w:val="24"/>
                </w:rPr>
                <w:id w:val="-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927" w:type="dxa"/>
            <w:vAlign w:val="center"/>
          </w:tcPr>
          <w:p>
            <w:pPr>
              <w:spacing w:line="360" w:lineRule="auto"/>
              <w:rPr>
                <w:rFonts w:ascii="宋体" w:hAnsi="宋体" w:cs="宋体"/>
                <w:b/>
                <w:sz w:val="24"/>
              </w:rPr>
            </w:pPr>
            <w:sdt>
              <w:sdtPr>
                <w:rPr>
                  <w:rFonts w:hint="eastAsia" w:ascii="宋体" w:hAnsi="宋体" w:cs="宋体"/>
                  <w:kern w:val="0"/>
                  <w:sz w:val="24"/>
                </w:rPr>
                <w:id w:val="-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2093" w:type="dxa"/>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927" w:type="dxa"/>
            <w:vAlign w:val="center"/>
          </w:tcPr>
          <w:p>
            <w:pPr>
              <w:spacing w:line="360" w:lineRule="auto"/>
              <w:rPr>
                <w:rFonts w:ascii="宋体" w:hAnsi="宋体" w:cs="宋体"/>
                <w:b/>
                <w:kern w:val="0"/>
                <w:sz w:val="24"/>
                <w:lang w:val="zh-CN"/>
              </w:rPr>
            </w:pPr>
            <w:sdt>
              <w:sdtPr>
                <w:rPr>
                  <w:rFonts w:hint="eastAsia" w:ascii="宋体" w:hAnsi="宋体" w:cs="宋体"/>
                  <w:kern w:val="0"/>
                  <w:sz w:val="24"/>
                </w:rPr>
                <w:id w:val="-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restart"/>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2093" w:type="dxa"/>
            <w:vMerge w:val="restart"/>
            <w:vAlign w:val="center"/>
          </w:tcPr>
          <w:p>
            <w:pPr>
              <w:snapToGrid w:val="0"/>
              <w:spacing w:line="360" w:lineRule="auto"/>
              <w:jc w:val="center"/>
              <w:rPr>
                <w:rFonts w:ascii="宋体" w:hAnsi="宋体" w:cs="宋体"/>
                <w:b/>
                <w:sz w:val="24"/>
              </w:rPr>
            </w:pPr>
            <w:r>
              <w:rPr>
                <w:rFonts w:hint="eastAsia" w:ascii="宋体" w:hAnsi="宋体" w:cs="宋体"/>
                <w:b/>
                <w:sz w:val="24"/>
              </w:rPr>
              <w:t>供应商应当提供的资格、资信证明文件</w:t>
            </w:r>
          </w:p>
        </w:tc>
        <w:tc>
          <w:tcPr>
            <w:tcW w:w="6927" w:type="dxa"/>
            <w:vAlign w:val="center"/>
          </w:tcPr>
          <w:p>
            <w:pPr>
              <w:spacing w:line="360" w:lineRule="auto"/>
              <w:rPr>
                <w:rFonts w:ascii="宋体" w:hAnsi="宋体" w:cs="宋体"/>
                <w:sz w:val="24"/>
              </w:rPr>
            </w:pPr>
            <w:r>
              <w:rPr>
                <w:rFonts w:hint="eastAsia" w:ascii="宋体" w:hAnsi="宋体" w:cs="宋体"/>
                <w:sz w:val="24"/>
              </w:rPr>
              <w:t>（1）资格证明文件：见采购文件第二部分11.1。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供应商未提供有效的资格证明文件的，视为供应商不具备采购文件中规定的资格要求，响应文件无效。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continue"/>
            <w:vAlign w:val="center"/>
          </w:tcPr>
          <w:p>
            <w:pPr>
              <w:snapToGrid w:val="0"/>
              <w:spacing w:line="360" w:lineRule="auto"/>
              <w:jc w:val="center"/>
              <w:rPr>
                <w:rFonts w:ascii="宋体" w:hAnsi="宋体" w:cs="宋体"/>
                <w:sz w:val="24"/>
              </w:rPr>
            </w:pPr>
          </w:p>
        </w:tc>
        <w:tc>
          <w:tcPr>
            <w:tcW w:w="2093" w:type="dxa"/>
            <w:vMerge w:val="continue"/>
            <w:vAlign w:val="center"/>
          </w:tcPr>
          <w:p>
            <w:pPr>
              <w:snapToGrid w:val="0"/>
              <w:spacing w:line="360" w:lineRule="auto"/>
              <w:jc w:val="center"/>
              <w:rPr>
                <w:rFonts w:ascii="宋体" w:hAnsi="宋体" w:cs="宋体"/>
                <w:b/>
                <w:sz w:val="24"/>
              </w:rPr>
            </w:pPr>
          </w:p>
        </w:tc>
        <w:tc>
          <w:tcPr>
            <w:tcW w:w="6927" w:type="dxa"/>
            <w:vAlign w:val="center"/>
          </w:tcPr>
          <w:p>
            <w:pPr>
              <w:spacing w:line="360" w:lineRule="auto"/>
              <w:rPr>
                <w:rFonts w:ascii="宋体" w:hAnsi="宋体" w:cs="宋体"/>
                <w:sz w:val="24"/>
              </w:rPr>
            </w:pPr>
            <w:r>
              <w:rPr>
                <w:rFonts w:hint="eastAsia" w:ascii="宋体" w:hAnsi="宋体" w:cs="宋体"/>
                <w:sz w:val="24"/>
              </w:rPr>
              <w:t>（2）资信证明文件：根据采购文件第四部分评审标准提供。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927" w:type="dxa"/>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927" w:type="dxa"/>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报价单是报价的唯一载体</w:t>
            </w:r>
            <w:r>
              <w:rPr>
                <w:rFonts w:hint="eastAsia" w:ascii="宋体" w:hAnsi="宋体" w:cs="宋体"/>
                <w:kern w:val="0"/>
                <w:sz w:val="24"/>
                <w:lang w:val="zh-CN"/>
              </w:rPr>
              <w:t>。响应文件中价格全部采用人民币报价。采购文件未列明，而供应商认为必需的费用也需列入报价。</w:t>
            </w:r>
            <w:r>
              <w:rPr>
                <w:rFonts w:hint="eastAsia" w:ascii="宋体" w:hAnsi="宋体" w:cs="宋体"/>
                <w:b/>
                <w:kern w:val="0"/>
                <w:sz w:val="24"/>
                <w:lang w:val="zh-CN"/>
              </w:rPr>
              <w:t>提醒：验收时检测费用由采购人承担，不包含在总价中。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最后报价出现下列情形的，响应文件无效：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响应文件出现不是唯一的、有选择性最后报价的；</w:t>
            </w:r>
          </w:p>
          <w:p>
            <w:pPr>
              <w:snapToGrid w:val="0"/>
              <w:spacing w:line="360" w:lineRule="auto"/>
              <w:ind w:firstLine="241" w:firstLineChars="100"/>
              <w:jc w:val="left"/>
            </w:pPr>
            <w:r>
              <w:rPr>
                <w:rFonts w:hint="eastAsia" w:ascii="宋体" w:hAnsi="宋体" w:cs="宋体"/>
                <w:b/>
                <w:kern w:val="0"/>
                <w:sz w:val="24"/>
                <w:lang w:val="zh-CN"/>
              </w:rPr>
              <w:t>最后报价超过采购文件中规定的预算金额或者最高限价的;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报价明显低于其他通过符合性审查供应商的报价，有可能影响产品质量或者不能诚信履约的，未能按要求提供书面说明或者提交相关证明材料证明其报价合理性的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供应商对根据修正原则修正后的报价不确认的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44" w:hRule="atLeast"/>
        </w:trPr>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927" w:type="dxa"/>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备份响应文件送达地点和签收人员</w:t>
            </w:r>
          </w:p>
        </w:tc>
        <w:tc>
          <w:tcPr>
            <w:tcW w:w="6927" w:type="dxa"/>
            <w:vAlign w:val="center"/>
          </w:tcPr>
          <w:p>
            <w:pPr>
              <w:pStyle w:val="36"/>
              <w:spacing w:line="360" w:lineRule="auto"/>
              <w:rPr>
                <w:rFonts w:hAnsi="宋体" w:cs="宋体"/>
                <w:kern w:val="28"/>
                <w:sz w:val="24"/>
                <w:szCs w:val="24"/>
              </w:rPr>
            </w:pPr>
            <w:r>
              <w:rPr>
                <w:rFonts w:hint="eastAsia" w:hAnsi="宋体" w:cs="宋体"/>
                <w:kern w:val="28"/>
                <w:sz w:val="24"/>
                <w:szCs w:val="24"/>
              </w:rPr>
              <w:t>备份响应文件送达地点：杭州上城区佰富时代中心2幢</w:t>
            </w:r>
            <w:r>
              <w:rPr>
                <w:rFonts w:hint="eastAsia" w:hAnsi="宋体" w:cs="宋体"/>
                <w:kern w:val="28"/>
                <w:sz w:val="24"/>
                <w:szCs w:val="24"/>
                <w:lang w:val="en-US" w:eastAsia="zh-CN"/>
              </w:rPr>
              <w:t>10楼</w:t>
            </w:r>
            <w:r>
              <w:rPr>
                <w:rFonts w:hint="eastAsia" w:hAnsi="宋体" w:cs="宋体"/>
                <w:kern w:val="28"/>
                <w:sz w:val="24"/>
                <w:szCs w:val="24"/>
              </w:rPr>
              <w:t>；</w:t>
            </w:r>
          </w:p>
          <w:p>
            <w:pPr>
              <w:pStyle w:val="36"/>
              <w:spacing w:line="360" w:lineRule="auto"/>
              <w:rPr>
                <w:rFonts w:hAnsi="宋体" w:cs="宋体"/>
                <w:sz w:val="24"/>
                <w:szCs w:val="24"/>
              </w:rPr>
            </w:pPr>
            <w:r>
              <w:rPr>
                <w:rFonts w:hint="eastAsia" w:hAnsi="宋体" w:cs="宋体"/>
                <w:kern w:val="28"/>
                <w:sz w:val="24"/>
                <w:szCs w:val="24"/>
              </w:rPr>
              <w:t>备份响应文件签收人员联系电话：</w:t>
            </w:r>
            <w:r>
              <w:rPr>
                <w:rFonts w:hint="eastAsia" w:hAnsi="宋体" w:cs="宋体"/>
                <w:sz w:val="24"/>
                <w:u w:val="single"/>
                <w:lang w:val="en-US" w:eastAsia="zh-CN"/>
              </w:rPr>
              <w:t>刘工 15167505678</w:t>
            </w:r>
            <w:r>
              <w:rPr>
                <w:rFonts w:hint="eastAsia" w:hAnsi="宋体" w:cs="宋体"/>
                <w:sz w:val="24"/>
                <w:u w:val="single"/>
              </w:rPr>
              <w:t xml:space="preserve">  </w:t>
            </w:r>
            <w:r>
              <w:rPr>
                <w:rFonts w:hint="eastAsia" w:hAnsi="宋体" w:cs="宋体"/>
                <w:sz w:val="24"/>
                <w:szCs w:val="24"/>
              </w:rPr>
              <w:t>。</w:t>
            </w:r>
          </w:p>
          <w:p>
            <w:pPr>
              <w:pStyle w:val="36"/>
              <w:spacing w:line="360" w:lineRule="auto"/>
              <w:rPr>
                <w:rFonts w:hAnsi="宋体" w:cs="宋体"/>
                <w:kern w:val="28"/>
                <w:sz w:val="24"/>
              </w:rPr>
            </w:pP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其它说明</w:t>
            </w:r>
          </w:p>
        </w:tc>
        <w:tc>
          <w:tcPr>
            <w:tcW w:w="6927" w:type="dxa"/>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联合体或者以分包方式履行合同的，联合体各方（供应商与分包供应商）分别提供与联合体协议（分包意向协议）中规定的分工内容相应的业绩证明材料，</w:t>
            </w:r>
            <w:r>
              <w:rPr>
                <w:rFonts w:hint="eastAsia" w:ascii="宋体" w:hAnsi="宋体" w:cs="宋体"/>
                <w:snapToGrid w:val="0"/>
                <w:kern w:val="28"/>
                <w:sz w:val="24"/>
                <w:highlight w:val="none"/>
              </w:rPr>
              <w:t>业绩数量以提供材料较少的一方为准</w:t>
            </w:r>
            <w:r>
              <w:rPr>
                <w:rFonts w:hint="eastAsia" w:ascii="宋体" w:hAnsi="宋体" w:cs="宋体"/>
                <w:b/>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autoSpaceDE w:val="0"/>
              <w:autoSpaceDN w:val="0"/>
              <w:adjustRightInd w:val="0"/>
              <w:snapToGrid w:val="0"/>
              <w:spacing w:line="320" w:lineRule="exact"/>
              <w:jc w:val="center"/>
              <w:rPr>
                <w:rFonts w:hint="default" w:ascii="宋体" w:hAnsi="宋体" w:eastAsia="宋体" w:cs="宋体"/>
                <w:sz w:val="24"/>
                <w:lang w:val="en-US" w:eastAsia="zh-CN"/>
              </w:rPr>
            </w:pPr>
            <w:r>
              <w:rPr>
                <w:rFonts w:hint="eastAsia" w:ascii="宋体" w:hAnsi="宋体" w:cs="宋体"/>
                <w:snapToGrid w:val="0"/>
                <w:kern w:val="0"/>
                <w:sz w:val="24"/>
                <w:szCs w:val="24"/>
                <w:lang w:val="en-US" w:eastAsia="zh-CN"/>
              </w:rPr>
              <w:t>14</w:t>
            </w:r>
          </w:p>
        </w:tc>
        <w:tc>
          <w:tcPr>
            <w:tcW w:w="2093" w:type="dxa"/>
            <w:vAlign w:val="center"/>
          </w:tcPr>
          <w:p>
            <w:pPr>
              <w:autoSpaceDE w:val="0"/>
              <w:autoSpaceDN w:val="0"/>
              <w:adjustRightInd w:val="0"/>
              <w:snapToGrid w:val="0"/>
              <w:spacing w:line="320" w:lineRule="exact"/>
              <w:ind w:firstLine="482" w:firstLineChars="200"/>
              <w:rPr>
                <w:rFonts w:hint="eastAsia" w:ascii="宋体" w:hAnsi="宋体" w:cs="宋体"/>
                <w:b/>
                <w:sz w:val="24"/>
              </w:rPr>
            </w:pPr>
            <w:r>
              <w:rPr>
                <w:rFonts w:hint="eastAsia" w:ascii="宋体" w:hAnsi="宋体" w:cs="宋体"/>
                <w:b/>
                <w:snapToGrid/>
                <w:kern w:val="2"/>
                <w:sz w:val="24"/>
                <w:szCs w:val="24"/>
              </w:rPr>
              <w:t>履约担保</w:t>
            </w:r>
          </w:p>
        </w:tc>
        <w:tc>
          <w:tcPr>
            <w:tcW w:w="6927" w:type="dxa"/>
            <w:vAlign w:val="center"/>
          </w:tcPr>
          <w:p>
            <w:pPr>
              <w:autoSpaceDE/>
              <w:autoSpaceDN/>
              <w:adjustRightInd/>
              <w:snapToGrid/>
              <w:spacing w:line="360" w:lineRule="auto"/>
              <w:jc w:val="left"/>
              <w:rPr>
                <w:rFonts w:hint="eastAsia" w:ascii="宋体" w:hAnsi="宋体" w:cs="宋体"/>
                <w:snapToGrid w:val="0"/>
                <w:kern w:val="28"/>
                <w:sz w:val="24"/>
                <w:lang w:val="en-US" w:eastAsia="zh-CN"/>
              </w:rPr>
            </w:pPr>
            <w:r>
              <w:rPr>
                <w:rFonts w:hint="eastAsia" w:ascii="宋体" w:hAnsi="宋体" w:cs="宋体"/>
                <w:snapToGrid w:val="0"/>
                <w:kern w:val="28"/>
                <w:sz w:val="24"/>
                <w:lang w:val="en-US" w:eastAsia="zh-CN"/>
              </w:rPr>
              <w:t>缴纳金额：预估合同总价的1%</w:t>
            </w:r>
          </w:p>
          <w:p>
            <w:pPr>
              <w:autoSpaceDE/>
              <w:autoSpaceDN/>
              <w:adjustRightInd/>
              <w:snapToGrid/>
              <w:spacing w:line="360" w:lineRule="auto"/>
              <w:jc w:val="left"/>
              <w:rPr>
                <w:rFonts w:hint="eastAsia" w:ascii="宋体" w:hAnsi="宋体" w:cs="宋体"/>
                <w:snapToGrid w:val="0"/>
                <w:kern w:val="28"/>
                <w:sz w:val="24"/>
                <w:lang w:val="en-US" w:eastAsia="zh-CN"/>
              </w:rPr>
            </w:pPr>
            <w:r>
              <w:rPr>
                <w:rFonts w:hint="eastAsia" w:ascii="宋体" w:hAnsi="宋体" w:cs="宋体"/>
                <w:snapToGrid w:val="0"/>
                <w:kern w:val="28"/>
                <w:sz w:val="24"/>
                <w:lang w:val="en-US" w:eastAsia="zh-CN"/>
              </w:rPr>
              <w:t xml:space="preserve">缴纳形式：接受转账、银行保函、保险机构保证保险保单、融资担保公司保函 </w:t>
            </w:r>
          </w:p>
          <w:p>
            <w:pPr>
              <w:rPr>
                <w:rFonts w:hint="eastAsia" w:ascii="宋体" w:hAnsi="宋体" w:cs="宋体"/>
                <w:snapToGrid w:val="0"/>
                <w:kern w:val="28"/>
                <w:sz w:val="24"/>
              </w:rPr>
            </w:pPr>
            <w:r>
              <w:rPr>
                <w:rFonts w:hint="eastAsia" w:ascii="宋体" w:hAnsi="宋体" w:cs="宋体"/>
                <w:snapToGrid w:val="0"/>
                <w:kern w:val="28"/>
                <w:sz w:val="24"/>
                <w:lang w:val="en-US" w:eastAsia="zh-CN"/>
              </w:rPr>
              <w:t>缴纳及退还时间：在合同签订时一并递交，在本项目结束后无息退还。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5</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采购代理服务费</w:t>
            </w:r>
          </w:p>
        </w:tc>
        <w:tc>
          <w:tcPr>
            <w:tcW w:w="6927" w:type="dxa"/>
            <w:vAlign w:val="center"/>
          </w:tcPr>
          <w:p>
            <w:pPr>
              <w:spacing w:line="360" w:lineRule="auto"/>
              <w:rPr>
                <w:rFonts w:ascii="宋体" w:hAnsi="宋体" w:cs="宋体"/>
                <w:snapToGrid w:val="0"/>
                <w:kern w:val="28"/>
                <w:sz w:val="24"/>
              </w:rPr>
            </w:pPr>
            <w:r>
              <w:rPr>
                <w:rFonts w:hint="eastAsia" w:ascii="宋体" w:hAnsi="宋体" w:cs="Arial"/>
                <w:color w:val="000000"/>
                <w:sz w:val="24"/>
                <w:szCs w:val="24"/>
                <w:highlight w:val="none"/>
              </w:rPr>
              <w:t>本项目的采购代理费由成交人支付，按照《国家发展改革委办公厅关于印发招标代理服务收费管理暂行办法的通知》</w:t>
            </w:r>
            <w:r>
              <w:rPr>
                <w:rFonts w:ascii="宋体" w:hAnsi="宋体" w:cs="Arial"/>
                <w:color w:val="000000"/>
                <w:sz w:val="24"/>
                <w:szCs w:val="24"/>
                <w:highlight w:val="none"/>
              </w:rPr>
              <w:t>(</w:t>
            </w:r>
            <w:r>
              <w:rPr>
                <w:rFonts w:hint="eastAsia" w:ascii="宋体" w:hAnsi="宋体" w:cs="Arial"/>
                <w:color w:val="000000"/>
                <w:sz w:val="24"/>
                <w:szCs w:val="24"/>
                <w:highlight w:val="none"/>
              </w:rPr>
              <w:t>发改办价格【</w:t>
            </w:r>
            <w:r>
              <w:rPr>
                <w:rFonts w:ascii="宋体" w:hAnsi="宋体" w:cs="Arial"/>
                <w:color w:val="000000"/>
                <w:sz w:val="24"/>
                <w:szCs w:val="24"/>
                <w:highlight w:val="none"/>
              </w:rPr>
              <w:t>2003</w:t>
            </w:r>
            <w:r>
              <w:rPr>
                <w:rFonts w:hint="eastAsia" w:ascii="宋体" w:hAnsi="宋体" w:cs="Arial"/>
                <w:color w:val="000000"/>
                <w:sz w:val="24"/>
                <w:szCs w:val="24"/>
                <w:highlight w:val="none"/>
              </w:rPr>
              <w:t>】</w:t>
            </w:r>
            <w:r>
              <w:rPr>
                <w:rFonts w:ascii="宋体" w:hAnsi="宋体" w:cs="Arial"/>
                <w:color w:val="000000"/>
                <w:sz w:val="24"/>
                <w:szCs w:val="24"/>
                <w:highlight w:val="none"/>
              </w:rPr>
              <w:t>857</w:t>
            </w:r>
            <w:r>
              <w:rPr>
                <w:rFonts w:hint="eastAsia" w:ascii="宋体" w:hAnsi="宋体" w:cs="Arial"/>
                <w:color w:val="000000"/>
                <w:sz w:val="24"/>
                <w:szCs w:val="24"/>
                <w:highlight w:val="none"/>
              </w:rPr>
              <w:t>号</w:t>
            </w:r>
            <w:r>
              <w:rPr>
                <w:rFonts w:ascii="宋体" w:hAnsi="宋体" w:cs="Arial"/>
                <w:color w:val="000000"/>
                <w:sz w:val="24"/>
                <w:szCs w:val="24"/>
                <w:highlight w:val="none"/>
              </w:rPr>
              <w:t>)</w:t>
            </w:r>
            <w:r>
              <w:rPr>
                <w:rFonts w:hint="eastAsia" w:ascii="宋体" w:hAnsi="宋体" w:cs="Arial"/>
                <w:color w:val="000000"/>
                <w:sz w:val="24"/>
                <w:szCs w:val="24"/>
                <w:highlight w:val="none"/>
              </w:rPr>
              <w:t>规定</w:t>
            </w:r>
            <w:r>
              <w:rPr>
                <w:rFonts w:hint="eastAsia" w:ascii="宋体" w:hAnsi="宋体" w:cs="Arial"/>
                <w:color w:val="000000"/>
                <w:sz w:val="24"/>
                <w:szCs w:val="24"/>
                <w:highlight w:val="none"/>
                <w:lang w:val="en-US" w:eastAsia="zh-CN"/>
              </w:rPr>
              <w:t>的79%</w:t>
            </w:r>
            <w:r>
              <w:rPr>
                <w:rFonts w:hint="eastAsia" w:ascii="宋体" w:hAnsi="宋体" w:cs="Arial"/>
                <w:color w:val="000000"/>
                <w:sz w:val="24"/>
                <w:szCs w:val="24"/>
                <w:highlight w:val="none"/>
              </w:rPr>
              <w:t>计算</w:t>
            </w:r>
            <w:r>
              <w:rPr>
                <w:rFonts w:hint="eastAsia" w:ascii="宋体" w:hAnsi="宋体" w:cs="Arial"/>
                <w:color w:val="000000"/>
                <w:sz w:val="24"/>
                <w:szCs w:val="24"/>
                <w:highlight w:val="none"/>
                <w:lang w:eastAsia="zh-CN"/>
              </w:rPr>
              <w:t>，计费基数以本项目最高限价为基数</w:t>
            </w:r>
            <w:r>
              <w:rPr>
                <w:rFonts w:hint="eastAsia" w:ascii="宋体" w:hAnsi="宋体" w:cs="Arial"/>
                <w:color w:val="000000"/>
                <w:sz w:val="24"/>
                <w:szCs w:val="24"/>
                <w:highlight w:val="none"/>
              </w:rPr>
              <w:t>。结算方式及时间为：在领取成交通知书时由成交人一次性向采购代理机构付清。</w:t>
            </w:r>
          </w:p>
        </w:tc>
      </w:tr>
    </w:tbl>
    <w:p>
      <w:pPr>
        <w:snapToGrid w:val="0"/>
        <w:spacing w:line="360" w:lineRule="auto"/>
        <w:jc w:val="center"/>
        <w:rPr>
          <w:rFonts w:ascii="宋体" w:hAnsi="宋体" w:cs="宋体"/>
          <w:b/>
          <w:sz w:val="32"/>
          <w:szCs w:val="20"/>
        </w:rPr>
      </w:pPr>
    </w:p>
    <w:bookmarkEnd w:id="10"/>
    <w:p>
      <w:pPr>
        <w:widowControl/>
        <w:adjustRightInd/>
        <w:jc w:val="left"/>
        <w:rPr>
          <w:rFonts w:ascii="宋体" w:hAnsi="宋体" w:cs="宋体"/>
          <w:b/>
          <w:sz w:val="32"/>
          <w:szCs w:val="20"/>
        </w:rPr>
      </w:pPr>
      <w:bookmarkStart w:id="12" w:name="第三部分"/>
      <w:bookmarkStart w:id="13" w:name="_Toc164416483"/>
      <w:r>
        <w:rPr>
          <w:rFonts w:hint="eastAsia" w:ascii="宋体" w:hAnsi="宋体" w:cs="宋体"/>
          <w:b/>
          <w:sz w:val="32"/>
          <w:szCs w:val="20"/>
        </w:rPr>
        <w:br w:type="page"/>
      </w: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本采购文件适用于该项目的采购邀请、响应文件提交、响应文件开启、资格审查及信用信息查询、磋商、评审、成交供应商确定、合同、验收等行为（法律、法规另有规定的，从其规定）。</w:t>
      </w:r>
    </w:p>
    <w:p>
      <w:pPr>
        <w:snapToGrid w:val="0"/>
        <w:spacing w:line="360" w:lineRule="auto"/>
        <w:outlineLvl w:val="0"/>
        <w:rPr>
          <w:rFonts w:ascii="宋体" w:hAnsi="宋体" w:cs="宋体"/>
          <w:b/>
          <w:sz w:val="24"/>
        </w:rPr>
      </w:pPr>
      <w:r>
        <w:rPr>
          <w:rFonts w:hint="eastAsia" w:ascii="宋体" w:hAnsi="宋体" w:cs="宋体"/>
          <w:b/>
          <w:sz w:val="24"/>
        </w:rPr>
        <w:t>2.定义</w:t>
      </w:r>
    </w:p>
    <w:p>
      <w:pPr>
        <w:snapToGrid w:val="0"/>
        <w:spacing w:line="360" w:lineRule="auto"/>
        <w:ind w:firstLine="480" w:firstLineChars="200"/>
        <w:rPr>
          <w:rFonts w:ascii="宋体" w:hAnsi="宋体" w:cs="宋体"/>
          <w:sz w:val="24"/>
        </w:rPr>
      </w:pPr>
      <w:r>
        <w:rPr>
          <w:rFonts w:hint="eastAsia" w:ascii="宋体" w:hAnsi="宋体" w:cs="宋体"/>
          <w:sz w:val="24"/>
        </w:rPr>
        <w:t>2.1 “采购人”系指竞争性磋商公告中载明的本项目的采购人。</w:t>
      </w:r>
    </w:p>
    <w:p>
      <w:pPr>
        <w:snapToGrid w:val="0"/>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”系指竞争性磋商公告中载明的本项目的</w:t>
      </w:r>
      <w:r>
        <w:rPr>
          <w:rFonts w:hint="eastAsia" w:ascii="宋体" w:hAnsi="宋体" w:cs="宋体"/>
          <w:sz w:val="24"/>
          <w:lang w:eastAsia="zh-CN"/>
        </w:rPr>
        <w:t>采购代理机构</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2.3 “供应商”系指是指提交响应文件和报价、参与竞争性磋商采购活动的法人、其他组织或者自然人。</w:t>
      </w:r>
    </w:p>
    <w:p>
      <w:pPr>
        <w:snapToGrid w:val="0"/>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napToGrid w:val="0"/>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提交响应文件时须提供《业务专用章使用说明函》（附件4）。</w:t>
      </w:r>
    </w:p>
    <w:p>
      <w:pPr>
        <w:snapToGrid w:val="0"/>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napToGrid w:val="0"/>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系指不适用本项目的要求，“※”系指磋商过程中可能实质性变动的内容。</w:t>
      </w:r>
    </w:p>
    <w:p>
      <w:pPr>
        <w:snapToGrid w:val="0"/>
        <w:spacing w:line="360" w:lineRule="auto"/>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napToGrid w:val="0"/>
        <w:spacing w:line="360" w:lineRule="auto"/>
        <w:ind w:firstLine="480" w:firstLineChars="2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3.2 支持绿色发展</w:t>
      </w:r>
    </w:p>
    <w:p>
      <w:pPr>
        <w:snapToGrid w:val="0"/>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sz w:val="24"/>
        </w:rPr>
        <w:t>采购人拟采购的产品属于政府强制采购的节能产品品目清单范围的，供应商未按采购文件要求提供国家确定的认证机构出具的、处于有效期之内的节能产品认证证书的，响应文件无效。</w:t>
      </w:r>
    </w:p>
    <w:p>
      <w:pPr>
        <w:snapToGrid w:val="0"/>
        <w:spacing w:line="360" w:lineRule="auto"/>
        <w:ind w:firstLine="480" w:firstLineChars="200"/>
        <w:rPr>
          <w:rFonts w:ascii="宋体" w:hAnsi="宋体" w:cs="宋体"/>
          <w:sz w:val="24"/>
        </w:rPr>
      </w:pPr>
      <w:r>
        <w:rPr>
          <w:rFonts w:hint="eastAsia" w:ascii="宋体" w:hAnsi="宋体" w:cs="宋体"/>
          <w:sz w:val="24"/>
        </w:rPr>
        <w:t>3.2.2纳入政府采购管理的修缮、装修类项目采购建材的，鼓励采购单位将绿色建材性能、指标等作为实质性条件纳入采购文件和合同，具体性能指标要求参考相关绿色建材政府采购需求标准。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pStyle w:val="5"/>
        <w:tabs>
          <w:tab w:val="left" w:pos="0"/>
          <w:tab w:val="clear" w:pos="432"/>
        </w:tabs>
        <w:ind w:left="0" w:firstLine="480" w:firstLineChars="200"/>
        <w:rPr>
          <w:lang w:val="en-US"/>
        </w:rPr>
      </w:pPr>
      <w:r>
        <w:rPr>
          <w:rFonts w:ascii="宋体" w:hAnsi="宋体" w:eastAsia="宋体" w:cs="宋体"/>
          <w:b w:val="0"/>
          <w:bCs w:val="0"/>
          <w:sz w:val="24"/>
          <w:szCs w:val="24"/>
          <w:highlight w:val="none"/>
          <w:lang w:val="en-US"/>
        </w:rPr>
        <w:t xml:space="preserve">3.2.4 </w:t>
      </w:r>
      <w:r>
        <w:rPr>
          <w:rFonts w:hint="eastAsia" w:ascii="宋体" w:hAnsi="宋体" w:eastAsia="宋体" w:cs="宋体"/>
          <w:b w:val="0"/>
          <w:bCs w:val="0"/>
          <w:sz w:val="24"/>
          <w:szCs w:val="24"/>
          <w:highlight w:val="none"/>
          <w:lang w:val="en-US"/>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napToGrid w:val="0"/>
        <w:spacing w:line="360" w:lineRule="auto"/>
        <w:ind w:firstLine="480" w:firstLineChars="200"/>
        <w:rPr>
          <w:rFonts w:ascii="宋体" w:hAnsi="宋体" w:cs="宋体"/>
          <w:sz w:val="24"/>
        </w:rPr>
      </w:pPr>
      <w:r>
        <w:rPr>
          <w:rFonts w:hint="eastAsia" w:ascii="宋体" w:hAnsi="宋体" w:cs="宋体"/>
          <w:sz w:val="24"/>
        </w:rPr>
        <w:t>3.3支持中小企业发展</w:t>
      </w:r>
    </w:p>
    <w:p>
      <w:pPr>
        <w:snapToGrid w:val="0"/>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在政府采购活动中，供应商提供的工程符合下列情形的，享受中小企业扶持政策：</w:t>
      </w:r>
      <w:r>
        <w:rPr>
          <w:rFonts w:ascii="宋体" w:hAnsi="宋体" w:cs="宋体"/>
          <w:sz w:val="24"/>
        </w:rPr>
        <w:t>在工程采购项目中，工程由中小企业承建，即工程施工单位为中小企业</w:t>
      </w:r>
      <w:r>
        <w:rPr>
          <w:rFonts w:hint="eastAsia" w:ascii="宋体" w:hAnsi="宋体" w:cs="宋体"/>
          <w:kern w:val="0"/>
          <w:sz w:val="24"/>
        </w:rPr>
        <w:t>。</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w:t>
      </w:r>
      <w:bookmarkStart w:id="14" w:name="_Hlk101132181"/>
      <w:r>
        <w:rPr>
          <w:rFonts w:hint="eastAsia" w:ascii="宋体" w:hAnsi="宋体" w:cs="宋体"/>
          <w:sz w:val="24"/>
        </w:rPr>
        <w:t>联合协议或者分包意向协议约定小微企业的合同份额占到合同总金额30%以上的</w:t>
      </w:r>
      <w:bookmarkEnd w:id="14"/>
      <w:r>
        <w:rPr>
          <w:rFonts w:hint="eastAsia" w:ascii="宋体" w:hAnsi="宋体" w:cs="宋体"/>
          <w:sz w:val="24"/>
        </w:rPr>
        <w:t>，对联合体或者大中型企业的报价给予2%的扣除，用扣除后的价格参加评审。组成联合体或者接受分包的小微企业与联合体内其他企业、分包企业之间存在直接控股、管理关系的，不享受价格扣除优惠政策。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宋体" w:hAnsi="宋体" w:cs="宋体"/>
          <w:sz w:val="24"/>
        </w:rPr>
      </w:pPr>
      <w:r>
        <w:rPr>
          <w:rFonts w:hint="eastAsia" w:ascii="宋体" w:hAnsi="宋体" w:cs="宋体"/>
          <w:sz w:val="24"/>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napToGrid w:val="0"/>
        <w:spacing w:line="360" w:lineRule="auto"/>
        <w:ind w:firstLine="480" w:firstLineChars="2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napToGrid w:val="0"/>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napToGrid w:val="0"/>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hint="eastAsia" w:ascii="宋体" w:hAnsi="宋体" w:cs="宋体"/>
          <w:color w:val="FF0000"/>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napToGrid w:val="0"/>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napToGrid w:val="0"/>
        <w:spacing w:line="360" w:lineRule="auto"/>
        <w:ind w:firstLine="480" w:firstLineChars="2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rPr>
        <w:t>4.1在线询问、质疑、投诉</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4.3供应商质疑</w:t>
      </w:r>
    </w:p>
    <w:p>
      <w:pPr>
        <w:pStyle w:val="36"/>
        <w:snapToGrid w:val="0"/>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.1提出质疑的供应商应当是参与所质疑项目采购活动的供应商。潜在供应商已依法获取其可质疑的采购文件的，可以对该文件提出质疑。</w:t>
      </w:r>
    </w:p>
    <w:p>
      <w:pPr>
        <w:pStyle w:val="36"/>
        <w:snapToGrid w:val="0"/>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.2供应商认为采购文件、采购过程和成交结果使自己的权益受到损害的，可以在知道或者应知其权益受到损害之日起七个工作日内，以书面形式向采购人或者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1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4.3.2.1对采购文件提出质疑的，质疑期限为供应商获得采购文件之日或者采购文件公告期限届满之日起计算。</w:t>
      </w:r>
    </w:p>
    <w:p>
      <w:pPr>
        <w:pStyle w:val="36"/>
        <w:snapToGrid w:val="0"/>
        <w:spacing w:line="360" w:lineRule="auto"/>
        <w:ind w:firstLine="480" w:firstLineChars="200"/>
        <w:rPr>
          <w:rFonts w:hAnsi="宋体" w:cs="宋体"/>
          <w:sz w:val="24"/>
        </w:rPr>
      </w:pPr>
      <w:r>
        <w:rPr>
          <w:rFonts w:hint="eastAsia" w:hAnsi="宋体" w:cs="宋体"/>
          <w:sz w:val="24"/>
        </w:rPr>
        <w:t>4.3.2.2对采购过程提出质疑的，质疑期限为各采购程序环节结束之日起计算。</w:t>
      </w:r>
    </w:p>
    <w:p>
      <w:pPr>
        <w:pStyle w:val="36"/>
        <w:snapToGrid w:val="0"/>
        <w:spacing w:line="360" w:lineRule="auto"/>
        <w:ind w:firstLine="480" w:firstLineChars="200"/>
        <w:rPr>
          <w:rFonts w:hAnsi="宋体" w:cs="宋体"/>
          <w:sz w:val="24"/>
        </w:rPr>
      </w:pPr>
      <w:r>
        <w:rPr>
          <w:rFonts w:hint="eastAsia" w:hAnsi="宋体" w:cs="宋体"/>
          <w:sz w:val="24"/>
        </w:rPr>
        <w:t>4.3.2.3对采购结果提出质疑的，质疑期限自采购结果公告期限届满之日起计算。</w:t>
      </w:r>
    </w:p>
    <w:p>
      <w:pPr>
        <w:pStyle w:val="36"/>
        <w:snapToGrid w:val="0"/>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6"/>
        <w:snapToGrid w:val="0"/>
        <w:spacing w:line="360" w:lineRule="auto"/>
        <w:ind w:firstLine="720" w:firstLineChars="300"/>
        <w:rPr>
          <w:rFonts w:hAnsi="宋体" w:cs="宋体"/>
          <w:kern w:val="0"/>
          <w:sz w:val="24"/>
          <w:lang w:val="zh-CN"/>
        </w:rPr>
      </w:pPr>
      <w:r>
        <w:rPr>
          <w:rFonts w:hint="eastAsia" w:hAnsi="宋体" w:cs="宋体"/>
          <w:kern w:val="0"/>
          <w:sz w:val="24"/>
          <w:lang w:val="zh-CN"/>
        </w:rPr>
        <w:t>4.3.3.1供应商的姓名或者名称、地址、邮编、联系人及联系电话；</w:t>
      </w:r>
    </w:p>
    <w:p>
      <w:pPr>
        <w:pStyle w:val="36"/>
        <w:snapToGrid w:val="0"/>
        <w:spacing w:line="360" w:lineRule="auto"/>
        <w:ind w:firstLine="720" w:firstLineChars="300"/>
        <w:rPr>
          <w:rFonts w:hAnsi="宋体" w:cs="宋体"/>
          <w:kern w:val="0"/>
          <w:sz w:val="24"/>
          <w:lang w:val="zh-CN"/>
        </w:rPr>
      </w:pPr>
      <w:r>
        <w:rPr>
          <w:rFonts w:hint="eastAsia" w:hAnsi="宋体" w:cs="宋体"/>
          <w:kern w:val="0"/>
          <w:sz w:val="24"/>
          <w:lang w:val="zh-CN"/>
        </w:rPr>
        <w:t>4.3.3.2质疑项目的名称、编号；</w:t>
      </w:r>
    </w:p>
    <w:p>
      <w:pPr>
        <w:pStyle w:val="36"/>
        <w:snapToGrid w:val="0"/>
        <w:spacing w:line="360" w:lineRule="auto"/>
        <w:ind w:firstLine="720" w:firstLineChars="300"/>
        <w:rPr>
          <w:rFonts w:hAnsi="宋体" w:cs="宋体"/>
          <w:kern w:val="0"/>
          <w:sz w:val="24"/>
          <w:lang w:val="zh-CN"/>
        </w:rPr>
      </w:pPr>
      <w:r>
        <w:rPr>
          <w:rFonts w:hint="eastAsia" w:hAnsi="宋体" w:cs="宋体"/>
          <w:kern w:val="0"/>
          <w:sz w:val="24"/>
          <w:lang w:val="zh-CN"/>
        </w:rPr>
        <w:t>4.3.3.3具体、明确的质疑事项和与质疑事项相关的请求；</w:t>
      </w:r>
    </w:p>
    <w:p>
      <w:pPr>
        <w:pStyle w:val="36"/>
        <w:snapToGrid w:val="0"/>
        <w:spacing w:line="360" w:lineRule="auto"/>
        <w:ind w:firstLine="720" w:firstLineChars="300"/>
        <w:rPr>
          <w:rFonts w:hAnsi="宋体" w:cs="宋体"/>
          <w:kern w:val="0"/>
          <w:sz w:val="24"/>
          <w:lang w:val="zh-CN"/>
        </w:rPr>
      </w:pPr>
      <w:r>
        <w:rPr>
          <w:rFonts w:hint="eastAsia" w:hAnsi="宋体" w:cs="宋体"/>
          <w:kern w:val="0"/>
          <w:sz w:val="24"/>
          <w:lang w:val="zh-CN"/>
        </w:rPr>
        <w:t>4.3.3.4事实依据；</w:t>
      </w:r>
    </w:p>
    <w:p>
      <w:pPr>
        <w:pStyle w:val="36"/>
        <w:snapToGrid w:val="0"/>
        <w:spacing w:line="360" w:lineRule="auto"/>
        <w:ind w:firstLine="720" w:firstLineChars="300"/>
        <w:rPr>
          <w:rFonts w:hAnsi="宋体" w:cs="宋体"/>
          <w:kern w:val="0"/>
          <w:sz w:val="24"/>
          <w:lang w:val="zh-CN"/>
        </w:rPr>
      </w:pPr>
      <w:r>
        <w:rPr>
          <w:rFonts w:hint="eastAsia" w:hAnsi="宋体" w:cs="宋体"/>
          <w:kern w:val="0"/>
          <w:sz w:val="24"/>
          <w:lang w:val="zh-CN"/>
        </w:rPr>
        <w:t>4.3.3.5必要的法律依据；</w:t>
      </w:r>
    </w:p>
    <w:p>
      <w:pPr>
        <w:pStyle w:val="36"/>
        <w:snapToGrid w:val="0"/>
        <w:spacing w:line="360" w:lineRule="auto"/>
        <w:ind w:firstLine="720" w:firstLineChars="300"/>
        <w:rPr>
          <w:rFonts w:hAnsi="宋体" w:cs="宋体"/>
          <w:kern w:val="0"/>
          <w:sz w:val="24"/>
          <w:lang w:val="zh-CN"/>
        </w:rPr>
      </w:pPr>
      <w:r>
        <w:rPr>
          <w:rFonts w:hint="eastAsia" w:hAnsi="宋体" w:cs="宋体"/>
          <w:kern w:val="0"/>
          <w:sz w:val="24"/>
          <w:lang w:val="zh-CN"/>
        </w:rPr>
        <w:t>4.3.3.6提出质疑的日期。</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rPr>
        <w:t>质疑函范本及制作说明详见附件2。</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rPr>
        <w:t>4.3.4对同一采购程序环节的质疑，供应商须在法定质疑期内一次性提出。</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7"/>
        <w:shd w:val="clear" w:color="auto" w:fill="FFFFFF"/>
        <w:adjustRightInd w:val="0"/>
        <w:snapToGrid w:val="0"/>
        <w:spacing w:before="0" w:beforeAutospacing="0" w:after="0" w:afterAutospacing="0" w:line="360" w:lineRule="auto"/>
        <w:ind w:firstLine="480" w:firstLineChars="200"/>
        <w:contextualSpacing/>
        <w:rPr>
          <w:lang w:val="zh-CN"/>
        </w:rPr>
      </w:pPr>
      <w:r>
        <w:rPr>
          <w:rFonts w:hint="eastAsia"/>
          <w:lang w:val="zh-CN"/>
        </w:rPr>
        <w:t>4.4供应商投诉</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rPr>
        <w:t>4.4.3供应商投诉应当有明确的请求和必要的证明材料。</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80" w:firstLineChars="200"/>
        <w:contextualSpacing/>
        <w:rPr>
          <w:highlight w:val="yellow"/>
        </w:rPr>
      </w:pPr>
      <w:r>
        <w:rPr>
          <w:rFonts w:hint="eastAsia" w:asciiTheme="minorEastAsia" w:hAnsiTheme="minorEastAsia" w:eastAsiaTheme="minorEastAsia"/>
        </w:rPr>
        <w:t>4.5.5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adjustRightInd w:val="0"/>
        <w:snapToGrid w:val="0"/>
        <w:spacing w:before="0" w:beforeAutospacing="0" w:after="0" w:afterAutospacing="0" w:line="360" w:lineRule="auto"/>
        <w:ind w:firstLine="480" w:firstLineChars="200"/>
        <w:contextualSpacing/>
      </w:pPr>
      <w:r>
        <w:rPr>
          <w:rFonts w:hint="eastAsia"/>
        </w:rPr>
        <w:t>投诉书范本及制作说明详见附件3。</w:t>
      </w:r>
    </w:p>
    <w:p>
      <w:pPr>
        <w:pStyle w:val="130"/>
        <w:snapToGrid w:val="0"/>
        <w:spacing w:before="0"/>
        <w:ind w:firstLine="360"/>
        <w:rPr>
          <w:rFonts w:ascii="宋体" w:hAnsi="宋体" w:cs="宋体"/>
          <w:sz w:val="18"/>
          <w:szCs w:val="18"/>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二、采购文件的构成、澄清、修改</w:t>
      </w:r>
    </w:p>
    <w:p>
      <w:pPr>
        <w:pStyle w:val="36"/>
        <w:spacing w:line="360" w:lineRule="auto"/>
        <w:rPr>
          <w:rFonts w:hAnsi="宋体" w:cs="宋体"/>
          <w:b/>
          <w:sz w:val="24"/>
          <w:szCs w:val="24"/>
        </w:rPr>
      </w:pPr>
      <w:r>
        <w:rPr>
          <w:rFonts w:hint="eastAsia" w:hAnsi="宋体" w:cs="宋体"/>
          <w:b/>
          <w:sz w:val="24"/>
          <w:szCs w:val="24"/>
        </w:rPr>
        <w:t>5．采购文件的构成</w:t>
      </w:r>
    </w:p>
    <w:p>
      <w:pPr>
        <w:pStyle w:val="36"/>
        <w:spacing w:line="360" w:lineRule="auto"/>
        <w:ind w:firstLine="480" w:firstLineChars="200"/>
        <w:rPr>
          <w:rFonts w:hAnsi="宋体" w:cs="宋体"/>
          <w:sz w:val="24"/>
          <w:szCs w:val="24"/>
        </w:rPr>
      </w:pPr>
      <w:r>
        <w:rPr>
          <w:rFonts w:hint="eastAsia" w:hAnsi="宋体" w:cs="宋体"/>
          <w:sz w:val="24"/>
          <w:szCs w:val="24"/>
        </w:rPr>
        <w:t>5.1 采购文件包括下列文件及附件：</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5.1.1竞争性磋商公告；</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5.1.2供应商须知；</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5.1.4评审办法；</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6"/>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澄清或者修改的内容为采购文件的组成部分</w:t>
      </w:r>
      <w:r>
        <w:rPr>
          <w:rFonts w:hint="eastAsia" w:ascii="宋体" w:hAnsi="宋体" w:cs="宋体"/>
          <w:sz w:val="24"/>
        </w:rPr>
        <w:t>。</w:t>
      </w:r>
    </w:p>
    <w:p>
      <w:pPr>
        <w:pStyle w:val="36"/>
        <w:spacing w:line="360" w:lineRule="auto"/>
        <w:rPr>
          <w:rFonts w:hAnsi="宋体" w:cs="宋体"/>
          <w:b/>
          <w:sz w:val="24"/>
          <w:szCs w:val="24"/>
        </w:rPr>
      </w:pPr>
      <w:r>
        <w:rPr>
          <w:rFonts w:hint="eastAsia" w:hAnsi="宋体" w:cs="宋体"/>
          <w:b/>
          <w:sz w:val="24"/>
          <w:szCs w:val="24"/>
        </w:rPr>
        <w:t>6. 采购文件的澄清、修改</w:t>
      </w:r>
    </w:p>
    <w:p>
      <w:pPr>
        <w:pStyle w:val="130"/>
        <w:snapToGrid w:val="0"/>
        <w:spacing w:before="0"/>
        <w:ind w:firstLine="480"/>
        <w:rPr>
          <w:rFonts w:ascii="宋体" w:hAnsi="宋体" w:cs="宋体"/>
        </w:rPr>
      </w:pPr>
      <w:r>
        <w:rPr>
          <w:rFonts w:hint="eastAsia" w:ascii="宋体" w:hAnsi="宋体" w:cs="宋体"/>
        </w:rPr>
        <w:t>6.1已获取采购文件的潜在供应商，若有问题需要澄清，应于响应文件提交（上传）截止时间前，以书面形式向</w:t>
      </w:r>
      <w:r>
        <w:rPr>
          <w:rFonts w:hint="eastAsia" w:ascii="宋体" w:hAnsi="宋体" w:cs="宋体"/>
          <w:lang w:eastAsia="zh-CN"/>
        </w:rPr>
        <w:t>采购代理机构</w:t>
      </w:r>
      <w:r>
        <w:rPr>
          <w:rFonts w:hint="eastAsia" w:ascii="宋体" w:hAnsi="宋体" w:cs="宋体"/>
        </w:rPr>
        <w:t>提出。</w:t>
      </w:r>
    </w:p>
    <w:p>
      <w:pPr>
        <w:pStyle w:val="130"/>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采购文件进行澄清或修改的，将同时通过电子交易平台通知已获取采购文件的潜在供应商。依法应当公告的，将按规定公告，同时视情况延长响应文件提交（上传）截止时间和响应文件开启时间。该澄清或者修改的内容为采购文件的组成部分。</w:t>
      </w:r>
    </w:p>
    <w:p>
      <w:pPr>
        <w:pStyle w:val="25"/>
        <w:rPr>
          <w:rFonts w:hAnsi="宋体" w:cs="宋体"/>
          <w:sz w:val="18"/>
          <w:szCs w:val="18"/>
          <w:lang w:val="en-US"/>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三、提交响应文件</w:t>
      </w:r>
    </w:p>
    <w:p>
      <w:pPr>
        <w:pStyle w:val="36"/>
        <w:spacing w:line="360" w:lineRule="auto"/>
        <w:rPr>
          <w:rFonts w:hAnsi="宋体" w:cs="宋体"/>
          <w:b/>
          <w:sz w:val="24"/>
          <w:szCs w:val="24"/>
        </w:rPr>
      </w:pPr>
      <w:r>
        <w:rPr>
          <w:rFonts w:hint="eastAsia" w:hAnsi="宋体" w:cs="宋体"/>
          <w:b/>
          <w:sz w:val="24"/>
          <w:szCs w:val="24"/>
        </w:rPr>
        <w:t>7. 采购文件的获取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详见竞争性磋商公告中获取采购文件的时间期限、地点、方式及采购文件售价。</w:t>
      </w:r>
    </w:p>
    <w:p>
      <w:pPr>
        <w:pStyle w:val="36"/>
        <w:spacing w:line="360" w:lineRule="auto"/>
        <w:rPr>
          <w:rFonts w:hAnsi="宋体" w:cs="宋体"/>
          <w:b/>
          <w:sz w:val="24"/>
          <w:szCs w:val="24"/>
        </w:rPr>
      </w:pPr>
      <w:r>
        <w:rPr>
          <w:rFonts w:hint="eastAsia" w:hAnsi="宋体" w:cs="宋体"/>
          <w:b/>
          <w:sz w:val="24"/>
          <w:szCs w:val="24"/>
        </w:rPr>
        <w:t>8.磋商前答疑会或现场考察</w:t>
      </w:r>
    </w:p>
    <w:p>
      <w:pPr>
        <w:pStyle w:val="36"/>
        <w:spacing w:line="360" w:lineRule="auto"/>
        <w:ind w:firstLine="480" w:firstLineChars="200"/>
        <w:rPr>
          <w:rFonts w:hAnsi="宋体" w:cs="宋体"/>
          <w:sz w:val="24"/>
          <w:szCs w:val="24"/>
        </w:rPr>
      </w:pPr>
      <w:r>
        <w:rPr>
          <w:rFonts w:hint="eastAsia" w:hAnsi="宋体" w:cs="宋体"/>
          <w:sz w:val="24"/>
          <w:szCs w:val="24"/>
        </w:rPr>
        <w:t>采购人组织潜在供应商现场考察或者召开磋商前答疑会的，潜在供应商按第二部分供应商须知前附表的规定参加现场考察或者磋商前答疑会。</w:t>
      </w:r>
    </w:p>
    <w:p>
      <w:pPr>
        <w:pStyle w:val="36"/>
        <w:spacing w:line="360" w:lineRule="auto"/>
        <w:rPr>
          <w:rFonts w:hAnsi="宋体" w:cs="宋体"/>
          <w:b/>
          <w:szCs w:val="24"/>
        </w:rPr>
      </w:pPr>
      <w:r>
        <w:rPr>
          <w:rFonts w:hint="eastAsia" w:hAnsi="宋体" w:cs="宋体"/>
          <w:b/>
          <w:kern w:val="28"/>
          <w:sz w:val="24"/>
          <w:szCs w:val="24"/>
        </w:rPr>
        <w:t>9.磋商保证金</w:t>
      </w:r>
    </w:p>
    <w:p>
      <w:pPr>
        <w:pStyle w:val="17"/>
        <w:spacing w:line="360" w:lineRule="auto"/>
        <w:ind w:firstLine="470" w:firstLineChars="196"/>
        <w:rPr>
          <w:rFonts w:hAnsi="宋体" w:cs="宋体"/>
          <w:color w:val="auto"/>
          <w:sz w:val="24"/>
        </w:rPr>
      </w:pPr>
      <w:r>
        <w:rPr>
          <w:rFonts w:hint="eastAsia" w:hAnsi="宋体" w:cs="宋体"/>
          <w:color w:val="auto"/>
          <w:sz w:val="24"/>
        </w:rPr>
        <w:t>本项目不需缴纳磋商保证金。</w:t>
      </w:r>
    </w:p>
    <w:p>
      <w:pPr>
        <w:pStyle w:val="36"/>
        <w:spacing w:line="360" w:lineRule="auto"/>
        <w:rPr>
          <w:rFonts w:hAnsi="宋体" w:cs="宋体"/>
          <w:b/>
          <w:sz w:val="24"/>
          <w:szCs w:val="24"/>
        </w:rPr>
      </w:pPr>
      <w:r>
        <w:rPr>
          <w:rFonts w:hint="eastAsia" w:hAnsi="宋体" w:cs="宋体"/>
          <w:b/>
          <w:sz w:val="24"/>
          <w:szCs w:val="24"/>
        </w:rPr>
        <w:t>10. 响应文件的语言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响应文件及供应商与采购有关的来往通知、函件和文件均应使用中文。</w:t>
      </w:r>
    </w:p>
    <w:p>
      <w:pPr>
        <w:pStyle w:val="36"/>
        <w:spacing w:line="360" w:lineRule="auto"/>
        <w:rPr>
          <w:rFonts w:hAnsi="宋体" w:cs="宋体"/>
          <w:b/>
          <w:sz w:val="24"/>
          <w:szCs w:val="24"/>
        </w:rPr>
      </w:pPr>
      <w:r>
        <w:rPr>
          <w:rFonts w:hint="eastAsia" w:hAnsi="宋体" w:cs="宋体"/>
          <w:b/>
          <w:sz w:val="24"/>
          <w:szCs w:val="24"/>
        </w:rPr>
        <w:t>11. 响应文件的组成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5" w:name="_Hlk101259339"/>
      <w:r>
        <w:rPr>
          <w:rFonts w:hint="eastAsia" w:ascii="宋体" w:hAnsi="宋体" w:cs="宋体"/>
          <w:snapToGrid w:val="0"/>
          <w:kern w:val="28"/>
          <w:sz w:val="24"/>
          <w:szCs w:val="20"/>
        </w:rPr>
        <w:t>联合协议</w:t>
      </w:r>
      <w:bookmarkStart w:id="16" w:name="_Hlk101257010"/>
      <w:r>
        <w:rPr>
          <w:rFonts w:hint="eastAsia" w:ascii="宋体" w:hAnsi="宋体" w:cs="宋体"/>
          <w:snapToGrid w:val="0"/>
          <w:kern w:val="28"/>
          <w:sz w:val="24"/>
          <w:szCs w:val="20"/>
        </w:rPr>
        <w:t>（如果有)</w:t>
      </w:r>
      <w:bookmarkEnd w:id="15"/>
      <w:bookmarkEnd w:id="16"/>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11.2.1响应函；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11.2.3分包意向协议（如果有)；</w:t>
      </w:r>
    </w:p>
    <w:p>
      <w:pPr>
        <w:snapToGrid w:val="0"/>
        <w:spacing w:line="360" w:lineRule="auto"/>
        <w:ind w:firstLine="960" w:firstLineChars="400"/>
        <w:rPr>
          <w:rFonts w:ascii="宋体" w:hAnsi="宋体" w:cs="宋体"/>
          <w:sz w:val="24"/>
        </w:rPr>
      </w:pPr>
      <w:r>
        <w:rPr>
          <w:rFonts w:hint="eastAsia" w:ascii="宋体" w:hAnsi="宋体" w:cs="宋体"/>
          <w:sz w:val="24"/>
        </w:rPr>
        <w:t>11.2.4符合性审查资料；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11.2.5评审标准相应的商务技术资料；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11.2.6商务技术偏离表；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11.3.1报价单；</w:t>
      </w:r>
    </w:p>
    <w:p>
      <w:pPr>
        <w:snapToGrid w:val="0"/>
        <w:spacing w:line="360" w:lineRule="auto"/>
        <w:ind w:firstLine="960" w:firstLineChars="400"/>
        <w:rPr>
          <w:rFonts w:ascii="宋体" w:hAnsi="宋体" w:cs="宋体"/>
          <w:sz w:val="24"/>
        </w:rPr>
      </w:pPr>
      <w:r>
        <w:rPr>
          <w:rFonts w:hint="eastAsia" w:ascii="宋体" w:hAnsi="宋体" w:cs="宋体"/>
          <w:sz w:val="24"/>
        </w:rPr>
        <w:t>11.3.2已标价工程量清单；</w:t>
      </w:r>
    </w:p>
    <w:p>
      <w:pPr>
        <w:snapToGrid w:val="0"/>
        <w:spacing w:line="360" w:lineRule="auto"/>
        <w:ind w:firstLine="960" w:firstLineChars="400"/>
        <w:rPr>
          <w:rFonts w:ascii="宋体" w:hAnsi="宋体" w:cs="宋体"/>
          <w:sz w:val="24"/>
        </w:rPr>
      </w:pPr>
      <w:r>
        <w:rPr>
          <w:rFonts w:hint="eastAsia" w:ascii="宋体" w:hAnsi="宋体" w:cs="宋体"/>
          <w:sz w:val="24"/>
        </w:rPr>
        <w:t>11.3.3中小企业声明函。</w:t>
      </w:r>
    </w:p>
    <w:p>
      <w:pPr>
        <w:spacing w:line="360" w:lineRule="auto"/>
        <w:ind w:firstLine="723" w:firstLineChars="300"/>
        <w:rPr>
          <w:rFonts w:ascii="宋体" w:hAnsi="宋体" w:cs="宋体"/>
          <w:b/>
          <w:sz w:val="24"/>
        </w:rPr>
      </w:pPr>
      <w:r>
        <w:rPr>
          <w:rFonts w:hint="eastAsia" w:ascii="宋体" w:hAnsi="宋体" w:cs="宋体"/>
          <w:b/>
          <w:sz w:val="24"/>
        </w:rPr>
        <w:t>响应文件含有采购人不能接受的附加条件的，响应文件无效；</w:t>
      </w:r>
    </w:p>
    <w:p>
      <w:pPr>
        <w:spacing w:line="360" w:lineRule="auto"/>
        <w:ind w:firstLine="723" w:firstLineChars="300"/>
        <w:rPr>
          <w:rFonts w:ascii="宋体" w:hAnsi="宋体" w:cs="宋体"/>
          <w:b/>
          <w:sz w:val="24"/>
          <w:szCs w:val="21"/>
        </w:rPr>
      </w:pPr>
      <w:r>
        <w:rPr>
          <w:rFonts w:hint="eastAsia" w:ascii="宋体" w:hAnsi="宋体" w:cs="宋体"/>
          <w:b/>
          <w:sz w:val="24"/>
        </w:rPr>
        <w:t>供应商提供虚假材料的，响应文件无效。</w:t>
      </w: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响应文件的编制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响应文件分为资格文件、商务技术文件、报价文件三部分。各供应商在编制响应文件时请按照采购文件第六部分规定的格式进行，混乱的编排导致响应文件被误读或磋商小组查找不到有效文件是供应商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12.2供应商进行电子投标应安装客户端软件—“政采云电子交易客户端”，并按照采购文件和电子交易平台的要求编制并加密响应文件。供应商未按规定加密的响应文件，电子交易平台将拒收并提示。</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13.响应文件的签署、盖章</w:t>
      </w:r>
    </w:p>
    <w:p>
      <w:pPr>
        <w:pStyle w:val="130"/>
        <w:snapToGrid w:val="0"/>
        <w:spacing w:before="0"/>
        <w:ind w:firstLine="480"/>
        <w:rPr>
          <w:rFonts w:ascii="宋体" w:hAnsi="宋体" w:cs="宋体"/>
          <w:b/>
        </w:rPr>
      </w:pPr>
      <w:r>
        <w:rPr>
          <w:rFonts w:hint="eastAsia" w:ascii="宋体" w:hAnsi="宋体" w:cs="宋体"/>
          <w:szCs w:val="24"/>
        </w:rPr>
        <w:t>13.1响应文件按照采购文件第六部分格式要</w:t>
      </w:r>
      <w:r>
        <w:rPr>
          <w:rFonts w:hint="eastAsia" w:ascii="宋体" w:hAnsi="宋体" w:cs="宋体"/>
        </w:rPr>
        <w:t>求进行签署、盖章。</w:t>
      </w:r>
      <w:r>
        <w:rPr>
          <w:rFonts w:hint="eastAsia" w:ascii="宋体" w:hAnsi="宋体" w:cs="宋体"/>
          <w:b/>
        </w:rPr>
        <w:t>▲供应商的响应文件未按照采购文件要求签署、盖章的，其响应文件无效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13.2为确保网上操作合法、有效和安全，供应商应当在响应文件提交（上传）截止时间前完成在“政府采购云平台”的身份认证，确保在电子投标过程中能够对相关数据电文进行加密和使用电子签名。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13.3采购文件对响应文件签署、盖章的要求适用于电子签名。</w:t>
      </w:r>
    </w:p>
    <w:p>
      <w:pPr>
        <w:pStyle w:val="130"/>
        <w:snapToGrid w:val="0"/>
        <w:spacing w:before="0"/>
        <w:ind w:firstLine="0" w:firstLineChars="0"/>
        <w:rPr>
          <w:rFonts w:ascii="宋体" w:hAnsi="宋体" w:cs="宋体"/>
          <w:b/>
          <w:szCs w:val="24"/>
        </w:rPr>
      </w:pPr>
    </w:p>
    <w:p>
      <w:pPr>
        <w:pStyle w:val="130"/>
        <w:snapToGrid w:val="0"/>
        <w:spacing w:before="0"/>
        <w:ind w:firstLine="0" w:firstLineChars="0"/>
        <w:rPr>
          <w:rFonts w:ascii="宋体" w:hAnsi="宋体" w:cs="宋体"/>
          <w:b/>
          <w:szCs w:val="24"/>
        </w:rPr>
      </w:pPr>
      <w:r>
        <w:rPr>
          <w:rFonts w:hint="eastAsia" w:ascii="宋体" w:hAnsi="宋体" w:cs="宋体"/>
          <w:b/>
          <w:szCs w:val="24"/>
        </w:rPr>
        <w:t>14. 响应文件的提交、补充、修改、撤回</w:t>
      </w:r>
    </w:p>
    <w:p>
      <w:pPr>
        <w:pStyle w:val="130"/>
        <w:snapToGrid w:val="0"/>
        <w:spacing w:before="0"/>
        <w:ind w:firstLine="480"/>
        <w:rPr>
          <w:rFonts w:ascii="宋体" w:hAnsi="宋体" w:cs="宋体"/>
          <w:szCs w:val="24"/>
        </w:rPr>
      </w:pPr>
      <w:r>
        <w:rPr>
          <w:rFonts w:hint="eastAsia" w:ascii="宋体" w:hAnsi="宋体" w:cs="宋体"/>
          <w:szCs w:val="24"/>
        </w:rPr>
        <w:t>14.1 供应商应当在响应文件提交（上传）截止时间前完成响应文件的传输递交，并可以补充、修改或者撤回响应文件。补充或者修改响应文件的，应当先行撤回原文件，补充、修改后重新传输递交。响应文件提交（上传）截止时间前未完成传输的，视为撤回响应文件。响应文件提交（上传）截止时间后递交的响应文件，电子交易平台将拒收。</w:t>
      </w:r>
    </w:p>
    <w:p>
      <w:pPr>
        <w:pStyle w:val="130"/>
        <w:snapToGrid w:val="0"/>
        <w:spacing w:before="0"/>
        <w:ind w:firstLine="480"/>
        <w:rPr>
          <w:rFonts w:ascii="宋体" w:hAnsi="宋体" w:cs="宋体"/>
          <w:szCs w:val="24"/>
        </w:rPr>
      </w:pPr>
      <w:r>
        <w:rPr>
          <w:rFonts w:hint="eastAsia" w:ascii="宋体" w:hAnsi="宋体" w:cs="宋体"/>
          <w:szCs w:val="24"/>
        </w:rPr>
        <w:t>14.2电子交易平台收到响应文件，将妥善保存并即时向供应商发出确认回执通知。在响应文件提交（上传）截止时间前，除供应商补充、修改或者撤回响应文件外，任何单位和个人不得解密或提取响应文件。</w:t>
      </w:r>
    </w:p>
    <w:p>
      <w:pPr>
        <w:pStyle w:val="130"/>
        <w:snapToGrid w:val="0"/>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可以视情况延长响应文件提交的截止时间。在上述情况下，</w:t>
      </w:r>
      <w:r>
        <w:rPr>
          <w:rFonts w:hint="eastAsia" w:ascii="宋体" w:hAnsi="宋体" w:cs="宋体"/>
          <w:szCs w:val="24"/>
          <w:lang w:eastAsia="zh-CN"/>
        </w:rPr>
        <w:t>采购代理机构</w:t>
      </w:r>
      <w:r>
        <w:rPr>
          <w:rFonts w:hint="eastAsia" w:ascii="宋体" w:hAnsi="宋体" w:cs="宋体"/>
          <w:szCs w:val="24"/>
        </w:rPr>
        <w:t>与供应商以前在响应文件提交截止时间方面的全部权利、责任和义务，将适用于延长至新的响应文件提交截止时间。</w:t>
      </w:r>
    </w:p>
    <w:p>
      <w:pPr>
        <w:pStyle w:val="36"/>
        <w:snapToGrid w:val="0"/>
        <w:spacing w:line="360" w:lineRule="auto"/>
        <w:rPr>
          <w:rFonts w:hAnsi="宋体" w:cs="宋体"/>
          <w:b/>
          <w:sz w:val="24"/>
          <w:szCs w:val="24"/>
        </w:rPr>
      </w:pPr>
      <w:r>
        <w:rPr>
          <w:rFonts w:hint="eastAsia" w:hAnsi="宋体" w:cs="宋体"/>
          <w:b/>
          <w:sz w:val="24"/>
          <w:szCs w:val="24"/>
        </w:rPr>
        <w:t>15.备份响应文件</w:t>
      </w:r>
    </w:p>
    <w:p>
      <w:pPr>
        <w:pStyle w:val="36"/>
        <w:snapToGrid w:val="0"/>
        <w:spacing w:line="360" w:lineRule="auto"/>
        <w:ind w:firstLine="360" w:firstLineChars="150"/>
        <w:rPr>
          <w:rFonts w:hAnsi="宋体" w:cs="宋体"/>
          <w:b/>
          <w:sz w:val="24"/>
          <w:szCs w:val="24"/>
        </w:rPr>
      </w:pPr>
      <w:r>
        <w:rPr>
          <w:rFonts w:hint="eastAsia" w:hAnsi="宋体" w:cs="宋体"/>
          <w:sz w:val="24"/>
          <w:szCs w:val="24"/>
        </w:rPr>
        <w:t xml:space="preserve"> 15.1供应商在电子交易平台传输递交响应文件后，还可以在响应文件提交（上传）截止时间前直接提交或者以邮政快递方式递交备份响应文件1份，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不强制或变相强制供应商提交备份响应文件。</w:t>
      </w:r>
    </w:p>
    <w:p>
      <w:pPr>
        <w:pStyle w:val="36"/>
        <w:snapToGrid w:val="0"/>
        <w:spacing w:line="360" w:lineRule="auto"/>
        <w:ind w:firstLine="480" w:firstLineChars="200"/>
        <w:rPr>
          <w:rFonts w:hAnsi="宋体" w:cs="宋体"/>
          <w:b/>
          <w:sz w:val="24"/>
          <w:szCs w:val="24"/>
        </w:rPr>
      </w:pPr>
      <w:r>
        <w:rPr>
          <w:rFonts w:hint="eastAsia" w:hAnsi="宋体" w:cs="宋体"/>
          <w:sz w:val="24"/>
          <w:szCs w:val="24"/>
        </w:rPr>
        <w:t>15.2备份响应文件须在“政采云投标客户端”制作生成，并储存在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中。备份响应文件应当密封包装并在包装上加盖公章并注明采购项目名称，供应商名称(联合体参与的，包装物封面需注明联合体，并注明联合体成员各方的名称和联合协议中约定的牵头人的名称)。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存储、密封规定的备份响应文件将被视为无效或者被拒绝接收。</w:t>
      </w:r>
    </w:p>
    <w:p>
      <w:pPr>
        <w:pStyle w:val="36"/>
        <w:snapToGrid w:val="0"/>
        <w:spacing w:line="360" w:lineRule="auto"/>
        <w:ind w:firstLine="480" w:firstLineChars="200"/>
        <w:rPr>
          <w:rFonts w:hAnsi="宋体" w:cs="宋体"/>
          <w:sz w:val="24"/>
          <w:szCs w:val="24"/>
        </w:rPr>
      </w:pPr>
      <w:r>
        <w:rPr>
          <w:rFonts w:hint="eastAsia" w:hAnsi="宋体" w:cs="宋体"/>
          <w:sz w:val="24"/>
          <w:szCs w:val="24"/>
        </w:rPr>
        <w:t>15.3直接提交备份响应文件的，供应商应于响应文件提交（上传）截止时间前在竞争性磋商公告中载明的响应文件开启地点将备份响应文件提交给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将拒绝接受逾期送达的备份响应文件。</w:t>
      </w:r>
    </w:p>
    <w:p>
      <w:pPr>
        <w:pStyle w:val="36"/>
        <w:snapToGrid w:val="0"/>
        <w:spacing w:line="360" w:lineRule="auto"/>
        <w:ind w:firstLine="480" w:firstLineChars="200"/>
        <w:rPr>
          <w:rFonts w:hAnsi="宋体" w:cs="宋体"/>
          <w:sz w:val="24"/>
          <w:szCs w:val="24"/>
        </w:rPr>
      </w:pPr>
      <w:r>
        <w:rPr>
          <w:rFonts w:hint="eastAsia" w:hAnsi="宋体" w:cs="宋体"/>
          <w:sz w:val="24"/>
          <w:szCs w:val="24"/>
        </w:rPr>
        <w:t>15.4以邮政快递方式递交备份响应文件的，供应商应先将备份响应文件按要求密封和标记，再进行邮政快递包装后邮寄。备份响应文件须在响应文件提交（上传）截止时间之前送达</w:t>
      </w:r>
      <w:r>
        <w:rPr>
          <w:rFonts w:hint="eastAsia" w:hAnsi="宋体" w:cs="宋体"/>
          <w:snapToGrid/>
          <w:sz w:val="24"/>
          <w:szCs w:val="24"/>
        </w:rPr>
        <w:t>采购文件第二部分供应商须知前附表规定的备份响应文件送达地点；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将拒绝接受逾期送达的备份响应文件。邮寄过程中，电子备份响应文件发生泄露、遗失、损坏或延期送达等情况的，由供应商自行负责。</w:t>
      </w:r>
    </w:p>
    <w:p>
      <w:pPr>
        <w:pStyle w:val="36"/>
        <w:snapToGrid w:val="0"/>
        <w:spacing w:line="360" w:lineRule="auto"/>
        <w:ind w:firstLine="479" w:firstLineChars="199"/>
        <w:rPr>
          <w:rFonts w:hAnsi="宋体" w:cs="宋体"/>
          <w:b/>
          <w:sz w:val="24"/>
          <w:szCs w:val="24"/>
        </w:rPr>
      </w:pPr>
      <w:r>
        <w:rPr>
          <w:rFonts w:hint="eastAsia" w:hAnsi="宋体" w:cs="宋体"/>
          <w:b/>
          <w:sz w:val="24"/>
          <w:szCs w:val="24"/>
        </w:rPr>
        <w:t>15.5供应商仅提交备份响应文件，未在电子交易平台传输递交响应文件的，响应文件无效。</w:t>
      </w:r>
    </w:p>
    <w:p>
      <w:pPr>
        <w:pStyle w:val="130"/>
        <w:spacing w:before="0"/>
        <w:ind w:firstLine="0" w:firstLineChars="0"/>
        <w:rPr>
          <w:rFonts w:ascii="宋体" w:hAnsi="宋体" w:cs="宋体"/>
          <w:b/>
          <w:szCs w:val="24"/>
        </w:rPr>
      </w:pPr>
      <w:r>
        <w:rPr>
          <w:rFonts w:hint="eastAsia" w:ascii="宋体" w:hAnsi="宋体" w:cs="宋体"/>
          <w:b/>
          <w:szCs w:val="24"/>
        </w:rPr>
        <w:t>16.响应文件的无效处理</w:t>
      </w:r>
    </w:p>
    <w:p>
      <w:pPr>
        <w:pStyle w:val="28"/>
        <w:spacing w:line="360" w:lineRule="auto"/>
        <w:ind w:firstLine="360" w:firstLineChars="150"/>
        <w:rPr>
          <w:rFonts w:cs="宋体"/>
          <w:szCs w:val="21"/>
        </w:rPr>
      </w:pPr>
      <w:r>
        <w:rPr>
          <w:rFonts w:hint="eastAsia" w:cs="宋体"/>
          <w:szCs w:val="21"/>
        </w:rPr>
        <w:t>有采购文件第四部分</w:t>
      </w:r>
      <w:r>
        <w:rPr>
          <w:rFonts w:hint="eastAsia" w:cs="宋体"/>
        </w:rPr>
        <w:t>4.2规定</w:t>
      </w:r>
      <w:r>
        <w:rPr>
          <w:rFonts w:hint="eastAsia" w:cs="宋体"/>
          <w:szCs w:val="21"/>
        </w:rPr>
        <w:t>的情形之一的，响应文件无效：</w:t>
      </w:r>
    </w:p>
    <w:p>
      <w:pPr>
        <w:pStyle w:val="130"/>
        <w:spacing w:before="0"/>
        <w:ind w:firstLine="0" w:firstLineChars="0"/>
        <w:rPr>
          <w:rFonts w:ascii="宋体" w:hAnsi="宋体" w:cs="宋体"/>
          <w:b/>
          <w:szCs w:val="24"/>
        </w:rPr>
      </w:pPr>
      <w:r>
        <w:rPr>
          <w:rFonts w:hint="eastAsia" w:ascii="宋体" w:hAnsi="宋体" w:cs="宋体"/>
          <w:b/>
          <w:szCs w:val="24"/>
        </w:rPr>
        <w:t>17.响应文件有效期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17.1响应文件有效期为从提交响应文件的截止之日起90天。▲</w:t>
      </w:r>
      <w:r>
        <w:rPr>
          <w:rFonts w:hint="eastAsia" w:ascii="宋体" w:hAnsi="宋体" w:cs="宋体"/>
          <w:b/>
          <w:sz w:val="24"/>
          <w:szCs w:val="20"/>
        </w:rPr>
        <w:t>供应商的响应文件中承</w:t>
      </w:r>
      <w:r>
        <w:rPr>
          <w:rFonts w:hint="eastAsia" w:ascii="宋体" w:hAnsi="宋体" w:cs="宋体"/>
          <w:b/>
          <w:sz w:val="24"/>
          <w:szCs w:val="21"/>
        </w:rPr>
        <w:t>诺的响应文件有效期少于采购文件中载明的响应文件有效期的，响应文件无效。</w:t>
      </w:r>
    </w:p>
    <w:p>
      <w:pPr>
        <w:pStyle w:val="130"/>
        <w:spacing w:before="0"/>
        <w:ind w:firstLine="480"/>
        <w:rPr>
          <w:rFonts w:ascii="宋体" w:hAnsi="宋体" w:cs="宋体"/>
        </w:rPr>
      </w:pPr>
      <w:r>
        <w:rPr>
          <w:rFonts w:hint="eastAsia" w:ascii="宋体" w:hAnsi="宋体" w:cs="宋体"/>
        </w:rPr>
        <w:t>17.2响应文件合格投递后，自响应文件提交截止时间起，在响应文件有效期内有效。</w:t>
      </w:r>
    </w:p>
    <w:p>
      <w:pPr>
        <w:pStyle w:val="130"/>
        <w:spacing w:before="0"/>
        <w:ind w:firstLine="480"/>
        <w:rPr>
          <w:rFonts w:ascii="宋体" w:hAnsi="宋体" w:cs="宋体"/>
        </w:rPr>
      </w:pPr>
      <w:r>
        <w:rPr>
          <w:rFonts w:hint="eastAsia" w:ascii="宋体" w:hAnsi="宋体" w:cs="宋体"/>
        </w:rPr>
        <w:t>17.3在原定响应文件有效期满之前，如果出现特殊情况，</w:t>
      </w:r>
      <w:r>
        <w:rPr>
          <w:rFonts w:hint="eastAsia" w:ascii="宋体" w:hAnsi="宋体" w:cs="宋体"/>
          <w:lang w:eastAsia="zh-CN"/>
        </w:rPr>
        <w:t>采购代理机构</w:t>
      </w:r>
      <w:r>
        <w:rPr>
          <w:rFonts w:hint="eastAsia" w:ascii="宋体" w:hAnsi="宋体" w:cs="宋体"/>
        </w:rPr>
        <w:t>可以以书面形式通知供应商延长响应文件有效期。供应商同意延长的，不得要求或被允许修改其响应文件，供应商拒绝延长的，其响应文件无效。</w:t>
      </w:r>
    </w:p>
    <w:p>
      <w:pPr>
        <w:pStyle w:val="130"/>
        <w:spacing w:before="0"/>
        <w:ind w:firstLine="643"/>
        <w:rPr>
          <w:rFonts w:ascii="宋体" w:hAnsi="宋体" w:cs="宋体"/>
          <w:b/>
          <w:sz w:val="32"/>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四、响应文件开启、资格审查与信用信息查询</w:t>
      </w:r>
    </w:p>
    <w:p>
      <w:pPr>
        <w:pStyle w:val="555"/>
        <w:spacing w:before="0" w:line="360" w:lineRule="auto"/>
        <w:ind w:left="0" w:firstLine="0"/>
        <w:contextualSpacing/>
        <w:rPr>
          <w:rFonts w:ascii="宋体" w:hAnsi="宋体" w:cs="宋体"/>
          <w:sz w:val="24"/>
        </w:rPr>
      </w:pPr>
      <w:r>
        <w:rPr>
          <w:rFonts w:hint="eastAsia" w:ascii="宋体" w:hAnsi="宋体" w:cs="宋体"/>
          <w:b/>
          <w:sz w:val="24"/>
          <w:szCs w:val="24"/>
        </w:rPr>
        <w:t>18.响应文件开启</w:t>
      </w:r>
      <w:r>
        <w:rPr>
          <w:rFonts w:hint="eastAsia" w:ascii="宋体" w:hAnsi="宋体" w:cs="宋体"/>
          <w:sz w:val="24"/>
        </w:rPr>
        <w:t xml:space="preserve"> </w:t>
      </w:r>
    </w:p>
    <w:p>
      <w:pPr>
        <w:pStyle w:val="555"/>
        <w:snapToGrid w:val="0"/>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按照采购文件规定的时间通过电子交易平台组织响应文件开启，所有供应商均应当准时在线参加。供应商不足3家的，不得开启。</w:t>
      </w:r>
    </w:p>
    <w:p>
      <w:pPr>
        <w:pStyle w:val="555"/>
        <w:snapToGrid w:val="0"/>
        <w:spacing w:before="0" w:line="360" w:lineRule="auto"/>
        <w:ind w:left="0" w:firstLine="480" w:firstLineChars="200"/>
        <w:contextualSpacing/>
        <w:rPr>
          <w:rFonts w:ascii="宋体" w:hAnsi="宋体" w:cs="宋体"/>
          <w:sz w:val="24"/>
        </w:rPr>
      </w:pPr>
      <w:r>
        <w:rPr>
          <w:rFonts w:hint="eastAsia" w:ascii="宋体" w:hAnsi="宋体" w:cs="宋体"/>
          <w:sz w:val="24"/>
        </w:rPr>
        <w:t>18.2响应文件开启时，电子交易平台按响应文件开启时间自动提取所有响应文件。</w:t>
      </w:r>
      <w:r>
        <w:rPr>
          <w:rFonts w:hint="eastAsia" w:ascii="宋体" w:hAnsi="宋体" w:cs="宋体"/>
          <w:sz w:val="24"/>
          <w:lang w:eastAsia="zh-CN"/>
        </w:rPr>
        <w:t>采购代理机构</w:t>
      </w:r>
      <w:r>
        <w:rPr>
          <w:rFonts w:hint="eastAsia" w:ascii="宋体" w:hAnsi="宋体" w:cs="宋体"/>
          <w:sz w:val="24"/>
        </w:rPr>
        <w:t>依托电子交易平台发起开始解密指令，供应商按照平台提示和采购文件的规定在半小时内完成在线解密。</w:t>
      </w:r>
    </w:p>
    <w:p>
      <w:pPr>
        <w:pStyle w:val="555"/>
        <w:snapToGrid w:val="0"/>
        <w:spacing w:before="0" w:line="360" w:lineRule="auto"/>
        <w:ind w:left="0" w:firstLine="480" w:firstLineChars="200"/>
        <w:contextualSpacing/>
        <w:rPr>
          <w:rFonts w:ascii="宋体" w:hAnsi="宋体" w:cs="宋体"/>
          <w:sz w:val="24"/>
        </w:rPr>
      </w:pPr>
      <w:r>
        <w:rPr>
          <w:rFonts w:hint="eastAsia" w:ascii="宋体" w:hAnsi="宋体" w:cs="宋体"/>
          <w:sz w:val="24"/>
        </w:rPr>
        <w:t>18.3</w:t>
      </w:r>
      <w:r>
        <w:rPr>
          <w:rFonts w:hint="eastAsia" w:ascii="宋体" w:hAnsi="宋体" w:cs="宋体"/>
          <w:b/>
          <w:bCs/>
          <w:sz w:val="24"/>
        </w:rPr>
        <w:t>响应文件未按时解密，供应商提供了备份响应文件的，以备份响应文件作为依据，否则视为响应文件撤回。响应文件已按时解密的，备份响应文件自动失效。</w:t>
      </w:r>
    </w:p>
    <w:p>
      <w:pPr>
        <w:pStyle w:val="555"/>
        <w:spacing w:before="0" w:line="360" w:lineRule="auto"/>
        <w:ind w:left="0" w:firstLine="0"/>
        <w:contextualSpacing/>
        <w:rPr>
          <w:rFonts w:ascii="宋体" w:hAnsi="宋体" w:cs="宋体"/>
          <w:b/>
          <w:sz w:val="24"/>
          <w:szCs w:val="24"/>
        </w:rPr>
      </w:pPr>
      <w:r>
        <w:rPr>
          <w:rFonts w:hint="eastAsia" w:ascii="宋体" w:hAnsi="宋体" w:cs="宋体"/>
          <w:b/>
          <w:sz w:val="24"/>
          <w:szCs w:val="24"/>
        </w:rPr>
        <w:t>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w:t>
      </w:r>
      <w:r>
        <w:rPr>
          <w:rFonts w:hint="eastAsia" w:ascii="宋体" w:hAnsi="宋体" w:cs="宋体"/>
          <w:sz w:val="24"/>
          <w:lang w:eastAsia="zh-CN"/>
        </w:rPr>
        <w:t>采购代理机构</w:t>
      </w:r>
      <w:r>
        <w:rPr>
          <w:rFonts w:hint="eastAsia" w:ascii="宋体" w:hAnsi="宋体" w:cs="宋体"/>
          <w:sz w:val="24"/>
        </w:rPr>
        <w:t>或磋商小组依据法律法规和采购文件的规定，对供应商的资格进行审查。</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供应商未按照采购文件要求提供与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供应商不具备采购文件中规定的资格要求，其响应文件无效。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对未通过资格审查的供应商，采购人或</w:t>
      </w:r>
      <w:r>
        <w:rPr>
          <w:rFonts w:hint="eastAsia" w:ascii="宋体" w:hAnsi="宋体" w:cs="宋体"/>
          <w:lang w:eastAsia="zh-CN"/>
        </w:rPr>
        <w:t>采购代理机构</w:t>
      </w:r>
      <w:r>
        <w:rPr>
          <w:rFonts w:hint="eastAsia" w:ascii="宋体" w:hAnsi="宋体" w:cs="宋体"/>
        </w:rPr>
        <w:t>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合格供应商不足3家的，不再评审。</w:t>
      </w:r>
    </w:p>
    <w:p>
      <w:pPr>
        <w:pStyle w:val="130"/>
        <w:spacing w:before="0"/>
        <w:ind w:firstLine="0" w:firstLineChars="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将在资格审查时通过“信用中国”网站(www.creditchina.gov.cn)、中国政府采购网(www.ccgp.gov.cn)渠道查询供应商接受资格审查时的信用记录。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20.2信用信息查询记录和证据留存的具体方式：现场查询的供应商的信用记录、查询结果经确认后将与采购文件一起存档。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20.3信用信息的使用规则：经查询列入失信被执行人名单、重大税收违法案件当事人名单、政府采购严重违法失信行为记录名单的供应商将被拒绝参与政府采购活动。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五、评审</w:t>
      </w:r>
    </w:p>
    <w:p>
      <w:pPr>
        <w:spacing w:line="360" w:lineRule="auto"/>
        <w:rPr>
          <w:rFonts w:ascii="宋体" w:hAnsi="宋体" w:cs="宋体"/>
          <w:b/>
          <w:sz w:val="24"/>
        </w:rPr>
      </w:pPr>
      <w:bookmarkStart w:id="17"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磋商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标建议。</w:t>
      </w:r>
      <w:r>
        <w:rPr>
          <w:rFonts w:hint="eastAsia" w:ascii="宋体" w:hAnsi="宋体" w:cs="宋体"/>
          <w:b/>
          <w:sz w:val="24"/>
        </w:rPr>
        <w:t>详见采购文件第四部分评审办法。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六、成交供应商确定</w:t>
      </w:r>
    </w:p>
    <w:p>
      <w:pPr>
        <w:pStyle w:val="28"/>
        <w:spacing w:line="360" w:lineRule="auto"/>
        <w:ind w:left="479" w:hanging="479" w:hangingChars="199"/>
        <w:rPr>
          <w:rFonts w:cs="宋体"/>
          <w:b/>
        </w:rPr>
      </w:pPr>
      <w:r>
        <w:rPr>
          <w:rFonts w:hint="eastAsia" w:cs="宋体"/>
          <w:b/>
        </w:rPr>
        <w:t>22. 确定成交供应商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成交通知与成交结果公告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23.1自成交供应商确定之日起1个工作日内，</w:t>
      </w:r>
      <w:r>
        <w:rPr>
          <w:rFonts w:hint="eastAsia" w:ascii="宋体" w:hAnsi="宋体" w:cs="宋体"/>
          <w:sz w:val="24"/>
          <w:lang w:eastAsia="zh-CN"/>
        </w:rPr>
        <w:t>采购代理机构</w:t>
      </w:r>
      <w:r>
        <w:rPr>
          <w:rFonts w:hint="eastAsia" w:ascii="宋体" w:hAnsi="宋体" w:cs="宋体"/>
          <w:sz w:val="24"/>
        </w:rPr>
        <w:t>通过电子交易平台向成交供应商发出成交通知书，同时编制发布采购结果公告。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也可以以纸质形式进行成交通知。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23.2成交结果公告内容包括采购人及其委托的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成交供应商名称、地址和成交金额，主要成交标的的名称、规格型号、数量、单价、服务要求，开标记录、资格审查情况、评审专家抽取规则、符合性审查情况、未成交情况说明、成交结果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七、合同授予</w:t>
      </w:r>
    </w:p>
    <w:p>
      <w:pPr>
        <w:pStyle w:val="28"/>
        <w:snapToGrid w:val="0"/>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8"/>
        <w:snapToGrid w:val="0"/>
        <w:spacing w:line="360" w:lineRule="auto"/>
        <w:ind w:left="479" w:hanging="479" w:hangingChars="199"/>
        <w:rPr>
          <w:rFonts w:cs="宋体"/>
          <w:b/>
        </w:rPr>
      </w:pPr>
      <w:r>
        <w:rPr>
          <w:rFonts w:hint="eastAsia" w:cs="宋体"/>
          <w:b/>
        </w:rPr>
        <w:t>25. 合同的签订</w:t>
      </w:r>
    </w:p>
    <w:p>
      <w:pPr>
        <w:widowControl/>
        <w:shd w:val="clear" w:color="auto" w:fill="FFFFFF"/>
        <w:snapToGrid w:val="0"/>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成交供应商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25.2成交供应商按规定的日期、时间、地点，由法定代表人或其授权代表与采购人代表签订合同。如成交供应商为联合体的，由联合体成员各方法定代表人或其授权代表与采购人代表签订合同。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成交供应商拒绝与采购人签订合同的，采购人可以按照评审报告推荐的成交候选人名单排序，确定下一候选人为成交供应商，也可以重新开展政府采购活动。拒绝与采购人签订合同的成交供应商应承担采购代理服务费、评审专家劳务报酬等相关费用。</w:t>
      </w:r>
    </w:p>
    <w:p>
      <w:pPr>
        <w:pStyle w:val="130"/>
        <w:snapToGrid w:val="0"/>
        <w:spacing w:before="0"/>
        <w:ind w:firstLine="480"/>
        <w:rPr>
          <w:rFonts w:ascii="宋体" w:hAnsi="宋体" w:cs="宋体"/>
        </w:rPr>
      </w:pPr>
      <w:r>
        <w:rPr>
          <w:rFonts w:hint="eastAsia" w:ascii="宋体" w:hAnsi="宋体" w:cs="宋体"/>
        </w:rPr>
        <w:t>25.5采购合同由采购人与成交供应商根据采购文件、响应文件等内容通过政府采购电子交易平台在线签订，自动备案。</w:t>
      </w:r>
    </w:p>
    <w:p>
      <w:pPr>
        <w:pStyle w:val="28"/>
        <w:snapToGrid w:val="0"/>
        <w:spacing w:line="360" w:lineRule="auto"/>
        <w:ind w:left="479" w:hanging="479" w:hangingChars="199"/>
        <w:rPr>
          <w:rFonts w:cs="宋体"/>
          <w:b/>
        </w:rPr>
      </w:pPr>
      <w:r>
        <w:rPr>
          <w:rFonts w:hint="eastAsia" w:cs="宋体"/>
          <w:b/>
        </w:rPr>
        <w:t>26. 履约保证金</w:t>
      </w:r>
    </w:p>
    <w:p>
      <w:pPr>
        <w:tabs>
          <w:tab w:val="left" w:pos="0"/>
        </w:tabs>
        <w:snapToGrid w:val="0"/>
        <w:spacing w:line="360" w:lineRule="auto"/>
        <w:ind w:firstLine="482"/>
        <w:rPr>
          <w:rFonts w:ascii="宋体" w:hAnsi="宋体" w:cs="宋体"/>
          <w:sz w:val="24"/>
        </w:rPr>
      </w:pPr>
      <w:r>
        <w:rPr>
          <w:rFonts w:hint="eastAsia" w:ascii="宋体" w:hAnsi="宋体" w:cs="宋体"/>
          <w:kern w:val="0"/>
          <w:sz w:val="24"/>
        </w:rPr>
        <w:t>拟签订的合同文本要求成交供应商提交履约保证金的，供应商应当以支票、汇票、本票或者金融机构、担保机构出具的保函等非现金形式提交</w:t>
      </w:r>
      <w:r>
        <w:rPr>
          <w:rFonts w:hint="eastAsia" w:ascii="宋体" w:hAnsi="宋体" w:cs="宋体"/>
          <w:sz w:val="24"/>
        </w:rPr>
        <w:t>。</w:t>
      </w:r>
      <w:r>
        <w:rPr>
          <w:rFonts w:hint="eastAsia" w:ascii="宋体" w:hAnsi="宋体" w:cs="宋体"/>
          <w:sz w:val="24"/>
          <w:highlight w:val="none"/>
        </w:rPr>
        <w:t>杭州市政府采购网公布的供应商履约评价为满分的供应商，采购单位应当免收履约保证金。确需收取履约保证金的，履约保证金缴纳最高比例由不超过</w:t>
      </w:r>
      <w:r>
        <w:rPr>
          <w:rFonts w:hint="eastAsia" w:ascii="宋体" w:hAnsi="宋体" w:cs="宋体"/>
          <w:kern w:val="2"/>
          <w:sz w:val="24"/>
          <w:highlight w:val="none"/>
        </w:rPr>
        <w:t>合同金额的</w:t>
      </w:r>
      <w:r>
        <w:rPr>
          <w:rFonts w:ascii="宋体" w:hAnsi="宋体" w:cs="宋体"/>
          <w:kern w:val="2"/>
          <w:sz w:val="24"/>
          <w:highlight w:val="none"/>
        </w:rPr>
        <w:t>1%</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sz w:val="24"/>
          <w:highlight w:val="none"/>
        </w:rPr>
        <w:t>采购单位鼓励供应商采取履约保函形式提供信用保证；供应商提供保函</w:t>
      </w:r>
      <w:r>
        <w:rPr>
          <w:rFonts w:hint="eastAsia" w:ascii="宋体" w:hAnsi="宋体" w:cs="宋体"/>
          <w:sz w:val="24"/>
        </w:rPr>
        <w:t>的，采购单位不得拒收。项目验收结束后应及时退还，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5"/>
        <w:snapToGrid w:val="0"/>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八、电子交易活动的中止</w:t>
      </w:r>
    </w:p>
    <w:p>
      <w:pPr>
        <w:pStyle w:val="130"/>
        <w:snapToGrid w:val="0"/>
        <w:spacing w:before="0"/>
        <w:ind w:firstLine="0" w:firstLineChars="0"/>
        <w:rPr>
          <w:rFonts w:ascii="宋体" w:hAnsi="宋体" w:cs="宋体"/>
        </w:rPr>
      </w:pPr>
      <w:r>
        <w:rPr>
          <w:rFonts w:ascii="宋体" w:hAnsi="宋体" w:cs="宋体"/>
          <w:b/>
          <w:bCs/>
          <w:kern w:val="2"/>
          <w:szCs w:val="20"/>
        </w:rPr>
        <w:t>2</w:t>
      </w:r>
      <w:r>
        <w:rPr>
          <w:rFonts w:ascii="宋体" w:hAnsi="宋体" w:cs="宋体"/>
          <w:b/>
          <w:bCs/>
          <w:kern w:val="2"/>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0"/>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0"/>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0"/>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九、验收</w:t>
      </w:r>
    </w:p>
    <w:p>
      <w:pPr>
        <w:pStyle w:val="28"/>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kern w:val="0"/>
          <w:sz w:val="24"/>
        </w:rPr>
        <w:sectPr>
          <w:pgSz w:w="11906" w:h="16838"/>
          <w:pgMar w:top="1440" w:right="1080" w:bottom="1440" w:left="1080" w:header="851" w:footer="992" w:gutter="0"/>
          <w:cols w:space="720" w:num="1"/>
          <w:titlePg/>
          <w:docGrid w:linePitch="312" w:charSpace="0"/>
        </w:sectPr>
      </w:pPr>
      <w:bookmarkStart w:id="18" w:name="_Hlt68072990"/>
      <w:bookmarkEnd w:id="18"/>
      <w:bookmarkStart w:id="19" w:name="_Hlt75236290"/>
      <w:bookmarkEnd w:id="19"/>
      <w:bookmarkStart w:id="20" w:name="_Hlt74729768"/>
      <w:bookmarkEnd w:id="20"/>
      <w:bookmarkStart w:id="21" w:name="_Hlt74707468"/>
      <w:bookmarkEnd w:id="21"/>
      <w:bookmarkStart w:id="22" w:name="_Hlt74714665"/>
      <w:bookmarkEnd w:id="22"/>
      <w:bookmarkStart w:id="23" w:name="_Hlt68403820"/>
      <w:bookmarkEnd w:id="23"/>
      <w:bookmarkStart w:id="24" w:name="_Hlt68057669"/>
      <w:bookmarkEnd w:id="24"/>
      <w:bookmarkStart w:id="25" w:name="_Hlt75236101"/>
      <w:bookmarkEnd w:id="25"/>
      <w:bookmarkStart w:id="26" w:name="_Hlt74730295"/>
      <w:bookmarkEnd w:id="26"/>
      <w:bookmarkStart w:id="27" w:name="_Hlt68072998"/>
      <w:bookmarkEnd w:id="27"/>
      <w:bookmarkStart w:id="28" w:name="_Hlt68073093"/>
      <w:bookmarkEnd w:id="28"/>
      <w:bookmarkStart w:id="29" w:name="_Hlt75236011"/>
      <w:bookmarkEnd w:id="29"/>
    </w:p>
    <w:bookmarkEnd w:id="12"/>
    <w:bookmarkEnd w:id="13"/>
    <w:p>
      <w:pPr>
        <w:pStyle w:val="36"/>
        <w:spacing w:line="360" w:lineRule="auto"/>
        <w:jc w:val="center"/>
        <w:rPr>
          <w:rFonts w:hAnsi="宋体" w:cs="宋体"/>
          <w:b/>
          <w:snapToGrid/>
          <w:sz w:val="36"/>
          <w:szCs w:val="20"/>
        </w:rPr>
      </w:pPr>
      <w:bookmarkStart w:id="30" w:name="第四部分"/>
      <w:r>
        <w:rPr>
          <w:rFonts w:hint="eastAsia" w:hAnsi="宋体" w:cs="宋体"/>
          <w:b/>
          <w:snapToGrid/>
          <w:sz w:val="36"/>
          <w:szCs w:val="20"/>
        </w:rPr>
        <w:t>第三部分 采购需求</w:t>
      </w:r>
    </w:p>
    <w:p>
      <w:pPr>
        <w:spacing w:line="360" w:lineRule="auto"/>
        <w:ind w:firstLine="422" w:firstLineChars="200"/>
        <w:outlineLvl w:val="1"/>
        <w:rPr>
          <w:rFonts w:hint="eastAsia" w:asciiTheme="minorEastAsia" w:hAnsiTheme="minorEastAsia" w:eastAsiaTheme="minorEastAsia" w:cstheme="minorEastAsia"/>
          <w:b/>
          <w:bCs/>
          <w:color w:val="auto"/>
          <w:sz w:val="21"/>
          <w:szCs w:val="21"/>
          <w:highlight w:val="none"/>
          <w:lang w:val="zh-CN"/>
        </w:rPr>
      </w:pPr>
      <w:bookmarkStart w:id="31" w:name="_Toc15647"/>
      <w:bookmarkStart w:id="32" w:name="_Toc430590629"/>
      <w:r>
        <w:rPr>
          <w:rFonts w:hint="eastAsia" w:asciiTheme="minorEastAsia" w:hAnsiTheme="minorEastAsia" w:eastAsiaTheme="minorEastAsia" w:cstheme="minorEastAsia"/>
          <w:b/>
          <w:bCs/>
          <w:color w:val="auto"/>
          <w:sz w:val="21"/>
          <w:szCs w:val="21"/>
          <w:highlight w:val="none"/>
          <w:lang w:val="zh-CN"/>
        </w:rPr>
        <w:t>一、项目概况</w:t>
      </w:r>
      <w:bookmarkEnd w:id="31"/>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w:t>
      </w:r>
      <w:r>
        <w:rPr>
          <w:rFonts w:hint="eastAsia" w:asciiTheme="minorEastAsia" w:hAnsiTheme="minorEastAsia" w:eastAsiaTheme="minorEastAsia" w:cstheme="minorEastAsia"/>
          <w:color w:val="000000"/>
          <w:kern w:val="0"/>
          <w:sz w:val="21"/>
          <w:szCs w:val="21"/>
          <w:highlight w:val="none"/>
          <w:lang w:eastAsia="zh-CN"/>
        </w:rPr>
        <w:t>杭州市丁桥医院年度零星修缮项目</w:t>
      </w:r>
      <w:r>
        <w:rPr>
          <w:rFonts w:hint="eastAsia" w:asciiTheme="minorEastAsia" w:hAnsiTheme="minorEastAsia" w:eastAsiaTheme="minorEastAsia" w:cstheme="minorEastAsia"/>
          <w:color w:val="auto"/>
          <w:sz w:val="21"/>
          <w:szCs w:val="21"/>
          <w:highlight w:val="none"/>
          <w:lang w:val="en-US" w:eastAsia="zh-CN"/>
        </w:rPr>
        <w:t>（包含医院日常的零星修缮和零星工程，每个零星工程单项造价在50万元以内），具体内容包括零星砌墙、零星粉刷、零星油漆、门窗修补、零星屋面防水、零星道路修补、零星水电抢修、零星木工等日常零星维修项目和和零星工程项目</w:t>
      </w:r>
      <w:r>
        <w:rPr>
          <w:rFonts w:hint="eastAsia" w:asciiTheme="minorEastAsia" w:hAnsiTheme="minorEastAsia" w:eastAsiaTheme="minorEastAsia" w:cstheme="minorEastAsia"/>
          <w:color w:val="auto"/>
          <w:sz w:val="21"/>
          <w:szCs w:val="21"/>
          <w:highlight w:val="none"/>
        </w:rPr>
        <w:t>。主要包括以下内容：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1、围墙、房屋、基础设施、水电管线等维修、改造；</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2、办公室、实验室、会议室等装修、改建。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、及时清理因维护、修缮造成的垃圾和对环境造成的影响。垃圾及时清运；</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、一定数量的劳务服务（根据业主需要确定）；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、其他需要维修的项目。</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（二）服务期一年，在服务期内成交供应商须派出专业施工团队全年驻院承担维修改造及零星修缮，并分项审计结算。</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三</w:t>
      </w:r>
      <w:r>
        <w:rPr>
          <w:rFonts w:hint="eastAsia" w:asciiTheme="minorEastAsia" w:hAnsiTheme="minorEastAsia" w:eastAsiaTheme="minorEastAsia" w:cstheme="minorEastAsia"/>
          <w:color w:val="auto"/>
          <w:sz w:val="21"/>
          <w:szCs w:val="21"/>
          <w:highlight w:val="none"/>
        </w:rPr>
        <w:t>）预算资金：</w:t>
      </w:r>
      <w:r>
        <w:rPr>
          <w:rFonts w:hint="eastAsia" w:asciiTheme="minorEastAsia" w:hAnsiTheme="minorEastAsia" w:eastAsiaTheme="minorEastAsia" w:cstheme="minorEastAsia"/>
          <w:color w:val="auto"/>
          <w:sz w:val="21"/>
          <w:szCs w:val="21"/>
          <w:highlight w:val="none"/>
          <w:lang w:val="en-US" w:eastAsia="zh-CN"/>
        </w:rPr>
        <w:t>280万元</w:t>
      </w:r>
      <w:r>
        <w:rPr>
          <w:rFonts w:hint="eastAsia" w:asciiTheme="minorEastAsia" w:hAnsiTheme="minorEastAsia" w:eastAsiaTheme="minorEastAsia" w:cstheme="minorEastAsia"/>
          <w:color w:val="auto"/>
          <w:sz w:val="21"/>
          <w:szCs w:val="21"/>
          <w:highlight w:val="none"/>
        </w:rPr>
        <w:t>。</w:t>
      </w:r>
    </w:p>
    <w:p>
      <w:pPr>
        <w:spacing w:line="360" w:lineRule="auto"/>
        <w:ind w:firstLine="422" w:firstLineChars="200"/>
        <w:outlineLvl w:val="1"/>
        <w:rPr>
          <w:rFonts w:hint="eastAsia" w:asciiTheme="minorEastAsia" w:hAnsiTheme="minorEastAsia" w:eastAsiaTheme="minorEastAsia" w:cstheme="minorEastAsia"/>
          <w:color w:val="auto"/>
          <w:sz w:val="21"/>
          <w:szCs w:val="21"/>
          <w:highlight w:val="none"/>
        </w:rPr>
      </w:pPr>
      <w:bookmarkStart w:id="33" w:name="_Toc5907"/>
      <w:r>
        <w:rPr>
          <w:rFonts w:hint="eastAsia" w:asciiTheme="minorEastAsia" w:hAnsiTheme="minorEastAsia" w:eastAsiaTheme="minorEastAsia" w:cstheme="minorEastAsia"/>
          <w:b/>
          <w:bCs/>
          <w:color w:val="auto"/>
          <w:sz w:val="21"/>
          <w:szCs w:val="21"/>
          <w:highlight w:val="none"/>
          <w:lang w:val="zh-CN"/>
        </w:rPr>
        <w:t>二、</w:t>
      </w:r>
      <w:bookmarkStart w:id="34" w:name="_Toc377325352"/>
      <w:r>
        <w:rPr>
          <w:rFonts w:hint="eastAsia" w:asciiTheme="minorEastAsia" w:hAnsiTheme="minorEastAsia" w:eastAsiaTheme="minorEastAsia" w:cstheme="minorEastAsia"/>
          <w:b/>
          <w:bCs/>
          <w:color w:val="auto"/>
          <w:sz w:val="21"/>
          <w:szCs w:val="21"/>
          <w:highlight w:val="none"/>
          <w:lang w:val="en-US" w:eastAsia="zh-CN"/>
        </w:rPr>
        <w:t>项目内容及</w:t>
      </w:r>
      <w:r>
        <w:rPr>
          <w:rFonts w:hint="eastAsia" w:asciiTheme="minorEastAsia" w:hAnsiTheme="minorEastAsia" w:eastAsiaTheme="minorEastAsia" w:cstheme="minorEastAsia"/>
          <w:b/>
          <w:bCs/>
          <w:color w:val="auto"/>
          <w:sz w:val="21"/>
          <w:szCs w:val="21"/>
          <w:highlight w:val="none"/>
          <w:lang w:val="zh-CN"/>
        </w:rPr>
        <w:t>服务</w:t>
      </w:r>
      <w:bookmarkEnd w:id="34"/>
      <w:r>
        <w:rPr>
          <w:rFonts w:hint="eastAsia" w:asciiTheme="minorEastAsia" w:hAnsiTheme="minorEastAsia" w:eastAsiaTheme="minorEastAsia" w:cstheme="minorEastAsia"/>
          <w:b/>
          <w:bCs/>
          <w:color w:val="auto"/>
          <w:sz w:val="21"/>
          <w:szCs w:val="21"/>
          <w:highlight w:val="none"/>
          <w:lang w:val="zh-CN"/>
        </w:rPr>
        <w:t>要求</w:t>
      </w:r>
      <w:bookmarkEnd w:id="33"/>
      <w:r>
        <w:rPr>
          <w:rFonts w:hint="eastAsia" w:asciiTheme="minorEastAsia" w:hAnsiTheme="minorEastAsia" w:eastAsiaTheme="minorEastAsia" w:cstheme="minorEastAsia"/>
          <w:color w:val="auto"/>
          <w:sz w:val="21"/>
          <w:szCs w:val="21"/>
          <w:highlight w:val="none"/>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bookmarkStart w:id="35" w:name="_Toc382404981"/>
      <w:r>
        <w:rPr>
          <w:rFonts w:hint="eastAsia" w:asciiTheme="minorEastAsia" w:hAnsiTheme="minorEastAsia" w:eastAsiaTheme="minorEastAsia" w:cstheme="minorEastAsia"/>
          <w:color w:val="auto"/>
          <w:sz w:val="21"/>
          <w:szCs w:val="21"/>
          <w:highlight w:val="none"/>
        </w:rPr>
        <w:t>1、具体实施内容在合同实施期内由采购人按需通知。除完成现场维修工作外，工作内容还包括与本次维修有关的以下内容：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（1）采购人根据维修改造</w:t>
      </w:r>
      <w:r>
        <w:rPr>
          <w:rFonts w:hint="eastAsia" w:asciiTheme="minorEastAsia" w:hAnsiTheme="minorEastAsia" w:eastAsiaTheme="minorEastAsia" w:cstheme="minorEastAsia"/>
          <w:color w:val="auto"/>
          <w:sz w:val="21"/>
          <w:szCs w:val="21"/>
          <w:highlight w:val="none"/>
          <w:lang w:eastAsia="zh-CN"/>
        </w:rPr>
        <w:t>项目</w:t>
      </w:r>
      <w:r>
        <w:rPr>
          <w:rFonts w:hint="eastAsia" w:asciiTheme="minorEastAsia" w:hAnsiTheme="minorEastAsia" w:eastAsiaTheme="minorEastAsia" w:cstheme="minorEastAsia"/>
          <w:color w:val="auto"/>
          <w:sz w:val="21"/>
          <w:szCs w:val="21"/>
          <w:highlight w:val="none"/>
        </w:rPr>
        <w:t>情况要求供应商完成的其他工作和配合工作。</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（2）负责</w:t>
      </w:r>
      <w:r>
        <w:rPr>
          <w:rFonts w:hint="eastAsia" w:asciiTheme="minorEastAsia" w:hAnsiTheme="minorEastAsia" w:eastAsiaTheme="minorEastAsia" w:cstheme="minorEastAsia"/>
          <w:color w:val="auto"/>
          <w:sz w:val="21"/>
          <w:szCs w:val="21"/>
          <w:highlight w:val="none"/>
          <w:lang w:eastAsia="zh-CN"/>
        </w:rPr>
        <w:t>项目</w:t>
      </w:r>
      <w:r>
        <w:rPr>
          <w:rFonts w:hint="eastAsia" w:asciiTheme="minorEastAsia" w:hAnsiTheme="minorEastAsia" w:eastAsiaTheme="minorEastAsia" w:cstheme="minorEastAsia"/>
          <w:color w:val="auto"/>
          <w:sz w:val="21"/>
          <w:szCs w:val="21"/>
          <w:highlight w:val="none"/>
        </w:rPr>
        <w:t>竣工验收技术资料的汇总、整理、移交工作。</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2、本</w:t>
      </w:r>
      <w:r>
        <w:rPr>
          <w:rFonts w:hint="eastAsia" w:asciiTheme="minorEastAsia" w:hAnsiTheme="minorEastAsia" w:eastAsiaTheme="minorEastAsia" w:cstheme="minorEastAsia"/>
          <w:color w:val="auto"/>
          <w:sz w:val="21"/>
          <w:szCs w:val="21"/>
          <w:highlight w:val="none"/>
          <w:lang w:eastAsia="zh-CN"/>
        </w:rPr>
        <w:t>项目</w:t>
      </w:r>
      <w:r>
        <w:rPr>
          <w:rFonts w:hint="eastAsia" w:asciiTheme="minorEastAsia" w:hAnsiTheme="minorEastAsia" w:eastAsiaTheme="minorEastAsia" w:cstheme="minorEastAsia"/>
          <w:color w:val="auto"/>
          <w:sz w:val="21"/>
          <w:szCs w:val="21"/>
          <w:highlight w:val="none"/>
        </w:rPr>
        <w:t>施工、验收、材料的选用必须符合设计文件要求和现行的相关标准和技术规范。</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、施工质量目标</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（1）符合设计要求，工程质量达到国家规定的验收合格标准，确保一次性验收合格。</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（2）供应商中标后必须严格按合同条款、施工图设计及审定的施工组织设计方案及相关施工规范、技术标准精心组织施工。</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、施工工期（或进度）要求及其他</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（1）在合同约定的服务期内，各项工作的进度须无条件配合医院工作的要求，所有与此有关的赶工费、窝工费、加班费等技术措施和组织措施费、风险费等均考虑在投标报价因素中。</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供应商根据各自的施工经验以及工程特点，现场提供的条件，同时充分考虑各种可能产生的不利因素，并结合企业自身实力，在响应文件中做出承诺，全部工作必须确保安全和质量，并满足采购人对工期和进度的要求。</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sz w:val="21"/>
          <w:szCs w:val="21"/>
          <w:highlight w:val="none"/>
        </w:rPr>
        <w:t>医院管理部门下达维修通知后，如未及时到场维修或未在按采购人要求的时间内完成，则零星工程在项目最终审定后扣除审定金额5％处罚金；零星修缮等每发生一次由采购人在工程款中扣除1000元处罚金</w:t>
      </w:r>
      <w:r>
        <w:rPr>
          <w:rFonts w:hint="eastAsia" w:asciiTheme="minorEastAsia" w:hAnsiTheme="minorEastAsia" w:eastAsiaTheme="minorEastAsia" w:cstheme="minorEastAsia"/>
          <w:color w:val="auto"/>
          <w:sz w:val="21"/>
          <w:szCs w:val="21"/>
          <w:highlight w:val="none"/>
          <w:lang w:val="en-US" w:eastAsia="zh-CN"/>
        </w:rPr>
        <w:t>；情节严重的，采购人可单方解除合同，并保留追究其</w:t>
      </w:r>
      <w:r>
        <w:rPr>
          <w:rFonts w:hint="eastAsia" w:asciiTheme="minorEastAsia" w:hAnsiTheme="minorEastAsia" w:eastAsiaTheme="minorEastAsia" w:cstheme="minorEastAsia"/>
          <w:color w:val="auto"/>
          <w:sz w:val="21"/>
          <w:szCs w:val="21"/>
          <w:highlight w:val="none"/>
        </w:rPr>
        <w:t>承担法律责任的权力。</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、服务人员要求</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要求为本项目提供驻院服务，并随叫随到，保证维修工程及时完成；</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（1）驻院服务的人员队伍至少包括</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现场</w:t>
      </w:r>
      <w:r>
        <w:rPr>
          <w:rFonts w:hint="eastAsia" w:asciiTheme="minorEastAsia" w:hAnsiTheme="minorEastAsia" w:eastAsiaTheme="minorEastAsia" w:cstheme="minorEastAsia"/>
          <w:color w:val="auto"/>
          <w:sz w:val="21"/>
          <w:szCs w:val="21"/>
          <w:highlight w:val="none"/>
        </w:rPr>
        <w:t>负责人1名</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水电安装工</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名，</w:t>
      </w:r>
      <w:r>
        <w:rPr>
          <w:rFonts w:hint="eastAsia" w:asciiTheme="minorEastAsia" w:hAnsiTheme="minorEastAsia" w:eastAsiaTheme="minorEastAsia" w:cstheme="minorEastAsia"/>
          <w:color w:val="auto"/>
          <w:sz w:val="21"/>
          <w:szCs w:val="21"/>
          <w:highlight w:val="none"/>
          <w:lang w:val="en-US" w:eastAsia="zh-CN"/>
        </w:rPr>
        <w:t>木</w:t>
      </w:r>
      <w:r>
        <w:rPr>
          <w:rFonts w:hint="eastAsia" w:asciiTheme="minorEastAsia" w:hAnsiTheme="minorEastAsia" w:eastAsiaTheme="minorEastAsia" w:cstheme="minorEastAsia"/>
          <w:color w:val="auto"/>
          <w:sz w:val="21"/>
          <w:szCs w:val="21"/>
          <w:highlight w:val="none"/>
        </w:rPr>
        <w:t>工1名，</w:t>
      </w:r>
      <w:r>
        <w:rPr>
          <w:rFonts w:hint="eastAsia" w:asciiTheme="minorEastAsia" w:hAnsiTheme="minorEastAsia" w:eastAsiaTheme="minorEastAsia" w:cstheme="minorEastAsia"/>
          <w:color w:val="auto"/>
          <w:sz w:val="21"/>
          <w:szCs w:val="21"/>
          <w:highlight w:val="none"/>
          <w:lang w:eastAsia="zh-CN"/>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）其他工种按维修工作需要配置；要求派出人数、专业和工种与施工内容相符，且有相应的施工经验和上岗证。供应商应提供各个工种拟派驻服务的具体人员名单，并有施工项目经历和上岗证等履历。</w:t>
      </w:r>
    </w:p>
    <w:p>
      <w:pPr>
        <w:spacing w:line="360" w:lineRule="auto"/>
        <w:ind w:firstLine="422" w:firstLineChars="200"/>
        <w:outlineLvl w:val="1"/>
        <w:rPr>
          <w:rFonts w:hint="eastAsia" w:asciiTheme="minorEastAsia" w:hAnsiTheme="minorEastAsia" w:eastAsiaTheme="minorEastAsia" w:cstheme="minorEastAsia"/>
          <w:b/>
          <w:bCs/>
          <w:color w:val="auto"/>
          <w:sz w:val="21"/>
          <w:szCs w:val="21"/>
          <w:highlight w:val="none"/>
          <w:lang w:val="zh-CN"/>
        </w:rPr>
      </w:pPr>
      <w:bookmarkStart w:id="36" w:name="_Toc21168"/>
      <w:r>
        <w:rPr>
          <w:rFonts w:hint="eastAsia" w:asciiTheme="minorEastAsia" w:hAnsiTheme="minorEastAsia" w:eastAsiaTheme="minorEastAsia" w:cstheme="minorEastAsia"/>
          <w:b/>
          <w:bCs/>
          <w:color w:val="auto"/>
          <w:sz w:val="21"/>
          <w:szCs w:val="21"/>
          <w:highlight w:val="none"/>
          <w:lang w:val="zh-CN"/>
        </w:rPr>
        <w:t>三、工程质量保修期</w:t>
      </w:r>
      <w:bookmarkEnd w:id="36"/>
    </w:p>
    <w:p>
      <w:pPr>
        <w:spacing w:line="360"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sz w:val="21"/>
          <w:szCs w:val="21"/>
          <w:highlight w:val="none"/>
          <w:lang w:val="en-US" w:eastAsia="zh-CN"/>
        </w:rPr>
        <w:t>零星</w:t>
      </w:r>
      <w:r>
        <w:rPr>
          <w:rFonts w:hint="eastAsia" w:asciiTheme="minorEastAsia" w:hAnsiTheme="minorEastAsia" w:eastAsiaTheme="minorEastAsia" w:cstheme="minorEastAsia"/>
          <w:b/>
          <w:bCs/>
          <w:sz w:val="21"/>
          <w:szCs w:val="21"/>
          <w:highlight w:val="none"/>
        </w:rPr>
        <w:t>工程保修期为</w:t>
      </w:r>
      <w:r>
        <w:rPr>
          <w:rFonts w:hint="eastAsia" w:asciiTheme="minorEastAsia" w:hAnsiTheme="minorEastAsia" w:eastAsiaTheme="minorEastAsia" w:cstheme="minorEastAsia"/>
          <w:b/>
          <w:bCs/>
          <w:sz w:val="21"/>
          <w:szCs w:val="21"/>
          <w:highlight w:val="none"/>
          <w:lang w:val="en-US" w:eastAsia="zh-CN"/>
        </w:rPr>
        <w:t>贰</w:t>
      </w:r>
      <w:r>
        <w:rPr>
          <w:rFonts w:hint="eastAsia" w:asciiTheme="minorEastAsia" w:hAnsiTheme="minorEastAsia" w:eastAsiaTheme="minorEastAsia" w:cstheme="minorEastAsia"/>
          <w:b/>
          <w:bCs/>
          <w:sz w:val="21"/>
          <w:szCs w:val="21"/>
          <w:highlight w:val="none"/>
        </w:rPr>
        <w:t>年；零星维修项目保修期为</w:t>
      </w:r>
      <w:r>
        <w:rPr>
          <w:rFonts w:hint="eastAsia" w:asciiTheme="minorEastAsia" w:hAnsiTheme="minorEastAsia" w:eastAsiaTheme="minorEastAsia" w:cstheme="minorEastAsia"/>
          <w:b/>
          <w:bCs/>
          <w:sz w:val="21"/>
          <w:szCs w:val="21"/>
          <w:highlight w:val="none"/>
          <w:lang w:eastAsia="zh-CN"/>
        </w:rPr>
        <w:t>一</w:t>
      </w:r>
      <w:r>
        <w:rPr>
          <w:rFonts w:hint="eastAsia" w:asciiTheme="minorEastAsia" w:hAnsiTheme="minorEastAsia" w:eastAsiaTheme="minorEastAsia" w:cstheme="minorEastAsia"/>
          <w:b/>
          <w:bCs/>
          <w:sz w:val="21"/>
          <w:szCs w:val="21"/>
          <w:highlight w:val="none"/>
        </w:rPr>
        <w:t>年</w:t>
      </w:r>
      <w:r>
        <w:rPr>
          <w:rFonts w:hint="eastAsia" w:asciiTheme="minorEastAsia" w:hAnsiTheme="minorEastAsia" w:eastAsiaTheme="minorEastAsia" w:cstheme="minorEastAsia"/>
          <w:color w:val="auto"/>
          <w:sz w:val="21"/>
          <w:szCs w:val="21"/>
          <w:highlight w:val="none"/>
        </w:rPr>
        <w:t>。在</w:t>
      </w:r>
      <w:r>
        <w:rPr>
          <w:rFonts w:hint="eastAsia" w:asciiTheme="minorEastAsia" w:hAnsiTheme="minorEastAsia" w:eastAsiaTheme="minorEastAsia" w:cstheme="minorEastAsia"/>
          <w:color w:val="auto"/>
          <w:sz w:val="21"/>
          <w:szCs w:val="21"/>
          <w:highlight w:val="none"/>
          <w:lang w:val="en-US" w:eastAsia="zh-CN"/>
        </w:rPr>
        <w:t>保修期</w:t>
      </w:r>
      <w:r>
        <w:rPr>
          <w:rFonts w:hint="eastAsia" w:asciiTheme="minorEastAsia" w:hAnsiTheme="minorEastAsia" w:eastAsiaTheme="minorEastAsia" w:cstheme="minorEastAsia"/>
          <w:color w:val="auto"/>
          <w:sz w:val="21"/>
          <w:szCs w:val="21"/>
          <w:highlight w:val="none"/>
        </w:rPr>
        <w:t>内因乙方原因导致维修工程出现质量问题，乙方应负责重新维修，并承担一切费用。</w:t>
      </w:r>
    </w:p>
    <w:p>
      <w:pPr>
        <w:pStyle w:val="5"/>
        <w:ind w:left="428" w:leftChars="200" w:hanging="8" w:hangingChars="4"/>
        <w:rPr>
          <w:rFonts w:hint="eastAsia" w:asciiTheme="minorEastAsia" w:hAnsiTheme="minorEastAsia" w:eastAsiaTheme="minorEastAsia" w:cstheme="minorEastAsia"/>
          <w:color w:val="auto"/>
          <w:sz w:val="21"/>
          <w:szCs w:val="21"/>
          <w:highlight w:val="none"/>
        </w:rPr>
      </w:pPr>
      <w:bookmarkStart w:id="37" w:name="_Toc44242817"/>
      <w:bookmarkStart w:id="38" w:name="_Toc23777"/>
      <w:bookmarkStart w:id="39" w:name="_Toc25106"/>
      <w:r>
        <w:rPr>
          <w:rFonts w:hint="eastAsia" w:asciiTheme="minorEastAsia" w:hAnsiTheme="minorEastAsia" w:eastAsiaTheme="minorEastAsia" w:cstheme="minorEastAsia"/>
          <w:bCs w:val="0"/>
          <w:color w:val="auto"/>
          <w:sz w:val="21"/>
          <w:szCs w:val="21"/>
          <w:highlight w:val="none"/>
        </w:rPr>
        <w:t>四、</w:t>
      </w:r>
      <w:bookmarkEnd w:id="35"/>
      <w:r>
        <w:rPr>
          <w:rFonts w:hint="eastAsia" w:asciiTheme="minorEastAsia" w:hAnsiTheme="minorEastAsia" w:eastAsiaTheme="minorEastAsia" w:cstheme="minorEastAsia"/>
          <w:color w:val="auto"/>
          <w:sz w:val="21"/>
          <w:szCs w:val="21"/>
          <w:highlight w:val="none"/>
        </w:rPr>
        <w:t>标准及规范</w:t>
      </w:r>
      <w:bookmarkEnd w:id="37"/>
      <w:bookmarkEnd w:id="38"/>
      <w:bookmarkEnd w:id="39"/>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（1）中华人民共和国国家标准。</w:t>
      </w:r>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（2）有关部门标准与规范。</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以上标准及规范由承包人自备，如有不足之处或未能达到国家最新标准时，承包人应使施工及选用的设备和材料符合最新版本的国家标准、规范。</w:t>
      </w:r>
    </w:p>
    <w:p>
      <w:pPr>
        <w:pStyle w:val="5"/>
        <w:ind w:left="428" w:leftChars="200" w:hanging="8" w:hangingChars="4"/>
        <w:rPr>
          <w:rFonts w:hint="eastAsia" w:asciiTheme="minorEastAsia" w:hAnsiTheme="minorEastAsia" w:eastAsiaTheme="minorEastAsia" w:cstheme="minorEastAsia"/>
          <w:color w:val="auto"/>
          <w:sz w:val="21"/>
          <w:szCs w:val="21"/>
          <w:highlight w:val="none"/>
        </w:rPr>
      </w:pPr>
      <w:bookmarkStart w:id="40" w:name="_Toc7809"/>
      <w:bookmarkStart w:id="41" w:name="_Toc31459"/>
      <w:bookmarkStart w:id="42" w:name="_Toc25794"/>
      <w:bookmarkStart w:id="43" w:name="_Toc44242818"/>
      <w:r>
        <w:rPr>
          <w:rFonts w:hint="eastAsia" w:asciiTheme="minorEastAsia" w:hAnsiTheme="minorEastAsia" w:eastAsiaTheme="minorEastAsia" w:cstheme="minorEastAsia"/>
          <w:color w:val="auto"/>
          <w:sz w:val="21"/>
          <w:szCs w:val="21"/>
          <w:highlight w:val="none"/>
        </w:rPr>
        <w:t>五、</w:t>
      </w:r>
      <w:bookmarkEnd w:id="32"/>
      <w:bookmarkEnd w:id="40"/>
      <w:bookmarkStart w:id="44" w:name="_Toc163749453"/>
      <w:bookmarkStart w:id="45" w:name="_Toc66769196"/>
      <w:r>
        <w:rPr>
          <w:rFonts w:hint="eastAsia" w:asciiTheme="minorEastAsia" w:hAnsiTheme="minorEastAsia" w:eastAsiaTheme="minorEastAsia" w:cstheme="minorEastAsia"/>
          <w:color w:val="auto"/>
          <w:sz w:val="21"/>
          <w:szCs w:val="21"/>
          <w:highlight w:val="none"/>
        </w:rPr>
        <w:t>材料设备以及工程质量要求</w:t>
      </w:r>
      <w:bookmarkEnd w:id="41"/>
      <w:bookmarkEnd w:id="42"/>
      <w:bookmarkEnd w:id="43"/>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、材料的质量保证</w:t>
      </w:r>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（1）在保修期内，承包人对有缺陷的部位必须无偿地给予修理与更换，并承担一切由此引起的对发包人或使用单位的直接损失，除非该缺陷是由于人为破坏或合同规定的不可抗因素造成的损坏。</w:t>
      </w:r>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（2）承包人必须对所承包的工程的质量负全部责任，其责任不因产品制造商提供的保证书而减轻或更改。</w:t>
      </w:r>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（3）材料检验按政府部门相关规定的见证取样和送检规定的程序进行。凡检验结果证明其有害物质含量指标超标的产品不得在工程上使用。</w:t>
      </w:r>
    </w:p>
    <w:p>
      <w:pPr>
        <w:autoSpaceDE w:val="0"/>
        <w:autoSpaceDN w:val="0"/>
        <w:snapToGrid w:val="0"/>
        <w:spacing w:line="360" w:lineRule="auto"/>
        <w:ind w:firstLine="422" w:firstLineChars="200"/>
        <w:textAlignment w:val="bottom"/>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（4）材料品质货真价实，存在假冒伪劣材料的，一经发现假一罚十。</w:t>
      </w:r>
    </w:p>
    <w:p>
      <w:pPr>
        <w:autoSpaceDE w:val="0"/>
        <w:autoSpaceDN w:val="0"/>
        <w:snapToGrid w:val="0"/>
        <w:spacing w:line="360" w:lineRule="auto"/>
        <w:ind w:firstLine="422"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（5）同一楼层同类型的维修材料，品牌型号须统一。</w:t>
      </w:r>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3、供应要求</w:t>
      </w:r>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本次采购范围内的建筑施工材料均由承包人根据本磋商文件、设计图纸和国家有关规定的具体要求进行采购、运输、检验、保管，但采购人保留变更和指定材料的权利；所有建筑材料须有产品合格证，质量保证书、国家规定的认证证书、报告。</w:t>
      </w:r>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（2）由承包人采购的主要材料设备，当承包人选定的产品质量达不到设计要求和预期质量目标时，采购人保留更换的权利，且成交价不予调整。</w:t>
      </w:r>
    </w:p>
    <w:bookmarkEnd w:id="44"/>
    <w:bookmarkEnd w:id="45"/>
    <w:p>
      <w:pPr>
        <w:pStyle w:val="5"/>
        <w:ind w:left="0" w:firstLine="422" w:firstLineChars="200"/>
        <w:rPr>
          <w:rFonts w:hint="eastAsia" w:asciiTheme="minorEastAsia" w:hAnsiTheme="minorEastAsia" w:eastAsiaTheme="minorEastAsia" w:cstheme="minorEastAsia"/>
          <w:color w:val="auto"/>
          <w:sz w:val="21"/>
          <w:szCs w:val="21"/>
          <w:highlight w:val="none"/>
        </w:rPr>
      </w:pPr>
      <w:bookmarkStart w:id="46" w:name="_Toc303030538"/>
      <w:bookmarkStart w:id="47" w:name="_Toc4354"/>
      <w:bookmarkStart w:id="48" w:name="_Toc430590631"/>
      <w:bookmarkStart w:id="49" w:name="_Toc297728922"/>
      <w:bookmarkStart w:id="50" w:name="_Toc2807"/>
      <w:bookmarkStart w:id="51" w:name="_Toc20495"/>
      <w:bookmarkStart w:id="52" w:name="_Toc44242820"/>
      <w:r>
        <w:rPr>
          <w:rFonts w:hint="eastAsia" w:asciiTheme="minorEastAsia" w:hAnsiTheme="minorEastAsia" w:eastAsiaTheme="minorEastAsia" w:cstheme="minorEastAsia"/>
          <w:color w:val="auto"/>
          <w:sz w:val="21"/>
          <w:szCs w:val="21"/>
          <w:highlight w:val="none"/>
        </w:rPr>
        <w:t>六、</w:t>
      </w:r>
      <w:bookmarkEnd w:id="46"/>
      <w:bookmarkEnd w:id="47"/>
      <w:bookmarkEnd w:id="48"/>
      <w:bookmarkEnd w:id="49"/>
      <w:r>
        <w:rPr>
          <w:rFonts w:hint="eastAsia" w:asciiTheme="minorEastAsia" w:hAnsiTheme="minorEastAsia" w:eastAsiaTheme="minorEastAsia" w:cstheme="minorEastAsia"/>
          <w:color w:val="auto"/>
          <w:sz w:val="21"/>
          <w:szCs w:val="21"/>
          <w:highlight w:val="none"/>
        </w:rPr>
        <w:t>工程管理的要求</w:t>
      </w:r>
      <w:bookmarkEnd w:id="50"/>
      <w:bookmarkEnd w:id="51"/>
      <w:bookmarkEnd w:id="52"/>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1、采购范围内的工程项目，未经发包人同意一律不得分包。一经发现立即取消承包资格，作违约处理，并承担由此引起的一切经济损失。</w:t>
      </w:r>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2、承包人应严格按照已确认的施工技术方案组织实施，并无条件接受采购人管理部门的管理。</w:t>
      </w:r>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bookmarkStart w:id="53" w:name="_Toc44242821"/>
      <w:r>
        <w:rPr>
          <w:rFonts w:hint="eastAsia" w:asciiTheme="minorEastAsia" w:hAnsiTheme="minorEastAsia" w:eastAsiaTheme="minorEastAsia" w:cstheme="minorEastAsia"/>
          <w:color w:val="auto"/>
          <w:sz w:val="21"/>
          <w:szCs w:val="21"/>
          <w:highlight w:val="none"/>
        </w:rPr>
        <w:t>3、供应商在磋商响应文件中的承诺的管理人员未经发包人同意，承包人不得调换和撤离，并按工程进度及时到位。发包人有权要求施工单位撤换工作不负责任、管理不力、贻误工期和造成严重的安全事故和工程质量事故、违法乱纪的专业技术、管理人员直至技术负责人，直至发包人满意为止。如相应资质的专业技术人员未按要求到位，视作违约，发包人有权单方面终止合同。</w:t>
      </w:r>
      <w:bookmarkEnd w:id="53"/>
    </w:p>
    <w:p>
      <w:pPr>
        <w:autoSpaceDE w:val="0"/>
        <w:autoSpaceDN w:val="0"/>
        <w:snapToGrid w:val="0"/>
        <w:spacing w:line="360" w:lineRule="auto"/>
        <w:ind w:firstLine="420" w:firstLineChars="200"/>
        <w:textAlignment w:val="bottom"/>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rPr>
        <w:t>安全施工、文明管理：</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（1）施工单位成交后服从当地政府有关部门在社会治安、综合治理、计划生育、交通管理、环境保护等的管理规定，成交人应设专职人员负责本条款的执行，采购人有权对此进行监督检查。</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（2）成交人在工程施工期间，必须配备专职用电管理员，全面负责施工用电的管理。所有工人需统一着装，佩戴挂牌，服从医院安排。</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（3）成交人在施工全过程中，要认真做好材料和成品的保护，因失窃失火或其他原因而造成的损失均由成交人负责。凡由此而损及采购人利益时，成交人应负责赔偿采购人的损失。</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（4）在工程施工过程中，因成交人原因造成的一切安全事故，由成交人承担全部经济责任和法律责任。</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（5）成交人因自身施工而对相邻工程施工造成影响，由成交人采取措施解决，费用由成交人负担。</w:t>
      </w:r>
    </w:p>
    <w:p>
      <w:pPr>
        <w:spacing w:line="360" w:lineRule="auto"/>
        <w:ind w:firstLine="424" w:firstLineChars="202"/>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5、成交人应负责涉及本工程施工的其他配合工作</w:t>
      </w:r>
      <w:r>
        <w:rPr>
          <w:rFonts w:hint="eastAsia" w:asciiTheme="minorEastAsia" w:hAnsiTheme="minorEastAsia" w:eastAsiaTheme="minorEastAsia" w:cstheme="minorEastAsia"/>
          <w:color w:val="auto"/>
          <w:sz w:val="21"/>
          <w:szCs w:val="21"/>
          <w:highlight w:val="none"/>
        </w:rPr>
        <w:t>。</w:t>
      </w:r>
    </w:p>
    <w:p>
      <w:pPr>
        <w:spacing w:line="360" w:lineRule="auto"/>
        <w:ind w:firstLine="422" w:firstLineChars="200"/>
        <w:outlineLvl w:val="1"/>
        <w:rPr>
          <w:rFonts w:hint="eastAsia" w:asciiTheme="minorEastAsia" w:hAnsiTheme="minorEastAsia" w:eastAsiaTheme="minorEastAsia" w:cstheme="minorEastAsia"/>
          <w:b/>
          <w:bCs/>
          <w:color w:val="auto"/>
          <w:sz w:val="21"/>
          <w:szCs w:val="21"/>
          <w:highlight w:val="none"/>
          <w:lang w:val="zh-CN"/>
        </w:rPr>
      </w:pPr>
      <w:bookmarkStart w:id="54" w:name="_Toc430590632"/>
      <w:bookmarkStart w:id="55" w:name="_Toc297728923"/>
      <w:bookmarkStart w:id="56" w:name="_Toc303030539"/>
      <w:bookmarkStart w:id="57" w:name="_Toc9265"/>
      <w:bookmarkStart w:id="58" w:name="_Toc21539"/>
      <w:r>
        <w:rPr>
          <w:rFonts w:hint="eastAsia" w:asciiTheme="minorEastAsia" w:hAnsiTheme="minorEastAsia" w:eastAsiaTheme="minorEastAsia" w:cstheme="minorEastAsia"/>
          <w:b/>
          <w:bCs/>
          <w:color w:val="auto"/>
          <w:sz w:val="21"/>
          <w:szCs w:val="21"/>
          <w:highlight w:val="none"/>
          <w:lang w:val="zh-CN"/>
        </w:rPr>
        <w:t>七、</w:t>
      </w:r>
      <w:bookmarkEnd w:id="54"/>
      <w:bookmarkEnd w:id="55"/>
      <w:bookmarkEnd w:id="56"/>
      <w:bookmarkEnd w:id="57"/>
      <w:r>
        <w:rPr>
          <w:rFonts w:hint="eastAsia" w:asciiTheme="minorEastAsia" w:hAnsiTheme="minorEastAsia" w:eastAsiaTheme="minorEastAsia" w:cstheme="minorEastAsia"/>
          <w:b/>
          <w:bCs/>
          <w:color w:val="auto"/>
          <w:sz w:val="21"/>
          <w:szCs w:val="21"/>
          <w:highlight w:val="none"/>
          <w:lang w:val="zh-CN"/>
        </w:rPr>
        <w:t>磋商报价要求、结算依据及方式</w:t>
      </w:r>
      <w:bookmarkEnd w:id="58"/>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1、采购文件中提供的预算价为全年预估量，是供应商报价的依据。</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2、各项维修工程或维修项目由业主安排，</w:t>
      </w:r>
      <w:r>
        <w:rPr>
          <w:rFonts w:hint="eastAsia" w:asciiTheme="minorEastAsia" w:hAnsiTheme="minorEastAsia" w:eastAsiaTheme="minorEastAsia" w:cstheme="minorEastAsia"/>
          <w:color w:val="auto"/>
          <w:sz w:val="21"/>
          <w:szCs w:val="21"/>
          <w:highlight w:val="none"/>
        </w:rPr>
        <w:t>工程量以实际完成的、并经采购人（或其委托的监理单位）书面确认的工程量为准</w:t>
      </w:r>
      <w:r>
        <w:rPr>
          <w:rFonts w:hint="eastAsia" w:asciiTheme="minorEastAsia" w:hAnsiTheme="minorEastAsia" w:eastAsiaTheme="minorEastAsia" w:cstheme="minorEastAsia"/>
          <w:color w:val="auto"/>
          <w:sz w:val="21"/>
          <w:szCs w:val="21"/>
          <w:highlight w:val="none"/>
          <w:lang w:val="en-US" w:eastAsia="zh-CN"/>
        </w:rPr>
        <w:t>；合同期内折扣率不作调整。</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修缮工程完工后经使用科室及项目主管部门签字验收，并由医院管理部门出具书面验收、接收文件，零星维修项目完成后经</w:t>
      </w:r>
      <w:r>
        <w:rPr>
          <w:rFonts w:hint="eastAsia" w:asciiTheme="minorEastAsia" w:hAnsiTheme="minorEastAsia" w:eastAsiaTheme="minorEastAsia" w:cstheme="minorEastAsia"/>
          <w:color w:val="auto"/>
          <w:sz w:val="21"/>
          <w:szCs w:val="21"/>
          <w:highlight w:val="none"/>
          <w:lang w:val="en-US" w:eastAsia="zh-CN"/>
        </w:rPr>
        <w:t>采购人相关</w:t>
      </w:r>
      <w:r>
        <w:rPr>
          <w:rFonts w:hint="eastAsia" w:asciiTheme="minorEastAsia" w:hAnsiTheme="minorEastAsia" w:eastAsiaTheme="minorEastAsia" w:cstheme="minorEastAsia"/>
          <w:color w:val="auto"/>
          <w:sz w:val="21"/>
          <w:szCs w:val="21"/>
          <w:highlight w:val="none"/>
        </w:rPr>
        <w:t>科室签字确认进行验收。</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修缮工程施工结束后，承包人须在项目结束后的30日内完成竣工验收单、工程结（决）算资料（一式两份）交采购人初审</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初审通过后交审计单位进行审计。</w:t>
      </w:r>
    </w:p>
    <w:p>
      <w:pPr>
        <w:spacing w:line="360" w:lineRule="auto"/>
        <w:ind w:left="840" w:leftChars="200" w:hanging="420" w:hanging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5、原则上每</w:t>
      </w:r>
      <w:r>
        <w:rPr>
          <w:rFonts w:hint="default" w:asciiTheme="minorEastAsia" w:hAnsiTheme="minorEastAsia" w:eastAsiaTheme="minorEastAsia" w:cstheme="minorEastAsia"/>
          <w:color w:val="auto"/>
          <w:sz w:val="21"/>
          <w:szCs w:val="21"/>
          <w:highlight w:val="none"/>
          <w:lang w:eastAsia="zh-CN"/>
        </w:rPr>
        <w:t>季度</w:t>
      </w:r>
      <w:r>
        <w:rPr>
          <w:rFonts w:hint="eastAsia" w:asciiTheme="minorEastAsia" w:hAnsiTheme="minorEastAsia" w:eastAsiaTheme="minorEastAsia" w:cstheme="minorEastAsia"/>
          <w:color w:val="auto"/>
          <w:sz w:val="21"/>
          <w:szCs w:val="21"/>
          <w:highlight w:val="none"/>
          <w:lang w:val="en-US" w:eastAsia="zh-CN"/>
        </w:rPr>
        <w:t>结算一次，每个单项的结算造价以审计部门的最终审计结果为准（扣除水电</w:t>
      </w:r>
    </w:p>
    <w:p>
      <w:p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费后，水电费以审计金额的千分之二</w:t>
      </w:r>
      <w:r>
        <w:rPr>
          <w:rFonts w:hint="eastAsia" w:asciiTheme="minorEastAsia" w:hAnsiTheme="minorEastAsia" w:eastAsiaTheme="minorEastAsia" w:cstheme="minorEastAsia"/>
          <w:sz w:val="21"/>
          <w:szCs w:val="21"/>
          <w:highlight w:val="none"/>
          <w:lang w:eastAsia="zh-CN"/>
        </w:rPr>
        <w:t>计取）。</w:t>
      </w:r>
    </w:p>
    <w:p>
      <w:pPr>
        <w:spacing w:line="360" w:lineRule="auto"/>
        <w:ind w:left="840" w:leftChars="200" w:hanging="420" w:hanging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单个零星维修金额10万元及以上的项目在开工通知发出后7个工作日内支付该合同金额40%的</w:t>
      </w:r>
    </w:p>
    <w:p>
      <w:p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预付款，项目完结后工程款随结算周期一并结算。若中标单位放弃40%的预付款，则在单项竣工并提交结算资料后支付40%的进度款。</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单个零星维修金额10万元以下的项目，工程款随结算周期一并结算。</w:t>
      </w:r>
    </w:p>
    <w:p>
      <w:pPr>
        <w:rPr>
          <w:rFonts w:hint="eastAsia" w:asciiTheme="minorEastAsia" w:hAnsiTheme="minorEastAsia" w:eastAsiaTheme="minorEastAsia" w:cstheme="minorEastAsia"/>
          <w:sz w:val="21"/>
          <w:szCs w:val="21"/>
          <w:highlight w:val="none"/>
          <w:lang w:val="en-US" w:eastAsia="zh-CN"/>
        </w:rPr>
      </w:pPr>
    </w:p>
    <w:p>
      <w:pPr>
        <w:spacing w:line="420" w:lineRule="exact"/>
        <w:ind w:firstLine="198" w:firstLineChars="94"/>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附：</w:t>
      </w:r>
    </w:p>
    <w:p>
      <w:pPr>
        <w:spacing w:line="420" w:lineRule="exact"/>
        <w:ind w:firstLine="198" w:firstLineChars="94"/>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主要材料（设备）一览表</w:t>
      </w:r>
    </w:p>
    <w:tbl>
      <w:tblPr>
        <w:tblStyle w:val="64"/>
        <w:tblW w:w="8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5986"/>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31" w:type="dxa"/>
            <w:noWrap w:val="0"/>
            <w:vAlign w:val="center"/>
          </w:tcPr>
          <w:p>
            <w:pPr>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序号</w:t>
            </w:r>
          </w:p>
        </w:tc>
        <w:tc>
          <w:tcPr>
            <w:tcW w:w="5986" w:type="dxa"/>
            <w:noWrap w:val="0"/>
            <w:vAlign w:val="center"/>
          </w:tcPr>
          <w:p>
            <w:pPr>
              <w:jc w:val="center"/>
              <w:rPr>
                <w:rFonts w:hint="eastAsia"/>
                <w:b/>
                <w:bCs/>
              </w:rPr>
            </w:pPr>
            <w:r>
              <w:rPr>
                <w:rFonts w:hint="eastAsia" w:asciiTheme="minorEastAsia" w:hAnsiTheme="minorEastAsia" w:eastAsiaTheme="minorEastAsia" w:cstheme="minorEastAsia"/>
                <w:b/>
                <w:bCs/>
                <w:sz w:val="21"/>
                <w:szCs w:val="21"/>
                <w:highlight w:val="none"/>
              </w:rPr>
              <w:t>材料名称</w:t>
            </w:r>
          </w:p>
        </w:tc>
        <w:tc>
          <w:tcPr>
            <w:tcW w:w="1105" w:type="dxa"/>
            <w:noWrap w:val="0"/>
            <w:vAlign w:val="center"/>
          </w:tcPr>
          <w:p>
            <w:pPr>
              <w:jc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31" w:type="dxa"/>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5986" w:type="dxa"/>
            <w:noWrap w:val="0"/>
            <w:vAlign w:val="center"/>
          </w:tcPr>
          <w:p>
            <w:pPr>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eastAsia="zh-CN"/>
              </w:rPr>
              <w:t>墙、地砖</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c>
          <w:tcPr>
            <w:tcW w:w="5986"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石膏板</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31" w:type="dxa"/>
            <w:noWrap w:val="0"/>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5986"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成品实木免漆板</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5986"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实木地板</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5986"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强化地板</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5986"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乳胶漆</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31" w:type="dxa"/>
            <w:noWrap w:val="0"/>
            <w:vAlign w:val="center"/>
          </w:tcPr>
          <w:p>
            <w:pPr>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7</w:t>
            </w:r>
          </w:p>
        </w:tc>
        <w:tc>
          <w:tcPr>
            <w:tcW w:w="5986" w:type="dxa"/>
            <w:noWrap w:val="0"/>
            <w:vAlign w:val="center"/>
          </w:tcPr>
          <w:p>
            <w:pPr>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电线、电缆</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8</w:t>
            </w:r>
          </w:p>
        </w:tc>
        <w:tc>
          <w:tcPr>
            <w:tcW w:w="5986" w:type="dxa"/>
            <w:noWrap w:val="0"/>
            <w:vAlign w:val="center"/>
          </w:tcPr>
          <w:p>
            <w:pPr>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明装pvc线槽</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31" w:type="dxa"/>
            <w:noWrap w:val="0"/>
            <w:vAlign w:val="center"/>
          </w:tcPr>
          <w:p>
            <w:pPr>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9</w:t>
            </w:r>
          </w:p>
        </w:tc>
        <w:tc>
          <w:tcPr>
            <w:tcW w:w="5986" w:type="dxa"/>
            <w:noWrap w:val="0"/>
            <w:vAlign w:val="center"/>
          </w:tcPr>
          <w:p>
            <w:pPr>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插座（86型10A、16A三插）</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10</w:t>
            </w:r>
          </w:p>
        </w:tc>
        <w:tc>
          <w:tcPr>
            <w:tcW w:w="598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单联单控开关</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11</w:t>
            </w:r>
          </w:p>
        </w:tc>
        <w:tc>
          <w:tcPr>
            <w:tcW w:w="598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双联单控开关</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12</w:t>
            </w:r>
          </w:p>
        </w:tc>
        <w:tc>
          <w:tcPr>
            <w:tcW w:w="5986" w:type="dxa"/>
            <w:noWrap w:val="0"/>
            <w:vAlign w:val="center"/>
          </w:tcPr>
          <w:p>
            <w:pPr>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线盒（86型PVC</w:t>
            </w:r>
            <w:r>
              <w:rPr>
                <w:rFonts w:hint="eastAsia" w:asciiTheme="minorEastAsia" w:hAnsiTheme="minorEastAsia" w:eastAsiaTheme="minorEastAsia" w:cstheme="minorEastAsia"/>
                <w:sz w:val="21"/>
                <w:szCs w:val="21"/>
                <w:highlight w:val="none"/>
                <w:lang w:val="en-US" w:eastAsia="zh-CN"/>
              </w:rPr>
              <w:t>明</w:t>
            </w:r>
            <w:r>
              <w:rPr>
                <w:rFonts w:hint="eastAsia" w:asciiTheme="minorEastAsia" w:hAnsiTheme="minorEastAsia" w:eastAsiaTheme="minorEastAsia" w:cstheme="minorEastAsia"/>
                <w:sz w:val="21"/>
                <w:szCs w:val="21"/>
                <w:highlight w:val="none"/>
              </w:rPr>
              <w:t>敷电线盒）</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13</w:t>
            </w:r>
          </w:p>
        </w:tc>
        <w:tc>
          <w:tcPr>
            <w:tcW w:w="5986" w:type="dxa"/>
            <w:noWrap w:val="0"/>
            <w:vAlign w:val="center"/>
          </w:tcPr>
          <w:p>
            <w:pPr>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线盒（86型PVC暗敷电线盒）</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14</w:t>
            </w:r>
          </w:p>
        </w:tc>
        <w:tc>
          <w:tcPr>
            <w:tcW w:w="598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网络线</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15</w:t>
            </w:r>
          </w:p>
        </w:tc>
        <w:tc>
          <w:tcPr>
            <w:tcW w:w="598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冷热混合龙头</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1031" w:type="dxa"/>
            <w:noWrap w:val="0"/>
            <w:vAlign w:val="center"/>
          </w:tcPr>
          <w:p>
            <w:pPr>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16</w:t>
            </w:r>
          </w:p>
        </w:tc>
        <w:tc>
          <w:tcPr>
            <w:tcW w:w="598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冷热混合感应龙头</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17</w:t>
            </w:r>
          </w:p>
        </w:tc>
        <w:tc>
          <w:tcPr>
            <w:tcW w:w="598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水龙头（拖把池、洗衣机龙头）</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18</w:t>
            </w:r>
          </w:p>
        </w:tc>
        <w:tc>
          <w:tcPr>
            <w:tcW w:w="598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洁具（小便池、墙排、直排）</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spacing w:line="240" w:lineRule="auto"/>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19</w:t>
            </w:r>
          </w:p>
        </w:tc>
        <w:tc>
          <w:tcPr>
            <w:tcW w:w="598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PPR冷、热水管</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31" w:type="dxa"/>
            <w:noWrap w:val="0"/>
            <w:vAlign w:val="center"/>
          </w:tcPr>
          <w:p>
            <w:pPr>
              <w:spacing w:line="240" w:lineRule="auto"/>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20</w:t>
            </w:r>
          </w:p>
        </w:tc>
        <w:tc>
          <w:tcPr>
            <w:tcW w:w="5986" w:type="dxa"/>
            <w:noWrap w:val="0"/>
            <w:vAlign w:val="center"/>
          </w:tcPr>
          <w:p>
            <w:pPr>
              <w:keepNext w:val="0"/>
              <w:keepLines w:val="0"/>
              <w:widowControl/>
              <w:suppressLineNumbers w:val="0"/>
              <w:ind w:firstLine="210" w:firstLineChars="100"/>
              <w:jc w:val="center"/>
              <w:textAlignment w:val="center"/>
              <w:rPr>
                <w:rFonts w:hint="eastAsia" w:asciiTheme="minorEastAsia" w:hAnsiTheme="minorEastAsia" w:eastAsiaTheme="minorEastAsia" w:cstheme="minorEastAsia"/>
                <w:i w:val="0"/>
                <w:iCs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PVC下水管</w:t>
            </w:r>
          </w:p>
        </w:tc>
        <w:tc>
          <w:tcPr>
            <w:tcW w:w="1105" w:type="dxa"/>
            <w:noWrap w:val="0"/>
            <w:vAlign w:val="center"/>
          </w:tcPr>
          <w:p>
            <w:pPr>
              <w:jc w:val="center"/>
              <w:rPr>
                <w:rFonts w:hint="eastAsia" w:asciiTheme="minorEastAsia" w:hAnsiTheme="minorEastAsia" w:eastAsiaTheme="minorEastAsia" w:cstheme="minorEastAsia"/>
                <w:sz w:val="21"/>
                <w:szCs w:val="21"/>
                <w:highlight w:val="none"/>
              </w:rPr>
            </w:pPr>
          </w:p>
        </w:tc>
      </w:tr>
    </w:tbl>
    <w:p>
      <w:pPr>
        <w:spacing w:line="360" w:lineRule="auto"/>
        <w:jc w:val="left"/>
        <w:rPr>
          <w:rFonts w:hint="eastAsia" w:asciiTheme="minorEastAsia" w:hAnsiTheme="minorEastAsia" w:eastAsiaTheme="minorEastAsia" w:cstheme="minorEastAsia"/>
          <w:color w:val="000000"/>
          <w:sz w:val="21"/>
          <w:szCs w:val="21"/>
          <w:highlight w:val="none"/>
        </w:rPr>
      </w:pPr>
    </w:p>
    <w:p>
      <w:pPr>
        <w:spacing w:line="360" w:lineRule="auto"/>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注：1、响应人必须</w:t>
      </w:r>
      <w:r>
        <w:rPr>
          <w:rFonts w:hint="eastAsia" w:asciiTheme="minorEastAsia" w:hAnsiTheme="minorEastAsia" w:eastAsiaTheme="minorEastAsia" w:cstheme="minorEastAsia"/>
          <w:color w:val="000000"/>
          <w:sz w:val="21"/>
          <w:szCs w:val="21"/>
          <w:highlight w:val="none"/>
          <w:lang w:val="en-US" w:eastAsia="zh-CN"/>
        </w:rPr>
        <w:t>按</w:t>
      </w:r>
      <w:r>
        <w:rPr>
          <w:rFonts w:hint="eastAsia" w:asciiTheme="minorEastAsia" w:hAnsiTheme="minorEastAsia" w:eastAsiaTheme="minorEastAsia" w:cstheme="minorEastAsia"/>
          <w:color w:val="000000"/>
          <w:sz w:val="21"/>
          <w:szCs w:val="21"/>
          <w:highlight w:val="none"/>
        </w:rPr>
        <w:t>上述材料</w:t>
      </w:r>
      <w:r>
        <w:rPr>
          <w:rFonts w:hint="eastAsia" w:asciiTheme="minorEastAsia" w:hAnsiTheme="minorEastAsia" w:eastAsiaTheme="minorEastAsia" w:cstheme="minorEastAsia"/>
          <w:color w:val="000000"/>
          <w:sz w:val="21"/>
          <w:szCs w:val="21"/>
          <w:highlight w:val="none"/>
          <w:lang w:val="en-US" w:eastAsia="zh-CN"/>
        </w:rPr>
        <w:t>在采购响应文件中列出所用品牌，如未列出，评分项中该部分得分按0分处理。</w:t>
      </w:r>
    </w:p>
    <w:p>
      <w:pPr>
        <w:numPr>
          <w:ilvl w:val="0"/>
          <w:numId w:val="2"/>
        </w:numPr>
        <w:spacing w:line="360" w:lineRule="auto"/>
        <w:ind w:firstLine="420" w:firstLineChars="200"/>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成交人不按该</w:t>
      </w:r>
      <w:r>
        <w:rPr>
          <w:rFonts w:hint="eastAsia" w:asciiTheme="minorEastAsia" w:hAnsiTheme="minorEastAsia" w:eastAsiaTheme="minorEastAsia" w:cstheme="minorEastAsia"/>
          <w:color w:val="000000"/>
          <w:sz w:val="21"/>
          <w:szCs w:val="21"/>
          <w:highlight w:val="none"/>
          <w:lang w:val="en-US" w:eastAsia="zh-CN"/>
        </w:rPr>
        <w:t>其</w:t>
      </w:r>
      <w:r>
        <w:rPr>
          <w:rFonts w:hint="eastAsia" w:asciiTheme="minorEastAsia" w:hAnsiTheme="minorEastAsia" w:eastAsiaTheme="minorEastAsia" w:cstheme="minorEastAsia"/>
          <w:color w:val="000000"/>
          <w:sz w:val="21"/>
          <w:szCs w:val="21"/>
          <w:highlight w:val="none"/>
        </w:rPr>
        <w:t>选用的材料采购的，采购人有权拒绝验收。</w:t>
      </w:r>
    </w:p>
    <w:p>
      <w:pPr>
        <w:numPr>
          <w:ilvl w:val="0"/>
          <w:numId w:val="2"/>
        </w:numPr>
        <w:spacing w:line="360" w:lineRule="auto"/>
        <w:ind w:firstLine="420" w:firstLineChars="200"/>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所有的材料采购前提前均需15天送样，待业主、设计、监理确认后方可批量采购。</w:t>
      </w:r>
    </w:p>
    <w:p>
      <w:pPr>
        <w:numPr>
          <w:ilvl w:val="0"/>
          <w:numId w:val="2"/>
        </w:numPr>
        <w:spacing w:line="360" w:lineRule="auto"/>
        <w:ind w:firstLine="420" w:firstLineChars="200"/>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所有材料的颜色在施工前，根据业主要求确定，但单价不作调整。</w:t>
      </w:r>
    </w:p>
    <w:p>
      <w:pPr>
        <w:rPr>
          <w:rFonts w:ascii="宋体" w:hAnsi="宋体" w:cs="宋体"/>
          <w:snapToGrid w:val="0"/>
          <w:kern w:val="0"/>
          <w:sz w:val="24"/>
        </w:rPr>
      </w:pPr>
    </w:p>
    <w:p>
      <w:pPr>
        <w:snapToGrid w:val="0"/>
        <w:spacing w:line="360" w:lineRule="auto"/>
        <w:jc w:val="center"/>
        <w:rPr>
          <w:rFonts w:ascii="宋体" w:hAnsi="宋体" w:cs="宋体"/>
          <w:b/>
          <w:sz w:val="36"/>
          <w:szCs w:val="20"/>
        </w:rPr>
      </w:pPr>
      <w:r>
        <w:rPr>
          <w:rFonts w:hint="eastAsia" w:ascii="宋体" w:hAnsi="宋体" w:cs="宋体"/>
          <w:b/>
          <w:sz w:val="24"/>
        </w:rPr>
        <w:br w:type="page"/>
      </w:r>
      <w:r>
        <w:rPr>
          <w:rFonts w:hint="eastAsia" w:ascii="宋体" w:hAnsi="宋体" w:cs="宋体"/>
          <w:b/>
          <w:sz w:val="36"/>
          <w:szCs w:val="20"/>
        </w:rPr>
        <w:t>第四部分</w:t>
      </w:r>
      <w:bookmarkStart w:id="59" w:name="_Toc184314453"/>
      <w:bookmarkEnd w:id="59"/>
      <w:bookmarkStart w:id="60" w:name="_Toc184310315"/>
      <w:bookmarkEnd w:id="60"/>
      <w:bookmarkStart w:id="61" w:name="_Toc184310280"/>
      <w:bookmarkEnd w:id="61"/>
      <w:bookmarkStart w:id="62" w:name="_Toc184314452"/>
      <w:bookmarkEnd w:id="62"/>
      <w:bookmarkStart w:id="63" w:name="_Toc184314466"/>
      <w:bookmarkEnd w:id="63"/>
      <w:bookmarkStart w:id="64" w:name="_Toc184314473"/>
      <w:bookmarkEnd w:id="64"/>
      <w:bookmarkStart w:id="65" w:name="_Toc184308099"/>
      <w:bookmarkEnd w:id="65"/>
      <w:bookmarkStart w:id="66" w:name="_Toc184312085"/>
      <w:bookmarkEnd w:id="66"/>
      <w:bookmarkStart w:id="67" w:name="_Toc184313249"/>
      <w:bookmarkEnd w:id="67"/>
      <w:bookmarkStart w:id="68" w:name="_Toc184310284"/>
      <w:bookmarkEnd w:id="68"/>
      <w:bookmarkStart w:id="69" w:name="_Toc184314417"/>
      <w:bookmarkEnd w:id="69"/>
      <w:bookmarkStart w:id="70" w:name="_Toc184310295"/>
      <w:bookmarkEnd w:id="70"/>
      <w:bookmarkStart w:id="71" w:name="_Toc184313273"/>
      <w:bookmarkEnd w:id="71"/>
      <w:bookmarkStart w:id="72" w:name="_Toc184312067"/>
      <w:bookmarkEnd w:id="72"/>
      <w:bookmarkStart w:id="73" w:name="_Toc184314470"/>
      <w:bookmarkEnd w:id="73"/>
      <w:bookmarkStart w:id="74" w:name="_Toc184312092"/>
      <w:bookmarkEnd w:id="74"/>
      <w:bookmarkStart w:id="75" w:name="_Toc184313259"/>
      <w:bookmarkEnd w:id="75"/>
      <w:bookmarkStart w:id="76" w:name="_Toc184312077"/>
      <w:bookmarkEnd w:id="76"/>
      <w:bookmarkStart w:id="77" w:name="_Toc184308043"/>
      <w:bookmarkEnd w:id="77"/>
      <w:bookmarkStart w:id="78" w:name="_Toc184310292"/>
      <w:bookmarkEnd w:id="78"/>
      <w:bookmarkStart w:id="79" w:name="_Toc184310321"/>
      <w:bookmarkEnd w:id="79"/>
      <w:bookmarkStart w:id="80" w:name="_Toc184313267"/>
      <w:bookmarkEnd w:id="80"/>
      <w:bookmarkStart w:id="81" w:name="_Toc184308108"/>
      <w:bookmarkEnd w:id="81"/>
      <w:bookmarkStart w:id="82" w:name="_Toc184314467"/>
      <w:bookmarkEnd w:id="82"/>
      <w:bookmarkStart w:id="83" w:name="_Toc184310288"/>
      <w:bookmarkEnd w:id="83"/>
      <w:bookmarkStart w:id="84" w:name="_Toc184308092"/>
      <w:bookmarkEnd w:id="84"/>
      <w:bookmarkStart w:id="85" w:name="_Toc184308065"/>
      <w:bookmarkEnd w:id="85"/>
      <w:bookmarkStart w:id="86" w:name="_Toc184308084"/>
      <w:bookmarkEnd w:id="86"/>
      <w:bookmarkStart w:id="87" w:name="_Toc184312071"/>
      <w:bookmarkEnd w:id="87"/>
      <w:bookmarkStart w:id="88" w:name="_Toc184310299"/>
      <w:bookmarkEnd w:id="88"/>
      <w:bookmarkStart w:id="89" w:name="_Toc184310335"/>
      <w:bookmarkEnd w:id="89"/>
      <w:bookmarkStart w:id="90" w:name="_Toc184312139"/>
      <w:bookmarkEnd w:id="90"/>
      <w:bookmarkStart w:id="91" w:name="_Toc184308088"/>
      <w:bookmarkEnd w:id="91"/>
      <w:bookmarkStart w:id="92" w:name="_Toc184312073"/>
      <w:bookmarkEnd w:id="92"/>
      <w:bookmarkStart w:id="93" w:name="_Toc184310309"/>
      <w:bookmarkEnd w:id="93"/>
      <w:bookmarkStart w:id="94" w:name="_Toc184314458"/>
      <w:bookmarkEnd w:id="94"/>
      <w:bookmarkStart w:id="95" w:name="_Toc184312093"/>
      <w:bookmarkEnd w:id="95"/>
      <w:bookmarkStart w:id="96" w:name="_Toc184312095"/>
      <w:bookmarkEnd w:id="96"/>
      <w:bookmarkStart w:id="97" w:name="_Toc184308054"/>
      <w:bookmarkEnd w:id="97"/>
      <w:bookmarkStart w:id="98" w:name="_Toc184313243"/>
      <w:bookmarkEnd w:id="98"/>
      <w:bookmarkStart w:id="99" w:name="_Toc184313290"/>
      <w:bookmarkEnd w:id="99"/>
      <w:bookmarkStart w:id="100" w:name="_Toc184314477"/>
      <w:bookmarkEnd w:id="100"/>
      <w:bookmarkStart w:id="101" w:name="_Toc184308097"/>
      <w:bookmarkEnd w:id="101"/>
      <w:bookmarkStart w:id="102" w:name="_Toc184310308"/>
      <w:bookmarkEnd w:id="102"/>
      <w:bookmarkStart w:id="103" w:name="_Toc184308038"/>
      <w:bookmarkEnd w:id="103"/>
      <w:bookmarkStart w:id="104" w:name="_Toc184312122"/>
      <w:bookmarkEnd w:id="104"/>
      <w:bookmarkStart w:id="105" w:name="_Toc184310283"/>
      <w:bookmarkEnd w:id="105"/>
      <w:bookmarkStart w:id="106" w:name="_Toc184310339"/>
      <w:bookmarkEnd w:id="106"/>
      <w:bookmarkStart w:id="107" w:name="_Toc184310331"/>
      <w:bookmarkEnd w:id="107"/>
      <w:bookmarkStart w:id="108" w:name="_Toc184310285"/>
      <w:bookmarkEnd w:id="108"/>
      <w:bookmarkStart w:id="109" w:name="_Toc184310322"/>
      <w:bookmarkEnd w:id="109"/>
      <w:bookmarkStart w:id="110" w:name="_Toc184314480"/>
      <w:bookmarkEnd w:id="110"/>
      <w:bookmarkStart w:id="111" w:name="_Toc184313286"/>
      <w:bookmarkEnd w:id="111"/>
      <w:bookmarkStart w:id="112" w:name="_Toc184314444"/>
      <w:bookmarkEnd w:id="112"/>
      <w:bookmarkStart w:id="113" w:name="_Toc184308041"/>
      <w:bookmarkEnd w:id="113"/>
      <w:bookmarkStart w:id="114" w:name="_Toc184314429"/>
      <w:bookmarkEnd w:id="114"/>
      <w:bookmarkStart w:id="115" w:name="_Toc184310333"/>
      <w:bookmarkEnd w:id="115"/>
      <w:bookmarkStart w:id="116" w:name="_Toc184313308"/>
      <w:bookmarkEnd w:id="116"/>
      <w:bookmarkStart w:id="117" w:name="_Toc184310282"/>
      <w:bookmarkEnd w:id="117"/>
      <w:bookmarkStart w:id="118" w:name="_Toc184312102"/>
      <w:bookmarkEnd w:id="118"/>
      <w:bookmarkStart w:id="119" w:name="_Toc184308093"/>
      <w:bookmarkEnd w:id="119"/>
      <w:bookmarkStart w:id="120" w:name="_Toc184313274"/>
      <w:bookmarkEnd w:id="120"/>
      <w:bookmarkStart w:id="121" w:name="_Toc184313266"/>
      <w:bookmarkEnd w:id="121"/>
      <w:bookmarkStart w:id="122" w:name="_Toc184308081"/>
      <w:bookmarkEnd w:id="122"/>
      <w:bookmarkStart w:id="123" w:name="_Toc184313239"/>
      <w:bookmarkEnd w:id="123"/>
      <w:bookmarkStart w:id="124" w:name="_Toc184310310"/>
      <w:bookmarkEnd w:id="124"/>
      <w:bookmarkStart w:id="125" w:name="_Toc184308053"/>
      <w:bookmarkEnd w:id="125"/>
      <w:bookmarkStart w:id="126" w:name="_Toc184314475"/>
      <w:bookmarkEnd w:id="126"/>
      <w:bookmarkStart w:id="127" w:name="_Toc184308039"/>
      <w:bookmarkEnd w:id="127"/>
      <w:bookmarkStart w:id="128" w:name="_Toc184314457"/>
      <w:bookmarkEnd w:id="128"/>
      <w:bookmarkStart w:id="129" w:name="_Toc184313307"/>
      <w:bookmarkEnd w:id="129"/>
      <w:bookmarkStart w:id="130" w:name="_Toc184314462"/>
      <w:bookmarkEnd w:id="130"/>
      <w:bookmarkStart w:id="131" w:name="_Toc184308101"/>
      <w:bookmarkEnd w:id="131"/>
      <w:bookmarkStart w:id="132" w:name="_Toc184314410"/>
      <w:bookmarkEnd w:id="132"/>
      <w:bookmarkStart w:id="133" w:name="_Toc184313296"/>
      <w:bookmarkEnd w:id="133"/>
      <w:bookmarkStart w:id="134" w:name="_Toc184312112"/>
      <w:bookmarkEnd w:id="134"/>
      <w:bookmarkStart w:id="135" w:name="_Toc184313248"/>
      <w:bookmarkEnd w:id="135"/>
      <w:bookmarkStart w:id="136" w:name="_Toc184313247"/>
      <w:bookmarkEnd w:id="136"/>
      <w:bookmarkStart w:id="137" w:name="_Toc184313293"/>
      <w:bookmarkEnd w:id="137"/>
      <w:bookmarkStart w:id="138" w:name="_Toc184313284"/>
      <w:bookmarkEnd w:id="138"/>
      <w:bookmarkStart w:id="139" w:name="_Toc184310305"/>
      <w:bookmarkEnd w:id="139"/>
      <w:bookmarkStart w:id="140" w:name="_Toc184308072"/>
      <w:bookmarkEnd w:id="140"/>
      <w:bookmarkStart w:id="141" w:name="_Toc184308058"/>
      <w:bookmarkEnd w:id="141"/>
      <w:bookmarkStart w:id="142" w:name="_Toc184313291"/>
      <w:bookmarkEnd w:id="142"/>
      <w:bookmarkStart w:id="143" w:name="_Toc184313246"/>
      <w:bookmarkEnd w:id="143"/>
      <w:bookmarkStart w:id="144" w:name="_Toc184313306"/>
      <w:bookmarkEnd w:id="144"/>
      <w:bookmarkStart w:id="145" w:name="_Toc184313285"/>
      <w:bookmarkEnd w:id="145"/>
      <w:bookmarkStart w:id="146" w:name="_Toc184312128"/>
      <w:bookmarkEnd w:id="146"/>
      <w:bookmarkStart w:id="147" w:name="_Toc184313294"/>
      <w:bookmarkEnd w:id="147"/>
      <w:bookmarkStart w:id="148" w:name="_Toc184308089"/>
      <w:bookmarkEnd w:id="148"/>
      <w:bookmarkStart w:id="149" w:name="_Toc184312069"/>
      <w:bookmarkEnd w:id="149"/>
      <w:bookmarkStart w:id="150" w:name="_Toc184313245"/>
      <w:bookmarkEnd w:id="150"/>
      <w:bookmarkStart w:id="151" w:name="_Toc184313283"/>
      <w:bookmarkEnd w:id="151"/>
      <w:bookmarkStart w:id="152" w:name="_Toc184312078"/>
      <w:bookmarkEnd w:id="152"/>
      <w:bookmarkStart w:id="153" w:name="_Toc184308098"/>
      <w:bookmarkEnd w:id="153"/>
      <w:bookmarkStart w:id="154" w:name="_Toc184314447"/>
      <w:bookmarkEnd w:id="154"/>
      <w:bookmarkStart w:id="155" w:name="_Toc184310337"/>
      <w:bookmarkEnd w:id="155"/>
      <w:bookmarkStart w:id="156" w:name="_Toc184312090"/>
      <w:bookmarkEnd w:id="156"/>
      <w:bookmarkStart w:id="157" w:name="_Toc184313279"/>
      <w:bookmarkEnd w:id="157"/>
      <w:bookmarkStart w:id="158" w:name="_Toc184314419"/>
      <w:bookmarkEnd w:id="158"/>
      <w:bookmarkStart w:id="159" w:name="_Toc184313282"/>
      <w:bookmarkEnd w:id="159"/>
      <w:bookmarkStart w:id="160" w:name="_Toc184314427"/>
      <w:bookmarkEnd w:id="160"/>
      <w:bookmarkStart w:id="161" w:name="_Toc184312106"/>
      <w:bookmarkEnd w:id="161"/>
      <w:bookmarkStart w:id="162" w:name="_Toc184313244"/>
      <w:bookmarkEnd w:id="162"/>
      <w:bookmarkStart w:id="163" w:name="_Toc184308042"/>
      <w:bookmarkEnd w:id="163"/>
      <w:bookmarkStart w:id="164" w:name="_Toc184310277"/>
      <w:bookmarkEnd w:id="164"/>
      <w:bookmarkStart w:id="165" w:name="_Toc184308048"/>
      <w:bookmarkEnd w:id="165"/>
      <w:bookmarkStart w:id="166" w:name="_Toc184313276"/>
      <w:bookmarkEnd w:id="166"/>
      <w:bookmarkStart w:id="167" w:name="_Toc184312135"/>
      <w:bookmarkEnd w:id="167"/>
      <w:bookmarkStart w:id="168" w:name="_Toc184310327"/>
      <w:bookmarkEnd w:id="168"/>
      <w:bookmarkStart w:id="169" w:name="_Toc184314463"/>
      <w:bookmarkEnd w:id="169"/>
      <w:bookmarkStart w:id="170" w:name="_Toc184308091"/>
      <w:bookmarkEnd w:id="170"/>
      <w:bookmarkStart w:id="171" w:name="_Toc184308073"/>
      <w:bookmarkEnd w:id="171"/>
      <w:bookmarkStart w:id="172" w:name="_Toc184313263"/>
      <w:bookmarkEnd w:id="172"/>
      <w:bookmarkStart w:id="173" w:name="_Toc184308044"/>
      <w:bookmarkEnd w:id="173"/>
      <w:bookmarkStart w:id="174" w:name="_Toc184314451"/>
      <w:bookmarkEnd w:id="174"/>
      <w:bookmarkStart w:id="175" w:name="_Toc184313261"/>
      <w:bookmarkEnd w:id="175"/>
      <w:bookmarkStart w:id="176" w:name="_Toc184310294"/>
      <w:bookmarkEnd w:id="176"/>
      <w:bookmarkStart w:id="177" w:name="_Toc184308047"/>
      <w:bookmarkEnd w:id="177"/>
      <w:bookmarkStart w:id="178" w:name="_Toc184308080"/>
      <w:bookmarkEnd w:id="178"/>
      <w:bookmarkStart w:id="179" w:name="_Toc184312109"/>
      <w:bookmarkEnd w:id="179"/>
      <w:bookmarkStart w:id="180" w:name="_Toc184314422"/>
      <w:bookmarkEnd w:id="180"/>
      <w:bookmarkStart w:id="181" w:name="_Toc184312087"/>
      <w:bookmarkEnd w:id="181"/>
      <w:bookmarkStart w:id="182" w:name="_Toc184310332"/>
      <w:bookmarkEnd w:id="182"/>
      <w:bookmarkStart w:id="183" w:name="_Toc184314415"/>
      <w:bookmarkEnd w:id="183"/>
      <w:bookmarkStart w:id="184" w:name="_Toc184312111"/>
      <w:bookmarkEnd w:id="184"/>
      <w:bookmarkStart w:id="185" w:name="_Toc184312129"/>
      <w:bookmarkEnd w:id="185"/>
      <w:bookmarkStart w:id="186" w:name="_Toc184310276"/>
      <w:bookmarkEnd w:id="186"/>
      <w:bookmarkStart w:id="187" w:name="_Toc184310317"/>
      <w:bookmarkEnd w:id="187"/>
      <w:bookmarkStart w:id="188" w:name="_Toc184308051"/>
      <w:bookmarkEnd w:id="188"/>
      <w:bookmarkStart w:id="189" w:name="_Toc184312081"/>
      <w:bookmarkEnd w:id="189"/>
      <w:bookmarkStart w:id="190" w:name="_Toc184314468"/>
      <w:bookmarkEnd w:id="190"/>
      <w:bookmarkStart w:id="191" w:name="_Toc184313268"/>
      <w:bookmarkEnd w:id="191"/>
      <w:bookmarkStart w:id="192" w:name="_Toc184310287"/>
      <w:bookmarkEnd w:id="192"/>
      <w:bookmarkStart w:id="193" w:name="_Toc184314455"/>
      <w:bookmarkEnd w:id="193"/>
      <w:bookmarkStart w:id="194" w:name="_Toc184313252"/>
      <w:bookmarkEnd w:id="194"/>
      <w:bookmarkStart w:id="195" w:name="_Toc184310336"/>
      <w:bookmarkEnd w:id="195"/>
      <w:bookmarkStart w:id="196" w:name="_Toc184312115"/>
      <w:bookmarkEnd w:id="196"/>
      <w:bookmarkStart w:id="197" w:name="_Toc184312098"/>
      <w:bookmarkEnd w:id="197"/>
      <w:bookmarkStart w:id="198" w:name="_Toc184308106"/>
      <w:bookmarkEnd w:id="198"/>
      <w:bookmarkStart w:id="199" w:name="_Toc184314454"/>
      <w:bookmarkEnd w:id="199"/>
      <w:bookmarkStart w:id="200" w:name="_Toc184308090"/>
      <w:bookmarkEnd w:id="200"/>
      <w:bookmarkStart w:id="201" w:name="_Toc184308066"/>
      <w:bookmarkEnd w:id="201"/>
      <w:bookmarkStart w:id="202" w:name="_Toc184314482"/>
      <w:bookmarkEnd w:id="202"/>
      <w:bookmarkStart w:id="203" w:name="_Toc184308083"/>
      <w:bookmarkEnd w:id="203"/>
      <w:bookmarkStart w:id="204" w:name="_Toc184313275"/>
      <w:bookmarkEnd w:id="204"/>
      <w:bookmarkStart w:id="205" w:name="_Toc184313257"/>
      <w:bookmarkEnd w:id="205"/>
      <w:bookmarkStart w:id="206" w:name="_Toc184314413"/>
      <w:bookmarkEnd w:id="206"/>
      <w:bookmarkStart w:id="207" w:name="_Toc184314459"/>
      <w:bookmarkEnd w:id="207"/>
      <w:bookmarkStart w:id="208" w:name="_Toc184313278"/>
      <w:bookmarkEnd w:id="208"/>
      <w:bookmarkStart w:id="209" w:name="_Toc184310306"/>
      <w:bookmarkEnd w:id="209"/>
      <w:bookmarkStart w:id="210" w:name="_Toc184313241"/>
      <w:bookmarkEnd w:id="210"/>
      <w:bookmarkStart w:id="211" w:name="_Toc184312094"/>
      <w:bookmarkEnd w:id="211"/>
      <w:bookmarkStart w:id="212" w:name="_Toc184313310"/>
      <w:bookmarkEnd w:id="212"/>
      <w:bookmarkStart w:id="213" w:name="_Toc184314420"/>
      <w:bookmarkEnd w:id="213"/>
      <w:bookmarkStart w:id="214" w:name="_Toc184308055"/>
      <w:bookmarkEnd w:id="214"/>
      <w:bookmarkStart w:id="215" w:name="_Toc184308074"/>
      <w:bookmarkEnd w:id="215"/>
      <w:bookmarkStart w:id="216" w:name="_Toc184308076"/>
      <w:bookmarkEnd w:id="216"/>
      <w:bookmarkStart w:id="217" w:name="_Toc184310275"/>
      <w:bookmarkEnd w:id="217"/>
      <w:bookmarkStart w:id="218" w:name="_Toc184312107"/>
      <w:bookmarkEnd w:id="218"/>
      <w:bookmarkStart w:id="219" w:name="_Toc184313300"/>
      <w:bookmarkEnd w:id="219"/>
      <w:bookmarkStart w:id="220" w:name="_Toc184310316"/>
      <w:bookmarkEnd w:id="220"/>
      <w:bookmarkStart w:id="221" w:name="_Toc184314471"/>
      <w:bookmarkEnd w:id="221"/>
      <w:bookmarkStart w:id="222" w:name="_Toc184308102"/>
      <w:bookmarkEnd w:id="222"/>
      <w:bookmarkStart w:id="223" w:name="_Toc184310325"/>
      <w:bookmarkEnd w:id="223"/>
      <w:bookmarkStart w:id="224" w:name="_Toc184308062"/>
      <w:bookmarkEnd w:id="224"/>
      <w:bookmarkStart w:id="225" w:name="_Toc184313270"/>
      <w:bookmarkEnd w:id="225"/>
      <w:bookmarkStart w:id="226" w:name="_Toc184314434"/>
      <w:bookmarkEnd w:id="226"/>
      <w:bookmarkStart w:id="227" w:name="_Toc184310342"/>
      <w:bookmarkEnd w:id="227"/>
      <w:bookmarkStart w:id="228" w:name="_Toc184314430"/>
      <w:bookmarkEnd w:id="228"/>
      <w:bookmarkStart w:id="229" w:name="_Toc184313238"/>
      <w:bookmarkEnd w:id="229"/>
      <w:bookmarkStart w:id="230" w:name="_Toc184312076"/>
      <w:bookmarkEnd w:id="230"/>
      <w:bookmarkStart w:id="231" w:name="_Toc184313301"/>
      <w:bookmarkEnd w:id="231"/>
      <w:bookmarkStart w:id="232" w:name="_Toc184310303"/>
      <w:bookmarkEnd w:id="232"/>
      <w:bookmarkStart w:id="233" w:name="_Toc184312108"/>
      <w:bookmarkEnd w:id="233"/>
      <w:bookmarkStart w:id="234" w:name="_Toc184314424"/>
      <w:bookmarkEnd w:id="234"/>
      <w:bookmarkStart w:id="235" w:name="_Toc184310304"/>
      <w:bookmarkEnd w:id="235"/>
      <w:bookmarkStart w:id="236" w:name="_Toc184310279"/>
      <w:bookmarkEnd w:id="236"/>
      <w:bookmarkStart w:id="237" w:name="_Toc184310290"/>
      <w:bookmarkEnd w:id="237"/>
      <w:bookmarkStart w:id="238" w:name="_Toc184308045"/>
      <w:bookmarkEnd w:id="238"/>
      <w:bookmarkStart w:id="239" w:name="_Toc184310297"/>
      <w:bookmarkEnd w:id="239"/>
      <w:bookmarkStart w:id="240" w:name="_Toc184314411"/>
      <w:bookmarkEnd w:id="240"/>
      <w:bookmarkStart w:id="241" w:name="_Toc184312120"/>
      <w:bookmarkEnd w:id="241"/>
      <w:bookmarkStart w:id="242" w:name="_Toc184310302"/>
      <w:bookmarkEnd w:id="242"/>
      <w:bookmarkStart w:id="243" w:name="_Toc184314476"/>
      <w:bookmarkEnd w:id="243"/>
      <w:bookmarkStart w:id="244" w:name="_Toc184310319"/>
      <w:bookmarkEnd w:id="244"/>
      <w:bookmarkStart w:id="245" w:name="_Toc184312105"/>
      <w:bookmarkEnd w:id="245"/>
      <w:bookmarkStart w:id="246" w:name="_Toc184312124"/>
      <w:bookmarkEnd w:id="246"/>
      <w:bookmarkStart w:id="247" w:name="_Toc184314474"/>
      <w:bookmarkEnd w:id="247"/>
      <w:bookmarkStart w:id="248" w:name="_Toc184314449"/>
      <w:bookmarkEnd w:id="248"/>
      <w:bookmarkStart w:id="249" w:name="_Toc184313292"/>
      <w:bookmarkEnd w:id="249"/>
      <w:bookmarkStart w:id="250" w:name="_Toc184314412"/>
      <w:bookmarkEnd w:id="250"/>
      <w:bookmarkStart w:id="251" w:name="_Toc184313250"/>
      <w:bookmarkEnd w:id="251"/>
      <w:bookmarkStart w:id="252" w:name="_Toc184314428"/>
      <w:bookmarkEnd w:id="252"/>
      <w:bookmarkStart w:id="253" w:name="_Toc184310273"/>
      <w:bookmarkEnd w:id="253"/>
      <w:bookmarkStart w:id="254" w:name="_Toc184310341"/>
      <w:bookmarkEnd w:id="254"/>
      <w:bookmarkStart w:id="255" w:name="_Toc184310344"/>
      <w:bookmarkEnd w:id="255"/>
      <w:bookmarkStart w:id="256" w:name="_Toc184308059"/>
      <w:bookmarkEnd w:id="256"/>
      <w:bookmarkStart w:id="257" w:name="_Toc184314465"/>
      <w:bookmarkEnd w:id="257"/>
      <w:bookmarkStart w:id="258" w:name="_Toc184312132"/>
      <w:bookmarkEnd w:id="258"/>
      <w:bookmarkStart w:id="259" w:name="_Toc184313240"/>
      <w:bookmarkEnd w:id="259"/>
      <w:bookmarkStart w:id="260" w:name="_Toc184312110"/>
      <w:bookmarkEnd w:id="260"/>
      <w:bookmarkStart w:id="261" w:name="_Toc184308070"/>
      <w:bookmarkEnd w:id="261"/>
      <w:bookmarkStart w:id="262" w:name="_Toc184312091"/>
      <w:bookmarkEnd w:id="262"/>
      <w:bookmarkStart w:id="263" w:name="_Toc184312072"/>
      <w:bookmarkEnd w:id="263"/>
      <w:bookmarkStart w:id="264" w:name="_Toc184308037"/>
      <w:bookmarkEnd w:id="264"/>
      <w:bookmarkStart w:id="265" w:name="_Toc184312138"/>
      <w:bookmarkEnd w:id="265"/>
      <w:bookmarkStart w:id="266" w:name="_Toc184313253"/>
      <w:bookmarkEnd w:id="266"/>
      <w:bookmarkStart w:id="267" w:name="_Toc184312113"/>
      <w:bookmarkEnd w:id="267"/>
      <w:bookmarkStart w:id="268" w:name="_Toc184314414"/>
      <w:bookmarkEnd w:id="268"/>
      <w:bookmarkStart w:id="269" w:name="_Toc184308078"/>
      <w:bookmarkEnd w:id="269"/>
      <w:bookmarkStart w:id="270" w:name="_Toc184308075"/>
      <w:bookmarkEnd w:id="270"/>
      <w:bookmarkStart w:id="271" w:name="_Toc184312130"/>
      <w:bookmarkEnd w:id="271"/>
      <w:bookmarkStart w:id="272" w:name="_Toc184308095"/>
      <w:bookmarkEnd w:id="272"/>
      <w:bookmarkStart w:id="273" w:name="_Toc184314478"/>
      <w:bookmarkEnd w:id="273"/>
      <w:bookmarkStart w:id="274" w:name="_Toc184308057"/>
      <w:bookmarkEnd w:id="274"/>
      <w:bookmarkStart w:id="275" w:name="_Toc184310314"/>
      <w:bookmarkEnd w:id="275"/>
      <w:bookmarkStart w:id="276" w:name="_Toc184312084"/>
      <w:bookmarkEnd w:id="276"/>
      <w:bookmarkStart w:id="277" w:name="_Toc184314443"/>
      <w:bookmarkEnd w:id="277"/>
      <w:bookmarkStart w:id="278" w:name="_Toc184308067"/>
      <w:bookmarkEnd w:id="278"/>
      <w:bookmarkStart w:id="279" w:name="_Toc184313303"/>
      <w:bookmarkEnd w:id="279"/>
      <w:bookmarkStart w:id="280" w:name="_Toc184312123"/>
      <w:bookmarkEnd w:id="280"/>
      <w:bookmarkStart w:id="281" w:name="_Toc184312118"/>
      <w:bookmarkEnd w:id="281"/>
      <w:bookmarkStart w:id="282" w:name="_Toc184314433"/>
      <w:bookmarkEnd w:id="282"/>
      <w:bookmarkStart w:id="283" w:name="_Toc184314448"/>
      <w:bookmarkEnd w:id="283"/>
      <w:bookmarkStart w:id="284" w:name="_Toc184314442"/>
      <w:bookmarkEnd w:id="284"/>
      <w:bookmarkStart w:id="285" w:name="_Toc184312117"/>
      <w:bookmarkEnd w:id="285"/>
      <w:bookmarkStart w:id="286" w:name="_Toc184312097"/>
      <w:bookmarkEnd w:id="286"/>
      <w:bookmarkStart w:id="287" w:name="_Toc184308103"/>
      <w:bookmarkEnd w:id="287"/>
      <w:bookmarkStart w:id="288" w:name="_Toc184314464"/>
      <w:bookmarkEnd w:id="288"/>
      <w:bookmarkStart w:id="289" w:name="_Toc184313289"/>
      <w:bookmarkEnd w:id="289"/>
      <w:bookmarkStart w:id="290" w:name="_Toc184313288"/>
      <w:bookmarkEnd w:id="290"/>
      <w:bookmarkStart w:id="291" w:name="_Toc184308046"/>
      <w:bookmarkEnd w:id="291"/>
      <w:bookmarkStart w:id="292" w:name="_Toc184310274"/>
      <w:bookmarkEnd w:id="292"/>
      <w:bookmarkStart w:id="293" w:name="_Toc184308064"/>
      <w:bookmarkEnd w:id="293"/>
      <w:bookmarkStart w:id="294" w:name="_Toc184314445"/>
      <w:bookmarkEnd w:id="294"/>
      <w:bookmarkStart w:id="295" w:name="_Toc184310311"/>
      <w:bookmarkEnd w:id="295"/>
      <w:bookmarkStart w:id="296" w:name="_Toc184312079"/>
      <w:bookmarkEnd w:id="296"/>
      <w:bookmarkStart w:id="297" w:name="_Toc184314432"/>
      <w:bookmarkEnd w:id="297"/>
      <w:bookmarkStart w:id="298" w:name="_Toc184310307"/>
      <w:bookmarkEnd w:id="298"/>
      <w:bookmarkStart w:id="299" w:name="_Toc184312127"/>
      <w:bookmarkEnd w:id="299"/>
      <w:bookmarkStart w:id="300" w:name="_Toc184308100"/>
      <w:bookmarkEnd w:id="300"/>
      <w:bookmarkStart w:id="301" w:name="_Toc184310318"/>
      <w:bookmarkEnd w:id="301"/>
      <w:bookmarkStart w:id="302" w:name="_Toc184313251"/>
      <w:bookmarkEnd w:id="302"/>
      <w:bookmarkStart w:id="303" w:name="_Toc184308060"/>
      <w:bookmarkEnd w:id="303"/>
      <w:bookmarkStart w:id="304" w:name="_Toc184310272"/>
      <w:bookmarkEnd w:id="304"/>
      <w:bookmarkStart w:id="305" w:name="_Toc184308040"/>
      <w:bookmarkEnd w:id="305"/>
      <w:bookmarkStart w:id="306" w:name="_Toc184308094"/>
      <w:bookmarkEnd w:id="306"/>
      <w:bookmarkStart w:id="307" w:name="_Toc184313299"/>
      <w:bookmarkEnd w:id="307"/>
      <w:bookmarkStart w:id="308" w:name="_Toc184313242"/>
      <w:bookmarkEnd w:id="308"/>
      <w:bookmarkStart w:id="309" w:name="_Toc184308061"/>
      <w:bookmarkEnd w:id="309"/>
      <w:bookmarkStart w:id="310" w:name="_Toc184312096"/>
      <w:bookmarkEnd w:id="310"/>
      <w:bookmarkStart w:id="311" w:name="_Toc184310286"/>
      <w:bookmarkEnd w:id="311"/>
      <w:bookmarkStart w:id="312" w:name="_Toc184308052"/>
      <w:bookmarkEnd w:id="312"/>
      <w:bookmarkStart w:id="313" w:name="_Toc184313254"/>
      <w:bookmarkEnd w:id="313"/>
      <w:bookmarkStart w:id="314" w:name="_Toc184312075"/>
      <w:bookmarkEnd w:id="314"/>
      <w:bookmarkStart w:id="315" w:name="_Toc184312119"/>
      <w:bookmarkEnd w:id="315"/>
      <w:bookmarkStart w:id="316" w:name="_Toc184313260"/>
      <w:bookmarkEnd w:id="316"/>
      <w:bookmarkStart w:id="317" w:name="_Toc184308077"/>
      <w:bookmarkEnd w:id="317"/>
      <w:bookmarkStart w:id="318" w:name="_Toc184310338"/>
      <w:bookmarkEnd w:id="318"/>
      <w:bookmarkStart w:id="319" w:name="_Toc184314461"/>
      <w:bookmarkEnd w:id="319"/>
      <w:bookmarkStart w:id="320" w:name="_Toc184313265"/>
      <w:bookmarkEnd w:id="320"/>
      <w:bookmarkStart w:id="321" w:name="_Toc184313298"/>
      <w:bookmarkEnd w:id="321"/>
      <w:bookmarkStart w:id="322" w:name="_Toc184313287"/>
      <w:bookmarkEnd w:id="322"/>
      <w:bookmarkStart w:id="323" w:name="_Toc184312116"/>
      <w:bookmarkEnd w:id="323"/>
      <w:bookmarkStart w:id="324" w:name="_Toc184308104"/>
      <w:bookmarkEnd w:id="324"/>
      <w:bookmarkStart w:id="325" w:name="_Toc184314460"/>
      <w:bookmarkEnd w:id="325"/>
      <w:bookmarkStart w:id="326" w:name="_Toc184312080"/>
      <w:bookmarkEnd w:id="326"/>
      <w:bookmarkStart w:id="327" w:name="_Toc184313277"/>
      <w:bookmarkEnd w:id="327"/>
      <w:bookmarkStart w:id="328" w:name="_Toc184308082"/>
      <w:bookmarkEnd w:id="328"/>
      <w:bookmarkStart w:id="329" w:name="_Toc184310300"/>
      <w:bookmarkEnd w:id="329"/>
      <w:bookmarkStart w:id="330" w:name="_Toc184313264"/>
      <w:bookmarkEnd w:id="330"/>
      <w:bookmarkStart w:id="331" w:name="_Toc184314438"/>
      <w:bookmarkEnd w:id="331"/>
      <w:bookmarkStart w:id="332" w:name="_Toc184314469"/>
      <w:bookmarkEnd w:id="332"/>
      <w:bookmarkStart w:id="333" w:name="_Toc184313258"/>
      <w:bookmarkEnd w:id="333"/>
      <w:bookmarkStart w:id="334" w:name="_Toc184312134"/>
      <w:bookmarkEnd w:id="334"/>
      <w:bookmarkStart w:id="335" w:name="_Toc184310334"/>
      <w:bookmarkEnd w:id="335"/>
      <w:bookmarkStart w:id="336" w:name="_Toc184312133"/>
      <w:bookmarkEnd w:id="336"/>
      <w:bookmarkStart w:id="337" w:name="_Toc184310313"/>
      <w:bookmarkEnd w:id="337"/>
      <w:bookmarkStart w:id="338" w:name="_Toc184308085"/>
      <w:bookmarkEnd w:id="338"/>
      <w:bookmarkStart w:id="339" w:name="_Toc184312104"/>
      <w:bookmarkEnd w:id="339"/>
      <w:bookmarkStart w:id="340" w:name="_Toc184313309"/>
      <w:bookmarkEnd w:id="340"/>
      <w:bookmarkStart w:id="341" w:name="_Toc184314436"/>
      <w:bookmarkEnd w:id="341"/>
      <w:bookmarkStart w:id="342" w:name="_Toc184314439"/>
      <w:bookmarkEnd w:id="342"/>
      <w:bookmarkStart w:id="343" w:name="_Toc184313255"/>
      <w:bookmarkEnd w:id="343"/>
      <w:bookmarkStart w:id="344" w:name="_Toc184308107"/>
      <w:bookmarkEnd w:id="344"/>
      <w:bookmarkStart w:id="345" w:name="_Toc184310330"/>
      <w:bookmarkEnd w:id="345"/>
      <w:bookmarkStart w:id="346" w:name="_Toc184310324"/>
      <w:bookmarkEnd w:id="346"/>
      <w:bookmarkStart w:id="347" w:name="_Toc184312074"/>
      <w:bookmarkEnd w:id="347"/>
      <w:bookmarkStart w:id="348" w:name="_Toc184310293"/>
      <w:bookmarkEnd w:id="348"/>
      <w:bookmarkStart w:id="349" w:name="_Toc184312126"/>
      <w:bookmarkEnd w:id="349"/>
      <w:bookmarkStart w:id="350" w:name="_Toc184308086"/>
      <w:bookmarkEnd w:id="350"/>
      <w:bookmarkStart w:id="351" w:name="_Toc184314431"/>
      <w:bookmarkEnd w:id="351"/>
      <w:bookmarkStart w:id="352" w:name="_Toc184313256"/>
      <w:bookmarkEnd w:id="352"/>
      <w:bookmarkStart w:id="353" w:name="_Toc184314421"/>
      <w:bookmarkEnd w:id="353"/>
      <w:bookmarkStart w:id="354" w:name="_Toc184314456"/>
      <w:bookmarkEnd w:id="354"/>
      <w:bookmarkStart w:id="355" w:name="_Toc184313269"/>
      <w:bookmarkEnd w:id="355"/>
      <w:bookmarkStart w:id="356" w:name="_Toc184312103"/>
      <w:bookmarkEnd w:id="356"/>
      <w:bookmarkStart w:id="357" w:name="_Toc184314479"/>
      <w:bookmarkEnd w:id="357"/>
      <w:bookmarkStart w:id="358" w:name="_Toc184310320"/>
      <w:bookmarkEnd w:id="358"/>
      <w:bookmarkStart w:id="359" w:name="_Toc184310278"/>
      <w:bookmarkEnd w:id="359"/>
      <w:bookmarkStart w:id="360" w:name="_Toc184308105"/>
      <w:bookmarkEnd w:id="360"/>
      <w:bookmarkStart w:id="361" w:name="_Toc184310296"/>
      <w:bookmarkEnd w:id="361"/>
      <w:bookmarkStart w:id="362" w:name="_Toc184308063"/>
      <w:bookmarkEnd w:id="362"/>
      <w:bookmarkStart w:id="363" w:name="_Toc184312070"/>
      <w:bookmarkEnd w:id="363"/>
      <w:bookmarkStart w:id="364" w:name="_Toc184313297"/>
      <w:bookmarkEnd w:id="364"/>
      <w:bookmarkStart w:id="365" w:name="_Toc184314441"/>
      <w:bookmarkEnd w:id="365"/>
      <w:bookmarkStart w:id="366" w:name="_Toc184308049"/>
      <w:bookmarkEnd w:id="366"/>
      <w:bookmarkStart w:id="367" w:name="_Toc184312100"/>
      <w:bookmarkEnd w:id="367"/>
      <w:bookmarkStart w:id="368" w:name="_Toc184313280"/>
      <w:bookmarkEnd w:id="368"/>
      <w:bookmarkStart w:id="369" w:name="_Toc184310326"/>
      <w:bookmarkEnd w:id="369"/>
      <w:bookmarkStart w:id="370" w:name="_Toc184312121"/>
      <w:bookmarkEnd w:id="370"/>
      <w:bookmarkStart w:id="371" w:name="_Toc184308050"/>
      <w:bookmarkEnd w:id="371"/>
      <w:bookmarkStart w:id="372" w:name="_Toc184312137"/>
      <w:bookmarkEnd w:id="372"/>
      <w:bookmarkStart w:id="373" w:name="_Toc184308087"/>
      <w:bookmarkEnd w:id="373"/>
      <w:bookmarkStart w:id="374" w:name="_Toc184310298"/>
      <w:bookmarkEnd w:id="374"/>
      <w:bookmarkStart w:id="375" w:name="_Toc184312086"/>
      <w:bookmarkEnd w:id="375"/>
      <w:bookmarkStart w:id="376" w:name="_Toc184312082"/>
      <w:bookmarkEnd w:id="376"/>
      <w:bookmarkStart w:id="377" w:name="_Toc184310289"/>
      <w:bookmarkEnd w:id="377"/>
      <w:bookmarkStart w:id="378" w:name="_Toc184314446"/>
      <w:bookmarkEnd w:id="378"/>
      <w:bookmarkStart w:id="379" w:name="_Toc184310323"/>
      <w:bookmarkEnd w:id="379"/>
      <w:bookmarkStart w:id="380" w:name="_Toc184314435"/>
      <w:bookmarkEnd w:id="380"/>
      <w:bookmarkStart w:id="381" w:name="_Toc184310343"/>
      <w:bookmarkEnd w:id="381"/>
      <w:bookmarkStart w:id="382" w:name="_Toc184313302"/>
      <w:bookmarkEnd w:id="382"/>
      <w:bookmarkStart w:id="383" w:name="_Toc184308056"/>
      <w:bookmarkEnd w:id="383"/>
      <w:bookmarkStart w:id="384" w:name="_Toc184314425"/>
      <w:bookmarkEnd w:id="384"/>
      <w:bookmarkStart w:id="385" w:name="_Toc184310312"/>
      <w:bookmarkEnd w:id="385"/>
      <w:bookmarkStart w:id="386" w:name="_Toc184312099"/>
      <w:bookmarkEnd w:id="386"/>
      <w:bookmarkStart w:id="387" w:name="_Toc184312068"/>
      <w:bookmarkEnd w:id="387"/>
      <w:bookmarkStart w:id="388" w:name="_Toc184308079"/>
      <w:bookmarkEnd w:id="388"/>
      <w:bookmarkStart w:id="389" w:name="_Toc184314423"/>
      <w:bookmarkEnd w:id="389"/>
      <w:bookmarkStart w:id="390" w:name="_Toc184313272"/>
      <w:bookmarkEnd w:id="390"/>
      <w:bookmarkStart w:id="391" w:name="_Toc184313271"/>
      <w:bookmarkEnd w:id="391"/>
      <w:bookmarkStart w:id="392" w:name="_Toc184312083"/>
      <w:bookmarkEnd w:id="392"/>
      <w:bookmarkStart w:id="393" w:name="_Toc184308071"/>
      <w:bookmarkEnd w:id="393"/>
      <w:bookmarkStart w:id="394" w:name="_Toc184314437"/>
      <w:bookmarkEnd w:id="394"/>
      <w:bookmarkStart w:id="395" w:name="_Toc184312114"/>
      <w:bookmarkEnd w:id="395"/>
      <w:bookmarkStart w:id="396" w:name="_Toc184312131"/>
      <w:bookmarkEnd w:id="396"/>
      <w:bookmarkStart w:id="397" w:name="_Toc184314416"/>
      <w:bookmarkEnd w:id="397"/>
      <w:bookmarkStart w:id="398" w:name="_Toc184312101"/>
      <w:bookmarkEnd w:id="398"/>
      <w:bookmarkStart w:id="399" w:name="_Toc184314426"/>
      <w:bookmarkEnd w:id="399"/>
      <w:bookmarkStart w:id="400" w:name="_Toc184308068"/>
      <w:bookmarkEnd w:id="400"/>
      <w:bookmarkStart w:id="401" w:name="_Toc184308036"/>
      <w:bookmarkEnd w:id="401"/>
      <w:bookmarkStart w:id="402" w:name="_Toc184312089"/>
      <w:bookmarkEnd w:id="402"/>
      <w:bookmarkStart w:id="403" w:name="_Toc184310328"/>
      <w:bookmarkEnd w:id="403"/>
      <w:bookmarkStart w:id="404" w:name="_Toc184310291"/>
      <w:bookmarkEnd w:id="404"/>
      <w:bookmarkStart w:id="405" w:name="_Toc184313305"/>
      <w:bookmarkEnd w:id="405"/>
      <w:bookmarkStart w:id="406" w:name="_Toc184308096"/>
      <w:bookmarkEnd w:id="406"/>
      <w:bookmarkStart w:id="407" w:name="_Toc184310340"/>
      <w:bookmarkEnd w:id="407"/>
      <w:bookmarkStart w:id="408" w:name="_Toc184313304"/>
      <w:bookmarkEnd w:id="408"/>
      <w:bookmarkStart w:id="409" w:name="_Toc184313262"/>
      <w:bookmarkEnd w:id="409"/>
      <w:bookmarkStart w:id="410" w:name="_Toc184312125"/>
      <w:bookmarkEnd w:id="410"/>
      <w:bookmarkStart w:id="411" w:name="_Toc184314418"/>
      <w:bookmarkEnd w:id="411"/>
      <w:bookmarkStart w:id="412" w:name="_Toc184310281"/>
      <w:bookmarkEnd w:id="412"/>
      <w:bookmarkStart w:id="413" w:name="_Toc184312088"/>
      <w:bookmarkEnd w:id="413"/>
      <w:bookmarkStart w:id="414" w:name="_Toc184314472"/>
      <w:bookmarkEnd w:id="414"/>
      <w:bookmarkStart w:id="415" w:name="_Toc184308069"/>
      <w:bookmarkEnd w:id="415"/>
      <w:bookmarkStart w:id="416" w:name="_Toc184314440"/>
      <w:bookmarkEnd w:id="416"/>
      <w:bookmarkStart w:id="417" w:name="_Toc184313295"/>
      <w:bookmarkEnd w:id="417"/>
      <w:bookmarkStart w:id="418" w:name="_Toc184310301"/>
      <w:bookmarkEnd w:id="418"/>
      <w:bookmarkStart w:id="419" w:name="_Toc184314481"/>
      <w:bookmarkEnd w:id="419"/>
      <w:bookmarkStart w:id="420" w:name="_Toc184313281"/>
      <w:bookmarkEnd w:id="420"/>
      <w:bookmarkStart w:id="421" w:name="_Toc184310329"/>
      <w:bookmarkEnd w:id="421"/>
      <w:bookmarkStart w:id="422" w:name="_Toc184314450"/>
      <w:bookmarkEnd w:id="422"/>
      <w:bookmarkStart w:id="423" w:name="_Toc184312136"/>
      <w:bookmarkEnd w:id="423"/>
      <w:r>
        <w:rPr>
          <w:rFonts w:hint="eastAsia" w:ascii="宋体" w:hAnsi="宋体" w:cs="宋体"/>
          <w:b/>
          <w:sz w:val="36"/>
          <w:szCs w:val="20"/>
        </w:rPr>
        <w:t xml:space="preserve"> 评审办法</w:t>
      </w:r>
    </w:p>
    <w:p>
      <w:pPr>
        <w:snapToGrid w:val="0"/>
        <w:spacing w:line="360" w:lineRule="auto"/>
        <w:jc w:val="center"/>
        <w:rPr>
          <w:rFonts w:ascii="宋体" w:hAnsi="宋体" w:cs="宋体"/>
          <w:b/>
          <w:sz w:val="32"/>
          <w:szCs w:val="20"/>
        </w:rPr>
      </w:pPr>
      <w:r>
        <w:rPr>
          <w:rFonts w:hint="eastAsia" w:ascii="宋体" w:hAnsi="宋体" w:cs="宋体"/>
          <w:b/>
          <w:sz w:val="32"/>
          <w:szCs w:val="20"/>
        </w:rPr>
        <w:t>评审办法前附表</w:t>
      </w:r>
    </w:p>
    <w:tbl>
      <w:tblPr>
        <w:tblStyle w:val="64"/>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5897"/>
        <w:gridCol w:w="79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ascii="宋体" w:hAnsi="宋体" w:cs="宋体"/>
                <w:bCs/>
                <w:sz w:val="24"/>
              </w:rPr>
            </w:pPr>
            <w:r>
              <w:rPr>
                <w:rFonts w:hint="eastAsia" w:ascii="宋体" w:hAnsi="宋体" w:cs="宋体"/>
                <w:bCs/>
                <w:sz w:val="24"/>
              </w:rPr>
              <w:t>序号</w:t>
            </w:r>
          </w:p>
        </w:tc>
        <w:tc>
          <w:tcPr>
            <w:tcW w:w="5897" w:type="dxa"/>
            <w:vAlign w:val="center"/>
          </w:tcPr>
          <w:p>
            <w:pPr>
              <w:snapToGrid w:val="0"/>
              <w:jc w:val="center"/>
              <w:outlineLvl w:val="0"/>
              <w:rPr>
                <w:rFonts w:ascii="宋体" w:hAnsi="宋体" w:cs="宋体"/>
                <w:bCs/>
                <w:sz w:val="24"/>
              </w:rPr>
            </w:pPr>
            <w:r>
              <w:rPr>
                <w:rFonts w:hint="eastAsia" w:ascii="宋体" w:hAnsi="宋体" w:cs="宋体"/>
                <w:bCs/>
                <w:sz w:val="24"/>
              </w:rPr>
              <w:t>评审标准</w:t>
            </w:r>
          </w:p>
        </w:tc>
        <w:tc>
          <w:tcPr>
            <w:tcW w:w="793" w:type="dxa"/>
            <w:vAlign w:val="center"/>
          </w:tcPr>
          <w:p>
            <w:pPr>
              <w:snapToGrid w:val="0"/>
              <w:jc w:val="center"/>
              <w:outlineLvl w:val="0"/>
              <w:rPr>
                <w:rFonts w:ascii="宋体" w:hAnsi="宋体" w:cs="宋体"/>
                <w:bCs/>
                <w:sz w:val="24"/>
              </w:rPr>
            </w:pPr>
            <w:r>
              <w:rPr>
                <w:rFonts w:hint="eastAsia" w:ascii="宋体" w:hAnsi="宋体" w:cs="宋体"/>
                <w:bCs/>
                <w:sz w:val="24"/>
              </w:rPr>
              <w:t>权重</w:t>
            </w:r>
          </w:p>
        </w:tc>
        <w:tc>
          <w:tcPr>
            <w:tcW w:w="2133" w:type="dxa"/>
          </w:tcPr>
          <w:p>
            <w:pPr>
              <w:snapToGrid w:val="0"/>
              <w:outlineLvl w:val="0"/>
              <w:rPr>
                <w:rFonts w:ascii="宋体" w:hAnsi="宋体" w:cs="宋体"/>
                <w:bCs/>
                <w:sz w:val="24"/>
              </w:rPr>
            </w:pPr>
            <w:r>
              <w:rPr>
                <w:rFonts w:hint="eastAsia" w:ascii="宋体" w:hAnsi="宋体" w:cs="宋体"/>
                <w:bCs/>
                <w:sz w:val="24"/>
              </w:rPr>
              <w:t>响应文件中评审标准相应的商务技术资料目录</w:t>
            </w:r>
            <w:r>
              <w:rPr>
                <w:rFonts w:hint="eastAsia" w:ascii="宋体" w:hAnsi="宋体" w:cs="宋体"/>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hint="eastAsia" w:ascii="宋体" w:hAnsi="宋体" w:eastAsia="宋体" w:cs="宋体"/>
                <w:sz w:val="24"/>
                <w:lang w:eastAsia="zh-CN"/>
              </w:rPr>
            </w:pPr>
            <w:r>
              <w:rPr>
                <w:rFonts w:hint="eastAsia" w:ascii="宋体" w:hAnsi="宋体" w:cs="宋体"/>
                <w:sz w:val="24"/>
                <w:lang w:val="en-US" w:eastAsia="zh-CN"/>
              </w:rPr>
              <w:t>1</w:t>
            </w:r>
          </w:p>
        </w:tc>
        <w:tc>
          <w:tcPr>
            <w:tcW w:w="5897" w:type="dxa"/>
            <w:vAlign w:val="center"/>
          </w:tcPr>
          <w:p>
            <w:pPr>
              <w:adjustRightInd w:val="0"/>
              <w:snapToGrid w:val="0"/>
              <w:jc w:val="left"/>
              <w:rPr>
                <w:rFonts w:ascii="宋体" w:hAnsi="宋体" w:cs="宋体"/>
                <w:color w:val="auto"/>
                <w:kern w:val="0"/>
                <w:szCs w:val="21"/>
                <w:highlight w:val="none"/>
              </w:rPr>
            </w:pPr>
            <w:r>
              <w:rPr>
                <w:rFonts w:hint="eastAsia" w:ascii="宋体" w:hAnsi="宋体" w:cs="宋体"/>
                <w:color w:val="auto"/>
                <w:kern w:val="0"/>
                <w:szCs w:val="21"/>
                <w:highlight w:val="none"/>
              </w:rPr>
              <w:t>企业业绩</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供应商自</w:t>
            </w:r>
            <w:r>
              <w:rPr>
                <w:rFonts w:hint="eastAsia" w:ascii="宋体" w:hAnsi="宋体" w:cs="宋体"/>
                <w:color w:val="auto"/>
                <w:kern w:val="0"/>
                <w:szCs w:val="21"/>
                <w:highlight w:val="none"/>
                <w:lang w:val="en-US" w:eastAsia="zh-CN"/>
              </w:rPr>
              <w:t>2021</w:t>
            </w:r>
            <w:r>
              <w:rPr>
                <w:rFonts w:hint="eastAsia" w:ascii="宋体" w:hAnsi="宋体" w:cs="宋体"/>
                <w:color w:val="auto"/>
                <w:kern w:val="0"/>
                <w:szCs w:val="21"/>
                <w:highlight w:val="none"/>
              </w:rPr>
              <w:t>年1月1日以来，具有类似年度项目业绩（以合同签订时间为准），每个得</w:t>
            </w:r>
            <w:r>
              <w:rPr>
                <w:rFonts w:hint="eastAsia" w:ascii="宋体" w:hAnsi="宋体" w:cs="宋体"/>
                <w:color w:val="auto"/>
                <w:kern w:val="0"/>
                <w:szCs w:val="21"/>
                <w:highlight w:val="none"/>
                <w:lang w:val="en-US" w:eastAsia="zh-CN"/>
              </w:rPr>
              <w:t>0.5</w:t>
            </w:r>
            <w:r>
              <w:rPr>
                <w:rFonts w:hint="eastAsia" w:ascii="宋体" w:hAnsi="宋体" w:cs="宋体"/>
                <w:color w:val="auto"/>
                <w:kern w:val="0"/>
                <w:szCs w:val="21"/>
                <w:highlight w:val="none"/>
              </w:rPr>
              <w:t>分，最多得</w:t>
            </w:r>
            <w:r>
              <w:rPr>
                <w:rFonts w:hint="eastAsia" w:ascii="宋体" w:hAnsi="宋体" w:cs="宋体"/>
                <w:color w:val="auto"/>
                <w:kern w:val="0"/>
                <w:szCs w:val="21"/>
                <w:highlight w:val="none"/>
                <w:lang w:val="en-US" w:eastAsia="zh-CN"/>
              </w:rPr>
              <w:t>1.5</w:t>
            </w:r>
            <w:r>
              <w:rPr>
                <w:rFonts w:hint="eastAsia" w:ascii="宋体" w:hAnsi="宋体" w:cs="宋体"/>
                <w:color w:val="auto"/>
                <w:kern w:val="0"/>
                <w:szCs w:val="21"/>
                <w:highlight w:val="none"/>
              </w:rPr>
              <w:t>分。需提供合同协议书。同一个用户不重复得分。</w:t>
            </w:r>
          </w:p>
          <w:p>
            <w:pPr>
              <w:snapToGrid w:val="0"/>
              <w:outlineLvl w:val="0"/>
              <w:rPr>
                <w:rFonts w:hint="eastAsia" w:ascii="宋体" w:hAnsi="宋体" w:eastAsia="宋体" w:cs="宋体"/>
                <w:sz w:val="24"/>
                <w:lang w:eastAsia="zh-CN"/>
              </w:rPr>
            </w:pPr>
            <w:r>
              <w:rPr>
                <w:rFonts w:hint="eastAsia" w:ascii="宋体" w:hAnsi="宋体" w:cs="宋体"/>
                <w:color w:val="auto"/>
                <w:kern w:val="0"/>
                <w:szCs w:val="21"/>
                <w:highlight w:val="none"/>
              </w:rPr>
              <w:t>类似年度项目指：项目实施内容相似的工程，如零星维修、零星修缮、零星工程等。</w:t>
            </w:r>
          </w:p>
        </w:tc>
        <w:tc>
          <w:tcPr>
            <w:tcW w:w="793" w:type="dxa"/>
            <w:vAlign w:val="center"/>
          </w:tcPr>
          <w:p>
            <w:pPr>
              <w:snapToGrid w:val="0"/>
              <w:jc w:val="center"/>
              <w:outlineLvl w:val="0"/>
              <w:rPr>
                <w:rFonts w:ascii="宋体" w:hAnsi="宋体" w:cs="宋体"/>
                <w:bCs/>
                <w:sz w:val="24"/>
              </w:rPr>
            </w:pPr>
          </w:p>
          <w:p>
            <w:pPr>
              <w:snapToGrid w:val="0"/>
              <w:jc w:val="center"/>
              <w:outlineLvl w:val="0"/>
              <w:rPr>
                <w:rFonts w:hint="default" w:ascii="宋体" w:hAnsi="宋体" w:eastAsia="宋体" w:cs="宋体"/>
                <w:bCs/>
                <w:sz w:val="24"/>
                <w:lang w:val="en-US" w:eastAsia="zh-CN"/>
              </w:rPr>
            </w:pPr>
            <w:r>
              <w:rPr>
                <w:rFonts w:hint="eastAsia" w:ascii="宋体" w:hAnsi="宋体" w:cs="宋体"/>
                <w:bCs/>
                <w:sz w:val="24"/>
                <w:lang w:val="en-US" w:eastAsia="zh-CN"/>
              </w:rPr>
              <w:t>1.5</w:t>
            </w:r>
          </w:p>
        </w:tc>
        <w:tc>
          <w:tcPr>
            <w:tcW w:w="2133" w:type="dxa"/>
          </w:tcPr>
          <w:p>
            <w:pPr>
              <w:snapToGrid w:val="0"/>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hint="eastAsia" w:ascii="宋体" w:hAnsi="宋体" w:eastAsia="宋体" w:cs="宋体"/>
                <w:sz w:val="24"/>
                <w:lang w:eastAsia="zh-CN"/>
              </w:rPr>
            </w:pPr>
            <w:r>
              <w:rPr>
                <w:rFonts w:hint="eastAsia" w:ascii="宋体" w:hAnsi="宋体" w:cs="宋体"/>
                <w:sz w:val="24"/>
                <w:lang w:val="en-US" w:eastAsia="zh-CN"/>
              </w:rPr>
              <w:t>2</w:t>
            </w:r>
          </w:p>
        </w:tc>
        <w:tc>
          <w:tcPr>
            <w:tcW w:w="5897" w:type="dxa"/>
            <w:vAlign w:val="center"/>
          </w:tcPr>
          <w:p>
            <w:pPr>
              <w:spacing w:line="240" w:lineRule="auto"/>
              <w:contextualSpacing/>
              <w:jc w:val="left"/>
              <w:rPr>
                <w:rFonts w:hint="eastAsia" w:ascii="宋体" w:hAnsi="宋体" w:cs="宋体"/>
                <w:color w:val="auto"/>
                <w:kern w:val="0"/>
                <w:szCs w:val="21"/>
                <w:lang w:val="en-US" w:eastAsia="zh-CN"/>
              </w:rPr>
            </w:pPr>
            <w:r>
              <w:rPr>
                <w:rFonts w:hint="eastAsia" w:ascii="宋体" w:hAnsi="宋体" w:cs="宋体"/>
                <w:color w:val="auto"/>
                <w:kern w:val="0"/>
                <w:szCs w:val="21"/>
              </w:rPr>
              <w:t>供应商针对保证工期的施工组织方案和措施的严密性及合理性进行阐述</w:t>
            </w:r>
            <w:r>
              <w:rPr>
                <w:rFonts w:hint="eastAsia" w:ascii="宋体" w:hAnsi="宋体" w:cs="宋体"/>
                <w:color w:val="auto"/>
                <w:kern w:val="0"/>
                <w:szCs w:val="21"/>
                <w:lang w:val="en-US" w:eastAsia="zh-CN"/>
              </w:rPr>
              <w:t>,包括但不限于医院临时应急抢修、关键重点科室（如手术室、实验室、ICU等）抢修方案、夜间抢修方案、门诊高峰期抢修方案等内容。</w:t>
            </w:r>
          </w:p>
          <w:p>
            <w:pPr>
              <w:spacing w:line="240" w:lineRule="auto"/>
              <w:contextualSpacing/>
              <w:jc w:val="left"/>
              <w:rPr>
                <w:rFonts w:ascii="宋体" w:hAnsi="宋体" w:cs="宋体"/>
                <w:bCs/>
                <w:color w:val="000000"/>
                <w:szCs w:val="21"/>
              </w:rPr>
            </w:pPr>
            <w:r>
              <w:rPr>
                <w:rFonts w:hint="eastAsia" w:ascii="宋体" w:hAnsi="宋体" w:cs="宋体"/>
                <w:bCs/>
                <w:color w:val="000000"/>
                <w:szCs w:val="21"/>
              </w:rPr>
              <w:t>内容整体全面、有结合项目经验进行描述的、提出的解决措施及方案对项目切实有推进作用的，整体完全满足本项目采购要求的得</w:t>
            </w:r>
            <w:r>
              <w:rPr>
                <w:rFonts w:hint="eastAsia" w:ascii="宋体" w:hAnsi="宋体" w:cs="宋体"/>
                <w:bCs/>
                <w:color w:val="000000"/>
                <w:szCs w:val="21"/>
                <w:lang w:val="en-US" w:eastAsia="zh-CN"/>
              </w:rPr>
              <w:t>5</w:t>
            </w:r>
            <w:r>
              <w:rPr>
                <w:rFonts w:hint="eastAsia" w:ascii="宋体" w:hAnsi="宋体" w:cs="宋体"/>
                <w:bCs/>
                <w:color w:val="000000"/>
                <w:szCs w:val="21"/>
              </w:rPr>
              <w:t>分。</w:t>
            </w:r>
          </w:p>
          <w:p>
            <w:pPr>
              <w:spacing w:line="240" w:lineRule="auto"/>
              <w:contextualSpacing/>
              <w:jc w:val="left"/>
              <w:rPr>
                <w:rFonts w:ascii="宋体" w:hAnsi="宋体" w:cs="宋体"/>
                <w:bCs/>
                <w:color w:val="000000"/>
                <w:szCs w:val="21"/>
              </w:rPr>
            </w:pPr>
            <w:r>
              <w:rPr>
                <w:rFonts w:hint="eastAsia" w:ascii="宋体" w:hAnsi="宋体" w:cs="宋体"/>
                <w:bCs/>
                <w:color w:val="000000"/>
                <w:szCs w:val="21"/>
              </w:rPr>
              <w:t>描述相对普通，整体情况一般的得</w:t>
            </w:r>
            <w:r>
              <w:rPr>
                <w:rFonts w:hint="eastAsia" w:ascii="宋体" w:hAnsi="宋体" w:cs="宋体"/>
                <w:bCs/>
                <w:color w:val="000000"/>
                <w:szCs w:val="21"/>
                <w:lang w:val="en-US" w:eastAsia="zh-CN"/>
              </w:rPr>
              <w:t>4</w:t>
            </w:r>
            <w:r>
              <w:rPr>
                <w:rFonts w:hint="eastAsia" w:ascii="宋体" w:hAnsi="宋体" w:cs="宋体"/>
                <w:bCs/>
                <w:color w:val="000000"/>
                <w:szCs w:val="21"/>
              </w:rPr>
              <w:t>分。</w:t>
            </w:r>
          </w:p>
          <w:p>
            <w:pPr>
              <w:spacing w:line="240" w:lineRule="auto"/>
              <w:contextualSpacing/>
              <w:jc w:val="left"/>
              <w:rPr>
                <w:rFonts w:ascii="宋体" w:hAnsi="宋体" w:cs="宋体"/>
                <w:bCs/>
                <w:color w:val="000000"/>
                <w:szCs w:val="21"/>
              </w:rPr>
            </w:pPr>
            <w:r>
              <w:rPr>
                <w:rFonts w:hint="eastAsia" w:ascii="宋体" w:hAnsi="宋体" w:cs="宋体"/>
                <w:bCs/>
                <w:color w:val="000000"/>
                <w:szCs w:val="21"/>
              </w:rPr>
              <w:t>描述粗略，整体较差，无法完全满足本项目需求的得3分。</w:t>
            </w:r>
          </w:p>
          <w:p>
            <w:pPr>
              <w:spacing w:line="240" w:lineRule="auto"/>
              <w:contextualSpacing/>
              <w:jc w:val="left"/>
              <w:rPr>
                <w:rFonts w:ascii="宋体" w:hAnsi="宋体" w:cs="宋体"/>
                <w:bCs/>
                <w:color w:val="000000"/>
                <w:szCs w:val="21"/>
              </w:rPr>
            </w:pPr>
            <w:r>
              <w:rPr>
                <w:rFonts w:hint="eastAsia" w:ascii="宋体" w:hAnsi="宋体" w:cs="宋体"/>
                <w:bCs/>
                <w:color w:val="000000"/>
                <w:szCs w:val="21"/>
              </w:rPr>
              <w:t>描述差，无法满足项目需求的得1分。</w:t>
            </w:r>
          </w:p>
          <w:p>
            <w:pPr>
              <w:snapToGrid w:val="0"/>
              <w:outlineLvl w:val="0"/>
              <w:rPr>
                <w:rFonts w:ascii="宋体" w:hAnsi="宋体" w:cs="宋体"/>
                <w:sz w:val="24"/>
              </w:rPr>
            </w:pPr>
            <w:r>
              <w:rPr>
                <w:rFonts w:hint="eastAsia" w:ascii="宋体" w:hAnsi="宋体" w:cs="宋体"/>
                <w:bCs/>
                <w:color w:val="000000"/>
                <w:szCs w:val="21"/>
              </w:rPr>
              <w:t>未提供不得分。</w:t>
            </w:r>
          </w:p>
        </w:tc>
        <w:tc>
          <w:tcPr>
            <w:tcW w:w="793" w:type="dxa"/>
            <w:vAlign w:val="center"/>
          </w:tcPr>
          <w:p>
            <w:pPr>
              <w:snapToGrid w:val="0"/>
              <w:jc w:val="center"/>
              <w:outlineLvl w:val="0"/>
              <w:rPr>
                <w:rFonts w:hint="eastAsia" w:ascii="宋体" w:hAnsi="宋体" w:eastAsia="宋体" w:cs="宋体"/>
                <w:bCs/>
                <w:sz w:val="24"/>
                <w:lang w:val="en-US" w:eastAsia="zh-CN"/>
              </w:rPr>
            </w:pPr>
            <w:r>
              <w:rPr>
                <w:rFonts w:hint="eastAsia" w:ascii="宋体" w:hAnsi="宋体" w:cs="宋体"/>
                <w:bCs/>
                <w:sz w:val="24"/>
                <w:lang w:val="en-US" w:eastAsia="zh-CN"/>
              </w:rPr>
              <w:t>5</w:t>
            </w:r>
          </w:p>
        </w:tc>
        <w:tc>
          <w:tcPr>
            <w:tcW w:w="2133" w:type="dxa"/>
          </w:tcPr>
          <w:p>
            <w:pPr>
              <w:snapToGrid w:val="0"/>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rPr>
                <w:rFonts w:hint="eastAsia" w:ascii="宋体" w:hAnsi="宋体" w:eastAsia="宋体" w:cs="宋体"/>
                <w:lang w:val="en-US" w:eastAsia="zh-CN"/>
              </w:rPr>
            </w:pPr>
            <w:r>
              <w:rPr>
                <w:rFonts w:hint="eastAsia" w:ascii="宋体" w:hAnsi="宋体" w:cs="宋体"/>
                <w:lang w:val="en-US" w:eastAsia="zh-CN"/>
              </w:rPr>
              <w:t>3</w:t>
            </w:r>
          </w:p>
        </w:tc>
        <w:tc>
          <w:tcPr>
            <w:tcW w:w="5897" w:type="dxa"/>
            <w:vAlign w:val="center"/>
          </w:tcPr>
          <w:p>
            <w:pPr>
              <w:spacing w:line="240" w:lineRule="auto"/>
              <w:contextualSpacing/>
              <w:jc w:val="left"/>
              <w:rPr>
                <w:rFonts w:hint="eastAsia" w:ascii="宋体" w:hAnsi="宋体" w:eastAsia="宋体" w:cs="宋体"/>
                <w:bCs/>
                <w:color w:val="000000"/>
                <w:szCs w:val="21"/>
                <w:lang w:val="en-US" w:eastAsia="zh-CN"/>
              </w:rPr>
            </w:pPr>
            <w:r>
              <w:rPr>
                <w:rFonts w:hint="eastAsia"/>
              </w:rPr>
              <w:t>供应商针对保证工程质量的技术方案和措施的严密性及合理性进行阐述</w:t>
            </w:r>
            <w:r>
              <w:rPr>
                <w:rFonts w:hint="eastAsia"/>
                <w:lang w:eastAsia="zh-CN"/>
              </w:rPr>
              <w:t>，</w:t>
            </w:r>
            <w:r>
              <w:rPr>
                <w:rFonts w:hint="eastAsia"/>
                <w:lang w:val="en-US" w:eastAsia="zh-CN"/>
              </w:rPr>
              <w:t>包括但不限于医院关键重点科室（如手术室、实验室、ICU</w:t>
            </w:r>
            <w:r>
              <w:rPr>
                <w:rFonts w:hint="eastAsia" w:ascii="宋体" w:hAnsi="宋体" w:eastAsia="宋体" w:cs="宋体"/>
                <w:bCs/>
                <w:color w:val="000000"/>
                <w:szCs w:val="21"/>
                <w:lang w:val="en-US" w:eastAsia="zh-CN"/>
              </w:rPr>
              <w:t>等）抢修方案、夜间抢修方案、门诊高峰期抢修方案等内容。</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内容整体全面、有结合项目经验进行描述的、提出的解决措施及方案对项目切实有推进作用的，整体完全满足本项目采购要求的得</w:t>
            </w:r>
            <w:r>
              <w:rPr>
                <w:rFonts w:hint="eastAsia" w:ascii="宋体" w:hAnsi="宋体" w:cs="宋体"/>
                <w:bCs/>
                <w:color w:val="000000"/>
                <w:szCs w:val="21"/>
                <w:lang w:val="en-US" w:eastAsia="zh-CN"/>
              </w:rPr>
              <w:t>5</w:t>
            </w:r>
            <w:r>
              <w:rPr>
                <w:rFonts w:hint="eastAsia" w:ascii="宋体" w:hAnsi="宋体" w:eastAsia="宋体" w:cs="宋体"/>
                <w:bCs/>
                <w:color w:val="000000"/>
                <w:szCs w:val="21"/>
                <w:lang w:val="en-US" w:eastAsia="zh-CN"/>
              </w:rPr>
              <w:t>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描述相对普通，整体情况一般的得4分。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描述粗略，整体较差，无法完全满足本项目需求的得3分。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描述差，无法满足项目需求的得1分。</w:t>
            </w:r>
          </w:p>
          <w:p>
            <w:pPr>
              <w:snapToGrid w:val="0"/>
              <w:rPr>
                <w:rFonts w:ascii="宋体" w:hAnsi="宋体" w:cs="宋体"/>
              </w:rPr>
            </w:pPr>
            <w:r>
              <w:rPr>
                <w:rFonts w:hint="eastAsia" w:ascii="宋体" w:hAnsi="宋体" w:eastAsia="宋体" w:cs="宋体"/>
                <w:bCs/>
                <w:color w:val="000000"/>
                <w:szCs w:val="21"/>
                <w:lang w:val="en-US" w:eastAsia="zh-CN"/>
              </w:rPr>
              <w:t>未提供不得分。</w:t>
            </w:r>
          </w:p>
        </w:tc>
        <w:tc>
          <w:tcPr>
            <w:tcW w:w="793" w:type="dxa"/>
            <w:vAlign w:val="center"/>
          </w:tcPr>
          <w:p>
            <w:pPr>
              <w:snapToGrid w:val="0"/>
              <w:jc w:val="center"/>
              <w:outlineLvl w:val="0"/>
              <w:rPr>
                <w:rFonts w:hint="eastAsia" w:ascii="宋体" w:hAnsi="宋体" w:eastAsia="宋体" w:cs="宋体"/>
                <w:bCs/>
                <w:sz w:val="24"/>
                <w:lang w:val="en-US" w:eastAsia="zh-CN"/>
              </w:rPr>
            </w:pPr>
            <w:r>
              <w:rPr>
                <w:rFonts w:hint="eastAsia" w:ascii="宋体" w:hAnsi="宋体" w:cs="宋体"/>
                <w:bCs/>
                <w:sz w:val="24"/>
                <w:lang w:val="en-US" w:eastAsia="zh-CN"/>
              </w:rPr>
              <w:t>5</w:t>
            </w:r>
          </w:p>
        </w:tc>
        <w:tc>
          <w:tcPr>
            <w:tcW w:w="2133" w:type="dxa"/>
          </w:tcPr>
          <w:p>
            <w:pPr>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rPr>
                <w:rFonts w:hint="eastAsia" w:ascii="宋体" w:hAnsi="宋体" w:eastAsia="宋体" w:cs="宋体"/>
                <w:lang w:val="en-US" w:eastAsia="zh-CN"/>
              </w:rPr>
            </w:pPr>
            <w:r>
              <w:rPr>
                <w:rFonts w:hint="eastAsia" w:ascii="宋体" w:hAnsi="宋体" w:cs="宋体"/>
                <w:lang w:val="en-US" w:eastAsia="zh-CN"/>
              </w:rPr>
              <w:t>4</w:t>
            </w:r>
          </w:p>
        </w:tc>
        <w:tc>
          <w:tcPr>
            <w:tcW w:w="5897" w:type="dxa"/>
            <w:vAlign w:val="center"/>
          </w:tcPr>
          <w:p>
            <w:pPr>
              <w:spacing w:line="240" w:lineRule="auto"/>
              <w:contextualSpacing/>
              <w:jc w:val="left"/>
              <w:rPr>
                <w:rFonts w:hint="eastAsia" w:ascii="宋体" w:hAnsi="宋体" w:eastAsia="宋体" w:cs="宋体"/>
                <w:bCs/>
                <w:color w:val="000000"/>
                <w:szCs w:val="21"/>
                <w:lang w:val="en-US" w:eastAsia="zh-CN"/>
              </w:rPr>
            </w:pPr>
            <w:r>
              <w:rPr>
                <w:rFonts w:hint="eastAsia"/>
              </w:rPr>
              <w:t>供应商针对</w:t>
            </w:r>
            <w:r>
              <w:rPr>
                <w:rFonts w:hint="eastAsia" w:ascii="宋体" w:hAnsi="宋体" w:eastAsia="宋体" w:cs="宋体"/>
                <w:bCs/>
                <w:color w:val="000000"/>
                <w:szCs w:val="21"/>
                <w:lang w:val="en-US" w:eastAsia="zh-CN"/>
              </w:rPr>
              <w:t>确保供应货物（材料）质量的监控措施，对货物的生产、运输、到场后的验收、保存方法等进行阐述。</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内容整体全面、有结合项目经验进行描述的、提出的解决措施及方案对项目切实有推进作用的，整体完全满足本项目采购要求的得</w:t>
            </w:r>
            <w:r>
              <w:rPr>
                <w:rFonts w:hint="eastAsia" w:ascii="宋体" w:hAnsi="宋体" w:cs="宋体"/>
                <w:bCs/>
                <w:color w:val="000000"/>
                <w:szCs w:val="21"/>
                <w:lang w:val="en-US" w:eastAsia="zh-CN"/>
              </w:rPr>
              <w:t>5</w:t>
            </w:r>
            <w:r>
              <w:rPr>
                <w:rFonts w:hint="eastAsia" w:ascii="宋体" w:hAnsi="宋体" w:eastAsia="宋体" w:cs="宋体"/>
                <w:bCs/>
                <w:color w:val="000000"/>
                <w:szCs w:val="21"/>
                <w:lang w:val="en-US" w:eastAsia="zh-CN"/>
              </w:rPr>
              <w:t>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描述相对普通，整体情况一般的得4分。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描述粗略，整体较差，无法完全满足本项目需求的得3分。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描述差，无法满足项目需求的得1分。</w:t>
            </w:r>
          </w:p>
          <w:p>
            <w:pPr>
              <w:snapToGrid w:val="0"/>
              <w:rPr>
                <w:rFonts w:ascii="宋体" w:hAnsi="宋体" w:cs="宋体"/>
              </w:rPr>
            </w:pPr>
            <w:r>
              <w:rPr>
                <w:rFonts w:hint="eastAsia" w:ascii="宋体" w:hAnsi="宋体" w:eastAsia="宋体" w:cs="宋体"/>
                <w:bCs/>
                <w:color w:val="000000"/>
                <w:szCs w:val="21"/>
                <w:lang w:val="en-US" w:eastAsia="zh-CN"/>
              </w:rPr>
              <w:t>未提供不得分。</w:t>
            </w:r>
          </w:p>
        </w:tc>
        <w:tc>
          <w:tcPr>
            <w:tcW w:w="793" w:type="dxa"/>
            <w:vAlign w:val="center"/>
          </w:tcPr>
          <w:p>
            <w:pPr>
              <w:snapToGrid w:val="0"/>
              <w:jc w:val="center"/>
              <w:outlineLvl w:val="0"/>
              <w:rPr>
                <w:rFonts w:hint="eastAsia" w:ascii="宋体" w:hAnsi="宋体" w:eastAsia="宋体" w:cs="宋体"/>
                <w:bCs/>
                <w:sz w:val="24"/>
                <w:lang w:val="en-US" w:eastAsia="zh-CN"/>
              </w:rPr>
            </w:pPr>
            <w:r>
              <w:rPr>
                <w:rFonts w:hint="eastAsia" w:ascii="宋体" w:hAnsi="宋体" w:cs="宋体"/>
                <w:bCs/>
                <w:sz w:val="24"/>
                <w:lang w:val="en-US" w:eastAsia="zh-CN"/>
              </w:rPr>
              <w:t>5</w:t>
            </w:r>
          </w:p>
        </w:tc>
        <w:tc>
          <w:tcPr>
            <w:tcW w:w="2133" w:type="dxa"/>
          </w:tcPr>
          <w:p>
            <w:pPr>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5</w:t>
            </w:r>
          </w:p>
        </w:tc>
        <w:tc>
          <w:tcPr>
            <w:tcW w:w="5897" w:type="dxa"/>
            <w:vAlign w:val="center"/>
          </w:tcPr>
          <w:p>
            <w:pPr>
              <w:spacing w:line="240" w:lineRule="auto"/>
              <w:contextualSpacing/>
              <w:jc w:val="left"/>
              <w:rPr>
                <w:rFonts w:hint="eastAsia" w:ascii="宋体" w:hAnsi="宋体" w:eastAsia="宋体" w:cs="宋体"/>
                <w:color w:val="auto"/>
                <w:kern w:val="0"/>
                <w:szCs w:val="21"/>
                <w:lang w:eastAsia="zh-CN"/>
              </w:rPr>
            </w:pPr>
            <w:r>
              <w:rPr>
                <w:rFonts w:hint="eastAsia" w:ascii="宋体" w:hAnsi="宋体" w:cs="宋体"/>
                <w:color w:val="auto"/>
                <w:kern w:val="0"/>
                <w:szCs w:val="21"/>
              </w:rPr>
              <w:t>供应商针对保证项目实施的技术力量和人力资源安排的合理性，专业配置与工程内容的相适性进行阐述</w:t>
            </w:r>
            <w:r>
              <w:rPr>
                <w:rFonts w:hint="eastAsia" w:ascii="宋体" w:hAnsi="宋体" w:cs="宋体"/>
                <w:color w:val="auto"/>
                <w:kern w:val="0"/>
                <w:szCs w:val="21"/>
                <w:lang w:eastAsia="zh-CN"/>
              </w:rPr>
              <w:t>，包括但不限于人员简历介绍、人员分工安排的合理性、管理人员的统筹手段、紧急情况下现场人员的工作合力安排及分工、后备力量的支持等内容</w:t>
            </w:r>
            <w:r>
              <w:rPr>
                <w:rFonts w:hint="eastAsia" w:ascii="宋体" w:hAnsi="宋体" w:cs="宋体"/>
                <w:color w:val="auto"/>
                <w:kern w:val="0"/>
                <w:szCs w:val="21"/>
              </w:rPr>
              <w:t>。</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内容整体全面、有结合项目经验进行描述的、提出的解决措施及方案对项目切实有推进作用的，整体完全满足本项目采购要求的得5分。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描述相对普通，整体情况一般的得4分。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描述粗略，整体较差，无法完全满足本项目需求的得3分。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描述差，无法满足项目需求的得1分。</w:t>
            </w:r>
          </w:p>
          <w:p>
            <w:pPr>
              <w:snapToGrid w:val="0"/>
              <w:rPr>
                <w:rFonts w:ascii="宋体" w:hAnsi="宋体" w:eastAsia="宋体" w:cs="宋体"/>
                <w:kern w:val="2"/>
                <w:sz w:val="21"/>
                <w:szCs w:val="24"/>
                <w:lang w:val="en-US" w:eastAsia="zh-CN" w:bidi="ar-SA"/>
              </w:rPr>
            </w:pPr>
            <w:r>
              <w:rPr>
                <w:rFonts w:hint="eastAsia" w:ascii="宋体" w:hAnsi="宋体" w:eastAsia="宋体" w:cs="宋体"/>
                <w:bCs/>
                <w:color w:val="000000"/>
                <w:szCs w:val="21"/>
                <w:lang w:val="en-US" w:eastAsia="zh-CN"/>
              </w:rPr>
              <w:t>未提供不得分。</w:t>
            </w:r>
          </w:p>
        </w:tc>
        <w:tc>
          <w:tcPr>
            <w:tcW w:w="793" w:type="dxa"/>
            <w:vAlign w:val="center"/>
          </w:tcPr>
          <w:p>
            <w:pPr>
              <w:snapToGrid w:val="0"/>
              <w:jc w:val="center"/>
              <w:outlineLvl w:val="0"/>
              <w:rPr>
                <w:rFonts w:hint="default" w:ascii="宋体" w:hAnsi="宋体" w:eastAsia="宋体" w:cs="宋体"/>
                <w:bCs/>
                <w:kern w:val="2"/>
                <w:sz w:val="24"/>
                <w:szCs w:val="24"/>
                <w:lang w:val="en-US" w:eastAsia="zh-CN" w:bidi="ar-SA"/>
              </w:rPr>
            </w:pPr>
            <w:r>
              <w:rPr>
                <w:rFonts w:hint="eastAsia" w:ascii="宋体" w:hAnsi="宋体" w:cs="宋体"/>
                <w:bCs/>
                <w:kern w:val="2"/>
                <w:sz w:val="24"/>
                <w:szCs w:val="24"/>
                <w:lang w:val="en-US" w:eastAsia="zh-CN" w:bidi="ar-SA"/>
              </w:rPr>
              <w:t>5</w:t>
            </w:r>
          </w:p>
        </w:tc>
        <w:tc>
          <w:tcPr>
            <w:tcW w:w="2133" w:type="dxa"/>
            <w:vAlign w:val="top"/>
          </w:tcPr>
          <w:p>
            <w:pPr>
              <w:snapToGrid w:val="0"/>
              <w:rPr>
                <w:rFonts w:ascii="宋体" w:hAnsi="宋体" w:eastAsia="宋体" w:cs="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6</w:t>
            </w:r>
          </w:p>
        </w:tc>
        <w:tc>
          <w:tcPr>
            <w:tcW w:w="5897" w:type="dxa"/>
            <w:vAlign w:val="center"/>
          </w:tcPr>
          <w:p>
            <w:pPr>
              <w:spacing w:line="240" w:lineRule="auto"/>
              <w:contextualSpacing/>
              <w:jc w:val="left"/>
              <w:rPr>
                <w:rFonts w:hint="eastAsia" w:ascii="宋体" w:hAnsi="宋体" w:cs="宋体"/>
                <w:color w:val="auto"/>
                <w:kern w:val="0"/>
                <w:szCs w:val="21"/>
                <w:lang w:val="en-US" w:eastAsia="zh-CN"/>
              </w:rPr>
            </w:pPr>
            <w:r>
              <w:rPr>
                <w:rFonts w:hint="eastAsia" w:ascii="宋体" w:hAnsi="宋体" w:cs="宋体"/>
                <w:color w:val="auto"/>
                <w:kern w:val="0"/>
                <w:szCs w:val="21"/>
              </w:rPr>
              <w:t>供应商针对安装、调试、验收的方案合理性和竣工资料完整性和及时性等进行阐述</w:t>
            </w:r>
            <w:r>
              <w:rPr>
                <w:rFonts w:hint="eastAsia" w:ascii="宋体" w:hAnsi="宋体" w:cs="宋体"/>
                <w:color w:val="auto"/>
                <w:kern w:val="0"/>
                <w:szCs w:val="21"/>
                <w:lang w:eastAsia="zh-CN"/>
              </w:rPr>
              <w:t>，包括但不限于常规维修、应急维修及</w:t>
            </w:r>
            <w:r>
              <w:rPr>
                <w:rFonts w:hint="eastAsia" w:ascii="宋体" w:hAnsi="宋体" w:cs="宋体"/>
                <w:color w:val="auto"/>
                <w:kern w:val="0"/>
                <w:szCs w:val="21"/>
                <w:lang w:val="en-US" w:eastAsia="zh-CN"/>
              </w:rPr>
              <w:t>关键重点科室（如手术室、实验室、ICU等）的安装维修方案及工艺；调试手段及验收环节的规范性等。</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内容整体全面、有结合项目经验进行描述的、提出的解决措施及方案对项目切实有推进作用的，整体完全满足本项目采购要求的得5分。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描述相对普通，整体情况一般的得4分。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描述粗略，整体较差，无法完全满足本项目需求的得3分。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描述差，无法满足项目需求的得1分。</w:t>
            </w:r>
          </w:p>
          <w:p>
            <w:pPr>
              <w:snapToGrid w:val="0"/>
              <w:rPr>
                <w:rFonts w:ascii="宋体" w:hAnsi="宋体" w:eastAsia="宋体" w:cs="宋体"/>
                <w:kern w:val="2"/>
                <w:sz w:val="21"/>
                <w:szCs w:val="24"/>
                <w:lang w:val="en-US" w:eastAsia="zh-CN" w:bidi="ar-SA"/>
              </w:rPr>
            </w:pPr>
            <w:r>
              <w:rPr>
                <w:rFonts w:hint="eastAsia" w:ascii="宋体" w:hAnsi="宋体" w:eastAsia="宋体" w:cs="宋体"/>
                <w:bCs/>
                <w:color w:val="000000"/>
                <w:szCs w:val="21"/>
                <w:lang w:val="en-US" w:eastAsia="zh-CN"/>
              </w:rPr>
              <w:t>未提供不得分。</w:t>
            </w:r>
          </w:p>
        </w:tc>
        <w:tc>
          <w:tcPr>
            <w:tcW w:w="793" w:type="dxa"/>
            <w:vAlign w:val="center"/>
          </w:tcPr>
          <w:p>
            <w:pPr>
              <w:snapToGrid w:val="0"/>
              <w:jc w:val="center"/>
              <w:outlineLvl w:val="0"/>
              <w:rPr>
                <w:rFonts w:hint="default" w:ascii="宋体" w:hAnsi="宋体" w:eastAsia="宋体" w:cs="宋体"/>
                <w:bCs/>
                <w:kern w:val="2"/>
                <w:sz w:val="24"/>
                <w:szCs w:val="24"/>
                <w:lang w:val="en-US" w:eastAsia="zh-CN" w:bidi="ar-SA"/>
              </w:rPr>
            </w:pPr>
            <w:r>
              <w:rPr>
                <w:rFonts w:hint="eastAsia" w:ascii="宋体" w:hAnsi="宋体" w:cs="宋体"/>
                <w:bCs/>
                <w:kern w:val="2"/>
                <w:sz w:val="24"/>
                <w:szCs w:val="24"/>
                <w:lang w:val="en-US" w:eastAsia="zh-CN" w:bidi="ar-SA"/>
              </w:rPr>
              <w:t>5</w:t>
            </w:r>
          </w:p>
        </w:tc>
        <w:tc>
          <w:tcPr>
            <w:tcW w:w="2133" w:type="dxa"/>
            <w:vAlign w:val="top"/>
          </w:tcPr>
          <w:p>
            <w:pPr>
              <w:snapToGrid w:val="0"/>
              <w:rPr>
                <w:rFonts w:ascii="宋体" w:hAnsi="宋体" w:eastAsia="宋体" w:cs="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7</w:t>
            </w:r>
          </w:p>
        </w:tc>
        <w:tc>
          <w:tcPr>
            <w:tcW w:w="5897" w:type="dxa"/>
            <w:vAlign w:val="center"/>
          </w:tcPr>
          <w:p>
            <w:pPr>
              <w:spacing w:line="240" w:lineRule="auto"/>
              <w:contextualSpacing/>
              <w:jc w:val="left"/>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根据零星维修和零星工程的施工特点，投标单位必须配备</w:t>
            </w:r>
            <w:r>
              <w:rPr>
                <w:rFonts w:hint="eastAsia" w:ascii="宋体" w:hAnsi="宋体" w:cs="宋体"/>
                <w:color w:val="000000" w:themeColor="text1"/>
                <w:kern w:val="0"/>
                <w:szCs w:val="21"/>
                <w:lang w:eastAsia="zh-CN"/>
                <w14:textFill>
                  <w14:solidFill>
                    <w14:schemeClr w14:val="tx1"/>
                  </w14:solidFill>
                </w14:textFill>
              </w:rPr>
              <w:t>常规</w:t>
            </w:r>
            <w:r>
              <w:rPr>
                <w:rFonts w:hint="eastAsia" w:ascii="宋体" w:hAnsi="宋体" w:cs="宋体"/>
                <w:color w:val="000000" w:themeColor="text1"/>
                <w:kern w:val="0"/>
                <w:szCs w:val="21"/>
                <w14:textFill>
                  <w14:solidFill>
                    <w14:schemeClr w14:val="tx1"/>
                  </w14:solidFill>
                </w14:textFill>
              </w:rPr>
              <w:t>驻点人员</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驻点人员不得少于</w:t>
            </w:r>
            <w:r>
              <w:rPr>
                <w:rFonts w:hint="eastAsia" w:ascii="宋体" w:hAnsi="宋体" w:cs="宋体"/>
                <w:color w:val="000000" w:themeColor="text1"/>
                <w:kern w:val="0"/>
                <w:szCs w:val="21"/>
                <w:highlight w:val="none"/>
                <w:lang w:val="en-US" w:eastAsia="zh-CN"/>
                <w14:textFill>
                  <w14:solidFill>
                    <w14:schemeClr w14:val="tx1"/>
                  </w14:solidFill>
                </w14:textFill>
              </w:rPr>
              <w:t>三</w:t>
            </w:r>
            <w:r>
              <w:rPr>
                <w:rFonts w:hint="eastAsia" w:ascii="宋体" w:hAnsi="宋体" w:cs="宋体"/>
                <w:color w:val="000000" w:themeColor="text1"/>
                <w:kern w:val="0"/>
                <w:szCs w:val="21"/>
                <w:highlight w:val="none"/>
                <w14:textFill>
                  <w14:solidFill>
                    <w14:schemeClr w14:val="tx1"/>
                  </w14:solidFill>
                </w14:textFill>
              </w:rPr>
              <w:t>人，供应商可自行考虑驻点人员的数量，</w:t>
            </w:r>
            <w:r>
              <w:rPr>
                <w:rFonts w:hint="eastAsia" w:ascii="宋体" w:hAnsi="宋体" w:cs="宋体"/>
                <w:color w:val="000000" w:themeColor="text1"/>
                <w:kern w:val="0"/>
                <w:szCs w:val="21"/>
                <w:highlight w:val="none"/>
                <w:lang w:val="en-US" w:eastAsia="zh-CN"/>
                <w14:textFill>
                  <w14:solidFill>
                    <w14:schemeClr w14:val="tx1"/>
                  </w14:solidFill>
                </w14:textFill>
              </w:rPr>
              <w:t>工作安排、工作分工，</w:t>
            </w:r>
            <w:r>
              <w:rPr>
                <w:rFonts w:hint="eastAsia" w:ascii="宋体" w:hAnsi="宋体" w:cs="宋体"/>
                <w:color w:val="000000" w:themeColor="text1"/>
                <w:kern w:val="0"/>
                <w:szCs w:val="21"/>
                <w:highlight w:val="none"/>
                <w14:textFill>
                  <w14:solidFill>
                    <w14:schemeClr w14:val="tx1"/>
                  </w14:solidFill>
                </w14:textFill>
              </w:rPr>
              <w:t>配置要求合理。</w:t>
            </w:r>
          </w:p>
          <w:p>
            <w:pPr>
              <w:spacing w:line="240" w:lineRule="auto"/>
              <w:contextualSpacing/>
              <w:jc w:val="left"/>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配置合理、满足或超出项目要求的得5分。</w:t>
            </w:r>
          </w:p>
          <w:p>
            <w:pPr>
              <w:spacing w:line="240" w:lineRule="auto"/>
              <w:contextualSpacing/>
              <w:jc w:val="left"/>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配置相对合理，工作安排有优化空间的得3分。</w:t>
            </w:r>
          </w:p>
          <w:p>
            <w:pPr>
              <w:spacing w:line="240" w:lineRule="auto"/>
              <w:contextualSpacing/>
              <w:jc w:val="left"/>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描述差，无法满足项目需求的得1分。</w:t>
            </w:r>
          </w:p>
          <w:p>
            <w:pPr>
              <w:snapToGrid w:val="0"/>
              <w:rPr>
                <w:rFonts w:ascii="宋体" w:hAnsi="宋体" w:eastAsia="宋体" w:cs="宋体"/>
                <w:kern w:val="2"/>
                <w:sz w:val="21"/>
                <w:szCs w:val="24"/>
                <w:lang w:val="en-US" w:eastAsia="zh-CN" w:bidi="ar-SA"/>
              </w:rPr>
            </w:pPr>
            <w:r>
              <w:rPr>
                <w:rFonts w:hint="eastAsia" w:ascii="宋体" w:hAnsi="宋体" w:eastAsia="宋体" w:cs="宋体"/>
                <w:bCs/>
                <w:color w:val="000000" w:themeColor="text1"/>
                <w:szCs w:val="21"/>
                <w:lang w:val="en-US" w:eastAsia="zh-CN"/>
                <w14:textFill>
                  <w14:solidFill>
                    <w14:schemeClr w14:val="tx1"/>
                  </w14:solidFill>
                </w14:textFill>
              </w:rPr>
              <w:t>未提供不得分。</w:t>
            </w:r>
          </w:p>
        </w:tc>
        <w:tc>
          <w:tcPr>
            <w:tcW w:w="793" w:type="dxa"/>
            <w:vAlign w:val="center"/>
          </w:tcPr>
          <w:p>
            <w:pPr>
              <w:snapToGrid w:val="0"/>
              <w:jc w:val="center"/>
              <w:outlineLvl w:val="0"/>
              <w:rPr>
                <w:rFonts w:hint="default" w:ascii="宋体" w:hAnsi="宋体" w:eastAsia="宋体" w:cs="宋体"/>
                <w:bCs/>
                <w:kern w:val="2"/>
                <w:sz w:val="24"/>
                <w:szCs w:val="24"/>
                <w:lang w:val="en-US" w:eastAsia="zh-CN" w:bidi="ar-SA"/>
              </w:rPr>
            </w:pPr>
            <w:r>
              <w:rPr>
                <w:rFonts w:hint="eastAsia" w:ascii="宋体" w:hAnsi="宋体" w:cs="宋体"/>
                <w:bCs/>
                <w:kern w:val="2"/>
                <w:sz w:val="24"/>
                <w:szCs w:val="24"/>
                <w:lang w:val="en-US" w:eastAsia="zh-CN" w:bidi="ar-SA"/>
              </w:rPr>
              <w:t>5</w:t>
            </w:r>
          </w:p>
        </w:tc>
        <w:tc>
          <w:tcPr>
            <w:tcW w:w="2133" w:type="dxa"/>
            <w:vAlign w:val="top"/>
          </w:tcPr>
          <w:p>
            <w:pPr>
              <w:snapToGrid w:val="0"/>
              <w:rPr>
                <w:rFonts w:ascii="宋体" w:hAnsi="宋体" w:eastAsia="宋体" w:cs="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rPr>
                <w:rFonts w:hint="eastAsia" w:ascii="宋体" w:hAnsi="宋体" w:eastAsia="宋体" w:cs="宋体"/>
                <w:lang w:val="en-US" w:eastAsia="zh-CN"/>
              </w:rPr>
            </w:pPr>
            <w:r>
              <w:rPr>
                <w:rFonts w:hint="eastAsia" w:ascii="宋体" w:hAnsi="宋体" w:cs="宋体"/>
                <w:lang w:val="en-US" w:eastAsia="zh-CN"/>
              </w:rPr>
              <w:t>8</w:t>
            </w:r>
          </w:p>
        </w:tc>
        <w:tc>
          <w:tcPr>
            <w:tcW w:w="5897" w:type="dxa"/>
            <w:vAlign w:val="center"/>
          </w:tcPr>
          <w:p>
            <w:pPr>
              <w:adjustRightInd w:val="0"/>
              <w:snapToGrid w:val="0"/>
              <w:rPr>
                <w:rFonts w:ascii="宋体" w:hAnsi="宋体" w:cs="宋体"/>
                <w:color w:val="auto"/>
                <w:kern w:val="0"/>
                <w:szCs w:val="21"/>
              </w:rPr>
            </w:pPr>
            <w:r>
              <w:rPr>
                <w:rFonts w:hint="eastAsia" w:ascii="宋体" w:hAnsi="宋体" w:cs="宋体"/>
                <w:color w:val="auto"/>
                <w:kern w:val="0"/>
                <w:szCs w:val="21"/>
              </w:rPr>
              <w:t>针对医院零星维修和小型零星工程的特点和施工环境、医院特殊区域环境下组织施工的技术方案和措施的阐述。</w:t>
            </w:r>
          </w:p>
          <w:p>
            <w:pPr>
              <w:spacing w:line="240" w:lineRule="auto"/>
              <w:contextualSpacing/>
              <w:jc w:val="left"/>
              <w:rPr>
                <w:rFonts w:hint="eastAsia" w:ascii="宋体" w:hAnsi="宋体" w:eastAsia="宋体" w:cs="宋体"/>
                <w:color w:val="auto"/>
                <w:kern w:val="0"/>
                <w:szCs w:val="21"/>
                <w:lang w:eastAsia="zh-CN"/>
              </w:rPr>
            </w:pPr>
            <w:r>
              <w:rPr>
                <w:rFonts w:hint="eastAsia" w:ascii="宋体" w:hAnsi="宋体" w:cs="宋体"/>
                <w:color w:val="auto"/>
                <w:kern w:val="0"/>
                <w:szCs w:val="21"/>
              </w:rPr>
              <w:t>（1）本项目的重点难点分析</w:t>
            </w:r>
            <w:r>
              <w:rPr>
                <w:rFonts w:hint="eastAsia" w:ascii="宋体" w:hAnsi="宋体" w:cs="宋体"/>
                <w:color w:val="auto"/>
                <w:kern w:val="0"/>
                <w:szCs w:val="21"/>
                <w:lang w:eastAsia="zh-CN"/>
              </w:rPr>
              <w:t>，包括但不限于医院行业特殊性的分析、采购人院址对此次工作内容的影响分析、在感染性疾病常态化下的工作方案阐述及响应单位根据自身工作经验及理解对本项目工作的分析及阐述</w:t>
            </w:r>
            <w:r>
              <w:rPr>
                <w:rFonts w:hint="eastAsia" w:ascii="宋体" w:hAnsi="宋体" w:cs="宋体"/>
                <w:color w:val="auto"/>
                <w:kern w:val="0"/>
                <w:szCs w:val="21"/>
              </w:rPr>
              <w:t>；</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内容整体全面、有结合项目经验进行描述的、提出的解决措施及方案对项目切实有推进作用的，整体完全满足本项目采购要求的得5分。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描述相对普通，整体情况一般的得4分。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描述粗略，整体较差，无法完全满足本项目需求的得3分。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描述差，无法满足项目需求的得1分。</w:t>
            </w:r>
          </w:p>
          <w:p>
            <w:pPr>
              <w:adjustRightInd w:val="0"/>
              <w:snapToGrid w:val="0"/>
              <w:rPr>
                <w:rFonts w:ascii="宋体" w:hAnsi="宋体" w:cs="宋体"/>
                <w:color w:val="auto"/>
                <w:kern w:val="0"/>
                <w:szCs w:val="21"/>
              </w:rPr>
            </w:pPr>
            <w:r>
              <w:rPr>
                <w:rFonts w:hint="eastAsia" w:ascii="宋体" w:hAnsi="宋体" w:eastAsia="宋体" w:cs="宋体"/>
                <w:bCs/>
                <w:color w:val="000000"/>
                <w:szCs w:val="21"/>
                <w:lang w:val="en-US" w:eastAsia="zh-CN"/>
              </w:rPr>
              <w:t>未提供不得分。</w:t>
            </w:r>
          </w:p>
          <w:p>
            <w:pPr>
              <w:spacing w:line="240" w:lineRule="auto"/>
              <w:contextualSpacing/>
              <w:jc w:val="left"/>
              <w:rPr>
                <w:rFonts w:hint="eastAsia" w:ascii="宋体" w:hAnsi="宋体" w:eastAsia="宋体" w:cs="宋体"/>
                <w:color w:val="auto"/>
                <w:kern w:val="0"/>
                <w:szCs w:val="21"/>
                <w:lang w:eastAsia="zh-CN"/>
              </w:rPr>
            </w:pPr>
            <w:r>
              <w:rPr>
                <w:rFonts w:hint="eastAsia" w:ascii="宋体" w:hAnsi="宋体" w:cs="宋体"/>
                <w:color w:val="auto"/>
                <w:kern w:val="0"/>
                <w:szCs w:val="21"/>
              </w:rPr>
              <w:t>（2）对医院零星维修和零星工程的认识</w:t>
            </w:r>
            <w:r>
              <w:rPr>
                <w:rFonts w:hint="eastAsia" w:ascii="宋体" w:hAnsi="宋体" w:cs="宋体"/>
                <w:color w:val="auto"/>
                <w:kern w:val="0"/>
                <w:szCs w:val="21"/>
                <w:lang w:eastAsia="zh-CN"/>
              </w:rPr>
              <w:t>，包括但不限于医院抢修时间紧、工作时段人流量大、服务范围从重点科室的专业维修到普通病房或办公区及院内道路的常规维修等内容的不同认识</w:t>
            </w:r>
            <w:r>
              <w:rPr>
                <w:rFonts w:hint="eastAsia" w:ascii="宋体" w:hAnsi="宋体" w:cs="宋体"/>
                <w:color w:val="auto"/>
                <w:kern w:val="0"/>
                <w:szCs w:val="21"/>
              </w:rPr>
              <w:t>；</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内容整体全面、有结合项目经验进行描述的、提出的解决措施及方案对项目切实有推进作用的，整体完全满足本项目采购要求的得5分。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描述相对普通，整体情况一般的得4分。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描述粗略，整体较差，无法完全满足本项目需求的得3分。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描述差，无法满足项目需求的得1分。</w:t>
            </w:r>
          </w:p>
          <w:p>
            <w:pPr>
              <w:snapToGrid w:val="0"/>
              <w:rPr>
                <w:rFonts w:ascii="宋体" w:hAnsi="宋体" w:cs="宋体"/>
              </w:rPr>
            </w:pPr>
            <w:r>
              <w:rPr>
                <w:rFonts w:hint="eastAsia" w:ascii="宋体" w:hAnsi="宋体" w:eastAsia="宋体" w:cs="宋体"/>
                <w:bCs/>
                <w:color w:val="000000"/>
                <w:szCs w:val="21"/>
                <w:lang w:val="en-US" w:eastAsia="zh-CN"/>
              </w:rPr>
              <w:t>未提供不得分。</w:t>
            </w:r>
          </w:p>
        </w:tc>
        <w:tc>
          <w:tcPr>
            <w:tcW w:w="793" w:type="dxa"/>
            <w:vAlign w:val="center"/>
          </w:tcPr>
          <w:p>
            <w:pPr>
              <w:snapToGrid w:val="0"/>
              <w:jc w:val="center"/>
              <w:outlineLvl w:val="0"/>
              <w:rPr>
                <w:rFonts w:hint="default" w:ascii="宋体" w:hAnsi="宋体" w:eastAsia="宋体" w:cs="宋体"/>
                <w:bCs/>
                <w:sz w:val="24"/>
                <w:lang w:val="en-US" w:eastAsia="zh-CN"/>
              </w:rPr>
            </w:pPr>
            <w:r>
              <w:rPr>
                <w:rFonts w:hint="eastAsia" w:ascii="宋体" w:hAnsi="宋体" w:cs="宋体"/>
                <w:bCs/>
                <w:sz w:val="24"/>
                <w:lang w:val="en-US" w:eastAsia="zh-CN"/>
              </w:rPr>
              <w:t>10</w:t>
            </w:r>
          </w:p>
        </w:tc>
        <w:tc>
          <w:tcPr>
            <w:tcW w:w="2133" w:type="dxa"/>
          </w:tcPr>
          <w:p>
            <w:pPr>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hint="default" w:ascii="宋体" w:hAnsi="宋体" w:eastAsia="宋体" w:cs="宋体"/>
                <w:sz w:val="24"/>
                <w:lang w:val="en-US" w:eastAsia="zh-CN"/>
              </w:rPr>
            </w:pPr>
            <w:r>
              <w:rPr>
                <w:rFonts w:hint="eastAsia" w:ascii="宋体" w:hAnsi="宋体" w:cs="宋体"/>
                <w:sz w:val="24"/>
                <w:lang w:val="en-US" w:eastAsia="zh-CN"/>
              </w:rPr>
              <w:t>9</w:t>
            </w:r>
          </w:p>
        </w:tc>
        <w:tc>
          <w:tcPr>
            <w:tcW w:w="5897" w:type="dxa"/>
          </w:tcPr>
          <w:p>
            <w:pPr>
              <w:spacing w:line="240" w:lineRule="auto"/>
              <w:contextualSpacing/>
              <w:jc w:val="left"/>
              <w:rPr>
                <w:rFonts w:hint="eastAsia"/>
                <w:color w:val="auto"/>
                <w:lang w:eastAsia="zh-CN"/>
              </w:rPr>
            </w:pPr>
            <w:r>
              <w:rPr>
                <w:rFonts w:hint="eastAsia"/>
                <w:color w:val="auto"/>
              </w:rPr>
              <w:t>应急抢修项目人员安排、响应时间和措施</w:t>
            </w:r>
            <w:r>
              <w:rPr>
                <w:rFonts w:hint="eastAsia"/>
                <w:color w:val="auto"/>
                <w:lang w:eastAsia="zh-CN"/>
              </w:rPr>
              <w:t>，包括但不限于人员简历、人员分工及时间安排、具体不同任务响应时间、不同任务的工作方案规范描述。</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内容整体全面、有结合项目经验进行描述的、提出的解决措施及方案对项目切实有推进作用的，整体完全满足本项目采购要求的得5分。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描述相对普通，整体情况一般的得4分。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描述粗略，整体较差，无法完全满足本项目需求的得3分。</w:t>
            </w:r>
          </w:p>
          <w:p>
            <w:pPr>
              <w:spacing w:line="240" w:lineRule="auto"/>
              <w:contextualSpacing/>
              <w:jc w:val="left"/>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描述差，无法满足项目需求的得1分。</w:t>
            </w:r>
          </w:p>
          <w:p>
            <w:pPr>
              <w:widowControl/>
              <w:shd w:val="clear" w:color="auto" w:fill="FFFFFF"/>
              <w:adjustRightInd/>
              <w:snapToGrid w:val="0"/>
              <w:jc w:val="left"/>
              <w:rPr>
                <w:rFonts w:hint="eastAsia" w:ascii="宋体" w:hAnsi="宋体" w:cs="宋体"/>
                <w:sz w:val="24"/>
              </w:rPr>
            </w:pPr>
            <w:r>
              <w:rPr>
                <w:rFonts w:hint="eastAsia" w:ascii="宋体" w:hAnsi="宋体" w:eastAsia="宋体" w:cs="宋体"/>
                <w:bCs/>
                <w:color w:val="000000"/>
                <w:szCs w:val="21"/>
                <w:lang w:val="en-US" w:eastAsia="zh-CN"/>
              </w:rPr>
              <w:t>未提供不得分。</w:t>
            </w:r>
          </w:p>
        </w:tc>
        <w:tc>
          <w:tcPr>
            <w:tcW w:w="793" w:type="dxa"/>
            <w:vAlign w:val="center"/>
          </w:tcPr>
          <w:p>
            <w:pPr>
              <w:snapToGrid w:val="0"/>
              <w:jc w:val="center"/>
              <w:outlineLvl w:val="0"/>
              <w:rPr>
                <w:rFonts w:hint="default" w:ascii="宋体" w:hAnsi="宋体" w:cs="宋体"/>
                <w:bCs/>
                <w:sz w:val="24"/>
                <w:lang w:val="en-US" w:eastAsia="zh-CN"/>
              </w:rPr>
            </w:pPr>
            <w:r>
              <w:rPr>
                <w:rFonts w:hint="eastAsia" w:ascii="宋体" w:hAnsi="宋体" w:cs="宋体"/>
                <w:bCs/>
                <w:sz w:val="24"/>
                <w:lang w:val="en-US" w:eastAsia="zh-CN"/>
              </w:rPr>
              <w:t>5</w:t>
            </w:r>
          </w:p>
        </w:tc>
        <w:tc>
          <w:tcPr>
            <w:tcW w:w="2133" w:type="dxa"/>
            <w:vAlign w:val="center"/>
          </w:tcPr>
          <w:p>
            <w:pPr>
              <w:snapToGrid w:val="0"/>
              <w:jc w:val="center"/>
              <w:outlineLvl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hint="default" w:ascii="宋体" w:hAnsi="宋体" w:eastAsia="宋体" w:cs="宋体"/>
                <w:sz w:val="24"/>
                <w:lang w:val="en-US" w:eastAsia="zh-CN"/>
              </w:rPr>
            </w:pPr>
            <w:r>
              <w:rPr>
                <w:rFonts w:hint="eastAsia" w:ascii="宋体" w:hAnsi="宋体" w:cs="宋体"/>
                <w:sz w:val="24"/>
                <w:lang w:val="en-US" w:eastAsia="zh-CN"/>
              </w:rPr>
              <w:t>10</w:t>
            </w:r>
          </w:p>
        </w:tc>
        <w:tc>
          <w:tcPr>
            <w:tcW w:w="5897" w:type="dxa"/>
          </w:tcPr>
          <w:p>
            <w:pPr>
              <w:spacing w:line="240" w:lineRule="auto"/>
              <w:contextualSpacing/>
              <w:jc w:val="both"/>
              <w:rPr>
                <w:rFonts w:hint="eastAsia" w:ascii="宋体" w:hAnsi="宋体" w:eastAsia="宋体" w:cs="宋体"/>
                <w:color w:val="auto"/>
                <w:kern w:val="0"/>
                <w:szCs w:val="21"/>
                <w:lang w:eastAsia="zh-CN"/>
              </w:rPr>
            </w:pPr>
            <w:r>
              <w:rPr>
                <w:rFonts w:hint="eastAsia" w:ascii="宋体" w:hAnsi="宋体" w:cs="宋体"/>
                <w:color w:val="auto"/>
                <w:kern w:val="0"/>
                <w:szCs w:val="21"/>
              </w:rPr>
              <w:t>安全、文明施工及市政、市容、环保、消防等的保证措施等。</w:t>
            </w:r>
          </w:p>
          <w:p>
            <w:pPr>
              <w:spacing w:line="240" w:lineRule="auto"/>
              <w:contextualSpacing/>
              <w:jc w:val="both"/>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内容整体全面、有结合项目经验进行描述的、提出的解决措施及方案对项目切实有推进作用的，整体完全满足本项目采购要求的得5分。</w:t>
            </w:r>
          </w:p>
          <w:p>
            <w:pPr>
              <w:spacing w:line="240" w:lineRule="auto"/>
              <w:contextualSpacing/>
              <w:jc w:val="both"/>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描述相对普通，整体情况一般的得4分。</w:t>
            </w:r>
          </w:p>
          <w:p>
            <w:pPr>
              <w:spacing w:line="240" w:lineRule="auto"/>
              <w:contextualSpacing/>
              <w:jc w:val="both"/>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描述粗略，整体较差，无法完全满足本项目需求的得3分。</w:t>
            </w:r>
          </w:p>
          <w:p>
            <w:pPr>
              <w:spacing w:line="240" w:lineRule="auto"/>
              <w:contextualSpacing/>
              <w:jc w:val="both"/>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描述差，无法满足项目需求的得1分。</w:t>
            </w:r>
          </w:p>
          <w:p>
            <w:pPr>
              <w:widowControl/>
              <w:shd w:val="clear" w:color="auto" w:fill="FFFFFF"/>
              <w:adjustRightInd/>
              <w:snapToGrid w:val="0"/>
              <w:jc w:val="both"/>
              <w:rPr>
                <w:rFonts w:hint="eastAsia" w:ascii="宋体" w:hAnsi="宋体" w:cs="宋体"/>
                <w:sz w:val="24"/>
              </w:rPr>
            </w:pPr>
            <w:r>
              <w:rPr>
                <w:rFonts w:hint="eastAsia" w:ascii="宋体" w:hAnsi="宋体" w:eastAsia="宋体" w:cs="宋体"/>
                <w:bCs/>
                <w:color w:val="000000"/>
                <w:szCs w:val="21"/>
                <w:lang w:val="en-US" w:eastAsia="zh-CN"/>
              </w:rPr>
              <w:t>未提供不得分。</w:t>
            </w:r>
          </w:p>
        </w:tc>
        <w:tc>
          <w:tcPr>
            <w:tcW w:w="793" w:type="dxa"/>
            <w:vAlign w:val="center"/>
          </w:tcPr>
          <w:p>
            <w:pPr>
              <w:snapToGrid w:val="0"/>
              <w:jc w:val="center"/>
              <w:outlineLvl w:val="0"/>
              <w:rPr>
                <w:rFonts w:hint="default" w:ascii="宋体" w:hAnsi="宋体" w:cs="宋体"/>
                <w:bCs/>
                <w:sz w:val="24"/>
                <w:lang w:val="en-US" w:eastAsia="zh-CN"/>
              </w:rPr>
            </w:pPr>
            <w:r>
              <w:rPr>
                <w:rFonts w:hint="eastAsia" w:ascii="宋体" w:hAnsi="宋体" w:cs="宋体"/>
                <w:bCs/>
                <w:sz w:val="24"/>
                <w:lang w:val="en-US" w:eastAsia="zh-CN"/>
              </w:rPr>
              <w:t>5</w:t>
            </w:r>
          </w:p>
        </w:tc>
        <w:tc>
          <w:tcPr>
            <w:tcW w:w="2133" w:type="dxa"/>
            <w:vAlign w:val="center"/>
          </w:tcPr>
          <w:p>
            <w:pPr>
              <w:snapToGrid w:val="0"/>
              <w:jc w:val="center"/>
              <w:outlineLvl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hint="default" w:ascii="宋体" w:hAnsi="宋体" w:eastAsia="宋体" w:cs="宋体"/>
                <w:sz w:val="24"/>
                <w:lang w:val="en-US" w:eastAsia="zh-CN"/>
              </w:rPr>
            </w:pPr>
            <w:r>
              <w:rPr>
                <w:rFonts w:hint="eastAsia" w:ascii="宋体" w:hAnsi="宋体" w:cs="宋体"/>
                <w:sz w:val="24"/>
                <w:lang w:val="en-US" w:eastAsia="zh-CN"/>
              </w:rPr>
              <w:t>11</w:t>
            </w:r>
          </w:p>
        </w:tc>
        <w:tc>
          <w:tcPr>
            <w:tcW w:w="5897" w:type="dxa"/>
          </w:tcPr>
          <w:p>
            <w:pPr>
              <w:spacing w:line="240" w:lineRule="auto"/>
              <w:contextualSpacing/>
              <w:jc w:val="left"/>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项目组人员组成：组成人员名单、工种、工作经历等。</w:t>
            </w:r>
          </w:p>
          <w:p>
            <w:pPr>
              <w:spacing w:line="240" w:lineRule="auto"/>
              <w:contextualSpacing/>
              <w:jc w:val="left"/>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内容整体全面、有结合项目经验进行描述的、提出的解决措施及方案对项目切实有推进作用的，整体完全满足本项目采购要求的得5分。</w:t>
            </w:r>
          </w:p>
          <w:p>
            <w:pPr>
              <w:spacing w:line="240" w:lineRule="auto"/>
              <w:contextualSpacing/>
              <w:jc w:val="left"/>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描述相对普通，整体情况一般的得4分。</w:t>
            </w:r>
          </w:p>
          <w:p>
            <w:pPr>
              <w:spacing w:line="240" w:lineRule="auto"/>
              <w:contextualSpacing/>
              <w:jc w:val="left"/>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描述粗略，整体较差，无法完全满足本项目需求的得3分。</w:t>
            </w:r>
          </w:p>
          <w:p>
            <w:pPr>
              <w:spacing w:line="240" w:lineRule="auto"/>
              <w:contextualSpacing/>
              <w:jc w:val="left"/>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描述差，无法满足项目需求的得1分。</w:t>
            </w:r>
          </w:p>
          <w:p>
            <w:pPr>
              <w:widowControl/>
              <w:shd w:val="clear" w:color="auto" w:fill="FFFFFF"/>
              <w:adjustRightInd/>
              <w:snapToGrid w:val="0"/>
              <w:jc w:val="left"/>
              <w:rPr>
                <w:rFonts w:hint="eastAsia" w:ascii="宋体" w:hAnsi="宋体" w:cs="宋体"/>
                <w:sz w:val="24"/>
              </w:rPr>
            </w:pPr>
            <w:r>
              <w:rPr>
                <w:rFonts w:hint="eastAsia" w:ascii="宋体" w:hAnsi="宋体" w:eastAsia="宋体" w:cs="宋体"/>
                <w:bCs/>
                <w:color w:val="000000" w:themeColor="text1"/>
                <w:szCs w:val="21"/>
                <w:lang w:val="en-US" w:eastAsia="zh-CN"/>
                <w14:textFill>
                  <w14:solidFill>
                    <w14:schemeClr w14:val="tx1"/>
                  </w14:solidFill>
                </w14:textFill>
              </w:rPr>
              <w:t>未提供不得分。</w:t>
            </w:r>
          </w:p>
        </w:tc>
        <w:tc>
          <w:tcPr>
            <w:tcW w:w="793" w:type="dxa"/>
            <w:vAlign w:val="center"/>
          </w:tcPr>
          <w:p>
            <w:pPr>
              <w:snapToGrid w:val="0"/>
              <w:jc w:val="center"/>
              <w:outlineLvl w:val="0"/>
              <w:rPr>
                <w:rFonts w:hint="default" w:ascii="宋体" w:hAnsi="宋体" w:cs="宋体"/>
                <w:bCs/>
                <w:sz w:val="24"/>
                <w:lang w:val="en-US" w:eastAsia="zh-CN"/>
              </w:rPr>
            </w:pPr>
            <w:r>
              <w:rPr>
                <w:rFonts w:hint="eastAsia" w:ascii="宋体" w:hAnsi="宋体" w:cs="宋体"/>
                <w:bCs/>
                <w:sz w:val="24"/>
                <w:lang w:val="en-US" w:eastAsia="zh-CN"/>
              </w:rPr>
              <w:t>5</w:t>
            </w:r>
          </w:p>
        </w:tc>
        <w:tc>
          <w:tcPr>
            <w:tcW w:w="2133" w:type="dxa"/>
            <w:vAlign w:val="center"/>
          </w:tcPr>
          <w:p>
            <w:pPr>
              <w:snapToGrid w:val="0"/>
              <w:jc w:val="center"/>
              <w:outlineLvl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hint="default" w:ascii="宋体" w:hAnsi="宋体" w:eastAsia="宋体" w:cs="宋体"/>
                <w:sz w:val="24"/>
                <w:lang w:val="en-US" w:eastAsia="zh-CN"/>
              </w:rPr>
            </w:pPr>
            <w:r>
              <w:rPr>
                <w:rFonts w:hint="eastAsia" w:ascii="宋体" w:hAnsi="宋体" w:cs="宋体"/>
                <w:sz w:val="24"/>
                <w:lang w:val="en-US" w:eastAsia="zh-CN"/>
              </w:rPr>
              <w:t>12</w:t>
            </w:r>
          </w:p>
        </w:tc>
        <w:tc>
          <w:tcPr>
            <w:tcW w:w="5897" w:type="dxa"/>
          </w:tcPr>
          <w:p>
            <w:pPr>
              <w:adjustRightInd w:val="0"/>
              <w:snapToGrid w:val="0"/>
              <w:jc w:val="left"/>
              <w:rPr>
                <w:rFonts w:hint="eastAsia" w:ascii="宋体" w:hAnsi="宋体" w:eastAsia="宋体" w:cs="宋体"/>
                <w:color w:val="auto"/>
                <w:kern w:val="0"/>
                <w:szCs w:val="21"/>
                <w:lang w:eastAsia="zh-CN"/>
              </w:rPr>
            </w:pPr>
            <w:r>
              <w:rPr>
                <w:rFonts w:hint="eastAsia" w:ascii="宋体" w:hAnsi="宋体" w:cs="宋体"/>
                <w:color w:val="auto"/>
                <w:kern w:val="0"/>
                <w:szCs w:val="21"/>
              </w:rPr>
              <w:t>根据供应商提供的资料从施工材料的品牌、档次及与</w:t>
            </w:r>
            <w:r>
              <w:rPr>
                <w:rFonts w:hint="eastAsia" w:ascii="宋体" w:hAnsi="宋体" w:cs="宋体"/>
                <w:color w:val="auto"/>
                <w:kern w:val="0"/>
                <w:szCs w:val="21"/>
                <w:lang w:val="en-US" w:eastAsia="zh-CN"/>
              </w:rPr>
              <w:t>采购</w:t>
            </w:r>
            <w:r>
              <w:rPr>
                <w:rFonts w:hint="eastAsia" w:ascii="宋体" w:hAnsi="宋体" w:cs="宋体"/>
                <w:color w:val="auto"/>
                <w:kern w:val="0"/>
                <w:szCs w:val="21"/>
              </w:rPr>
              <w:t>文件要求的响应性等进行评分</w:t>
            </w:r>
            <w:r>
              <w:rPr>
                <w:rFonts w:hint="eastAsia" w:ascii="宋体" w:hAnsi="宋体" w:cs="宋体"/>
                <w:color w:val="auto"/>
                <w:kern w:val="0"/>
                <w:szCs w:val="21"/>
                <w:lang w:eastAsia="zh-CN"/>
              </w:rPr>
              <w:t>（此项投标单位需根据主要材料（设备）一览表在商务技术文件中提供自身单位所用品牌表供评委评审，但不得体现价格）</w:t>
            </w:r>
            <w:r>
              <w:rPr>
                <w:rFonts w:hint="eastAsia" w:ascii="宋体" w:hAnsi="宋体" w:cs="宋体"/>
                <w:color w:val="auto"/>
                <w:kern w:val="0"/>
                <w:szCs w:val="21"/>
              </w:rPr>
              <w:t>。</w:t>
            </w:r>
          </w:p>
          <w:p>
            <w:pPr>
              <w:adjustRightInd w:val="0"/>
              <w:snapToGrid w:val="0"/>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较优的得5分。</w:t>
            </w:r>
          </w:p>
          <w:p>
            <w:pPr>
              <w:adjustRightInd w:val="0"/>
              <w:snapToGrid w:val="0"/>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基本满足项目要求的得3分。</w:t>
            </w:r>
          </w:p>
          <w:p>
            <w:pPr>
              <w:adjustRightInd w:val="0"/>
              <w:snapToGrid w:val="0"/>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相对较差的得1分。</w:t>
            </w:r>
          </w:p>
          <w:p>
            <w:pPr>
              <w:widowControl/>
              <w:shd w:val="clear" w:color="auto" w:fill="FFFFFF"/>
              <w:adjustRightInd/>
              <w:snapToGrid w:val="0"/>
              <w:jc w:val="left"/>
              <w:rPr>
                <w:rFonts w:hint="eastAsia" w:ascii="宋体" w:hAnsi="宋体" w:cs="宋体"/>
                <w:sz w:val="24"/>
              </w:rPr>
            </w:pPr>
            <w:r>
              <w:rPr>
                <w:rFonts w:hint="eastAsia" w:ascii="宋体" w:hAnsi="宋体" w:cs="宋体"/>
                <w:color w:val="auto"/>
                <w:kern w:val="0"/>
                <w:szCs w:val="21"/>
                <w:lang w:val="en-US" w:eastAsia="zh-CN"/>
              </w:rPr>
              <w:t>未提供或极差的不得分。</w:t>
            </w:r>
          </w:p>
        </w:tc>
        <w:tc>
          <w:tcPr>
            <w:tcW w:w="793" w:type="dxa"/>
            <w:vAlign w:val="center"/>
          </w:tcPr>
          <w:p>
            <w:pPr>
              <w:snapToGrid w:val="0"/>
              <w:jc w:val="center"/>
              <w:outlineLvl w:val="0"/>
              <w:rPr>
                <w:rFonts w:hint="default" w:ascii="宋体" w:hAnsi="宋体" w:cs="宋体"/>
                <w:bCs/>
                <w:sz w:val="24"/>
                <w:lang w:val="en-US" w:eastAsia="zh-CN"/>
              </w:rPr>
            </w:pPr>
            <w:r>
              <w:rPr>
                <w:rFonts w:hint="eastAsia" w:ascii="宋体" w:hAnsi="宋体" w:cs="宋体"/>
                <w:bCs/>
                <w:sz w:val="24"/>
                <w:lang w:val="en-US" w:eastAsia="zh-CN"/>
              </w:rPr>
              <w:t>5</w:t>
            </w:r>
          </w:p>
        </w:tc>
        <w:tc>
          <w:tcPr>
            <w:tcW w:w="2133" w:type="dxa"/>
            <w:vAlign w:val="center"/>
          </w:tcPr>
          <w:p>
            <w:pPr>
              <w:snapToGrid w:val="0"/>
              <w:jc w:val="center"/>
              <w:outlineLvl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hint="default" w:ascii="宋体" w:hAnsi="宋体" w:eastAsia="宋体" w:cs="宋体"/>
                <w:sz w:val="24"/>
                <w:lang w:val="en-US" w:eastAsia="zh-CN"/>
              </w:rPr>
            </w:pPr>
            <w:r>
              <w:rPr>
                <w:rFonts w:hint="eastAsia" w:ascii="宋体" w:hAnsi="宋体" w:cs="宋体"/>
                <w:sz w:val="24"/>
                <w:lang w:val="en-US" w:eastAsia="zh-CN"/>
              </w:rPr>
              <w:t>13</w:t>
            </w:r>
          </w:p>
        </w:tc>
        <w:tc>
          <w:tcPr>
            <w:tcW w:w="5897" w:type="dxa"/>
          </w:tcPr>
          <w:p>
            <w:pPr>
              <w:widowControl/>
              <w:shd w:val="clear" w:color="auto" w:fill="FFFFFF"/>
              <w:adjustRightInd/>
              <w:snapToGrid w:val="0"/>
              <w:jc w:val="left"/>
              <w:rPr>
                <w:rFonts w:hint="eastAsia" w:ascii="宋体" w:hAnsi="宋体" w:eastAsia="宋体" w:cs="宋体"/>
                <w:sz w:val="24"/>
                <w:lang w:eastAsia="zh-CN"/>
              </w:rPr>
            </w:pPr>
            <w:r>
              <w:rPr>
                <w:rFonts w:hint="eastAsia" w:ascii="宋体" w:hAnsi="宋体" w:cs="宋体"/>
                <w:color w:val="auto"/>
                <w:kern w:val="0"/>
                <w:szCs w:val="21"/>
              </w:rPr>
              <w:t>合理化建议</w:t>
            </w:r>
            <w:r>
              <w:rPr>
                <w:rFonts w:hint="eastAsia" w:ascii="宋体" w:hAnsi="宋体" w:cs="宋体"/>
                <w:color w:val="auto"/>
                <w:kern w:val="0"/>
                <w:szCs w:val="21"/>
                <w:lang w:eastAsia="zh-CN"/>
              </w:rPr>
              <w:t>：</w:t>
            </w:r>
            <w:r>
              <w:rPr>
                <w:rFonts w:hint="eastAsia" w:ascii="宋体" w:hAnsi="宋体" w:cs="宋体"/>
                <w:color w:val="auto"/>
                <w:kern w:val="0"/>
                <w:szCs w:val="21"/>
              </w:rPr>
              <w:t>评标委员会将根据供应商对本项目提出的合理化建议进行评分。</w:t>
            </w:r>
          </w:p>
        </w:tc>
        <w:tc>
          <w:tcPr>
            <w:tcW w:w="793" w:type="dxa"/>
            <w:vAlign w:val="center"/>
          </w:tcPr>
          <w:p>
            <w:pPr>
              <w:snapToGrid w:val="0"/>
              <w:jc w:val="center"/>
              <w:outlineLvl w:val="0"/>
              <w:rPr>
                <w:rFonts w:hint="default" w:ascii="宋体" w:hAnsi="宋体" w:cs="宋体"/>
                <w:bCs/>
                <w:sz w:val="24"/>
                <w:lang w:val="en-US" w:eastAsia="zh-CN"/>
              </w:rPr>
            </w:pPr>
            <w:r>
              <w:rPr>
                <w:rFonts w:hint="eastAsia" w:ascii="宋体" w:hAnsi="宋体" w:cs="宋体"/>
                <w:bCs/>
                <w:sz w:val="24"/>
                <w:lang w:val="en-US" w:eastAsia="zh-CN"/>
              </w:rPr>
              <w:t>2</w:t>
            </w:r>
          </w:p>
        </w:tc>
        <w:tc>
          <w:tcPr>
            <w:tcW w:w="2133" w:type="dxa"/>
            <w:vAlign w:val="center"/>
          </w:tcPr>
          <w:p>
            <w:pPr>
              <w:snapToGrid w:val="0"/>
              <w:jc w:val="center"/>
              <w:outlineLvl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hint="default" w:ascii="宋体" w:hAnsi="宋体" w:eastAsia="宋体" w:cs="宋体"/>
                <w:sz w:val="24"/>
                <w:lang w:val="en-US" w:eastAsia="zh-CN"/>
              </w:rPr>
            </w:pPr>
            <w:r>
              <w:rPr>
                <w:rFonts w:hint="eastAsia" w:ascii="宋体" w:hAnsi="宋体" w:cs="宋体"/>
                <w:sz w:val="24"/>
                <w:lang w:val="en-US" w:eastAsia="zh-CN"/>
              </w:rPr>
              <w:t>14</w:t>
            </w:r>
          </w:p>
        </w:tc>
        <w:tc>
          <w:tcPr>
            <w:tcW w:w="5897" w:type="dxa"/>
          </w:tcPr>
          <w:p>
            <w:pPr>
              <w:adjustRightInd w:val="0"/>
              <w:snapToGrid w:val="0"/>
              <w:jc w:val="left"/>
              <w:rPr>
                <w:color w:val="auto"/>
              </w:rPr>
            </w:pPr>
            <w:r>
              <w:rPr>
                <w:rFonts w:hint="eastAsia" w:ascii="宋体" w:hAnsi="宋体" w:cs="宋体"/>
                <w:color w:val="auto"/>
                <w:kern w:val="0"/>
                <w:szCs w:val="21"/>
              </w:rPr>
              <w:t>其他服务承诺</w:t>
            </w:r>
            <w:r>
              <w:rPr>
                <w:rFonts w:hint="eastAsia" w:ascii="宋体" w:hAnsi="宋体" w:cs="宋体"/>
                <w:color w:val="auto"/>
                <w:kern w:val="0"/>
                <w:szCs w:val="21"/>
                <w:lang w:eastAsia="zh-CN"/>
              </w:rPr>
              <w:t>：</w:t>
            </w:r>
            <w:r>
              <w:rPr>
                <w:rFonts w:hint="eastAsia"/>
                <w:color w:val="auto"/>
              </w:rPr>
              <w:t>a.根据现场负责人和项目负责人工作内容和工作职责</w:t>
            </w:r>
            <w:r>
              <w:rPr>
                <w:rFonts w:hint="eastAsia"/>
                <w:color w:val="auto"/>
                <w:lang w:eastAsia="zh-CN"/>
              </w:rPr>
              <w:t>的承诺</w:t>
            </w:r>
            <w:r>
              <w:rPr>
                <w:rFonts w:hint="eastAsia"/>
                <w:color w:val="auto"/>
              </w:rPr>
              <w:t>，</w:t>
            </w:r>
            <w:r>
              <w:rPr>
                <w:rFonts w:hint="eastAsia"/>
                <w:color w:val="auto"/>
                <w:lang w:val="en-US" w:eastAsia="zh-CN"/>
              </w:rPr>
              <w:t>0-1.5</w:t>
            </w:r>
            <w:r>
              <w:rPr>
                <w:rFonts w:hint="eastAsia"/>
                <w:color w:val="auto"/>
              </w:rPr>
              <w:t>分；</w:t>
            </w:r>
          </w:p>
          <w:p>
            <w:pPr>
              <w:adjustRightInd w:val="0"/>
              <w:snapToGrid w:val="0"/>
              <w:jc w:val="left"/>
              <w:rPr>
                <w:rFonts w:hint="default" w:eastAsia="宋体"/>
                <w:color w:val="auto"/>
                <w:lang w:val="en-US" w:eastAsia="zh-CN"/>
              </w:rPr>
            </w:pPr>
            <w:r>
              <w:rPr>
                <w:rFonts w:hint="eastAsia"/>
                <w:color w:val="auto"/>
              </w:rPr>
              <w:t>b.据现场负责人和项目负责人到位率情况</w:t>
            </w:r>
            <w:r>
              <w:rPr>
                <w:rFonts w:hint="eastAsia"/>
                <w:color w:val="auto"/>
                <w:lang w:eastAsia="zh-CN"/>
              </w:rPr>
              <w:t>承诺，低于</w:t>
            </w:r>
            <w:r>
              <w:rPr>
                <w:rFonts w:hint="eastAsia"/>
                <w:color w:val="auto"/>
                <w:lang w:val="en-US" w:eastAsia="zh-CN"/>
              </w:rPr>
              <w:t>95%不得分，此项0-1.5分；</w:t>
            </w:r>
          </w:p>
          <w:p>
            <w:pPr>
              <w:adjustRightInd w:val="0"/>
              <w:snapToGrid w:val="0"/>
              <w:jc w:val="left"/>
              <w:rPr>
                <w:rFonts w:hint="eastAsia" w:eastAsia="宋体"/>
                <w:color w:val="auto"/>
                <w:lang w:eastAsia="zh-CN"/>
              </w:rPr>
            </w:pPr>
            <w:r>
              <w:rPr>
                <w:rFonts w:hint="eastAsia"/>
                <w:color w:val="auto"/>
                <w:lang w:val="en-US" w:eastAsia="zh-CN"/>
              </w:rPr>
              <w:t>C.</w:t>
            </w:r>
            <w:r>
              <w:rPr>
                <w:rFonts w:hint="eastAsia"/>
                <w:color w:val="auto"/>
              </w:rPr>
              <w:t>针对医院</w:t>
            </w:r>
            <w:r>
              <w:rPr>
                <w:rFonts w:hint="eastAsia"/>
                <w:color w:val="auto"/>
                <w:lang w:val="en-US" w:eastAsia="zh-CN"/>
              </w:rPr>
              <w:t>零星维修和</w:t>
            </w:r>
            <w:r>
              <w:rPr>
                <w:rFonts w:hint="eastAsia"/>
                <w:color w:val="auto"/>
              </w:rPr>
              <w:t>零星工程改造修缮的特点提供服务承诺</w:t>
            </w:r>
            <w:r>
              <w:rPr>
                <w:rFonts w:hint="eastAsia"/>
                <w:color w:val="auto"/>
                <w:lang w:val="en-US" w:eastAsia="zh-CN"/>
              </w:rPr>
              <w:t>0-1.5</w:t>
            </w:r>
            <w:r>
              <w:rPr>
                <w:rFonts w:hint="eastAsia"/>
                <w:color w:val="auto"/>
              </w:rPr>
              <w:t>分；</w:t>
            </w:r>
          </w:p>
          <w:p>
            <w:pPr>
              <w:widowControl/>
              <w:shd w:val="clear" w:color="auto" w:fill="FFFFFF"/>
              <w:adjustRightInd/>
              <w:snapToGrid w:val="0"/>
              <w:jc w:val="left"/>
              <w:rPr>
                <w:rFonts w:hint="eastAsia" w:ascii="宋体" w:hAnsi="宋体" w:eastAsia="宋体" w:cs="宋体"/>
                <w:sz w:val="24"/>
                <w:lang w:eastAsia="zh-CN"/>
              </w:rPr>
            </w:pPr>
            <w:r>
              <w:rPr>
                <w:rFonts w:hint="eastAsia"/>
                <w:color w:val="auto"/>
                <w:lang w:val="en-US" w:eastAsia="zh-CN"/>
              </w:rPr>
              <w:t>均需提供书面盖章的正规承诺函，未提供不得分。</w:t>
            </w:r>
            <w:r>
              <w:rPr>
                <w:color w:val="auto"/>
              </w:rPr>
              <w:t xml:space="preserve"> </w:t>
            </w:r>
          </w:p>
        </w:tc>
        <w:tc>
          <w:tcPr>
            <w:tcW w:w="793" w:type="dxa"/>
            <w:vAlign w:val="center"/>
          </w:tcPr>
          <w:p>
            <w:pPr>
              <w:snapToGrid w:val="0"/>
              <w:jc w:val="center"/>
              <w:outlineLvl w:val="0"/>
              <w:rPr>
                <w:rFonts w:hint="default" w:ascii="宋体" w:hAnsi="宋体" w:cs="宋体"/>
                <w:bCs/>
                <w:sz w:val="24"/>
                <w:lang w:val="en-US" w:eastAsia="zh-CN"/>
              </w:rPr>
            </w:pPr>
            <w:r>
              <w:rPr>
                <w:rFonts w:hint="eastAsia" w:ascii="宋体" w:hAnsi="宋体" w:cs="宋体"/>
                <w:bCs/>
                <w:sz w:val="24"/>
                <w:lang w:val="en-US" w:eastAsia="zh-CN"/>
              </w:rPr>
              <w:t>4.5</w:t>
            </w:r>
          </w:p>
        </w:tc>
        <w:tc>
          <w:tcPr>
            <w:tcW w:w="2133" w:type="dxa"/>
            <w:vAlign w:val="center"/>
          </w:tcPr>
          <w:p>
            <w:pPr>
              <w:snapToGrid w:val="0"/>
              <w:jc w:val="center"/>
              <w:outlineLvl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hint="default" w:ascii="宋体" w:hAnsi="宋体" w:eastAsia="宋体" w:cs="宋体"/>
                <w:sz w:val="24"/>
                <w:lang w:val="en-US" w:eastAsia="zh-CN"/>
              </w:rPr>
            </w:pPr>
            <w:r>
              <w:rPr>
                <w:rFonts w:hint="eastAsia" w:ascii="宋体" w:hAnsi="宋体" w:cs="宋体"/>
                <w:sz w:val="24"/>
                <w:lang w:val="en-US" w:eastAsia="zh-CN"/>
              </w:rPr>
              <w:t>15</w:t>
            </w:r>
          </w:p>
        </w:tc>
        <w:tc>
          <w:tcPr>
            <w:tcW w:w="5897" w:type="dxa"/>
          </w:tcPr>
          <w:p>
            <w:pPr>
              <w:widowControl/>
              <w:shd w:val="clear" w:color="auto" w:fill="FFFFFF"/>
              <w:adjustRightInd/>
              <w:snapToGrid w:val="0"/>
              <w:jc w:val="left"/>
              <w:rPr>
                <w:rFonts w:hint="eastAsia" w:ascii="宋体" w:hAnsi="宋体" w:cs="宋体"/>
                <w:sz w:val="24"/>
              </w:rPr>
            </w:pPr>
            <w:r>
              <w:rPr>
                <w:rFonts w:hint="eastAsia" w:ascii="宋体" w:hAnsi="宋体" w:cs="宋体"/>
                <w:color w:val="auto"/>
                <w:kern w:val="0"/>
                <w:szCs w:val="21"/>
                <w:lang w:eastAsia="zh-CN"/>
              </w:rPr>
              <w:t>政府采购政策：</w:t>
            </w:r>
            <w:r>
              <w:rPr>
                <w:rFonts w:hint="eastAsia" w:ascii="宋体" w:hAnsi="宋体" w:cs="宋体"/>
                <w:szCs w:val="21"/>
              </w:rPr>
              <w:t>所投材料列入政府采购节能产品、环境标志产品品目清单范围的，节能产品得</w:t>
            </w:r>
            <w:r>
              <w:rPr>
                <w:rFonts w:hint="eastAsia" w:ascii="宋体" w:hAnsi="宋体" w:cs="宋体"/>
                <w:szCs w:val="21"/>
                <w:lang w:val="en-US" w:eastAsia="zh-CN"/>
              </w:rPr>
              <w:t>1</w:t>
            </w:r>
            <w:r>
              <w:rPr>
                <w:rFonts w:hint="eastAsia" w:ascii="宋体" w:hAnsi="宋体" w:cs="宋体"/>
                <w:szCs w:val="21"/>
              </w:rPr>
              <w:t>分，环境标志产品得</w:t>
            </w:r>
            <w:r>
              <w:rPr>
                <w:rFonts w:hint="eastAsia" w:ascii="宋体" w:hAnsi="宋体" w:cs="宋体"/>
                <w:szCs w:val="21"/>
                <w:lang w:val="en-US" w:eastAsia="zh-CN"/>
              </w:rPr>
              <w:t>1</w:t>
            </w:r>
            <w:r>
              <w:rPr>
                <w:rFonts w:hint="eastAsia" w:ascii="宋体" w:hAnsi="宋体" w:cs="宋体"/>
                <w:szCs w:val="21"/>
              </w:rPr>
              <w:t>分。（根据最新政府采购节能产品、环境标志产品品目清单，信息查看中国政府采购网http：//www.ccgp.gov.cn进行评分，供应商应在投标文件中提供相关依据国家确定的认证机构出具的、处于有效期之内的节能产品、环境标志产品认证证书证明材料，否则不得分）。</w:t>
            </w:r>
          </w:p>
        </w:tc>
        <w:tc>
          <w:tcPr>
            <w:tcW w:w="793" w:type="dxa"/>
            <w:vAlign w:val="center"/>
          </w:tcPr>
          <w:p>
            <w:pPr>
              <w:snapToGrid w:val="0"/>
              <w:jc w:val="center"/>
              <w:outlineLvl w:val="0"/>
              <w:rPr>
                <w:rFonts w:hint="default" w:ascii="宋体" w:hAnsi="宋体" w:cs="宋体"/>
                <w:bCs/>
                <w:sz w:val="24"/>
                <w:lang w:val="en-US" w:eastAsia="zh-CN"/>
              </w:rPr>
            </w:pPr>
            <w:r>
              <w:rPr>
                <w:rFonts w:hint="eastAsia" w:ascii="宋体" w:hAnsi="宋体" w:cs="宋体"/>
                <w:bCs/>
                <w:sz w:val="24"/>
                <w:lang w:val="en-US" w:eastAsia="zh-CN"/>
              </w:rPr>
              <w:t>2</w:t>
            </w:r>
          </w:p>
        </w:tc>
        <w:tc>
          <w:tcPr>
            <w:tcW w:w="2133" w:type="dxa"/>
            <w:vAlign w:val="center"/>
          </w:tcPr>
          <w:p>
            <w:pPr>
              <w:snapToGrid w:val="0"/>
              <w:jc w:val="center"/>
              <w:outlineLvl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16</w:t>
            </w:r>
          </w:p>
        </w:tc>
        <w:tc>
          <w:tcPr>
            <w:tcW w:w="5897" w:type="dxa"/>
          </w:tcPr>
          <w:p>
            <w:pPr>
              <w:snapToGrid w:val="0"/>
              <w:outlineLvl w:val="0"/>
              <w:rPr>
                <w:rFonts w:ascii="宋体" w:hAnsi="宋体" w:cs="宋体"/>
                <w:sz w:val="24"/>
                <w:highlight w:val="none"/>
              </w:rPr>
            </w:pPr>
            <w:r>
              <w:rPr>
                <w:rFonts w:hint="eastAsia" w:ascii="宋体" w:hAnsi="宋体" w:cs="宋体"/>
                <w:sz w:val="24"/>
                <w:highlight w:val="none"/>
              </w:rPr>
              <w:t>有效最后报价的最低价作为评审基准价，其最低报价为满分；按［最后报价得分=（评审基准价/最后报价）*</w:t>
            </w:r>
            <w:r>
              <w:rPr>
                <w:rFonts w:hint="eastAsia" w:ascii="宋体" w:hAnsi="宋体" w:cs="宋体"/>
                <w:sz w:val="24"/>
                <w:highlight w:val="none"/>
                <w:lang w:val="en-US" w:eastAsia="zh-CN"/>
              </w:rPr>
              <w:t>30</w:t>
            </w:r>
            <w:r>
              <w:rPr>
                <w:rFonts w:hint="eastAsia" w:ascii="宋体" w:hAnsi="宋体" w:cs="宋体"/>
                <w:sz w:val="24"/>
                <w:highlight w:val="none"/>
              </w:rPr>
              <w:t>］的计算公式计算。</w:t>
            </w:r>
          </w:p>
          <w:p>
            <w:pPr>
              <w:widowControl/>
              <w:shd w:val="clear" w:color="auto" w:fill="FFFFFF"/>
              <w:adjustRightInd/>
              <w:snapToGrid w:val="0"/>
              <w:ind w:firstLine="420"/>
              <w:jc w:val="left"/>
              <w:rPr>
                <w:rFonts w:ascii="宋体" w:hAnsi="宋体" w:cs="宋体"/>
                <w:sz w:val="24"/>
                <w:highlight w:val="none"/>
              </w:rPr>
            </w:pPr>
            <w:r>
              <w:rPr>
                <w:rFonts w:hint="eastAsia" w:ascii="宋体" w:hAnsi="宋体" w:cs="宋体"/>
                <w:sz w:val="24"/>
                <w:highlight w:val="none"/>
              </w:rPr>
              <w:t>评审过程中，不得去掉报价中的最高报价和最低报价。</w:t>
            </w:r>
          </w:p>
          <w:p>
            <w:pPr>
              <w:widowControl/>
              <w:shd w:val="clear" w:color="auto" w:fill="FFFFFF"/>
              <w:adjustRightInd/>
              <w:snapToGrid w:val="0"/>
              <w:ind w:firstLine="420"/>
              <w:jc w:val="left"/>
              <w:rPr>
                <w:rFonts w:ascii="宋体" w:hAnsi="宋体" w:cs="宋体"/>
                <w:sz w:val="24"/>
                <w:highlight w:val="none"/>
              </w:rPr>
            </w:pPr>
            <w:r>
              <w:rPr>
                <w:rFonts w:hint="eastAsia" w:ascii="宋体" w:hAnsi="宋体" w:cs="宋体"/>
                <w:sz w:val="24"/>
                <w:highlight w:val="none"/>
              </w:rPr>
              <w:t>因落实政府采购政策需要进行价格调整的，以调整后的价格计算评审基准价和最后报价。</w:t>
            </w:r>
          </w:p>
        </w:tc>
        <w:tc>
          <w:tcPr>
            <w:tcW w:w="793" w:type="dxa"/>
            <w:vAlign w:val="center"/>
          </w:tcPr>
          <w:p>
            <w:pPr>
              <w:snapToGrid w:val="0"/>
              <w:jc w:val="center"/>
              <w:outlineLvl w:val="0"/>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30</w:t>
            </w:r>
          </w:p>
        </w:tc>
        <w:tc>
          <w:tcPr>
            <w:tcW w:w="2133" w:type="dxa"/>
            <w:vAlign w:val="center"/>
          </w:tcPr>
          <w:p>
            <w:pPr>
              <w:snapToGrid w:val="0"/>
              <w:jc w:val="center"/>
              <w:outlineLvl w:val="0"/>
              <w:rPr>
                <w:rFonts w:ascii="宋体" w:hAnsi="宋体" w:cs="宋体"/>
                <w:sz w:val="24"/>
                <w:highlight w:val="none"/>
              </w:rPr>
            </w:pP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ind w:firstLine="240" w:firstLineChars="100"/>
              <w:outlineLvl w:val="0"/>
              <w:rPr>
                <w:rFonts w:ascii="宋体" w:hAnsi="宋体" w:cs="宋体"/>
                <w:sz w:val="24"/>
              </w:rPr>
            </w:pPr>
          </w:p>
        </w:tc>
        <w:tc>
          <w:tcPr>
            <w:tcW w:w="5897" w:type="dxa"/>
          </w:tcPr>
          <w:p>
            <w:pPr>
              <w:widowControl/>
              <w:shd w:val="clear" w:color="auto" w:fill="FFFFFF"/>
              <w:adjustRightInd/>
              <w:snapToGrid w:val="0"/>
              <w:ind w:firstLine="420"/>
              <w:jc w:val="left"/>
              <w:rPr>
                <w:rFonts w:ascii="宋体" w:hAnsi="宋体" w:cs="宋体"/>
                <w:sz w:val="24"/>
              </w:rPr>
            </w:pPr>
            <w:r>
              <w:rPr>
                <w:rFonts w:hint="eastAsia" w:ascii="宋体" w:hAnsi="宋体" w:cs="宋体"/>
                <w:sz w:val="24"/>
              </w:rPr>
              <w:t>注意：不得以特定金额的业绩作为评审因素</w:t>
            </w:r>
          </w:p>
        </w:tc>
        <w:tc>
          <w:tcPr>
            <w:tcW w:w="793" w:type="dxa"/>
            <w:vAlign w:val="center"/>
          </w:tcPr>
          <w:p>
            <w:pPr>
              <w:snapToGrid w:val="0"/>
              <w:ind w:firstLine="120" w:firstLineChars="50"/>
              <w:outlineLvl w:val="0"/>
              <w:rPr>
                <w:rFonts w:ascii="宋体" w:hAnsi="宋体" w:cs="宋体"/>
                <w:sz w:val="24"/>
              </w:rPr>
            </w:pPr>
          </w:p>
        </w:tc>
        <w:tc>
          <w:tcPr>
            <w:tcW w:w="2133" w:type="dxa"/>
            <w:vAlign w:val="center"/>
          </w:tcPr>
          <w:p>
            <w:pPr>
              <w:snapToGrid w:val="0"/>
              <w:jc w:val="center"/>
              <w:outlineLvl w:val="0"/>
              <w:rPr>
                <w:rFonts w:ascii="宋体" w:hAnsi="宋体" w:cs="宋体"/>
                <w:sz w:val="24"/>
              </w:rPr>
            </w:pP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供应商编制响应文件（商务技术文件部分）时，建议按此目录（序号和内容）提供评审标准相应的商务技术资料。 </w:t>
      </w:r>
    </w:p>
    <w:p>
      <w:pPr>
        <w:jc w:val="left"/>
        <w:rPr>
          <w:rFonts w:ascii="宋体" w:hAnsi="宋体" w:cs="宋体"/>
          <w:b/>
          <w:sz w:val="32"/>
        </w:rPr>
      </w:pPr>
      <w:r>
        <w:rPr>
          <w:rFonts w:hint="eastAsia" w:ascii="宋体" w:hAnsi="宋体" w:cs="宋体"/>
          <w:b/>
          <w:sz w:val="32"/>
        </w:rPr>
        <w:br w:type="page"/>
      </w:r>
    </w:p>
    <w:p>
      <w:pPr>
        <w:snapToGrid w:val="0"/>
        <w:spacing w:line="360" w:lineRule="auto"/>
        <w:jc w:val="center"/>
        <w:rPr>
          <w:rFonts w:ascii="宋体" w:hAnsi="宋体" w:cs="宋体"/>
          <w:b/>
          <w:sz w:val="28"/>
          <w:szCs w:val="28"/>
        </w:rPr>
      </w:pPr>
      <w:r>
        <w:rPr>
          <w:rFonts w:hint="eastAsia" w:ascii="宋体" w:hAnsi="宋体" w:cs="宋体"/>
          <w:b/>
          <w:sz w:val="32"/>
        </w:rPr>
        <w:t>一、评审方法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综合评分法，是指响应文件满足磋商文件全部实质性要求且按评审因素的量化指标评审得分最高的供应商为成交候选供应商的评审方法。</w:t>
      </w:r>
    </w:p>
    <w:p>
      <w:pPr>
        <w:snapToGrid w:val="0"/>
        <w:spacing w:line="360" w:lineRule="auto"/>
        <w:jc w:val="center"/>
        <w:rPr>
          <w:rFonts w:ascii="宋体" w:hAnsi="宋体" w:cs="宋体"/>
          <w:b/>
          <w:sz w:val="32"/>
        </w:rPr>
      </w:pPr>
      <w:r>
        <w:rPr>
          <w:rFonts w:hint="eastAsia" w:ascii="宋体" w:hAnsi="宋体" w:cs="宋体"/>
          <w:b/>
          <w:sz w:val="32"/>
        </w:rPr>
        <w:t>二、评审标准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评审标准：</w:t>
      </w:r>
      <w:r>
        <w:rPr>
          <w:rFonts w:hint="eastAsia" w:ascii="宋体" w:hAnsi="宋体" w:cs="宋体"/>
          <w:kern w:val="0"/>
          <w:sz w:val="24"/>
        </w:rPr>
        <w:t>见评审办法前附表。</w:t>
      </w:r>
    </w:p>
    <w:p>
      <w:pPr>
        <w:snapToGrid w:val="0"/>
        <w:spacing w:line="360" w:lineRule="auto"/>
        <w:jc w:val="center"/>
        <w:rPr>
          <w:rFonts w:ascii="宋体" w:hAnsi="宋体" w:cs="宋体"/>
          <w:b/>
          <w:sz w:val="32"/>
        </w:rPr>
      </w:pPr>
      <w:r>
        <w:rPr>
          <w:rFonts w:hint="eastAsia" w:ascii="宋体" w:hAnsi="宋体" w:cs="宋体"/>
          <w:b/>
          <w:sz w:val="32"/>
        </w:rPr>
        <w:t>三、评审程序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磋商小组应当对符合资格的供应商的响应文件进行符合性审查，以确定其是否满足采购文件的实质性要求。不满足采购文件的实质性要求的，响应文件无效。</w:t>
      </w:r>
    </w:p>
    <w:p>
      <w:pPr>
        <w:spacing w:line="360" w:lineRule="auto"/>
        <w:ind w:firstLine="472" w:firstLineChars="196"/>
        <w:rPr>
          <w:rFonts w:ascii="宋体" w:hAnsi="宋体" w:cs="宋体"/>
          <w:sz w:val="24"/>
        </w:rPr>
      </w:pPr>
      <w:r>
        <w:rPr>
          <w:rFonts w:hint="eastAsia" w:ascii="宋体" w:hAnsi="宋体" w:cs="宋体"/>
          <w:b/>
          <w:kern w:val="0"/>
          <w:sz w:val="24"/>
        </w:rPr>
        <w:t>3.2 磋商。</w:t>
      </w:r>
      <w:r>
        <w:rPr>
          <w:rFonts w:hint="eastAsia" w:ascii="宋体" w:hAnsi="宋体" w:cs="宋体"/>
          <w:sz w:val="24"/>
        </w:rPr>
        <w:t>磋商小组将对确定为实质性响应本采购文件的响应文件进行详细评价和比较，主要就资信、服务方案内容、服务承诺等磋商小组认为与本次采购有关的因素与</w:t>
      </w:r>
      <w:r>
        <w:rPr>
          <w:rFonts w:hint="eastAsia" w:ascii="宋体" w:hAnsi="宋体" w:cs="宋体"/>
          <w:kern w:val="0"/>
          <w:sz w:val="24"/>
        </w:rPr>
        <w:t>符合性审查合格的</w:t>
      </w:r>
      <w:r>
        <w:rPr>
          <w:rFonts w:hint="eastAsia" w:ascii="宋体" w:hAnsi="宋体" w:cs="宋体"/>
          <w:sz w:val="24"/>
        </w:rPr>
        <w:t>供应商逐一进行磋商。</w:t>
      </w:r>
    </w:p>
    <w:p>
      <w:pPr>
        <w:spacing w:line="360" w:lineRule="auto"/>
        <w:ind w:firstLine="470" w:firstLineChars="196"/>
        <w:rPr>
          <w:rFonts w:ascii="宋体" w:hAnsi="宋体" w:cs="宋体"/>
          <w:b/>
          <w:sz w:val="24"/>
        </w:rPr>
      </w:pPr>
      <w:r>
        <w:rPr>
          <w:rFonts w:hint="eastAsia" w:ascii="宋体" w:hAnsi="宋体" w:cs="宋体"/>
          <w:bCs/>
          <w:sz w:val="24"/>
        </w:rPr>
        <w:t xml:space="preserve">3.2.1 </w:t>
      </w:r>
      <w:r>
        <w:rPr>
          <w:rFonts w:hint="eastAsia" w:ascii="宋体" w:hAnsi="宋体" w:cs="宋体"/>
          <w:sz w:val="24"/>
        </w:rPr>
        <w:t>供应商逐家回答磋商小组的提问；</w:t>
      </w:r>
      <w:r>
        <w:rPr>
          <w:rFonts w:hint="eastAsia" w:ascii="宋体" w:hAnsi="宋体" w:cs="宋体"/>
          <w:b/>
          <w:sz w:val="24"/>
        </w:rPr>
        <w:t>逐家磋商一次为一个轮次，磋商轮次根据实际情况进行。</w:t>
      </w:r>
    </w:p>
    <w:p>
      <w:pPr>
        <w:spacing w:line="360" w:lineRule="auto"/>
        <w:ind w:firstLine="470" w:firstLineChars="196"/>
        <w:rPr>
          <w:rFonts w:ascii="宋体" w:hAnsi="宋体" w:cs="宋体"/>
          <w:sz w:val="24"/>
        </w:rPr>
      </w:pPr>
      <w:r>
        <w:rPr>
          <w:rFonts w:hint="eastAsia" w:ascii="宋体" w:hAnsi="宋体" w:cs="宋体"/>
          <w:bCs/>
          <w:sz w:val="24"/>
        </w:rPr>
        <w:t xml:space="preserve">3.2.2 </w:t>
      </w:r>
      <w:r>
        <w:rPr>
          <w:rFonts w:hint="eastAsia" w:ascii="宋体" w:hAnsi="宋体" w:cs="宋体"/>
          <w:sz w:val="24"/>
        </w:rPr>
        <w:t>供应商应按磋商小组通知的时间在线或以邮件回复做出承诺或回复，承诺或回复的内容须由供应商法定代表人或授权代表签署，并作为响应文件的补充部分。</w:t>
      </w:r>
    </w:p>
    <w:p>
      <w:pPr>
        <w:spacing w:line="360" w:lineRule="auto"/>
        <w:ind w:firstLine="470" w:firstLineChars="196"/>
        <w:rPr>
          <w:rFonts w:ascii="宋体" w:hAnsi="宋体" w:cs="宋体"/>
          <w:bCs/>
          <w:kern w:val="0"/>
          <w:sz w:val="24"/>
        </w:rPr>
      </w:pPr>
      <w:r>
        <w:rPr>
          <w:rFonts w:hint="eastAsia" w:ascii="宋体" w:hAnsi="宋体" w:cs="宋体"/>
          <w:sz w:val="24"/>
        </w:rPr>
        <w:t xml:space="preserve">3.2.3 </w:t>
      </w:r>
      <w:r>
        <w:rPr>
          <w:rFonts w:hint="eastAsia" w:ascii="宋体" w:hAnsi="宋体" w:cs="宋体"/>
          <w:b/>
          <w:bCs/>
          <w:sz w:val="24"/>
        </w:rPr>
        <w:t>在磋商过程中，磋商小组可以根据磋商文件和磋商情况实质性变动采购需求中的“※”号技术、服务要求以及合同草案中的“※”号条款，但不得变动磋商文件中的其他内容。</w:t>
      </w:r>
      <w:r>
        <w:rPr>
          <w:rFonts w:hint="eastAsia" w:ascii="宋体" w:hAnsi="宋体" w:cs="宋体"/>
          <w:sz w:val="24"/>
        </w:rPr>
        <w:t>实质性变动的内容，须经采购人代表确认。磋商文件有实质性变动的，磋商小组将以书面形式通知所有</w:t>
      </w:r>
      <w:r>
        <w:rPr>
          <w:rFonts w:hint="eastAsia" w:ascii="宋体" w:hAnsi="宋体" w:cs="宋体"/>
          <w:kern w:val="0"/>
          <w:sz w:val="24"/>
        </w:rPr>
        <w:t>符合性审查合格的</w:t>
      </w:r>
      <w:r>
        <w:rPr>
          <w:rFonts w:hint="eastAsia" w:ascii="宋体" w:hAnsi="宋体" w:cs="宋体"/>
          <w:sz w:val="24"/>
        </w:rPr>
        <w:t xml:space="preserve">供应商。 </w:t>
      </w:r>
    </w:p>
    <w:p>
      <w:pPr>
        <w:spacing w:line="360" w:lineRule="auto"/>
        <w:ind w:firstLine="472" w:firstLineChars="196"/>
        <w:rPr>
          <w:rFonts w:ascii="宋体" w:hAnsi="宋体" w:cs="宋体"/>
          <w:b/>
          <w:bCs/>
          <w:kern w:val="0"/>
          <w:sz w:val="24"/>
        </w:rPr>
      </w:pPr>
      <w:r>
        <w:rPr>
          <w:rFonts w:hint="eastAsia" w:ascii="宋体" w:hAnsi="宋体" w:cs="宋体"/>
          <w:b/>
          <w:bCs/>
          <w:kern w:val="0"/>
          <w:sz w:val="24"/>
        </w:rPr>
        <w:t>3.3最后报价</w:t>
      </w:r>
    </w:p>
    <w:p>
      <w:pPr>
        <w:spacing w:line="360" w:lineRule="auto"/>
        <w:ind w:firstLine="470" w:firstLineChars="196"/>
        <w:rPr>
          <w:rFonts w:ascii="宋体" w:hAnsi="宋体" w:cs="宋体"/>
          <w:kern w:val="0"/>
          <w:sz w:val="24"/>
        </w:rPr>
      </w:pPr>
      <w:r>
        <w:rPr>
          <w:rFonts w:hint="eastAsia" w:ascii="宋体" w:hAnsi="宋体" w:cs="宋体"/>
          <w:kern w:val="0"/>
          <w:sz w:val="24"/>
        </w:rPr>
        <w:t>3.3.1 磋商文件能够详细列明采购标的的技术、服务要求的，磋商结束后，磋商小组应当要求所有符合性审查合格的供应商在规定时间内提交最后报价，提交最后报价的供应商不得少于3家。</w:t>
      </w:r>
    </w:p>
    <w:p>
      <w:pPr>
        <w:spacing w:line="360" w:lineRule="auto"/>
        <w:ind w:firstLine="470" w:firstLineChars="196"/>
        <w:rPr>
          <w:rFonts w:ascii="宋体" w:hAnsi="宋体" w:cs="宋体"/>
          <w:kern w:val="0"/>
          <w:sz w:val="24"/>
        </w:rPr>
      </w:pPr>
      <w:r>
        <w:rPr>
          <w:rFonts w:hint="eastAsia" w:ascii="宋体" w:hAnsi="宋体" w:cs="宋体"/>
          <w:kern w:val="0"/>
          <w:sz w:val="24"/>
        </w:rPr>
        <w:t>3.3.2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70" w:firstLineChars="196"/>
        <w:rPr>
          <w:rFonts w:ascii="宋体" w:hAnsi="宋体" w:cs="宋体"/>
          <w:kern w:val="0"/>
          <w:sz w:val="24"/>
        </w:rPr>
      </w:pPr>
      <w:r>
        <w:rPr>
          <w:rFonts w:hint="eastAsia" w:ascii="宋体" w:hAnsi="宋体" w:cs="宋体"/>
          <w:kern w:val="0"/>
          <w:sz w:val="24"/>
        </w:rPr>
        <w:t>3.3.3 已提交响应文件的供应商，在提交最后报价之前，可以根据磋商情况退出磋商</w:t>
      </w:r>
    </w:p>
    <w:p>
      <w:pPr>
        <w:spacing w:line="360" w:lineRule="auto"/>
        <w:ind w:firstLine="472" w:firstLineChars="196"/>
        <w:rPr>
          <w:rFonts w:ascii="宋体" w:hAnsi="宋体" w:cs="宋体"/>
          <w:kern w:val="0"/>
          <w:sz w:val="24"/>
        </w:rPr>
      </w:pPr>
      <w:r>
        <w:rPr>
          <w:rFonts w:hint="eastAsia" w:ascii="宋体" w:hAnsi="宋体" w:cs="宋体"/>
          <w:b/>
          <w:kern w:val="0"/>
          <w:sz w:val="24"/>
        </w:rPr>
        <w:t>3.4 综合评分。</w:t>
      </w:r>
      <w:r>
        <w:rPr>
          <w:rFonts w:hint="eastAsia" w:ascii="宋体" w:hAnsi="宋体" w:cs="宋体"/>
          <w:bCs/>
          <w:kern w:val="0"/>
          <w:sz w:val="24"/>
        </w:rPr>
        <w:t>经磋商确定最终采购需求和提交最后报价的供应商后，</w:t>
      </w:r>
      <w:r>
        <w:rPr>
          <w:rFonts w:hint="eastAsia" w:ascii="宋体" w:hAnsi="宋体" w:cs="宋体"/>
          <w:kern w:val="0"/>
          <w:sz w:val="24"/>
        </w:rPr>
        <w:t>磋商小组应当按照采购文件中规定的评审标准，对符合性审查合格的响应文件进行综合评分。磋商文件中没有规定的评审标准不得作为评审依据。</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kern w:val="0"/>
          <w:sz w:val="24"/>
        </w:rPr>
        <w:t>3.5汇总商务技术得分。</w:t>
      </w:r>
      <w:r>
        <w:rPr>
          <w:rFonts w:hint="eastAsia" w:ascii="宋体" w:hAnsi="宋体" w:cs="宋体"/>
          <w:kern w:val="0"/>
          <w:sz w:val="24"/>
        </w:rPr>
        <w:t>磋商小组各成员应当独立对每个供应商的商务和技术文件进行评价，并汇总商务技术得分情况</w:t>
      </w:r>
      <w:r>
        <w:rPr>
          <w:rFonts w:hint="eastAsia" w:ascii="宋体" w:hAnsi="宋体" w:cs="宋体"/>
          <w:color w:val="000000" w:themeColor="text1"/>
          <w:kern w:val="0"/>
          <w:sz w:val="24"/>
          <w14:textFill>
            <w14:solidFill>
              <w14:schemeClr w14:val="tx1"/>
            </w14:solidFill>
          </w14:textFill>
        </w:rPr>
        <w:t>。磋商小组成员总评分偏离平均分30%以上的，以及个人主观打分偏离所有磋商小组成员主观打分平均值</w:t>
      </w:r>
      <w:r>
        <w:rPr>
          <w:rFonts w:ascii="宋体" w:hAnsi="宋体" w:cs="宋体"/>
          <w:color w:val="000000" w:themeColor="text1"/>
          <w:kern w:val="0"/>
          <w:sz w:val="24"/>
          <w14:textFill>
            <w14:solidFill>
              <w14:schemeClr w14:val="tx1"/>
            </w14:solidFill>
          </w14:textFill>
        </w:rPr>
        <w:t>30%以上的，由</w:t>
      </w:r>
      <w:r>
        <w:rPr>
          <w:rFonts w:hint="eastAsia" w:ascii="宋体" w:hAnsi="宋体" w:cs="宋体"/>
          <w:color w:val="000000" w:themeColor="text1"/>
          <w:kern w:val="0"/>
          <w:sz w:val="24"/>
          <w14:textFill>
            <w14:solidFill>
              <w14:schemeClr w14:val="tx1"/>
            </w14:solidFill>
          </w14:textFill>
        </w:rPr>
        <w:t>磋商小组</w:t>
      </w:r>
      <w:r>
        <w:rPr>
          <w:rFonts w:ascii="宋体" w:hAnsi="宋体" w:cs="宋体"/>
          <w:color w:val="000000" w:themeColor="text1"/>
          <w:kern w:val="0"/>
          <w:sz w:val="24"/>
          <w14:textFill>
            <w14:solidFill>
              <w14:schemeClr w14:val="tx1"/>
            </w14:solidFill>
          </w14:textFill>
        </w:rPr>
        <w:t>启动评分畸高、畸低行为认定程序</w:t>
      </w:r>
      <w:r>
        <w:rPr>
          <w:rFonts w:hint="eastAsia" w:ascii="宋体" w:hAnsi="宋体" w:cs="宋体"/>
          <w:color w:val="000000" w:themeColor="text1"/>
          <w:kern w:val="0"/>
          <w:sz w:val="24"/>
          <w14:textFill>
            <w14:solidFill>
              <w14:schemeClr w14:val="tx1"/>
            </w14:solidFill>
          </w14:textFill>
        </w:rPr>
        <w:t>，磋商小组组长应提醒相关评审人员进行复核或书面说明理由，评审人员拒绝说明的，由现场监督员据实记录；评审人员的评审、修改记录应保留原件，随项目其他资料一并存档。</w:t>
      </w:r>
    </w:p>
    <w:p>
      <w:pPr>
        <w:spacing w:line="360" w:lineRule="auto"/>
        <w:ind w:firstLine="472" w:firstLineChars="196"/>
        <w:rPr>
          <w:rFonts w:ascii="宋体" w:hAnsi="宋体" w:cs="宋体"/>
          <w:b/>
          <w:kern w:val="0"/>
          <w:sz w:val="24"/>
        </w:rPr>
      </w:pPr>
      <w:r>
        <w:rPr>
          <w:rFonts w:hint="eastAsia" w:ascii="宋体" w:hAnsi="宋体" w:cs="宋体"/>
          <w:b/>
          <w:kern w:val="0"/>
          <w:sz w:val="24"/>
        </w:rPr>
        <w:t>3.6报价评审。</w:t>
      </w:r>
    </w:p>
    <w:p>
      <w:pPr>
        <w:pStyle w:val="130"/>
        <w:spacing w:before="0"/>
        <w:ind w:firstLine="508" w:firstLineChars="212"/>
        <w:rPr>
          <w:rFonts w:ascii="宋体" w:hAnsi="宋体" w:cs="宋体"/>
          <w:kern w:val="0"/>
        </w:rPr>
      </w:pPr>
      <w:r>
        <w:rPr>
          <w:rFonts w:hint="eastAsia" w:ascii="宋体" w:hAnsi="宋体" w:cs="宋体"/>
          <w:kern w:val="0"/>
        </w:rPr>
        <w:t>3.6.1响应文件报价出现前后不一致的，按照下列规定修正：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3.6.1.1响应文件中已标价工程量清单内容与响应文件中相应内容不一致的，以已标价工程量清单为准;</w:t>
      </w:r>
    </w:p>
    <w:p>
      <w:pPr>
        <w:pStyle w:val="130"/>
        <w:spacing w:before="0"/>
        <w:ind w:firstLine="480"/>
        <w:rPr>
          <w:rFonts w:ascii="宋体" w:hAnsi="宋体" w:cs="宋体"/>
          <w:kern w:val="0"/>
          <w:szCs w:val="24"/>
        </w:rPr>
      </w:pPr>
      <w:r>
        <w:rPr>
          <w:rFonts w:hint="eastAsia" w:ascii="宋体" w:hAnsi="宋体" w:cs="宋体"/>
          <w:kern w:val="0"/>
          <w:szCs w:val="24"/>
        </w:rPr>
        <w:t>3.6.1.2大写金额和小写金额不一致的，以大写金额为准;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3.6.1.3单价金额小数点或者百分比有明显错位的，以已标价工程量清单的总价为准，并修改单价;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3.6.1.4总价金额与按单价汇总金额不一致的，以单价金额计算结果为准。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3.6.1.5同时出现两种以上不一致的，按照3.6.1规定的顺序修正。修正后的报价经供应商确认后产生约束力。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3.6.2响应文件出现不是唯一的、有选择性最后报价的，响应文件无效。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3.6.3最后报价超过采购文件中规定的预算金额或者最高限价的，响应文件无效。</w:t>
      </w:r>
    </w:p>
    <w:p>
      <w:pPr>
        <w:pStyle w:val="130"/>
        <w:spacing w:before="0"/>
        <w:ind w:firstLine="480"/>
        <w:rPr>
          <w:rFonts w:ascii="宋体" w:hAnsi="宋体" w:cs="宋体"/>
          <w:kern w:val="0"/>
          <w:szCs w:val="24"/>
        </w:rPr>
      </w:pPr>
      <w:r>
        <w:rPr>
          <w:rFonts w:hint="eastAsia" w:ascii="宋体" w:hAnsi="宋体" w:cs="宋体"/>
          <w:kern w:val="0"/>
          <w:szCs w:val="24"/>
        </w:rPr>
        <w:t>3.6.4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b/>
          <w:kern w:val="0"/>
          <w:sz w:val="24"/>
        </w:rPr>
      </w:pPr>
      <w:r>
        <w:rPr>
          <w:rFonts w:hint="eastAsia" w:ascii="宋体" w:hAnsi="宋体" w:cs="宋体"/>
          <w:b/>
          <w:kern w:val="0"/>
          <w:sz w:val="24"/>
        </w:rPr>
        <w:t>3.7排序与推荐。</w:t>
      </w:r>
      <w:r>
        <w:rPr>
          <w:rFonts w:hint="eastAsia" w:ascii="宋体" w:hAnsi="宋体" w:cs="宋体"/>
          <w:kern w:val="0"/>
          <w:sz w:val="24"/>
        </w:rPr>
        <w:t>评审结果按评审后得分由高到低顺序排列。得分相同的，按最后报价由低到高顺序排列。得分且最后报价相同的并列。响应文件满足采购文件全部实质性要求，且按照评审因素的量化指标评审得分由高到低顺序推荐3名以上成交候选供应商</w:t>
      </w:r>
    </w:p>
    <w:p>
      <w:pPr>
        <w:spacing w:line="360" w:lineRule="auto"/>
        <w:ind w:firstLine="472" w:firstLineChars="196"/>
        <w:rPr>
          <w:rFonts w:ascii="宋体" w:hAnsi="宋体" w:cs="宋体"/>
          <w:kern w:val="0"/>
          <w:sz w:val="24"/>
        </w:rPr>
      </w:pPr>
      <w:r>
        <w:rPr>
          <w:rFonts w:hint="eastAsia" w:ascii="宋体" w:hAnsi="宋体" w:cs="宋体"/>
          <w:b/>
          <w:kern w:val="0"/>
          <w:sz w:val="24"/>
        </w:rPr>
        <w:t>3.8编写评审报告。</w:t>
      </w:r>
      <w:r>
        <w:rPr>
          <w:rFonts w:hint="eastAsia" w:ascii="宋体" w:hAnsi="宋体" w:cs="宋体"/>
          <w:kern w:val="0"/>
          <w:sz w:val="24"/>
        </w:rPr>
        <w:t>磋商小组根据全体评审成员签字的原始评审记录和评审结果编写评审报告。磋商小组成员对需要共同认定的事项存在争议的，应当按照少数服从多数的原则作出结论。持不同意见的磋商小组成员应当在评审报告上签署不同意见及理由，否则视为同意评审报告。</w:t>
      </w:r>
    </w:p>
    <w:p>
      <w:pPr>
        <w:snapToGrid w:val="0"/>
        <w:spacing w:line="360" w:lineRule="auto"/>
        <w:jc w:val="center"/>
        <w:rPr>
          <w:rFonts w:ascii="宋体" w:hAnsi="宋体" w:cs="宋体"/>
          <w:b/>
          <w:sz w:val="32"/>
        </w:rPr>
      </w:pPr>
      <w:r>
        <w:rPr>
          <w:rFonts w:hint="eastAsia" w:ascii="宋体" w:hAnsi="宋体" w:cs="宋体"/>
          <w:b/>
          <w:sz w:val="32"/>
        </w:rPr>
        <w:t>四、评审中的其他事项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4.1供应商澄清、说明或者补正。</w:t>
      </w:r>
      <w:r>
        <w:rPr>
          <w:rFonts w:hint="eastAsia" w:ascii="宋体" w:hAnsi="宋体" w:cs="宋体"/>
          <w:kern w:val="0"/>
          <w:szCs w:val="24"/>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8"/>
        <w:spacing w:line="360" w:lineRule="auto"/>
        <w:ind w:left="954" w:leftChars="226" w:hanging="479" w:firstLineChars="0"/>
        <w:rPr>
          <w:rFonts w:cs="宋体"/>
          <w:szCs w:val="21"/>
        </w:rPr>
      </w:pPr>
      <w:r>
        <w:rPr>
          <w:rFonts w:hint="eastAsia" w:cs="宋体"/>
          <w:b/>
          <w:kern w:val="0"/>
        </w:rPr>
        <w:t>4.2响应文件无效。</w:t>
      </w:r>
      <w:r>
        <w:rPr>
          <w:rFonts w:hint="eastAsia" w:cs="宋体"/>
          <w:szCs w:val="21"/>
        </w:rPr>
        <w:t>有下列情形之一的，响应文件无效：</w:t>
      </w:r>
    </w:p>
    <w:p>
      <w:pPr>
        <w:spacing w:line="360" w:lineRule="auto"/>
        <w:ind w:firstLine="480" w:firstLineChars="200"/>
        <w:rPr>
          <w:rFonts w:ascii="宋体" w:hAnsi="宋体" w:cs="宋体"/>
          <w:kern w:val="0"/>
          <w:sz w:val="24"/>
        </w:rPr>
      </w:pPr>
      <w:r>
        <w:rPr>
          <w:rFonts w:hint="eastAsia" w:ascii="宋体" w:hAnsi="宋体" w:cs="宋体"/>
          <w:kern w:val="0"/>
          <w:sz w:val="24"/>
        </w:rPr>
        <w:t>4.2.1供应商不具备采购文件中规定的资格要求的（供应商未提供有效的资格文件的，视为供应商不具备采购文件中规定的资格要求）；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4.2.2响应文件未按照采购文件要求签署、盖章的；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4.2.3采购人拟采购的产品属于政府强制采购的节能产品品目清单范围的，供应商未按采购文件要求提供国家确定的认证机构出具的、处于有效期之内的节能产品认证证书的；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4.2.5响应文件中承诺的响应文件有效期少于采购文件中载明的响应文件有效期的；</w:t>
      </w:r>
    </w:p>
    <w:p>
      <w:pPr>
        <w:spacing w:line="360" w:lineRule="auto"/>
        <w:ind w:firstLine="480" w:firstLineChars="200"/>
        <w:rPr>
          <w:rFonts w:ascii="宋体" w:hAnsi="宋体" w:cs="宋体"/>
          <w:kern w:val="0"/>
          <w:sz w:val="24"/>
        </w:rPr>
      </w:pPr>
      <w:r>
        <w:rPr>
          <w:rFonts w:hint="eastAsia" w:ascii="宋体" w:hAnsi="宋体" w:cs="宋体"/>
          <w:kern w:val="0"/>
          <w:sz w:val="24"/>
        </w:rPr>
        <w:t>4.2.6响应文件出现不是唯一的、有选择性最后报价的;</w:t>
      </w:r>
    </w:p>
    <w:p>
      <w:pPr>
        <w:spacing w:line="360" w:lineRule="auto"/>
        <w:ind w:firstLine="480" w:firstLineChars="200"/>
        <w:rPr>
          <w:rFonts w:ascii="宋体" w:hAnsi="宋体" w:cs="宋体"/>
          <w:kern w:val="0"/>
          <w:sz w:val="24"/>
        </w:rPr>
      </w:pPr>
      <w:r>
        <w:rPr>
          <w:rFonts w:hint="eastAsia" w:ascii="宋体" w:hAnsi="宋体" w:cs="宋体"/>
          <w:kern w:val="0"/>
          <w:sz w:val="24"/>
        </w:rPr>
        <w:t>4.2.7最后报价超过采购文件中规定的预算金额或者最高限价的;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4.2.10供应商提供虚假材料响应的；</w:t>
      </w:r>
    </w:p>
    <w:p>
      <w:pPr>
        <w:spacing w:line="360" w:lineRule="auto"/>
        <w:ind w:firstLine="480" w:firstLineChars="200"/>
        <w:rPr>
          <w:rFonts w:ascii="宋体" w:hAnsi="宋体" w:cs="宋体"/>
          <w:kern w:val="0"/>
          <w:sz w:val="24"/>
        </w:rPr>
      </w:pPr>
      <w:r>
        <w:rPr>
          <w:rFonts w:hint="eastAsia" w:ascii="宋体" w:hAnsi="宋体" w:cs="宋体"/>
          <w:kern w:val="0"/>
          <w:sz w:val="24"/>
        </w:rPr>
        <w:t>4.2.11供应商有恶意串通、妨碍其他供应商的竞争行为、损害采购人或者其他供应商的合法权益情形的；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4.2.12供应商仅提交备份响应文件，未在电子交易平台传输递交响应文件的，响应文件无效；</w:t>
      </w:r>
    </w:p>
    <w:p>
      <w:pPr>
        <w:spacing w:line="360" w:lineRule="auto"/>
        <w:ind w:firstLine="480" w:firstLineChars="200"/>
        <w:rPr>
          <w:rFonts w:ascii="宋体" w:hAnsi="宋体" w:cs="宋体"/>
          <w:kern w:val="0"/>
          <w:sz w:val="24"/>
        </w:rPr>
      </w:pPr>
      <w:r>
        <w:rPr>
          <w:rFonts w:hint="eastAsia" w:ascii="宋体" w:hAnsi="宋体" w:cs="宋体"/>
          <w:kern w:val="0"/>
          <w:sz w:val="24"/>
        </w:rPr>
        <w:t>4.2.13 响应文件不满足采购文件的其它实质性要求的；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8"/>
        <w:snapToGrid w:val="0"/>
        <w:spacing w:line="360" w:lineRule="auto"/>
        <w:ind w:firstLine="472" w:firstLineChars="196"/>
        <w:rPr>
          <w:rFonts w:cs="宋体"/>
        </w:rPr>
      </w:pPr>
      <w:r>
        <w:rPr>
          <w:rFonts w:hint="eastAsia" w:cs="宋体"/>
          <w:b/>
        </w:rPr>
        <w:t>5.终止竞争性磋商采购活动。</w:t>
      </w:r>
      <w:r>
        <w:rPr>
          <w:rFonts w:hint="eastAsia" w:cs="宋体"/>
        </w:rPr>
        <w:t>出现下列情形之一的，采购人或者采购代理机构应当终止竞争性磋商采购活动，发布项目终止公告并说明原因，重新开展采购活动：</w:t>
      </w:r>
    </w:p>
    <w:p>
      <w:pPr>
        <w:pStyle w:val="28"/>
        <w:snapToGrid w:val="0"/>
        <w:spacing w:line="360" w:lineRule="auto"/>
        <w:rPr>
          <w:rFonts w:cs="宋体"/>
        </w:rPr>
      </w:pPr>
      <w:r>
        <w:rPr>
          <w:rFonts w:hint="eastAsia" w:cs="宋体"/>
        </w:rPr>
        <w:t>5.1因情况变化，不再符合规定的竞争性磋商采购方式适用情形的；</w:t>
      </w:r>
    </w:p>
    <w:p>
      <w:pPr>
        <w:pStyle w:val="28"/>
        <w:snapToGrid w:val="0"/>
        <w:spacing w:line="360" w:lineRule="auto"/>
        <w:rPr>
          <w:rFonts w:cs="宋体"/>
        </w:rPr>
      </w:pPr>
      <w:r>
        <w:rPr>
          <w:rFonts w:hint="eastAsia" w:cs="宋体"/>
        </w:rPr>
        <w:t>5.2出现影响采购公正的违法、违规行为的；</w:t>
      </w:r>
    </w:p>
    <w:p>
      <w:pPr>
        <w:pStyle w:val="28"/>
        <w:snapToGrid w:val="0"/>
        <w:spacing w:line="360" w:lineRule="auto"/>
        <w:rPr>
          <w:rFonts w:cs="宋体"/>
        </w:rPr>
      </w:pPr>
      <w:r>
        <w:rPr>
          <w:rFonts w:hint="eastAsia" w:cs="宋体"/>
        </w:rPr>
        <w:t>5.3除本办法第二十一条第三款规定的情形外，在采购过程中符合要求的供应商或者报价未超过采购预算的供应商不足3家的。</w:t>
      </w:r>
    </w:p>
    <w:p>
      <w:pPr>
        <w:pStyle w:val="28"/>
        <w:snapToGrid w:val="0"/>
        <w:spacing w:line="360" w:lineRule="auto"/>
        <w:rPr>
          <w:rFonts w:cs="宋体"/>
        </w:rPr>
      </w:pPr>
      <w:r>
        <w:rPr>
          <w:rFonts w:hint="eastAsia" w:cs="宋体"/>
        </w:rPr>
        <w:t>5.4在采购活动中因重大变故，采购任务取消的，采购人或者采购代理机构应当终止采购活动，通知所有参加采购活动的供应商，并将项目实施情况和采购任务取消原因报送本级财政部门。</w:t>
      </w:r>
    </w:p>
    <w:p>
      <w:pPr>
        <w:pStyle w:val="28"/>
        <w:snapToGrid w:val="0"/>
        <w:spacing w:line="360" w:lineRule="auto"/>
        <w:ind w:firstLine="482"/>
        <w:rPr>
          <w:rFonts w:cs="宋体"/>
        </w:rPr>
      </w:pPr>
      <w:r>
        <w:rPr>
          <w:rFonts w:hint="eastAsia" w:cs="宋体"/>
          <w:b/>
          <w:kern w:val="0"/>
        </w:rPr>
        <w:t>6.重新开展采购。</w:t>
      </w:r>
      <w:r>
        <w:rPr>
          <w:rFonts w:hint="eastAsia" w:cs="宋体"/>
        </w:rPr>
        <w:t>有政府采购法第七十一条、第七十二条规定的违法行为之一，影响或者可能影响成交结果的，依照下列规定处理：</w:t>
      </w:r>
    </w:p>
    <w:p>
      <w:pPr>
        <w:pStyle w:val="28"/>
        <w:snapToGrid w:val="0"/>
        <w:spacing w:line="360" w:lineRule="auto"/>
        <w:rPr>
          <w:rFonts w:cs="宋体"/>
        </w:rPr>
      </w:pPr>
      <w:r>
        <w:rPr>
          <w:rFonts w:hint="eastAsia" w:cs="宋体"/>
        </w:rPr>
        <w:t>6.1未确定成交供应商的，终止本次政府采购活动，重新开展政府采购活动。</w:t>
      </w:r>
    </w:p>
    <w:p>
      <w:pPr>
        <w:pStyle w:val="28"/>
        <w:snapToGrid w:val="0"/>
        <w:spacing w:line="360" w:lineRule="auto"/>
        <w:rPr>
          <w:rFonts w:cs="宋体"/>
        </w:rPr>
      </w:pPr>
      <w:r>
        <w:rPr>
          <w:rFonts w:hint="eastAsia" w:cs="宋体"/>
        </w:rPr>
        <w:t>6.2已确定成交供应商但尚未签订政府采购合同的，成交结果无效，从合格的成交候选供应商中另行确定成交供应商；没有合格的成交候选供应商的，重新开展政府采购活动。</w:t>
      </w:r>
    </w:p>
    <w:p>
      <w:pPr>
        <w:pStyle w:val="28"/>
        <w:snapToGrid w:val="0"/>
        <w:spacing w:line="360" w:lineRule="auto"/>
        <w:rPr>
          <w:rFonts w:cs="宋体"/>
        </w:rPr>
      </w:pPr>
      <w:r>
        <w:rPr>
          <w:rFonts w:hint="eastAsia" w:cs="宋体"/>
        </w:rPr>
        <w:t>6.3政府采购合同已签订但尚未履行的，撤销合同，从合格的成交候选供应商中另行确定成交供应商；没有合格的成交候选供应商的，重新开展政府采购活动。</w:t>
      </w:r>
    </w:p>
    <w:p>
      <w:pPr>
        <w:pStyle w:val="28"/>
        <w:snapToGrid w:val="0"/>
        <w:spacing w:line="360" w:lineRule="auto"/>
        <w:rPr>
          <w:rFonts w:cs="宋体"/>
        </w:rPr>
      </w:pPr>
      <w:r>
        <w:rPr>
          <w:rFonts w:hint="eastAsia" w:cs="宋体"/>
        </w:rPr>
        <w:t>6.4政府采购合同已经履行，给采购人、供应商造成损失的，由责任人承担赔偿责任。</w:t>
      </w:r>
    </w:p>
    <w:p>
      <w:pPr>
        <w:pStyle w:val="28"/>
        <w:snapToGrid w:val="0"/>
        <w:spacing w:line="360" w:lineRule="auto"/>
        <w:rPr>
          <w:rFonts w:cs="宋体"/>
        </w:rPr>
      </w:pPr>
      <w:r>
        <w:rPr>
          <w:rFonts w:hint="eastAsia" w:cs="宋体"/>
        </w:rPr>
        <w:t>6.5政府采购当事人有其他违反政府采购法或者政府采购法实施条例等法律法规规定的行为，经改正后仍然影响或者可能影响成交结果或者依法被认定为成交无效的，依照6.1-6.4规定处理。</w:t>
      </w:r>
    </w:p>
    <w:p>
      <w:pPr>
        <w:pStyle w:val="28"/>
        <w:snapToGrid w:val="0"/>
        <w:spacing w:line="360" w:lineRule="auto"/>
        <w:ind w:firstLine="0" w:firstLineChars="0"/>
        <w:rPr>
          <w:rFonts w:cs="宋体"/>
        </w:rPr>
        <w:sectPr>
          <w:pgSz w:w="11907" w:h="16840"/>
          <w:pgMar w:top="1440" w:right="1080" w:bottom="1440" w:left="1080" w:header="851" w:footer="851" w:gutter="0"/>
          <w:cols w:space="720" w:num="1"/>
        </w:sectPr>
      </w:pPr>
    </w:p>
    <w:bookmarkEnd w:id="30"/>
    <w:p>
      <w:pPr>
        <w:spacing w:line="360" w:lineRule="auto"/>
        <w:jc w:val="center"/>
        <w:outlineLvl w:val="0"/>
        <w:rPr>
          <w:rFonts w:ascii="宋体" w:hAnsi="宋体" w:cs="宋体"/>
          <w:b/>
          <w:sz w:val="36"/>
          <w:szCs w:val="36"/>
        </w:rPr>
      </w:pPr>
      <w:bookmarkStart w:id="424" w:name="第五部分"/>
      <w:bookmarkStart w:id="425" w:name="_Toc86217003"/>
      <w:r>
        <w:rPr>
          <w:rFonts w:hint="eastAsia" w:ascii="宋体" w:hAnsi="宋体" w:cs="宋体"/>
          <w:b/>
          <w:sz w:val="36"/>
          <w:szCs w:val="36"/>
        </w:rPr>
        <w:t>第五部分 拟签订的合同文本</w:t>
      </w:r>
    </w:p>
    <w:p>
      <w:pPr>
        <w:spacing w:line="360" w:lineRule="auto"/>
        <w:rPr>
          <w:rFonts w:hint="eastAsia" w:ascii="宋体" w:hAnsi="宋体" w:cs="宋体"/>
          <w:b/>
          <w:color w:val="auto"/>
          <w:szCs w:val="21"/>
          <w:highlight w:val="none"/>
          <w:lang w:eastAsia="zh-CN"/>
        </w:rPr>
      </w:pPr>
      <w:r>
        <w:rPr>
          <w:rFonts w:hint="eastAsia" w:ascii="宋体" w:hAnsi="宋体" w:cs="宋体"/>
          <w:b/>
          <w:color w:val="auto"/>
          <w:szCs w:val="21"/>
          <w:highlight w:val="none"/>
        </w:rPr>
        <w:t>发包人（甲方）：</w:t>
      </w:r>
      <w:r>
        <w:rPr>
          <w:rFonts w:hint="eastAsia" w:ascii="宋体" w:hAnsi="宋体" w:cs="宋体"/>
          <w:b/>
          <w:color w:val="auto"/>
          <w:szCs w:val="21"/>
          <w:highlight w:val="none"/>
          <w:lang w:eastAsia="zh-CN"/>
        </w:rPr>
        <w:t>杭州市丁桥医院</w:t>
      </w: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承包人（乙方）：</w:t>
      </w: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签证方：</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鉴于甲方于_______年_______月_______日已接受乙方对本合同工程的投标，根据</w:t>
      </w:r>
      <w:r>
        <w:rPr>
          <w:rFonts w:hint="eastAsia" w:ascii="宋体" w:hAnsi="宋体" w:cs="宋体"/>
          <w:color w:val="auto"/>
          <w:szCs w:val="21"/>
          <w:highlight w:val="none"/>
          <w:lang w:eastAsia="zh-CN"/>
        </w:rPr>
        <w:t>《中华人民共和国民法典》</w:t>
      </w:r>
      <w:r>
        <w:rPr>
          <w:rFonts w:hint="eastAsia" w:ascii="宋体" w:hAnsi="宋体" w:cs="宋体"/>
          <w:color w:val="auto"/>
          <w:szCs w:val="21"/>
          <w:highlight w:val="none"/>
        </w:rPr>
        <w:t>、招标文件、投标文件及其它有关规定。为明确双方的权利、责任和义务，经协商一致，签订本合同，共同信守。</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3.1工程概况</w:t>
      </w:r>
    </w:p>
    <w:p>
      <w:pPr>
        <w:spacing w:line="360" w:lineRule="auto"/>
        <w:ind w:firstLine="48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auto"/>
          <w:szCs w:val="21"/>
          <w:highlight w:val="none"/>
        </w:rPr>
        <w:t>3.1.1工程</w:t>
      </w:r>
      <w:r>
        <w:rPr>
          <w:rFonts w:hint="eastAsia" w:ascii="宋体" w:hAnsi="宋体" w:cs="宋体"/>
          <w:color w:val="000000" w:themeColor="text1"/>
          <w:szCs w:val="21"/>
          <w:highlight w:val="none"/>
          <w14:textFill>
            <w14:solidFill>
              <w14:schemeClr w14:val="tx1"/>
            </w14:solidFill>
          </w14:textFill>
        </w:rPr>
        <w:t>名称：</w:t>
      </w:r>
      <w:r>
        <w:rPr>
          <w:rFonts w:hint="eastAsia" w:ascii="宋体" w:hAnsi="宋体" w:cs="宋体"/>
          <w:color w:val="000000" w:themeColor="text1"/>
          <w:szCs w:val="21"/>
          <w:highlight w:val="none"/>
          <w:lang w:eastAsia="zh-CN"/>
          <w14:textFill>
            <w14:solidFill>
              <w14:schemeClr w14:val="tx1"/>
            </w14:solidFill>
          </w14:textFill>
        </w:rPr>
        <w:t>杭州市丁桥医院</w:t>
      </w:r>
      <w:r>
        <w:rPr>
          <w:rFonts w:hint="eastAsia" w:ascii="宋体" w:hAnsi="宋体" w:cs="宋体"/>
          <w:color w:val="000000" w:themeColor="text1"/>
          <w:szCs w:val="21"/>
          <w:highlight w:val="none"/>
          <w14:textFill>
            <w14:solidFill>
              <w14:schemeClr w14:val="tx1"/>
            </w14:solidFill>
          </w14:textFill>
        </w:rPr>
        <w:t>年度</w:t>
      </w:r>
      <w:r>
        <w:rPr>
          <w:rFonts w:hint="eastAsia" w:ascii="宋体" w:hAnsi="宋体" w:cs="宋体"/>
          <w:color w:val="000000" w:themeColor="text1"/>
          <w:szCs w:val="21"/>
          <w:highlight w:val="none"/>
          <w:lang w:eastAsia="zh-CN"/>
          <w14:textFill>
            <w14:solidFill>
              <w14:schemeClr w14:val="tx1"/>
            </w14:solidFill>
          </w14:textFill>
        </w:rPr>
        <w:t>零星修缮</w:t>
      </w:r>
      <w:r>
        <w:rPr>
          <w:rFonts w:hint="eastAsia" w:ascii="宋体" w:hAnsi="宋体" w:cs="宋体"/>
          <w:color w:val="000000" w:themeColor="text1"/>
          <w:szCs w:val="21"/>
          <w:highlight w:val="none"/>
          <w14:textFill>
            <w14:solidFill>
              <w14:schemeClr w14:val="tx1"/>
            </w14:solidFill>
          </w14:textFill>
        </w:rPr>
        <w:t>项目</w:t>
      </w:r>
    </w:p>
    <w:p>
      <w:pPr>
        <w:spacing w:line="360" w:lineRule="auto"/>
        <w:ind w:firstLine="48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3.1.2工程地点：</w:t>
      </w:r>
      <w:r>
        <w:rPr>
          <w:rFonts w:hint="eastAsia" w:ascii="宋体" w:hAnsi="宋体" w:cs="宋体"/>
          <w:color w:val="000000" w:themeColor="text1"/>
          <w:szCs w:val="21"/>
          <w:highlight w:val="none"/>
          <w:lang w:eastAsia="zh-CN"/>
          <w14:textFill>
            <w14:solidFill>
              <w14:schemeClr w14:val="tx1"/>
            </w14:solidFill>
          </w14:textFill>
        </w:rPr>
        <w:t>杭州市丁桥医院</w:t>
      </w:r>
    </w:p>
    <w:p>
      <w:pPr>
        <w:spacing w:line="360" w:lineRule="auto"/>
        <w:ind w:firstLine="48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3.1.3招标人：</w:t>
      </w:r>
      <w:r>
        <w:rPr>
          <w:rFonts w:hint="eastAsia" w:ascii="宋体" w:hAnsi="宋体" w:cs="宋体"/>
          <w:color w:val="000000" w:themeColor="text1"/>
          <w:szCs w:val="21"/>
          <w:highlight w:val="none"/>
          <w:lang w:eastAsia="zh-CN"/>
          <w14:textFill>
            <w14:solidFill>
              <w14:schemeClr w14:val="tx1"/>
            </w14:solidFill>
          </w14:textFill>
        </w:rPr>
        <w:t>杭州市丁桥医院</w:t>
      </w:r>
    </w:p>
    <w:p>
      <w:pPr>
        <w:spacing w:line="360" w:lineRule="auto"/>
        <w:ind w:firstLine="48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3.2合同工程内容</w:t>
      </w:r>
    </w:p>
    <w:p>
      <w:pPr>
        <w:spacing w:line="360" w:lineRule="auto"/>
        <w:ind w:firstLine="480"/>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3.2.1本标项是</w:t>
      </w:r>
      <w:r>
        <w:rPr>
          <w:rFonts w:hint="eastAsia" w:ascii="宋体" w:hAnsi="宋体" w:cs="宋体"/>
          <w:color w:val="000000" w:themeColor="text1"/>
          <w:szCs w:val="21"/>
          <w:highlight w:val="none"/>
          <w:lang w:eastAsia="zh-CN"/>
          <w14:textFill>
            <w14:solidFill>
              <w14:schemeClr w14:val="tx1"/>
            </w14:solidFill>
          </w14:textFill>
        </w:rPr>
        <w:t>杭州市丁桥医院</w:t>
      </w:r>
      <w:r>
        <w:rPr>
          <w:rFonts w:hint="eastAsia" w:ascii="宋体" w:hAnsi="宋体" w:cs="宋体"/>
          <w:color w:val="000000" w:themeColor="text1"/>
          <w:szCs w:val="21"/>
          <w:highlight w:val="none"/>
          <w14:textFill>
            <w14:solidFill>
              <w14:schemeClr w14:val="tx1"/>
            </w14:solidFill>
          </w14:textFill>
        </w:rPr>
        <w:t>年度</w:t>
      </w:r>
      <w:r>
        <w:rPr>
          <w:rFonts w:hint="eastAsia" w:ascii="宋体" w:hAnsi="宋体" w:cs="宋体"/>
          <w:color w:val="000000" w:themeColor="text1"/>
          <w:szCs w:val="21"/>
          <w:highlight w:val="none"/>
          <w:lang w:eastAsia="zh-CN"/>
          <w14:textFill>
            <w14:solidFill>
              <w14:schemeClr w14:val="tx1"/>
            </w14:solidFill>
          </w14:textFill>
        </w:rPr>
        <w:t>零星修缮</w:t>
      </w:r>
      <w:r>
        <w:rPr>
          <w:rFonts w:hint="eastAsia" w:ascii="宋体" w:hAnsi="宋体" w:cs="宋体"/>
          <w:color w:val="000000" w:themeColor="text1"/>
          <w:szCs w:val="21"/>
          <w:highlight w:val="none"/>
          <w14:textFill>
            <w14:solidFill>
              <w14:schemeClr w14:val="tx1"/>
            </w14:solidFill>
          </w14:textFill>
        </w:rPr>
        <w:t>项目</w:t>
      </w:r>
    </w:p>
    <w:p>
      <w:pPr>
        <w:spacing w:line="360" w:lineRule="auto"/>
        <w:ind w:firstLine="480"/>
        <w:rPr>
          <w:rFonts w:hint="eastAsia" w:ascii="宋体" w:hAnsi="宋体" w:cs="宋体"/>
          <w:b/>
          <w:bCs/>
          <w:color w:val="auto"/>
          <w:szCs w:val="21"/>
        </w:rPr>
      </w:pPr>
      <w:r>
        <w:rPr>
          <w:rFonts w:hint="eastAsia" w:ascii="宋体" w:hAnsi="宋体" w:cs="宋体"/>
          <w:b/>
          <w:bCs/>
          <w:color w:val="auto"/>
          <w:szCs w:val="21"/>
          <w:lang w:eastAsia="zh-CN"/>
        </w:rPr>
        <w:t>项目</w:t>
      </w:r>
      <w:r>
        <w:rPr>
          <w:rFonts w:hint="eastAsia" w:ascii="宋体" w:hAnsi="宋体" w:cs="宋体"/>
          <w:b/>
          <w:bCs/>
          <w:color w:val="auto"/>
          <w:szCs w:val="21"/>
        </w:rPr>
        <w:t>服务期</w:t>
      </w:r>
      <w:r>
        <w:rPr>
          <w:rFonts w:hint="eastAsia" w:ascii="宋体" w:hAnsi="宋体" w:cs="宋体"/>
          <w:b/>
          <w:bCs/>
          <w:color w:val="auto"/>
          <w:szCs w:val="21"/>
          <w:lang w:eastAsia="zh-CN"/>
        </w:rPr>
        <w:t>自</w:t>
      </w:r>
      <w:r>
        <w:rPr>
          <w:rFonts w:hint="eastAsia" w:ascii="宋体" w:hAnsi="宋体" w:cs="宋体"/>
          <w:b/>
          <w:bCs/>
          <w:color w:val="auto"/>
          <w:szCs w:val="21"/>
          <w:lang w:val="en-US" w:eastAsia="zh-CN"/>
        </w:rPr>
        <w:t>______年_____月____日至______</w:t>
      </w:r>
      <w:r>
        <w:rPr>
          <w:rFonts w:hint="eastAsia" w:ascii="宋体" w:hAnsi="宋体" w:cs="宋体"/>
          <w:b/>
          <w:bCs/>
          <w:color w:val="auto"/>
          <w:szCs w:val="21"/>
          <w:lang w:eastAsia="zh-CN"/>
        </w:rPr>
        <w:t>年</w:t>
      </w:r>
      <w:r>
        <w:rPr>
          <w:rFonts w:hint="eastAsia" w:ascii="宋体" w:hAnsi="宋体" w:cs="宋体"/>
          <w:b/>
          <w:bCs/>
          <w:color w:val="auto"/>
          <w:szCs w:val="21"/>
          <w:lang w:val="en-US" w:eastAsia="zh-CN"/>
        </w:rPr>
        <w:t>_____月_____日止或工程款结算价累计至280万元合同终止（以先到为准）</w:t>
      </w:r>
      <w:r>
        <w:rPr>
          <w:rFonts w:hint="eastAsia" w:ascii="宋体" w:hAnsi="宋体" w:cs="宋体"/>
          <w:b/>
          <w:bCs/>
          <w:color w:val="auto"/>
          <w:szCs w:val="21"/>
        </w:rPr>
        <w:t>，服务期内具体内容按发包人需要实施。</w:t>
      </w:r>
    </w:p>
    <w:p>
      <w:pPr>
        <w:pStyle w:val="2"/>
        <w:rPr>
          <w:rFonts w:hint="default" w:eastAsia="宋体"/>
          <w:lang w:val="en-US" w:eastAsia="zh-CN"/>
        </w:rPr>
      </w:pPr>
      <w:r>
        <w:rPr>
          <w:rFonts w:hint="eastAsia" w:cs="宋体"/>
          <w:b/>
          <w:bCs/>
          <w:color w:val="auto"/>
          <w:szCs w:val="21"/>
          <w:lang w:eastAsia="zh-CN"/>
        </w:rPr>
        <w:t>本次投标报价含税折扣价为</w:t>
      </w:r>
      <w:r>
        <w:rPr>
          <w:rFonts w:hint="eastAsia" w:cs="宋体"/>
          <w:b/>
          <w:bCs/>
          <w:color w:val="auto"/>
          <w:szCs w:val="21"/>
          <w:lang w:val="en-US" w:eastAsia="zh-CN"/>
        </w:rPr>
        <w:t>______。</w:t>
      </w:r>
    </w:p>
    <w:p>
      <w:pPr>
        <w:spacing w:line="360" w:lineRule="auto"/>
        <w:ind w:firstLine="480"/>
        <w:rPr>
          <w:rFonts w:hint="eastAsia" w:ascii="宋体" w:hAnsi="宋体" w:cs="宋体"/>
          <w:b/>
          <w:color w:val="auto"/>
          <w:szCs w:val="21"/>
          <w:highlight w:val="none"/>
        </w:rPr>
      </w:pPr>
      <w:r>
        <w:rPr>
          <w:rFonts w:hint="eastAsia" w:ascii="宋体" w:hAnsi="宋体" w:cs="宋体"/>
          <w:b/>
          <w:color w:val="auto"/>
          <w:szCs w:val="21"/>
          <w:highlight w:val="none"/>
        </w:rPr>
        <w:t>如乙方提供的货物和服务无法满足甲方的要求，经甲方指出仍得不到改善的，甲方可单方解除合同。此招标</w:t>
      </w:r>
      <w:r>
        <w:rPr>
          <w:rFonts w:hint="eastAsia" w:ascii="宋体" w:hAnsi="宋体" w:cs="宋体"/>
          <w:b/>
          <w:color w:val="auto"/>
          <w:szCs w:val="21"/>
          <w:highlight w:val="none"/>
          <w:lang w:eastAsia="zh-CN"/>
        </w:rPr>
        <w:t>零星修缮</w:t>
      </w:r>
      <w:r>
        <w:rPr>
          <w:rFonts w:hint="eastAsia" w:ascii="宋体" w:hAnsi="宋体" w:cs="宋体"/>
          <w:b/>
          <w:color w:val="auto"/>
          <w:szCs w:val="21"/>
          <w:highlight w:val="none"/>
        </w:rPr>
        <w:t>工程项目不得分包、转包。若擅自转包，招标单位有权终止合同按违约论处，由此造成一切损失由</w:t>
      </w:r>
      <w:r>
        <w:rPr>
          <w:rFonts w:hint="eastAsia" w:ascii="宋体" w:hAnsi="宋体" w:cs="宋体"/>
          <w:b/>
          <w:color w:val="auto"/>
          <w:szCs w:val="21"/>
          <w:highlight w:val="none"/>
          <w:lang w:val="en-US" w:eastAsia="zh-CN"/>
        </w:rPr>
        <w:t>乙方</w:t>
      </w:r>
      <w:r>
        <w:rPr>
          <w:rFonts w:hint="eastAsia" w:ascii="宋体" w:hAnsi="宋体" w:cs="宋体"/>
          <w:b/>
          <w:color w:val="auto"/>
          <w:szCs w:val="21"/>
          <w:highlight w:val="none"/>
        </w:rPr>
        <w:t>承担。</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3.3承包方式</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3.3.1乙方就本合同工程内容的质量、造价、工期、安全文明施工、完工后的保修等实行总承包。</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3.3.2对甲方另行发包的其他工程，可能纳入乙方的管理，乙方必须接受。其费用应在报价时明确。</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3.3.3本合同工程内的所有施工内容必须由具有相应资质等级的专业施工企业进行施工。</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3.3.4乙方必须服从甲方的项目管理部门的监督和管理。</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3.4施工队伍</w:t>
      </w:r>
    </w:p>
    <w:p>
      <w:pPr>
        <w:spacing w:line="360" w:lineRule="auto"/>
        <w:ind w:firstLine="435"/>
        <w:jc w:val="left"/>
        <w:rPr>
          <w:rFonts w:hint="eastAsia" w:ascii="宋体" w:hAnsi="宋体" w:cs="宋体"/>
          <w:color w:val="auto"/>
          <w:szCs w:val="21"/>
          <w:highlight w:val="none"/>
        </w:rPr>
      </w:pPr>
      <w:r>
        <w:rPr>
          <w:rFonts w:hint="eastAsia" w:ascii="宋体" w:hAnsi="宋体" w:cs="宋体"/>
          <w:color w:val="auto"/>
          <w:szCs w:val="21"/>
          <w:highlight w:val="none"/>
        </w:rPr>
        <w:t>3.4.1乙方投入本工程的具体施工队伍是______</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提供详细人员名单</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r>
        <w:rPr>
          <w:rFonts w:hint="eastAsia" w:ascii="宋体" w:hAnsi="宋体" w:cs="宋体"/>
          <w:b/>
          <w:color w:val="auto"/>
          <w:szCs w:val="21"/>
          <w:highlight w:val="none"/>
        </w:rPr>
        <w:t>为本项目提供驻</w:t>
      </w:r>
      <w:r>
        <w:rPr>
          <w:rFonts w:hint="eastAsia" w:ascii="宋体" w:hAnsi="宋体" w:cs="宋体"/>
          <w:b/>
          <w:color w:val="auto"/>
          <w:szCs w:val="21"/>
          <w:highlight w:val="none"/>
          <w:lang w:eastAsia="zh-CN"/>
        </w:rPr>
        <w:t>院</w:t>
      </w:r>
      <w:r>
        <w:rPr>
          <w:rFonts w:hint="eastAsia" w:ascii="宋体" w:hAnsi="宋体" w:cs="宋体"/>
          <w:b/>
          <w:color w:val="auto"/>
          <w:szCs w:val="21"/>
          <w:highlight w:val="none"/>
        </w:rPr>
        <w:t>服务，并随叫随到，保证维修工程及时完成，紧急和抢修项目必须根据施工要求2小时内派人到达现场。项目根据施工要求派出人数、专业和工种与施工内容相符，且有相应的施工经验和上岗证。</w:t>
      </w:r>
      <w:r>
        <w:rPr>
          <w:rFonts w:hint="eastAsia" w:ascii="宋体" w:hAnsi="宋体" w:cs="宋体"/>
          <w:b/>
          <w:color w:val="auto"/>
          <w:szCs w:val="21"/>
          <w:highlight w:val="none"/>
          <w:u w:val="single"/>
        </w:rPr>
        <w:t>项目现场负责人到位率达到95</w:t>
      </w:r>
      <w:r>
        <w:rPr>
          <w:rFonts w:hint="eastAsia" w:ascii="宋体" w:hAnsi="宋体" w:cs="宋体"/>
          <w:b/>
          <w:color w:val="auto"/>
          <w:szCs w:val="21"/>
          <w:highlight w:val="none"/>
        </w:rPr>
        <w:t>%以上。</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3.4.2乙方投入本工程施工队伍的素质、能力、力量和机械等必须符合招标文件的承诺和满足工程的实际需要。</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3.4.3如施工现场管理混乱，施工质量和进度达明显不到合同要求时，甲方有权要求其加强管理，调整和充实力量。乙方必须接受，当上述措施仍无效时，甲方可终止合同，并追究乙方的经济责任。</w:t>
      </w:r>
    </w:p>
    <w:p>
      <w:pPr>
        <w:spacing w:line="360" w:lineRule="auto"/>
        <w:ind w:firstLine="480"/>
        <w:rPr>
          <w:rFonts w:hint="eastAsia" w:ascii="宋体" w:hAnsi="宋体" w:eastAsia="宋体" w:cs="宋体"/>
          <w:b/>
          <w:color w:val="auto"/>
          <w:szCs w:val="21"/>
          <w:highlight w:val="none"/>
          <w:lang w:eastAsia="zh-CN"/>
        </w:rPr>
      </w:pPr>
      <w:r>
        <w:rPr>
          <w:rFonts w:hint="eastAsia" w:ascii="宋体" w:hAnsi="宋体" w:cs="宋体"/>
          <w:color w:val="auto"/>
          <w:szCs w:val="21"/>
          <w:highlight w:val="none"/>
        </w:rPr>
        <w:t>3.5</w:t>
      </w:r>
      <w:r>
        <w:rPr>
          <w:rFonts w:hint="eastAsia" w:ascii="宋体" w:hAnsi="宋体" w:cs="宋体"/>
          <w:b/>
          <w:color w:val="auto"/>
          <w:szCs w:val="21"/>
          <w:highlight w:val="none"/>
        </w:rPr>
        <w:t>结算依据：</w:t>
      </w:r>
    </w:p>
    <w:p>
      <w:pPr>
        <w:pStyle w:val="36"/>
        <w:snapToGrid w:val="0"/>
        <w:spacing w:line="360" w:lineRule="auto"/>
        <w:ind w:firstLine="517" w:firstLineChars="245"/>
        <w:outlineLvl w:val="0"/>
        <w:rPr>
          <w:rFonts w:hint="eastAsia" w:hAnsi="宋体" w:cs="宋体"/>
          <w:b/>
          <w:color w:val="auto"/>
          <w:sz w:val="21"/>
          <w:szCs w:val="21"/>
          <w:highlight w:val="none"/>
          <w:u w:val="single"/>
        </w:rPr>
      </w:pPr>
      <w:r>
        <w:rPr>
          <w:rFonts w:hint="eastAsia" w:hAnsi="宋体" w:cs="宋体"/>
          <w:b/>
          <w:color w:val="auto"/>
          <w:sz w:val="21"/>
          <w:szCs w:val="21"/>
          <w:highlight w:val="none"/>
        </w:rPr>
        <w:t>3</w:t>
      </w:r>
      <w:r>
        <w:rPr>
          <w:rFonts w:hint="eastAsia" w:hAnsi="宋体" w:cs="宋体"/>
          <w:b/>
          <w:color w:val="auto"/>
          <w:sz w:val="21"/>
          <w:szCs w:val="21"/>
          <w:highlight w:val="none"/>
          <w:u w:val="single"/>
        </w:rPr>
        <w:t>.5.1</w:t>
      </w:r>
      <w:r>
        <w:rPr>
          <w:rFonts w:hint="eastAsia" w:hAnsi="宋体" w:cs="宋体"/>
          <w:b/>
          <w:color w:val="auto"/>
          <w:sz w:val="21"/>
          <w:szCs w:val="21"/>
          <w:highlight w:val="none"/>
          <w:u w:val="single"/>
          <w:lang w:eastAsia="zh-CN"/>
        </w:rPr>
        <w:t>《</w:t>
      </w:r>
      <w:r>
        <w:rPr>
          <w:rFonts w:hint="eastAsia" w:hAnsi="宋体" w:cs="宋体"/>
          <w:b/>
          <w:color w:val="auto"/>
          <w:sz w:val="21"/>
          <w:szCs w:val="21"/>
          <w:highlight w:val="none"/>
          <w:u w:val="single"/>
          <w:lang w:val="en-US" w:eastAsia="zh-CN"/>
        </w:rPr>
        <w:t>《浙江省建设工程计价规则》（2018版）</w:t>
      </w:r>
      <w:r>
        <w:rPr>
          <w:rFonts w:hint="eastAsia" w:hAnsi="宋体" w:cs="宋体"/>
          <w:b/>
          <w:color w:val="auto"/>
          <w:sz w:val="21"/>
          <w:szCs w:val="21"/>
          <w:highlight w:val="none"/>
          <w:u w:val="single"/>
          <w:lang w:eastAsia="zh-CN"/>
        </w:rPr>
        <w:t>》、</w:t>
      </w:r>
      <w:r>
        <w:rPr>
          <w:rFonts w:hint="eastAsia" w:hAnsi="宋体" w:cs="宋体"/>
          <w:b/>
          <w:color w:val="auto"/>
          <w:sz w:val="21"/>
          <w:szCs w:val="21"/>
          <w:highlight w:val="none"/>
          <w:u w:val="single"/>
        </w:rPr>
        <w:t>《浙江省房屋建筑与装饰工程预算定额》（2018版）、《浙江省通用安装工程预算定额》（2018版）、《浙江省市政工程预算定额》（2018版）、《浙江省园林绿化及仿古建筑工程预算定额》（2018版）、《浙江省建设工程施工机械台班费用定额》（2018版）、《浙江省建筑安装材料基期价格》(2018版)。</w:t>
      </w:r>
    </w:p>
    <w:p>
      <w:pPr>
        <w:pStyle w:val="36"/>
        <w:snapToGrid w:val="0"/>
        <w:spacing w:line="360" w:lineRule="auto"/>
        <w:ind w:firstLine="517" w:firstLineChars="245"/>
        <w:outlineLvl w:val="0"/>
        <w:rPr>
          <w:rFonts w:hint="eastAsia" w:hAnsi="宋体" w:cs="宋体"/>
          <w:b/>
          <w:color w:val="auto"/>
          <w:sz w:val="21"/>
          <w:szCs w:val="21"/>
          <w:highlight w:val="none"/>
        </w:rPr>
      </w:pPr>
      <w:r>
        <w:rPr>
          <w:rFonts w:hint="eastAsia" w:hAnsi="宋体" w:cs="宋体"/>
          <w:b/>
          <w:color w:val="auto"/>
          <w:sz w:val="21"/>
          <w:szCs w:val="21"/>
          <w:highlight w:val="none"/>
        </w:rPr>
        <w:t>3.5.2工程量有施工图纸的按施工图纸计算，无施工图纸的由施工单位出施工图并经业主审核后按施工图纸计算，不能出施工图纸的按现场实际测量或经业主签证的其他方式计算工程量</w:t>
      </w:r>
    </w:p>
    <w:p>
      <w:pPr>
        <w:pStyle w:val="36"/>
        <w:snapToGrid w:val="0"/>
        <w:spacing w:line="360" w:lineRule="auto"/>
        <w:ind w:firstLine="517" w:firstLineChars="245"/>
        <w:outlineLvl w:val="0"/>
        <w:rPr>
          <w:rFonts w:hint="eastAsia" w:hAnsi="宋体" w:cs="宋体"/>
          <w:b/>
          <w:color w:val="auto"/>
          <w:sz w:val="21"/>
          <w:szCs w:val="21"/>
          <w:highlight w:val="none"/>
          <w:u w:val="single"/>
        </w:rPr>
      </w:pPr>
      <w:r>
        <w:rPr>
          <w:rFonts w:hint="eastAsia" w:hAnsi="宋体" w:cs="宋体"/>
          <w:b/>
          <w:color w:val="auto"/>
          <w:sz w:val="21"/>
          <w:szCs w:val="21"/>
          <w:highlight w:val="none"/>
        </w:rPr>
        <w:t>3.5.3</w:t>
      </w:r>
      <w:r>
        <w:rPr>
          <w:rFonts w:hint="eastAsia" w:hAnsi="宋体" w:cs="宋体"/>
          <w:b/>
          <w:color w:val="auto"/>
          <w:sz w:val="21"/>
          <w:szCs w:val="21"/>
          <w:highlight w:val="none"/>
          <w:u w:val="single"/>
        </w:rPr>
        <w:t>定额人工单价、主材单价按施工当期（《浙江造价信息》、《杭州造价信息》）计取；无价材料或无计价依据的子项内容按经招标人签证的市场价为准。</w:t>
      </w:r>
    </w:p>
    <w:p>
      <w:pPr>
        <w:pStyle w:val="36"/>
        <w:snapToGrid w:val="0"/>
        <w:spacing w:line="360" w:lineRule="auto"/>
        <w:ind w:firstLine="517" w:firstLineChars="245"/>
        <w:outlineLvl w:val="0"/>
        <w:rPr>
          <w:rFonts w:hint="eastAsia" w:hAnsi="宋体" w:cs="宋体"/>
          <w:b/>
          <w:color w:val="auto"/>
          <w:sz w:val="21"/>
          <w:szCs w:val="21"/>
          <w:highlight w:val="none"/>
        </w:rPr>
      </w:pPr>
      <w:r>
        <w:rPr>
          <w:rFonts w:hint="eastAsia" w:hAnsi="宋体" w:cs="宋体"/>
          <w:b/>
          <w:color w:val="auto"/>
          <w:sz w:val="21"/>
          <w:szCs w:val="21"/>
          <w:highlight w:val="none"/>
        </w:rPr>
        <w:t>3.5.4单日人工工资仅用于纯人工维修费用结算（以甲方签证为准），技术工、普工均为含税单价，单价参照当月杭州造价信息执行价，1个工日为8小时，4小时以内为0.5个工日，超过4小时的为1个工日。</w:t>
      </w:r>
    </w:p>
    <w:p>
      <w:pPr>
        <w:pStyle w:val="36"/>
        <w:snapToGrid w:val="0"/>
        <w:spacing w:line="360" w:lineRule="auto"/>
        <w:ind w:firstLine="517" w:firstLineChars="245"/>
        <w:outlineLvl w:val="0"/>
        <w:rPr>
          <w:rFonts w:hint="eastAsia" w:hAnsi="宋体" w:cs="宋体"/>
          <w:b/>
          <w:color w:val="auto"/>
          <w:sz w:val="21"/>
          <w:szCs w:val="21"/>
          <w:highlight w:val="none"/>
        </w:rPr>
      </w:pPr>
      <w:r>
        <w:rPr>
          <w:rFonts w:hint="eastAsia" w:hAnsi="宋体" w:cs="宋体"/>
          <w:b/>
          <w:color w:val="auto"/>
          <w:sz w:val="21"/>
          <w:szCs w:val="21"/>
          <w:highlight w:val="none"/>
        </w:rPr>
        <w:t>3.5.5完工维修项目结算按计价规则*折扣结算，单日人工工资仅用于纯人工维修、搬运签证项目费用结算。投标人如提供虚假材料的，将承担相应的法律责任。</w:t>
      </w:r>
    </w:p>
    <w:p>
      <w:pPr>
        <w:pStyle w:val="36"/>
        <w:snapToGrid w:val="0"/>
        <w:spacing w:line="360" w:lineRule="auto"/>
        <w:ind w:firstLine="517" w:firstLineChars="245"/>
        <w:outlineLvl w:val="0"/>
        <w:rPr>
          <w:rFonts w:hint="eastAsia" w:hAnsi="宋体" w:cs="宋体"/>
          <w:b/>
          <w:color w:val="auto"/>
          <w:sz w:val="21"/>
          <w:szCs w:val="21"/>
          <w:highlight w:val="none"/>
        </w:rPr>
      </w:pPr>
      <w:r>
        <w:rPr>
          <w:rFonts w:hint="eastAsia" w:hAnsi="宋体" w:cs="宋体"/>
          <w:b/>
          <w:color w:val="auto"/>
          <w:sz w:val="21"/>
          <w:szCs w:val="21"/>
          <w:highlight w:val="none"/>
        </w:rPr>
        <w:t>3.5.6所有工程量按实际计取，最终以审计单位的审计结果为准。</w:t>
      </w:r>
    </w:p>
    <w:p>
      <w:pPr>
        <w:pStyle w:val="36"/>
        <w:snapToGrid w:val="0"/>
        <w:spacing w:line="360" w:lineRule="auto"/>
        <w:outlineLvl w:val="0"/>
        <w:rPr>
          <w:rFonts w:hint="eastAsia" w:hAnsi="宋体" w:cs="宋体"/>
          <w:b/>
          <w:color w:val="auto"/>
          <w:sz w:val="21"/>
          <w:szCs w:val="21"/>
          <w:highlight w:val="none"/>
        </w:rPr>
      </w:pPr>
      <w:r>
        <w:rPr>
          <w:rFonts w:hint="eastAsia" w:hAnsi="宋体" w:cs="宋体"/>
          <w:b/>
          <w:color w:val="auto"/>
          <w:sz w:val="21"/>
          <w:szCs w:val="21"/>
          <w:highlight w:val="none"/>
        </w:rPr>
        <w:t>3.6材料单价：</w:t>
      </w:r>
    </w:p>
    <w:p>
      <w:pPr>
        <w:pStyle w:val="36"/>
        <w:snapToGrid w:val="0"/>
        <w:spacing w:line="360" w:lineRule="auto"/>
        <w:ind w:firstLine="422" w:firstLineChars="200"/>
        <w:outlineLvl w:val="0"/>
        <w:rPr>
          <w:rFonts w:hint="eastAsia" w:hAnsi="宋体" w:cs="宋体"/>
          <w:b/>
          <w:color w:val="auto"/>
          <w:sz w:val="21"/>
          <w:szCs w:val="21"/>
          <w:highlight w:val="none"/>
        </w:rPr>
      </w:pPr>
      <w:r>
        <w:rPr>
          <w:rFonts w:hint="eastAsia" w:hAnsi="宋体" w:cs="宋体"/>
          <w:b/>
          <w:color w:val="auto"/>
          <w:sz w:val="21"/>
          <w:szCs w:val="21"/>
          <w:highlight w:val="none"/>
        </w:rPr>
        <w:t>3.6材料单价：①有信息价格的主要材料在采购前须经过建设单位确认后（包括材料品牌、规格、颜色、材质等）方可采购，有信息价格的材料价格按工程开工当月（包括开工日当月）至竣工月份（包括验收日当月）期间的《杭州造价信息》（正刊）中杭州地区价格的算术平均值与预算编制时期的材料价格进行补差，差价只计取税金。材料费纳入总价下浮。</w:t>
      </w:r>
    </w:p>
    <w:p>
      <w:pPr>
        <w:pStyle w:val="36"/>
        <w:snapToGrid w:val="0"/>
        <w:spacing w:line="360" w:lineRule="auto"/>
        <w:ind w:firstLine="413" w:firstLineChars="196"/>
        <w:outlineLvl w:val="0"/>
        <w:rPr>
          <w:rFonts w:hint="eastAsia" w:hAnsi="宋体" w:cs="宋体"/>
          <w:b/>
          <w:color w:val="auto"/>
          <w:sz w:val="21"/>
          <w:szCs w:val="21"/>
          <w:highlight w:val="none"/>
        </w:rPr>
      </w:pPr>
      <w:r>
        <w:rPr>
          <w:rFonts w:hint="eastAsia" w:hAnsi="宋体" w:cs="宋体"/>
          <w:b/>
          <w:color w:val="auto"/>
          <w:sz w:val="21"/>
          <w:szCs w:val="21"/>
          <w:highlight w:val="none"/>
        </w:rPr>
        <w:t>②无信息价格的材料价格在采购前必须经过建设单位确认后（包括材料品牌、规格、颜色、材质等）方可采购，材料价格由建设单位根据市场实际在采购前予以审计签证确认，并以签证价格进入结算，只计税金，不计其他任何费用，签证价格纳入结算总价下浮；</w:t>
      </w:r>
    </w:p>
    <w:p>
      <w:pPr>
        <w:pStyle w:val="36"/>
        <w:snapToGrid w:val="0"/>
        <w:spacing w:line="360" w:lineRule="auto"/>
        <w:ind w:firstLine="413" w:firstLineChars="196"/>
        <w:outlineLvl w:val="0"/>
        <w:rPr>
          <w:rFonts w:hint="eastAsia" w:hAnsi="宋体" w:cs="宋体"/>
          <w:b/>
          <w:color w:val="auto"/>
          <w:sz w:val="21"/>
          <w:szCs w:val="21"/>
          <w:highlight w:val="none"/>
        </w:rPr>
      </w:pPr>
      <w:r>
        <w:rPr>
          <w:rFonts w:hint="eastAsia" w:hAnsi="宋体" w:cs="宋体"/>
          <w:b/>
          <w:color w:val="auto"/>
          <w:sz w:val="21"/>
          <w:szCs w:val="21"/>
          <w:highlight w:val="none"/>
        </w:rPr>
        <w:t>③甲供设备不计主材价，中标人在结算时只计设备的采保费、二次搬运费（供应商需另行注明费率，最高不超过1%）。</w:t>
      </w:r>
    </w:p>
    <w:p>
      <w:pPr>
        <w:pStyle w:val="36"/>
        <w:snapToGrid w:val="0"/>
        <w:spacing w:line="360" w:lineRule="auto"/>
        <w:ind w:firstLine="422" w:firstLineChars="200"/>
        <w:outlineLvl w:val="0"/>
        <w:rPr>
          <w:rFonts w:hAnsi="宋体"/>
          <w:b/>
          <w:color w:val="auto"/>
          <w:szCs w:val="21"/>
          <w:highlight w:val="none"/>
        </w:rPr>
      </w:pPr>
      <w:r>
        <w:rPr>
          <w:rFonts w:hAnsi="宋体"/>
          <w:b/>
          <w:color w:val="auto"/>
          <w:szCs w:val="21"/>
          <w:highlight w:val="none"/>
        </w:rPr>
        <w:t>▲</w:t>
      </w:r>
      <w:r>
        <w:rPr>
          <w:rFonts w:hint="eastAsia" w:hAnsi="宋体"/>
          <w:b/>
          <w:color w:val="auto"/>
          <w:szCs w:val="21"/>
          <w:highlight w:val="none"/>
        </w:rPr>
        <w:t>3.7施工用主材，每个项目施工前须提交给采购人主要材料品牌（至少三个</w:t>
      </w:r>
      <w:r>
        <w:rPr>
          <w:rFonts w:hint="eastAsia" w:hAnsi="宋体"/>
          <w:b/>
          <w:color w:val="auto"/>
          <w:szCs w:val="21"/>
          <w:highlight w:val="none"/>
          <w:lang w:eastAsia="zh-CN"/>
        </w:rPr>
        <w:t>，</w:t>
      </w:r>
      <w:r>
        <w:rPr>
          <w:rFonts w:hint="eastAsia" w:hAnsi="宋体"/>
          <w:b/>
          <w:color w:val="auto"/>
          <w:szCs w:val="21"/>
          <w:highlight w:val="none"/>
          <w:lang w:val="en-US" w:eastAsia="zh-CN"/>
        </w:rPr>
        <w:t>其中需包含乙方响应文件中选择的品牌</w:t>
      </w:r>
      <w:r>
        <w:rPr>
          <w:rFonts w:hint="eastAsia" w:hAnsi="宋体"/>
          <w:b/>
          <w:color w:val="auto"/>
          <w:szCs w:val="21"/>
          <w:highlight w:val="none"/>
        </w:rPr>
        <w:t>）供采购人选择，没有得到采购人书面同意，不得随意更改，如未及时提供主材品牌将由采购人指定，成交供应商不得存在异议，否则将承担相应违约责任。</w:t>
      </w:r>
    </w:p>
    <w:p>
      <w:pPr>
        <w:pStyle w:val="36"/>
        <w:snapToGrid w:val="0"/>
        <w:spacing w:line="360" w:lineRule="auto"/>
        <w:ind w:firstLine="422" w:firstLineChars="200"/>
        <w:outlineLvl w:val="0"/>
        <w:rPr>
          <w:rFonts w:hint="eastAsia" w:hAnsi="宋体" w:cs="宋体"/>
          <w:b/>
          <w:color w:val="auto"/>
          <w:sz w:val="21"/>
          <w:szCs w:val="21"/>
          <w:highlight w:val="none"/>
        </w:rPr>
      </w:pPr>
      <w:r>
        <w:rPr>
          <w:rFonts w:hint="eastAsia" w:hAnsi="宋体" w:cs="宋体"/>
          <w:b/>
          <w:color w:val="auto"/>
          <w:sz w:val="21"/>
          <w:szCs w:val="21"/>
          <w:highlight w:val="none"/>
        </w:rPr>
        <w:t>3.8 需招标人确认并能调整结算的资料，包括：工程联系单（招标人出具的）、设计变更联系单（招标人提出变更的）、材料价格确认单（招标人要求调换材料或品牌的）、图纸会审纪要，未经招标人确认均不得作为调整结算的依据。</w:t>
      </w:r>
    </w:p>
    <w:p>
      <w:pPr>
        <w:pStyle w:val="36"/>
        <w:snapToGrid w:val="0"/>
        <w:spacing w:line="360" w:lineRule="auto"/>
        <w:ind w:firstLine="422" w:firstLineChars="200"/>
        <w:outlineLvl w:val="0"/>
        <w:rPr>
          <w:rFonts w:hint="eastAsia" w:hAnsi="宋体" w:cs="宋体"/>
          <w:b/>
          <w:color w:val="auto"/>
          <w:sz w:val="21"/>
          <w:szCs w:val="21"/>
          <w:highlight w:val="none"/>
        </w:rPr>
      </w:pPr>
      <w:r>
        <w:rPr>
          <w:rFonts w:hint="eastAsia" w:hAnsi="宋体" w:cs="宋体"/>
          <w:b/>
          <w:color w:val="auto"/>
          <w:sz w:val="21"/>
          <w:szCs w:val="21"/>
          <w:highlight w:val="none"/>
        </w:rPr>
        <w:t>3.8工程结算价</w:t>
      </w:r>
    </w:p>
    <w:p>
      <w:pPr>
        <w:pStyle w:val="36"/>
        <w:snapToGrid w:val="0"/>
        <w:spacing w:line="360" w:lineRule="auto"/>
        <w:outlineLvl w:val="0"/>
        <w:rPr>
          <w:rFonts w:hint="eastAsia" w:hAnsi="宋体" w:cs="宋体"/>
          <w:b/>
          <w:color w:val="auto"/>
          <w:sz w:val="21"/>
          <w:szCs w:val="21"/>
          <w:highlight w:val="none"/>
        </w:rPr>
      </w:pPr>
      <w:r>
        <w:rPr>
          <w:rFonts w:hint="eastAsia" w:hAnsi="宋体" w:cs="宋体"/>
          <w:b/>
          <w:color w:val="auto"/>
          <w:sz w:val="21"/>
          <w:szCs w:val="21"/>
          <w:highlight w:val="none"/>
        </w:rPr>
        <w:t xml:space="preserve">     取费依据：</w:t>
      </w:r>
      <w:r>
        <w:rPr>
          <w:rFonts w:hint="eastAsia" w:hAnsi="宋体" w:cs="宋体"/>
          <w:b/>
          <w:color w:val="auto"/>
          <w:sz w:val="21"/>
          <w:szCs w:val="21"/>
          <w:highlight w:val="none"/>
          <w:u w:val="single"/>
        </w:rPr>
        <w:t>《浙江省建设工程计价规则》（2018版）</w:t>
      </w:r>
    </w:p>
    <w:p>
      <w:pPr>
        <w:pStyle w:val="36"/>
        <w:snapToGrid w:val="0"/>
        <w:spacing w:line="360" w:lineRule="auto"/>
        <w:ind w:firstLine="422" w:firstLineChars="200"/>
        <w:outlineLvl w:val="0"/>
        <w:rPr>
          <w:rFonts w:hint="eastAsia" w:hAnsi="宋体" w:cs="宋体"/>
          <w:b/>
          <w:color w:val="auto"/>
          <w:sz w:val="21"/>
          <w:szCs w:val="21"/>
          <w:highlight w:val="none"/>
        </w:rPr>
      </w:pPr>
      <w:r>
        <w:rPr>
          <w:rFonts w:hint="eastAsia" w:hAnsi="宋体" w:cs="宋体"/>
          <w:b/>
          <w:color w:val="auto"/>
          <w:sz w:val="21"/>
          <w:szCs w:val="21"/>
          <w:highlight w:val="none"/>
        </w:rPr>
        <w:t>（1）企业管理费、利润、施工组织措施费（按照实际发生内容）费率根据项目专业类别，按照一般计税费率中值计取。</w:t>
      </w:r>
    </w:p>
    <w:p>
      <w:pPr>
        <w:pStyle w:val="36"/>
        <w:snapToGrid w:val="0"/>
        <w:spacing w:line="360" w:lineRule="auto"/>
        <w:ind w:firstLine="422" w:firstLineChars="200"/>
        <w:outlineLvl w:val="0"/>
        <w:rPr>
          <w:rFonts w:hint="eastAsia" w:hAnsi="宋体" w:cs="宋体"/>
          <w:b/>
          <w:color w:val="auto"/>
          <w:sz w:val="21"/>
          <w:szCs w:val="21"/>
          <w:highlight w:val="none"/>
        </w:rPr>
      </w:pPr>
      <w:r>
        <w:rPr>
          <w:rFonts w:hint="eastAsia" w:hAnsi="宋体" w:cs="宋体"/>
          <w:b/>
          <w:color w:val="auto"/>
          <w:sz w:val="21"/>
          <w:szCs w:val="21"/>
          <w:highlight w:val="none"/>
        </w:rPr>
        <w:t>（2）其他项目费（根据项目实际发生时计取）费用按照相应专业类别费率计取。</w:t>
      </w:r>
    </w:p>
    <w:p>
      <w:pPr>
        <w:pStyle w:val="36"/>
        <w:snapToGrid w:val="0"/>
        <w:spacing w:line="360" w:lineRule="auto"/>
        <w:ind w:firstLine="422" w:firstLineChars="200"/>
        <w:outlineLvl w:val="0"/>
        <w:rPr>
          <w:rFonts w:hint="eastAsia" w:hAnsi="宋体" w:cs="宋体"/>
          <w:b/>
          <w:color w:val="auto"/>
          <w:sz w:val="21"/>
          <w:szCs w:val="21"/>
          <w:highlight w:val="none"/>
        </w:rPr>
      </w:pPr>
      <w:r>
        <w:rPr>
          <w:rFonts w:hint="eastAsia" w:hAnsi="宋体" w:cs="宋体"/>
          <w:b/>
          <w:color w:val="auto"/>
          <w:sz w:val="21"/>
          <w:szCs w:val="21"/>
          <w:highlight w:val="none"/>
        </w:rPr>
        <w:t>（3）规费按照各专业类别按照一般计税费率计取。</w:t>
      </w:r>
    </w:p>
    <w:p>
      <w:pPr>
        <w:pStyle w:val="36"/>
        <w:snapToGrid w:val="0"/>
        <w:spacing w:line="360" w:lineRule="auto"/>
        <w:ind w:firstLine="422" w:firstLineChars="200"/>
        <w:outlineLvl w:val="0"/>
        <w:rPr>
          <w:rFonts w:hint="eastAsia" w:hAnsi="宋体" w:cs="宋体"/>
          <w:b/>
          <w:color w:val="auto"/>
          <w:sz w:val="21"/>
          <w:szCs w:val="21"/>
          <w:highlight w:val="none"/>
        </w:rPr>
      </w:pPr>
      <w:r>
        <w:rPr>
          <w:rFonts w:hint="eastAsia" w:hAnsi="宋体" w:cs="宋体"/>
          <w:b/>
          <w:color w:val="auto"/>
          <w:sz w:val="21"/>
          <w:szCs w:val="21"/>
          <w:highlight w:val="none"/>
        </w:rPr>
        <w:t>（4）税金按照一般计税方法计取。</w:t>
      </w:r>
    </w:p>
    <w:p>
      <w:pPr>
        <w:pStyle w:val="36"/>
        <w:snapToGrid w:val="0"/>
        <w:spacing w:line="360" w:lineRule="auto"/>
        <w:ind w:firstLine="422" w:firstLineChars="200"/>
        <w:outlineLvl w:val="0"/>
        <w:rPr>
          <w:rFonts w:hint="eastAsia" w:hAnsi="宋体" w:cs="宋体"/>
          <w:b/>
          <w:color w:val="auto"/>
          <w:sz w:val="21"/>
          <w:szCs w:val="21"/>
          <w:highlight w:val="none"/>
        </w:rPr>
      </w:pPr>
      <w:r>
        <w:rPr>
          <w:rFonts w:hint="eastAsia" w:hAnsi="宋体" w:cs="宋体"/>
          <w:b/>
          <w:color w:val="auto"/>
          <w:sz w:val="21"/>
          <w:szCs w:val="21"/>
          <w:highlight w:val="none"/>
        </w:rPr>
        <w:t>（6）若相关政策调整，则相应调整。</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3.9工程质量</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3.9.1乙方应设置质量检查机构，配备专职的质量检查人员，建立完善的质量保证体系、检查制度和登记制度。</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3.9.2乙方必须严格按照施工图纸、设计说明和双方确认的施工组织设计及国家现行的规范、规程和建安工程质量检验评定统一标准等有关规定，精心组织施工，对施工过程中的全部数据必须如实记录，并及时整理递交招标人的项目管理部门，严格把好每道工序的质量关。保证工程质量符合《建筑工程施工质量验收统一标准》（GB50300）。</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3.9.3甲方的项目管理部门代表甲方对工程的现场管理、施工质量和进度进行监督、检查和管理。</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3.9.4乙方在施工过程中如发现设计、设备、材料、施工等质量问题应及时通知甲方的项目管理部门。其处理方法必须经甲方认可。</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3.9.5甲方代表如发现施工质量不符合要求者，有权通知乙方进行整改、停止施工或返工，乙方必须接受。且由此发生的费用和工期损失均由乙方承担。</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3.9.6甲方有权对工程所有部位以及任何工艺、设备和材料进行检查和检验。乙方应为甲方的工作提供一切方便并提供必要的数据。</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3.9.7甲方工程师的检查和检验不解除乙方按合同规定应负的责任。</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3.10施工进度</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3.10.1以甲方的项目管理部门要求的时间为准，实际工期以开工日至工程验收合格签证日扣除非乙方原因等待验收时间加乙方整改修补的时间为准。</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3.10.2实施过程需要配合</w:t>
      </w:r>
      <w:r>
        <w:rPr>
          <w:rFonts w:hint="eastAsia" w:ascii="宋体" w:hAnsi="宋体" w:cs="宋体"/>
          <w:color w:val="auto"/>
          <w:szCs w:val="21"/>
          <w:highlight w:val="none"/>
          <w:lang w:eastAsia="zh-CN"/>
        </w:rPr>
        <w:t>医院</w:t>
      </w:r>
      <w:r>
        <w:rPr>
          <w:rFonts w:hint="eastAsia" w:ascii="宋体" w:hAnsi="宋体" w:cs="宋体"/>
          <w:color w:val="auto"/>
          <w:szCs w:val="21"/>
          <w:highlight w:val="none"/>
        </w:rPr>
        <w:t>要求间断施工、夜间施工等均须考虑在各项工作的进度计划内。</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3.10.3乙方应严格按照经甲方核准的施工网络计划和节点要求进行施工，并按甲方的要求随时进行调整。</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3.10.4如因乙方管理不力、计划不周、投入不足造成工期延误的，均由乙方负责。</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3.10.5如施工进度不能满足合同及甲方的要求，甲方有权视实际情况做出减少承包范围直至要求撤场的处理。</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3.10.6合同工期如遇下列情况，经双方在七天内协商签证（不能过后补签）可作相应顺延。</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（1）重大设计变更增加工程量而影响施工进度的</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（2）因甲方提供的施工图纸资料、设备、材料未能及时供应到位，而影响施工进度的</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（3）因甲方未按约定的期限支付工程款，而使工程不能正常进行的</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（4）不可抗力因素。</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3.11设备、材料供应</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3.11.1本工程除甲供设备外，所用的材料由乙方负责采购。</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3.11.2甲乙双方采购供应的设备和材料均需附产品安装使用说明书、合格证、质保书、试验报告等必要资料，经双方检验、确认后，方可使用。任何一方对材料的质量有疑问时，有权要求复验。如复验合格，其复验费用由提出复验方负责。如复验不合格，复验费用以及相应的经济损失由材料采购供应方承担。</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3.11.3部分由甲方供应的设备，可能委托乙方催交、运输、验收、保管，乙方必须接受，其费用按有关规定另行商定。乙方必须在设备进场时认真核验，如因乙方未认真核验而导致不合格甲供设备用于工程（设备本体原因除外），因此而引起的一切后果由乙方承担。</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3.12 设计变更</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3.12.1甲方发出的设计变更联系单，属合同的内容。乙方必须接受并实施。</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3.12.2乙方在施工过程中如发现图纸上的错误或不合理的情况，必须及时通知甲方，并按照甲方认可签字的设计变更联系单进行施工。乙方不得擅自修改设计图纸。</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3.12.3由于设计变更影响工程承包造价的，按3.5条3.5.2款办理。</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3.12.4如为施工方便而提出要求改变设计的，必须征得甲方同意，其增加费用，甲方不予支付。</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3.13.安全文明施工</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3.13.1乙方应遵守工程建设安全文明施工的有关规定。认真落实各项安全保护措施，并随时接受甲方及有关部门的监督检查。</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3.13.2乙方应对进入施工现场的施工人员进行安全文明施工教育，配备必要的劳动保护用具，保证工程的施工安全和人身安全。</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3.13.3乙方应注意保护施工现场邻近建筑物、交通和附近居民的安全，防止因施工不当使附近居民的人生或财产遭受损失。</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3.13.4如由于乙方安全措施不力造成事故的责任和由此发生的费用，由乙方承担。</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3.14 环境保护</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3.14.1甲乙双方在施工过程中应遵守国家有关环境保护的法律、法规。采取有效措施，保护好施工现场和周边地区的环境。</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3.14.2乙方对施工和生活所产生的各种生产、生活垃圾和废弃物应进行妥善处置，防止对环境造成污染，并严格控制施工噪音。</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3.14.3如乙方措施不力而造成环境破坏或人员、财产损失的，应承担全部责任。</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3.15 工程款支付与结算</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3.15.1工程备料款和进度款的支付情况如下：</w:t>
      </w:r>
    </w:p>
    <w:p>
      <w:pPr>
        <w:spacing w:line="360" w:lineRule="auto"/>
        <w:ind w:firstLine="480"/>
        <w:rPr>
          <w:rFonts w:hint="eastAsia" w:hAnsi="宋体" w:cs="宋体"/>
          <w:b/>
          <w:bCs/>
          <w:color w:val="auto"/>
          <w:szCs w:val="21"/>
          <w:highlight w:val="none"/>
        </w:rPr>
      </w:pPr>
      <w:r>
        <w:rPr>
          <w:rFonts w:hint="eastAsia" w:hAnsi="宋体" w:cs="宋体"/>
          <w:b/>
          <w:bCs/>
          <w:color w:val="auto"/>
          <w:szCs w:val="21"/>
          <w:highlight w:val="none"/>
        </w:rPr>
        <w:t>付款方式：</w:t>
      </w:r>
    </w:p>
    <w:p>
      <w:pPr>
        <w:spacing w:line="360" w:lineRule="auto"/>
        <w:ind w:firstLine="480"/>
        <w:rPr>
          <w:rFonts w:hint="eastAsia" w:hAnsi="宋体" w:cs="宋体"/>
          <w:b/>
          <w:bCs/>
          <w:color w:val="auto"/>
          <w:szCs w:val="21"/>
          <w:highlight w:val="none"/>
          <w:lang w:val="en-US" w:eastAsia="zh-CN"/>
        </w:rPr>
      </w:pPr>
      <w:r>
        <w:rPr>
          <w:rFonts w:hint="eastAsia" w:hAnsi="宋体" w:cs="宋体"/>
          <w:b/>
          <w:bCs/>
          <w:color w:val="auto"/>
          <w:szCs w:val="21"/>
          <w:highlight w:val="none"/>
          <w:lang w:val="en-US" w:eastAsia="zh-CN"/>
        </w:rPr>
        <w:t>原则上每</w:t>
      </w:r>
      <w:r>
        <w:rPr>
          <w:rFonts w:hint="default" w:hAnsi="宋体" w:cs="宋体"/>
          <w:b/>
          <w:bCs/>
          <w:color w:val="auto"/>
          <w:szCs w:val="21"/>
          <w:highlight w:val="none"/>
          <w:lang w:eastAsia="zh-CN"/>
        </w:rPr>
        <w:t>季度</w:t>
      </w:r>
      <w:r>
        <w:rPr>
          <w:rFonts w:hint="eastAsia" w:hAnsi="宋体" w:cs="宋体"/>
          <w:b/>
          <w:bCs/>
          <w:color w:val="auto"/>
          <w:szCs w:val="21"/>
          <w:highlight w:val="none"/>
          <w:lang w:val="en-US" w:eastAsia="zh-CN"/>
        </w:rPr>
        <w:t>结算一次，每个单项的结算造价以审计部门的最终审计结果为准（扣除水电费后，水电费以审计金额的千分之二</w:t>
      </w:r>
      <w:r>
        <w:rPr>
          <w:rFonts w:hint="eastAsia" w:hAnsi="宋体" w:cs="宋体"/>
          <w:b/>
          <w:bCs/>
          <w:color w:val="auto"/>
          <w:szCs w:val="21"/>
          <w:highlight w:val="none"/>
          <w:lang w:eastAsia="zh-CN"/>
        </w:rPr>
        <w:t>计取）。</w:t>
      </w:r>
    </w:p>
    <w:p>
      <w:pPr>
        <w:spacing w:line="360" w:lineRule="auto"/>
        <w:ind w:firstLine="480"/>
        <w:rPr>
          <w:rFonts w:hint="eastAsia" w:hAnsi="宋体" w:cs="宋体"/>
          <w:b/>
          <w:bCs/>
          <w:color w:val="auto"/>
          <w:szCs w:val="21"/>
          <w:highlight w:val="none"/>
          <w:lang w:val="en-US" w:eastAsia="zh-CN"/>
        </w:rPr>
      </w:pPr>
      <w:r>
        <w:rPr>
          <w:rFonts w:hint="eastAsia" w:hAnsi="宋体" w:cs="宋体"/>
          <w:b/>
          <w:bCs/>
          <w:color w:val="auto"/>
          <w:szCs w:val="21"/>
          <w:highlight w:val="none"/>
          <w:lang w:val="en-US" w:eastAsia="zh-CN"/>
        </w:rPr>
        <w:t>单个零星维修金额10万元及以上的项目在开工通知发出后7个工作日内支付该合同金额40%的预付款，项目完结后工程款随结算周期一并结算。若中标单位放弃40%的预付款，则在单项竣工并提交结算资料后支付40%的进度款。</w:t>
      </w:r>
    </w:p>
    <w:p>
      <w:pPr>
        <w:spacing w:line="360" w:lineRule="auto"/>
        <w:ind w:firstLine="480"/>
        <w:rPr>
          <w:rFonts w:hint="eastAsia" w:ascii="宋体" w:hAnsi="宋体" w:cs="宋体"/>
          <w:b/>
          <w:bCs/>
          <w:color w:val="auto"/>
          <w:szCs w:val="21"/>
          <w:highlight w:val="none"/>
        </w:rPr>
      </w:pPr>
      <w:r>
        <w:rPr>
          <w:rFonts w:hint="eastAsia" w:hAnsi="宋体" w:cs="宋体"/>
          <w:b/>
          <w:bCs/>
          <w:color w:val="auto"/>
          <w:szCs w:val="21"/>
          <w:highlight w:val="none"/>
          <w:lang w:val="en-US" w:eastAsia="zh-CN"/>
        </w:rPr>
        <w:t>单个零星维修金额10万元以下的项目，工程款随结算周期一并结算。</w:t>
      </w:r>
    </w:p>
    <w:p>
      <w:pPr>
        <w:spacing w:line="360" w:lineRule="auto"/>
        <w:ind w:firstLine="480"/>
        <w:rPr>
          <w:rFonts w:hint="eastAsia" w:ascii="宋体" w:hAnsi="宋体" w:cs="宋体"/>
          <w:b/>
          <w:bCs/>
          <w:color w:val="auto"/>
          <w:szCs w:val="21"/>
          <w:highlight w:val="none"/>
        </w:rPr>
      </w:pPr>
      <w:r>
        <w:rPr>
          <w:rFonts w:hint="eastAsia" w:ascii="宋体" w:hAnsi="宋体" w:cs="宋体"/>
          <w:b/>
          <w:bCs/>
          <w:color w:val="auto"/>
          <w:szCs w:val="21"/>
          <w:highlight w:val="none"/>
        </w:rPr>
        <w:t>以上支付款在规定时间内均不计利息。</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3.15.3施工水、电费按结算价的2‰在结算审计</w:t>
      </w:r>
      <w:r>
        <w:rPr>
          <w:rFonts w:hint="eastAsia" w:ascii="宋体" w:hAnsi="宋体" w:cs="宋体"/>
          <w:color w:val="auto"/>
          <w:szCs w:val="21"/>
          <w:highlight w:val="none"/>
          <w:lang w:eastAsia="zh-CN"/>
        </w:rPr>
        <w:t>结束后多退少补</w:t>
      </w:r>
      <w:r>
        <w:rPr>
          <w:rFonts w:hint="eastAsia" w:ascii="宋体" w:hAnsi="宋体" w:cs="宋体"/>
          <w:color w:val="auto"/>
          <w:szCs w:val="21"/>
          <w:highlight w:val="none"/>
        </w:rPr>
        <w:t>。</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3.15.4工程竣工后，甲方委托审计单位对工程结算款进行审计。并按审定的价格进行结算。工程结算第三方审计费按照相关规定执行</w:t>
      </w:r>
      <w:r>
        <w:rPr>
          <w:rFonts w:hint="eastAsia" w:ascii="宋体" w:hAnsi="宋体" w:cs="宋体"/>
          <w:color w:val="auto"/>
          <w:szCs w:val="21"/>
          <w:highlight w:val="none"/>
          <w:lang w:eastAsia="zh-CN"/>
        </w:rPr>
        <w:t>，基本审核费由甲方承担；核减追加费按核减超过送审造价5%的幅度以外的核减额为基数计取5%的费用，核增追加费按核增额的5%计算费用，核增额与核减额不作抵扣，核减、核增追加费由乙方承担，即核增减追加费=（核减额-送审造价*5%）*5%+核增额*5%。此费用由乙方在审核单位出具报告时支付。</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3.16 工程验收与保修</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3.16.1乙方应按照工程建设的有关规定，及时如实整理施工记录和技术资料，并由甲方进行检验和签证。</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3.16.2隐蔽工程在隐蔽前，乙方应填写隐蔽工程施工检查记录和验收单，并提前48小时通知甲方。甲方应及时组织验收，办妥验收签证后，才可进行下一道工序的施工。</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3.16.3主体工程或关键部位完工，应组织进行中间（中期）验收。</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3.16.4当全部合同工程完工，准备交工验收前，乙方应将由施工引起的垃圾、废料</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渣土（如有）</w:t>
      </w:r>
      <w:r>
        <w:rPr>
          <w:rFonts w:hint="eastAsia" w:ascii="宋体" w:hAnsi="宋体" w:cs="宋体"/>
          <w:color w:val="auto"/>
          <w:szCs w:val="21"/>
          <w:highlight w:val="none"/>
        </w:rPr>
        <w:t>或各种障碍物全部清除。按照甲方要求整理提交一套竣工资料。</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当具备交工验收条件时，乙方应提前十天提交工程交工验收报告，通知甲方组织验收。甲方自接到验收报告和上述主要竣工资料后十五天内，应组织有关部门对工程进行验收。</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在验收中，如发现有不合格工程，乙方应无条件进行整改或返工，直到验收合格方能签署验收证书。由于施工原因进行整改或返工所增加的费用和延误的工期由乙方负责。</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全部工程验收合格，自签署工程验收证书之日起_七_天内，乙方的人员、机具和材料必须全部退场，并按规定内容整理交齐全部竣工资料。</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3.16.5若拖延清场，按拖延工期处罚。竣工资料不齐者，不予办理工程结算。</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3.16.6本工程按国家建设工程质量保修的有关规定实施保修，装修工程保修期为二年，且至少二个使用周期。</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3.17 奖罚（按招标文件的承诺和要约签订）</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3.17.1实际工期比约定工期若每拖延一天，乙方按每天500元支付违约金。</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3.17.2工程质量等级不合格，经返工补修合格，由此引起的损失由乙方承担。</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3.17.3一方违约造成对方经济损失者应赔偿对方的直接经济损失。当乙方在其施工质量、工期明显不符合约定要求，甲方有权中止合同，由乙方承担违约责任，赔偿甲方全部损失，并在规定时间内清退出施工现场。</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3.17.4双方签订本合同时，乙方明确质量、工期、项目组成员到位率等的分配比率。有效期从合同订立时起直至达到质量目标。乙方违约造成合同中止，赔偿甲方全部经济损失。属执行国家政策、政府指令造成合同中止的，不支付违约金，但造成的经济损失由双方协商解决。</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3.17.5乙方严格遵守现场安全施工、消防、劳动保护等有关规定，发生安全事故一切责任自负。</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乙方负责办理现场施工人员在杭治安和计划生育等规定的各项手续。</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制作场地、施工人员住宿，膳食等均由乙方自理。</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严格遵守杭州市安全生产、文明施工规定，特别要做好消防工作，配备必要器材。</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3.17.6乙方项目班子成员必须按照招标人要求到岗。如果无法保证到岗时间，</w:t>
      </w:r>
      <w:r>
        <w:rPr>
          <w:rFonts w:hint="eastAsia" w:ascii="宋体" w:hAnsi="宋体" w:cs="宋体"/>
          <w:color w:val="auto"/>
          <w:szCs w:val="21"/>
          <w:highlight w:val="none"/>
          <w:lang w:val="en-US" w:eastAsia="zh-CN"/>
        </w:rPr>
        <w:t>现场负责人</w:t>
      </w:r>
      <w:r>
        <w:rPr>
          <w:rFonts w:hint="eastAsia" w:ascii="宋体" w:hAnsi="宋体" w:cs="宋体"/>
          <w:color w:val="auto"/>
          <w:szCs w:val="21"/>
          <w:highlight w:val="none"/>
        </w:rPr>
        <w:t>将处以每天2000元罚款。其他项目班子成员处以每天1000元罚款。</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3.17.7</w:t>
      </w:r>
      <w:r>
        <w:rPr>
          <w:rFonts w:ascii="宋体" w:hAnsi="宋体" w:eastAsia="宋体" w:cs="宋体"/>
          <w:sz w:val="22"/>
          <w:szCs w:val="22"/>
          <w:highlight w:val="none"/>
        </w:rPr>
        <w:t>医院管理部门下达维修通知后，如未及时到场维修或未在按采购人要求的时间内完成，则零星工程在项目最终审定后扣除审定金额5％处罚金；零星修缮等每发生一次由采购人在工程款中扣除1000元处罚金</w:t>
      </w:r>
      <w:r>
        <w:rPr>
          <w:rFonts w:hint="eastAsia" w:ascii="宋体" w:hAnsi="宋体" w:eastAsia="宋体" w:cs="宋体"/>
          <w:color w:val="auto"/>
          <w:sz w:val="20"/>
          <w:szCs w:val="20"/>
          <w:highlight w:val="none"/>
          <w:lang w:val="en-US" w:eastAsia="zh-CN"/>
        </w:rPr>
        <w:t>；</w:t>
      </w:r>
      <w:r>
        <w:rPr>
          <w:rFonts w:hint="eastAsia" w:ascii="宋体" w:hAnsi="宋体" w:eastAsia="宋体" w:cs="宋体"/>
          <w:color w:val="auto"/>
          <w:szCs w:val="21"/>
          <w:highlight w:val="none"/>
          <w:lang w:val="en-US" w:eastAsia="zh-CN"/>
        </w:rPr>
        <w:t>情节严重的，采购人可单方解除合同，并保留追究其</w:t>
      </w:r>
      <w:r>
        <w:rPr>
          <w:rFonts w:hint="eastAsia" w:ascii="宋体" w:hAnsi="宋体" w:eastAsia="宋体" w:cs="宋体"/>
          <w:color w:val="auto"/>
          <w:szCs w:val="21"/>
          <w:highlight w:val="none"/>
        </w:rPr>
        <w:t>承担法律责任的权力。</w:t>
      </w:r>
    </w:p>
    <w:p>
      <w:pPr>
        <w:spacing w:line="360" w:lineRule="auto"/>
        <w:ind w:firstLine="435"/>
        <w:jc w:val="left"/>
        <w:rPr>
          <w:rFonts w:hint="eastAsia" w:ascii="宋体" w:hAnsi="宋体" w:cs="宋体"/>
          <w:b/>
          <w:color w:val="auto"/>
          <w:szCs w:val="21"/>
          <w:highlight w:val="none"/>
          <w:u w:val="single"/>
        </w:rPr>
      </w:pPr>
      <w:r>
        <w:rPr>
          <w:rFonts w:hint="eastAsia" w:ascii="宋体" w:hAnsi="宋体" w:cs="宋体"/>
          <w:b/>
          <w:color w:val="auto"/>
          <w:szCs w:val="21"/>
          <w:highlight w:val="none"/>
          <w:u w:val="single"/>
        </w:rPr>
        <w:t>3.17.8</w:t>
      </w:r>
      <w:r>
        <w:rPr>
          <w:rFonts w:hint="eastAsia" w:ascii="宋体" w:hAnsi="宋体" w:cs="宋体"/>
          <w:color w:val="auto"/>
          <w:szCs w:val="21"/>
          <w:highlight w:val="none"/>
        </w:rPr>
        <w:t>乙方</w:t>
      </w:r>
      <w:r>
        <w:rPr>
          <w:rFonts w:hint="eastAsia" w:ascii="宋体" w:hAnsi="宋体" w:cs="宋体"/>
          <w:b/>
          <w:color w:val="auto"/>
          <w:szCs w:val="21"/>
          <w:highlight w:val="none"/>
          <w:u w:val="single"/>
        </w:rPr>
        <w:t>在合同履行期间，出现虚报工作量、材料假冒品牌以次充好、故意推延工期进度等现象，一经发现，甲方有权终止合同，并赔偿给甲方带来的损失。</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3.18 违约责任和争议</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3.18.1甲乙双方必须严格执行本合同的各项条款与规定，如不执行或执行不力给工程造成损失的，应承担相应的技术或经济责任。</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3.18.2任何一方未按合同履行义务，经双方协商未果，可要求有关主管部门调解。如其中一方不愿调解或调解不成时，可按下一种方式解决争议。</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第一种：双方达成仲裁协议，向约定的仲裁机构进行仲裁。</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第二种：向有管辖权的人民法院起诉。</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3.19合同生效与终止</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3.19.1本合同经双方加盖单位印章和法定代表人或其委托代理人签字（或盖章）后生效。</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3.19.2工程通过竣工验收，保修期满后失效。</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3.20组成合同文件的优先顺序</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3.20.1组成合同的各项文件应相互解释，互为说明。除合同另有规定外，其优先顺序如下。</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（1）合同补充协议书</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（2）合同协议书</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（3）中标通知书</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（4）询标纪要</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（5）投标文件及附件</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（6）专用合同条款</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（7）通用合同条款</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（8）技术标准</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（9）图纸</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（10）其它合同文件。</w:t>
      </w:r>
    </w:p>
    <w:p>
      <w:pPr>
        <w:spacing w:line="360" w:lineRule="auto"/>
        <w:ind w:left="480"/>
        <w:rPr>
          <w:rFonts w:hint="eastAsia" w:ascii="宋体" w:hAnsi="宋体" w:cs="宋体"/>
          <w:b/>
          <w:color w:val="auto"/>
          <w:szCs w:val="21"/>
          <w:highlight w:val="none"/>
        </w:rPr>
      </w:pPr>
      <w:r>
        <w:rPr>
          <w:rFonts w:hint="eastAsia" w:ascii="宋体" w:hAnsi="宋体" w:cs="宋体"/>
          <w:color w:val="auto"/>
          <w:szCs w:val="21"/>
          <w:highlight w:val="none"/>
        </w:rPr>
        <w:t>3.21</w:t>
      </w:r>
      <w:r>
        <w:rPr>
          <w:rFonts w:hint="eastAsia" w:ascii="宋体" w:hAnsi="宋体" w:cs="宋体"/>
          <w:b/>
          <w:color w:val="auto"/>
          <w:szCs w:val="21"/>
          <w:highlight w:val="none"/>
        </w:rPr>
        <w:t>其它</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3.21.1本合同未尽事亦双方应本着友好协商的精神，根据国家的有关法律、法规、规定和工程实际对合同条款进行补充或修改。</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3.21.2经补充或修改后的合同条款所形成的合同补充协议书是合同的组成部分，对甲乙双方具有约束力。</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3.21.3本合同一式_____份，其中正本两份，双方各执一份，副本_____份，双方各执______份。</w:t>
      </w:r>
    </w:p>
    <w:p>
      <w:pPr>
        <w:spacing w:line="360" w:lineRule="auto"/>
        <w:ind w:firstLine="480"/>
        <w:rPr>
          <w:rFonts w:hint="eastAsia"/>
          <w:color w:val="auto"/>
          <w:highlight w:val="none"/>
        </w:rPr>
      </w:pPr>
      <w:r>
        <w:rPr>
          <w:rFonts w:hint="eastAsia" w:ascii="宋体" w:hAnsi="宋体" w:cs="宋体"/>
          <w:color w:val="auto"/>
          <w:szCs w:val="21"/>
          <w:highlight w:val="none"/>
        </w:rPr>
        <w:t>3.21.4合同期限：     年    月   日至      年   月    日。</w:t>
      </w:r>
      <w:r>
        <w:rPr>
          <w:rFonts w:hint="eastAsia"/>
          <w:color w:val="auto"/>
          <w:highlight w:val="none"/>
        </w:rPr>
        <w:t>服务期满后如甲方下一个年度服务商未确定前，乙方需继续配合甲方，费用双方协商签订补充协议。</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3.21.5本合同签订地点：浙江杭州。</w:t>
      </w:r>
    </w:p>
    <w:p>
      <w:pPr>
        <w:spacing w:line="360" w:lineRule="auto"/>
        <w:ind w:left="480"/>
        <w:rPr>
          <w:rFonts w:hint="eastAsia" w:ascii="宋体" w:hAnsi="宋体" w:cs="宋体"/>
          <w:color w:val="auto"/>
          <w:szCs w:val="21"/>
          <w:highlight w:val="none"/>
        </w:rPr>
      </w:pP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甲方（盖章）：                        乙方（盖章）：</w:t>
      </w:r>
    </w:p>
    <w:p>
      <w:pPr>
        <w:spacing w:line="360" w:lineRule="auto"/>
        <w:ind w:left="480"/>
        <w:rPr>
          <w:rFonts w:hint="eastAsia" w:ascii="宋体" w:hAnsi="宋体" w:cs="宋体"/>
          <w:color w:val="auto"/>
          <w:szCs w:val="21"/>
          <w:highlight w:val="none"/>
        </w:rPr>
      </w:pPr>
      <w:r>
        <w:rPr>
          <w:rFonts w:hint="eastAsia" w:ascii="宋体" w:hAnsi="宋体" w:cs="宋体"/>
          <w:color w:val="auto"/>
          <w:szCs w:val="21"/>
          <w:highlight w:val="none"/>
        </w:rPr>
        <w:t>法定代表或委托代理人（签章）：        法定代表或委托代理人（签章）：</w:t>
      </w:r>
    </w:p>
    <w:p>
      <w:pPr>
        <w:spacing w:line="360" w:lineRule="auto"/>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单位地址：                          单位地址：</w:t>
      </w:r>
    </w:p>
    <w:p>
      <w:pPr>
        <w:spacing w:line="360" w:lineRule="auto"/>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开户银行：                          开户银行：</w:t>
      </w:r>
    </w:p>
    <w:p>
      <w:pPr>
        <w:spacing w:line="360" w:lineRule="auto"/>
        <w:ind w:firstLine="478" w:firstLineChars="228"/>
        <w:rPr>
          <w:rFonts w:hint="eastAsia" w:ascii="宋体" w:hAnsi="宋体" w:cs="宋体"/>
          <w:color w:val="auto"/>
          <w:szCs w:val="21"/>
          <w:highlight w:val="none"/>
        </w:rPr>
      </w:pPr>
      <w:r>
        <w:rPr>
          <w:rFonts w:hint="eastAsia" w:ascii="宋体" w:hAnsi="宋体" w:cs="宋体"/>
          <w:color w:val="auto"/>
          <w:szCs w:val="21"/>
          <w:highlight w:val="none"/>
        </w:rPr>
        <w:t>账号：                              账号：</w:t>
      </w:r>
    </w:p>
    <w:p>
      <w:pPr>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电话：                              电话：</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年    月    日                      年     月     日</w:t>
      </w:r>
    </w:p>
    <w:p>
      <w:pPr>
        <w:jc w:val="center"/>
        <w:rPr>
          <w:rFonts w:hint="eastAsia" w:ascii="宋体" w:hAnsi="宋体" w:cs="宋体"/>
          <w:b/>
          <w:color w:val="auto"/>
          <w:szCs w:val="21"/>
          <w:highlight w:val="none"/>
        </w:rPr>
      </w:pPr>
    </w:p>
    <w:p>
      <w:pPr>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签证方：</w:t>
      </w:r>
    </w:p>
    <w:p>
      <w:pPr>
        <w:rPr>
          <w:rFonts w:hint="eastAsia" w:ascii="宋体" w:hAnsi="宋体" w:cs="宋体"/>
          <w:color w:val="auto"/>
          <w:szCs w:val="21"/>
          <w:highlight w:val="none"/>
        </w:rPr>
      </w:pPr>
    </w:p>
    <w:p>
      <w:pPr>
        <w:spacing w:line="360" w:lineRule="auto"/>
        <w:ind w:firstLine="525" w:firstLineChars="250"/>
        <w:jc w:val="left"/>
        <w:rPr>
          <w:rFonts w:hint="eastAsia" w:ascii="宋体" w:hAnsi="宋体" w:cs="宋体"/>
          <w:color w:val="auto"/>
          <w:szCs w:val="21"/>
          <w:highlight w:val="none"/>
        </w:rPr>
      </w:pPr>
      <w:bookmarkStart w:id="426" w:name="_Toc249760790"/>
      <w:bookmarkStart w:id="427" w:name="_Toc251566661"/>
      <w:r>
        <w:rPr>
          <w:rFonts w:hint="eastAsia" w:ascii="宋体" w:hAnsi="宋体" w:cs="宋体"/>
          <w:color w:val="auto"/>
          <w:szCs w:val="21"/>
          <w:highlight w:val="none"/>
        </w:rPr>
        <w:t xml:space="preserve">日期： </w:t>
      </w:r>
      <w:bookmarkEnd w:id="426"/>
      <w:bookmarkEnd w:id="427"/>
    </w:p>
    <w:p>
      <w:pPr>
        <w:jc w:val="center"/>
        <w:rPr>
          <w:rFonts w:ascii="宋体" w:hAnsi="宋体"/>
          <w:b/>
          <w:color w:val="auto"/>
          <w:sz w:val="32"/>
          <w:highlight w:val="none"/>
        </w:rPr>
      </w:pPr>
      <w:r>
        <w:rPr>
          <w:rFonts w:ascii="宋体" w:hAnsi="宋体"/>
          <w:color w:val="auto"/>
          <w:szCs w:val="21"/>
          <w:highlight w:val="none"/>
        </w:rPr>
        <w:br w:type="page"/>
      </w:r>
      <w:r>
        <w:rPr>
          <w:rFonts w:hint="eastAsia" w:ascii="宋体" w:hAnsi="宋体"/>
          <w:b/>
          <w:color w:val="auto"/>
          <w:sz w:val="32"/>
          <w:highlight w:val="none"/>
        </w:rPr>
        <w:t>合同附件1：</w:t>
      </w:r>
      <w:r>
        <w:rPr>
          <w:rFonts w:ascii="宋体" w:hAnsi="宋体"/>
          <w:b/>
          <w:color w:val="auto"/>
          <w:sz w:val="32"/>
          <w:highlight w:val="none"/>
        </w:rPr>
        <w:t>工程质量保修书</w:t>
      </w:r>
    </w:p>
    <w:p>
      <w:pPr>
        <w:autoSpaceDE w:val="0"/>
        <w:autoSpaceDN w:val="0"/>
        <w:adjustRightInd w:val="0"/>
        <w:jc w:val="left"/>
        <w:rPr>
          <w:rFonts w:ascii="宋体" w:hAnsi="宋体"/>
          <w:color w:val="auto"/>
          <w:szCs w:val="21"/>
          <w:highlight w:val="none"/>
        </w:rPr>
      </w:pPr>
    </w:p>
    <w:p>
      <w:pPr>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发包人（全称）：</w:t>
      </w:r>
      <w:r>
        <w:rPr>
          <w:rFonts w:hint="eastAsia" w:ascii="宋体" w:hAnsi="宋体"/>
          <w:b/>
          <w:color w:val="auto"/>
          <w:szCs w:val="21"/>
          <w:highlight w:val="none"/>
          <w:u w:val="single"/>
          <w:lang w:eastAsia="zh-CN"/>
        </w:rPr>
        <w:t>杭州市丁桥医院</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承包人（全称）：</w:t>
      </w:r>
    </w:p>
    <w:p>
      <w:pPr>
        <w:autoSpaceDE w:val="0"/>
        <w:autoSpaceDN w:val="0"/>
        <w:adjustRightInd w:val="0"/>
        <w:spacing w:line="360" w:lineRule="auto"/>
        <w:ind w:firstLine="420" w:firstLineChars="200"/>
        <w:jc w:val="left"/>
        <w:rPr>
          <w:rFonts w:ascii="宋体" w:hAnsi="宋体"/>
          <w:color w:val="auto"/>
          <w:szCs w:val="21"/>
          <w:highlight w:val="none"/>
          <w:lang w:val="zh-CN"/>
        </w:rPr>
      </w:pPr>
      <w:r>
        <w:rPr>
          <w:rFonts w:ascii="宋体" w:hAnsi="宋体"/>
          <w:color w:val="auto"/>
          <w:szCs w:val="21"/>
          <w:highlight w:val="none"/>
          <w:lang w:val="zh-CN"/>
        </w:rPr>
        <w:t>为保证在合理使用期限内正常使用，发包人承包人协商一致签订工程质量保修书。承包人在质量保修期内按照有关管理规定及</w:t>
      </w:r>
      <w:r>
        <w:rPr>
          <w:rFonts w:hint="eastAsia" w:ascii="宋体" w:hAnsi="宋体"/>
          <w:color w:val="auto"/>
          <w:szCs w:val="21"/>
          <w:highlight w:val="none"/>
          <w:lang w:val="zh-CN"/>
        </w:rPr>
        <w:t>双</w:t>
      </w:r>
      <w:r>
        <w:rPr>
          <w:rFonts w:ascii="宋体" w:hAnsi="宋体"/>
          <w:color w:val="auto"/>
          <w:szCs w:val="21"/>
          <w:highlight w:val="none"/>
          <w:lang w:val="zh-CN"/>
        </w:rPr>
        <w:t>方约定承担工程质量保修责任。</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一、工程质量保修范围和内容</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承包人</w:t>
      </w:r>
      <w:r>
        <w:rPr>
          <w:rFonts w:hint="eastAsia" w:ascii="宋体" w:hAnsi="宋体"/>
          <w:color w:val="auto"/>
          <w:szCs w:val="21"/>
          <w:highlight w:val="none"/>
        </w:rPr>
        <w:t>在</w:t>
      </w:r>
      <w:r>
        <w:rPr>
          <w:rFonts w:ascii="宋体" w:hAnsi="宋体"/>
          <w:color w:val="auto"/>
          <w:szCs w:val="21"/>
          <w:highlight w:val="none"/>
        </w:rPr>
        <w:t>质量保修期内，按照有关法律、法规、规章的管理规定和</w:t>
      </w:r>
      <w:r>
        <w:rPr>
          <w:rFonts w:hint="eastAsia" w:ascii="宋体" w:hAnsi="宋体"/>
          <w:color w:val="auto"/>
          <w:szCs w:val="21"/>
          <w:highlight w:val="none"/>
        </w:rPr>
        <w:t>双</w:t>
      </w:r>
      <w:r>
        <w:rPr>
          <w:rFonts w:ascii="宋体" w:hAnsi="宋体"/>
          <w:color w:val="auto"/>
          <w:szCs w:val="21"/>
          <w:highlight w:val="none"/>
        </w:rPr>
        <w:t>方约定，承担本工程质量保修责任。</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质量保修范围</w:t>
      </w:r>
      <w:r>
        <w:rPr>
          <w:rFonts w:hint="eastAsia" w:ascii="宋体" w:hAnsi="宋体"/>
          <w:color w:val="auto"/>
          <w:szCs w:val="21"/>
          <w:highlight w:val="none"/>
        </w:rPr>
        <w:t>和</w:t>
      </w:r>
      <w:r>
        <w:rPr>
          <w:rFonts w:ascii="宋体" w:hAnsi="宋体"/>
          <w:color w:val="auto"/>
          <w:szCs w:val="21"/>
          <w:highlight w:val="none"/>
        </w:rPr>
        <w:t>内容</w:t>
      </w:r>
      <w:r>
        <w:rPr>
          <w:rFonts w:hint="eastAsia" w:ascii="宋体" w:hAnsi="宋体"/>
          <w:color w:val="auto"/>
          <w:szCs w:val="21"/>
          <w:highlight w:val="none"/>
        </w:rPr>
        <w:t>双</w:t>
      </w:r>
      <w:r>
        <w:rPr>
          <w:rFonts w:ascii="宋体" w:hAnsi="宋体"/>
          <w:color w:val="auto"/>
          <w:szCs w:val="21"/>
          <w:highlight w:val="none"/>
        </w:rPr>
        <w:t>方约定如下：</w:t>
      </w:r>
      <w:r>
        <w:rPr>
          <w:rFonts w:ascii="宋体" w:hAnsi="宋体"/>
          <w:color w:val="auto"/>
          <w:szCs w:val="21"/>
          <w:highlight w:val="none"/>
          <w:u w:val="single"/>
        </w:rPr>
        <w:t>包括本合同承包范围内的全部工程内容</w:t>
      </w:r>
      <w:r>
        <w:rPr>
          <w:rFonts w:ascii="宋体" w:hAnsi="宋体"/>
          <w:color w:val="auto"/>
          <w:szCs w:val="21"/>
          <w:highlight w:val="none"/>
        </w:rPr>
        <w:t>。</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二、质量保修期</w:t>
      </w:r>
    </w:p>
    <w:p>
      <w:pPr>
        <w:spacing w:line="360" w:lineRule="auto"/>
        <w:ind w:firstLine="435"/>
        <w:jc w:val="left"/>
        <w:rPr>
          <w:rFonts w:ascii="宋体" w:hAnsi="宋体"/>
          <w:b/>
          <w:bCs/>
          <w:color w:val="auto"/>
          <w:szCs w:val="21"/>
          <w:highlight w:val="none"/>
        </w:rPr>
      </w:pPr>
      <w:r>
        <w:rPr>
          <w:rFonts w:hint="eastAsia" w:ascii="宋体" w:hAnsi="宋体"/>
          <w:color w:val="auto"/>
          <w:szCs w:val="21"/>
          <w:highlight w:val="none"/>
        </w:rPr>
        <w:t>1、</w:t>
      </w:r>
      <w:r>
        <w:rPr>
          <w:rFonts w:hint="eastAsia" w:ascii="宋体" w:hAnsi="宋体"/>
          <w:b/>
          <w:bCs/>
          <w:color w:val="auto"/>
          <w:szCs w:val="21"/>
          <w:highlight w:val="none"/>
        </w:rPr>
        <w:t>零星工程保修期为贰年；零星维修项目保修期为一年</w:t>
      </w:r>
    </w:p>
    <w:p>
      <w:pPr>
        <w:autoSpaceDE w:val="0"/>
        <w:autoSpaceDN w:val="0"/>
        <w:spacing w:line="360" w:lineRule="auto"/>
        <w:ind w:firstLine="482"/>
        <w:rPr>
          <w:rFonts w:ascii="宋体" w:hAnsi="宋体"/>
          <w:color w:val="auto"/>
          <w:szCs w:val="21"/>
          <w:highlight w:val="none"/>
        </w:rPr>
      </w:pPr>
      <w:r>
        <w:rPr>
          <w:rFonts w:hint="eastAsia" w:ascii="宋体" w:hAnsi="宋体"/>
          <w:color w:val="auto"/>
          <w:szCs w:val="21"/>
          <w:highlight w:val="none"/>
        </w:rPr>
        <w:t>2、未明确列明的内容按</w:t>
      </w:r>
      <w:r>
        <w:rPr>
          <w:rFonts w:ascii="宋体" w:hAnsi="宋体"/>
          <w:color w:val="auto"/>
          <w:szCs w:val="21"/>
          <w:highlight w:val="none"/>
        </w:rPr>
        <w:t>《建设工程质量管理条例》及有关规定</w:t>
      </w:r>
      <w:r>
        <w:rPr>
          <w:rFonts w:hint="eastAsia" w:ascii="宋体" w:hAnsi="宋体"/>
          <w:color w:val="auto"/>
          <w:szCs w:val="21"/>
          <w:highlight w:val="none"/>
        </w:rPr>
        <w:t>.</w:t>
      </w:r>
    </w:p>
    <w:p>
      <w:pPr>
        <w:autoSpaceDE w:val="0"/>
        <w:autoSpaceDN w:val="0"/>
        <w:spacing w:line="360" w:lineRule="auto"/>
        <w:ind w:firstLine="482"/>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质量保修期自工程竣工验收合格</w:t>
      </w:r>
      <w:r>
        <w:rPr>
          <w:rFonts w:hint="eastAsia" w:ascii="宋体" w:hAnsi="宋体"/>
          <w:color w:val="auto"/>
          <w:szCs w:val="21"/>
          <w:highlight w:val="none"/>
        </w:rPr>
        <w:t>交付发包人</w:t>
      </w:r>
      <w:r>
        <w:rPr>
          <w:rFonts w:ascii="宋体" w:hAnsi="宋体"/>
          <w:color w:val="auto"/>
          <w:szCs w:val="21"/>
          <w:highlight w:val="none"/>
        </w:rPr>
        <w:t>之日起计算。</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三、质量保修责任</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1、属于保修范围、内容的项目，承包人必须在接到报修通知之日起24小时内派人保修。承包人不在约定期限内派人保修，发包人可委托其他人员修理。</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2、发生须紧急抢修事故，承包人在接到事故通知后，应当立即到达事故现场抢修。</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3、对于涉及结构安全的质量问题，应当按照《房屋建筑工程质量保修办法》的规定，立即向当地建设行政主管部门报告，采取安全防范措施</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由原设计单位或者具有相应资质等级的设计单位提出保修方案，承包人实施保修。</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4、质量保修完成后，由发包人组织验收。</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四、保修费用</w:t>
      </w:r>
    </w:p>
    <w:p>
      <w:pPr>
        <w:autoSpaceDE w:val="0"/>
        <w:autoSpaceDN w:val="0"/>
        <w:spacing w:line="360" w:lineRule="auto"/>
        <w:ind w:firstLine="420" w:firstLineChars="200"/>
        <w:rPr>
          <w:rFonts w:ascii="宋体" w:hAnsi="宋体"/>
          <w:color w:val="auto"/>
          <w:szCs w:val="21"/>
          <w:highlight w:val="none"/>
        </w:rPr>
      </w:pPr>
      <w:r>
        <w:rPr>
          <w:rFonts w:ascii="宋体" w:hAnsi="宋体"/>
          <w:color w:val="auto"/>
          <w:szCs w:val="21"/>
          <w:highlight w:val="none"/>
        </w:rPr>
        <w:t>保修费用由造成质量缺陷的责任方承担。</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五、其他</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双</w:t>
      </w:r>
      <w:r>
        <w:rPr>
          <w:rFonts w:ascii="宋体" w:hAnsi="宋体"/>
          <w:color w:val="auto"/>
          <w:szCs w:val="21"/>
          <w:highlight w:val="none"/>
        </w:rPr>
        <w:t>方约定的其他工程质量保修事项：</w:t>
      </w:r>
    </w:p>
    <w:p>
      <w:pPr>
        <w:autoSpaceDE w:val="0"/>
        <w:autoSpaceDN w:val="0"/>
        <w:spacing w:line="360" w:lineRule="auto"/>
        <w:ind w:firstLine="482"/>
        <w:rPr>
          <w:rFonts w:ascii="宋体" w:hAnsi="宋体"/>
          <w:color w:val="auto"/>
          <w:szCs w:val="21"/>
          <w:highlight w:val="none"/>
        </w:rPr>
      </w:pPr>
      <w:r>
        <w:rPr>
          <w:rFonts w:ascii="宋体" w:hAnsi="宋体"/>
          <w:color w:val="auto"/>
          <w:szCs w:val="21"/>
          <w:highlight w:val="none"/>
        </w:rPr>
        <w:t>本工程质量保修书，由施工合同发包人、承包人</w:t>
      </w:r>
      <w:r>
        <w:rPr>
          <w:rFonts w:hint="eastAsia" w:ascii="宋体" w:hAnsi="宋体"/>
          <w:color w:val="auto"/>
          <w:szCs w:val="21"/>
          <w:highlight w:val="none"/>
        </w:rPr>
        <w:t>双</w:t>
      </w:r>
      <w:r>
        <w:rPr>
          <w:rFonts w:ascii="宋体" w:hAnsi="宋体"/>
          <w:color w:val="auto"/>
          <w:szCs w:val="21"/>
          <w:highlight w:val="none"/>
        </w:rPr>
        <w:t>方在竣工验收前共同签署，作为施工合同附件，其有效期限至保修期满。</w:t>
      </w:r>
    </w:p>
    <w:p>
      <w:pPr>
        <w:autoSpaceDE w:val="0"/>
        <w:autoSpaceDN w:val="0"/>
        <w:spacing w:line="360" w:lineRule="auto"/>
        <w:ind w:firstLine="482"/>
        <w:rPr>
          <w:rFonts w:ascii="宋体" w:hAnsi="宋体"/>
          <w:color w:val="auto"/>
          <w:szCs w:val="21"/>
          <w:highlight w:val="none"/>
        </w:rPr>
      </w:pPr>
    </w:p>
    <w:p>
      <w:pPr>
        <w:autoSpaceDE w:val="0"/>
        <w:autoSpaceDN w:val="0"/>
        <w:spacing w:line="360" w:lineRule="auto"/>
        <w:ind w:firstLine="482"/>
        <w:rPr>
          <w:rFonts w:ascii="宋体" w:hAnsi="宋体"/>
          <w:color w:val="auto"/>
          <w:szCs w:val="21"/>
          <w:highlight w:val="none"/>
        </w:rPr>
      </w:pPr>
    </w:p>
    <w:p>
      <w:pPr>
        <w:spacing w:line="720" w:lineRule="auto"/>
        <w:ind w:firstLine="525" w:firstLineChars="250"/>
        <w:rPr>
          <w:rFonts w:ascii="宋体" w:hAnsi="宋体"/>
          <w:color w:val="auto"/>
          <w:szCs w:val="21"/>
          <w:highlight w:val="none"/>
        </w:rPr>
      </w:pPr>
      <w:r>
        <w:rPr>
          <w:rFonts w:ascii="宋体" w:hAnsi="宋体"/>
          <w:color w:val="auto"/>
          <w:szCs w:val="21"/>
          <w:highlight w:val="none"/>
        </w:rPr>
        <w:t>发包人（公章）：</w:t>
      </w:r>
      <w:r>
        <w:rPr>
          <w:rFonts w:hint="eastAsia" w:ascii="宋体" w:hAnsi="宋体"/>
          <w:color w:val="auto"/>
          <w:szCs w:val="21"/>
          <w:highlight w:val="none"/>
        </w:rPr>
        <w:t xml:space="preserve">                              </w:t>
      </w:r>
      <w:r>
        <w:rPr>
          <w:rFonts w:ascii="宋体" w:hAnsi="宋体"/>
          <w:color w:val="auto"/>
          <w:szCs w:val="21"/>
          <w:highlight w:val="none"/>
        </w:rPr>
        <w:t>承包人（公章）：</w:t>
      </w:r>
    </w:p>
    <w:p>
      <w:pPr>
        <w:spacing w:line="720" w:lineRule="auto"/>
        <w:ind w:firstLine="525" w:firstLineChars="250"/>
        <w:rPr>
          <w:rFonts w:ascii="宋体" w:hAnsi="宋体"/>
          <w:color w:val="auto"/>
          <w:szCs w:val="21"/>
          <w:highlight w:val="none"/>
        </w:rPr>
      </w:pPr>
      <w:r>
        <w:rPr>
          <w:rFonts w:ascii="宋体" w:hAnsi="宋体"/>
          <w:color w:val="auto"/>
          <w:szCs w:val="21"/>
          <w:highlight w:val="none"/>
        </w:rPr>
        <w:t>法定代表人（签字）：</w:t>
      </w:r>
      <w:r>
        <w:rPr>
          <w:rFonts w:hint="eastAsia" w:ascii="宋体" w:hAnsi="宋体"/>
          <w:color w:val="auto"/>
          <w:szCs w:val="21"/>
          <w:highlight w:val="none"/>
        </w:rPr>
        <w:t xml:space="preserve">                          </w:t>
      </w:r>
      <w:r>
        <w:rPr>
          <w:rFonts w:ascii="宋体" w:hAnsi="宋体"/>
          <w:color w:val="auto"/>
          <w:szCs w:val="21"/>
          <w:highlight w:val="none"/>
        </w:rPr>
        <w:t>法定代表人（签字）：</w:t>
      </w:r>
    </w:p>
    <w:p>
      <w:pPr>
        <w:spacing w:line="720" w:lineRule="auto"/>
        <w:ind w:firstLine="945" w:firstLineChars="450"/>
        <w:rPr>
          <w:rFonts w:ascii="宋体" w:hAnsi="宋体"/>
          <w:color w:val="auto"/>
          <w:szCs w:val="21"/>
          <w:highlight w:val="none"/>
        </w:rPr>
      </w:pPr>
      <w:r>
        <w:rPr>
          <w:rFonts w:ascii="宋体" w:hAnsi="宋体"/>
          <w:color w:val="auto"/>
          <w:szCs w:val="21"/>
          <w:highlight w:val="none"/>
        </w:rPr>
        <w:t>年</w:t>
      </w:r>
      <w:r>
        <w:rPr>
          <w:rFonts w:hint="eastAsia" w:ascii="宋体" w:hAnsi="宋体"/>
          <w:color w:val="auto"/>
          <w:szCs w:val="21"/>
          <w:highlight w:val="none"/>
        </w:rPr>
        <w:t xml:space="preserve">   </w:t>
      </w:r>
      <w:r>
        <w:rPr>
          <w:rFonts w:ascii="宋体" w:hAnsi="宋体"/>
          <w:color w:val="auto"/>
          <w:szCs w:val="21"/>
          <w:highlight w:val="none"/>
        </w:rPr>
        <w:t>月</w:t>
      </w:r>
      <w:r>
        <w:rPr>
          <w:rFonts w:hint="eastAsia" w:ascii="宋体" w:hAnsi="宋体"/>
          <w:color w:val="auto"/>
          <w:szCs w:val="21"/>
          <w:highlight w:val="none"/>
        </w:rPr>
        <w:t xml:space="preserve">   </w:t>
      </w:r>
      <w:r>
        <w:rPr>
          <w:rFonts w:ascii="宋体" w:hAnsi="宋体"/>
          <w:color w:val="auto"/>
          <w:szCs w:val="21"/>
          <w:highlight w:val="none"/>
        </w:rPr>
        <w:t>日</w:t>
      </w:r>
      <w:r>
        <w:rPr>
          <w:rFonts w:hint="eastAsia" w:ascii="宋体" w:hAnsi="宋体"/>
          <w:color w:val="auto"/>
          <w:szCs w:val="21"/>
          <w:highlight w:val="none"/>
        </w:rPr>
        <w:t xml:space="preserve">                               </w:t>
      </w:r>
      <w:r>
        <w:rPr>
          <w:rFonts w:ascii="宋体" w:hAnsi="宋体"/>
          <w:color w:val="auto"/>
          <w:szCs w:val="21"/>
          <w:highlight w:val="none"/>
        </w:rPr>
        <w:t>年</w:t>
      </w:r>
      <w:r>
        <w:rPr>
          <w:rFonts w:hint="eastAsia" w:ascii="宋体" w:hAnsi="宋体"/>
          <w:color w:val="auto"/>
          <w:szCs w:val="21"/>
          <w:highlight w:val="none"/>
        </w:rPr>
        <w:t xml:space="preserve">     </w:t>
      </w:r>
      <w:r>
        <w:rPr>
          <w:rFonts w:ascii="宋体" w:hAnsi="宋体"/>
          <w:color w:val="auto"/>
          <w:szCs w:val="21"/>
          <w:highlight w:val="none"/>
        </w:rPr>
        <w:t>月</w:t>
      </w:r>
      <w:r>
        <w:rPr>
          <w:rFonts w:hint="eastAsia" w:ascii="宋体" w:hAnsi="宋体"/>
          <w:color w:val="auto"/>
          <w:szCs w:val="21"/>
          <w:highlight w:val="none"/>
        </w:rPr>
        <w:t xml:space="preserve">     </w:t>
      </w:r>
      <w:r>
        <w:rPr>
          <w:rFonts w:ascii="宋体" w:hAnsi="宋体"/>
          <w:color w:val="auto"/>
          <w:szCs w:val="21"/>
          <w:highlight w:val="none"/>
        </w:rPr>
        <w:t>日</w:t>
      </w:r>
    </w:p>
    <w:p>
      <w:pPr>
        <w:spacing w:line="360" w:lineRule="auto"/>
        <w:rPr>
          <w:rFonts w:ascii="宋体" w:hAnsi="宋体"/>
          <w:color w:val="auto"/>
          <w:sz w:val="24"/>
          <w:highlight w:val="none"/>
        </w:rPr>
        <w:sectPr>
          <w:footerReference r:id="rId8" w:type="default"/>
          <w:pgSz w:w="11906" w:h="16838"/>
          <w:pgMar w:top="1474" w:right="1474" w:bottom="1474" w:left="1588" w:header="737" w:footer="737" w:gutter="0"/>
          <w:pgBorders>
            <w:top w:val="none" w:sz="0" w:space="0"/>
            <w:left w:val="none" w:sz="0" w:space="0"/>
            <w:bottom w:val="none" w:sz="0" w:space="0"/>
            <w:right w:val="none" w:sz="0" w:space="0"/>
          </w:pgBorders>
          <w:cols w:space="720" w:num="1"/>
          <w:docGrid w:type="lines" w:linePitch="312" w:charSpace="0"/>
        </w:sectPr>
      </w:pPr>
    </w:p>
    <w:p>
      <w:pPr>
        <w:jc w:val="center"/>
        <w:rPr>
          <w:rFonts w:ascii="宋体" w:hAnsi="宋体"/>
          <w:b/>
          <w:color w:val="auto"/>
          <w:sz w:val="32"/>
          <w:highlight w:val="none"/>
        </w:rPr>
      </w:pPr>
      <w:r>
        <w:rPr>
          <w:rFonts w:hint="eastAsia" w:ascii="宋体" w:hAnsi="宋体"/>
          <w:b/>
          <w:color w:val="auto"/>
          <w:sz w:val="32"/>
          <w:highlight w:val="none"/>
        </w:rPr>
        <w:t>合同附件2：安全生产责任协议书</w:t>
      </w:r>
    </w:p>
    <w:p>
      <w:pPr>
        <w:spacing w:line="360" w:lineRule="auto"/>
        <w:ind w:firstLine="422" w:firstLineChars="200"/>
        <w:rPr>
          <w:rFonts w:ascii="宋体" w:hAnsi="宋体"/>
          <w:b/>
          <w:color w:val="auto"/>
          <w:szCs w:val="21"/>
          <w:highlight w:val="none"/>
        </w:rPr>
      </w:pPr>
    </w:p>
    <w:p>
      <w:pPr>
        <w:spacing w:line="360" w:lineRule="auto"/>
        <w:ind w:firstLine="422" w:firstLineChars="200"/>
        <w:rPr>
          <w:rFonts w:hint="eastAsia" w:ascii="宋体" w:hAnsi="宋体" w:eastAsia="宋体"/>
          <w:b/>
          <w:color w:val="auto"/>
          <w:szCs w:val="21"/>
          <w:highlight w:val="none"/>
          <w:lang w:eastAsia="zh-CN"/>
        </w:rPr>
      </w:pPr>
      <w:r>
        <w:rPr>
          <w:rFonts w:ascii="宋体" w:hAnsi="宋体"/>
          <w:b/>
          <w:color w:val="auto"/>
          <w:szCs w:val="21"/>
          <w:highlight w:val="none"/>
        </w:rPr>
        <w:t>发包人</w:t>
      </w:r>
      <w:r>
        <w:rPr>
          <w:rFonts w:hint="eastAsia" w:ascii="宋体" w:hAnsi="宋体"/>
          <w:b/>
          <w:color w:val="auto"/>
          <w:szCs w:val="21"/>
          <w:highlight w:val="none"/>
        </w:rPr>
        <w:t>（甲方）</w:t>
      </w:r>
      <w:r>
        <w:rPr>
          <w:rFonts w:hint="eastAsia" w:ascii="宋体" w:hAnsi="宋体"/>
          <w:b/>
          <w:color w:val="auto"/>
          <w:szCs w:val="21"/>
          <w:highlight w:val="none"/>
          <w:lang w:eastAsia="zh-CN"/>
        </w:rPr>
        <w:t>：杭州市丁桥医院</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承包人</w:t>
      </w:r>
      <w:r>
        <w:rPr>
          <w:rFonts w:hint="eastAsia" w:ascii="宋体" w:hAnsi="宋体"/>
          <w:b/>
          <w:color w:val="auto"/>
          <w:szCs w:val="21"/>
          <w:highlight w:val="none"/>
        </w:rPr>
        <w:t>（乙方）</w:t>
      </w:r>
      <w:r>
        <w:rPr>
          <w:rFonts w:ascii="宋体" w:hAnsi="宋体"/>
          <w:b/>
          <w:color w:val="auto"/>
          <w:szCs w:val="21"/>
          <w:highlight w:val="none"/>
        </w:rPr>
        <w:t>：</w:t>
      </w:r>
    </w:p>
    <w:p>
      <w:pPr>
        <w:spacing w:line="360" w:lineRule="auto"/>
        <w:ind w:firstLine="420" w:firstLineChars="200"/>
        <w:rPr>
          <w:rFonts w:ascii="宋体" w:hAnsi="宋体" w:cs="Arial"/>
          <w:color w:val="auto"/>
          <w:sz w:val="24"/>
          <w:highlight w:val="none"/>
        </w:rPr>
      </w:pPr>
      <w:r>
        <w:rPr>
          <w:rFonts w:ascii="宋体" w:hAnsi="宋体"/>
          <w:color w:val="auto"/>
          <w:szCs w:val="21"/>
          <w:highlight w:val="none"/>
        </w:rPr>
        <w:t>工程项目名称：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为落实安全生产的管理要求，确保工程建设的顺利进行，按</w:t>
      </w:r>
      <w:r>
        <w:rPr>
          <w:rFonts w:ascii="宋体" w:hAnsi="宋体"/>
          <w:color w:val="auto"/>
          <w:szCs w:val="21"/>
          <w:highlight w:val="none"/>
        </w:rPr>
        <w:t>《浙江省建筑安全文明施工标准化工地管理办法》</w:t>
      </w:r>
      <w:r>
        <w:rPr>
          <w:rFonts w:hint="eastAsia" w:ascii="宋体" w:hAnsi="宋体"/>
          <w:color w:val="auto"/>
          <w:szCs w:val="21"/>
          <w:highlight w:val="none"/>
        </w:rPr>
        <w:t>（</w:t>
      </w:r>
      <w:r>
        <w:rPr>
          <w:rFonts w:ascii="宋体" w:hAnsi="宋体"/>
          <w:color w:val="auto"/>
          <w:szCs w:val="21"/>
          <w:highlight w:val="none"/>
        </w:rPr>
        <w:t>浙建建[2005]41号</w:t>
      </w:r>
      <w:r>
        <w:rPr>
          <w:rFonts w:hint="eastAsia" w:ascii="宋体" w:hAnsi="宋体"/>
          <w:color w:val="auto"/>
          <w:szCs w:val="21"/>
          <w:highlight w:val="none"/>
        </w:rPr>
        <w:t>)规定，甲乙双方共同协商，一致同意如下：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发包人在施工开始前向承包人提交必要的施工场地，明确承包人安全生产管理的责任区域和要求，承包人负责施工现场的安全管理工作，是施工现场的安全管理的责任单位。承包人必须建立健全安全生产保证体系，建立健全应急救援体系其相关文件报发包人备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二、发包人应积极组织和督促承包人开展安全达标活动，及时传达和部署上级的有关安全生产精神和要求，定期听取承包人的意见和要求。加强安全生产的指导和协调。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三、发包人负责组织对承包人安全规范作业、文明施工情况的检查，定期组织考核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对承包人及有关人员在安全生产工作中有突出贡献或成绩显著的集体、个人应给予表彰和物资奖励。对承包人及有关人员发出的违章、违法行为和存在的问题以及在安全生产、文明等创优达标活动中不积极配合的，发包人有权制止教育、责成其限期整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凡工地内发生生产事故或重大人员伤亡的，发包人派员参与劳动行政部门、司法机关调查处理。发包人可按其造成的后果及影响，对责任单位以按责任违约给予一次性经济的处理。责任违约的经济处理按约定扣除。事故造成的经济损失及因承包人责任给发包人造成的连带经济损失全部由承包人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责任违约的经济处理的约定：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依据国家和地方相关法律法规、政策、规定、制度以及本工程施工合同执行。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五、承包人应严格贯彻执行国家和市颁布的有关安全生产的法律、法规，严格按照中华人民共和国建设部建标</w:t>
      </w:r>
      <w:r>
        <w:rPr>
          <w:rFonts w:ascii="宋体" w:hAnsi="宋体"/>
          <w:color w:val="auto"/>
          <w:szCs w:val="21"/>
          <w:highlight w:val="none"/>
        </w:rPr>
        <w:t>（99）79号</w:t>
      </w:r>
      <w:r>
        <w:rPr>
          <w:rFonts w:hint="eastAsia" w:ascii="宋体" w:hAnsi="宋体"/>
          <w:color w:val="auto"/>
          <w:szCs w:val="21"/>
          <w:highlight w:val="none"/>
        </w:rPr>
        <w:t>“</w:t>
      </w:r>
      <w:r>
        <w:rPr>
          <w:rFonts w:ascii="宋体" w:hAnsi="宋体"/>
          <w:color w:val="auto"/>
          <w:szCs w:val="21"/>
          <w:highlight w:val="none"/>
        </w:rPr>
        <w:t>关于发布行业标准《建筑施工安全检查标准》的通知</w:t>
      </w:r>
      <w:r>
        <w:rPr>
          <w:rFonts w:hint="eastAsia" w:ascii="宋体" w:hAnsi="宋体"/>
          <w:color w:val="auto"/>
          <w:szCs w:val="21"/>
          <w:highlight w:val="none"/>
        </w:rPr>
        <w:t>”</w:t>
      </w:r>
      <w:r>
        <w:rPr>
          <w:rFonts w:ascii="宋体" w:hAnsi="宋体"/>
          <w:color w:val="auto"/>
          <w:szCs w:val="21"/>
          <w:highlight w:val="none"/>
        </w:rPr>
        <w:t>（编号JGJ59—99）的要求加强内部安全管理，落实各项安全防护措施，确保工程建设中不发生</w:t>
      </w:r>
      <w:r>
        <w:rPr>
          <w:rFonts w:hint="eastAsia" w:ascii="宋体" w:hAnsi="宋体"/>
          <w:color w:val="auto"/>
          <w:szCs w:val="21"/>
          <w:highlight w:val="none"/>
        </w:rPr>
        <w:t>人员死亡</w:t>
      </w:r>
      <w:r>
        <w:rPr>
          <w:rFonts w:ascii="宋体" w:hAnsi="宋体"/>
          <w:color w:val="auto"/>
          <w:szCs w:val="21"/>
          <w:highlight w:val="none"/>
        </w:rPr>
        <w:t>事故。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承包人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七、承包人进入工地后应明确落实施工现场安全生产第一责任人。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八、承包人对各分包单位及外聘人员的安全生产工作要纳入本单位统一管理的范围，明确要求，签订管理协议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要加强对全体施工人员安全作业、文明施工和自我保护的宣传教育</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做好上岗前的安全培训，特殊工种作业人员必须做到持证上岗：进入本市施工的外市特殊作业人员，还必须经本市有关特种作业考核站进审证教育，禁止实习、学习人员现场作业。严格执行各种安全操作规程，确保施工安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九、承包人要按照“安全自查，隐患自改、责任自负”的原则加强对施工责任区的日常安全检查。及时制止和处理各类违章违法行为。对查获的隐患要及时落实整改措施，消除隐患。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十、承包人应主动接受发包人在安全生产工作上的业务指导，检查和督促，服从管理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对发包人的工作布置和组织的活动要积极贯彻实施和参加。对发包人给予因责任违约的经济处理如有异议可要求复核。对发包人工作人员利用职权营私舞弊、有意刁难的违法行为，有权检举揭发，要求处理。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十一、在施工现场或施工作业过程中，因承包人原因发生安全事故或造成人员伤亡的，由承包人承担处理和所有的经济赔偿责任。承包人须妥善处理事故，积极抢救受伤人员、保护现场，并按规定时限向当地安监等相关政府部门报告，并立即报告发包人，不得迟报瞒报。发包人应积极配合处理。</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十二、承包人须参加由发包人召集的每周一次的工程工作例会，对工程进度、工程质量、安全施工等情况向会议进行汇报，并接受发包人和监理单位的安全检查。</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十三、承包人不准将工程项目进行整体转包。</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十四、承包人对施工现场的安全负责。在施工过程中或施工现场，因承包人原因造成的安全事故，由承包人承担处理和所有的经济赔偿责任，承包人须按规定将事故发生情况向当地政府相关部门报告，并立即报告发包人。发包人积极协助处理。</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十五、承包人须将施工作业人员名册报发包人备案，承包人的施工作业人员必须接受发包人组织的安全培训，培训合格后由发包人发给盖有发包人印章的“施工出入证”。持有“施工出入证”的人员方可进场施工作业。</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十六、承包人须为施工作业人员缴纳相关保险，并在合同签订之日起的2</w:t>
      </w:r>
      <w:r>
        <w:rPr>
          <w:rFonts w:ascii="宋体" w:hAnsi="宋体"/>
          <w:color w:val="auto"/>
          <w:szCs w:val="21"/>
          <w:highlight w:val="none"/>
          <w:u w:val="single"/>
        </w:rPr>
        <w:t>0</w:t>
      </w:r>
      <w:r>
        <w:rPr>
          <w:rFonts w:hint="eastAsia" w:ascii="宋体" w:hAnsi="宋体"/>
          <w:color w:val="auto"/>
          <w:szCs w:val="21"/>
          <w:highlight w:val="none"/>
          <w:u w:val="single"/>
        </w:rPr>
        <w:t>个工作日内将缴纳保险凭证复印件交发包人。</w:t>
      </w:r>
    </w:p>
    <w:p>
      <w:pPr>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十七、承包人必须</w:t>
      </w:r>
      <w:r>
        <w:rPr>
          <w:rFonts w:hint="eastAsia" w:ascii="宋体" w:hAnsi="宋体"/>
          <w:color w:val="000000" w:themeColor="text1"/>
          <w:szCs w:val="21"/>
          <w:highlight w:val="none"/>
          <w:u w:val="single"/>
          <w14:textFill>
            <w14:solidFill>
              <w14:schemeClr w14:val="tx1"/>
            </w14:solidFill>
          </w14:textFill>
        </w:rPr>
        <w:t>严格按</w:t>
      </w:r>
      <w:r>
        <w:rPr>
          <w:rFonts w:hint="eastAsia" w:ascii="宋体" w:hAnsi="宋体"/>
          <w:color w:val="000000" w:themeColor="text1"/>
          <w:szCs w:val="21"/>
          <w:highlight w:val="none"/>
          <w:u w:val="single"/>
          <w:lang w:eastAsia="zh-CN"/>
          <w14:textFill>
            <w14:solidFill>
              <w14:schemeClr w14:val="tx1"/>
            </w14:solidFill>
          </w14:textFill>
        </w:rPr>
        <w:t>医院</w:t>
      </w:r>
      <w:r>
        <w:rPr>
          <w:rFonts w:hint="eastAsia" w:ascii="宋体" w:hAnsi="宋体"/>
          <w:color w:val="000000" w:themeColor="text1"/>
          <w:szCs w:val="21"/>
          <w:highlight w:val="none"/>
          <w:u w:val="single"/>
          <w14:textFill>
            <w14:solidFill>
              <w14:schemeClr w14:val="tx1"/>
            </w14:solidFill>
          </w14:textFill>
        </w:rPr>
        <w:t>管理</w:t>
      </w:r>
      <w:r>
        <w:rPr>
          <w:rFonts w:hint="eastAsia" w:ascii="宋体" w:hAnsi="宋体"/>
          <w:color w:val="auto"/>
          <w:szCs w:val="21"/>
          <w:highlight w:val="none"/>
          <w:u w:val="single"/>
        </w:rPr>
        <w:t>规范要求进场施工</w:t>
      </w:r>
      <w:r>
        <w:rPr>
          <w:rFonts w:hint="eastAsia" w:ascii="宋体" w:hAnsi="宋体"/>
          <w:color w:val="auto"/>
          <w:szCs w:val="21"/>
          <w:highlight w:val="none"/>
          <w:u w:val="single"/>
          <w:lang w:eastAsia="zh-CN"/>
        </w:rPr>
        <w:t>。</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进场施工必须佩戴胸牌，统一着装。施工垃圾及时清运，垃圾密闭包装，不得裸露在外。</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十八、本协议中未涉及的有关条款，甲乙双方可根据需要协商补充修改。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如遇有国家和本市的有关法规不符的，应按国家和本市的有关法规执行。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十九、本协议作为甲乙双方工程承包合同的附件，在工程承包合同签约后生效，与工程承包合同具有同等法律效力。工程承包合同期满，本协议终上。</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发包人（公章）：                 承包人（公章）：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                    法定代表人：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或委托代理人：                  或委托代理人：</w:t>
      </w:r>
    </w:p>
    <w:p>
      <w:pPr>
        <w:spacing w:line="360" w:lineRule="auto"/>
        <w:ind w:firstLine="735" w:firstLineChars="350"/>
        <w:rPr>
          <w:rFonts w:ascii="宋体" w:hAnsi="宋体"/>
          <w:color w:val="auto"/>
          <w:szCs w:val="21"/>
          <w:highlight w:val="none"/>
        </w:rPr>
      </w:pPr>
      <w:r>
        <w:rPr>
          <w:rFonts w:hint="eastAsia" w:ascii="宋体" w:hAnsi="宋体"/>
          <w:color w:val="auto"/>
          <w:szCs w:val="21"/>
          <w:highlight w:val="none"/>
        </w:rPr>
        <w:t>年   月   日                   年   月    日</w:t>
      </w:r>
      <w:bookmarkStart w:id="428" w:name="_Toc163484941"/>
    </w:p>
    <w:p>
      <w:pPr>
        <w:spacing w:line="360" w:lineRule="auto"/>
        <w:ind w:firstLine="420" w:firstLineChars="200"/>
        <w:rPr>
          <w:rFonts w:ascii="宋体" w:hAnsi="宋体"/>
          <w:color w:val="auto"/>
          <w:szCs w:val="21"/>
          <w:highlight w:val="none"/>
        </w:rPr>
      </w:pPr>
    </w:p>
    <w:p>
      <w:pPr>
        <w:spacing w:line="360" w:lineRule="auto"/>
        <w:ind w:firstLine="723" w:firstLineChars="200"/>
        <w:jc w:val="center"/>
        <w:rPr>
          <w:rFonts w:ascii="宋体" w:hAnsi="宋体"/>
          <w:b/>
          <w:color w:val="auto"/>
          <w:sz w:val="36"/>
          <w:szCs w:val="36"/>
          <w:highlight w:val="none"/>
        </w:rPr>
        <w:sectPr>
          <w:footerReference r:id="rId9" w:type="default"/>
          <w:pgSz w:w="11906" w:h="16838"/>
          <w:pgMar w:top="1474" w:right="1474" w:bottom="1474" w:left="1588" w:header="851" w:footer="992" w:gutter="0"/>
          <w:pgBorders>
            <w:top w:val="none" w:sz="0" w:space="0"/>
            <w:left w:val="none" w:sz="0" w:space="0"/>
            <w:bottom w:val="none" w:sz="0" w:space="0"/>
            <w:right w:val="none" w:sz="0" w:space="0"/>
          </w:pgBorders>
          <w:cols w:space="720" w:num="1"/>
          <w:docGrid w:type="lines" w:linePitch="312" w:charSpace="0"/>
        </w:sectPr>
      </w:pPr>
    </w:p>
    <w:bookmarkEnd w:id="428"/>
    <w:p>
      <w:pPr>
        <w:jc w:val="center"/>
        <w:rPr>
          <w:rFonts w:ascii="宋体" w:hAnsi="宋体"/>
          <w:b/>
          <w:color w:val="auto"/>
          <w:sz w:val="32"/>
          <w:highlight w:val="none"/>
        </w:rPr>
      </w:pPr>
      <w:r>
        <w:rPr>
          <w:rFonts w:hint="eastAsia" w:ascii="宋体" w:hAnsi="宋体"/>
          <w:b/>
          <w:color w:val="auto"/>
          <w:sz w:val="32"/>
          <w:highlight w:val="none"/>
        </w:rPr>
        <w:t>合同附件3：文明施工责任协议书</w:t>
      </w:r>
    </w:p>
    <w:p>
      <w:pPr>
        <w:spacing w:line="360" w:lineRule="auto"/>
        <w:ind w:firstLine="420" w:firstLineChars="200"/>
        <w:rPr>
          <w:rFonts w:ascii="宋体" w:hAnsi="宋体"/>
          <w:color w:val="auto"/>
          <w:szCs w:val="21"/>
          <w:highlight w:val="none"/>
        </w:rPr>
      </w:pPr>
    </w:p>
    <w:p>
      <w:pPr>
        <w:spacing w:line="360" w:lineRule="auto"/>
        <w:ind w:firstLine="422" w:firstLineChars="200"/>
        <w:rPr>
          <w:rFonts w:hint="eastAsia" w:ascii="宋体" w:hAnsi="宋体"/>
          <w:b/>
          <w:color w:val="auto"/>
          <w:szCs w:val="21"/>
          <w:highlight w:val="none"/>
          <w:lang w:eastAsia="zh-CN"/>
        </w:rPr>
      </w:pPr>
      <w:r>
        <w:rPr>
          <w:rFonts w:ascii="宋体" w:hAnsi="宋体"/>
          <w:b/>
          <w:color w:val="auto"/>
          <w:szCs w:val="21"/>
          <w:highlight w:val="none"/>
        </w:rPr>
        <w:t>发包人</w:t>
      </w:r>
      <w:r>
        <w:rPr>
          <w:rFonts w:hint="eastAsia" w:ascii="宋体" w:hAnsi="宋体"/>
          <w:b/>
          <w:color w:val="auto"/>
          <w:szCs w:val="21"/>
          <w:highlight w:val="none"/>
        </w:rPr>
        <w:t>（甲方）</w:t>
      </w:r>
      <w:r>
        <w:rPr>
          <w:rFonts w:ascii="宋体" w:hAnsi="宋体"/>
          <w:b/>
          <w:color w:val="auto"/>
          <w:szCs w:val="21"/>
          <w:highlight w:val="none"/>
        </w:rPr>
        <w:t>：</w:t>
      </w:r>
      <w:r>
        <w:rPr>
          <w:rFonts w:hint="eastAsia" w:ascii="宋体" w:hAnsi="宋体"/>
          <w:b/>
          <w:color w:val="auto"/>
          <w:szCs w:val="21"/>
          <w:highlight w:val="none"/>
          <w:lang w:eastAsia="zh-CN"/>
        </w:rPr>
        <w:t>杭州市丁桥医院</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承包人</w:t>
      </w:r>
      <w:r>
        <w:rPr>
          <w:rFonts w:hint="eastAsia" w:ascii="宋体" w:hAnsi="宋体"/>
          <w:b/>
          <w:color w:val="auto"/>
          <w:szCs w:val="21"/>
          <w:highlight w:val="none"/>
        </w:rPr>
        <w:t>（乙方）</w:t>
      </w:r>
      <w:r>
        <w:rPr>
          <w:rFonts w:ascii="宋体" w:hAnsi="宋体"/>
          <w:b/>
          <w:color w:val="auto"/>
          <w:szCs w:val="21"/>
          <w:highlight w:val="none"/>
        </w:rPr>
        <w:t>：</w:t>
      </w:r>
    </w:p>
    <w:p>
      <w:pPr>
        <w:spacing w:line="360" w:lineRule="auto"/>
        <w:ind w:firstLine="420" w:firstLineChars="200"/>
        <w:rPr>
          <w:rFonts w:ascii="宋体" w:hAnsi="宋体" w:cs="Arial"/>
          <w:color w:val="auto"/>
          <w:sz w:val="24"/>
          <w:highlight w:val="none"/>
        </w:rPr>
      </w:pPr>
      <w:r>
        <w:rPr>
          <w:rFonts w:ascii="宋体" w:hAnsi="宋体"/>
          <w:color w:val="auto"/>
          <w:szCs w:val="21"/>
          <w:highlight w:val="none"/>
        </w:rPr>
        <w:t>工程项目名称：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为认真做好工程建设施工区域内的文明施工，现经甲、乙双方协商同意，明确在文明施工和文明施工管理中的各自职责，并签订如下协议。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双方同意在工程管理和工程建设中必须坚持社会效益第一，经济效益和社会效益相—致，“方便人民生活，有利于发展生产、保护生态环境”的原则，坚持便民、利民、为民服务的宗旨。搞好工程建设中的文明施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双方要认真贯彻“建设单位负责，施工单位实施，地方政府监督”的文明施工原则。现场由甲方代表牵头，建立参建方共同参与的文明施工管理小组，负责日常管理协调工作，争创文明工地。甲方按合同有关要求，及时拨付有关费用并按市有关创建文明工地的规定，组织、指导、检查、考核、和开展选评工作，创建活动的实施由乙方负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三、乙方应遵守如下规定：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1、根据工程的特点，编制文明施工实施方案，在开工前5日内，将文明施工实施方案报甲方和市安全监督部门备案。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2、乙方按有关规定专项包干使用文明施工费，不得挪作他用。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3、工地应设置专职文明施工安全员，做到佩证上岗、动态管理，及时收集、记录、整理、管理台帐等技术资料。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4、施工现场应按文明施工安全生产的要求，设置各项临时设施，并达到下列要求：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（1）施工区域与非施工区域严格分隔。</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（2）施工区域内应设置能保证施工安全的夜间照明和警示标志，并采取安全防护措施。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（3）各类材料、机具设备按工地总平面图的布置，在固定场地整齐堆放，不得侵占场内道路及安全防护等设施。</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（4）其他要求：严格按</w:t>
      </w:r>
      <w:r>
        <w:rPr>
          <w:rFonts w:hint="eastAsia" w:ascii="宋体" w:hAnsi="宋体"/>
          <w:b/>
          <w:color w:val="auto"/>
          <w:szCs w:val="21"/>
          <w:highlight w:val="none"/>
          <w:lang w:eastAsia="zh-CN"/>
        </w:rPr>
        <w:t>医院</w:t>
      </w:r>
      <w:r>
        <w:rPr>
          <w:rFonts w:hint="eastAsia" w:ascii="宋体" w:hAnsi="宋体"/>
          <w:b/>
          <w:color w:val="auto"/>
          <w:szCs w:val="21"/>
          <w:highlight w:val="none"/>
        </w:rPr>
        <w:t>管理规范要求进场施工。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5、工地民工宿舍应符合卫生要求和居住条件，地面应用砼硬化，照明电线敷设应符合规范，不得任意拉线接电。宿舍应保持整洁有序，不得男女混杂居住及居住与施工无关的人员。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6、施工现场设有食堂的，应符合杭州市职工食堂管理的有关规定，并配备冷冻、冷藏设备，其位置应远离厕所、垃圾容器等污染源，炊事员应持有效健康证明及岗位培训合格证。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施工现场应设置茶桶、保障茶水供应。</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7、建筑垃圾和其他散体物料装运应实行车辆密闭式运输，冲洗干净后出场，运输过程中严禁沿途抛、洒、滴、漏。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8、乙方应当严格依照《中华人民共和国消防条例》的规定，在工地建立和执行防火管理制度，重点部位设置符合消防要求的消防设施，并保持完好的备用状态。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9、遵守建设地的现场管理要求。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10、施工单位在施工中应遵守下列规定：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（1）完善技术和操作管理规程，确保防汛设施和地下管线通畅、安全。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（2）采取各种有效措施，控制扬尘、噪声。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（3）设置各种防护设施，防止施工中废弃物、杂物影响周围环境，伤害过往行人。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（4）随时清理建筑垃圾，控制工地污染。</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（5）控制夜间施工作业，确需夜间作业的，必须事先向环保部门申办《夜间施工许可证》。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（6）运用其他有效方式，减少施工时对市容、绿化和环境的不良影响。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（7）遵守交通管理规定，不得使用人力车、三轮车向场外运输建筑垃圾、废土、物料。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11、施工人员在施工中应严格遵守下列规定: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（1）施工中产生的各类垃圾应及时清运到市容环境卫生管理部门指定的地点，严禁随意倾倒在城市道路、河道、绿化带、空旷地带和居民生活垃圾容器内。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（2）施工中不得随意丢弃废物、旧料和其他杂物。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（3）施工中应注意清理施工场地，做到随做随清。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（4）其他：</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12、乙方应确保工地出入口和道路的畅通、安全。施工中造成沿线单位、人员的出入口障碍和道路交通堵塞，应及时采取有效措施。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13、施工中造成下水道和其他地下管线堵塞或损坏的，应立即疏浚或修复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对工地周围的单位及人员财产造成损失的，应承担经济赔偿责任。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四、甲方对乙方开展创建文明土地的工作要经常性地给予指导，定期组织检查，对乙方存在的问题应及时通知乙方进行整改，并有权对乙方责任违约，按约定办法进行经济处理。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五、因乙方违反文明施工管理要求，被地方政府有关部门查获而受到的经济处罚，以及由此而使甲方受到的经济损失，均由乙方承担。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六、本协议作为甲乙双方工程合同的附件，在工程合同正式签约后有效，与工程合同具有同等法律效力。工程合同期满，本协议终止。</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发包人（公章）：             承包人（公章）：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                法定代表人：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或委托代理人：              或委托代理人：</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年    月    日            年    月    日</w:t>
      </w:r>
    </w:p>
    <w:p>
      <w:pPr>
        <w:spacing w:line="360" w:lineRule="auto"/>
        <w:ind w:left="-420" w:leftChars="-200" w:right="-420" w:rightChars="-200" w:firstLine="480" w:firstLineChars="200"/>
        <w:jc w:val="center"/>
        <w:outlineLvl w:val="0"/>
        <w:rPr>
          <w:rFonts w:ascii="宋体" w:hAnsi="宋体" w:cs="宋体"/>
          <w:sz w:val="24"/>
        </w:rPr>
        <w:sectPr>
          <w:headerReference r:id="rId10" w:type="first"/>
          <w:footerReference r:id="rId12" w:type="first"/>
          <w:footerReference r:id="rId11" w:type="default"/>
          <w:pgSz w:w="11906" w:h="16838"/>
          <w:pgMar w:top="1440" w:right="1080" w:bottom="1440" w:left="1080" w:header="851" w:footer="992" w:gutter="0"/>
          <w:cols w:space="720" w:num="1"/>
          <w:titlePg/>
          <w:docGrid w:linePitch="312" w:charSpace="0"/>
        </w:sectPr>
      </w:pPr>
    </w:p>
    <w:p>
      <w:pPr>
        <w:snapToGrid w:val="0"/>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424"/>
      <w:r>
        <w:rPr>
          <w:rFonts w:hint="eastAsia" w:ascii="宋体" w:hAnsi="宋体" w:cs="宋体"/>
          <w:b/>
          <w:sz w:val="36"/>
          <w:szCs w:val="20"/>
        </w:rPr>
        <w:t xml:space="preserve"> </w:t>
      </w:r>
      <w:bookmarkEnd w:id="42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我方参与（项目名称）【项目编号：（采购编号）】政府采购活动，郑重承诺：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sectPr>
          <w:pgSz w:w="11906" w:h="16838"/>
          <w:pgMar w:top="1440" w:right="1080" w:bottom="1440" w:left="1080" w:header="851" w:footer="992" w:gutter="0"/>
          <w:cols w:space="720" w:num="1"/>
          <w:titlePg/>
          <w:docGrid w:linePitch="312" w:charSpace="0"/>
        </w:sect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[以联合体形式参与的，提供联合协议（附件5）；本项目不接受联合体或者供应商不以联合体形式投参与的，则不需要提供]</w:t>
      </w:r>
    </w:p>
    <w:p>
      <w:pPr>
        <w:snapToGrid w:val="0"/>
        <w:spacing w:line="360" w:lineRule="auto"/>
        <w:ind w:right="480"/>
        <w:jc w:val="center"/>
        <w:rPr>
          <w:rFonts w:ascii="宋体" w:hAnsi="宋体" w:cs="宋体"/>
          <w:b/>
          <w:kern w:val="0"/>
          <w:sz w:val="32"/>
          <w:szCs w:val="32"/>
        </w:rPr>
        <w:sectPr>
          <w:pgSz w:w="11906" w:h="16838"/>
          <w:pgMar w:top="1440" w:right="1080" w:bottom="1440" w:left="1080" w:header="851" w:footer="992" w:gutter="0"/>
          <w:cols w:space="720" w:num="1"/>
          <w:titlePg/>
          <w:docGrid w:linePitch="312" w:charSpace="0"/>
        </w:sect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（根据竞争性磋商公告落实政府采购政策需满足的资格要求选择提供相应的材料；未要求的，无需提供）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.专门面向中小企业，工程全部由符合政策要求的中小企业（或小微企业）承建的，提供相应的中小企业声明函（附件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），联合协议中中小企业合同金额应当达到竞争性磋商公告载明的比例；如果供应商本身提供所有标的均由中小企业承建的，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），分包意向协议中中小企业合同金额应当达到竞争性磋商公告载明的比例；如果供应商本身提供所有标的均由中小企业承建，</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（根据竞争性磋商公告本项目的特定资格要求提供相应的材料；未要求的，无需提供）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sectPr>
          <w:pgSz w:w="11906" w:h="16838"/>
          <w:pgMar w:top="1440" w:right="1080" w:bottom="1440" w:left="1080" w:header="851" w:footer="992" w:gutter="0"/>
          <w:cols w:space="720" w:num="1"/>
          <w:titlePg/>
          <w:docGrid w:linePitch="312" w:charSpace="0"/>
        </w:sectPr>
      </w:pPr>
    </w:p>
    <w:p>
      <w:pPr>
        <w:pStyle w:val="5"/>
        <w:rPr>
          <w:rFonts w:ascii="宋体" w:hAnsi="宋体" w:cs="宋体"/>
          <w:b w:val="0"/>
          <w:kern w:val="0"/>
          <w:sz w:val="36"/>
          <w:szCs w:val="36"/>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numPr>
          <w:ilvl w:val="255"/>
          <w:numId w:val="0"/>
        </w:num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响应函……………………………………………………………………………（页码）</w:t>
      </w:r>
    </w:p>
    <w:p>
      <w:pPr>
        <w:numPr>
          <w:ilvl w:val="255"/>
          <w:numId w:val="0"/>
        </w:num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2）授权委托书或法定代表人（单位负责人、自然人本人）身份证明</w:t>
      </w:r>
      <w:r>
        <w:rPr>
          <w:rFonts w:hint="eastAsia" w:ascii="宋体" w:hAnsi="宋体" w:cs="宋体"/>
          <w:sz w:val="24"/>
        </w:rPr>
        <w:t>……………（页码）</w:t>
      </w:r>
    </w:p>
    <w:p>
      <w:pPr>
        <w:snapToGrid w:val="0"/>
        <w:spacing w:line="360" w:lineRule="auto"/>
        <w:ind w:left="479" w:leftChars="228"/>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）分包意向协议………………………………………………………………………（页码）</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）符合性审查资料……………………………………………………………………（页码）</w:t>
      </w:r>
    </w:p>
    <w:p>
      <w:pPr>
        <w:snapToGrid w:val="0"/>
        <w:spacing w:line="360" w:lineRule="auto"/>
        <w:ind w:left="479" w:leftChars="228"/>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）评审标准相应的商务技术资料……………………………………………………（页码）（</w:t>
      </w:r>
      <w:r>
        <w:rPr>
          <w:rFonts w:ascii="宋体" w:hAnsi="宋体" w:cs="宋体"/>
          <w:sz w:val="24"/>
        </w:rPr>
        <w:t>6</w:t>
      </w:r>
      <w:r>
        <w:rPr>
          <w:rFonts w:hint="eastAsia" w:ascii="宋体" w:hAnsi="宋体" w:cs="宋体"/>
          <w:sz w:val="24"/>
        </w:rPr>
        <w:t>）商务技术偏离表……………………………………………………………………（页码）</w:t>
      </w:r>
    </w:p>
    <w:p>
      <w:pPr>
        <w:snapToGrid w:val="0"/>
        <w:spacing w:line="360" w:lineRule="auto"/>
        <w:ind w:left="479" w:leftChars="228"/>
        <w:rPr>
          <w:rFonts w:ascii="宋体" w:hAnsi="宋体" w:cs="宋体"/>
          <w:sz w:val="24"/>
        </w:rPr>
      </w:pPr>
      <w:r>
        <w:rPr>
          <w:rFonts w:hint="eastAsia" w:ascii="宋体" w:hAnsi="宋体" w:cs="宋体"/>
          <w:sz w:val="24"/>
          <w:lang w:val="zh-CN"/>
        </w:rPr>
        <w:t>（</w:t>
      </w:r>
      <w:r>
        <w:rPr>
          <w:rFonts w:ascii="宋体" w:hAnsi="宋体" w:cs="宋体"/>
          <w:sz w:val="24"/>
        </w:rPr>
        <w:t>7</w:t>
      </w:r>
      <w:r>
        <w:rPr>
          <w:rFonts w:hint="eastAsia" w:ascii="宋体" w:hAnsi="宋体" w:cs="宋体"/>
          <w:sz w:val="24"/>
          <w:lang w:val="zh-CN"/>
        </w:rPr>
        <w:t>）政府采购供应商廉洁自律承诺书</w:t>
      </w:r>
      <w:r>
        <w:rPr>
          <w:rFonts w:hint="eastAsia" w:ascii="宋体" w:hAnsi="宋体" w:cs="宋体"/>
          <w:sz w:val="24"/>
        </w:rPr>
        <w:t>…………………………………………………（页码）</w:t>
      </w:r>
    </w:p>
    <w:p>
      <w:pPr>
        <w:snapToGrid w:val="0"/>
        <w:spacing w:line="360" w:lineRule="auto"/>
        <w:jc w:val="center"/>
        <w:rPr>
          <w:rFonts w:ascii="宋体" w:hAnsi="宋体" w:cs="宋体"/>
          <w:b/>
          <w:kern w:val="0"/>
          <w:sz w:val="24"/>
          <w:szCs w:val="32"/>
          <w:lang w:val="zh-CN"/>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sz w:val="32"/>
          <w:szCs w:val="32"/>
          <w:lang w:val="zh-CN"/>
        </w:rPr>
      </w:pPr>
      <w:r>
        <w:rPr>
          <w:rFonts w:hint="eastAsia" w:ascii="宋体" w:hAnsi="宋体" w:cs="宋体"/>
          <w:b/>
          <w:bCs/>
          <w:sz w:val="32"/>
          <w:szCs w:val="32"/>
          <w:lang w:val="zh-CN"/>
        </w:rPr>
        <w:t>一、响应函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我方参加你方组织的（项目名称）【项目编号：（采购编号）】采购的有关活动，并对此项目提交响应文件及报价。为此：</w:t>
      </w:r>
    </w:p>
    <w:p>
      <w:pPr>
        <w:snapToGrid w:val="0"/>
        <w:spacing w:line="360" w:lineRule="auto"/>
        <w:ind w:firstLine="480" w:firstLineChars="200"/>
        <w:rPr>
          <w:rFonts w:ascii="宋体" w:hAnsi="宋体" w:cs="宋体"/>
          <w:sz w:val="24"/>
        </w:rPr>
      </w:pPr>
      <w:r>
        <w:rPr>
          <w:rFonts w:hint="eastAsia" w:ascii="宋体" w:hAnsi="宋体" w:cs="宋体"/>
          <w:sz w:val="24"/>
        </w:rPr>
        <w:t>1、我方承诺响应文件有效期从提交响应文件的截止之日起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本响应文件在响应文件有效期满之前均具有约束力。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2、我方的响应文件包括以下内容：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2.2.1响应函；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评审标准相应的商务技术资料；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2.3.1报价单；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2.3.2已标价工程量清单；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2.3.3中小企业声明函（如果有）。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3、我方承诺除商务技术偏离表列出的偏离外，我方响应采购文件的全部要求。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4、如我方成交，我方承诺：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4.1在收到成交通知书后，在成交通知书规定的期限内与你方签订合同；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4.3按照采购文件要求提交履约保证金；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供应商名称（电子签名）：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sz w:val="32"/>
          <w:szCs w:val="32"/>
          <w:lang w:val="zh-CN"/>
        </w:rPr>
      </w:pPr>
      <w:r>
        <w:rPr>
          <w:rFonts w:hint="eastAsia" w:ascii="宋体" w:hAnsi="宋体" w:cs="宋体"/>
          <w:b/>
          <w:bCs/>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jc w:val="center"/>
        <w:rPr>
          <w:rFonts w:ascii="宋体" w:hAnsi="宋体" w:cs="宋体"/>
          <w:b/>
          <w:bCs/>
          <w:sz w:val="32"/>
          <w:szCs w:val="32"/>
          <w:lang w:val="zh-CN"/>
        </w:rPr>
      </w:pPr>
      <w:r>
        <w:rPr>
          <w:rFonts w:hint="eastAsia" w:ascii="宋体" w:hAnsi="宋体" w:cs="宋体"/>
          <w:b/>
          <w:bCs/>
          <w:sz w:val="32"/>
          <w:szCs w:val="32"/>
          <w:lang w:val="zh-CN"/>
        </w:rPr>
        <w:t>授权委托书（适用于非联合体</w:t>
      </w:r>
      <w:r>
        <w:rPr>
          <w:rFonts w:hint="eastAsia" w:ascii="宋体" w:hAnsi="宋体" w:cs="宋体"/>
          <w:b/>
          <w:bCs/>
          <w:sz w:val="32"/>
          <w:szCs w:val="32"/>
        </w:rPr>
        <w:t>响应</w:t>
      </w:r>
      <w:r>
        <w:rPr>
          <w:rFonts w:hint="eastAsia" w:ascii="宋体" w:hAnsi="宋体" w:cs="宋体"/>
          <w:b/>
          <w:bCs/>
          <w:sz w:val="32"/>
          <w:szCs w:val="32"/>
          <w:lang w:val="zh-CN"/>
        </w:rPr>
        <w:t>）</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（项目名称）【项目编号：（采购编号）】</w:t>
      </w:r>
      <w:r>
        <w:rPr>
          <w:rFonts w:hint="eastAsia" w:ascii="宋体" w:hAnsi="宋体" w:cs="宋体"/>
          <w:kern w:val="0"/>
          <w:sz w:val="24"/>
          <w:lang w:val="zh-CN"/>
        </w:rPr>
        <w:t>政府采购</w:t>
      </w:r>
      <w:r>
        <w:rPr>
          <w:rFonts w:hint="eastAsia" w:ascii="宋体" w:hAnsi="宋体" w:cs="宋体"/>
          <w:kern w:val="0"/>
          <w:sz w:val="24"/>
        </w:rPr>
        <w:t>响应</w:t>
      </w:r>
      <w:r>
        <w:rPr>
          <w:rFonts w:hint="eastAsia" w:ascii="宋体" w:hAnsi="宋体" w:cs="宋体"/>
          <w:kern w:val="0"/>
          <w:sz w:val="24"/>
          <w:lang w:val="zh-CN"/>
        </w:rPr>
        <w:t>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供应商名称(电子签名)：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jc w:val="center"/>
        <w:rPr>
          <w:rFonts w:ascii="宋体" w:hAnsi="宋体" w:cs="宋体"/>
          <w:b/>
          <w:bCs/>
          <w:sz w:val="32"/>
          <w:szCs w:val="32"/>
          <w:lang w:val="zh-CN"/>
        </w:rPr>
      </w:pPr>
      <w:r>
        <w:rPr>
          <w:rFonts w:hint="eastAsia" w:ascii="宋体" w:hAnsi="宋体" w:cs="宋体"/>
          <w:b/>
          <w:bCs/>
          <w:sz w:val="32"/>
          <w:szCs w:val="32"/>
          <w:lang w:val="zh-CN"/>
        </w:rPr>
        <w:t>授权委托书（适用于联合体</w:t>
      </w:r>
      <w:r>
        <w:rPr>
          <w:rFonts w:hint="eastAsia" w:ascii="宋体" w:hAnsi="宋体" w:cs="宋体"/>
          <w:b/>
          <w:bCs/>
          <w:sz w:val="32"/>
          <w:szCs w:val="32"/>
        </w:rPr>
        <w:t>响应</w:t>
      </w:r>
      <w:r>
        <w:rPr>
          <w:rFonts w:hint="eastAsia" w:ascii="宋体" w:hAnsi="宋体" w:cs="宋体"/>
          <w:b/>
          <w:bCs/>
          <w:sz w:val="32"/>
          <w:szCs w:val="32"/>
          <w:lang w:val="zh-CN"/>
        </w:rPr>
        <w:t>）</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（项目名称）【项目编号：（采购编号）】</w:t>
      </w:r>
      <w:r>
        <w:rPr>
          <w:rFonts w:hint="eastAsia" w:ascii="宋体" w:hAnsi="宋体" w:cs="宋体"/>
          <w:kern w:val="0"/>
          <w:sz w:val="24"/>
          <w:lang w:val="zh-CN"/>
        </w:rPr>
        <w:t>政府采购</w:t>
      </w:r>
      <w:r>
        <w:rPr>
          <w:rFonts w:hint="eastAsia" w:ascii="宋体" w:hAnsi="宋体" w:cs="宋体"/>
          <w:kern w:val="0"/>
          <w:sz w:val="24"/>
        </w:rPr>
        <w:t>响应</w:t>
      </w:r>
      <w:r>
        <w:rPr>
          <w:rFonts w:hint="eastAsia" w:ascii="宋体" w:hAnsi="宋体" w:cs="宋体"/>
          <w:kern w:val="0"/>
          <w:sz w:val="24"/>
          <w:lang w:val="zh-CN"/>
        </w:rPr>
        <w:t>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jc w:val="center"/>
        <w:rPr>
          <w:rFonts w:ascii="宋体" w:hAnsi="宋体" w:cs="宋体"/>
          <w:b/>
          <w:bCs/>
          <w:sz w:val="32"/>
          <w:szCs w:val="32"/>
        </w:rPr>
      </w:pPr>
      <w:r>
        <w:rPr>
          <w:rFonts w:hint="eastAsia" w:ascii="宋体" w:hAnsi="宋体" w:cs="宋体"/>
          <w:b/>
          <w:bCs/>
          <w:sz w:val="32"/>
          <w:szCs w:val="32"/>
          <w:lang w:val="zh-CN"/>
        </w:rPr>
        <w:t>法定代表人、单位负责人或自然人本人</w:t>
      </w:r>
      <w:r>
        <w:rPr>
          <w:rFonts w:hint="eastAsia" w:ascii="宋体" w:hAnsi="宋体" w:cs="宋体"/>
          <w:b/>
          <w:bCs/>
          <w:sz w:val="32"/>
          <w:szCs w:val="32"/>
        </w:rPr>
        <w:t>的身份证明（适用于法定代表人、单位负责人或者自然人本人代表供应商参加响应）</w:t>
      </w:r>
    </w:p>
    <w:p>
      <w:pPr>
        <w:pStyle w:val="148"/>
        <w:spacing w:line="360" w:lineRule="auto"/>
        <w:rPr>
          <w:rFonts w:hAnsi="宋体" w:cs="宋体"/>
          <w:bCs/>
          <w:sz w:val="24"/>
        </w:rPr>
      </w:pPr>
      <w:r>
        <w:rPr>
          <w:rFonts w:hint="eastAsia" w:hAnsi="宋体" w:cs="宋体"/>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供应商名称(电子签名)：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sz w:val="32"/>
          <w:szCs w:val="32"/>
        </w:rPr>
      </w:pPr>
      <w:r>
        <w:rPr>
          <w:rFonts w:hint="eastAsia" w:ascii="宋体" w:hAnsi="宋体" w:cs="宋体"/>
          <w:b/>
          <w:bCs/>
          <w:sz w:val="32"/>
          <w:szCs w:val="32"/>
        </w:rPr>
        <w:t>三、分包意向协议</w:t>
      </w:r>
    </w:p>
    <w:p>
      <w:pPr>
        <w:widowControl/>
        <w:spacing w:line="360" w:lineRule="auto"/>
        <w:ind w:firstLine="120" w:firstLineChars="50"/>
        <w:jc w:val="left"/>
        <w:rPr>
          <w:rFonts w:ascii="宋体" w:hAnsi="宋体" w:cs="宋体"/>
          <w:sz w:val="24"/>
        </w:rPr>
      </w:pPr>
      <w:bookmarkStart w:id="429" w:name="_Hlk101169080"/>
      <w:r>
        <w:rPr>
          <w:rFonts w:hint="eastAsia" w:ascii="宋体" w:hAnsi="宋体" w:cs="宋体"/>
          <w:sz w:val="24"/>
        </w:rPr>
        <w:t>[</w:t>
      </w:r>
      <w:r>
        <w:rPr>
          <w:rFonts w:hint="eastAsia" w:ascii="宋体" w:hAnsi="宋体" w:cs="宋体"/>
          <w:b/>
          <w:sz w:val="24"/>
        </w:rPr>
        <w:t>成交后以分包方式履行合同的，提供分包意向协议(附件6</w:t>
      </w:r>
      <w:r>
        <w:rPr>
          <w:rFonts w:ascii="宋体" w:hAnsi="宋体" w:cs="宋体"/>
          <w:b/>
          <w:sz w:val="24"/>
        </w:rPr>
        <w:t>)</w:t>
      </w:r>
      <w:r>
        <w:rPr>
          <w:rFonts w:hint="eastAsia" w:ascii="宋体" w:hAnsi="宋体" w:cs="宋体"/>
          <w:b/>
          <w:sz w:val="24"/>
        </w:rPr>
        <w:t>；采购人不同意分包或者供应商成交后不以分包方式履行合同的，则不需要提供。</w:t>
      </w:r>
      <w:r>
        <w:rPr>
          <w:rFonts w:hint="eastAsia" w:ascii="宋体" w:hAnsi="宋体" w:cs="宋体"/>
          <w:sz w:val="24"/>
        </w:rPr>
        <w:t>]</w:t>
      </w:r>
    </w:p>
    <w:bookmarkEnd w:id="429"/>
    <w:p>
      <w:pPr>
        <w:snapToGrid w:val="0"/>
        <w:spacing w:line="360" w:lineRule="auto"/>
        <w:rPr>
          <w:rFonts w:ascii="宋体" w:hAnsi="宋体" w:cs="宋体"/>
          <w:kern w:val="0"/>
          <w:sz w:val="24"/>
        </w:rPr>
      </w:pPr>
    </w:p>
    <w:p>
      <w:pPr>
        <w:snapToGrid w:val="0"/>
        <w:jc w:val="center"/>
        <w:rPr>
          <w:rFonts w:ascii="宋体" w:hAnsi="宋体" w:cs="宋体"/>
          <w:b/>
          <w:bCs/>
          <w:sz w:val="32"/>
          <w:szCs w:val="32"/>
        </w:rPr>
      </w:pPr>
      <w:r>
        <w:rPr>
          <w:rFonts w:hint="eastAsia" w:ascii="宋体" w:hAnsi="宋体" w:cs="宋体"/>
          <w:b/>
          <w:bCs/>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响应文件中的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vAlign w:val="center"/>
          </w:tcPr>
          <w:p>
            <w:pPr>
              <w:spacing w:line="360" w:lineRule="auto"/>
              <w:rPr>
                <w:rFonts w:ascii="宋体" w:hAnsi="宋体" w:cs="宋体"/>
                <w:sz w:val="24"/>
              </w:rPr>
            </w:pPr>
            <w:r>
              <w:rPr>
                <w:rFonts w:hint="eastAsia" w:ascii="宋体" w:hAnsi="宋体" w:cs="宋体"/>
                <w:sz w:val="24"/>
              </w:rPr>
              <w:t>响应文件按照采购文件要求签署、盖章。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需要使用电子签名或者签字盖章的响应文件的组成部分</w:t>
            </w:r>
          </w:p>
        </w:tc>
        <w:tc>
          <w:tcPr>
            <w:tcW w:w="1418" w:type="dxa"/>
            <w:vAlign w:val="center"/>
          </w:tcPr>
          <w:p>
            <w:pPr>
              <w:rPr>
                <w:rFonts w:ascii="宋体" w:hAnsi="宋体" w:cs="宋体"/>
                <w:sz w:val="24"/>
              </w:rPr>
            </w:pPr>
            <w:r>
              <w:rPr>
                <w:rFonts w:hint="eastAsia" w:ascii="宋体" w:hAnsi="宋体" w:cs="宋体"/>
                <w:sz w:val="24"/>
              </w:rPr>
              <w:t>见响应文件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2</w:t>
            </w:r>
          </w:p>
        </w:tc>
        <w:tc>
          <w:tcPr>
            <w:tcW w:w="4991" w:type="dxa"/>
            <w:vAlign w:val="center"/>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采购人拟采购的产品属于政府强制采购的节能产品品目清单范围的，供应商按采购文件要求提供国家确定的认证机构出具的、处于有效期之内的节能产品认证证书。</w:t>
            </w:r>
          </w:p>
        </w:tc>
        <w:tc>
          <w:tcPr>
            <w:tcW w:w="2551" w:type="dxa"/>
            <w:vAlign w:val="center"/>
          </w:tcPr>
          <w:p>
            <w:pPr>
              <w:rPr>
                <w:rFonts w:ascii="宋体" w:hAnsi="宋体" w:cs="宋体"/>
                <w:sz w:val="24"/>
              </w:rPr>
            </w:pPr>
            <w:r>
              <w:rPr>
                <w:rFonts w:hint="eastAsia" w:ascii="宋体" w:hAnsi="宋体" w:cs="宋体"/>
                <w:sz w:val="24"/>
              </w:rPr>
              <w:t>节能产品认证证书（本项目拟采购的产品不属于政府强制采购的节能产品品目清单范围的，无需提供）</w:t>
            </w:r>
          </w:p>
        </w:tc>
        <w:tc>
          <w:tcPr>
            <w:tcW w:w="1418" w:type="dxa"/>
            <w:vAlign w:val="center"/>
          </w:tcPr>
          <w:p>
            <w:pPr>
              <w:rPr>
                <w:rFonts w:ascii="宋体" w:hAnsi="宋体" w:cs="宋体"/>
                <w:sz w:val="24"/>
              </w:rPr>
            </w:pPr>
            <w:r>
              <w:rPr>
                <w:rFonts w:hint="eastAsia" w:ascii="宋体" w:hAnsi="宋体" w:cs="宋体"/>
                <w:sz w:val="24"/>
              </w:rPr>
              <w:t>见响应文件</w:t>
            </w:r>
          </w:p>
          <w:p>
            <w:pPr>
              <w:pStyle w:val="5"/>
              <w:jc w:val="both"/>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vAlign w:val="center"/>
          </w:tcPr>
          <w:p>
            <w:pPr>
              <w:spacing w:line="360" w:lineRule="auto"/>
              <w:rPr>
                <w:rFonts w:ascii="宋体" w:hAnsi="宋体" w:cs="宋体"/>
                <w:sz w:val="24"/>
              </w:rPr>
            </w:pPr>
            <w:r>
              <w:rPr>
                <w:rFonts w:hint="eastAsia" w:ascii="宋体" w:hAnsi="宋体" w:cs="宋体"/>
                <w:sz w:val="24"/>
              </w:rPr>
              <w:t>响应文件中承诺的响应文件有效期不少于采购文件中载明的响应文件有效期。</w:t>
            </w:r>
          </w:p>
        </w:tc>
        <w:tc>
          <w:tcPr>
            <w:tcW w:w="2551" w:type="dxa"/>
            <w:vAlign w:val="center"/>
          </w:tcPr>
          <w:p>
            <w:pPr>
              <w:rPr>
                <w:rFonts w:ascii="宋体" w:hAnsi="宋体" w:cs="宋体"/>
                <w:sz w:val="24"/>
              </w:rPr>
            </w:pPr>
            <w:r>
              <w:rPr>
                <w:rFonts w:hint="eastAsia" w:ascii="宋体" w:hAnsi="宋体" w:cs="宋体"/>
                <w:sz w:val="24"/>
              </w:rPr>
              <w:t>响应函</w:t>
            </w:r>
          </w:p>
        </w:tc>
        <w:tc>
          <w:tcPr>
            <w:tcW w:w="1418" w:type="dxa"/>
            <w:vAlign w:val="center"/>
          </w:tcPr>
          <w:p>
            <w:pPr>
              <w:rPr>
                <w:rFonts w:ascii="宋体" w:hAnsi="宋体" w:cs="宋体"/>
              </w:rPr>
            </w:pPr>
            <w:r>
              <w:rPr>
                <w:rFonts w:hint="eastAsia" w:ascii="宋体" w:hAnsi="宋体" w:cs="宋体"/>
                <w:sz w:val="24"/>
              </w:rPr>
              <w:t>见响应文件第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4</w:t>
            </w:r>
          </w:p>
        </w:tc>
        <w:tc>
          <w:tcPr>
            <w:tcW w:w="4991" w:type="dxa"/>
            <w:vAlign w:val="center"/>
          </w:tcPr>
          <w:p>
            <w:pPr>
              <w:spacing w:line="360" w:lineRule="auto"/>
              <w:rPr>
                <w:rFonts w:ascii="宋体" w:hAnsi="宋体" w:cs="宋体"/>
                <w:sz w:val="24"/>
              </w:rPr>
            </w:pPr>
            <w:r>
              <w:rPr>
                <w:rFonts w:hint="eastAsia" w:ascii="宋体" w:hAnsi="宋体" w:cs="宋体"/>
                <w:sz w:val="24"/>
              </w:rPr>
              <w:t>响应文件满足采购文件的其它实质性要求。</w:t>
            </w:r>
          </w:p>
        </w:tc>
        <w:tc>
          <w:tcPr>
            <w:tcW w:w="2551" w:type="dxa"/>
            <w:vAlign w:val="center"/>
          </w:tcPr>
          <w:p>
            <w:pPr>
              <w:rPr>
                <w:rFonts w:ascii="宋体" w:hAnsi="宋体" w:cs="宋体"/>
                <w:sz w:val="24"/>
              </w:rPr>
            </w:pPr>
            <w:r>
              <w:rPr>
                <w:rFonts w:hint="eastAsia" w:ascii="宋体" w:hAnsi="宋体" w:cs="宋体"/>
                <w:kern w:val="0"/>
                <w:sz w:val="24"/>
              </w:rPr>
              <w:t>采购文件其它实质性要求相应的材料（“▲” 系指实质性要求条款，采购文件无其它实质性要求的，无需提供）</w:t>
            </w:r>
          </w:p>
        </w:tc>
        <w:tc>
          <w:tcPr>
            <w:tcW w:w="1418" w:type="dxa"/>
            <w:vAlign w:val="center"/>
          </w:tcPr>
          <w:p>
            <w:pPr>
              <w:rPr>
                <w:rFonts w:ascii="宋体" w:hAnsi="宋体" w:cs="宋体"/>
              </w:rPr>
            </w:pPr>
            <w:r>
              <w:rPr>
                <w:rFonts w:hint="eastAsia" w:ascii="宋体" w:hAnsi="宋体" w:cs="宋体"/>
                <w:sz w:val="24"/>
              </w:rPr>
              <w:t>见响应文件第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jc w:val="center"/>
        <w:rPr>
          <w:rFonts w:ascii="宋体" w:hAnsi="宋体" w:cs="宋体"/>
          <w:b/>
          <w:bCs/>
          <w:sz w:val="32"/>
          <w:szCs w:val="32"/>
        </w:rPr>
      </w:pPr>
      <w:r>
        <w:rPr>
          <w:rFonts w:hint="eastAsia" w:ascii="宋体" w:hAnsi="宋体" w:cs="宋体"/>
          <w:b/>
          <w:bCs/>
          <w:sz w:val="32"/>
          <w:szCs w:val="32"/>
        </w:rPr>
        <w:t>五、评审标准相应的商务技术资料</w:t>
      </w:r>
    </w:p>
    <w:p>
      <w:pPr>
        <w:snapToGrid w:val="0"/>
        <w:spacing w:line="360" w:lineRule="auto"/>
        <w:jc w:val="left"/>
        <w:rPr>
          <w:rFonts w:ascii="宋体" w:hAnsi="宋体" w:cs="宋体"/>
          <w:b/>
          <w:sz w:val="24"/>
        </w:rPr>
      </w:pPr>
      <w:r>
        <w:rPr>
          <w:rFonts w:hint="eastAsia" w:ascii="宋体" w:hAnsi="宋体" w:cs="宋体"/>
          <w:b/>
          <w:sz w:val="24"/>
        </w:rPr>
        <w:t>（按采购文件第四部分评审办法前附表中“响应文件中评审标准相应的商务技术资料目录”提供资料。）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jc w:val="center"/>
        <w:rPr>
          <w:rFonts w:ascii="宋体" w:hAnsi="宋体" w:cs="宋体"/>
          <w:b/>
          <w:bCs/>
          <w:sz w:val="32"/>
          <w:szCs w:val="32"/>
        </w:rPr>
      </w:pPr>
      <w:r>
        <w:rPr>
          <w:rFonts w:hint="eastAsia" w:ascii="宋体" w:hAnsi="宋体" w:cs="宋体"/>
          <w:b/>
          <w:bCs/>
          <w:sz w:val="32"/>
          <w:szCs w:val="32"/>
        </w:rPr>
        <w:t>六、商务技术偏离表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采购文件章节及具体内容</w:t>
            </w:r>
          </w:p>
        </w:tc>
        <w:tc>
          <w:tcPr>
            <w:tcW w:w="3546" w:type="dxa"/>
          </w:tcPr>
          <w:p>
            <w:pPr>
              <w:jc w:val="center"/>
              <w:rPr>
                <w:rFonts w:ascii="宋体" w:hAnsi="宋体" w:cs="宋体"/>
                <w:b/>
                <w:bCs/>
                <w:sz w:val="24"/>
              </w:rPr>
            </w:pPr>
            <w:r>
              <w:rPr>
                <w:rFonts w:hint="eastAsia" w:ascii="宋体" w:hAnsi="宋体" w:cs="宋体"/>
                <w:b/>
                <w:bCs/>
                <w:sz w:val="24"/>
              </w:rPr>
              <w:t>响应文件章节及具体内容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供应商保证：除商务技术偏离表列出的偏离外，供应商响应采购文件的全部要求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sectPr>
          <w:footerReference r:id="rId14" w:type="first"/>
          <w:footerReference r:id="rId13" w:type="default"/>
          <w:pgSz w:w="11906" w:h="16838"/>
          <w:pgMar w:top="1440" w:right="1080" w:bottom="1440" w:left="1080" w:header="851" w:footer="992" w:gutter="0"/>
          <w:cols w:space="720" w:num="1"/>
          <w:titlePg/>
          <w:docGrid w:linePitch="312" w:charSpace="0"/>
        </w:sectPr>
      </w:pPr>
    </w:p>
    <w:p>
      <w:pPr>
        <w:snapToGrid w:val="0"/>
        <w:jc w:val="center"/>
        <w:rPr>
          <w:rFonts w:ascii="宋体" w:hAnsi="宋体" w:cs="宋体"/>
          <w:b/>
          <w:kern w:val="0"/>
          <w:sz w:val="32"/>
          <w:szCs w:val="32"/>
        </w:rPr>
      </w:pPr>
      <w:r>
        <w:rPr>
          <w:rFonts w:hint="eastAsia" w:ascii="宋体" w:hAnsi="宋体" w:cs="宋体"/>
          <w:b/>
          <w:bCs/>
          <w:sz w:val="32"/>
          <w:szCs w:val="32"/>
        </w:rPr>
        <w:t>七</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五、不为项目有关人员个人装修住房、婚丧嫁娶、配偶子女工作安排等提供好处；</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pgSz w:w="11906" w:h="16838"/>
          <w:pgMar w:top="1440" w:right="1080" w:bottom="1440" w:left="1080"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（1）报价单…………………………………………………………………………（页码）</w:t>
      </w:r>
    </w:p>
    <w:p>
      <w:pPr>
        <w:snapToGrid w:val="0"/>
        <w:spacing w:line="360" w:lineRule="auto"/>
        <w:rPr>
          <w:rFonts w:ascii="宋体" w:hAnsi="宋体" w:cs="宋体"/>
          <w:sz w:val="24"/>
        </w:rPr>
      </w:pPr>
      <w:r>
        <w:rPr>
          <w:rFonts w:hint="eastAsia" w:ascii="宋体" w:hAnsi="宋体" w:cs="宋体"/>
          <w:sz w:val="24"/>
        </w:rPr>
        <w:t>（2）已标价工程量清单……………………………………………………………（页码）</w:t>
      </w:r>
    </w:p>
    <w:p>
      <w:pPr>
        <w:snapToGrid w:val="0"/>
        <w:spacing w:line="360" w:lineRule="auto"/>
        <w:rPr>
          <w:rFonts w:ascii="宋体" w:hAnsi="宋体" w:cs="宋体"/>
          <w:sz w:val="24"/>
        </w:rPr>
      </w:pPr>
      <w:r>
        <w:rPr>
          <w:rFonts w:hint="eastAsia" w:ascii="宋体" w:hAnsi="宋体" w:cs="宋体"/>
          <w:sz w:val="24"/>
        </w:rPr>
        <w:t>（3）中小企业声明函………………………………………………………………（页码）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footerReference r:id="rId17" w:type="first"/>
          <w:headerReference r:id="rId15" w:type="default"/>
          <w:footerReference r:id="rId16" w:type="default"/>
          <w:pgSz w:w="11906" w:h="16838"/>
          <w:pgMar w:top="1440" w:right="1080" w:bottom="1440" w:left="1080"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一、报价单</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按你方采购文件要求，我们，本响应文件签字方，谨此向你方发出要约如下：如你方接受本投标，我方承诺按照如下报价单的价格完成</w:t>
      </w:r>
      <w:r>
        <w:rPr>
          <w:rFonts w:hint="eastAsia" w:ascii="宋体" w:hAnsi="宋体" w:cs="宋体"/>
          <w:sz w:val="24"/>
        </w:rPr>
        <w:t>（项目名称）</w:t>
      </w:r>
      <w:r>
        <w:rPr>
          <w:rFonts w:hint="eastAsia" w:ascii="宋体" w:hAnsi="宋体" w:cs="宋体"/>
          <w:kern w:val="0"/>
          <w:sz w:val="24"/>
          <w:lang w:val="zh-CN"/>
        </w:rPr>
        <w:t>【项目编号：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报价单</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3118"/>
        <w:gridCol w:w="2552"/>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951" w:type="dxa"/>
            <w:vAlign w:val="center"/>
          </w:tcPr>
          <w:p>
            <w:pPr>
              <w:spacing w:line="360" w:lineRule="auto"/>
              <w:jc w:val="center"/>
              <w:rPr>
                <w:rFonts w:ascii="宋体" w:hAnsi="宋体" w:cs="宋体"/>
                <w:b/>
                <w:sz w:val="24"/>
              </w:rPr>
            </w:pPr>
            <w:r>
              <w:rPr>
                <w:rFonts w:hint="eastAsia" w:ascii="宋体" w:hAnsi="宋体" w:cs="宋体"/>
                <w:b/>
                <w:sz w:val="24"/>
              </w:rPr>
              <w:t>项目名称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施工范围</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施工工期</w:t>
            </w:r>
          </w:p>
        </w:tc>
        <w:tc>
          <w:tcPr>
            <w:tcW w:w="2552" w:type="dxa"/>
            <w:vAlign w:val="center"/>
          </w:tcPr>
          <w:p>
            <w:pPr>
              <w:spacing w:line="360" w:lineRule="auto"/>
              <w:jc w:val="center"/>
              <w:rPr>
                <w:rFonts w:ascii="宋体" w:hAnsi="宋体" w:cs="宋体"/>
                <w:b/>
                <w:sz w:val="24"/>
              </w:rPr>
            </w:pPr>
            <w:r>
              <w:rPr>
                <w:rFonts w:hint="eastAsia" w:ascii="宋体" w:hAnsi="宋体" w:cs="宋体"/>
                <w:b/>
                <w:sz w:val="24"/>
              </w:rPr>
              <w:t>项目经理</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执业证书信息</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51"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2552"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spacing w:line="360" w:lineRule="auto"/>
              <w:jc w:val="center"/>
              <w:rPr>
                <w:rFonts w:ascii="宋体" w:hAnsi="宋体" w:cs="宋体"/>
                <w:b/>
                <w:sz w:val="24"/>
              </w:rPr>
            </w:pPr>
            <w:r>
              <w:rPr>
                <w:rFonts w:hint="eastAsia" w:ascii="宋体" w:hAnsi="宋体" w:cs="宋体"/>
                <w:b/>
                <w:sz w:val="24"/>
              </w:rPr>
              <w:t>磋商</w:t>
            </w:r>
            <w:r>
              <w:rPr>
                <w:rFonts w:hint="eastAsia" w:ascii="宋体" w:hAnsi="宋体" w:cs="宋体"/>
                <w:b/>
                <w:sz w:val="24"/>
                <w:lang w:val="en-US" w:eastAsia="zh-CN"/>
              </w:rPr>
              <w:t>折扣率</w:t>
            </w:r>
            <w:r>
              <w:rPr>
                <w:rFonts w:hint="eastAsia" w:ascii="宋体" w:hAnsi="宋体" w:cs="宋体"/>
                <w:b/>
                <w:sz w:val="24"/>
              </w:rPr>
              <w:t>报价（小写）</w:t>
            </w:r>
          </w:p>
        </w:tc>
        <w:tc>
          <w:tcPr>
            <w:tcW w:w="7655" w:type="dxa"/>
            <w:gridSpan w:val="3"/>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ascii="宋体" w:hAnsi="宋体" w:cs="宋体"/>
                <w:b/>
                <w:sz w:val="24"/>
              </w:rPr>
            </w:pPr>
            <w:r>
              <w:rPr>
                <w:rFonts w:hint="eastAsia" w:ascii="宋体" w:hAnsi="宋体" w:cs="宋体"/>
                <w:b/>
                <w:sz w:val="24"/>
              </w:rPr>
              <w:t>磋商</w:t>
            </w:r>
            <w:r>
              <w:rPr>
                <w:rFonts w:hint="eastAsia" w:ascii="宋体" w:hAnsi="宋体" w:cs="宋体"/>
                <w:b/>
                <w:sz w:val="24"/>
                <w:lang w:val="en-US" w:eastAsia="zh-CN"/>
              </w:rPr>
              <w:t>折扣率报价</w:t>
            </w:r>
            <w:r>
              <w:rPr>
                <w:rFonts w:hint="eastAsia" w:ascii="宋体" w:hAnsi="宋体" w:cs="宋体"/>
                <w:b/>
                <w:sz w:val="24"/>
              </w:rPr>
              <w:t>（大写）</w:t>
            </w:r>
          </w:p>
        </w:tc>
        <w:tc>
          <w:tcPr>
            <w:tcW w:w="7655" w:type="dxa"/>
            <w:gridSpan w:val="3"/>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响应文件含有采购人不能接受的附加条件，响应文件无效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响应文件含有采购人不能接受的附加条件，响应文件无效</w:t>
      </w:r>
      <w:r>
        <w:rPr>
          <w:rFonts w:hint="eastAsia" w:ascii="宋体" w:hAnsi="宋体" w:cs="宋体"/>
          <w:b/>
          <w:color w:val="auto"/>
          <w:kern w:val="0"/>
          <w:sz w:val="24"/>
          <w:lang w:val="zh-CN"/>
        </w:rPr>
        <w:t>；采购内容未包含在《报价单》名称栏中，供应商不能作出合理解释的，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响应文件含有采购人不能接受的附加条件的，响应文件无效。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3、特别提示：采购代理机构将对项目名称和项目编号，成交供应商名称、地址和成交金额、施工范围、施工工期、项目经理、执业证书信息、品牌（如果有）、规格型号、数量、单价等予以公示。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w:t>
      </w:r>
      <w:r>
        <w:rPr>
          <w:rFonts w:hint="eastAsia" w:ascii="宋体" w:hAnsi="宋体" w:cs="宋体"/>
          <w:kern w:val="0"/>
          <w:sz w:val="24"/>
          <w:lang w:val="zh-CN"/>
        </w:rPr>
        <w:t>究相应责任。</w:t>
      </w:r>
    </w:p>
    <w:p>
      <w:pPr>
        <w:spacing w:line="360" w:lineRule="auto"/>
        <w:ind w:firstLine="482" w:firstLineChars="200"/>
        <w:rPr>
          <w:rFonts w:ascii="宋体" w:hAnsi="宋体" w:cs="宋体"/>
          <w:b/>
          <w:kern w:val="0"/>
          <w:sz w:val="24"/>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3"/>
        <w:ind w:left="0" w:leftChars="0" w:firstLine="0" w:firstLineChars="0"/>
        <w:rPr>
          <w:rFonts w:cs="宋体"/>
          <w:sz w:val="24"/>
        </w:rPr>
        <w:sectPr>
          <w:footerReference r:id="rId21" w:type="first"/>
          <w:headerReference r:id="rId18" w:type="default"/>
          <w:footerReference r:id="rId19" w:type="default"/>
          <w:footerReference r:id="rId20" w:type="even"/>
          <w:pgSz w:w="16838" w:h="11906" w:orient="landscape"/>
          <w:pgMar w:top="1083" w:right="1440" w:bottom="1083" w:left="1440" w:header="851" w:footer="992" w:gutter="0"/>
          <w:cols w:space="0" w:num="1"/>
          <w:titlePg/>
          <w:rtlGutter w:val="0"/>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三、</w:t>
      </w:r>
      <w:r>
        <w:rPr>
          <w:rFonts w:hint="eastAsia" w:ascii="宋体" w:hAnsi="宋体" w:eastAsia="宋体" w:cs="宋体"/>
          <w:sz w:val="32"/>
          <w:szCs w:val="32"/>
        </w:rPr>
        <w:t>中小企业声明函</w:t>
      </w:r>
      <w:bookmarkStart w:id="430" w:name="_Hlk101259491"/>
      <w:r>
        <w:rPr>
          <w:rFonts w:hint="eastAsia" w:ascii="宋体" w:hAnsi="宋体" w:eastAsia="宋体" w:cs="宋体"/>
          <w:sz w:val="32"/>
          <w:szCs w:val="32"/>
        </w:rPr>
        <w:t>（如果有）</w:t>
      </w:r>
      <w:bookmarkEnd w:id="430"/>
    </w:p>
    <w:p>
      <w:pPr>
        <w:widowControl/>
        <w:spacing w:line="360" w:lineRule="auto"/>
        <w:ind w:firstLine="120" w:firstLineChars="50"/>
        <w:jc w:val="left"/>
        <w:rPr>
          <w:rFonts w:ascii="宋体" w:hAnsi="宋体" w:cs="宋体"/>
          <w:b/>
          <w:sz w:val="24"/>
        </w:rPr>
      </w:pPr>
      <w:r>
        <w:rPr>
          <w:rFonts w:hint="eastAsia" w:ascii="宋体" w:hAnsi="宋体" w:cs="宋体"/>
          <w:b/>
          <w:sz w:val="24"/>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31" w:name="_Toc465665161"/>
      <w:r>
        <w:rPr>
          <w:rFonts w:hint="eastAsia" w:ascii="宋体" w:hAnsi="宋体" w:cs="宋体"/>
        </w:rPr>
        <w:t>附件</w:t>
      </w:r>
      <w:bookmarkEnd w:id="431"/>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32" w:name="OLE_LINK13"/>
      <w:bookmarkStart w:id="433" w:name="OLE_LINK14"/>
      <w:r>
        <w:rPr>
          <w:rFonts w:hint="eastAsia" w:ascii="宋体" w:hAnsi="宋体" w:cs="宋体"/>
          <w:b/>
          <w:spacing w:val="6"/>
          <w:sz w:val="32"/>
          <w:szCs w:val="32"/>
        </w:rPr>
        <w:t>残疾人福利性单位声明函</w:t>
      </w:r>
    </w:p>
    <w:bookmarkEnd w:id="432"/>
    <w:bookmarkEnd w:id="433"/>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供应商名称（电子签名）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(供应商全称)是中华人民共和国依法登记注册的合法企业，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你方组织的（项目名称）项目【项目编号：（采购编号）】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供应商（法定名称章）：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w:t>供应商</w:t>
      </w:r>
      <w:r>
        <w:rPr>
          <w:rFonts w:hint="eastAsia" w:ascii="宋体" w:hAnsi="宋体" w:cs="宋体"/>
          <w:sz w:val="24"/>
        </w:rPr>
        <w:t>法定名称章（印模）                供应商“XX专用章”（印模）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（以联合体形式参与的，提供联合协议；本项目不接受联合体或者供应商不以联合体形式参与的，则不需要提供）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组成一个联合体，以一个供应商的身份</w:t>
      </w:r>
      <w:r>
        <w:rPr>
          <w:rFonts w:hint="eastAsia" w:ascii="宋体" w:hAnsi="宋体" w:cs="宋体"/>
          <w:kern w:val="0"/>
          <w:sz w:val="24"/>
        </w:rPr>
        <w:t>参加</w:t>
      </w:r>
      <w:r>
        <w:rPr>
          <w:rFonts w:hint="eastAsia" w:ascii="宋体" w:hAnsi="宋体" w:cs="宋体"/>
          <w:sz w:val="24"/>
        </w:rPr>
        <w:t>（项目名称）【项目编号：（采购编号）】</w:t>
      </w:r>
      <w:r>
        <w:rPr>
          <w:rFonts w:hint="eastAsia" w:ascii="宋体" w:hAnsi="宋体" w:cs="宋体"/>
          <w:kern w:val="0"/>
          <w:sz w:val="24"/>
        </w:rPr>
        <w:t>响应</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授权代表根据采购文件规定及</w:t>
      </w:r>
      <w:r>
        <w:rPr>
          <w:rFonts w:hint="eastAsia" w:ascii="宋体" w:hAnsi="宋体" w:cs="宋体"/>
          <w:kern w:val="0"/>
          <w:sz w:val="24"/>
        </w:rPr>
        <w:t>响应内容</w:t>
      </w:r>
      <w:r>
        <w:rPr>
          <w:rFonts w:hint="eastAsia" w:ascii="宋体" w:hAnsi="宋体" w:cs="宋体"/>
          <w:kern w:val="0"/>
          <w:sz w:val="24"/>
          <w:lang w:val="zh-CN"/>
        </w:rPr>
        <w:t>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w:t>
      </w:r>
      <w:r>
        <w:rPr>
          <w:rFonts w:hint="eastAsia" w:ascii="宋体" w:hAnsi="宋体" w:cs="宋体"/>
          <w:kern w:val="0"/>
          <w:sz w:val="24"/>
        </w:rPr>
        <w:t>响应</w:t>
      </w:r>
      <w:r>
        <w:rPr>
          <w:rFonts w:hint="eastAsia" w:ascii="宋体" w:hAnsi="宋体" w:cs="宋体"/>
          <w:kern w:val="0"/>
          <w:sz w:val="24"/>
          <w:lang w:val="zh-CN"/>
        </w:rPr>
        <w:t>中，分工如下：</w:t>
      </w:r>
    </w:p>
    <w:p>
      <w:pPr>
        <w:snapToGrid w:val="0"/>
        <w:spacing w:line="360" w:lineRule="auto"/>
        <w:ind w:firstLine="576"/>
        <w:rPr>
          <w:rFonts w:ascii="宋体" w:hAnsi="宋体" w:cs="宋体"/>
          <w:kern w:val="0"/>
          <w:sz w:val="24"/>
          <w:lang w:val="zh-CN"/>
        </w:rPr>
      </w:pPr>
      <w:bookmarkStart w:id="434"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434"/>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提供的全部工程由小微企业承建，其合同份额占到合同总金额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w:t>
      </w:r>
      <w:r>
        <w:rPr>
          <w:rFonts w:hint="eastAsia" w:ascii="宋体" w:hAnsi="宋体" w:cs="宋体"/>
          <w:b/>
          <w:kern w:val="0"/>
          <w:sz w:val="24"/>
        </w:rPr>
        <w:t>磋商</w:t>
      </w:r>
      <w:r>
        <w:rPr>
          <w:rFonts w:hint="eastAsia" w:ascii="宋体" w:hAnsi="宋体" w:cs="宋体"/>
          <w:b/>
          <w:kern w:val="0"/>
          <w:sz w:val="24"/>
          <w:lang w:val="zh-CN"/>
        </w:rPr>
        <w:t>的，联合协议约定小微企业的合同份额占到合同总金额30%以上的，对联合体报价给予</w:t>
      </w:r>
      <w:r>
        <w:rPr>
          <w:rFonts w:hint="eastAsia" w:ascii="宋体" w:hAnsi="宋体" w:cs="宋体"/>
          <w:b/>
          <w:kern w:val="0"/>
          <w:sz w:val="24"/>
        </w:rPr>
        <w:t>2</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要求以联合体形式参加的项目或采购包，供应商按采购文件第一部分竞争性磋商公告申请人的资格要求中规定的联合协议中中小企业、小微企业合同金额应当达到的比例要求填写。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五、如果成交，</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w:t>
      </w:r>
      <w:r>
        <w:rPr>
          <w:rFonts w:hint="eastAsia" w:ascii="宋体" w:hAnsi="宋体" w:cs="宋体"/>
          <w:kern w:val="0"/>
          <w:sz w:val="24"/>
        </w:rPr>
        <w:t>响应</w:t>
      </w:r>
      <w:r>
        <w:rPr>
          <w:rFonts w:hint="eastAsia" w:ascii="宋体" w:hAnsi="宋体" w:cs="宋体"/>
          <w:kern w:val="0"/>
          <w:sz w:val="24"/>
          <w:lang w:val="zh-CN"/>
        </w:rPr>
        <w:t>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sectPr>
          <w:pgSz w:w="11906" w:h="16838"/>
          <w:pgMar w:top="1440" w:right="1083" w:bottom="1440" w:left="1083" w:header="851" w:footer="992" w:gutter="0"/>
          <w:cols w:space="0" w:num="1"/>
          <w:titlePg/>
          <w:rtlGutter w:val="0"/>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成交后以分包方式履行合同的，提供分包意向协议；采购人不同意分包或者供应商成交后不以分包方式履行合同的，则不需要提供。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（供应商名称）</w:t>
      </w:r>
      <w:r>
        <w:rPr>
          <w:rFonts w:hint="eastAsia" w:ascii="宋体" w:hAnsi="宋体" w:cs="宋体"/>
          <w:kern w:val="0"/>
          <w:sz w:val="24"/>
          <w:lang w:val="zh-CN"/>
        </w:rPr>
        <w:t>若成为</w:t>
      </w:r>
      <w:r>
        <w:rPr>
          <w:rFonts w:hint="eastAsia" w:ascii="宋体" w:hAnsi="宋体" w:cs="宋体"/>
          <w:sz w:val="24"/>
        </w:rPr>
        <w:t>（项目名称）【项目编号：（采购编号）】</w:t>
      </w:r>
      <w:r>
        <w:rPr>
          <w:rFonts w:hint="eastAsia" w:ascii="宋体" w:hAnsi="宋体" w:cs="宋体"/>
          <w:kern w:val="0"/>
          <w:sz w:val="24"/>
          <w:lang w:val="zh-CN"/>
        </w:rPr>
        <w:t>的成交供应商，将依法采取分包方式履行合同。</w:t>
      </w:r>
      <w:r>
        <w:rPr>
          <w:rFonts w:hint="eastAsia" w:ascii="宋体" w:hAnsi="宋体" w:cs="宋体"/>
          <w:kern w:val="0"/>
          <w:sz w:val="24"/>
          <w:u w:val="single"/>
        </w:rPr>
        <w:t>（供应商名称）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（供应商名称）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highlight w:val="none"/>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highlight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……）提供的工程全部由小微企业承建，</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（未预留份额专门面向中小企业采购的采购项目，以及预留份额中的非预留部分采购包，允许分包的，分包意向协议约</w:t>
      </w:r>
      <w:r>
        <w:rPr>
          <w:rFonts w:hint="eastAsia" w:ascii="宋体" w:hAnsi="宋体" w:cs="宋体"/>
          <w:b/>
          <w:kern w:val="0"/>
          <w:sz w:val="24"/>
          <w:lang w:val="zh-CN"/>
        </w:rPr>
        <w:t>定小微企业的合同份额占到合同总金额30%以上的，对大中型企业的报价给予</w:t>
      </w:r>
      <w:r>
        <w:rPr>
          <w:rFonts w:hint="eastAsia" w:ascii="宋体" w:hAnsi="宋体" w:cs="宋体"/>
          <w:b/>
          <w:kern w:val="0"/>
          <w:sz w:val="24"/>
        </w:rPr>
        <w:t>2</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3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要求合同分包形式参加的项目或采购包，供应商按采购文件第一部分竞争性磋商公告申请人的资格要求中规定的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43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供应商名称(电子签名)：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sectPr>
          <w:pgSz w:w="11906" w:h="16838"/>
          <w:pgMar w:top="1440" w:right="1083" w:bottom="1440" w:left="1083" w:header="851" w:footer="992" w:gutter="0"/>
          <w:cols w:space="0" w:num="1"/>
          <w:titlePg/>
          <w:rtlGutter w:val="0"/>
          <w:docGrid w:linePitch="312" w:charSpace="0"/>
        </w:sect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7</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w:t>
      </w:r>
    </w:p>
    <w:p>
      <w:pPr>
        <w:spacing w:line="360" w:lineRule="auto"/>
        <w:ind w:firstLine="360" w:firstLineChars="150"/>
        <w:jc w:val="left"/>
        <w:rPr>
          <w:rFonts w:ascii="宋体" w:hAnsi="宋体" w:cs="宋体"/>
          <w:sz w:val="24"/>
          <w:highlight w:val="none"/>
        </w:rPr>
      </w:pPr>
      <w:r>
        <w:rPr>
          <w:rFonts w:hint="eastAsia" w:ascii="宋体" w:hAnsi="宋体" w:cs="宋体"/>
          <w:sz w:val="24"/>
        </w:rPr>
        <w:t>本公司（联合体）郑重声明，根据《政府采购促进中小企业发展管理办法》（财库﹝2020﹞46 号）的规定，本公司</w:t>
      </w:r>
      <w:r>
        <w:rPr>
          <w:rFonts w:hint="eastAsia" w:ascii="宋体" w:hAnsi="宋体" w:cs="宋体"/>
          <w:sz w:val="24"/>
          <w:highlight w:val="none"/>
        </w:rPr>
        <w:t xml:space="preserve">（联合体）参加 </w:t>
      </w:r>
      <w:r>
        <w:rPr>
          <w:rFonts w:hint="eastAsia" w:ascii="宋体" w:hAnsi="宋体" w:cs="宋体"/>
          <w:sz w:val="24"/>
          <w:highlight w:val="none"/>
          <w:lang w:eastAsia="zh-CN"/>
        </w:rPr>
        <w:t>杭州市丁桥医院</w:t>
      </w:r>
      <w:r>
        <w:rPr>
          <w:rFonts w:hint="eastAsia" w:ascii="宋体" w:hAnsi="宋体" w:cs="宋体"/>
          <w:sz w:val="24"/>
          <w:highlight w:val="none"/>
        </w:rPr>
        <w:t>的年度零星修缮项目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lang w:eastAsia="zh-CN"/>
        </w:rPr>
        <w:t>杭州市丁桥医院</w:t>
      </w:r>
      <w:r>
        <w:rPr>
          <w:rFonts w:hint="eastAsia" w:ascii="宋体" w:hAnsi="宋体" w:cs="宋体"/>
          <w:sz w:val="24"/>
          <w:highlight w:val="none"/>
        </w:rPr>
        <w:t xml:space="preserve">年度零星修缮项目，属于 </w:t>
      </w:r>
      <w:r>
        <w:rPr>
          <w:rFonts w:hint="eastAsia" w:ascii="宋体" w:hAnsi="宋体" w:cs="宋体"/>
          <w:sz w:val="24"/>
          <w:highlight w:val="none"/>
          <w:u w:val="single"/>
          <w:lang w:val="en-US" w:eastAsia="zh-CN"/>
        </w:rPr>
        <w:t>建筑业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highlight w:val="none"/>
          <w:lang w:eastAsia="zh-CN"/>
        </w:rPr>
        <w:t>杭州市丁桥医院</w:t>
      </w:r>
      <w:r>
        <w:rPr>
          <w:rFonts w:hint="eastAsia" w:ascii="宋体" w:hAnsi="宋体" w:cs="宋体"/>
          <w:sz w:val="24"/>
          <w:highlight w:val="none"/>
        </w:rPr>
        <w:t>年度零星修缮项目</w:t>
      </w:r>
      <w:r>
        <w:rPr>
          <w:rFonts w:hint="eastAsia" w:ascii="宋体" w:hAnsi="宋体" w:cs="宋体"/>
          <w:sz w:val="24"/>
        </w:rPr>
        <w:t xml:space="preserve">，属于 </w:t>
      </w:r>
      <w:r>
        <w:rPr>
          <w:rFonts w:hint="eastAsia" w:ascii="宋体" w:hAnsi="宋体" w:cs="宋体"/>
          <w:sz w:val="24"/>
          <w:highlight w:val="none"/>
          <w:u w:val="single"/>
          <w:lang w:val="en-US" w:eastAsia="zh-CN"/>
        </w:rPr>
        <w:t>建筑业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firstLine="480" w:firstLineChars="200"/>
        <w:rPr>
          <w:rFonts w:ascii="宋体" w:hAnsi="宋体" w:cs="宋体"/>
          <w:sz w:val="24"/>
        </w:rPr>
      </w:pP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b/>
          <w:sz w:val="32"/>
          <w:szCs w:val="32"/>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sectPr>
      <w:pgSz w:w="11906" w:h="16838"/>
      <w:pgMar w:top="1440" w:right="1083" w:bottom="1440" w:left="1083"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bookmarkStart w:id="436" w:name="_Toc36110187"/>
    <w:bookmarkStart w:id="437" w:name="_Toc164085800"/>
    <w:bookmarkStart w:id="438" w:name="_Toc131845147"/>
    <w:bookmarkStart w:id="439" w:name="_Toc91899912"/>
    <w:r>
      <w:rPr>
        <w:rFonts w:hint="eastAsia" w:ascii="仿宋_GB2312" w:eastAsia="仿宋_GB2312"/>
        <w:kern w:val="0"/>
        <w:szCs w:val="21"/>
      </w:rPr>
      <w:t xml:space="preserve"> 页</w:t>
    </w:r>
    <w:bookmarkEnd w:id="436"/>
    <w:bookmarkEnd w:id="437"/>
    <w:bookmarkEnd w:id="438"/>
    <w:bookmarkEnd w:id="43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3"/>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75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43"/>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75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3"/>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75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43"/>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75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jc w:val="right"/>
      <w:rPr>
        <w:rFonts w:ascii="仿宋_GB2312" w:eastAsia="仿宋_GB2312"/>
        <w:i/>
        <w:u w:val="single"/>
      </w:rPr>
    </w:pPr>
    <w:r>
      <w:rPr>
        <w:lang w:val="zh-CN"/>
      </w:rPr>
      <w:t>杭州市政府采购</w:t>
    </w:r>
    <w:r>
      <w:rPr>
        <w:rFonts w:hint="eastAsia"/>
        <w:lang w:val="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rPr>
        <w:rFonts w:ascii="仿宋_GB2312" w:eastAsia="仿宋_GB2312"/>
        <w:b/>
        <w:i/>
        <w:u w:val="single"/>
      </w:rPr>
    </w:pPr>
    <w:r>
      <w:rPr>
        <w:lang w:val="zh-CN"/>
      </w:rPr>
      <w:t>杭州市政府采购</w:t>
    </w:r>
    <w:r>
      <w:rPr>
        <w:rFonts w:hint="eastAsia"/>
        <w:lang w:val="zh-CN"/>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rPr>
        <w:rFonts w:ascii="仿宋_GB2312"/>
        <w:b/>
        <w:i/>
        <w:iCs/>
        <w:u w:val="single"/>
      </w:rPr>
    </w:pPr>
    <w:r>
      <w:rPr>
        <w:lang w:val="zh-CN"/>
      </w:rPr>
      <w:t>杭州市政府采购</w:t>
    </w:r>
    <w:r>
      <w:rPr>
        <w:rFonts w:hint="eastAsia"/>
        <w:lang w:val="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4A4DF"/>
    <w:multiLevelType w:val="singleLevel"/>
    <w:tmpl w:val="49D4A4DF"/>
    <w:lvl w:ilvl="0" w:tentative="0">
      <w:start w:val="4"/>
      <w:numFmt w:val="decimal"/>
      <w:lvlText w:val="%1."/>
      <w:lvlJc w:val="left"/>
      <w:pPr>
        <w:tabs>
          <w:tab w:val="left" w:pos="312"/>
        </w:tabs>
      </w:pPr>
    </w:lvl>
  </w:abstractNum>
  <w:abstractNum w:abstractNumId="1">
    <w:nsid w:val="5909687C"/>
    <w:multiLevelType w:val="singleLevel"/>
    <w:tmpl w:val="5909687C"/>
    <w:lvl w:ilvl="0" w:tentative="0">
      <w:start w:val="2"/>
      <w:numFmt w:val="decimal"/>
      <w:suff w:val="nothing"/>
      <w:lvlText w:val="%1、"/>
      <w:lvlJc w:val="left"/>
      <w:pPr>
        <w:ind w:left="0" w:firstLine="0"/>
      </w:pPr>
    </w:lvl>
  </w:abstractNum>
  <w:num w:numId="1">
    <w:abstractNumId w:val="0"/>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19"/>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MjJmNWQ1MTM3ODgwNDNmZTJiMzQwNmYwODBhZG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471"/>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43"/>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689A"/>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0CFA"/>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59D"/>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A25"/>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8DC"/>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1F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088"/>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CEE"/>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17D"/>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45F"/>
    <w:rsid w:val="004B6E50"/>
    <w:rsid w:val="004B728F"/>
    <w:rsid w:val="004B7317"/>
    <w:rsid w:val="004B75B2"/>
    <w:rsid w:val="004B75C6"/>
    <w:rsid w:val="004B7A1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17FE0"/>
    <w:rsid w:val="005207D8"/>
    <w:rsid w:val="0052091D"/>
    <w:rsid w:val="005212F4"/>
    <w:rsid w:val="00521908"/>
    <w:rsid w:val="005224BC"/>
    <w:rsid w:val="00522928"/>
    <w:rsid w:val="00522FF1"/>
    <w:rsid w:val="00523946"/>
    <w:rsid w:val="0052397A"/>
    <w:rsid w:val="005256D6"/>
    <w:rsid w:val="00525AD8"/>
    <w:rsid w:val="00525D6B"/>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250"/>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1E6"/>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8BB"/>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E4"/>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9A3"/>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761"/>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317"/>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503"/>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D71"/>
    <w:rsid w:val="008052CE"/>
    <w:rsid w:val="0080548A"/>
    <w:rsid w:val="008058D0"/>
    <w:rsid w:val="00806A4C"/>
    <w:rsid w:val="0080705B"/>
    <w:rsid w:val="0080723C"/>
    <w:rsid w:val="00807F71"/>
    <w:rsid w:val="0081000F"/>
    <w:rsid w:val="0081137A"/>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C35"/>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7C2"/>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57"/>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8B8"/>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4DD"/>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0E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4EE"/>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59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ABD"/>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34B"/>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38E"/>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C31"/>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4FC"/>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3E71"/>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6EC6"/>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1EE"/>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72021"/>
    <w:rsid w:val="01C65DA5"/>
    <w:rsid w:val="01D55165"/>
    <w:rsid w:val="01DF6BF8"/>
    <w:rsid w:val="01EC2C57"/>
    <w:rsid w:val="025F0711"/>
    <w:rsid w:val="026B2E25"/>
    <w:rsid w:val="02824D4D"/>
    <w:rsid w:val="02DC4B10"/>
    <w:rsid w:val="02DD76CE"/>
    <w:rsid w:val="02F36323"/>
    <w:rsid w:val="02F5619C"/>
    <w:rsid w:val="0326446A"/>
    <w:rsid w:val="032D5555"/>
    <w:rsid w:val="036634D2"/>
    <w:rsid w:val="03DD35E4"/>
    <w:rsid w:val="03F040A4"/>
    <w:rsid w:val="04076900"/>
    <w:rsid w:val="041A5A3B"/>
    <w:rsid w:val="042311BA"/>
    <w:rsid w:val="042B157A"/>
    <w:rsid w:val="048F763B"/>
    <w:rsid w:val="049F330E"/>
    <w:rsid w:val="04AA775C"/>
    <w:rsid w:val="04AF1889"/>
    <w:rsid w:val="04C64E6C"/>
    <w:rsid w:val="04F66F48"/>
    <w:rsid w:val="05251E14"/>
    <w:rsid w:val="05A16594"/>
    <w:rsid w:val="05A7762D"/>
    <w:rsid w:val="060E5941"/>
    <w:rsid w:val="06110FAF"/>
    <w:rsid w:val="061E21DC"/>
    <w:rsid w:val="0623466E"/>
    <w:rsid w:val="06493CA7"/>
    <w:rsid w:val="065A6178"/>
    <w:rsid w:val="066F1CF3"/>
    <w:rsid w:val="06930BB8"/>
    <w:rsid w:val="07245D42"/>
    <w:rsid w:val="07264C62"/>
    <w:rsid w:val="074037D5"/>
    <w:rsid w:val="0779354C"/>
    <w:rsid w:val="07A46B95"/>
    <w:rsid w:val="08061376"/>
    <w:rsid w:val="08452D77"/>
    <w:rsid w:val="086401F8"/>
    <w:rsid w:val="08661343"/>
    <w:rsid w:val="08751CAA"/>
    <w:rsid w:val="087E4C40"/>
    <w:rsid w:val="08923AEE"/>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03465"/>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DA57BF"/>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285B29"/>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2B4878"/>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9746FE"/>
    <w:rsid w:val="1948749E"/>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7725CD"/>
    <w:rsid w:val="1C88086E"/>
    <w:rsid w:val="1D266CE1"/>
    <w:rsid w:val="1D3963AF"/>
    <w:rsid w:val="1D3D0FE5"/>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90412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EA22EE"/>
    <w:rsid w:val="23FD0064"/>
    <w:rsid w:val="2422170E"/>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79D65E1"/>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EA170C"/>
    <w:rsid w:val="2DF72DE4"/>
    <w:rsid w:val="2E0220AF"/>
    <w:rsid w:val="2E4B082A"/>
    <w:rsid w:val="2E5D4E86"/>
    <w:rsid w:val="2E5D790B"/>
    <w:rsid w:val="2E9A3C18"/>
    <w:rsid w:val="2EBB0FEE"/>
    <w:rsid w:val="2EC63002"/>
    <w:rsid w:val="2F0A6B38"/>
    <w:rsid w:val="2F946CCB"/>
    <w:rsid w:val="2FD25781"/>
    <w:rsid w:val="2FDC745C"/>
    <w:rsid w:val="2FFD7934"/>
    <w:rsid w:val="307221A0"/>
    <w:rsid w:val="30733ACD"/>
    <w:rsid w:val="308C3862"/>
    <w:rsid w:val="309379D8"/>
    <w:rsid w:val="30A270F7"/>
    <w:rsid w:val="30DF1478"/>
    <w:rsid w:val="30EC586F"/>
    <w:rsid w:val="319C6071"/>
    <w:rsid w:val="31A11ECE"/>
    <w:rsid w:val="31AC537E"/>
    <w:rsid w:val="31E3679B"/>
    <w:rsid w:val="31E732FD"/>
    <w:rsid w:val="32517576"/>
    <w:rsid w:val="32BE5C2C"/>
    <w:rsid w:val="32D63C1D"/>
    <w:rsid w:val="32FB6478"/>
    <w:rsid w:val="332410BB"/>
    <w:rsid w:val="33263B3F"/>
    <w:rsid w:val="33333E14"/>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7821B2"/>
    <w:rsid w:val="38BC0149"/>
    <w:rsid w:val="38D87D1C"/>
    <w:rsid w:val="39636459"/>
    <w:rsid w:val="396B7F6C"/>
    <w:rsid w:val="39B417A9"/>
    <w:rsid w:val="39DD3AE3"/>
    <w:rsid w:val="39FC5695"/>
    <w:rsid w:val="3A006D8E"/>
    <w:rsid w:val="3A204F94"/>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F1B11"/>
    <w:rsid w:val="3F060E16"/>
    <w:rsid w:val="3F1D1096"/>
    <w:rsid w:val="3F2F0234"/>
    <w:rsid w:val="3F6363FE"/>
    <w:rsid w:val="3F756B8F"/>
    <w:rsid w:val="3F95482B"/>
    <w:rsid w:val="4019356B"/>
    <w:rsid w:val="40592157"/>
    <w:rsid w:val="406E1CAE"/>
    <w:rsid w:val="40A0133A"/>
    <w:rsid w:val="40C31A53"/>
    <w:rsid w:val="40FF545D"/>
    <w:rsid w:val="410067C8"/>
    <w:rsid w:val="4113236B"/>
    <w:rsid w:val="416176D3"/>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C37AA"/>
    <w:rsid w:val="445B6275"/>
    <w:rsid w:val="449101DD"/>
    <w:rsid w:val="44DE1391"/>
    <w:rsid w:val="451B225C"/>
    <w:rsid w:val="452410C9"/>
    <w:rsid w:val="45317DFB"/>
    <w:rsid w:val="453E62CA"/>
    <w:rsid w:val="456D3CE4"/>
    <w:rsid w:val="4579042C"/>
    <w:rsid w:val="457F0571"/>
    <w:rsid w:val="45851176"/>
    <w:rsid w:val="45C55BC2"/>
    <w:rsid w:val="45C63B94"/>
    <w:rsid w:val="460E7DA5"/>
    <w:rsid w:val="46422483"/>
    <w:rsid w:val="4659254A"/>
    <w:rsid w:val="465B0637"/>
    <w:rsid w:val="465E3F0D"/>
    <w:rsid w:val="46680A9C"/>
    <w:rsid w:val="466A16E6"/>
    <w:rsid w:val="46893F2B"/>
    <w:rsid w:val="46C444E6"/>
    <w:rsid w:val="46C4686E"/>
    <w:rsid w:val="477B778F"/>
    <w:rsid w:val="478203EC"/>
    <w:rsid w:val="47B025FA"/>
    <w:rsid w:val="48013092"/>
    <w:rsid w:val="4809698F"/>
    <w:rsid w:val="4811697D"/>
    <w:rsid w:val="487A3E25"/>
    <w:rsid w:val="488B5503"/>
    <w:rsid w:val="48937E21"/>
    <w:rsid w:val="489A0361"/>
    <w:rsid w:val="48A8102D"/>
    <w:rsid w:val="48B94FF3"/>
    <w:rsid w:val="48E37AAB"/>
    <w:rsid w:val="48FD4B4C"/>
    <w:rsid w:val="490A68E0"/>
    <w:rsid w:val="491055FE"/>
    <w:rsid w:val="495F5B3E"/>
    <w:rsid w:val="496F77D7"/>
    <w:rsid w:val="497654FD"/>
    <w:rsid w:val="49B64211"/>
    <w:rsid w:val="49D41AAC"/>
    <w:rsid w:val="49F6167F"/>
    <w:rsid w:val="4A064FA0"/>
    <w:rsid w:val="4A16615C"/>
    <w:rsid w:val="4A4424D7"/>
    <w:rsid w:val="4AB82D0F"/>
    <w:rsid w:val="4AEB7664"/>
    <w:rsid w:val="4AFD7C19"/>
    <w:rsid w:val="4B0567D1"/>
    <w:rsid w:val="4B236AAE"/>
    <w:rsid w:val="4B2F799D"/>
    <w:rsid w:val="4B707271"/>
    <w:rsid w:val="4B746F01"/>
    <w:rsid w:val="4B9739F7"/>
    <w:rsid w:val="4BEE2503"/>
    <w:rsid w:val="4BF727EA"/>
    <w:rsid w:val="4C245A30"/>
    <w:rsid w:val="4CB6685F"/>
    <w:rsid w:val="4CC367FE"/>
    <w:rsid w:val="4D077F3C"/>
    <w:rsid w:val="4D123355"/>
    <w:rsid w:val="4D2A3B31"/>
    <w:rsid w:val="4D312C52"/>
    <w:rsid w:val="4D905305"/>
    <w:rsid w:val="4D964A72"/>
    <w:rsid w:val="4D9C1254"/>
    <w:rsid w:val="4D9E5B15"/>
    <w:rsid w:val="4DFA480C"/>
    <w:rsid w:val="4E793892"/>
    <w:rsid w:val="4E800872"/>
    <w:rsid w:val="4EC569ED"/>
    <w:rsid w:val="4ED50EA1"/>
    <w:rsid w:val="4EEC050C"/>
    <w:rsid w:val="4F104EC3"/>
    <w:rsid w:val="4F47354A"/>
    <w:rsid w:val="4F911C54"/>
    <w:rsid w:val="4FE625E0"/>
    <w:rsid w:val="5021480F"/>
    <w:rsid w:val="505C301C"/>
    <w:rsid w:val="50962ECB"/>
    <w:rsid w:val="50A42E38"/>
    <w:rsid w:val="50A4577F"/>
    <w:rsid w:val="50B73D1F"/>
    <w:rsid w:val="50BD5BC9"/>
    <w:rsid w:val="50C11EEE"/>
    <w:rsid w:val="50E97CFC"/>
    <w:rsid w:val="50FA4028"/>
    <w:rsid w:val="510D65B7"/>
    <w:rsid w:val="511157AB"/>
    <w:rsid w:val="51356F33"/>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4C1537"/>
    <w:rsid w:val="53544462"/>
    <w:rsid w:val="5397158E"/>
    <w:rsid w:val="53DFFC24"/>
    <w:rsid w:val="53E325D5"/>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2E78E5"/>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1E264C"/>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BE2749"/>
    <w:rsid w:val="5AD63A24"/>
    <w:rsid w:val="5AE51A4D"/>
    <w:rsid w:val="5B2E1A1D"/>
    <w:rsid w:val="5B843A1C"/>
    <w:rsid w:val="5B873E3F"/>
    <w:rsid w:val="5C02690E"/>
    <w:rsid w:val="5C196DA7"/>
    <w:rsid w:val="5C2A048C"/>
    <w:rsid w:val="5C4D2220"/>
    <w:rsid w:val="5C80234E"/>
    <w:rsid w:val="5C8A680C"/>
    <w:rsid w:val="5D0C4701"/>
    <w:rsid w:val="5D0F0395"/>
    <w:rsid w:val="5D221076"/>
    <w:rsid w:val="5D397964"/>
    <w:rsid w:val="5D5A391C"/>
    <w:rsid w:val="5D5F10C0"/>
    <w:rsid w:val="5D790E2F"/>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293B23"/>
    <w:rsid w:val="607330CE"/>
    <w:rsid w:val="60825176"/>
    <w:rsid w:val="609F2AC4"/>
    <w:rsid w:val="60FA2EE8"/>
    <w:rsid w:val="61054A27"/>
    <w:rsid w:val="610A52BC"/>
    <w:rsid w:val="610D059B"/>
    <w:rsid w:val="611D2366"/>
    <w:rsid w:val="61421856"/>
    <w:rsid w:val="615227C4"/>
    <w:rsid w:val="61654E3F"/>
    <w:rsid w:val="6182292A"/>
    <w:rsid w:val="619F7F92"/>
    <w:rsid w:val="61F94C26"/>
    <w:rsid w:val="62000E56"/>
    <w:rsid w:val="624F3E49"/>
    <w:rsid w:val="62632286"/>
    <w:rsid w:val="62885958"/>
    <w:rsid w:val="62F40B65"/>
    <w:rsid w:val="62FC2CFE"/>
    <w:rsid w:val="63024505"/>
    <w:rsid w:val="632550A5"/>
    <w:rsid w:val="635600A5"/>
    <w:rsid w:val="635B1DB5"/>
    <w:rsid w:val="63711FED"/>
    <w:rsid w:val="63880DDC"/>
    <w:rsid w:val="638D750D"/>
    <w:rsid w:val="63AC6CC0"/>
    <w:rsid w:val="63F23480"/>
    <w:rsid w:val="64055776"/>
    <w:rsid w:val="641F5B67"/>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112C4A"/>
    <w:rsid w:val="672F3F24"/>
    <w:rsid w:val="673E055F"/>
    <w:rsid w:val="67551CE3"/>
    <w:rsid w:val="67A22552"/>
    <w:rsid w:val="67B22DCC"/>
    <w:rsid w:val="67BE71AA"/>
    <w:rsid w:val="67CF7323"/>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B149A"/>
    <w:rsid w:val="693E15D3"/>
    <w:rsid w:val="69627681"/>
    <w:rsid w:val="6977531D"/>
    <w:rsid w:val="69CC2BFF"/>
    <w:rsid w:val="69FD55B8"/>
    <w:rsid w:val="6A0B1C62"/>
    <w:rsid w:val="6A2406C8"/>
    <w:rsid w:val="6A9A1ADF"/>
    <w:rsid w:val="6ADE0BD1"/>
    <w:rsid w:val="6AE81378"/>
    <w:rsid w:val="6AE96859"/>
    <w:rsid w:val="6B147746"/>
    <w:rsid w:val="6B24787C"/>
    <w:rsid w:val="6B573233"/>
    <w:rsid w:val="6B5B6274"/>
    <w:rsid w:val="6B935D53"/>
    <w:rsid w:val="6C1316F7"/>
    <w:rsid w:val="6C196F71"/>
    <w:rsid w:val="6C226FCB"/>
    <w:rsid w:val="6C31226F"/>
    <w:rsid w:val="6C517EC7"/>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48279F"/>
    <w:rsid w:val="71D43752"/>
    <w:rsid w:val="71F1796A"/>
    <w:rsid w:val="71FB63D5"/>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5D394A"/>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643437"/>
    <w:rsid w:val="777A4144"/>
    <w:rsid w:val="777F31F2"/>
    <w:rsid w:val="77D1700D"/>
    <w:rsid w:val="77EC04CC"/>
    <w:rsid w:val="78667167"/>
    <w:rsid w:val="78775729"/>
    <w:rsid w:val="78A42DB0"/>
    <w:rsid w:val="78A656AB"/>
    <w:rsid w:val="78B2245C"/>
    <w:rsid w:val="78E172CC"/>
    <w:rsid w:val="78EA1D1F"/>
    <w:rsid w:val="79036DC3"/>
    <w:rsid w:val="7904172F"/>
    <w:rsid w:val="790F7E27"/>
    <w:rsid w:val="792A231A"/>
    <w:rsid w:val="79316829"/>
    <w:rsid w:val="797E66A9"/>
    <w:rsid w:val="798518A4"/>
    <w:rsid w:val="79A97383"/>
    <w:rsid w:val="79E27E8B"/>
    <w:rsid w:val="79F850CE"/>
    <w:rsid w:val="79FD443C"/>
    <w:rsid w:val="7A1D1975"/>
    <w:rsid w:val="7A2C4ABC"/>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2A2972"/>
    <w:rsid w:val="7C590818"/>
    <w:rsid w:val="7C7C10F6"/>
    <w:rsid w:val="7C853BEA"/>
    <w:rsid w:val="7C881368"/>
    <w:rsid w:val="7CD564F7"/>
    <w:rsid w:val="7CE27788"/>
    <w:rsid w:val="7D0C32F1"/>
    <w:rsid w:val="7D0F408D"/>
    <w:rsid w:val="7D491C6C"/>
    <w:rsid w:val="7D5429C0"/>
    <w:rsid w:val="7D6E6D43"/>
    <w:rsid w:val="7DB57A34"/>
    <w:rsid w:val="7DE60973"/>
    <w:rsid w:val="7DEF0916"/>
    <w:rsid w:val="7E1E5218"/>
    <w:rsid w:val="7E6C679B"/>
    <w:rsid w:val="7E9A4E1F"/>
    <w:rsid w:val="7EA7723A"/>
    <w:rsid w:val="7EF56FBB"/>
    <w:rsid w:val="7F0768EB"/>
    <w:rsid w:val="7F143BEC"/>
    <w:rsid w:val="7F362021"/>
    <w:rsid w:val="7F715AF2"/>
    <w:rsid w:val="7F7B47F9"/>
    <w:rsid w:val="7F886E69"/>
    <w:rsid w:val="BB7FA927"/>
    <w:rsid w:val="BD3F8F3F"/>
    <w:rsid w:val="EFF72F48"/>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customStyle="1" w:styleId="2">
    <w:name w:val="段落"/>
    <w:basedOn w:val="3"/>
    <w:link w:val="387"/>
    <w:autoRedefine/>
    <w:qFormat/>
    <w:uiPriority w:val="0"/>
    <w:pPr>
      <w:adjustRightInd/>
      <w:spacing w:line="360" w:lineRule="auto"/>
      <w:ind w:firstLine="480" w:firstLineChars="200"/>
    </w:pPr>
    <w:rPr>
      <w:rFonts w:ascii="宋体" w:hAnsi="宋体"/>
      <w:kern w:val="0"/>
      <w:sz w:val="24"/>
      <w:szCs w:val="20"/>
    </w:rPr>
  </w:style>
  <w:style w:type="paragraph" w:customStyle="1" w:styleId="3">
    <w:name w:val="List Paragraph"/>
    <w:basedOn w:val="1"/>
    <w:autoRedefine/>
    <w:qFormat/>
    <w:uiPriority w:val="0"/>
    <w:pPr>
      <w:ind w:firstLine="420" w:firstLineChars="200"/>
    </w:p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8"/>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1"/>
    <w:autoRedefine/>
    <w:qFormat/>
    <w:uiPriority w:val="0"/>
    <w:pPr>
      <w:shd w:val="clear" w:color="auto" w:fill="000080"/>
    </w:pPr>
  </w:style>
  <w:style w:type="paragraph" w:styleId="21">
    <w:name w:val="annotation text"/>
    <w:basedOn w:val="1"/>
    <w:link w:val="343"/>
    <w:autoRedefine/>
    <w:qFormat/>
    <w:uiPriority w:val="99"/>
    <w:pPr>
      <w:jc w:val="left"/>
    </w:pPr>
  </w:style>
  <w:style w:type="paragraph" w:styleId="22">
    <w:name w:val="Salutation"/>
    <w:basedOn w:val="1"/>
    <w:next w:val="1"/>
    <w:link w:val="297"/>
    <w:autoRedefine/>
    <w:qFormat/>
    <w:uiPriority w:val="0"/>
    <w:rPr>
      <w:rFonts w:ascii="仿宋_GB2312" w:eastAsia="仿宋_GB2312"/>
      <w:sz w:val="28"/>
      <w:szCs w:val="20"/>
    </w:rPr>
  </w:style>
  <w:style w:type="paragraph" w:styleId="23">
    <w:name w:val="Body Text 3"/>
    <w:basedOn w:val="1"/>
    <w:link w:val="329"/>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20"/>
    <w:autoRedefine/>
    <w:qFormat/>
    <w:uiPriority w:val="0"/>
    <w:pPr>
      <w:ind w:firstLine="420"/>
    </w:pPr>
    <w:rPr>
      <w:rFonts w:hAnsi="Calibri" w:cs="Times New Roman"/>
      <w:snapToGrid/>
      <w:szCs w:val="20"/>
    </w:rPr>
  </w:style>
  <w:style w:type="paragraph" w:styleId="27">
    <w:name w:val="toc 6"/>
    <w:basedOn w:val="1"/>
    <w:next w:val="1"/>
    <w:autoRedefine/>
    <w:qFormat/>
    <w:uiPriority w:val="0"/>
    <w:pPr>
      <w:ind w:left="2100" w:leftChars="1000"/>
    </w:pPr>
  </w:style>
  <w:style w:type="paragraph" w:styleId="28">
    <w:name w:val="Body Text Indent"/>
    <w:basedOn w:val="1"/>
    <w:next w:val="1"/>
    <w:link w:val="264"/>
    <w:autoRedefine/>
    <w:qFormat/>
    <w:uiPriority w:val="0"/>
    <w:pPr>
      <w:spacing w:line="480" w:lineRule="exact"/>
      <w:ind w:firstLine="480" w:firstLineChars="200"/>
    </w:pPr>
    <w:rPr>
      <w:rFonts w:ascii="宋体" w:hAnsi="宋体"/>
      <w:sz w:val="24"/>
    </w:rPr>
  </w:style>
  <w:style w:type="paragraph" w:styleId="29">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4"/>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2940" w:leftChars="1400"/>
    </w:pPr>
  </w:style>
  <w:style w:type="paragraph" w:styleId="39">
    <w:name w:val="Date"/>
    <w:basedOn w:val="1"/>
    <w:next w:val="1"/>
    <w:link w:val="180"/>
    <w:autoRedefine/>
    <w:qFormat/>
    <w:uiPriority w:val="0"/>
    <w:pPr>
      <w:ind w:left="100" w:leftChars="2500"/>
    </w:pPr>
    <w:rPr>
      <w:rFonts w:ascii="宋体"/>
      <w:sz w:val="24"/>
      <w:szCs w:val="21"/>
      <w:lang w:val="zh-CN"/>
    </w:rPr>
  </w:style>
  <w:style w:type="paragraph" w:styleId="40">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41">
    <w:name w:val="endnote text"/>
    <w:basedOn w:val="1"/>
    <w:link w:val="930"/>
    <w:autoRedefine/>
    <w:qFormat/>
    <w:uiPriority w:val="0"/>
    <w:rPr>
      <w:lang w:val="zh-CN"/>
    </w:rPr>
  </w:style>
  <w:style w:type="paragraph" w:styleId="42">
    <w:name w:val="Balloon Text"/>
    <w:basedOn w:val="1"/>
    <w:link w:val="187"/>
    <w:autoRedefine/>
    <w:qFormat/>
    <w:uiPriority w:val="0"/>
    <w:rPr>
      <w:sz w:val="18"/>
      <w:szCs w:val="18"/>
    </w:rPr>
  </w:style>
  <w:style w:type="paragraph" w:styleId="43">
    <w:name w:val="footer"/>
    <w:basedOn w:val="1"/>
    <w:link w:val="382"/>
    <w:autoRedefine/>
    <w:qFormat/>
    <w:uiPriority w:val="99"/>
    <w:pPr>
      <w:tabs>
        <w:tab w:val="center" w:pos="4153"/>
        <w:tab w:val="right" w:pos="8306"/>
      </w:tabs>
      <w:snapToGrid w:val="0"/>
      <w:jc w:val="left"/>
    </w:pPr>
    <w:rPr>
      <w:sz w:val="18"/>
      <w:szCs w:val="18"/>
    </w:rPr>
  </w:style>
  <w:style w:type="paragraph" w:styleId="44">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autoRedefine/>
    <w:qFormat/>
    <w:uiPriority w:val="0"/>
  </w:style>
  <w:style w:type="paragraph" w:styleId="47">
    <w:name w:val="toc 4"/>
    <w:basedOn w:val="1"/>
    <w:next w:val="1"/>
    <w:autoRedefine/>
    <w:qFormat/>
    <w:uiPriority w:val="0"/>
    <w:pPr>
      <w:ind w:left="1260" w:leftChars="600"/>
    </w:pPr>
  </w:style>
  <w:style w:type="paragraph" w:styleId="48">
    <w:name w:val="index heading"/>
    <w:basedOn w:val="1"/>
    <w:next w:val="49"/>
    <w:autoRedefine/>
    <w:qFormat/>
    <w:uiPriority w:val="0"/>
    <w:pPr>
      <w:adjustRightInd/>
      <w:ind w:firstLine="200" w:firstLineChars="200"/>
    </w:pPr>
  </w:style>
  <w:style w:type="paragraph" w:styleId="49">
    <w:name w:val="index 1"/>
    <w:basedOn w:val="1"/>
    <w:next w:val="1"/>
    <w:autoRedefine/>
    <w:qFormat/>
    <w:uiPriority w:val="0"/>
    <w:pPr>
      <w:adjustRightInd/>
      <w:spacing w:line="360" w:lineRule="auto"/>
      <w:ind w:firstLine="200" w:firstLineChars="200"/>
      <w:jc w:val="center"/>
    </w:pPr>
    <w:rPr>
      <w:sz w:val="24"/>
      <w:szCs w:val="20"/>
    </w:rPr>
  </w:style>
  <w:style w:type="paragraph" w:styleId="50">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autoRedefine/>
    <w:qFormat/>
    <w:uiPriority w:val="0"/>
    <w:pPr>
      <w:tabs>
        <w:tab w:val="left" w:pos="902"/>
      </w:tabs>
      <w:adjustRightInd/>
      <w:spacing w:line="400" w:lineRule="exact"/>
      <w:ind w:left="902" w:hanging="420"/>
    </w:pPr>
    <w:rPr>
      <w:sz w:val="24"/>
      <w:szCs w:val="20"/>
    </w:rPr>
  </w:style>
  <w:style w:type="paragraph" w:styleId="52">
    <w:name w:val="List"/>
    <w:basedOn w:val="1"/>
    <w:autoRedefine/>
    <w:qFormat/>
    <w:uiPriority w:val="0"/>
    <w:pPr>
      <w:ind w:left="200" w:hanging="200" w:hangingChars="200"/>
    </w:pPr>
  </w:style>
  <w:style w:type="paragraph" w:styleId="53">
    <w:name w:val="footnote text"/>
    <w:basedOn w:val="17"/>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4"/>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1"/>
    <w:autoRedefine/>
    <w:qFormat/>
    <w:uiPriority w:val="0"/>
    <w:pPr>
      <w:spacing w:after="120" w:line="480" w:lineRule="auto"/>
    </w:pPr>
  </w:style>
  <w:style w:type="paragraph" w:styleId="59">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1"/>
    <w:next w:val="21"/>
    <w:link w:val="95"/>
    <w:autoRedefine/>
    <w:qFormat/>
    <w:uiPriority w:val="0"/>
    <w:rPr>
      <w:b/>
      <w:bCs/>
    </w:rPr>
  </w:style>
  <w:style w:type="paragraph" w:styleId="63">
    <w:name w:val="Body Text First Indent 2"/>
    <w:basedOn w:val="28"/>
    <w:link w:val="120"/>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62"/>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3"/>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1"/>
    <w:autoRedefine/>
    <w:qFormat/>
    <w:uiPriority w:val="0"/>
    <w:rPr>
      <w:rFonts w:ascii="Arial" w:hAnsi="Arial" w:eastAsia="黑体" w:cs="Arial"/>
      <w:snapToGrid w:val="0"/>
      <w:kern w:val="0"/>
      <w:szCs w:val="21"/>
    </w:rPr>
  </w:style>
  <w:style w:type="character" w:customStyle="1" w:styleId="124">
    <w:name w:val="纯文本 Char"/>
    <w:link w:val="36"/>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50"/>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9"/>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5"/>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9"/>
    <w:autoRedefine/>
    <w:qFormat/>
    <w:uiPriority w:val="0"/>
    <w:rPr>
      <w:rFonts w:ascii="宋体"/>
      <w:kern w:val="2"/>
      <w:sz w:val="24"/>
      <w:szCs w:val="21"/>
      <w:lang w:val="zh-CN"/>
    </w:rPr>
  </w:style>
  <w:style w:type="character" w:customStyle="1" w:styleId="181">
    <w:name w:val="标题 9 Char"/>
    <w:link w:val="12"/>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42"/>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7"/>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20"/>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1"/>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3"/>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7"/>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8"/>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7">
    <w:name w:val="列出段落1"/>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8"/>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4"/>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61"/>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8"/>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2"/>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9"/>
    <w:autoRedefine/>
    <w:qFormat/>
    <w:uiPriority w:val="0"/>
    <w:rPr>
      <w:rFonts w:ascii="黑体" w:hAnsi="Courier New" w:eastAsia="黑体"/>
    </w:rPr>
  </w:style>
  <w:style w:type="character" w:customStyle="1" w:styleId="301">
    <w:name w:val="正文文本 2 Char1"/>
    <w:link w:val="58"/>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7"/>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10"/>
    <w:autoRedefine/>
    <w:qFormat/>
    <w:uiPriority w:val="0"/>
    <w:rPr>
      <w:b/>
      <w:bCs/>
      <w:kern w:val="2"/>
      <w:sz w:val="24"/>
      <w:szCs w:val="24"/>
    </w:rPr>
  </w:style>
  <w:style w:type="character" w:customStyle="1" w:styleId="307">
    <w:name w:val="正文文本缩进 2 Char"/>
    <w:link w:val="40"/>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53"/>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26"/>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7"/>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3"/>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21"/>
    <w:autoRedefine/>
    <w:qFormat/>
    <w:uiPriority w:val="99"/>
    <w:rPr>
      <w:kern w:val="2"/>
      <w:sz w:val="21"/>
      <w:szCs w:val="24"/>
    </w:rPr>
  </w:style>
  <w:style w:type="character" w:customStyle="1" w:styleId="344">
    <w:name w:val="签名 Char"/>
    <w:link w:val="45"/>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5"/>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43"/>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2"/>
    <w:autoRedefine/>
    <w:qFormat/>
    <w:uiPriority w:val="0"/>
    <w:rPr>
      <w:rFonts w:ascii="宋体" w:hAnsi="宋体"/>
      <w:sz w:val="24"/>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4"/>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71"/>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17"/>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71"/>
    <w:autoRedefine/>
    <w:qFormat/>
    <w:uiPriority w:val="0"/>
    <w:rPr>
      <w:rFonts w:ascii="Arial" w:hAnsi="Arial" w:eastAsia="黑体" w:cs="Arial"/>
      <w:snapToGrid w:val="0"/>
      <w:kern w:val="0"/>
      <w:szCs w:val="21"/>
    </w:rPr>
  </w:style>
  <w:style w:type="character" w:customStyle="1" w:styleId="430">
    <w:name w:val="hui"/>
    <w:basedOn w:val="71"/>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8"/>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312"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1">
    <w:name w:val="无间隔2"/>
    <w:basedOn w:val="1"/>
    <w:link w:val="931"/>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6"/>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8"/>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7"/>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6"/>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autoRedefine/>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8"/>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6"/>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8"/>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8"/>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4"/>
    <w:autoRedefine/>
    <w:qFormat/>
    <w:uiPriority w:val="0"/>
    <w:pPr>
      <w:tabs>
        <w:tab w:val="left" w:pos="840"/>
      </w:tabs>
      <w:adjustRightInd/>
      <w:ind w:left="840" w:hanging="420"/>
    </w:pPr>
  </w:style>
  <w:style w:type="paragraph" w:customStyle="1" w:styleId="624">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28"/>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40"/>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8">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8"/>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6"/>
    <w:next w:val="55"/>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40"/>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5"/>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8"/>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20"/>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autoRedefine/>
    <w:qFormat/>
    <w:uiPriority w:val="0"/>
    <w:pPr>
      <w:tabs>
        <w:tab w:val="left" w:pos="1080"/>
      </w:tabs>
      <w:ind w:left="1080" w:hanging="1080"/>
    </w:pPr>
  </w:style>
  <w:style w:type="paragraph" w:customStyle="1" w:styleId="895">
    <w:name w:val="数字标题1"/>
    <w:basedOn w:val="4"/>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1"/>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41"/>
    <w:autoRedefine/>
    <w:qFormat/>
    <w:uiPriority w:val="0"/>
    <w:rPr>
      <w:kern w:val="2"/>
      <w:sz w:val="21"/>
      <w:szCs w:val="24"/>
      <w:lang w:val="zh-CN"/>
    </w:rPr>
  </w:style>
  <w:style w:type="character" w:customStyle="1" w:styleId="931">
    <w:name w:val="无间隔 字符"/>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7"/>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样式 标题 2 + Times New Roman 四号 非加粗 段前: 5 磅 段后: 0 磅 行距: 固定值 20..."/>
    <w:basedOn w:val="5"/>
    <w:autoRedefine/>
    <w:qFormat/>
    <w:uiPriority w:val="0"/>
    <w:pPr>
      <w:tabs>
        <w:tab w:val="left" w:pos="1080"/>
        <w:tab w:val="clear" w:pos="432"/>
      </w:tabs>
      <w:spacing w:before="100" w:line="400" w:lineRule="exact"/>
    </w:pPr>
    <w:rPr>
      <w:rFonts w:ascii="Times New Roman" w:hAnsi="Times New Roman" w:eastAsia="黑体" w:cs="宋体"/>
      <w:b w:val="0"/>
      <w:sz w:val="28"/>
      <w:szCs w:val="20"/>
    </w:rPr>
  </w:style>
  <w:style w:type="paragraph" w:customStyle="1" w:styleId="963">
    <w:name w:val="p16"/>
    <w:basedOn w:val="1"/>
    <w:autoRedefine/>
    <w:qFormat/>
    <w:uiPriority w:val="0"/>
    <w:pPr>
      <w:widowControl/>
      <w:spacing w:before="100" w:after="100"/>
      <w:jc w:val="left"/>
    </w:pPr>
    <w:rPr>
      <w:rFonts w:ascii="宋体" w:hAnsi="宋体" w:cs="宋体"/>
      <w:color w:val="000000"/>
      <w:kern w:val="0"/>
      <w:sz w:val="24"/>
    </w:rPr>
  </w:style>
  <w:style w:type="paragraph" w:customStyle="1" w:styleId="964">
    <w:name w:val="修订4"/>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header" Target="header5.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82</Pages>
  <Words>35605</Words>
  <Characters>37581</Characters>
  <Lines>405</Lines>
  <Paragraphs>114</Paragraphs>
  <TotalTime>26</TotalTime>
  <ScaleCrop>false</ScaleCrop>
  <LinksUpToDate>false</LinksUpToDate>
  <CharactersWithSpaces>55161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2022-05-07T15:35:00Z</dcterms:created>
  <dc:creator>玥</dc:creator>
  <cp:lastModifiedBy>刘佳陇</cp:lastModifiedBy>
  <cp:lastPrinted>2021-12-27T19:06:00Z</cp:lastPrinted>
  <dcterms:modified xsi:type="dcterms:W3CDTF">2024-04-24T08:37:15Z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481F5E814BC242B4BA75BBC3E089DC47_13</vt:lpwstr>
  </property>
  <property fmtid="{D5CDD505-2E9C-101B-9397-08002B2CF9AE}" pid="5" name="commondata">
    <vt:lpwstr>eyJoZGlkIjoiNGNlMmFkMDQ1NDY0ZmRiM2Q0NjY4NTFjN2IwMTllYjMifQ==</vt:lpwstr>
  </property>
</Properties>
</file>